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645B6F" w:rsidRDefault="006C4BFD" w:rsidP="00AF2722">
      <w:pPr>
        <w:spacing w:after="0"/>
        <w:jc w:val="center"/>
        <w:rPr>
          <w:rFonts w:cstheme="minorHAnsi"/>
        </w:rPr>
      </w:pPr>
      <w:r w:rsidRPr="00645B6F">
        <w:rPr>
          <w:rFonts w:eastAsia="Times New Roman" w:cstheme="minorHAnsi"/>
          <w:color w:val="1C75BC"/>
          <w:sz w:val="36"/>
          <w:szCs w:val="36"/>
          <w:lang w:eastAsia="en-GB"/>
        </w:rPr>
        <w:t>SDG indicator metadata</w:t>
      </w:r>
    </w:p>
    <w:p w14:paraId="129054E9" w14:textId="6D8F28C4" w:rsidR="006C4BFD" w:rsidRPr="00645B6F" w:rsidRDefault="002C2510" w:rsidP="00AF2722">
      <w:pPr>
        <w:spacing w:after="0"/>
        <w:jc w:val="center"/>
        <w:rPr>
          <w:rFonts w:eastAsia="Times New Roman" w:cstheme="minorHAnsi"/>
          <w:b/>
          <w:bCs/>
          <w:color w:val="4A4A4A"/>
          <w:sz w:val="21"/>
          <w:szCs w:val="21"/>
          <w:lang w:eastAsia="en-GB"/>
        </w:rPr>
      </w:pPr>
      <w:r w:rsidRPr="00645B6F">
        <w:rPr>
          <w:rFonts w:eastAsia="Times New Roman" w:cstheme="minorHAnsi"/>
          <w:b/>
          <w:bCs/>
          <w:color w:val="4A4A4A"/>
          <w:sz w:val="21"/>
          <w:szCs w:val="21"/>
          <w:lang w:eastAsia="en-GB"/>
        </w:rPr>
        <w:t xml:space="preserve">(Harmonized </w:t>
      </w:r>
      <w:r w:rsidR="00942694" w:rsidRPr="00645B6F">
        <w:rPr>
          <w:rFonts w:eastAsia="Times New Roman" w:cstheme="minorHAnsi"/>
          <w:b/>
          <w:bCs/>
          <w:color w:val="4A4A4A"/>
          <w:sz w:val="21"/>
          <w:szCs w:val="21"/>
          <w:lang w:eastAsia="en-GB"/>
        </w:rPr>
        <w:t xml:space="preserve">metadata </w:t>
      </w:r>
      <w:r w:rsidRPr="00645B6F">
        <w:rPr>
          <w:rFonts w:eastAsia="Times New Roman" w:cstheme="minorHAnsi"/>
          <w:b/>
          <w:bCs/>
          <w:color w:val="4A4A4A"/>
          <w:sz w:val="21"/>
          <w:szCs w:val="21"/>
          <w:lang w:eastAsia="en-GB"/>
        </w:rPr>
        <w:t>template - format version 1.</w:t>
      </w:r>
      <w:r w:rsidR="00AF2722">
        <w:rPr>
          <w:rFonts w:eastAsia="Times New Roman" w:cstheme="minorHAnsi"/>
          <w:b/>
          <w:bCs/>
          <w:color w:val="4A4A4A"/>
          <w:sz w:val="21"/>
          <w:szCs w:val="21"/>
          <w:lang w:eastAsia="en-GB"/>
        </w:rPr>
        <w:t>1</w:t>
      </w:r>
      <w:r w:rsidRPr="00645B6F">
        <w:rPr>
          <w:rFonts w:eastAsia="Times New Roman" w:cstheme="minorHAnsi"/>
          <w:b/>
          <w:bCs/>
          <w:color w:val="4A4A4A"/>
          <w:sz w:val="21"/>
          <w:szCs w:val="21"/>
          <w:lang w:eastAsia="en-GB"/>
        </w:rPr>
        <w:t>)</w:t>
      </w:r>
    </w:p>
    <w:p w14:paraId="773F63CF" w14:textId="77777777" w:rsidR="006C4BFD" w:rsidRPr="00645B6F" w:rsidRDefault="006C4BFD" w:rsidP="00A11A20">
      <w:pPr>
        <w:spacing w:after="0"/>
        <w:jc w:val="both"/>
        <w:rPr>
          <w:rFonts w:eastAsia="Times New Roman" w:cstheme="minorHAnsi"/>
          <w:b/>
          <w:bCs/>
          <w:color w:val="4A4A4A"/>
          <w:sz w:val="21"/>
          <w:szCs w:val="21"/>
          <w:lang w:eastAsia="en-GB"/>
        </w:rPr>
      </w:pPr>
    </w:p>
    <w:p w14:paraId="441CFE50" w14:textId="77777777" w:rsidR="00AF2722" w:rsidRPr="00A96255" w:rsidRDefault="00AF2722" w:rsidP="00AF2722">
      <w:pPr>
        <w:pStyle w:val="MIndHeader2"/>
      </w:pPr>
      <w:r w:rsidRPr="00A96255">
        <w:t xml:space="preserve">0. Indicator information </w:t>
      </w:r>
      <w:r>
        <w:rPr>
          <w:color w:val="B4B4B4"/>
          <w:sz w:val="20"/>
        </w:rPr>
        <w:t>(SDG_INDICATOR_INFO)</w:t>
      </w:r>
    </w:p>
    <w:p w14:paraId="043ED752" w14:textId="2755169C" w:rsidR="00D24330" w:rsidRPr="00645B6F" w:rsidRDefault="00AF2722" w:rsidP="00AF2722">
      <w:pPr>
        <w:pStyle w:val="MIndHeader"/>
        <w:jc w:val="both"/>
        <w:rPr>
          <w:rFonts w:cstheme="minorHAnsi"/>
        </w:rPr>
      </w:pPr>
      <w:r w:rsidRPr="00A96255">
        <w:t xml:space="preserve">0.a. Goal </w:t>
      </w:r>
      <w:r>
        <w:rPr>
          <w:color w:val="B4B4B4"/>
          <w:sz w:val="20"/>
        </w:rPr>
        <w:t>(SDG_GOAL)</w:t>
      </w:r>
    </w:p>
    <w:p w14:paraId="0C615824" w14:textId="63B4AB6A" w:rsidR="00D24330" w:rsidRPr="00645B6F" w:rsidRDefault="00C84CA9" w:rsidP="00A11A20">
      <w:pPr>
        <w:pStyle w:val="MGTHeader"/>
        <w:jc w:val="both"/>
        <w:rPr>
          <w:rFonts w:cstheme="minorHAnsi"/>
        </w:rPr>
      </w:pPr>
      <w:r w:rsidRPr="00645B6F">
        <w:rPr>
          <w:rFonts w:cstheme="minorHAnsi"/>
        </w:rPr>
        <w:t>Goal 3: Ensure healthy lives and promote well-being for all at all ages</w:t>
      </w:r>
    </w:p>
    <w:p w14:paraId="4DCBDCF2" w14:textId="77777777" w:rsidR="00AF2722" w:rsidRPr="00A96255" w:rsidRDefault="00AF2722" w:rsidP="00AF2722">
      <w:pPr>
        <w:pStyle w:val="MIndHeader"/>
      </w:pPr>
      <w:r w:rsidRPr="00A96255">
        <w:t xml:space="preserve">0.b. Target </w:t>
      </w:r>
      <w:r>
        <w:rPr>
          <w:color w:val="B4B4B4"/>
          <w:sz w:val="20"/>
        </w:rPr>
        <w:t>(SDG_TARGET)</w:t>
      </w:r>
    </w:p>
    <w:p w14:paraId="4F5426BE" w14:textId="1F9FC209" w:rsidR="079274F7" w:rsidRDefault="079274F7" w:rsidP="00A11A20">
      <w:pPr>
        <w:pStyle w:val="MGTHeader"/>
        <w:jc w:val="both"/>
        <w:rPr>
          <w:rFonts w:ascii="Calibri" w:hAnsi="Calibri"/>
        </w:rPr>
      </w:pPr>
      <w:r w:rsidRPr="3208B904">
        <w:rPr>
          <w:rFonts w:ascii="Calibri" w:eastAsia="Calibri" w:hAnsi="Calibri" w:cs="Calibri"/>
          <w:color w:val="444444"/>
        </w:rPr>
        <w:t>Target 3.8: Achieve universal health coverage, including financial risk protection, access to quality essential health-care services and access to safe, effective, quality and affordable essential medicines and vaccines for all</w:t>
      </w:r>
    </w:p>
    <w:p w14:paraId="177998B2" w14:textId="77777777" w:rsidR="00AF2722" w:rsidRPr="00A96255" w:rsidRDefault="00AF2722" w:rsidP="00AF2722">
      <w:pPr>
        <w:pStyle w:val="MIndHeader"/>
      </w:pPr>
      <w:r w:rsidRPr="00A96255">
        <w:t xml:space="preserve">0.c. Indicator </w:t>
      </w:r>
      <w:r>
        <w:rPr>
          <w:color w:val="B4B4B4"/>
          <w:sz w:val="20"/>
        </w:rPr>
        <w:t>(SDG_INDICATOR)</w:t>
      </w:r>
    </w:p>
    <w:p w14:paraId="07BCEAC6" w14:textId="5C3A2BE6" w:rsidR="003831E0" w:rsidRDefault="00AF2722" w:rsidP="00AF2722">
      <w:pPr>
        <w:pStyle w:val="MGTHeader"/>
        <w:rPr>
          <w:rFonts w:ascii="Calibri" w:hAnsi="Calibri"/>
        </w:rPr>
      </w:pPr>
      <w:r>
        <w:rPr>
          <w:rFonts w:ascii="Calibri" w:eastAsia="Calibri" w:hAnsi="Calibri" w:cs="Calibri"/>
          <w:color w:val="444444"/>
        </w:rPr>
        <w:t xml:space="preserve">Indicator </w:t>
      </w:r>
      <w:r w:rsidRPr="00AF2722">
        <w:rPr>
          <w:rFonts w:ascii="Calibri" w:eastAsia="Calibri" w:hAnsi="Calibri" w:cs="Calibri"/>
          <w:color w:val="444444"/>
        </w:rPr>
        <w:t>3.8.2</w:t>
      </w:r>
      <w:r>
        <w:rPr>
          <w:rFonts w:ascii="Calibri" w:eastAsia="Calibri" w:hAnsi="Calibri" w:cs="Calibri"/>
          <w:color w:val="444444"/>
        </w:rPr>
        <w:t>:</w:t>
      </w:r>
      <w:r w:rsidRPr="00AF2722">
        <w:rPr>
          <w:rFonts w:ascii="Calibri" w:eastAsia="Calibri" w:hAnsi="Calibri" w:cs="Calibri"/>
          <w:color w:val="444444"/>
        </w:rPr>
        <w:t xml:space="preserve"> Proportion of population with large household expenditures on health as a share of total household expenditure or income</w:t>
      </w:r>
    </w:p>
    <w:p w14:paraId="4651F994" w14:textId="77777777" w:rsidR="00AF2722" w:rsidRPr="00A96255" w:rsidRDefault="00AF2722" w:rsidP="00AF2722">
      <w:pPr>
        <w:pStyle w:val="MIndHeader"/>
      </w:pPr>
      <w:r w:rsidRPr="00A96255">
        <w:t xml:space="preserve">0.d. Series </w:t>
      </w:r>
      <w:r>
        <w:rPr>
          <w:color w:val="B4B4B4"/>
          <w:sz w:val="20"/>
        </w:rPr>
        <w:t>(SDG_SERIES_DESCR)</w:t>
      </w:r>
    </w:p>
    <w:p w14:paraId="51E08406" w14:textId="77777777" w:rsidR="00AF2722" w:rsidRPr="00A95912" w:rsidRDefault="00AF2722" w:rsidP="00AF2722">
      <w:pPr>
        <w:pStyle w:val="MGTHeader"/>
      </w:pPr>
      <w:r>
        <w:t xml:space="preserve"> </w:t>
      </w:r>
    </w:p>
    <w:p w14:paraId="2D35AB2E" w14:textId="77777777" w:rsidR="00AF2722" w:rsidRPr="00A96255" w:rsidRDefault="00AF2722" w:rsidP="00AF2722">
      <w:pPr>
        <w:pStyle w:val="MIndHeader"/>
      </w:pPr>
      <w:r w:rsidRPr="00A96255">
        <w:t xml:space="preserve">0.e. Metadata update </w:t>
      </w:r>
      <w:r>
        <w:rPr>
          <w:color w:val="B4B4B4"/>
          <w:sz w:val="20"/>
        </w:rPr>
        <w:t>(META_LAST_UPDATE)</w:t>
      </w:r>
    </w:p>
    <w:sdt>
      <w:sdtPr>
        <w:rPr>
          <w:rFonts w:cstheme="minorHAnsi"/>
        </w:rPr>
        <w:id w:val="-786898600"/>
        <w:placeholder>
          <w:docPart w:val="DefaultPlaceholder_-1854013437"/>
        </w:placeholder>
        <w:date w:fullDate="2025-07-14T00:00:00Z">
          <w:dateFormat w:val="yyyy-MM-dd"/>
          <w:lid w:val="en-US"/>
          <w:storeMappedDataAs w:val="dateTime"/>
          <w:calendar w:val="gregorian"/>
        </w:date>
      </w:sdtPr>
      <w:sdtContent>
        <w:p w14:paraId="67A29B50" w14:textId="3F0E87F6" w:rsidR="007B0221" w:rsidRDefault="00AF2722" w:rsidP="00F65305">
          <w:pPr>
            <w:pStyle w:val="MGTHeader"/>
            <w:jc w:val="both"/>
            <w:rPr>
              <w:rFonts w:cstheme="minorHAnsi"/>
            </w:rPr>
          </w:pPr>
          <w:r>
            <w:rPr>
              <w:rFonts w:cstheme="minorHAnsi"/>
              <w:lang w:val="en-US"/>
            </w:rPr>
            <w:t>2025-07-14</w:t>
          </w:r>
        </w:p>
      </w:sdtContent>
    </w:sdt>
    <w:p w14:paraId="14E41FC1" w14:textId="77777777" w:rsidR="00AF2722" w:rsidRPr="00A96255" w:rsidRDefault="00AF2722" w:rsidP="00AF2722">
      <w:pPr>
        <w:pStyle w:val="MIndHeader"/>
      </w:pPr>
      <w:r w:rsidRPr="00A96255">
        <w:t xml:space="preserve">0.f. Related indicators </w:t>
      </w:r>
      <w:r>
        <w:rPr>
          <w:color w:val="B4B4B4"/>
          <w:sz w:val="20"/>
        </w:rPr>
        <w:t>(SDG_RELATED_INDICATORS)</w:t>
      </w:r>
    </w:p>
    <w:p w14:paraId="1FC5327E" w14:textId="3A0A710E" w:rsidR="00321D4B" w:rsidRDefault="002632D5" w:rsidP="00A11A20">
      <w:pPr>
        <w:pStyle w:val="MGTHeader"/>
        <w:jc w:val="both"/>
        <w:rPr>
          <w:rFonts w:cstheme="minorHAnsi"/>
        </w:rPr>
      </w:pPr>
      <w:r w:rsidRPr="002632D5">
        <w:rPr>
          <w:rFonts w:cstheme="minorHAnsi"/>
        </w:rPr>
        <w:t>Financial hardship due to out-of-pocket</w:t>
      </w:r>
      <w:r w:rsidR="00D03C8A">
        <w:rPr>
          <w:rFonts w:cstheme="minorHAnsi"/>
        </w:rPr>
        <w:t xml:space="preserve"> (OOP)</w:t>
      </w:r>
      <w:r w:rsidRPr="002632D5">
        <w:rPr>
          <w:rFonts w:cstheme="minorHAnsi"/>
        </w:rPr>
        <w:t xml:space="preserve"> health spending is a key consequence of inadequate of financial risk protection mechanisms. </w:t>
      </w:r>
      <w:r w:rsidR="00BD232A">
        <w:rPr>
          <w:rFonts w:cstheme="minorHAnsi"/>
        </w:rPr>
        <w:t>SDG indicator 3.8.2 is d</w:t>
      </w:r>
      <w:r w:rsidR="00783BC7">
        <w:rPr>
          <w:rFonts w:cstheme="minorHAnsi"/>
        </w:rPr>
        <w:t>esigned to capture</w:t>
      </w:r>
      <w:r w:rsidR="00D03C8A">
        <w:rPr>
          <w:rFonts w:cstheme="minorHAnsi"/>
        </w:rPr>
        <w:t xml:space="preserve"> financial hardship due to </w:t>
      </w:r>
      <w:r w:rsidR="00AA31A8">
        <w:rPr>
          <w:rFonts w:cstheme="minorHAnsi"/>
        </w:rPr>
        <w:t>OOP health spending</w:t>
      </w:r>
      <w:r w:rsidR="002916C7">
        <w:rPr>
          <w:rFonts w:cstheme="minorHAnsi"/>
        </w:rPr>
        <w:t xml:space="preserve"> which hinders progress towards </w:t>
      </w:r>
      <w:r w:rsidR="00713D41">
        <w:rPr>
          <w:rFonts w:cstheme="minorHAnsi"/>
        </w:rPr>
        <w:t>t</w:t>
      </w:r>
      <w:r w:rsidR="00695D63" w:rsidRPr="00695D63">
        <w:rPr>
          <w:rFonts w:cstheme="minorHAnsi"/>
        </w:rPr>
        <w:t xml:space="preserve">he universal health coverage </w:t>
      </w:r>
      <w:r w:rsidR="00713D41">
        <w:rPr>
          <w:rFonts w:cstheme="minorHAnsi"/>
        </w:rPr>
        <w:t>target 3.8.</w:t>
      </w:r>
      <w:r w:rsidR="00695D63" w:rsidRPr="00695D63">
        <w:rPr>
          <w:rFonts w:cstheme="minorHAnsi"/>
        </w:rPr>
        <w:t xml:space="preserve"> </w:t>
      </w:r>
      <w:r w:rsidR="008A3B80">
        <w:rPr>
          <w:rFonts w:cstheme="minorHAnsi"/>
        </w:rPr>
        <w:t>It</w:t>
      </w:r>
      <w:r w:rsidR="00695D63" w:rsidRPr="00695D63">
        <w:rPr>
          <w:rFonts w:cstheme="minorHAnsi"/>
        </w:rPr>
        <w:t xml:space="preserve"> should always be interpreted together with the other SDG UHC indicator, </w:t>
      </w:r>
      <w:r w:rsidR="001E782E" w:rsidRPr="00645B6F">
        <w:rPr>
          <w:rFonts w:cstheme="minorHAnsi"/>
        </w:rPr>
        <w:t>SDG</w:t>
      </w:r>
      <w:r w:rsidR="00321D4B">
        <w:rPr>
          <w:rFonts w:cstheme="minorHAnsi"/>
        </w:rPr>
        <w:t xml:space="preserve"> UHC</w:t>
      </w:r>
      <w:r w:rsidR="001E782E" w:rsidRPr="00645B6F">
        <w:rPr>
          <w:rFonts w:cstheme="minorHAnsi"/>
        </w:rPr>
        <w:t xml:space="preserve"> indicator</w:t>
      </w:r>
      <w:r w:rsidR="00321D4B">
        <w:rPr>
          <w:rFonts w:cstheme="minorHAnsi"/>
        </w:rPr>
        <w:t>,</w:t>
      </w:r>
      <w:r w:rsidR="001E782E" w:rsidRPr="00645B6F">
        <w:rPr>
          <w:rFonts w:cstheme="minorHAnsi"/>
        </w:rPr>
        <w:t xml:space="preserve"> </w:t>
      </w:r>
      <w:r w:rsidR="00C56417" w:rsidRPr="00645B6F">
        <w:rPr>
          <w:rFonts w:cstheme="minorHAnsi"/>
        </w:rPr>
        <w:t>3.8.1,</w:t>
      </w:r>
      <w:r w:rsidR="001E782E" w:rsidRPr="00645B6F">
        <w:rPr>
          <w:rFonts w:cstheme="minorHAnsi"/>
        </w:rPr>
        <w:t xml:space="preserve"> </w:t>
      </w:r>
      <w:r w:rsidR="00321D4B" w:rsidRPr="00695D63">
        <w:rPr>
          <w:rFonts w:cstheme="minorHAnsi"/>
        </w:rPr>
        <w:t xml:space="preserve">which measures </w:t>
      </w:r>
      <w:r w:rsidR="00321D4B">
        <w:rPr>
          <w:rFonts w:cstheme="minorHAnsi"/>
        </w:rPr>
        <w:t>service coverage</w:t>
      </w:r>
      <w:r w:rsidR="00321D4B" w:rsidRPr="00695D63">
        <w:rPr>
          <w:rFonts w:cstheme="minorHAnsi"/>
        </w:rPr>
        <w:t>.</w:t>
      </w:r>
    </w:p>
    <w:p w14:paraId="14BD582C" w14:textId="6DA685A2" w:rsidR="0013781F" w:rsidRDefault="008857C3" w:rsidP="00A11A20">
      <w:pPr>
        <w:pStyle w:val="MGTHeader"/>
        <w:jc w:val="both"/>
        <w:rPr>
          <w:rFonts w:cstheme="minorHAnsi"/>
        </w:rPr>
      </w:pPr>
      <w:r>
        <w:rPr>
          <w:rFonts w:cstheme="minorHAnsi"/>
        </w:rPr>
        <w:t>Financial hardship induced by OOP health spending also deters efforts to eradicate poverty and reduce inequalities between and within countries and as such other relevant SDG indicators include</w:t>
      </w:r>
      <w:r w:rsidR="00C56417">
        <w:rPr>
          <w:rFonts w:cstheme="minorHAnsi"/>
        </w:rPr>
        <w:t xml:space="preserve"> </w:t>
      </w:r>
      <w:r w:rsidR="00C56417" w:rsidRPr="00645B6F">
        <w:rPr>
          <w:rFonts w:cstheme="minorHAnsi"/>
        </w:rPr>
        <w:t>1.1.1;</w:t>
      </w:r>
      <w:r w:rsidR="00383ECF" w:rsidRPr="00645B6F">
        <w:rPr>
          <w:rFonts w:cstheme="minorHAnsi"/>
        </w:rPr>
        <w:t xml:space="preserve"> </w:t>
      </w:r>
      <w:r w:rsidR="001E782E" w:rsidRPr="00645B6F">
        <w:rPr>
          <w:rFonts w:cstheme="minorHAnsi"/>
        </w:rPr>
        <w:t>1.2.1</w:t>
      </w:r>
      <w:r w:rsidR="00383ECF">
        <w:rPr>
          <w:rFonts w:cstheme="minorHAnsi"/>
        </w:rPr>
        <w:t xml:space="preserve">; </w:t>
      </w:r>
      <w:r w:rsidR="00C006EE">
        <w:rPr>
          <w:rFonts w:cstheme="minorHAnsi"/>
        </w:rPr>
        <w:t>10.1.1; 10.2.1</w:t>
      </w:r>
    </w:p>
    <w:p w14:paraId="77A621A7" w14:textId="77777777" w:rsidR="00AF2722" w:rsidRPr="00A96255" w:rsidRDefault="00AF2722" w:rsidP="00AF2722">
      <w:pPr>
        <w:pStyle w:val="MIndHeader"/>
      </w:pPr>
      <w:r w:rsidRPr="00A96255">
        <w:t xml:space="preserve">0.g. International organisations(s) responsible for global monitoring </w:t>
      </w:r>
      <w:r>
        <w:rPr>
          <w:color w:val="B4B4B4"/>
          <w:sz w:val="20"/>
        </w:rPr>
        <w:t>(SDG_CUSTODIAN_AGENCIES)</w:t>
      </w:r>
    </w:p>
    <w:p w14:paraId="0393368E" w14:textId="74BC5662" w:rsidR="00621893" w:rsidRPr="00645B6F" w:rsidRDefault="00645B6F" w:rsidP="00A11A20">
      <w:pPr>
        <w:pStyle w:val="MGTHeader"/>
        <w:jc w:val="both"/>
        <w:rPr>
          <w:rFonts w:cstheme="minorHAnsi"/>
          <w:color w:val="4A4A4A"/>
        </w:rPr>
      </w:pPr>
      <w:r w:rsidRPr="00645B6F">
        <w:rPr>
          <w:rFonts w:cstheme="minorHAnsi"/>
        </w:rPr>
        <w:t>World Health Organization (WHO)</w:t>
      </w:r>
      <w:r w:rsidR="000E0A94">
        <w:rPr>
          <w:rFonts w:cstheme="minorHAnsi"/>
        </w:rPr>
        <w:t xml:space="preserve"> and the World Bank</w:t>
      </w:r>
    </w:p>
    <w:p w14:paraId="19F29921" w14:textId="77777777" w:rsidR="008D1D39" w:rsidRPr="00645B6F" w:rsidRDefault="008D1D39" w:rsidP="00A11A20">
      <w:pPr>
        <w:shd w:val="clear" w:color="auto" w:fill="FFFFFF"/>
        <w:spacing w:after="0"/>
        <w:jc w:val="both"/>
        <w:rPr>
          <w:rFonts w:eastAsia="Times New Roman" w:cstheme="minorHAnsi"/>
          <w:color w:val="4A4A4A"/>
          <w:sz w:val="21"/>
          <w:szCs w:val="21"/>
          <w:lang w:eastAsia="en-GB"/>
        </w:rPr>
      </w:pPr>
    </w:p>
    <w:p w14:paraId="6396F845" w14:textId="77777777" w:rsidR="00AF2722" w:rsidRPr="00EA05D3" w:rsidRDefault="00AF2722" w:rsidP="00AF2722">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3B90E566" w:rsidR="00576CFA" w:rsidRPr="00645B6F" w:rsidRDefault="00AF2722" w:rsidP="00AF2722">
      <w:pPr>
        <w:pStyle w:val="MHeader2"/>
        <w:rPr>
          <w:rFonts w:cstheme="minorHAnsi"/>
        </w:rPr>
      </w:pPr>
      <w:r w:rsidRPr="00A96255">
        <w:t xml:space="preserve">1.a. Organisation </w:t>
      </w:r>
      <w:r>
        <w:rPr>
          <w:color w:val="B4B4B4"/>
          <w:sz w:val="20"/>
        </w:rPr>
        <w:t>(CONTACT_ORGANISATION)</w:t>
      </w:r>
    </w:p>
    <w:p w14:paraId="065F26D2" w14:textId="026CC582" w:rsidR="00576CFA" w:rsidRPr="00645B6F" w:rsidRDefault="00645B6F" w:rsidP="00A11A20">
      <w:pPr>
        <w:pStyle w:val="MText"/>
        <w:jc w:val="both"/>
        <w:rPr>
          <w:rFonts w:cstheme="minorHAnsi"/>
        </w:rPr>
      </w:pPr>
      <w:r w:rsidRPr="00645B6F">
        <w:rPr>
          <w:rFonts w:cstheme="minorHAnsi"/>
        </w:rPr>
        <w:t>World Health Organization (WHO)</w:t>
      </w:r>
    </w:p>
    <w:p w14:paraId="6E829FD0" w14:textId="2439F30A" w:rsidR="00F719A8" w:rsidRPr="00645B6F" w:rsidRDefault="00F719A8" w:rsidP="00A11A20">
      <w:pPr>
        <w:pStyle w:val="MText"/>
        <w:jc w:val="both"/>
        <w:rPr>
          <w:rFonts w:cstheme="minorHAnsi"/>
        </w:rPr>
      </w:pPr>
    </w:p>
    <w:p w14:paraId="3562A0D2" w14:textId="77777777" w:rsidR="00AF2722" w:rsidRPr="00A96255" w:rsidRDefault="00AF2722" w:rsidP="00AF2722">
      <w:pPr>
        <w:pStyle w:val="MHeader"/>
      </w:pPr>
      <w:r w:rsidRPr="00A96255">
        <w:t xml:space="preserve">2. Definition, concepts, and classifications </w:t>
      </w:r>
      <w:r>
        <w:rPr>
          <w:color w:val="B4B4B4"/>
          <w:sz w:val="20"/>
        </w:rPr>
        <w:t>(IND_DEF_CON_CLASS)</w:t>
      </w:r>
    </w:p>
    <w:p w14:paraId="2AC373EA" w14:textId="07AF7367" w:rsidR="008B0AC7" w:rsidRPr="00AF2722" w:rsidRDefault="00AF2722" w:rsidP="00AF2722">
      <w:pPr>
        <w:pStyle w:val="MHeader2"/>
      </w:pPr>
      <w:r w:rsidRPr="00A96255">
        <w:t xml:space="preserve">2.a. Definition and concepts </w:t>
      </w:r>
      <w:r>
        <w:rPr>
          <w:color w:val="B4B4B4"/>
          <w:sz w:val="20"/>
        </w:rPr>
        <w:t>(STAT_CONC_DEF)</w:t>
      </w:r>
    </w:p>
    <w:p w14:paraId="095B98EC" w14:textId="77777777" w:rsidR="00B55A32" w:rsidRDefault="00B55A32" w:rsidP="00A11A20">
      <w:pPr>
        <w:shd w:val="clear" w:color="auto" w:fill="FFFFFF"/>
        <w:spacing w:after="0"/>
        <w:jc w:val="both"/>
        <w:rPr>
          <w:rFonts w:eastAsia="Times New Roman" w:cstheme="minorHAnsi"/>
          <w:b/>
          <w:bCs/>
          <w:color w:val="4A4A4A"/>
          <w:sz w:val="21"/>
          <w:szCs w:val="21"/>
          <w:lang w:eastAsia="en-GB"/>
        </w:rPr>
      </w:pPr>
      <w:r w:rsidRPr="00645B6F">
        <w:rPr>
          <w:rFonts w:eastAsia="Times New Roman" w:cstheme="minorHAnsi"/>
          <w:b/>
          <w:bCs/>
          <w:color w:val="4A4A4A"/>
          <w:sz w:val="21"/>
          <w:szCs w:val="21"/>
          <w:lang w:eastAsia="en-GB"/>
        </w:rPr>
        <w:t>Definition:</w:t>
      </w:r>
    </w:p>
    <w:p w14:paraId="5B5894DC" w14:textId="6CCAF8E1" w:rsidR="00B55A32" w:rsidRDefault="00B55A32" w:rsidP="00A11A20">
      <w:pPr>
        <w:shd w:val="clear" w:color="auto" w:fill="FFFFFF"/>
        <w:spacing w:after="0"/>
        <w:jc w:val="both"/>
        <w:rPr>
          <w:rFonts w:eastAsia="Times New Roman" w:cstheme="minorHAnsi"/>
          <w:color w:val="4A4A4A"/>
          <w:sz w:val="21"/>
          <w:szCs w:val="21"/>
          <w:shd w:val="clear" w:color="auto" w:fill="FFFFFF"/>
          <w:lang w:eastAsia="en-GB"/>
        </w:rPr>
      </w:pPr>
      <w:r w:rsidRPr="00645B6F">
        <w:rPr>
          <w:rFonts w:eastAsia="Times New Roman" w:cstheme="minorHAnsi"/>
          <w:color w:val="4A4A4A"/>
          <w:sz w:val="21"/>
          <w:szCs w:val="21"/>
          <w:shd w:val="clear" w:color="auto" w:fill="FFFFFF"/>
          <w:lang w:eastAsia="en-GB"/>
        </w:rPr>
        <w:t xml:space="preserve">Proportion of the population with </w:t>
      </w:r>
      <w:r w:rsidR="0073003A">
        <w:rPr>
          <w:rFonts w:eastAsia="Times New Roman" w:cstheme="minorHAnsi"/>
          <w:color w:val="4A4A4A"/>
          <w:sz w:val="21"/>
          <w:szCs w:val="21"/>
          <w:shd w:val="clear" w:color="auto" w:fill="FFFFFF"/>
          <w:lang w:eastAsia="en-GB"/>
        </w:rPr>
        <w:t>positive out-of-pocket</w:t>
      </w:r>
      <w:r w:rsidR="0073003A" w:rsidRPr="00645B6F">
        <w:rPr>
          <w:rFonts w:eastAsia="Times New Roman" w:cstheme="minorHAnsi"/>
          <w:color w:val="4A4A4A"/>
          <w:sz w:val="21"/>
          <w:szCs w:val="21"/>
          <w:shd w:val="clear" w:color="auto" w:fill="FFFFFF"/>
          <w:lang w:eastAsia="en-GB"/>
        </w:rPr>
        <w:t xml:space="preserve"> </w:t>
      </w:r>
      <w:r w:rsidRPr="00645B6F">
        <w:rPr>
          <w:rFonts w:eastAsia="Times New Roman" w:cstheme="minorHAnsi"/>
          <w:color w:val="4A4A4A"/>
          <w:sz w:val="21"/>
          <w:szCs w:val="21"/>
          <w:shd w:val="clear" w:color="auto" w:fill="FFFFFF"/>
          <w:lang w:eastAsia="en-GB"/>
        </w:rPr>
        <w:t xml:space="preserve">household expenditure on health </w:t>
      </w:r>
      <w:r w:rsidR="00F8006C">
        <w:rPr>
          <w:rFonts w:eastAsia="Times New Roman" w:cstheme="minorHAnsi"/>
          <w:color w:val="4A4A4A"/>
          <w:sz w:val="21"/>
          <w:szCs w:val="21"/>
          <w:shd w:val="clear" w:color="auto" w:fill="FFFFFF"/>
          <w:lang w:eastAsia="en-GB"/>
        </w:rPr>
        <w:t xml:space="preserve">exceeding 40% </w:t>
      </w:r>
      <w:r w:rsidR="00A11A20">
        <w:rPr>
          <w:rFonts w:eastAsia="Times New Roman" w:cstheme="minorHAnsi"/>
          <w:color w:val="4A4A4A"/>
          <w:sz w:val="21"/>
          <w:szCs w:val="21"/>
          <w:shd w:val="clear" w:color="auto" w:fill="FFFFFF"/>
          <w:lang w:eastAsia="en-GB"/>
        </w:rPr>
        <w:t xml:space="preserve">of </w:t>
      </w:r>
      <w:r w:rsidR="00A11A20" w:rsidRPr="00645B6F">
        <w:rPr>
          <w:rFonts w:eastAsia="Times New Roman" w:cstheme="minorHAnsi"/>
          <w:color w:val="4A4A4A"/>
          <w:sz w:val="21"/>
          <w:szCs w:val="21"/>
          <w:shd w:val="clear" w:color="auto" w:fill="FFFFFF"/>
          <w:lang w:eastAsia="en-GB"/>
        </w:rPr>
        <w:t>household</w:t>
      </w:r>
      <w:r w:rsidRPr="00645B6F">
        <w:rPr>
          <w:rFonts w:eastAsia="Times New Roman" w:cstheme="minorHAnsi"/>
          <w:color w:val="4A4A4A"/>
          <w:sz w:val="21"/>
          <w:szCs w:val="21"/>
          <w:shd w:val="clear" w:color="auto" w:fill="FFFFFF"/>
          <w:lang w:eastAsia="en-GB"/>
        </w:rPr>
        <w:t xml:space="preserve"> </w:t>
      </w:r>
      <w:r w:rsidR="00F8006C">
        <w:rPr>
          <w:rFonts w:eastAsia="Times New Roman" w:cstheme="minorHAnsi"/>
          <w:color w:val="4A4A4A"/>
          <w:sz w:val="21"/>
          <w:szCs w:val="21"/>
          <w:shd w:val="clear" w:color="auto" w:fill="FFFFFF"/>
          <w:lang w:eastAsia="en-GB"/>
        </w:rPr>
        <w:t xml:space="preserve">discretionary budget. The discretionary household budget is defined as </w:t>
      </w:r>
      <w:r w:rsidR="00F8006C" w:rsidRPr="00645B6F">
        <w:rPr>
          <w:rFonts w:eastAsia="Times New Roman" w:cstheme="minorHAnsi"/>
          <w:color w:val="4A4A4A"/>
          <w:sz w:val="21"/>
          <w:szCs w:val="21"/>
          <w:shd w:val="clear" w:color="auto" w:fill="FFFFFF"/>
          <w:lang w:eastAsia="en-GB"/>
        </w:rPr>
        <w:t xml:space="preserve">total household </w:t>
      </w:r>
      <w:r w:rsidR="00F8006C">
        <w:rPr>
          <w:rFonts w:eastAsia="Times New Roman" w:cstheme="minorHAnsi"/>
          <w:color w:val="4A4A4A"/>
          <w:sz w:val="21"/>
          <w:szCs w:val="21"/>
          <w:shd w:val="clear" w:color="auto" w:fill="FFFFFF"/>
          <w:lang w:eastAsia="en-GB"/>
        </w:rPr>
        <w:t xml:space="preserve">consumption </w:t>
      </w:r>
      <w:r w:rsidRPr="00645B6F">
        <w:rPr>
          <w:rFonts w:eastAsia="Times New Roman" w:cstheme="minorHAnsi"/>
          <w:color w:val="4A4A4A"/>
          <w:sz w:val="21"/>
          <w:szCs w:val="21"/>
          <w:shd w:val="clear" w:color="auto" w:fill="FFFFFF"/>
          <w:lang w:eastAsia="en-GB"/>
        </w:rPr>
        <w:t>expenditure or income</w:t>
      </w:r>
      <w:r w:rsidR="00F8006C" w:rsidRPr="00F8006C">
        <w:rPr>
          <w:rFonts w:eastAsia="Times New Roman" w:cstheme="minorHAnsi"/>
          <w:color w:val="4A4A4A"/>
          <w:sz w:val="21"/>
          <w:szCs w:val="21"/>
          <w:shd w:val="clear" w:color="auto" w:fill="FFFFFF"/>
          <w:lang w:eastAsia="en-GB"/>
        </w:rPr>
        <w:t xml:space="preserve"> </w:t>
      </w:r>
      <w:r w:rsidR="00F8006C">
        <w:rPr>
          <w:rFonts w:eastAsia="Times New Roman" w:cstheme="minorHAnsi"/>
          <w:color w:val="4A4A4A"/>
          <w:sz w:val="21"/>
          <w:szCs w:val="21"/>
          <w:shd w:val="clear" w:color="auto" w:fill="FFFFFF"/>
          <w:lang w:eastAsia="en-GB"/>
        </w:rPr>
        <w:t>minus the</w:t>
      </w:r>
      <w:r w:rsidR="00446976">
        <w:rPr>
          <w:rFonts w:eastAsia="Times New Roman" w:cstheme="minorHAnsi"/>
          <w:color w:val="4A4A4A"/>
          <w:sz w:val="21"/>
          <w:szCs w:val="21"/>
          <w:shd w:val="clear" w:color="auto" w:fill="FFFFFF"/>
          <w:lang w:eastAsia="en-GB"/>
        </w:rPr>
        <w:t xml:space="preserve"> </w:t>
      </w:r>
      <w:r w:rsidR="00F8006C">
        <w:rPr>
          <w:rFonts w:eastAsia="Times New Roman" w:cstheme="minorHAnsi"/>
          <w:color w:val="4A4A4A"/>
          <w:sz w:val="21"/>
          <w:szCs w:val="21"/>
          <w:shd w:val="clear" w:color="auto" w:fill="FFFFFF"/>
          <w:lang w:eastAsia="en-GB"/>
        </w:rPr>
        <w:t xml:space="preserve">societal poverty line </w:t>
      </w:r>
      <w:r w:rsidR="00F8006C" w:rsidRPr="00674A20">
        <w:rPr>
          <w:rFonts w:eastAsia="Times New Roman" w:cstheme="minorHAnsi"/>
          <w:color w:val="4A4A4A"/>
          <w:sz w:val="21"/>
          <w:szCs w:val="21"/>
          <w:shd w:val="clear" w:color="auto" w:fill="FFFFFF"/>
          <w:lang w:eastAsia="en-GB"/>
        </w:rPr>
        <w:t>(SPL).</w:t>
      </w:r>
      <w:r w:rsidR="00480F5D">
        <w:rPr>
          <w:rFonts w:eastAsia="Times New Roman" w:cstheme="minorHAnsi"/>
          <w:color w:val="4A4A4A"/>
          <w:sz w:val="21"/>
          <w:szCs w:val="21"/>
          <w:shd w:val="clear" w:color="auto" w:fill="FFFFFF"/>
          <w:lang w:eastAsia="en-GB"/>
        </w:rPr>
        <w:t xml:space="preserve"> </w:t>
      </w:r>
      <w:r w:rsidR="00BD7B27">
        <w:rPr>
          <w:rFonts w:eastAsia="Times New Roman" w:cstheme="minorHAnsi"/>
          <w:color w:val="4A4A4A"/>
          <w:sz w:val="21"/>
          <w:szCs w:val="21"/>
          <w:shd w:val="clear" w:color="auto" w:fill="FFFFFF"/>
          <w:lang w:eastAsia="en-GB"/>
        </w:rPr>
        <w:t>Using</w:t>
      </w:r>
      <w:r w:rsidR="00F8006C" w:rsidRPr="00674A20">
        <w:rPr>
          <w:rFonts w:eastAsia="Times New Roman" w:cstheme="minorHAnsi"/>
          <w:color w:val="4A4A4A"/>
          <w:sz w:val="21"/>
          <w:szCs w:val="21"/>
          <w:shd w:val="clear" w:color="auto" w:fill="FFFFFF"/>
          <w:lang w:eastAsia="en-GB"/>
        </w:rPr>
        <w:t xml:space="preserve"> 2017</w:t>
      </w:r>
      <w:r w:rsidR="00BD7B27">
        <w:rPr>
          <w:rFonts w:eastAsia="Times New Roman" w:cstheme="minorHAnsi"/>
          <w:color w:val="4A4A4A"/>
          <w:sz w:val="21"/>
          <w:szCs w:val="21"/>
          <w:shd w:val="clear" w:color="auto" w:fill="FFFFFF"/>
          <w:lang w:eastAsia="en-GB"/>
        </w:rPr>
        <w:t xml:space="preserve"> purchasing power </w:t>
      </w:r>
      <w:r w:rsidR="00BD7B27">
        <w:rPr>
          <w:rFonts w:eastAsia="Times New Roman" w:cstheme="minorHAnsi"/>
          <w:color w:val="4A4A4A"/>
          <w:sz w:val="21"/>
          <w:szCs w:val="21"/>
          <w:shd w:val="clear" w:color="auto" w:fill="FFFFFF"/>
          <w:lang w:eastAsia="en-GB"/>
        </w:rPr>
        <w:lastRenderedPageBreak/>
        <w:t>parities</w:t>
      </w:r>
      <w:r w:rsidR="00327B51">
        <w:rPr>
          <w:rFonts w:eastAsia="Times New Roman" w:cstheme="minorHAnsi"/>
          <w:color w:val="4A4A4A"/>
          <w:sz w:val="21"/>
          <w:szCs w:val="21"/>
          <w:shd w:val="clear" w:color="auto" w:fill="FFFFFF"/>
          <w:lang w:eastAsia="en-GB"/>
        </w:rPr>
        <w:t xml:space="preserve"> (PPPs)</w:t>
      </w:r>
      <w:r w:rsidR="00F8006C" w:rsidRPr="00674A20">
        <w:rPr>
          <w:rFonts w:eastAsia="Times New Roman" w:cstheme="minorHAnsi"/>
          <w:color w:val="4A4A4A"/>
          <w:sz w:val="21"/>
          <w:szCs w:val="21"/>
          <w:shd w:val="clear" w:color="auto" w:fill="FFFFFF"/>
          <w:lang w:eastAsia="en-GB"/>
        </w:rPr>
        <w:t>, the SPL corresponds to</w:t>
      </w:r>
      <w:r w:rsidR="00F8006C">
        <w:rPr>
          <w:rFonts w:eastAsia="Times New Roman" w:cstheme="minorHAnsi"/>
          <w:color w:val="4A4A4A"/>
          <w:sz w:val="21"/>
          <w:szCs w:val="21"/>
          <w:shd w:val="clear" w:color="auto" w:fill="FFFFFF"/>
          <w:lang w:eastAsia="en-GB"/>
        </w:rPr>
        <w:t xml:space="preserve"> </w:t>
      </w:r>
      <w:r w:rsidR="009A3E43">
        <w:rPr>
          <w:rFonts w:eastAsia="Times New Roman" w:cstheme="minorHAnsi"/>
          <w:color w:val="4A4A4A"/>
          <w:sz w:val="21"/>
          <w:szCs w:val="21"/>
          <w:shd w:val="clear" w:color="auto" w:fill="FFFFFF"/>
          <w:lang w:eastAsia="en-GB"/>
        </w:rPr>
        <w:t>whichever is greater:</w:t>
      </w:r>
      <w:r w:rsidR="00F8006C">
        <w:rPr>
          <w:rFonts w:eastAsia="Times New Roman" w:cstheme="minorHAnsi"/>
          <w:color w:val="4A4A4A"/>
          <w:sz w:val="21"/>
          <w:szCs w:val="21"/>
          <w:shd w:val="clear" w:color="auto" w:fill="FFFFFF"/>
          <w:lang w:eastAsia="en-GB"/>
        </w:rPr>
        <w:t xml:space="preserve"> $2.15 (the </w:t>
      </w:r>
      <w:r w:rsidR="00F8006C" w:rsidRPr="00674A20">
        <w:rPr>
          <w:rFonts w:eastAsia="Times New Roman" w:cstheme="minorHAnsi"/>
          <w:color w:val="4A4A4A"/>
          <w:sz w:val="21"/>
          <w:szCs w:val="21"/>
          <w:shd w:val="clear" w:color="auto" w:fill="FFFFFF"/>
          <w:lang w:eastAsia="en-GB"/>
        </w:rPr>
        <w:t>international poverty line</w:t>
      </w:r>
      <w:r w:rsidR="00F8006C">
        <w:rPr>
          <w:rFonts w:eastAsia="Times New Roman" w:cstheme="minorHAnsi"/>
          <w:color w:val="4A4A4A"/>
          <w:sz w:val="21"/>
          <w:szCs w:val="21"/>
          <w:shd w:val="clear" w:color="auto" w:fill="FFFFFF"/>
          <w:lang w:eastAsia="en-GB"/>
        </w:rPr>
        <w:t>)</w:t>
      </w:r>
      <w:r w:rsidR="007C2D8F">
        <w:rPr>
          <w:rFonts w:eastAsia="Times New Roman" w:cstheme="minorHAnsi"/>
          <w:color w:val="4A4A4A"/>
          <w:sz w:val="21"/>
          <w:szCs w:val="21"/>
          <w:shd w:val="clear" w:color="auto" w:fill="FFFFFF"/>
          <w:lang w:eastAsia="en-GB"/>
        </w:rPr>
        <w:t xml:space="preserve"> or </w:t>
      </w:r>
      <w:r w:rsidR="00F8006C" w:rsidRPr="00674A20">
        <w:rPr>
          <w:rFonts w:eastAsia="Times New Roman" w:cstheme="minorHAnsi"/>
          <w:color w:val="4A4A4A"/>
          <w:sz w:val="21"/>
          <w:szCs w:val="21"/>
          <w:shd w:val="clear" w:color="auto" w:fill="FFFFFF"/>
          <w:lang w:eastAsia="en-GB"/>
        </w:rPr>
        <w:t>$1.15</w:t>
      </w:r>
      <w:r w:rsidR="00F8006C">
        <w:rPr>
          <w:rFonts w:eastAsia="Times New Roman" w:cstheme="minorHAnsi"/>
          <w:color w:val="4A4A4A"/>
          <w:sz w:val="21"/>
          <w:szCs w:val="21"/>
          <w:shd w:val="clear" w:color="auto" w:fill="FFFFFF"/>
          <w:lang w:eastAsia="en-GB"/>
        </w:rPr>
        <w:t xml:space="preserve"> </w:t>
      </w:r>
      <w:r w:rsidR="00F8006C" w:rsidRPr="00674A20">
        <w:rPr>
          <w:rFonts w:eastAsia="Times New Roman" w:cstheme="minorHAnsi"/>
          <w:color w:val="4A4A4A"/>
          <w:sz w:val="21"/>
          <w:szCs w:val="21"/>
          <w:shd w:val="clear" w:color="auto" w:fill="FFFFFF"/>
          <w:lang w:eastAsia="en-GB"/>
        </w:rPr>
        <w:t>+</w:t>
      </w:r>
      <w:r w:rsidR="00F8006C">
        <w:rPr>
          <w:rFonts w:eastAsia="Times New Roman" w:cstheme="minorHAnsi"/>
          <w:color w:val="4A4A4A"/>
          <w:sz w:val="21"/>
          <w:szCs w:val="21"/>
          <w:shd w:val="clear" w:color="auto" w:fill="FFFFFF"/>
          <w:lang w:eastAsia="en-GB"/>
        </w:rPr>
        <w:t xml:space="preserve"> 50% of m</w:t>
      </w:r>
      <w:r w:rsidR="00F8006C" w:rsidRPr="00674A20">
        <w:rPr>
          <w:rFonts w:eastAsia="Times New Roman" w:cstheme="minorHAnsi"/>
          <w:color w:val="4A4A4A"/>
          <w:sz w:val="21"/>
          <w:szCs w:val="21"/>
          <w:shd w:val="clear" w:color="auto" w:fill="FFFFFF"/>
          <w:lang w:eastAsia="en-GB"/>
        </w:rPr>
        <w:t>edian household consumption expenditure or income</w:t>
      </w:r>
      <w:r w:rsidR="00F8006C">
        <w:rPr>
          <w:rFonts w:eastAsia="Times New Roman" w:cstheme="minorHAnsi"/>
          <w:color w:val="4A4A4A"/>
          <w:sz w:val="21"/>
          <w:szCs w:val="21"/>
          <w:shd w:val="clear" w:color="auto" w:fill="FFFFFF"/>
          <w:lang w:eastAsia="en-GB"/>
        </w:rPr>
        <w:t xml:space="preserve">, excluding out-of-pocket household expenditure on health. All amounts are measured </w:t>
      </w:r>
      <w:r w:rsidR="00DC06E2">
        <w:rPr>
          <w:rFonts w:eastAsia="Times New Roman" w:cstheme="minorHAnsi"/>
          <w:color w:val="4A4A4A"/>
          <w:sz w:val="21"/>
          <w:szCs w:val="21"/>
          <w:shd w:val="clear" w:color="auto" w:fill="FFFFFF"/>
          <w:lang w:eastAsia="en-GB"/>
        </w:rPr>
        <w:t>on a</w:t>
      </w:r>
      <w:r w:rsidR="00F8006C">
        <w:rPr>
          <w:rFonts w:eastAsia="Times New Roman" w:cstheme="minorHAnsi"/>
          <w:color w:val="4A4A4A"/>
          <w:sz w:val="21"/>
          <w:szCs w:val="21"/>
          <w:shd w:val="clear" w:color="auto" w:fill="FFFFFF"/>
          <w:lang w:eastAsia="en-GB"/>
        </w:rPr>
        <w:t xml:space="preserve"> per capita daily basis.</w:t>
      </w:r>
    </w:p>
    <w:p w14:paraId="70721C53" w14:textId="77777777" w:rsidR="007C4E42" w:rsidRPr="00645B6F" w:rsidRDefault="007C4E42" w:rsidP="00A11A20">
      <w:pPr>
        <w:shd w:val="clear" w:color="auto" w:fill="FFFFFF"/>
        <w:spacing w:after="0"/>
        <w:jc w:val="both"/>
        <w:rPr>
          <w:rFonts w:eastAsia="Times New Roman" w:cstheme="minorHAnsi"/>
          <w:b/>
          <w:bCs/>
          <w:color w:val="4A4A4A"/>
          <w:sz w:val="21"/>
          <w:szCs w:val="21"/>
          <w:lang w:eastAsia="en-GB"/>
        </w:rPr>
      </w:pPr>
    </w:p>
    <w:p w14:paraId="242EF07A" w14:textId="77777777" w:rsidR="00B55A32" w:rsidRPr="00645B6F" w:rsidRDefault="00B55A32" w:rsidP="00A11A20">
      <w:pPr>
        <w:shd w:val="clear" w:color="auto" w:fill="FFFFFF"/>
        <w:spacing w:after="0"/>
        <w:jc w:val="both"/>
        <w:rPr>
          <w:rFonts w:eastAsia="Times New Roman" w:cstheme="minorHAnsi"/>
          <w:b/>
          <w:bCs/>
          <w:color w:val="4A4A4A"/>
          <w:sz w:val="21"/>
          <w:szCs w:val="21"/>
          <w:lang w:eastAsia="en-GB"/>
        </w:rPr>
      </w:pPr>
      <w:r w:rsidRPr="00645B6F">
        <w:rPr>
          <w:rFonts w:eastAsia="Times New Roman" w:cstheme="minorHAnsi"/>
          <w:b/>
          <w:bCs/>
          <w:color w:val="4A4A4A"/>
          <w:sz w:val="21"/>
          <w:szCs w:val="21"/>
          <w:lang w:eastAsia="en-GB"/>
        </w:rPr>
        <w:t>Concepts:</w:t>
      </w:r>
    </w:p>
    <w:p w14:paraId="0051B18E" w14:textId="7DD70478" w:rsidR="00786630" w:rsidRDefault="00B55A32" w:rsidP="00A11A20">
      <w:pPr>
        <w:shd w:val="clear" w:color="auto" w:fill="FFFFFF"/>
        <w:spacing w:after="0"/>
        <w:jc w:val="both"/>
        <w:rPr>
          <w:rFonts w:eastAsia="Times New Roman" w:cstheme="minorHAnsi"/>
          <w:color w:val="4A4A4A"/>
          <w:sz w:val="21"/>
          <w:szCs w:val="21"/>
          <w:shd w:val="clear" w:color="auto" w:fill="FFFFFF"/>
          <w:lang w:eastAsia="en-GB"/>
        </w:rPr>
      </w:pPr>
      <w:r w:rsidRPr="00645B6F">
        <w:rPr>
          <w:rFonts w:eastAsia="Times New Roman" w:cstheme="minorHAnsi"/>
          <w:color w:val="4A4A4A"/>
          <w:sz w:val="21"/>
          <w:szCs w:val="21"/>
          <w:shd w:val="clear" w:color="auto" w:fill="FFFFFF"/>
          <w:lang w:eastAsia="en-GB"/>
        </w:rPr>
        <w:t xml:space="preserve">The two main concepts of interest are household expenditure on health and household </w:t>
      </w:r>
      <w:r w:rsidR="00D660AA">
        <w:rPr>
          <w:rFonts w:eastAsia="Times New Roman" w:cstheme="minorHAnsi"/>
          <w:color w:val="4A4A4A"/>
          <w:sz w:val="21"/>
          <w:szCs w:val="21"/>
          <w:shd w:val="clear" w:color="auto" w:fill="FFFFFF"/>
          <w:lang w:eastAsia="en-GB"/>
        </w:rPr>
        <w:t>discretionary budget.</w:t>
      </w:r>
    </w:p>
    <w:p w14:paraId="155B0388" w14:textId="77777777" w:rsidR="00A11A20" w:rsidRDefault="00A11A20" w:rsidP="00A11A20">
      <w:pPr>
        <w:shd w:val="clear" w:color="auto" w:fill="FFFFFF"/>
        <w:spacing w:after="0"/>
        <w:jc w:val="both"/>
        <w:rPr>
          <w:rFonts w:eastAsia="Times New Roman" w:cstheme="minorHAnsi"/>
          <w:color w:val="4A4A4A"/>
          <w:sz w:val="21"/>
          <w:szCs w:val="21"/>
          <w:lang w:eastAsia="en-GB"/>
        </w:rPr>
      </w:pPr>
    </w:p>
    <w:p w14:paraId="5180C885" w14:textId="60F65A63" w:rsidR="00B55A32" w:rsidRPr="004E157B" w:rsidRDefault="00E0106C" w:rsidP="00A11A20">
      <w:pPr>
        <w:shd w:val="clear" w:color="auto" w:fill="FFFFFF"/>
        <w:spacing w:after="0"/>
        <w:jc w:val="both"/>
        <w:rPr>
          <w:rFonts w:eastAsia="Times New Roman" w:cstheme="minorHAnsi"/>
          <w:b/>
          <w:bCs/>
          <w:i/>
          <w:iCs/>
          <w:color w:val="4A4A4A"/>
          <w:sz w:val="21"/>
          <w:szCs w:val="21"/>
          <w:u w:val="single"/>
          <w:lang w:eastAsia="en-GB"/>
        </w:rPr>
      </w:pPr>
      <w:r w:rsidRPr="004E157B">
        <w:rPr>
          <w:rFonts w:eastAsia="Times New Roman" w:cstheme="minorHAnsi"/>
          <w:b/>
          <w:bCs/>
          <w:i/>
          <w:iCs/>
          <w:color w:val="4A4A4A"/>
          <w:sz w:val="21"/>
          <w:szCs w:val="21"/>
          <w:u w:val="single"/>
          <w:lang w:eastAsia="en-GB"/>
        </w:rPr>
        <w:t xml:space="preserve">Out-of-pocket </w:t>
      </w:r>
      <w:r w:rsidR="00174AB7" w:rsidRPr="004E157B">
        <w:rPr>
          <w:rFonts w:eastAsia="Times New Roman" w:cstheme="minorHAnsi"/>
          <w:b/>
          <w:bCs/>
          <w:i/>
          <w:iCs/>
          <w:color w:val="4A4A4A"/>
          <w:sz w:val="21"/>
          <w:szCs w:val="21"/>
          <w:u w:val="single"/>
          <w:lang w:eastAsia="en-GB"/>
        </w:rPr>
        <w:t xml:space="preserve">household </w:t>
      </w:r>
      <w:r w:rsidRPr="004E157B">
        <w:rPr>
          <w:rFonts w:eastAsia="Times New Roman" w:cstheme="minorHAnsi"/>
          <w:b/>
          <w:bCs/>
          <w:i/>
          <w:iCs/>
          <w:color w:val="4A4A4A"/>
          <w:sz w:val="21"/>
          <w:szCs w:val="21"/>
          <w:u w:val="single"/>
          <w:lang w:eastAsia="en-GB"/>
        </w:rPr>
        <w:t>expenditure</w:t>
      </w:r>
      <w:r w:rsidR="00174AB7" w:rsidRPr="004E157B">
        <w:rPr>
          <w:rFonts w:eastAsia="Times New Roman" w:cstheme="minorHAnsi"/>
          <w:b/>
          <w:bCs/>
          <w:i/>
          <w:iCs/>
          <w:color w:val="4A4A4A"/>
          <w:sz w:val="21"/>
          <w:szCs w:val="21"/>
          <w:u w:val="single"/>
          <w:lang w:eastAsia="en-GB"/>
        </w:rPr>
        <w:t xml:space="preserve"> on health</w:t>
      </w:r>
    </w:p>
    <w:p w14:paraId="1F228CAD" w14:textId="54278649" w:rsidR="00B55A32" w:rsidRDefault="00174AB7"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Out-of-pocket h</w:t>
      </w:r>
      <w:r w:rsidR="00B55A32" w:rsidRPr="00645B6F">
        <w:rPr>
          <w:rFonts w:eastAsia="Times New Roman" w:cstheme="minorHAnsi"/>
          <w:color w:val="4A4A4A"/>
          <w:sz w:val="21"/>
          <w:szCs w:val="21"/>
          <w:lang w:eastAsia="en-GB"/>
        </w:rPr>
        <w:t>ousehold expenditure on health</w:t>
      </w:r>
      <w:r w:rsidR="007A4709">
        <w:rPr>
          <w:rFonts w:eastAsia="Times New Roman" w:cstheme="minorHAnsi"/>
          <w:color w:val="4A4A4A"/>
          <w:sz w:val="21"/>
          <w:szCs w:val="21"/>
          <w:lang w:eastAsia="en-GB"/>
        </w:rPr>
        <w:t xml:space="preserve"> follows the definition of </w:t>
      </w:r>
      <w:r w:rsidR="007A4709" w:rsidRPr="00D16F15">
        <w:rPr>
          <w:rFonts w:eastAsia="Times New Roman" w:cstheme="minorHAnsi"/>
          <w:color w:val="4A4A4A"/>
          <w:sz w:val="21"/>
          <w:szCs w:val="21"/>
          <w:lang w:eastAsia="en-GB"/>
        </w:rPr>
        <w:t>Out-Of-Pocket (OOP) payments in the classification of health care financing schemes (HF) of the international Classification for Health Accounts (ICHA).</w:t>
      </w:r>
      <w:r w:rsidR="007A4709">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 xml:space="preserve"> </w:t>
      </w:r>
      <w:r w:rsidR="00A273C1">
        <w:rPr>
          <w:rFonts w:eastAsia="Times New Roman" w:cstheme="minorHAnsi"/>
          <w:color w:val="4A4A4A"/>
          <w:sz w:val="21"/>
          <w:szCs w:val="21"/>
          <w:lang w:eastAsia="en-GB"/>
        </w:rPr>
        <w:t>It</w:t>
      </w:r>
      <w:r w:rsidR="004D2867">
        <w:rPr>
          <w:rFonts w:eastAsia="Times New Roman" w:cstheme="minorHAnsi"/>
          <w:color w:val="4A4A4A"/>
          <w:sz w:val="21"/>
          <w:szCs w:val="21"/>
          <w:lang w:eastAsia="en-GB"/>
        </w:rPr>
        <w:t xml:space="preserve"> include</w:t>
      </w:r>
      <w:r w:rsidR="00A273C1">
        <w:rPr>
          <w:rFonts w:eastAsia="Times New Roman" w:cstheme="minorHAnsi"/>
          <w:color w:val="4A4A4A"/>
          <w:sz w:val="21"/>
          <w:szCs w:val="21"/>
          <w:lang w:eastAsia="en-GB"/>
        </w:rPr>
        <w:t>s</w:t>
      </w:r>
      <w:r w:rsidR="00B55A32" w:rsidRPr="00645B6F">
        <w:rPr>
          <w:rFonts w:eastAsia="Times New Roman" w:cstheme="minorHAnsi"/>
          <w:color w:val="4A4A4A"/>
          <w:sz w:val="21"/>
          <w:szCs w:val="21"/>
          <w:lang w:eastAsia="en-GB"/>
        </w:rPr>
        <w:t xml:space="preserve"> any expenditure incurred at the </w:t>
      </w:r>
      <w:r w:rsidR="00B92263" w:rsidRPr="00645B6F">
        <w:rPr>
          <w:rFonts w:eastAsia="Times New Roman" w:cstheme="minorHAnsi"/>
          <w:color w:val="4A4A4A"/>
          <w:sz w:val="21"/>
          <w:szCs w:val="21"/>
          <w:lang w:eastAsia="en-GB"/>
        </w:rPr>
        <w:t>time-of-service</w:t>
      </w:r>
      <w:r w:rsidR="00B55A32" w:rsidRPr="00645B6F">
        <w:rPr>
          <w:rFonts w:eastAsia="Times New Roman" w:cstheme="minorHAnsi"/>
          <w:color w:val="4A4A4A"/>
          <w:sz w:val="21"/>
          <w:szCs w:val="21"/>
          <w:lang w:eastAsia="en-GB"/>
        </w:rPr>
        <w:t xml:space="preserve"> use to get any type of care (promotive, preventive, curative, rehabilitative, </w:t>
      </w:r>
      <w:r w:rsidR="00A11A20" w:rsidRPr="00645B6F">
        <w:rPr>
          <w:rFonts w:eastAsia="Times New Roman" w:cstheme="minorHAnsi"/>
          <w:color w:val="4A4A4A"/>
          <w:sz w:val="21"/>
          <w:szCs w:val="21"/>
          <w:lang w:eastAsia="en-GB"/>
        </w:rPr>
        <w:t>palliative,</w:t>
      </w:r>
      <w:r w:rsidR="00B55A32" w:rsidRPr="00645B6F">
        <w:rPr>
          <w:rFonts w:eastAsia="Times New Roman" w:cstheme="minorHAnsi"/>
          <w:color w:val="4A4A4A"/>
          <w:sz w:val="21"/>
          <w:szCs w:val="21"/>
          <w:lang w:eastAsia="en-GB"/>
        </w:rPr>
        <w:t xml:space="preserve"> or long-term care) including all medicines, vaccines and other pharmaceutical preparations as well as all health products, </w:t>
      </w:r>
      <w:r w:rsidR="00B55A32" w:rsidRPr="00645B6F">
        <w:rPr>
          <w:rFonts w:eastAsia="Times New Roman" w:cstheme="minorHAnsi"/>
          <w:i/>
          <w:iCs/>
          <w:color w:val="4A4A4A"/>
          <w:sz w:val="21"/>
          <w:szCs w:val="21"/>
          <w:lang w:eastAsia="en-GB"/>
        </w:rPr>
        <w:t>from any type of provider and for all members of the household</w:t>
      </w:r>
      <w:r w:rsidR="00B55A32" w:rsidRPr="00645B6F">
        <w:rPr>
          <w:rFonts w:eastAsia="Times New Roman" w:cstheme="minorHAnsi"/>
          <w:color w:val="4A4A4A"/>
          <w:sz w:val="21"/>
          <w:szCs w:val="21"/>
          <w:lang w:eastAsia="en-GB"/>
        </w:rPr>
        <w:t xml:space="preserve">. </w:t>
      </w:r>
      <w:r w:rsidR="00A273C1">
        <w:rPr>
          <w:rFonts w:eastAsia="Times New Roman" w:cstheme="minorHAnsi"/>
          <w:color w:val="4A4A4A"/>
          <w:sz w:val="21"/>
          <w:szCs w:val="21"/>
          <w:lang w:eastAsia="en-GB"/>
        </w:rPr>
        <w:t>It is</w:t>
      </w:r>
      <w:r w:rsidR="00B55A32" w:rsidRPr="00645B6F">
        <w:rPr>
          <w:rFonts w:eastAsia="Times New Roman" w:cstheme="minorHAnsi"/>
          <w:color w:val="4A4A4A"/>
          <w:sz w:val="21"/>
          <w:szCs w:val="21"/>
          <w:lang w:eastAsia="en-GB"/>
        </w:rPr>
        <w:t xml:space="preserve"> financed by a household’s income (including remittances), savings or loans </w:t>
      </w:r>
      <w:r w:rsidR="00B55A32" w:rsidRPr="00645B6F">
        <w:rPr>
          <w:rFonts w:eastAsia="Times New Roman" w:cstheme="minorHAnsi"/>
          <w:b/>
          <w:bCs/>
          <w:color w:val="4A4A4A"/>
          <w:sz w:val="21"/>
          <w:szCs w:val="21"/>
          <w:lang w:eastAsia="en-GB"/>
        </w:rPr>
        <w:t xml:space="preserve">but do not include any third-party payer reimbursement. </w:t>
      </w:r>
      <w:r w:rsidR="00A21187">
        <w:rPr>
          <w:rFonts w:eastAsia="Times New Roman" w:cstheme="minorHAnsi"/>
          <w:color w:val="4A4A4A"/>
          <w:sz w:val="21"/>
          <w:szCs w:val="21"/>
          <w:lang w:eastAsia="en-GB"/>
        </w:rPr>
        <w:t xml:space="preserve">They </w:t>
      </w:r>
      <w:r w:rsidR="00A21187" w:rsidRPr="00645B6F">
        <w:rPr>
          <w:rFonts w:eastAsia="Times New Roman" w:cstheme="minorHAnsi"/>
          <w:color w:val="4A4A4A"/>
          <w:sz w:val="21"/>
          <w:szCs w:val="21"/>
          <w:lang w:eastAsia="en-GB"/>
        </w:rPr>
        <w:t>are the most unequitable source of funding for the health system</w:t>
      </w:r>
      <w:r w:rsidR="00FD3A2C" w:rsidRPr="00645B6F">
        <w:rPr>
          <w:rFonts w:eastAsia="Times New Roman" w:cstheme="minorHAnsi"/>
          <w:color w:val="4A4A4A"/>
          <w:sz w:val="21"/>
          <w:szCs w:val="21"/>
          <w:lang w:eastAsia="en-GB"/>
        </w:rPr>
        <w:t xml:space="preserve"> </w:t>
      </w:r>
      <w:r w:rsidR="00A21187">
        <w:rPr>
          <w:rFonts w:eastAsia="Times New Roman" w:cstheme="minorHAnsi"/>
          <w:color w:val="4A4A4A"/>
          <w:sz w:val="21"/>
          <w:szCs w:val="21"/>
          <w:lang w:eastAsia="en-GB"/>
        </w:rPr>
        <w:t>a</w:t>
      </w:r>
      <w:r w:rsidR="00B55A32" w:rsidRPr="00645B6F">
        <w:rPr>
          <w:rFonts w:eastAsia="Times New Roman" w:cstheme="minorHAnsi"/>
          <w:color w:val="4A4A4A"/>
          <w:sz w:val="21"/>
          <w:szCs w:val="21"/>
          <w:lang w:eastAsia="en-GB"/>
        </w:rPr>
        <w:t xml:space="preserve">s </w:t>
      </w:r>
      <w:r w:rsidR="00994027">
        <w:rPr>
          <w:rFonts w:eastAsia="Times New Roman" w:cstheme="minorHAnsi"/>
          <w:color w:val="4A4A4A"/>
          <w:sz w:val="21"/>
          <w:szCs w:val="21"/>
          <w:lang w:eastAsia="en-GB"/>
        </w:rPr>
        <w:t xml:space="preserve">they are </w:t>
      </w:r>
      <w:r w:rsidR="00994027" w:rsidRPr="00645B6F">
        <w:rPr>
          <w:rFonts w:eastAsia="Times New Roman" w:cstheme="minorHAnsi"/>
          <w:color w:val="4A4A4A"/>
          <w:sz w:val="21"/>
          <w:szCs w:val="21"/>
          <w:lang w:eastAsia="en-GB"/>
        </w:rPr>
        <w:t xml:space="preserve">solely based on the willingness and ability to pay </w:t>
      </w:r>
      <w:r w:rsidR="00DB7100" w:rsidRPr="00645B6F">
        <w:rPr>
          <w:rFonts w:eastAsia="Times New Roman" w:cstheme="minorHAnsi"/>
          <w:color w:val="4A4A4A"/>
          <w:sz w:val="21"/>
          <w:szCs w:val="21"/>
          <w:lang w:eastAsia="en-GB"/>
        </w:rPr>
        <w:t>of the household</w:t>
      </w:r>
      <w:r w:rsidR="00591979">
        <w:rPr>
          <w:rFonts w:eastAsia="Times New Roman" w:cstheme="minorHAnsi"/>
          <w:color w:val="4A4A4A"/>
          <w:sz w:val="21"/>
          <w:szCs w:val="21"/>
          <w:lang w:eastAsia="en-GB"/>
        </w:rPr>
        <w:t>;</w:t>
      </w:r>
      <w:r w:rsidR="00DB7100" w:rsidRPr="00645B6F">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they only grant access to the health services and health products individuals can pay for, without any solidarity between the healthy and the sick beyond the household</w:t>
      </w:r>
      <w:r w:rsidR="00B55A32" w:rsidRPr="00645B6F">
        <w:rPr>
          <w:rFonts w:eastAsia="Times New Roman" w:cstheme="minorHAnsi"/>
          <w:color w:val="4A4A4A"/>
          <w:sz w:val="21"/>
          <w:szCs w:val="21"/>
          <w:vertAlign w:val="superscript"/>
          <w:lang w:eastAsia="en-GB"/>
        </w:rPr>
        <w:footnoteReference w:id="2"/>
      </w:r>
      <w:r w:rsidR="00A11CFC">
        <w:rPr>
          <w:rFonts w:eastAsia="Times New Roman" w:cstheme="minorHAnsi"/>
          <w:color w:val="4A4A4A"/>
          <w:sz w:val="21"/>
          <w:szCs w:val="21"/>
          <w:lang w:eastAsia="en-GB"/>
        </w:rPr>
        <w:t>, the rich and the poor</w:t>
      </w:r>
      <w:r w:rsidR="00EE3312">
        <w:rPr>
          <w:rFonts w:eastAsia="Times New Roman" w:cstheme="minorHAnsi"/>
          <w:color w:val="4A4A4A"/>
          <w:sz w:val="21"/>
          <w:szCs w:val="21"/>
          <w:lang w:eastAsia="en-GB"/>
        </w:rPr>
        <w:t>; they represent a barrier to access for those people who are unable to find the economic resources</w:t>
      </w:r>
      <w:r w:rsidR="00005777">
        <w:rPr>
          <w:rFonts w:eastAsia="Times New Roman" w:cstheme="minorHAnsi"/>
          <w:color w:val="4A4A4A"/>
          <w:sz w:val="21"/>
          <w:szCs w:val="21"/>
          <w:lang w:eastAsia="en-GB"/>
        </w:rPr>
        <w:t xml:space="preserve"> need to pay out of their own pocket.</w:t>
      </w:r>
      <w:r w:rsidR="00EE3312">
        <w:rPr>
          <w:rFonts w:eastAsia="Times New Roman" w:cstheme="minorHAnsi"/>
          <w:color w:val="4A4A4A"/>
          <w:sz w:val="21"/>
          <w:szCs w:val="21"/>
          <w:lang w:eastAsia="en-GB"/>
        </w:rPr>
        <w:t xml:space="preserve"> </w:t>
      </w:r>
    </w:p>
    <w:p w14:paraId="3F4D9F03" w14:textId="77777777" w:rsidR="00E04E24" w:rsidRPr="00645B6F" w:rsidRDefault="00E04E24" w:rsidP="00A11A20">
      <w:pPr>
        <w:shd w:val="clear" w:color="auto" w:fill="FFFFFF"/>
        <w:spacing w:after="0"/>
        <w:jc w:val="both"/>
        <w:rPr>
          <w:rFonts w:eastAsia="Times New Roman" w:cstheme="minorHAnsi"/>
          <w:color w:val="4A4A4A"/>
          <w:sz w:val="21"/>
          <w:szCs w:val="21"/>
          <w:lang w:eastAsia="en-GB"/>
        </w:rPr>
      </w:pPr>
    </w:p>
    <w:p w14:paraId="0B7B99C6" w14:textId="467B729B"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components of </w:t>
      </w:r>
      <w:r w:rsidR="0066240D">
        <w:rPr>
          <w:rFonts w:eastAsia="Times New Roman" w:cstheme="minorHAnsi"/>
          <w:color w:val="4A4A4A"/>
          <w:sz w:val="21"/>
          <w:szCs w:val="21"/>
          <w:lang w:eastAsia="en-GB"/>
        </w:rPr>
        <w:t>h</w:t>
      </w:r>
      <w:r w:rsidR="0066240D" w:rsidRPr="00645B6F">
        <w:rPr>
          <w:rFonts w:eastAsia="Times New Roman" w:cstheme="minorHAnsi"/>
          <w:color w:val="4A4A4A"/>
          <w:sz w:val="21"/>
          <w:szCs w:val="21"/>
          <w:lang w:eastAsia="en-GB"/>
        </w:rPr>
        <w:t xml:space="preserve">ousehold expenditure on health </w:t>
      </w:r>
      <w:r w:rsidRPr="00645B6F">
        <w:rPr>
          <w:rFonts w:eastAsia="Times New Roman" w:cstheme="minorHAnsi"/>
          <w:color w:val="4A4A4A"/>
          <w:sz w:val="21"/>
          <w:szCs w:val="21"/>
          <w:lang w:eastAsia="en-GB"/>
        </w:rPr>
        <w:t xml:space="preserve">should be consistent with division 06 on health of the UN Classification of Individual Consumption According to Purpose (COICOP) on medicines and medical products (06.1), outpatient care services (06.2) inpatient care services (06.3) </w:t>
      </w:r>
      <w:r w:rsidR="00431879">
        <w:rPr>
          <w:rFonts w:eastAsia="Times New Roman" w:cstheme="minorHAnsi"/>
          <w:color w:val="4A4A4A"/>
          <w:sz w:val="21"/>
          <w:szCs w:val="21"/>
          <w:lang w:eastAsia="en-GB"/>
        </w:rPr>
        <w:t xml:space="preserve">and </w:t>
      </w:r>
      <w:r w:rsidR="004220C1">
        <w:rPr>
          <w:rFonts w:eastAsia="Times New Roman" w:cstheme="minorHAnsi"/>
          <w:color w:val="4A4A4A"/>
          <w:sz w:val="21"/>
          <w:szCs w:val="21"/>
          <w:lang w:eastAsia="en-GB"/>
        </w:rPr>
        <w:t>other health services</w:t>
      </w:r>
      <w:r w:rsidR="00431879">
        <w:rPr>
          <w:rFonts w:eastAsia="Times New Roman" w:cstheme="minorHAnsi"/>
          <w:color w:val="4A4A4A"/>
          <w:sz w:val="21"/>
          <w:szCs w:val="21"/>
          <w:lang w:eastAsia="en-GB"/>
        </w:rPr>
        <w:t xml:space="preserve"> (06.4)</w:t>
      </w:r>
      <w:r w:rsidRPr="00645B6F">
        <w:rPr>
          <w:rFonts w:eastAsia="Times New Roman" w:cstheme="minorHAnsi"/>
          <w:color w:val="4A4A4A"/>
          <w:sz w:val="21"/>
          <w:szCs w:val="21"/>
          <w:vertAlign w:val="superscript"/>
          <w:lang w:eastAsia="en-GB"/>
        </w:rPr>
        <w:footnoteReference w:id="3"/>
      </w:r>
      <w:r w:rsidRPr="00645B6F">
        <w:rPr>
          <w:rFonts w:eastAsia="Times New Roman" w:cstheme="minorHAnsi"/>
          <w:color w:val="4A4A4A"/>
          <w:sz w:val="21"/>
          <w:szCs w:val="21"/>
          <w:lang w:eastAsia="en-GB"/>
        </w:rPr>
        <w:t>.</w:t>
      </w:r>
    </w:p>
    <w:p w14:paraId="1FC6FB00"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6EAD8CD2" w14:textId="3EA0542F" w:rsidR="00202466" w:rsidRPr="00645B6F" w:rsidRDefault="00D55BFA"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The</w:t>
      </w:r>
      <w:r w:rsidR="00202466">
        <w:rPr>
          <w:rFonts w:eastAsia="Times New Roman" w:cstheme="minorHAnsi"/>
          <w:color w:val="4A4A4A"/>
          <w:sz w:val="21"/>
          <w:szCs w:val="21"/>
          <w:lang w:eastAsia="en-GB"/>
        </w:rPr>
        <w:t xml:space="preserve"> components of out-of-pocket household expenditure on health </w:t>
      </w:r>
      <w:r>
        <w:rPr>
          <w:rFonts w:eastAsia="Times New Roman" w:cstheme="minorHAnsi"/>
          <w:color w:val="4A4A4A"/>
          <w:sz w:val="21"/>
          <w:szCs w:val="21"/>
          <w:lang w:eastAsia="en-GB"/>
        </w:rPr>
        <w:t>can</w:t>
      </w:r>
      <w:r w:rsidR="00202466">
        <w:rPr>
          <w:rFonts w:eastAsia="Times New Roman" w:cstheme="minorHAnsi"/>
          <w:color w:val="4A4A4A"/>
          <w:sz w:val="21"/>
          <w:szCs w:val="21"/>
          <w:lang w:eastAsia="en-GB"/>
        </w:rPr>
        <w:t xml:space="preserve"> be </w:t>
      </w:r>
      <w:r>
        <w:rPr>
          <w:rFonts w:eastAsia="Times New Roman" w:cstheme="minorHAnsi"/>
          <w:color w:val="4A4A4A"/>
          <w:sz w:val="21"/>
          <w:szCs w:val="21"/>
          <w:lang w:eastAsia="en-GB"/>
        </w:rPr>
        <w:t>aggregated after they have been rescaled</w:t>
      </w:r>
      <w:r w:rsidR="00202466">
        <w:rPr>
          <w:rFonts w:eastAsia="Times New Roman" w:cstheme="minorHAnsi"/>
          <w:color w:val="4A4A4A"/>
          <w:sz w:val="21"/>
          <w:szCs w:val="21"/>
          <w:lang w:eastAsia="en-GB"/>
        </w:rPr>
        <w:t xml:space="preserve"> to the same time period</w:t>
      </w:r>
      <w:r>
        <w:rPr>
          <w:rFonts w:eastAsia="Times New Roman" w:cstheme="minorHAnsi"/>
          <w:color w:val="4A4A4A"/>
          <w:sz w:val="21"/>
          <w:szCs w:val="21"/>
          <w:lang w:eastAsia="en-GB"/>
        </w:rPr>
        <w:t xml:space="preserve"> (</w:t>
      </w:r>
      <w:r w:rsidR="00BF0AD7">
        <w:rPr>
          <w:rFonts w:eastAsia="Times New Roman" w:cstheme="minorHAnsi"/>
          <w:color w:val="4A4A4A"/>
          <w:sz w:val="21"/>
          <w:szCs w:val="21"/>
          <w:lang w:eastAsia="en-GB"/>
        </w:rPr>
        <w:t>e.g.,</w:t>
      </w:r>
      <w:r>
        <w:rPr>
          <w:rFonts w:eastAsia="Times New Roman" w:cstheme="minorHAnsi"/>
          <w:color w:val="4A4A4A"/>
          <w:sz w:val="21"/>
          <w:szCs w:val="21"/>
          <w:lang w:eastAsia="en-GB"/>
        </w:rPr>
        <w:t xml:space="preserve"> the year or month).  Next, o</w:t>
      </w:r>
      <w:r w:rsidR="00202466">
        <w:rPr>
          <w:rFonts w:eastAsia="Times New Roman" w:cstheme="minorHAnsi"/>
          <w:color w:val="4A4A4A"/>
          <w:sz w:val="21"/>
          <w:szCs w:val="21"/>
          <w:lang w:eastAsia="en-GB"/>
        </w:rPr>
        <w:t>ut-of-pocket household expenditure on health p</w:t>
      </w:r>
      <w:r w:rsidR="00202466" w:rsidRPr="00336F9B">
        <w:rPr>
          <w:rFonts w:eastAsia="Times New Roman" w:cstheme="minorHAnsi"/>
          <w:color w:val="4A4A4A"/>
          <w:sz w:val="21"/>
          <w:szCs w:val="21"/>
          <w:lang w:eastAsia="en-GB"/>
        </w:rPr>
        <w:t>er capita is estimated using total</w:t>
      </w:r>
      <w:r w:rsidR="00202466">
        <w:rPr>
          <w:rFonts w:eastAsia="Times New Roman" w:cstheme="minorHAnsi"/>
          <w:color w:val="4A4A4A"/>
          <w:sz w:val="21"/>
          <w:szCs w:val="21"/>
          <w:lang w:eastAsia="en-GB"/>
        </w:rPr>
        <w:t xml:space="preserve"> out-of-pocket </w:t>
      </w:r>
      <w:r w:rsidR="00202466" w:rsidRPr="00336F9B">
        <w:rPr>
          <w:rFonts w:eastAsia="Times New Roman" w:cstheme="minorHAnsi"/>
          <w:color w:val="4A4A4A"/>
          <w:sz w:val="21"/>
          <w:szCs w:val="21"/>
          <w:lang w:eastAsia="en-GB"/>
        </w:rPr>
        <w:t xml:space="preserve">household </w:t>
      </w:r>
      <w:r w:rsidR="00202466">
        <w:rPr>
          <w:rFonts w:eastAsia="Times New Roman" w:cstheme="minorHAnsi"/>
          <w:color w:val="4A4A4A"/>
          <w:sz w:val="21"/>
          <w:szCs w:val="21"/>
          <w:lang w:eastAsia="en-GB"/>
        </w:rPr>
        <w:t xml:space="preserve">expenditure on health </w:t>
      </w:r>
      <w:r w:rsidR="00202466" w:rsidRPr="00336F9B">
        <w:rPr>
          <w:rFonts w:eastAsia="Times New Roman" w:cstheme="minorHAnsi"/>
          <w:color w:val="4A4A4A"/>
          <w:sz w:val="21"/>
          <w:szCs w:val="21"/>
          <w:lang w:eastAsia="en-GB"/>
        </w:rPr>
        <w:t>divided by the total household size.</w:t>
      </w:r>
      <w:r w:rsidR="00202466">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Lastly, t</w:t>
      </w:r>
      <w:r w:rsidR="00202466">
        <w:rPr>
          <w:rFonts w:eastAsia="Times New Roman" w:cstheme="minorHAnsi"/>
          <w:color w:val="4A4A4A"/>
          <w:sz w:val="21"/>
          <w:szCs w:val="21"/>
          <w:lang w:eastAsia="en-GB"/>
        </w:rPr>
        <w:t>hese per capita values are further converted to daily equivalent by applying relevant constant factors</w:t>
      </w:r>
      <w:r w:rsidR="00410BE9">
        <w:rPr>
          <w:rFonts w:eastAsia="Times New Roman" w:cstheme="minorHAnsi"/>
          <w:color w:val="4A4A4A"/>
          <w:sz w:val="21"/>
          <w:szCs w:val="21"/>
          <w:lang w:eastAsia="en-GB"/>
        </w:rPr>
        <w:t xml:space="preserve"> (e.g. dividing by </w:t>
      </w:r>
      <w:r w:rsidR="00CA7021">
        <w:rPr>
          <w:rFonts w:eastAsia="Times New Roman" w:cstheme="minorHAnsi"/>
          <w:color w:val="4A4A4A"/>
          <w:sz w:val="21"/>
          <w:szCs w:val="21"/>
          <w:lang w:eastAsia="en-GB"/>
        </w:rPr>
        <w:t>365 if the total is annual)</w:t>
      </w:r>
      <w:r w:rsidR="00202466">
        <w:rPr>
          <w:rFonts w:eastAsia="Times New Roman" w:cstheme="minorHAnsi"/>
          <w:color w:val="4A4A4A"/>
          <w:sz w:val="21"/>
          <w:szCs w:val="21"/>
          <w:lang w:eastAsia="en-GB"/>
        </w:rPr>
        <w:t>.</w:t>
      </w:r>
    </w:p>
    <w:p w14:paraId="1FA74B53" w14:textId="77777777" w:rsidR="00202466" w:rsidRPr="00645B6F" w:rsidRDefault="00202466" w:rsidP="00A11A20">
      <w:pPr>
        <w:shd w:val="clear" w:color="auto" w:fill="FFFFFF"/>
        <w:spacing w:after="0"/>
        <w:jc w:val="both"/>
        <w:rPr>
          <w:rFonts w:eastAsia="Times New Roman" w:cstheme="minorHAnsi"/>
          <w:color w:val="4A4A4A"/>
          <w:sz w:val="21"/>
          <w:szCs w:val="21"/>
          <w:lang w:eastAsia="en-GB"/>
        </w:rPr>
      </w:pPr>
    </w:p>
    <w:p w14:paraId="2F980013" w14:textId="57148AD2"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Further information on definitions and classifications of health expenditures should be consistent with the </w:t>
      </w:r>
      <w:hyperlink r:id="rId11" w:history="1">
        <w:r w:rsidRPr="00645B6F">
          <w:rPr>
            <w:rFonts w:eastAsia="Times New Roman" w:cstheme="minorHAnsi"/>
            <w:color w:val="0000FF" w:themeColor="hyperlink"/>
            <w:sz w:val="21"/>
            <w:szCs w:val="21"/>
            <w:u w:val="single"/>
            <w:lang w:eastAsia="en-GB"/>
          </w:rPr>
          <w:t>international classification for health accounts</w:t>
        </w:r>
      </w:hyperlink>
      <w:r w:rsidR="00156794">
        <w:rPr>
          <w:rFonts w:eastAsia="Times New Roman" w:cstheme="minorHAnsi"/>
          <w:color w:val="0000FF" w:themeColor="hyperlink"/>
          <w:sz w:val="21"/>
          <w:szCs w:val="21"/>
          <w:u w:val="single"/>
          <w:lang w:eastAsia="en-GB"/>
        </w:rPr>
        <w:t xml:space="preserve"> (ICHA)</w:t>
      </w:r>
      <w:r w:rsidRPr="00645B6F">
        <w:rPr>
          <w:rFonts w:eastAsia="Times New Roman" w:cstheme="minorHAnsi"/>
          <w:color w:val="4A4A4A"/>
          <w:sz w:val="21"/>
          <w:szCs w:val="21"/>
          <w:lang w:eastAsia="en-GB"/>
        </w:rPr>
        <w:t xml:space="preserve"> and its family of classifications</w:t>
      </w:r>
      <w:r w:rsidR="00156794">
        <w:rPr>
          <w:rFonts w:eastAsia="Times New Roman" w:cstheme="minorHAnsi"/>
          <w:color w:val="4A4A4A"/>
          <w:sz w:val="21"/>
          <w:szCs w:val="21"/>
          <w:lang w:eastAsia="en-GB"/>
        </w:rPr>
        <w:t xml:space="preserve"> </w:t>
      </w:r>
      <w:r w:rsidR="00156794" w:rsidRPr="00645B6F">
        <w:rPr>
          <w:rFonts w:eastAsia="Times New Roman" w:cstheme="minorHAnsi"/>
          <w:color w:val="4A4A4A"/>
          <w:sz w:val="21"/>
          <w:szCs w:val="21"/>
          <w:lang w:eastAsia="en-GB"/>
        </w:rPr>
        <w:t xml:space="preserve">(for example by </w:t>
      </w:r>
      <w:r w:rsidR="00156794">
        <w:rPr>
          <w:rFonts w:eastAsia="Times New Roman" w:cstheme="minorHAnsi"/>
          <w:color w:val="4A4A4A"/>
          <w:sz w:val="21"/>
          <w:szCs w:val="21"/>
          <w:lang w:eastAsia="en-GB"/>
        </w:rPr>
        <w:t xml:space="preserve">type of </w:t>
      </w:r>
      <w:r w:rsidR="00156794" w:rsidRPr="00645B6F">
        <w:rPr>
          <w:rFonts w:eastAsia="Times New Roman" w:cstheme="minorHAnsi"/>
          <w:color w:val="4A4A4A"/>
          <w:sz w:val="21"/>
          <w:szCs w:val="21"/>
          <w:lang w:eastAsia="en-GB"/>
        </w:rPr>
        <w:t>provider)</w:t>
      </w:r>
      <w:r w:rsidRPr="00645B6F">
        <w:rPr>
          <w:rFonts w:eastAsia="Times New Roman" w:cstheme="minorHAnsi"/>
          <w:color w:val="4A4A4A"/>
          <w:sz w:val="21"/>
          <w:szCs w:val="21"/>
          <w:lang w:eastAsia="en-GB"/>
        </w:rPr>
        <w:t xml:space="preserve">. </w:t>
      </w:r>
    </w:p>
    <w:p w14:paraId="6BE0718E" w14:textId="77777777" w:rsidR="00655BE0" w:rsidRDefault="00655BE0" w:rsidP="00A11A20">
      <w:pPr>
        <w:shd w:val="clear" w:color="auto" w:fill="FFFFFF"/>
        <w:spacing w:after="0"/>
        <w:jc w:val="both"/>
        <w:rPr>
          <w:rFonts w:eastAsia="Times New Roman" w:cstheme="minorHAnsi"/>
          <w:b/>
          <w:bCs/>
          <w:i/>
          <w:iCs/>
          <w:color w:val="4A4A4A"/>
          <w:sz w:val="21"/>
          <w:szCs w:val="21"/>
          <w:lang w:eastAsia="en-GB"/>
        </w:rPr>
      </w:pPr>
    </w:p>
    <w:p w14:paraId="7B039DD0" w14:textId="67BA29BF" w:rsidR="0088707D" w:rsidRPr="00557666" w:rsidRDefault="0088707D" w:rsidP="00A11A20">
      <w:pPr>
        <w:shd w:val="clear" w:color="auto" w:fill="FFFFFF"/>
        <w:spacing w:after="0"/>
        <w:jc w:val="both"/>
        <w:rPr>
          <w:rFonts w:eastAsia="Times New Roman" w:cstheme="minorHAnsi"/>
          <w:b/>
          <w:bCs/>
          <w:i/>
          <w:iCs/>
          <w:color w:val="4A4A4A"/>
          <w:sz w:val="21"/>
          <w:szCs w:val="21"/>
          <w:u w:val="single"/>
          <w:lang w:eastAsia="en-GB"/>
        </w:rPr>
      </w:pPr>
      <w:r w:rsidRPr="00557666">
        <w:rPr>
          <w:rFonts w:eastAsia="Times New Roman" w:cstheme="minorHAnsi"/>
          <w:b/>
          <w:bCs/>
          <w:i/>
          <w:iCs/>
          <w:color w:val="4A4A4A"/>
          <w:sz w:val="21"/>
          <w:szCs w:val="21"/>
          <w:u w:val="single"/>
          <w:lang w:eastAsia="en-GB"/>
        </w:rPr>
        <w:t xml:space="preserve">Household </w:t>
      </w:r>
      <w:r w:rsidR="00CC68EF" w:rsidRPr="00557666">
        <w:rPr>
          <w:rFonts w:eastAsia="Times New Roman" w:cstheme="minorHAnsi"/>
          <w:b/>
          <w:bCs/>
          <w:i/>
          <w:iCs/>
          <w:color w:val="4A4A4A"/>
          <w:sz w:val="21"/>
          <w:szCs w:val="21"/>
          <w:u w:val="single"/>
          <w:lang w:eastAsia="en-GB"/>
        </w:rPr>
        <w:t>discretionary budget</w:t>
      </w:r>
      <w:r w:rsidRPr="00557666">
        <w:rPr>
          <w:rFonts w:eastAsia="Times New Roman" w:cstheme="minorHAnsi"/>
          <w:b/>
          <w:bCs/>
          <w:i/>
          <w:iCs/>
          <w:color w:val="4A4A4A"/>
          <w:sz w:val="21"/>
          <w:szCs w:val="21"/>
          <w:u w:val="single"/>
          <w:lang w:eastAsia="en-GB"/>
        </w:rPr>
        <w:t xml:space="preserve"> </w:t>
      </w:r>
    </w:p>
    <w:p w14:paraId="059445A1" w14:textId="57DFB607" w:rsidR="00D52ADF" w:rsidRDefault="00D25FDD" w:rsidP="00A11A20">
      <w:pPr>
        <w:shd w:val="clear" w:color="auto" w:fill="FFFFFF"/>
        <w:spacing w:after="0"/>
        <w:jc w:val="both"/>
        <w:rPr>
          <w:rFonts w:eastAsia="Times New Roman" w:cstheme="minorHAnsi"/>
          <w:color w:val="4A4A4A"/>
          <w:sz w:val="21"/>
          <w:szCs w:val="21"/>
          <w:shd w:val="clear" w:color="auto" w:fill="FFFFFF"/>
          <w:lang w:eastAsia="en-GB"/>
        </w:rPr>
      </w:pPr>
      <w:r>
        <w:rPr>
          <w:rFonts w:eastAsia="Times New Roman" w:cstheme="minorHAnsi"/>
          <w:color w:val="4A4A4A"/>
          <w:sz w:val="21"/>
          <w:szCs w:val="21"/>
          <w:shd w:val="clear" w:color="auto" w:fill="FFFFFF"/>
          <w:lang w:eastAsia="en-GB"/>
        </w:rPr>
        <w:t xml:space="preserve">The discretionary household budget is defined as </w:t>
      </w:r>
      <w:r w:rsidRPr="00645B6F">
        <w:rPr>
          <w:rFonts w:eastAsia="Times New Roman" w:cstheme="minorHAnsi"/>
          <w:color w:val="4A4A4A"/>
          <w:sz w:val="21"/>
          <w:szCs w:val="21"/>
          <w:shd w:val="clear" w:color="auto" w:fill="FFFFFF"/>
          <w:lang w:eastAsia="en-GB"/>
        </w:rPr>
        <w:t xml:space="preserve">total household </w:t>
      </w:r>
      <w:r>
        <w:rPr>
          <w:rFonts w:eastAsia="Times New Roman" w:cstheme="minorHAnsi"/>
          <w:color w:val="4A4A4A"/>
          <w:sz w:val="21"/>
          <w:szCs w:val="21"/>
          <w:shd w:val="clear" w:color="auto" w:fill="FFFFFF"/>
          <w:lang w:eastAsia="en-GB"/>
        </w:rPr>
        <w:t xml:space="preserve">consumption </w:t>
      </w:r>
      <w:r w:rsidRPr="00645B6F">
        <w:rPr>
          <w:rFonts w:eastAsia="Times New Roman" w:cstheme="minorHAnsi"/>
          <w:color w:val="4A4A4A"/>
          <w:sz w:val="21"/>
          <w:szCs w:val="21"/>
          <w:shd w:val="clear" w:color="auto" w:fill="FFFFFF"/>
          <w:lang w:eastAsia="en-GB"/>
        </w:rPr>
        <w:t>expenditure or income</w:t>
      </w:r>
      <w:r>
        <w:rPr>
          <w:rFonts w:eastAsia="Times New Roman" w:cstheme="minorHAnsi"/>
          <w:color w:val="4A4A4A"/>
          <w:sz w:val="21"/>
          <w:szCs w:val="21"/>
          <w:shd w:val="clear" w:color="auto" w:fill="FFFFFF"/>
          <w:lang w:eastAsia="en-GB"/>
        </w:rPr>
        <w:t xml:space="preserve"> minus the societal poverty line </w:t>
      </w:r>
      <w:r w:rsidRPr="00674A20">
        <w:rPr>
          <w:rFonts w:eastAsia="Times New Roman" w:cstheme="minorHAnsi"/>
          <w:color w:val="4A4A4A"/>
          <w:sz w:val="21"/>
          <w:szCs w:val="21"/>
          <w:shd w:val="clear" w:color="auto" w:fill="FFFFFF"/>
          <w:lang w:eastAsia="en-GB"/>
        </w:rPr>
        <w:t>(SPL).</w:t>
      </w:r>
    </w:p>
    <w:p w14:paraId="319D2E97" w14:textId="77777777" w:rsidR="00904695" w:rsidRDefault="00904695" w:rsidP="00A11A20">
      <w:pPr>
        <w:shd w:val="clear" w:color="auto" w:fill="FFFFFF"/>
        <w:spacing w:after="0"/>
        <w:jc w:val="both"/>
        <w:rPr>
          <w:rFonts w:eastAsia="Times New Roman" w:cstheme="minorHAnsi"/>
          <w:i/>
          <w:iCs/>
          <w:color w:val="4A4A4A"/>
          <w:sz w:val="21"/>
          <w:szCs w:val="21"/>
          <w:lang w:eastAsia="en-GB"/>
        </w:rPr>
      </w:pPr>
    </w:p>
    <w:p w14:paraId="147985F0" w14:textId="77777777" w:rsidR="005033DF" w:rsidRDefault="005033DF" w:rsidP="00A11A20">
      <w:pPr>
        <w:shd w:val="clear" w:color="auto" w:fill="FFFFFF"/>
        <w:spacing w:after="0"/>
        <w:jc w:val="both"/>
        <w:rPr>
          <w:rFonts w:eastAsia="Times New Roman" w:cstheme="minorHAnsi"/>
          <w:i/>
          <w:iCs/>
          <w:color w:val="4A4A4A"/>
          <w:sz w:val="21"/>
          <w:szCs w:val="21"/>
          <w:lang w:eastAsia="en-GB"/>
        </w:rPr>
      </w:pPr>
    </w:p>
    <w:p w14:paraId="04EC6E9A" w14:textId="35E45ABB" w:rsidR="002677FC" w:rsidRPr="00C95B87" w:rsidRDefault="002F4809" w:rsidP="00A11A20">
      <w:pPr>
        <w:shd w:val="clear" w:color="auto" w:fill="FFFFFF"/>
        <w:spacing w:after="0"/>
        <w:jc w:val="both"/>
        <w:rPr>
          <w:rFonts w:eastAsia="Times New Roman" w:cstheme="minorHAnsi"/>
          <w:i/>
          <w:iCs/>
          <w:color w:val="4A4A4A"/>
          <w:sz w:val="21"/>
          <w:szCs w:val="21"/>
          <w:lang w:eastAsia="en-GB"/>
        </w:rPr>
      </w:pPr>
      <w:r>
        <w:rPr>
          <w:rFonts w:eastAsia="Times New Roman" w:cstheme="minorHAnsi"/>
          <w:i/>
          <w:iCs/>
          <w:color w:val="4A4A4A"/>
          <w:sz w:val="21"/>
          <w:szCs w:val="21"/>
          <w:lang w:eastAsia="en-GB"/>
        </w:rPr>
        <w:t>Household consumption expenditure or income</w:t>
      </w:r>
    </w:p>
    <w:p w14:paraId="45986D41" w14:textId="5F67A1C2" w:rsidR="00A240CF" w:rsidRDefault="0088707D" w:rsidP="00A11A20">
      <w:pPr>
        <w:shd w:val="clear" w:color="auto" w:fill="FFFFFF"/>
        <w:spacing w:after="0"/>
        <w:jc w:val="both"/>
      </w:pPr>
      <w:r>
        <w:rPr>
          <w:rFonts w:eastAsia="Times New Roman" w:cstheme="minorHAnsi"/>
          <w:color w:val="4A4A4A"/>
          <w:sz w:val="21"/>
          <w:szCs w:val="21"/>
          <w:lang w:eastAsia="en-GB"/>
        </w:rPr>
        <w:lastRenderedPageBreak/>
        <w:t>H</w:t>
      </w:r>
      <w:r w:rsidR="00B55A32" w:rsidRPr="00645B6F">
        <w:rPr>
          <w:rFonts w:eastAsia="Times New Roman" w:cstheme="minorHAnsi"/>
          <w:color w:val="4A4A4A"/>
          <w:sz w:val="21"/>
          <w:szCs w:val="21"/>
          <w:lang w:eastAsia="en-GB"/>
        </w:rPr>
        <w:t>ousehold consumption</w:t>
      </w:r>
      <w:r>
        <w:rPr>
          <w:rFonts w:eastAsia="Times New Roman" w:cstheme="minorHAnsi"/>
          <w:color w:val="4A4A4A"/>
          <w:sz w:val="21"/>
          <w:szCs w:val="21"/>
          <w:lang w:eastAsia="en-GB"/>
        </w:rPr>
        <w:t xml:space="preserve"> expenditure</w:t>
      </w:r>
      <w:r w:rsidR="00B55A32" w:rsidRPr="00645B6F">
        <w:rPr>
          <w:rFonts w:eastAsia="Times New Roman" w:cstheme="minorHAnsi"/>
          <w:color w:val="4A4A4A"/>
          <w:sz w:val="21"/>
          <w:szCs w:val="21"/>
          <w:lang w:eastAsia="en-GB"/>
        </w:rPr>
        <w:t xml:space="preserve"> and household income are both monetary welfare measures. </w:t>
      </w:r>
    </w:p>
    <w:p w14:paraId="4AF70ACF" w14:textId="77777777" w:rsidR="00A240CF" w:rsidRDefault="00A240CF" w:rsidP="00A11A20">
      <w:pPr>
        <w:shd w:val="clear" w:color="auto" w:fill="FFFFFF"/>
        <w:spacing w:after="0"/>
        <w:jc w:val="both"/>
      </w:pPr>
    </w:p>
    <w:p w14:paraId="6661B813" w14:textId="4DD00551"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Household consumption </w:t>
      </w:r>
      <w:r w:rsidR="004F0BB5">
        <w:rPr>
          <w:rFonts w:eastAsia="Times New Roman" w:cstheme="minorHAnsi"/>
          <w:color w:val="4A4A4A"/>
          <w:sz w:val="21"/>
          <w:szCs w:val="21"/>
          <w:lang w:eastAsia="en-GB"/>
        </w:rPr>
        <w:t>expenditure</w:t>
      </w:r>
      <w:r w:rsidR="007022CC">
        <w:rPr>
          <w:rStyle w:val="FootnoteReference"/>
          <w:rFonts w:eastAsia="Times New Roman" w:cstheme="minorHAnsi"/>
          <w:color w:val="4A4A4A"/>
          <w:sz w:val="21"/>
          <w:szCs w:val="21"/>
          <w:lang w:eastAsia="en-GB"/>
        </w:rPr>
        <w:footnoteReference w:id="4"/>
      </w:r>
      <w:r w:rsidR="004F0BB5">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 xml:space="preserve">is a function of permanent income, which is a measure of a household’s long-term economic resources that determine living standards. Consumption is generally defined as the sum of the monetary values of all items consumed by the household on domestic account during a reference period. It includes </w:t>
      </w:r>
      <w:r w:rsidR="002F4A14">
        <w:rPr>
          <w:rFonts w:eastAsia="Times New Roman" w:cstheme="minorHAnsi"/>
          <w:color w:val="4A4A4A"/>
          <w:sz w:val="21"/>
          <w:szCs w:val="21"/>
          <w:lang w:eastAsia="en-GB"/>
        </w:rPr>
        <w:t xml:space="preserve">monetary expenditures on </w:t>
      </w:r>
      <w:r w:rsidR="002F4A14" w:rsidRPr="006F2EAD">
        <w:rPr>
          <w:rFonts w:eastAsia="Times New Roman" w:cstheme="minorHAnsi"/>
          <w:color w:val="4A4A4A"/>
          <w:sz w:val="21"/>
          <w:szCs w:val="21"/>
          <w:lang w:eastAsia="en-GB"/>
        </w:rPr>
        <w:t>food and non-food non-durable goods and services</w:t>
      </w:r>
      <w:r w:rsidR="002F4A14">
        <w:rPr>
          <w:rFonts w:eastAsia="Times New Roman" w:cstheme="minorHAnsi"/>
          <w:color w:val="4A4A4A"/>
          <w:sz w:val="21"/>
          <w:szCs w:val="21"/>
          <w:lang w:eastAsia="en-GB"/>
        </w:rPr>
        <w:t xml:space="preserve"> consumed as well as</w:t>
      </w:r>
      <w:r w:rsidR="002F4A14"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the imputed values of goods and services that are not purchased but procured otherwise for consumption</w:t>
      </w:r>
      <w:r w:rsidR="00A748DD">
        <w:rPr>
          <w:rFonts w:eastAsia="Times New Roman" w:cstheme="minorHAnsi"/>
          <w:color w:val="4A4A4A"/>
          <w:sz w:val="21"/>
          <w:szCs w:val="21"/>
          <w:lang w:eastAsia="en-GB"/>
        </w:rPr>
        <w:t xml:space="preserve"> (value of in-kind consumption</w:t>
      </w:r>
      <w:r w:rsidR="00C875AC">
        <w:rPr>
          <w:rFonts w:eastAsia="Times New Roman" w:cstheme="minorHAnsi"/>
          <w:color w:val="4A4A4A"/>
          <w:sz w:val="21"/>
          <w:szCs w:val="21"/>
          <w:lang w:eastAsia="en-GB"/>
        </w:rPr>
        <w:t>); the</w:t>
      </w:r>
      <w:r w:rsidR="00F2003A">
        <w:rPr>
          <w:rFonts w:eastAsia="Times New Roman" w:cstheme="minorHAnsi"/>
          <w:color w:val="4A4A4A"/>
          <w:sz w:val="21"/>
          <w:szCs w:val="21"/>
          <w:lang w:eastAsia="en-GB"/>
        </w:rPr>
        <w:t xml:space="preserve"> value use of durables,</w:t>
      </w:r>
      <w:r w:rsidR="00B8726E">
        <w:rPr>
          <w:rFonts w:eastAsia="Times New Roman" w:cstheme="minorHAnsi"/>
          <w:color w:val="4A4A4A"/>
          <w:sz w:val="21"/>
          <w:szCs w:val="21"/>
          <w:lang w:eastAsia="en-GB"/>
        </w:rPr>
        <w:t xml:space="preserve"> </w:t>
      </w:r>
      <w:r w:rsidR="00AD4F68">
        <w:rPr>
          <w:rFonts w:eastAsia="Times New Roman" w:cstheme="minorHAnsi"/>
          <w:color w:val="4A4A4A"/>
          <w:sz w:val="21"/>
          <w:szCs w:val="21"/>
          <w:lang w:eastAsia="en-GB"/>
        </w:rPr>
        <w:t xml:space="preserve">and </w:t>
      </w:r>
      <w:r w:rsidR="00B8726E">
        <w:rPr>
          <w:rFonts w:eastAsia="Times New Roman" w:cstheme="minorHAnsi"/>
          <w:color w:val="4A4A4A"/>
          <w:sz w:val="21"/>
          <w:szCs w:val="21"/>
          <w:lang w:eastAsia="en-GB"/>
        </w:rPr>
        <w:t>the</w:t>
      </w:r>
      <w:r w:rsidR="00F2003A">
        <w:rPr>
          <w:rFonts w:eastAsia="Times New Roman" w:cstheme="minorHAnsi"/>
          <w:color w:val="4A4A4A"/>
          <w:sz w:val="21"/>
          <w:szCs w:val="21"/>
          <w:lang w:eastAsia="en-GB"/>
        </w:rPr>
        <w:t xml:space="preserve"> value use of owner-occupied housing</w:t>
      </w:r>
      <w:r w:rsidRPr="00645B6F">
        <w:rPr>
          <w:rFonts w:eastAsia="Times New Roman" w:cstheme="minorHAnsi"/>
          <w:color w:val="4A4A4A"/>
          <w:sz w:val="21"/>
          <w:szCs w:val="21"/>
          <w:lang w:eastAsia="en-GB"/>
        </w:rPr>
        <w:t xml:space="preserve">. </w:t>
      </w:r>
      <w:r w:rsidR="0033512D">
        <w:rPr>
          <w:rFonts w:eastAsia="Times New Roman" w:cstheme="minorHAnsi"/>
          <w:color w:val="4A4A4A"/>
          <w:sz w:val="21"/>
          <w:szCs w:val="21"/>
          <w:lang w:eastAsia="en-GB"/>
        </w:rPr>
        <w:t xml:space="preserve">The household total consumption or income includes expenditures on health. </w:t>
      </w:r>
      <w:r w:rsidRPr="00645B6F">
        <w:rPr>
          <w:rFonts w:eastAsia="Times New Roman" w:cstheme="minorHAnsi"/>
          <w:color w:val="4A4A4A"/>
          <w:sz w:val="21"/>
          <w:szCs w:val="21"/>
          <w:lang w:eastAsia="en-GB"/>
        </w:rPr>
        <w:t>Information on household consumption is usually collected in household surveys that may use different approaches to measure ‘consumption’ depending on whether items refer to durable or non-durable goods and/or are directly produced by households.</w:t>
      </w:r>
    </w:p>
    <w:p w14:paraId="4DDF990D"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369D6515" w14:textId="25B5730F" w:rsidR="00B351A2"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most relevant measure of income is disposable income as it is close to the maximum available to the household for consumption expenditure during the </w:t>
      </w:r>
      <w:r w:rsidR="008A2BCC">
        <w:rPr>
          <w:rFonts w:eastAsia="Times New Roman" w:cstheme="minorHAnsi"/>
          <w:color w:val="4A4A4A"/>
          <w:sz w:val="21"/>
          <w:szCs w:val="21"/>
          <w:lang w:eastAsia="en-GB"/>
        </w:rPr>
        <w:t>reference</w:t>
      </w:r>
      <w:r w:rsidR="008A2BCC"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period. Disposable income is defined as total income less direct taxes (net of refunds), compulsory fees and fines. Total income is generally composed of income from employment, property income, income from household production of services for own consumption, transfers received in cash and goods,</w:t>
      </w:r>
      <w:r w:rsidR="00D2731F">
        <w:rPr>
          <w:rFonts w:eastAsia="Times New Roman" w:cstheme="minorHAnsi"/>
          <w:color w:val="4A4A4A"/>
          <w:sz w:val="21"/>
          <w:szCs w:val="21"/>
          <w:lang w:eastAsia="en-GB"/>
        </w:rPr>
        <w:t xml:space="preserve"> and</w:t>
      </w:r>
      <w:r w:rsidRPr="00645B6F">
        <w:rPr>
          <w:rFonts w:eastAsia="Times New Roman" w:cstheme="minorHAnsi"/>
          <w:color w:val="4A4A4A"/>
          <w:sz w:val="21"/>
          <w:szCs w:val="21"/>
          <w:lang w:eastAsia="en-GB"/>
        </w:rPr>
        <w:t xml:space="preserve"> transfers received as services</w:t>
      </w:r>
      <w:r w:rsidRPr="00645B6F">
        <w:rPr>
          <w:rFonts w:eastAsia="Times New Roman" w:cstheme="minorHAnsi"/>
          <w:color w:val="4A4A4A"/>
          <w:sz w:val="21"/>
          <w:szCs w:val="21"/>
          <w:vertAlign w:val="superscript"/>
          <w:lang w:eastAsia="en-GB"/>
        </w:rPr>
        <w:footnoteReference w:id="5"/>
      </w:r>
      <w:r w:rsidRPr="00645B6F">
        <w:rPr>
          <w:rFonts w:eastAsia="Times New Roman" w:cstheme="minorHAnsi"/>
          <w:color w:val="4A4A4A"/>
          <w:sz w:val="21"/>
          <w:szCs w:val="21"/>
          <w:lang w:eastAsia="en-GB"/>
        </w:rPr>
        <w:t xml:space="preserve">. </w:t>
      </w:r>
    </w:p>
    <w:p w14:paraId="2773E8D0" w14:textId="77777777" w:rsidR="00B351A2" w:rsidRDefault="00B351A2" w:rsidP="00A11A20">
      <w:pPr>
        <w:shd w:val="clear" w:color="auto" w:fill="FFFFFF"/>
        <w:spacing w:after="0"/>
        <w:jc w:val="both"/>
        <w:rPr>
          <w:rFonts w:eastAsia="Times New Roman" w:cstheme="minorHAnsi"/>
          <w:color w:val="4A4A4A"/>
          <w:sz w:val="21"/>
          <w:szCs w:val="21"/>
          <w:lang w:eastAsia="en-GB"/>
        </w:rPr>
      </w:pPr>
    </w:p>
    <w:p w14:paraId="15FF73FF" w14:textId="1412B26D" w:rsidR="00B55A32" w:rsidRPr="00645B6F" w:rsidRDefault="00B351A2" w:rsidP="00A11A20">
      <w:pPr>
        <w:shd w:val="clear" w:color="auto" w:fill="FFFFFF"/>
        <w:spacing w:after="0"/>
        <w:jc w:val="both"/>
        <w:rPr>
          <w:rFonts w:eastAsia="Times New Roman" w:cstheme="minorHAnsi"/>
          <w:color w:val="4A4A4A"/>
          <w:sz w:val="21"/>
          <w:szCs w:val="21"/>
          <w:lang w:eastAsia="en-GB"/>
        </w:rPr>
      </w:pPr>
      <w:r>
        <w:t xml:space="preserve"> </w:t>
      </w:r>
      <w:r w:rsidR="00336F9B" w:rsidRPr="00336F9B">
        <w:rPr>
          <w:rFonts w:eastAsia="Times New Roman" w:cstheme="minorHAnsi"/>
          <w:color w:val="4A4A4A"/>
          <w:sz w:val="21"/>
          <w:szCs w:val="21"/>
          <w:lang w:eastAsia="en-GB"/>
        </w:rPr>
        <w:t xml:space="preserve">Per capita income or consumption </w:t>
      </w:r>
      <w:r>
        <w:rPr>
          <w:rFonts w:eastAsia="Times New Roman" w:cstheme="minorHAnsi"/>
          <w:color w:val="4A4A4A"/>
          <w:sz w:val="21"/>
          <w:szCs w:val="21"/>
          <w:lang w:eastAsia="en-GB"/>
        </w:rPr>
        <w:t xml:space="preserve">expenditure </w:t>
      </w:r>
      <w:r w:rsidR="00336F9B" w:rsidRPr="00336F9B">
        <w:rPr>
          <w:rFonts w:eastAsia="Times New Roman" w:cstheme="minorHAnsi"/>
          <w:color w:val="4A4A4A"/>
          <w:sz w:val="21"/>
          <w:szCs w:val="21"/>
          <w:lang w:eastAsia="en-GB"/>
        </w:rPr>
        <w:t xml:space="preserve">is estimated using total household income or consumption </w:t>
      </w:r>
      <w:r>
        <w:rPr>
          <w:rFonts w:eastAsia="Times New Roman" w:cstheme="minorHAnsi"/>
          <w:color w:val="4A4A4A"/>
          <w:sz w:val="21"/>
          <w:szCs w:val="21"/>
          <w:lang w:eastAsia="en-GB"/>
        </w:rPr>
        <w:t>expenditure</w:t>
      </w:r>
      <w:r w:rsidR="00336F9B" w:rsidRPr="00336F9B">
        <w:rPr>
          <w:rFonts w:eastAsia="Times New Roman" w:cstheme="minorHAnsi"/>
          <w:color w:val="4A4A4A"/>
          <w:sz w:val="21"/>
          <w:szCs w:val="21"/>
          <w:lang w:eastAsia="en-GB"/>
        </w:rPr>
        <w:t xml:space="preserve"> divided by the total household size.</w:t>
      </w:r>
      <w:r w:rsidR="006B7424">
        <w:rPr>
          <w:rFonts w:eastAsia="Times New Roman" w:cstheme="minorHAnsi"/>
          <w:color w:val="4A4A4A"/>
          <w:sz w:val="21"/>
          <w:szCs w:val="21"/>
          <w:lang w:eastAsia="en-GB"/>
        </w:rPr>
        <w:t xml:space="preserve"> </w:t>
      </w:r>
      <w:r w:rsidR="00592A21">
        <w:rPr>
          <w:rFonts w:eastAsia="Times New Roman" w:cstheme="minorHAnsi"/>
          <w:color w:val="4A4A4A"/>
          <w:sz w:val="21"/>
          <w:szCs w:val="21"/>
          <w:lang w:eastAsia="en-GB"/>
        </w:rPr>
        <w:t xml:space="preserve"> </w:t>
      </w:r>
      <w:r w:rsidR="005E4BCC">
        <w:rPr>
          <w:rFonts w:eastAsia="Times New Roman" w:cstheme="minorHAnsi"/>
          <w:color w:val="4A4A4A"/>
          <w:sz w:val="21"/>
          <w:szCs w:val="21"/>
          <w:lang w:eastAsia="en-GB"/>
        </w:rPr>
        <w:t>These per capita values are further converted to daily equivalent by applying relevant constant factors. For example</w:t>
      </w:r>
      <w:r w:rsidR="00B228C1">
        <w:rPr>
          <w:rFonts w:eastAsia="Times New Roman" w:cstheme="minorHAnsi"/>
          <w:color w:val="4A4A4A"/>
          <w:sz w:val="21"/>
          <w:szCs w:val="21"/>
          <w:lang w:eastAsia="en-GB"/>
        </w:rPr>
        <w:t>,</w:t>
      </w:r>
      <w:r w:rsidR="005E4BCC">
        <w:rPr>
          <w:rFonts w:eastAsia="Times New Roman" w:cstheme="minorHAnsi"/>
          <w:color w:val="4A4A4A"/>
          <w:sz w:val="21"/>
          <w:szCs w:val="21"/>
          <w:lang w:eastAsia="en-GB"/>
        </w:rPr>
        <w:t xml:space="preserve"> if household per capita income is </w:t>
      </w:r>
      <w:r w:rsidR="003D6BD3">
        <w:rPr>
          <w:rFonts w:eastAsia="Times New Roman" w:cstheme="minorHAnsi"/>
          <w:color w:val="4A4A4A"/>
          <w:sz w:val="21"/>
          <w:szCs w:val="21"/>
          <w:lang w:eastAsia="en-GB"/>
        </w:rPr>
        <w:t>available for the year, then the amounts will be divided by 365.</w:t>
      </w:r>
    </w:p>
    <w:p w14:paraId="0411C32D"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3879380A"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Income is more difficult to measure accurately due to its greater variability over time. Consumption is less variable over time and easier to measure. It is therefore recommended that whenever there is information on both household consumption and income the former is used (see the “comments and limitations” section to learn more about the sensitivity of 3.8.2 to the income/expenditure choice in the denominator). Statistics on 3.8.2 currently produced by WHO and the World Bank predominantly rely on consumption (see section on data sources). </w:t>
      </w:r>
    </w:p>
    <w:p w14:paraId="10403983" w14:textId="77777777" w:rsidR="007F5653" w:rsidRDefault="007F5653" w:rsidP="00A11A20">
      <w:pPr>
        <w:shd w:val="clear" w:color="auto" w:fill="FFFFFF"/>
        <w:spacing w:after="0"/>
        <w:jc w:val="both"/>
        <w:rPr>
          <w:rFonts w:eastAsia="Times New Roman" w:cstheme="minorHAnsi"/>
          <w:color w:val="4A4A4A"/>
          <w:sz w:val="21"/>
          <w:szCs w:val="21"/>
          <w:lang w:eastAsia="en-GB"/>
        </w:rPr>
      </w:pPr>
    </w:p>
    <w:p w14:paraId="646E6326" w14:textId="5A6B363E" w:rsidR="007F5653" w:rsidRPr="00645B6F" w:rsidRDefault="007F5653" w:rsidP="00A11A20">
      <w:pPr>
        <w:shd w:val="clear" w:color="auto" w:fill="FFFFFF"/>
        <w:spacing w:after="0"/>
        <w:jc w:val="both"/>
        <w:rPr>
          <w:rFonts w:eastAsia="Times New Roman" w:cstheme="minorHAnsi"/>
          <w:color w:val="4A4A4A"/>
          <w:sz w:val="21"/>
          <w:szCs w:val="21"/>
          <w:lang w:eastAsia="en-GB"/>
        </w:rPr>
      </w:pPr>
      <w:r w:rsidRPr="004E157B">
        <w:rPr>
          <w:rFonts w:eastAsia="Times New Roman" w:cstheme="minorHAnsi"/>
          <w:color w:val="4A4A4A"/>
          <w:sz w:val="21"/>
          <w:szCs w:val="21"/>
          <w:lang w:eastAsia="en-GB"/>
        </w:rPr>
        <w:t>Th</w:t>
      </w:r>
      <w:r w:rsidR="005C3D32" w:rsidRPr="004E157B">
        <w:rPr>
          <w:rFonts w:eastAsia="Times New Roman" w:cstheme="minorHAnsi"/>
          <w:color w:val="4A4A4A"/>
          <w:sz w:val="21"/>
          <w:szCs w:val="21"/>
          <w:lang w:eastAsia="en-GB"/>
        </w:rPr>
        <w:t>is</w:t>
      </w:r>
      <w:r w:rsidRPr="004E157B">
        <w:rPr>
          <w:rFonts w:eastAsia="Times New Roman" w:cstheme="minorHAnsi"/>
          <w:color w:val="4A4A4A"/>
          <w:sz w:val="21"/>
          <w:szCs w:val="21"/>
          <w:lang w:eastAsia="en-GB"/>
        </w:rPr>
        <w:t xml:space="preserve"> indicator uses the same data on household income and consumption that is used for monitoring SDG indicators 1.1.1 and 10.1.1, which have been classified as Tier 1 indicators.</w:t>
      </w:r>
    </w:p>
    <w:p w14:paraId="1D67B54C" w14:textId="77777777" w:rsidR="00B55A32" w:rsidRDefault="00B55A32" w:rsidP="00A11A20">
      <w:pPr>
        <w:shd w:val="clear" w:color="auto" w:fill="FFFFFF"/>
        <w:spacing w:after="0"/>
        <w:jc w:val="both"/>
        <w:rPr>
          <w:rFonts w:eastAsia="Times New Roman" w:cstheme="minorHAnsi"/>
          <w:b/>
          <w:bCs/>
          <w:i/>
          <w:iCs/>
          <w:color w:val="4A4A4A"/>
          <w:sz w:val="21"/>
          <w:szCs w:val="21"/>
          <w:shd w:val="clear" w:color="auto" w:fill="FFFFFF"/>
          <w:lang w:eastAsia="en-GB"/>
        </w:rPr>
      </w:pPr>
    </w:p>
    <w:p w14:paraId="1FE04646" w14:textId="4007A2AE" w:rsidR="005139B5" w:rsidRPr="00A4055F" w:rsidRDefault="005139B5" w:rsidP="00A11A20">
      <w:pPr>
        <w:shd w:val="clear" w:color="auto" w:fill="FFFFFF"/>
        <w:spacing w:after="0"/>
        <w:jc w:val="both"/>
        <w:rPr>
          <w:rFonts w:eastAsia="Times New Roman" w:cstheme="minorHAnsi"/>
          <w:i/>
          <w:iCs/>
          <w:color w:val="4A4A4A"/>
          <w:sz w:val="21"/>
          <w:szCs w:val="21"/>
          <w:lang w:eastAsia="en-GB"/>
        </w:rPr>
      </w:pPr>
      <w:r>
        <w:rPr>
          <w:rFonts w:eastAsia="Times New Roman" w:cstheme="minorHAnsi"/>
          <w:i/>
          <w:iCs/>
          <w:color w:val="4A4A4A"/>
          <w:sz w:val="21"/>
          <w:szCs w:val="21"/>
          <w:lang w:eastAsia="en-GB"/>
        </w:rPr>
        <w:t>The societal poverty line</w:t>
      </w:r>
    </w:p>
    <w:p w14:paraId="011D9A09" w14:textId="1D77895E" w:rsidR="002B2D33" w:rsidRPr="00D44297" w:rsidRDefault="00686DB8" w:rsidP="00A11A20">
      <w:pPr>
        <w:shd w:val="clear" w:color="auto" w:fill="FFFFFF"/>
        <w:jc w:val="both"/>
        <w:rPr>
          <w:rFonts w:eastAsia="Times New Roman" w:cstheme="minorHAnsi"/>
          <w:color w:val="4A4A4A"/>
          <w:sz w:val="21"/>
          <w:szCs w:val="21"/>
          <w:lang w:val="en-US" w:eastAsia="en-GB"/>
        </w:rPr>
      </w:pPr>
      <w:r w:rsidRPr="00D44297">
        <w:rPr>
          <w:rFonts w:eastAsia="Times New Roman" w:cstheme="minorHAnsi"/>
          <w:color w:val="4A4A4A"/>
          <w:sz w:val="21"/>
          <w:szCs w:val="21"/>
          <w:lang w:eastAsia="en-GB"/>
        </w:rPr>
        <w:t>The</w:t>
      </w:r>
      <w:r>
        <w:rPr>
          <w:rFonts w:eastAsia="Times New Roman" w:cstheme="minorHAnsi"/>
          <w:color w:val="4A4A4A"/>
          <w:sz w:val="21"/>
          <w:szCs w:val="21"/>
          <w:lang w:eastAsia="en-GB"/>
        </w:rPr>
        <w:t xml:space="preserve"> soci</w:t>
      </w:r>
      <w:r w:rsidR="00183386">
        <w:rPr>
          <w:rFonts w:eastAsia="Times New Roman" w:cstheme="minorHAnsi"/>
          <w:color w:val="4A4A4A"/>
          <w:sz w:val="21"/>
          <w:szCs w:val="21"/>
          <w:lang w:eastAsia="en-GB"/>
        </w:rPr>
        <w:t xml:space="preserve">etal poverty line is </w:t>
      </w:r>
      <w:r w:rsidR="00557B24">
        <w:rPr>
          <w:rFonts w:eastAsia="Times New Roman" w:cstheme="minorHAnsi"/>
          <w:color w:val="4A4A4A"/>
          <w:sz w:val="21"/>
          <w:szCs w:val="21"/>
          <w:lang w:eastAsia="en-GB"/>
        </w:rPr>
        <w:t>a parameterization of a global relative poverty line,</w:t>
      </w:r>
      <w:r w:rsidR="001354E8">
        <w:rPr>
          <w:rFonts w:eastAsia="Times New Roman" w:cstheme="minorHAnsi"/>
          <w:color w:val="4A4A4A"/>
          <w:sz w:val="21"/>
          <w:szCs w:val="21"/>
          <w:lang w:eastAsia="en-GB"/>
        </w:rPr>
        <w:t xml:space="preserve"> </w:t>
      </w:r>
      <w:r w:rsidR="002B2D33">
        <w:rPr>
          <w:rFonts w:eastAsia="Times New Roman" w:cstheme="minorHAnsi"/>
          <w:color w:val="4A4A4A"/>
          <w:sz w:val="21"/>
          <w:szCs w:val="21"/>
          <w:lang w:eastAsia="en-GB"/>
        </w:rPr>
        <w:t>defined as the maximum between the international poverty line (</w:t>
      </w:r>
      <w:r w:rsidR="00C47617">
        <w:rPr>
          <w:rFonts w:eastAsia="Times New Roman" w:cstheme="minorHAnsi"/>
          <w:color w:val="4A4A4A"/>
          <w:sz w:val="21"/>
          <w:szCs w:val="21"/>
          <w:lang w:eastAsia="en-GB"/>
        </w:rPr>
        <w:t xml:space="preserve">as used by SDG indicator 1.1.1) and a </w:t>
      </w:r>
      <w:r w:rsidR="001D645E">
        <w:rPr>
          <w:rFonts w:eastAsia="Times New Roman" w:cstheme="minorHAnsi"/>
          <w:color w:val="4A4A4A"/>
          <w:sz w:val="21"/>
          <w:szCs w:val="21"/>
          <w:lang w:eastAsia="en-GB"/>
        </w:rPr>
        <w:t>formula that include a fixed element and a</w:t>
      </w:r>
      <w:r w:rsidR="00446E8B">
        <w:rPr>
          <w:rFonts w:eastAsia="Times New Roman" w:cstheme="minorHAnsi"/>
          <w:color w:val="4A4A4A"/>
          <w:sz w:val="21"/>
          <w:szCs w:val="21"/>
          <w:lang w:eastAsia="en-GB"/>
        </w:rPr>
        <w:t xml:space="preserve"> relative gradient</w:t>
      </w:r>
      <w:r w:rsidR="001D645E">
        <w:rPr>
          <w:rFonts w:eastAsia="Times New Roman" w:cstheme="minorHAnsi"/>
          <w:color w:val="4A4A4A"/>
          <w:sz w:val="21"/>
          <w:szCs w:val="21"/>
          <w:lang w:eastAsia="en-GB"/>
        </w:rPr>
        <w:t xml:space="preserve"> </w:t>
      </w:r>
      <w:r w:rsidR="00EF4561">
        <w:rPr>
          <w:rFonts w:eastAsia="Times New Roman" w:cstheme="minorHAnsi"/>
          <w:color w:val="4A4A4A"/>
          <w:sz w:val="21"/>
          <w:szCs w:val="21"/>
          <w:lang w:eastAsia="en-GB"/>
        </w:rPr>
        <w:t xml:space="preserve">in consumption or income levels. </w:t>
      </w:r>
      <w:r w:rsidR="006F3896">
        <w:rPr>
          <w:rFonts w:eastAsia="Times New Roman" w:cstheme="minorHAnsi"/>
          <w:color w:val="4A4A4A"/>
          <w:sz w:val="21"/>
          <w:szCs w:val="21"/>
          <w:lang w:eastAsia="en-GB"/>
        </w:rPr>
        <w:t xml:space="preserve">The societal poverty line was developed by the World Bank in </w:t>
      </w:r>
      <w:r w:rsidR="005D2B5B">
        <w:rPr>
          <w:rFonts w:eastAsia="Times New Roman" w:cstheme="minorHAnsi"/>
          <w:color w:val="4A4A4A"/>
          <w:sz w:val="21"/>
          <w:szCs w:val="21"/>
          <w:lang w:eastAsia="en-GB"/>
        </w:rPr>
        <w:t xml:space="preserve">2017 to </w:t>
      </w:r>
      <w:r w:rsidR="00A657DE">
        <w:rPr>
          <w:rFonts w:eastAsia="Times New Roman" w:cstheme="minorHAnsi"/>
          <w:color w:val="4A4A4A"/>
          <w:sz w:val="21"/>
          <w:szCs w:val="21"/>
          <w:lang w:eastAsia="en-GB"/>
        </w:rPr>
        <w:t xml:space="preserve">acknowledge that </w:t>
      </w:r>
      <w:r w:rsidR="0011674D" w:rsidRPr="0011674D">
        <w:rPr>
          <w:rFonts w:eastAsia="Times New Roman" w:cstheme="minorHAnsi"/>
          <w:color w:val="4A4A4A"/>
          <w:sz w:val="21"/>
          <w:szCs w:val="21"/>
          <w:lang w:val="en-US" w:eastAsia="en-GB"/>
        </w:rPr>
        <w:t>estimated minimum cost of needs and social participation</w:t>
      </w:r>
      <w:r w:rsidR="0011674D">
        <w:rPr>
          <w:rFonts w:eastAsia="Times New Roman" w:cstheme="minorHAnsi"/>
          <w:color w:val="4A4A4A"/>
          <w:sz w:val="21"/>
          <w:szCs w:val="21"/>
          <w:lang w:val="en-US" w:eastAsia="en-GB"/>
        </w:rPr>
        <w:t xml:space="preserve"> varies across countries an over time, </w:t>
      </w:r>
      <w:r w:rsidR="00424316">
        <w:rPr>
          <w:rFonts w:eastAsia="Times New Roman" w:cstheme="minorHAnsi"/>
          <w:color w:val="4A4A4A"/>
          <w:sz w:val="21"/>
          <w:szCs w:val="21"/>
          <w:lang w:val="en-US" w:eastAsia="en-GB"/>
        </w:rPr>
        <w:t>conditional on the overall level of</w:t>
      </w:r>
      <w:r w:rsidR="0011674D">
        <w:rPr>
          <w:rFonts w:eastAsia="Times New Roman" w:cstheme="minorHAnsi"/>
          <w:color w:val="4A4A4A"/>
          <w:sz w:val="21"/>
          <w:szCs w:val="21"/>
          <w:lang w:val="en-US" w:eastAsia="en-GB"/>
        </w:rPr>
        <w:t xml:space="preserve"> economic </w:t>
      </w:r>
      <w:r w:rsidR="00424316">
        <w:rPr>
          <w:rFonts w:eastAsia="Times New Roman" w:cstheme="minorHAnsi"/>
          <w:color w:val="4A4A4A"/>
          <w:sz w:val="21"/>
          <w:szCs w:val="21"/>
          <w:lang w:val="en-US" w:eastAsia="en-GB"/>
        </w:rPr>
        <w:t>development</w:t>
      </w:r>
      <w:r w:rsidR="0011674D">
        <w:rPr>
          <w:rFonts w:eastAsia="Times New Roman" w:cstheme="minorHAnsi"/>
          <w:color w:val="4A4A4A"/>
          <w:sz w:val="21"/>
          <w:szCs w:val="21"/>
          <w:lang w:val="en-US" w:eastAsia="en-GB"/>
        </w:rPr>
        <w:t>.</w:t>
      </w:r>
      <w:r w:rsidR="0011674D" w:rsidRPr="0011674D">
        <w:rPr>
          <w:rFonts w:eastAsia="Times New Roman" w:cstheme="minorHAnsi"/>
          <w:color w:val="4A4A4A"/>
          <w:sz w:val="21"/>
          <w:szCs w:val="21"/>
          <w:lang w:val="en-US" w:eastAsia="en-GB"/>
        </w:rPr>
        <w:t xml:space="preserve"> </w:t>
      </w:r>
    </w:p>
    <w:p w14:paraId="16F69A38" w14:textId="50A4C287" w:rsidR="001C18EC" w:rsidRDefault="001C18EC" w:rsidP="00A11A20">
      <w:pPr>
        <w:shd w:val="clear" w:color="auto" w:fill="FFFFFF"/>
        <w:spacing w:after="0"/>
        <w:jc w:val="both"/>
        <w:rPr>
          <w:rFonts w:eastAsia="Times New Roman" w:cstheme="minorHAnsi"/>
          <w:color w:val="4A4A4A"/>
          <w:sz w:val="21"/>
          <w:szCs w:val="21"/>
          <w:lang w:eastAsia="en-GB"/>
        </w:rPr>
      </w:pPr>
      <w:r w:rsidRPr="008C5A3B">
        <w:rPr>
          <w:rFonts w:eastAsia="Times New Roman" w:cstheme="minorHAnsi"/>
          <w:color w:val="4A4A4A"/>
          <w:sz w:val="21"/>
          <w:szCs w:val="21"/>
          <w:lang w:eastAsia="en-GB"/>
        </w:rPr>
        <w:t xml:space="preserve">Other methods can be used the assess the cost of basic needs </w:t>
      </w:r>
      <w:r w:rsidR="00A82C61" w:rsidRPr="008C5A3B">
        <w:rPr>
          <w:rFonts w:eastAsia="Times New Roman" w:cstheme="minorHAnsi"/>
          <w:color w:val="4A4A4A"/>
          <w:sz w:val="21"/>
          <w:szCs w:val="21"/>
          <w:lang w:eastAsia="en-GB"/>
        </w:rPr>
        <w:t>and define a discretionary budget</w:t>
      </w:r>
      <w:r w:rsidRPr="008C5A3B">
        <w:rPr>
          <w:rFonts w:eastAsia="Times New Roman" w:cstheme="minorHAnsi"/>
          <w:color w:val="4A4A4A"/>
          <w:sz w:val="21"/>
          <w:szCs w:val="21"/>
          <w:lang w:eastAsia="en-GB"/>
        </w:rPr>
        <w:t>.</w:t>
      </w:r>
      <w:r w:rsidR="00645412" w:rsidRPr="008C5A3B">
        <w:rPr>
          <w:rFonts w:eastAsia="Times New Roman" w:cstheme="minorHAnsi"/>
          <w:color w:val="4A4A4A"/>
          <w:sz w:val="21"/>
          <w:szCs w:val="21"/>
          <w:lang w:eastAsia="en-GB"/>
        </w:rPr>
        <w:t xml:space="preserve"> </w:t>
      </w:r>
      <w:r w:rsidR="0017610B" w:rsidRPr="008C5A3B">
        <w:rPr>
          <w:rFonts w:eastAsia="Times New Roman" w:cstheme="minorHAnsi"/>
          <w:color w:val="4A4A4A"/>
          <w:sz w:val="21"/>
          <w:szCs w:val="21"/>
          <w:lang w:eastAsia="en-GB"/>
        </w:rPr>
        <w:t xml:space="preserve">Since cross-country comparability is an important </w:t>
      </w:r>
      <w:r w:rsidR="008879D8" w:rsidRPr="008C5A3B">
        <w:rPr>
          <w:rFonts w:eastAsia="Times New Roman" w:cstheme="minorHAnsi"/>
          <w:color w:val="4A4A4A"/>
          <w:sz w:val="21"/>
          <w:szCs w:val="21"/>
          <w:lang w:eastAsia="en-GB"/>
        </w:rPr>
        <w:t xml:space="preserve">property in a global SDG monitoring </w:t>
      </w:r>
      <w:r w:rsidR="00610510" w:rsidRPr="008C5A3B">
        <w:rPr>
          <w:rFonts w:eastAsia="Times New Roman" w:cstheme="minorHAnsi"/>
          <w:color w:val="4A4A4A"/>
          <w:sz w:val="21"/>
          <w:szCs w:val="21"/>
          <w:lang w:eastAsia="en-GB"/>
        </w:rPr>
        <w:t xml:space="preserve">framework, the use of a single definition </w:t>
      </w:r>
      <w:r w:rsidR="0022739E" w:rsidRPr="008C5A3B">
        <w:rPr>
          <w:rFonts w:eastAsia="Times New Roman" w:cstheme="minorHAnsi"/>
          <w:color w:val="4A4A4A"/>
          <w:sz w:val="21"/>
          <w:szCs w:val="21"/>
          <w:lang w:eastAsia="en-GB"/>
        </w:rPr>
        <w:t>for the cost of basic needs which is relevant across all countries</w:t>
      </w:r>
      <w:r w:rsidR="001F5453" w:rsidRPr="008C5A3B">
        <w:rPr>
          <w:rFonts w:eastAsia="Times New Roman" w:cstheme="minorHAnsi"/>
          <w:color w:val="4A4A4A"/>
          <w:sz w:val="21"/>
          <w:szCs w:val="21"/>
          <w:lang w:eastAsia="en-GB"/>
        </w:rPr>
        <w:t xml:space="preserve"> (the SPL)</w:t>
      </w:r>
      <w:r w:rsidR="0022739E" w:rsidRPr="008C5A3B">
        <w:rPr>
          <w:rFonts w:eastAsia="Times New Roman" w:cstheme="minorHAnsi"/>
          <w:color w:val="4A4A4A"/>
          <w:sz w:val="21"/>
          <w:szCs w:val="21"/>
          <w:lang w:eastAsia="en-GB"/>
        </w:rPr>
        <w:t xml:space="preserve"> is a preferred</w:t>
      </w:r>
      <w:r w:rsidR="00353BC6">
        <w:rPr>
          <w:rFonts w:eastAsia="Times New Roman" w:cstheme="minorHAnsi"/>
          <w:color w:val="4A4A4A"/>
          <w:sz w:val="21"/>
          <w:szCs w:val="21"/>
          <w:lang w:eastAsia="en-GB"/>
        </w:rPr>
        <w:t xml:space="preserve"> </w:t>
      </w:r>
      <w:r w:rsidR="0022739E" w:rsidRPr="008C5A3B">
        <w:rPr>
          <w:rFonts w:eastAsia="Times New Roman" w:cstheme="minorHAnsi"/>
          <w:color w:val="4A4A4A"/>
          <w:sz w:val="21"/>
          <w:szCs w:val="21"/>
          <w:lang w:eastAsia="en-GB"/>
        </w:rPr>
        <w:lastRenderedPageBreak/>
        <w:t xml:space="preserve">approach. Moreover, </w:t>
      </w:r>
      <w:r w:rsidR="00FB25AA" w:rsidRPr="008C5A3B">
        <w:rPr>
          <w:rFonts w:eastAsia="Times New Roman" w:cstheme="minorHAnsi"/>
          <w:color w:val="4A4A4A"/>
          <w:sz w:val="21"/>
          <w:szCs w:val="21"/>
          <w:lang w:eastAsia="en-GB"/>
        </w:rPr>
        <w:t xml:space="preserve">the SPL is calibrated </w:t>
      </w:r>
      <w:r w:rsidR="00725526" w:rsidRPr="008C5A3B">
        <w:rPr>
          <w:rFonts w:eastAsia="Times New Roman" w:cstheme="minorHAnsi"/>
          <w:color w:val="4A4A4A"/>
          <w:sz w:val="21"/>
          <w:szCs w:val="21"/>
          <w:lang w:eastAsia="en-GB"/>
        </w:rPr>
        <w:t xml:space="preserve">as the closest empirical fit to existing </w:t>
      </w:r>
      <w:r w:rsidR="00AB40CA" w:rsidRPr="008C5A3B">
        <w:rPr>
          <w:rFonts w:eastAsia="Times New Roman" w:cstheme="minorHAnsi"/>
          <w:color w:val="4A4A4A"/>
          <w:sz w:val="21"/>
          <w:szCs w:val="21"/>
          <w:lang w:eastAsia="en-GB"/>
        </w:rPr>
        <w:t>definitions of national poverty lines</w:t>
      </w:r>
      <w:r w:rsidR="008C5A3B" w:rsidRPr="008C5A3B">
        <w:rPr>
          <w:rStyle w:val="FootnoteReference"/>
          <w:rFonts w:eastAsia="Times New Roman" w:cstheme="minorHAnsi"/>
          <w:color w:val="4A4A4A"/>
          <w:sz w:val="21"/>
          <w:szCs w:val="21"/>
          <w:lang w:eastAsia="en-GB"/>
        </w:rPr>
        <w:footnoteReference w:id="6"/>
      </w:r>
      <w:r w:rsidR="00AB40CA" w:rsidRPr="008C5A3B">
        <w:rPr>
          <w:rFonts w:eastAsia="Times New Roman" w:cstheme="minorHAnsi"/>
          <w:color w:val="4A4A4A"/>
          <w:sz w:val="21"/>
          <w:szCs w:val="21"/>
          <w:lang w:eastAsia="en-GB"/>
        </w:rPr>
        <w:t>.</w:t>
      </w:r>
      <w:r w:rsidR="00AB40CA">
        <w:rPr>
          <w:rFonts w:eastAsia="Times New Roman" w:cstheme="minorHAnsi"/>
          <w:color w:val="4A4A4A"/>
          <w:sz w:val="21"/>
          <w:szCs w:val="21"/>
          <w:lang w:eastAsia="en-GB"/>
        </w:rPr>
        <w:t xml:space="preserve"> </w:t>
      </w:r>
    </w:p>
    <w:p w14:paraId="1012192D" w14:textId="77777777" w:rsidR="00353BC6" w:rsidRPr="00645B6F" w:rsidRDefault="00353BC6" w:rsidP="00A11A20">
      <w:pPr>
        <w:shd w:val="clear" w:color="auto" w:fill="FFFFFF"/>
        <w:spacing w:after="0"/>
        <w:jc w:val="both"/>
        <w:rPr>
          <w:rFonts w:eastAsia="Times New Roman" w:cstheme="minorHAnsi"/>
          <w:color w:val="4A4A4A"/>
          <w:sz w:val="21"/>
          <w:szCs w:val="21"/>
          <w:lang w:eastAsia="en-GB"/>
        </w:rPr>
      </w:pPr>
    </w:p>
    <w:p w14:paraId="700EC94D" w14:textId="08DDFDEF" w:rsidR="00B55A32" w:rsidRDefault="002525E3"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I</w:t>
      </w:r>
      <w:r w:rsidR="000B4F4F" w:rsidRPr="000B4F4F">
        <w:rPr>
          <w:rFonts w:eastAsia="Times New Roman" w:cstheme="minorHAnsi"/>
          <w:color w:val="4A4A4A"/>
          <w:sz w:val="21"/>
          <w:szCs w:val="21"/>
          <w:lang w:eastAsia="en-GB"/>
        </w:rPr>
        <w:t>t is argued that out-of-pocket household expenditure on health are a source of financial hardship when they exceed a given threshold of household’s discretionary budget.  The 40% cut-off value is chosen based on international practice</w:t>
      </w:r>
      <w:r w:rsidR="002725DD">
        <w:rPr>
          <w:rStyle w:val="FootnoteReference"/>
          <w:rFonts w:eastAsia="Times New Roman" w:cstheme="minorHAnsi"/>
          <w:color w:val="4A4A4A"/>
          <w:sz w:val="21"/>
          <w:szCs w:val="21"/>
          <w:lang w:eastAsia="en-GB"/>
        </w:rPr>
        <w:footnoteReference w:id="7"/>
      </w:r>
      <w:r w:rsidR="00222794">
        <w:rPr>
          <w:rFonts w:eastAsia="Times New Roman" w:cstheme="minorHAnsi"/>
          <w:color w:val="4A4A4A"/>
          <w:sz w:val="21"/>
          <w:szCs w:val="21"/>
          <w:lang w:eastAsia="en-GB"/>
        </w:rPr>
        <w:t>.</w:t>
      </w:r>
      <w:r w:rsidR="00222794" w:rsidRPr="00222794">
        <w:t xml:space="preserve"> </w:t>
      </w:r>
      <w:r w:rsidR="00222794" w:rsidRPr="00222794">
        <w:rPr>
          <w:rFonts w:eastAsia="Times New Roman" w:cstheme="minorHAnsi"/>
          <w:color w:val="4A4A4A"/>
          <w:sz w:val="21"/>
          <w:szCs w:val="21"/>
          <w:lang w:eastAsia="en-GB"/>
        </w:rPr>
        <w:t xml:space="preserve">Previous research </w:t>
      </w:r>
      <w:r w:rsidR="00222794">
        <w:rPr>
          <w:rFonts w:eastAsia="Times New Roman" w:cstheme="minorHAnsi"/>
          <w:color w:val="4A4A4A"/>
          <w:sz w:val="21"/>
          <w:szCs w:val="21"/>
          <w:lang w:eastAsia="en-GB"/>
        </w:rPr>
        <w:t>has shown</w:t>
      </w:r>
      <w:r w:rsidR="00222794" w:rsidRPr="00222794">
        <w:rPr>
          <w:rFonts w:eastAsia="Times New Roman" w:cstheme="minorHAnsi"/>
          <w:color w:val="4A4A4A"/>
          <w:sz w:val="21"/>
          <w:szCs w:val="21"/>
          <w:lang w:eastAsia="en-GB"/>
        </w:rPr>
        <w:t xml:space="preserve"> that discretionary budget approaches are more robust to the choice of the threshold for cross-country comparison</w:t>
      </w:r>
      <w:r w:rsidR="00222794">
        <w:rPr>
          <w:rFonts w:eastAsia="Times New Roman" w:cstheme="minorHAnsi"/>
          <w:color w:val="4A4A4A"/>
          <w:sz w:val="21"/>
          <w:szCs w:val="21"/>
          <w:lang w:eastAsia="en-GB"/>
        </w:rPr>
        <w:t xml:space="preserve"> than </w:t>
      </w:r>
      <w:r w:rsidR="00D91E98">
        <w:rPr>
          <w:rFonts w:eastAsia="Times New Roman" w:cstheme="minorHAnsi"/>
          <w:color w:val="4A4A4A"/>
          <w:sz w:val="21"/>
          <w:szCs w:val="21"/>
          <w:lang w:eastAsia="en-GB"/>
        </w:rPr>
        <w:t>methods based on household total budget</w:t>
      </w:r>
      <w:r w:rsidR="00903084">
        <w:rPr>
          <w:rStyle w:val="FootnoteReference"/>
          <w:rFonts w:eastAsia="Times New Roman" w:cstheme="minorHAnsi"/>
          <w:color w:val="4A4A4A"/>
          <w:sz w:val="21"/>
          <w:szCs w:val="21"/>
          <w:lang w:eastAsia="en-GB"/>
        </w:rPr>
        <w:footnoteReference w:id="8"/>
      </w:r>
      <w:r w:rsidR="00D91E98">
        <w:rPr>
          <w:rFonts w:eastAsia="Times New Roman" w:cstheme="minorHAnsi"/>
          <w:color w:val="4A4A4A"/>
          <w:sz w:val="21"/>
          <w:szCs w:val="21"/>
          <w:lang w:eastAsia="en-GB"/>
        </w:rPr>
        <w:t>.</w:t>
      </w:r>
      <w:r w:rsidR="00222794" w:rsidRPr="00222794">
        <w:rPr>
          <w:rFonts w:eastAsia="Times New Roman" w:cstheme="minorHAnsi"/>
          <w:color w:val="4A4A4A"/>
          <w:sz w:val="21"/>
          <w:szCs w:val="21"/>
          <w:lang w:eastAsia="en-GB"/>
        </w:rPr>
        <w:t xml:space="preserve"> </w:t>
      </w:r>
      <w:r w:rsidR="00222794">
        <w:rPr>
          <w:rFonts w:eastAsia="Times New Roman" w:cstheme="minorHAnsi"/>
          <w:color w:val="4A4A4A"/>
          <w:sz w:val="21"/>
          <w:szCs w:val="21"/>
          <w:lang w:eastAsia="en-GB"/>
        </w:rPr>
        <w:t xml:space="preserve"> </w:t>
      </w:r>
    </w:p>
    <w:p w14:paraId="76429799" w14:textId="77777777" w:rsidR="00353BC6" w:rsidRPr="00645B6F" w:rsidRDefault="00353BC6" w:rsidP="00A11A20">
      <w:pPr>
        <w:shd w:val="clear" w:color="auto" w:fill="FFFFFF"/>
        <w:spacing w:after="0"/>
        <w:jc w:val="both"/>
        <w:rPr>
          <w:rFonts w:eastAsia="Times New Roman" w:cstheme="minorHAnsi"/>
          <w:color w:val="4A4A4A"/>
          <w:sz w:val="21"/>
          <w:szCs w:val="21"/>
          <w:lang w:eastAsia="en-GB"/>
        </w:rPr>
      </w:pPr>
    </w:p>
    <w:p w14:paraId="3CFCB03F" w14:textId="77777777" w:rsidR="00AF2722" w:rsidRPr="00A96255" w:rsidRDefault="00AF2722" w:rsidP="00AF2722">
      <w:pPr>
        <w:pStyle w:val="MHeader2"/>
      </w:pPr>
      <w:r w:rsidRPr="00A96255">
        <w:t xml:space="preserve">2.b. Unit of measure </w:t>
      </w:r>
      <w:r>
        <w:rPr>
          <w:color w:val="B4B4B4"/>
          <w:sz w:val="20"/>
        </w:rPr>
        <w:t>(UNIT_MEASURE)</w:t>
      </w:r>
    </w:p>
    <w:p w14:paraId="1CAE3771" w14:textId="63136B52" w:rsidR="00576CFA" w:rsidRPr="00645B6F" w:rsidRDefault="00A96492" w:rsidP="00A11A20">
      <w:pPr>
        <w:pStyle w:val="MText"/>
        <w:jc w:val="both"/>
        <w:rPr>
          <w:rFonts w:cstheme="minorHAnsi"/>
        </w:rPr>
      </w:pPr>
      <w:r>
        <w:rPr>
          <w:rFonts w:cstheme="minorHAnsi"/>
        </w:rPr>
        <w:t xml:space="preserve">Percent (%). The unit of measure is the </w:t>
      </w:r>
      <w:r w:rsidR="00F035EF">
        <w:rPr>
          <w:rFonts w:cstheme="minorHAnsi"/>
        </w:rPr>
        <w:t>proportion of people</w:t>
      </w:r>
      <w:r>
        <w:rPr>
          <w:rFonts w:cstheme="minorHAnsi"/>
        </w:rPr>
        <w:t>.</w:t>
      </w:r>
    </w:p>
    <w:p w14:paraId="548E9AAA" w14:textId="77777777" w:rsidR="00EC2915" w:rsidRPr="00645B6F" w:rsidRDefault="00EC2915" w:rsidP="00A11A20">
      <w:pPr>
        <w:pStyle w:val="MText"/>
        <w:jc w:val="both"/>
        <w:rPr>
          <w:rFonts w:cstheme="minorHAnsi"/>
        </w:rPr>
      </w:pPr>
    </w:p>
    <w:p w14:paraId="032FC954" w14:textId="77777777" w:rsidR="00AF2722" w:rsidRPr="00A96255" w:rsidRDefault="00AF2722" w:rsidP="00AF2722">
      <w:pPr>
        <w:pStyle w:val="MHeader2"/>
      </w:pPr>
      <w:r w:rsidRPr="00A96255">
        <w:t xml:space="preserve">2.c. Classifications </w:t>
      </w:r>
      <w:r>
        <w:rPr>
          <w:color w:val="B4B4B4"/>
          <w:sz w:val="20"/>
        </w:rPr>
        <w:t>(CLASS_SYSTEM)</w:t>
      </w:r>
    </w:p>
    <w:p w14:paraId="3928E4BB" w14:textId="04B3B127" w:rsidR="00085481" w:rsidRPr="00645B6F" w:rsidRDefault="00085481" w:rsidP="00A11A20">
      <w:pPr>
        <w:shd w:val="clear" w:color="auto" w:fill="FFFFFF"/>
        <w:spacing w:after="0"/>
        <w:jc w:val="both"/>
        <w:rPr>
          <w:rFonts w:eastAsia="Times New Roman" w:cstheme="minorHAnsi"/>
          <w:i/>
          <w:iCs/>
          <w:color w:val="404040" w:themeColor="text1" w:themeTint="BF"/>
          <w:sz w:val="21"/>
          <w:szCs w:val="21"/>
          <w:lang w:eastAsia="en-GB"/>
        </w:rPr>
      </w:pPr>
      <w:r w:rsidRPr="00645B6F">
        <w:rPr>
          <w:rFonts w:eastAsia="Times New Roman" w:cstheme="minorHAnsi"/>
          <w:i/>
          <w:iCs/>
          <w:color w:val="404040" w:themeColor="text1" w:themeTint="BF"/>
          <w:sz w:val="21"/>
          <w:szCs w:val="21"/>
          <w:lang w:eastAsia="en-GB"/>
        </w:rPr>
        <w:t xml:space="preserve">For the definition of </w:t>
      </w:r>
      <w:r w:rsidR="002E4676">
        <w:rPr>
          <w:rFonts w:eastAsia="Times New Roman" w:cstheme="minorHAnsi"/>
          <w:i/>
          <w:iCs/>
          <w:color w:val="404040" w:themeColor="text1" w:themeTint="BF"/>
          <w:sz w:val="21"/>
          <w:szCs w:val="21"/>
          <w:lang w:eastAsia="en-GB"/>
        </w:rPr>
        <w:t>out-of-pocket household expenditure on health:</w:t>
      </w:r>
    </w:p>
    <w:p w14:paraId="70DBB87E" w14:textId="77777777" w:rsidR="00085481" w:rsidRPr="00645B6F" w:rsidRDefault="00085481" w:rsidP="00A11A20">
      <w:pPr>
        <w:numPr>
          <w:ilvl w:val="0"/>
          <w:numId w:val="9"/>
        </w:numPr>
        <w:shd w:val="clear" w:color="auto" w:fill="FFFFFF"/>
        <w:spacing w:after="0" w:line="240" w:lineRule="auto"/>
        <w:contextualSpacing/>
        <w:jc w:val="both"/>
        <w:rPr>
          <w:rFonts w:eastAsia="Times New Roman" w:cstheme="minorHAnsi"/>
          <w:color w:val="404040" w:themeColor="text1" w:themeTint="BF"/>
          <w:sz w:val="21"/>
          <w:szCs w:val="21"/>
          <w:lang w:eastAsia="en-GB"/>
        </w:rPr>
      </w:pPr>
      <w:hyperlink r:id="rId12" w:history="1">
        <w:r w:rsidRPr="00645B6F">
          <w:rPr>
            <w:rFonts w:eastAsia="SimSun" w:cstheme="minorHAnsi"/>
            <w:color w:val="0000FF" w:themeColor="hyperlink"/>
            <w:sz w:val="18"/>
            <w:szCs w:val="18"/>
            <w:u w:val="single"/>
          </w:rPr>
          <w:t>http://www.oecd-ilibrary.org/social-issues-migration-health/a-system-of-health-accounts/classification-of-health-care-financing-schemes-icha-hf_9789264116016-9-en</w:t>
        </w:r>
      </w:hyperlink>
      <w:r w:rsidRPr="00645B6F">
        <w:rPr>
          <w:rFonts w:eastAsia="Times New Roman" w:cstheme="minorHAnsi"/>
          <w:color w:val="404040" w:themeColor="text1" w:themeTint="BF"/>
          <w:sz w:val="21"/>
          <w:szCs w:val="21"/>
          <w:u w:val="single"/>
          <w:lang w:eastAsia="en-GB"/>
        </w:rPr>
        <w:t xml:space="preserve"> </w:t>
      </w:r>
    </w:p>
    <w:p w14:paraId="38419C74" w14:textId="77777777" w:rsidR="00085481" w:rsidRPr="00645B6F" w:rsidRDefault="00085481" w:rsidP="00A11A20">
      <w:pPr>
        <w:shd w:val="clear" w:color="auto" w:fill="FFFFFF"/>
        <w:spacing w:after="0"/>
        <w:jc w:val="both"/>
        <w:rPr>
          <w:rFonts w:eastAsia="Times New Roman" w:cstheme="minorHAnsi"/>
          <w:i/>
          <w:iCs/>
          <w:color w:val="404040" w:themeColor="text1" w:themeTint="BF"/>
          <w:sz w:val="21"/>
          <w:szCs w:val="21"/>
          <w:lang w:eastAsia="en-GB"/>
        </w:rPr>
      </w:pPr>
    </w:p>
    <w:p w14:paraId="481BF085" w14:textId="1DDC25DF" w:rsidR="00085481" w:rsidRPr="00645B6F" w:rsidRDefault="00085481" w:rsidP="00A11A20">
      <w:pPr>
        <w:shd w:val="clear" w:color="auto" w:fill="FFFFFF"/>
        <w:spacing w:after="0"/>
        <w:jc w:val="both"/>
        <w:rPr>
          <w:rFonts w:eastAsia="Times New Roman" w:cstheme="minorHAnsi"/>
          <w:i/>
          <w:iCs/>
          <w:color w:val="404040" w:themeColor="text1" w:themeTint="BF"/>
          <w:sz w:val="21"/>
          <w:szCs w:val="21"/>
          <w:lang w:eastAsia="en-GB"/>
        </w:rPr>
      </w:pPr>
      <w:r w:rsidRPr="00645B6F">
        <w:rPr>
          <w:rFonts w:eastAsia="Times New Roman" w:cstheme="minorHAnsi"/>
          <w:i/>
          <w:iCs/>
          <w:color w:val="404040" w:themeColor="text1" w:themeTint="BF"/>
          <w:sz w:val="21"/>
          <w:szCs w:val="21"/>
          <w:lang w:eastAsia="en-GB"/>
        </w:rPr>
        <w:t xml:space="preserve">For the components of </w:t>
      </w:r>
      <w:r w:rsidR="00343D5F">
        <w:rPr>
          <w:rFonts w:eastAsia="Times New Roman" w:cstheme="minorHAnsi"/>
          <w:i/>
          <w:iCs/>
          <w:color w:val="404040" w:themeColor="text1" w:themeTint="BF"/>
          <w:sz w:val="21"/>
          <w:szCs w:val="21"/>
          <w:lang w:eastAsia="en-GB"/>
        </w:rPr>
        <w:t>out-of-pocket household expenditure on health</w:t>
      </w:r>
      <w:r w:rsidR="00343D5F" w:rsidRPr="00645B6F" w:rsidDel="00343D5F">
        <w:rPr>
          <w:rFonts w:eastAsia="Times New Roman" w:cstheme="minorHAnsi"/>
          <w:i/>
          <w:iCs/>
          <w:color w:val="404040" w:themeColor="text1" w:themeTint="BF"/>
          <w:sz w:val="21"/>
          <w:szCs w:val="21"/>
          <w:lang w:eastAsia="en-GB"/>
        </w:rPr>
        <w:t xml:space="preserve"> </w:t>
      </w:r>
      <w:r w:rsidR="00343D5F">
        <w:rPr>
          <w:rFonts w:eastAsia="Times New Roman" w:cstheme="minorHAnsi"/>
          <w:i/>
          <w:iCs/>
          <w:color w:val="404040" w:themeColor="text1" w:themeTint="BF"/>
          <w:sz w:val="21"/>
          <w:szCs w:val="21"/>
          <w:lang w:eastAsia="en-GB"/>
        </w:rPr>
        <w:t>:</w:t>
      </w:r>
    </w:p>
    <w:p w14:paraId="72E70B1C" w14:textId="77777777" w:rsidR="00085481" w:rsidRPr="00645B6F" w:rsidRDefault="00085481" w:rsidP="00A11A20">
      <w:pPr>
        <w:numPr>
          <w:ilvl w:val="0"/>
          <w:numId w:val="9"/>
        </w:numPr>
        <w:shd w:val="clear" w:color="auto" w:fill="FFFFFF"/>
        <w:spacing w:after="0" w:line="240" w:lineRule="auto"/>
        <w:contextualSpacing/>
        <w:jc w:val="both"/>
        <w:rPr>
          <w:rFonts w:eastAsia="Times New Roman" w:cstheme="minorHAnsi"/>
          <w:color w:val="404040" w:themeColor="text1" w:themeTint="BF"/>
          <w:sz w:val="21"/>
          <w:szCs w:val="21"/>
          <w:lang w:eastAsia="en-GB"/>
        </w:rPr>
      </w:pPr>
      <w:r w:rsidRPr="00645B6F">
        <w:rPr>
          <w:rFonts w:eastAsia="Times New Roman" w:cstheme="minorHAnsi"/>
          <w:color w:val="404040" w:themeColor="text1" w:themeTint="BF"/>
          <w:sz w:val="21"/>
          <w:szCs w:val="21"/>
          <w:lang w:eastAsia="en-GB"/>
        </w:rPr>
        <w:t xml:space="preserve">division 06 of the UN Classification of Individual Consumption According to Purpose (COICOP) </w:t>
      </w:r>
      <w:hyperlink r:id="rId13" w:history="1">
        <w:r w:rsidRPr="00645B6F">
          <w:rPr>
            <w:rFonts w:eastAsia="SimSun" w:cstheme="minorHAnsi"/>
            <w:color w:val="0000FF" w:themeColor="hyperlink"/>
            <w:sz w:val="18"/>
            <w:szCs w:val="18"/>
            <w:u w:val="single"/>
          </w:rPr>
          <w:t>https://unstats.un.org/unsd/class/revisions/coicop_revision.asp</w:t>
        </w:r>
      </w:hyperlink>
      <w:r w:rsidRPr="00645B6F">
        <w:rPr>
          <w:rFonts w:eastAsia="SimSun" w:cstheme="minorHAnsi"/>
          <w:color w:val="404040" w:themeColor="text1" w:themeTint="BF"/>
          <w:sz w:val="18"/>
          <w:szCs w:val="18"/>
        </w:rPr>
        <w:t xml:space="preserve">; </w:t>
      </w:r>
      <w:hyperlink r:id="rId14" w:history="1">
        <w:r w:rsidRPr="00645B6F">
          <w:rPr>
            <w:rFonts w:eastAsia="SimSun" w:cstheme="minorHAnsi"/>
            <w:color w:val="0000FF" w:themeColor="hyperlink"/>
            <w:sz w:val="18"/>
            <w:szCs w:val="18"/>
            <w:u w:val="single"/>
          </w:rPr>
          <w:t>http://unstats.un.org/unsd/cr/registry/regcs.asp?Cl=5&amp;Lg=1&amp;Co=06.1</w:t>
        </w:r>
      </w:hyperlink>
      <w:r w:rsidRPr="00645B6F">
        <w:rPr>
          <w:rFonts w:eastAsia="Times New Roman" w:cstheme="minorHAnsi"/>
          <w:color w:val="404040" w:themeColor="text1" w:themeTint="BF"/>
          <w:sz w:val="21"/>
          <w:szCs w:val="21"/>
          <w:u w:val="single"/>
          <w:lang w:eastAsia="en-GB"/>
        </w:rPr>
        <w:t xml:space="preserve"> </w:t>
      </w:r>
    </w:p>
    <w:p w14:paraId="3D384BA8" w14:textId="54711B4E" w:rsidR="00EC2915" w:rsidRPr="00645B6F" w:rsidRDefault="00EC2915" w:rsidP="00A11A20">
      <w:pPr>
        <w:pStyle w:val="MText"/>
        <w:jc w:val="both"/>
        <w:rPr>
          <w:rFonts w:cstheme="minorHAnsi"/>
        </w:rPr>
      </w:pPr>
    </w:p>
    <w:p w14:paraId="123172F4" w14:textId="21A59A48" w:rsidR="00F719A8" w:rsidRPr="00C95B87" w:rsidRDefault="002A769E" w:rsidP="00A11A20">
      <w:pPr>
        <w:pStyle w:val="MText"/>
        <w:jc w:val="both"/>
        <w:rPr>
          <w:rFonts w:cstheme="minorHAnsi"/>
          <w:color w:val="404040" w:themeColor="text1" w:themeTint="BF"/>
        </w:rPr>
      </w:pPr>
      <w:r w:rsidRPr="00804740">
        <w:rPr>
          <w:rFonts w:cstheme="minorHAnsi"/>
          <w:i/>
          <w:iCs/>
        </w:rPr>
        <w:t>For the components of household total consumption</w:t>
      </w:r>
      <w:r w:rsidR="00343D5F">
        <w:rPr>
          <w:rFonts w:cstheme="minorHAnsi"/>
          <w:i/>
          <w:iCs/>
        </w:rPr>
        <w:t>:</w:t>
      </w:r>
      <w:r w:rsidR="008D4AEA" w:rsidRPr="00804740">
        <w:rPr>
          <w:rFonts w:cstheme="minorHAnsi"/>
          <w:i/>
          <w:iCs/>
        </w:rPr>
        <w:t xml:space="preserve"> </w:t>
      </w:r>
    </w:p>
    <w:p w14:paraId="05F085C4" w14:textId="774876A2" w:rsidR="002A769E" w:rsidRDefault="002A769E" w:rsidP="00A11A20">
      <w:pPr>
        <w:pStyle w:val="MText"/>
        <w:numPr>
          <w:ilvl w:val="0"/>
          <w:numId w:val="9"/>
        </w:numPr>
        <w:jc w:val="both"/>
        <w:rPr>
          <w:rFonts w:cstheme="minorHAnsi"/>
        </w:rPr>
      </w:pPr>
      <w:r w:rsidRPr="00645B6F">
        <w:rPr>
          <w:rFonts w:cstheme="minorHAnsi"/>
          <w:color w:val="404040" w:themeColor="text1" w:themeTint="BF"/>
        </w:rPr>
        <w:t xml:space="preserve">UN Classification of Individual Consumption According to Purpose (COICOP) </w:t>
      </w:r>
      <w:hyperlink r:id="rId15" w:history="1">
        <w:r w:rsidRPr="00645B6F">
          <w:rPr>
            <w:rFonts w:eastAsia="SimSun" w:cstheme="minorHAnsi"/>
            <w:color w:val="0000FF" w:themeColor="hyperlink"/>
            <w:sz w:val="18"/>
            <w:szCs w:val="18"/>
            <w:u w:val="single"/>
          </w:rPr>
          <w:t>https://unstats.un.org/unsd/class/revisions/coicop_revision.asp</w:t>
        </w:r>
      </w:hyperlink>
      <w:r w:rsidRPr="00645B6F">
        <w:rPr>
          <w:rFonts w:eastAsia="SimSun" w:cstheme="minorHAnsi"/>
          <w:color w:val="404040" w:themeColor="text1" w:themeTint="BF"/>
          <w:sz w:val="18"/>
          <w:szCs w:val="18"/>
        </w:rPr>
        <w:t xml:space="preserve">; </w:t>
      </w:r>
      <w:hyperlink r:id="rId16" w:history="1">
        <w:r w:rsidRPr="00645B6F">
          <w:rPr>
            <w:rFonts w:eastAsia="SimSun" w:cstheme="minorHAnsi"/>
            <w:color w:val="0000FF" w:themeColor="hyperlink"/>
            <w:sz w:val="18"/>
            <w:szCs w:val="18"/>
            <w:u w:val="single"/>
          </w:rPr>
          <w:t>http://unstats.un.org/unsd/cr/registry/regcs.asp?Cl=5&amp;Lg=1&amp;Co=06.1</w:t>
        </w:r>
      </w:hyperlink>
    </w:p>
    <w:p w14:paraId="43C96CD7" w14:textId="77777777" w:rsidR="002A769E" w:rsidRPr="00645B6F" w:rsidRDefault="002A769E" w:rsidP="00A11A20">
      <w:pPr>
        <w:pStyle w:val="MText"/>
        <w:jc w:val="both"/>
        <w:rPr>
          <w:rFonts w:cstheme="minorHAnsi"/>
        </w:rPr>
      </w:pPr>
    </w:p>
    <w:p w14:paraId="4F528421" w14:textId="77777777" w:rsidR="00AF2722" w:rsidRPr="00F719A8" w:rsidRDefault="00AF2722" w:rsidP="00AF2722">
      <w:pPr>
        <w:pStyle w:val="MHeader"/>
      </w:pPr>
      <w:r w:rsidRPr="00F719A8">
        <w:t xml:space="preserve">3. Data source type and data collection method </w:t>
      </w:r>
      <w:r>
        <w:rPr>
          <w:color w:val="B4B4B4"/>
          <w:sz w:val="20"/>
        </w:rPr>
        <w:t>(SRC_TYPE_COLL_METHOD)</w:t>
      </w:r>
    </w:p>
    <w:p w14:paraId="2BA3BE55" w14:textId="77777777" w:rsidR="00AF2722" w:rsidRPr="00A96255" w:rsidRDefault="00AF2722" w:rsidP="00AF2722">
      <w:pPr>
        <w:pStyle w:val="MHeader2"/>
      </w:pPr>
      <w:r w:rsidRPr="00A96255">
        <w:t xml:space="preserve">3.a. Data sources </w:t>
      </w:r>
      <w:r>
        <w:rPr>
          <w:color w:val="B4B4B4"/>
          <w:sz w:val="20"/>
        </w:rPr>
        <w:t>(SOURCE_TYPE)</w:t>
      </w:r>
    </w:p>
    <w:p w14:paraId="3018A8D8" w14:textId="167D5143" w:rsidR="00EC2915" w:rsidRDefault="00B55A32" w:rsidP="00A11A20">
      <w:pPr>
        <w:shd w:val="clear" w:color="auto" w:fill="FFFFFF"/>
        <w:spacing w:after="0"/>
        <w:jc w:val="both"/>
        <w:rPr>
          <w:rFonts w:eastAsia="TT15Ct00" w:cstheme="minorHAnsi"/>
          <w:color w:val="4A4A4A"/>
          <w:sz w:val="21"/>
          <w:szCs w:val="21"/>
          <w:lang w:eastAsia="en-GB"/>
        </w:rPr>
      </w:pPr>
      <w:r w:rsidRPr="00645B6F">
        <w:rPr>
          <w:rFonts w:eastAsia="TT15Ct00" w:cstheme="minorHAnsi"/>
          <w:color w:val="4A4A4A"/>
          <w:sz w:val="21"/>
          <w:szCs w:val="21"/>
          <w:lang w:eastAsia="en-GB"/>
        </w:rPr>
        <w:t>The recommended data sources for the monitoring of th</w:t>
      </w:r>
      <w:r w:rsidR="00A6264D">
        <w:rPr>
          <w:rFonts w:eastAsia="TT15Ct00" w:cstheme="minorHAnsi"/>
          <w:color w:val="4A4A4A"/>
          <w:sz w:val="21"/>
          <w:szCs w:val="21"/>
          <w:lang w:eastAsia="en-GB"/>
        </w:rPr>
        <w:t xml:space="preserve">is indicator </w:t>
      </w:r>
      <w:r w:rsidRPr="00645B6F">
        <w:rPr>
          <w:rFonts w:eastAsia="TT15Ct00" w:cstheme="minorHAnsi"/>
          <w:color w:val="4A4A4A"/>
          <w:sz w:val="21"/>
          <w:szCs w:val="21"/>
          <w:lang w:eastAsia="en-GB"/>
        </w:rPr>
        <w:t xml:space="preserve">are household surveys with information on both household consumption expenditure on health and total household consumption expenditures, which are routinely conducted by </w:t>
      </w:r>
      <w:r w:rsidR="00F03422">
        <w:rPr>
          <w:rFonts w:eastAsia="TT15Ct00" w:cstheme="minorHAnsi"/>
          <w:color w:val="4A4A4A"/>
          <w:sz w:val="21"/>
          <w:szCs w:val="21"/>
          <w:lang w:eastAsia="en-GB"/>
        </w:rPr>
        <w:t>N</w:t>
      </w:r>
      <w:r w:rsidRPr="00645B6F">
        <w:rPr>
          <w:rFonts w:eastAsia="TT15Ct00" w:cstheme="minorHAnsi"/>
          <w:color w:val="4A4A4A"/>
          <w:sz w:val="21"/>
          <w:szCs w:val="21"/>
          <w:lang w:eastAsia="en-GB"/>
        </w:rPr>
        <w:t xml:space="preserve">ational </w:t>
      </w:r>
      <w:r w:rsidR="00F03422">
        <w:rPr>
          <w:rFonts w:eastAsia="TT15Ct00" w:cstheme="minorHAnsi"/>
          <w:color w:val="4A4A4A"/>
          <w:sz w:val="21"/>
          <w:szCs w:val="21"/>
          <w:lang w:eastAsia="en-GB"/>
        </w:rPr>
        <w:t>S</w:t>
      </w:r>
      <w:r w:rsidR="00F03422" w:rsidRPr="00645B6F">
        <w:rPr>
          <w:rFonts w:eastAsia="TT15Ct00" w:cstheme="minorHAnsi"/>
          <w:color w:val="4A4A4A"/>
          <w:sz w:val="21"/>
          <w:szCs w:val="21"/>
          <w:lang w:eastAsia="en-GB"/>
        </w:rPr>
        <w:t xml:space="preserve">tatistical </w:t>
      </w:r>
      <w:r w:rsidR="00F03422">
        <w:rPr>
          <w:rFonts w:eastAsia="TT15Ct00" w:cstheme="minorHAnsi"/>
          <w:color w:val="4A4A4A"/>
          <w:sz w:val="21"/>
          <w:szCs w:val="21"/>
          <w:lang w:eastAsia="en-GB"/>
        </w:rPr>
        <w:t>O</w:t>
      </w:r>
      <w:r w:rsidR="00F03422" w:rsidRPr="00645B6F">
        <w:rPr>
          <w:rFonts w:eastAsia="TT15Ct00" w:cstheme="minorHAnsi"/>
          <w:color w:val="4A4A4A"/>
          <w:sz w:val="21"/>
          <w:szCs w:val="21"/>
          <w:lang w:eastAsia="en-GB"/>
        </w:rPr>
        <w:t>ffices</w:t>
      </w:r>
      <w:r w:rsidR="00F03422">
        <w:rPr>
          <w:rFonts w:eastAsia="TT15Ct00" w:cstheme="minorHAnsi"/>
          <w:color w:val="4A4A4A"/>
          <w:sz w:val="21"/>
          <w:szCs w:val="21"/>
          <w:lang w:eastAsia="en-GB"/>
        </w:rPr>
        <w:t xml:space="preserve"> </w:t>
      </w:r>
      <w:r w:rsidR="00F03422" w:rsidRPr="00090AB4">
        <w:rPr>
          <w:color w:val="4A4A4A"/>
          <w:sz w:val="21"/>
          <w:szCs w:val="21"/>
        </w:rPr>
        <w:t>(NSOs)</w:t>
      </w:r>
      <w:r w:rsidRPr="00645B6F">
        <w:rPr>
          <w:rFonts w:eastAsia="TT15Ct00" w:cstheme="minorHAnsi"/>
          <w:color w:val="4A4A4A"/>
          <w:sz w:val="21"/>
          <w:szCs w:val="21"/>
          <w:lang w:eastAsia="en-GB"/>
        </w:rPr>
        <w:t xml:space="preserve">. Household budget surveys (HBS) and household income and expenditure surveys (HIES) typically collect these as they are primarily conducted to provide inputs to the calculation of consumer price indices or the compilation of national accounts. Another potential source of information is socio-economic or living standards surveys; however, some of these surveys may not collect information on total household consumption expenditures – for example, when a country measures poverty using income as the welfare </w:t>
      </w:r>
      <w:r w:rsidR="00D11A48">
        <w:rPr>
          <w:rFonts w:eastAsia="TT15Ct00" w:cstheme="minorHAnsi"/>
          <w:color w:val="4A4A4A"/>
          <w:sz w:val="21"/>
          <w:szCs w:val="21"/>
          <w:lang w:eastAsia="en-GB"/>
        </w:rPr>
        <w:t>indicator</w:t>
      </w:r>
      <w:r w:rsidRPr="00645B6F">
        <w:rPr>
          <w:rFonts w:eastAsia="TT15Ct00" w:cstheme="minorHAnsi"/>
          <w:color w:val="404040" w:themeColor="text1" w:themeTint="BF"/>
          <w:sz w:val="21"/>
          <w:szCs w:val="21"/>
          <w:vertAlign w:val="superscript"/>
          <w:lang w:eastAsia="en-GB"/>
        </w:rPr>
        <w:footnoteReference w:id="9"/>
      </w:r>
      <w:r w:rsidRPr="00645B6F">
        <w:rPr>
          <w:rFonts w:eastAsia="TT15Ct00" w:cstheme="minorHAnsi"/>
          <w:color w:val="4A4A4A"/>
          <w:sz w:val="21"/>
          <w:szCs w:val="21"/>
          <w:lang w:eastAsia="en-GB"/>
        </w:rPr>
        <w:t xml:space="preserve">. The most </w:t>
      </w:r>
      <w:r w:rsidRPr="00645B6F">
        <w:rPr>
          <w:rFonts w:eastAsia="TT15Ct00" w:cstheme="minorHAnsi"/>
          <w:color w:val="4A4A4A"/>
          <w:sz w:val="21"/>
          <w:szCs w:val="21"/>
          <w:lang w:eastAsia="en-GB"/>
        </w:rPr>
        <w:lastRenderedPageBreak/>
        <w:t>important criterion for selecting a data source to measure SDG indicator 3.8.2 is the availability of both household consumption expenditure on health and total household consumption expenditures.</w:t>
      </w:r>
    </w:p>
    <w:p w14:paraId="37B0E3DE" w14:textId="77777777" w:rsidR="002C3311" w:rsidRPr="00645B6F" w:rsidRDefault="002C3311" w:rsidP="00A11A20">
      <w:pPr>
        <w:shd w:val="clear" w:color="auto" w:fill="FFFFFF"/>
        <w:spacing w:after="0"/>
        <w:jc w:val="both"/>
        <w:rPr>
          <w:rFonts w:cstheme="minorHAnsi"/>
        </w:rPr>
      </w:pPr>
    </w:p>
    <w:p w14:paraId="201E2226" w14:textId="77777777" w:rsidR="00AF2722" w:rsidRPr="00A96255" w:rsidRDefault="00AF2722" w:rsidP="00AF2722">
      <w:pPr>
        <w:pStyle w:val="MHeader2"/>
      </w:pPr>
      <w:r w:rsidRPr="00A96255">
        <w:t xml:space="preserve">3.b. Data collection method </w:t>
      </w:r>
      <w:r>
        <w:rPr>
          <w:color w:val="B4B4B4"/>
          <w:sz w:val="20"/>
        </w:rPr>
        <w:t>(COLL_METHOD)</w:t>
      </w:r>
    </w:p>
    <w:p w14:paraId="28CAC0F4" w14:textId="77777777" w:rsidR="00A2013F" w:rsidRDefault="000F6F22"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WHO and the World Bank contact Ministries of Health and</w:t>
      </w:r>
      <w:r w:rsidR="00126F77">
        <w:rPr>
          <w:rFonts w:eastAsia="Times New Roman" w:cstheme="minorHAnsi"/>
          <w:color w:val="4A4A4A"/>
          <w:sz w:val="21"/>
          <w:szCs w:val="21"/>
          <w:lang w:eastAsia="en-GB"/>
        </w:rPr>
        <w:t>/or</w:t>
      </w:r>
      <w:r>
        <w:rPr>
          <w:rFonts w:eastAsia="Times New Roman" w:cstheme="minorHAnsi"/>
          <w:color w:val="4A4A4A"/>
          <w:sz w:val="21"/>
          <w:szCs w:val="21"/>
          <w:lang w:eastAsia="en-GB"/>
        </w:rPr>
        <w:t xml:space="preserve"> National statistical offices </w:t>
      </w:r>
      <w:r w:rsidR="001503CF">
        <w:rPr>
          <w:rFonts w:eastAsia="Times New Roman" w:cstheme="minorHAnsi"/>
          <w:color w:val="4A4A4A"/>
          <w:sz w:val="21"/>
          <w:szCs w:val="21"/>
          <w:lang w:eastAsia="en-GB"/>
        </w:rPr>
        <w:t>for two purposes: a) request access to the household survey microdata in order to produce SDG indicator 3.8.2; b) request estimates produced by the count</w:t>
      </w:r>
      <w:r w:rsidR="00946846">
        <w:rPr>
          <w:rFonts w:eastAsia="Times New Roman" w:cstheme="minorHAnsi"/>
          <w:color w:val="4A4A4A"/>
          <w:sz w:val="21"/>
          <w:szCs w:val="21"/>
          <w:lang w:eastAsia="en-GB"/>
        </w:rPr>
        <w:t xml:space="preserve">ry itself. </w:t>
      </w:r>
    </w:p>
    <w:p w14:paraId="4441B616" w14:textId="77777777" w:rsidR="00A2013F" w:rsidRDefault="00A2013F" w:rsidP="00A11A20">
      <w:pPr>
        <w:shd w:val="clear" w:color="auto" w:fill="FFFFFF"/>
        <w:spacing w:after="0"/>
        <w:jc w:val="both"/>
        <w:rPr>
          <w:rFonts w:eastAsia="Times New Roman" w:cstheme="minorHAnsi"/>
          <w:color w:val="4A4A4A"/>
          <w:sz w:val="21"/>
          <w:szCs w:val="21"/>
          <w:lang w:eastAsia="en-GB"/>
        </w:rPr>
      </w:pPr>
    </w:p>
    <w:p w14:paraId="189CA2E0" w14:textId="1C54E1D7" w:rsidR="00B55A32" w:rsidRDefault="00A2013F"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A)</w:t>
      </w:r>
      <w:r w:rsidR="00946846">
        <w:rPr>
          <w:rFonts w:eastAsia="Times New Roman" w:cstheme="minorHAnsi"/>
          <w:color w:val="4A4A4A"/>
          <w:sz w:val="21"/>
          <w:szCs w:val="21"/>
          <w:lang w:eastAsia="en-GB"/>
        </w:rPr>
        <w:t xml:space="preserve"> The first</w:t>
      </w:r>
      <w:r w:rsidR="00C12808">
        <w:rPr>
          <w:rFonts w:eastAsia="Times New Roman" w:cstheme="minorHAnsi"/>
          <w:color w:val="4A4A4A"/>
          <w:sz w:val="21"/>
          <w:szCs w:val="21"/>
          <w:lang w:eastAsia="en-GB"/>
        </w:rPr>
        <w:t xml:space="preserve"> type</w:t>
      </w:r>
      <w:r w:rsidR="00946846">
        <w:rPr>
          <w:rFonts w:eastAsia="Times New Roman" w:cstheme="minorHAnsi"/>
          <w:color w:val="4A4A4A"/>
          <w:sz w:val="21"/>
          <w:szCs w:val="21"/>
          <w:lang w:eastAsia="en-GB"/>
        </w:rPr>
        <w:t xml:space="preserve"> </w:t>
      </w:r>
      <w:r w:rsidR="00126F77">
        <w:rPr>
          <w:rFonts w:eastAsia="Times New Roman" w:cstheme="minorHAnsi"/>
          <w:color w:val="4A4A4A"/>
          <w:sz w:val="21"/>
          <w:szCs w:val="21"/>
          <w:lang w:eastAsia="en-GB"/>
        </w:rPr>
        <w:t xml:space="preserve">of </w:t>
      </w:r>
      <w:r w:rsidR="00946846">
        <w:rPr>
          <w:rFonts w:eastAsia="Times New Roman" w:cstheme="minorHAnsi"/>
          <w:color w:val="4A4A4A"/>
          <w:sz w:val="21"/>
          <w:szCs w:val="21"/>
          <w:lang w:eastAsia="en-GB"/>
        </w:rPr>
        <w:t>request is done by each organization separately</w:t>
      </w:r>
      <w:r w:rsidR="00C12808">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WHO obtains</w:t>
      </w:r>
      <w:r w:rsidR="007D2821">
        <w:rPr>
          <w:rFonts w:eastAsia="Times New Roman" w:cstheme="minorHAnsi"/>
          <w:color w:val="4A4A4A"/>
          <w:sz w:val="21"/>
          <w:szCs w:val="21"/>
          <w:lang w:eastAsia="en-GB"/>
        </w:rPr>
        <w:t xml:space="preserve"> access to the</w:t>
      </w:r>
      <w:r w:rsidR="00B55A32" w:rsidRPr="00645B6F">
        <w:rPr>
          <w:rFonts w:eastAsia="Times New Roman" w:cstheme="minorHAnsi"/>
          <w:color w:val="4A4A4A"/>
          <w:sz w:val="21"/>
          <w:szCs w:val="21"/>
          <w:lang w:eastAsia="en-GB"/>
        </w:rPr>
        <w:t xml:space="preserve"> household survey </w:t>
      </w:r>
      <w:r w:rsidR="007D2821">
        <w:rPr>
          <w:rFonts w:eastAsia="Times New Roman" w:cstheme="minorHAnsi"/>
          <w:color w:val="4A4A4A"/>
          <w:sz w:val="21"/>
          <w:szCs w:val="21"/>
          <w:lang w:eastAsia="en-GB"/>
        </w:rPr>
        <w:t>micro</w:t>
      </w:r>
      <w:r w:rsidR="00B55A32" w:rsidRPr="00645B6F">
        <w:rPr>
          <w:rFonts w:eastAsia="Times New Roman" w:cstheme="minorHAnsi"/>
          <w:color w:val="4A4A4A"/>
          <w:sz w:val="21"/>
          <w:szCs w:val="21"/>
          <w:lang w:eastAsia="en-GB"/>
        </w:rPr>
        <w:t>data from national statistical offices</w:t>
      </w:r>
      <w:r w:rsidR="002C29DF">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through its regional offices or country offices</w:t>
      </w:r>
      <w:r w:rsidR="002C29DF">
        <w:rPr>
          <w:rFonts w:eastAsia="Times New Roman" w:cstheme="minorHAnsi"/>
          <w:color w:val="4A4A4A"/>
          <w:sz w:val="21"/>
          <w:szCs w:val="21"/>
          <w:lang w:eastAsia="en-GB"/>
        </w:rPr>
        <w:t xml:space="preserve">. Access request is </w:t>
      </w:r>
      <w:r w:rsidR="0027144E">
        <w:rPr>
          <w:rFonts w:eastAsia="Times New Roman" w:cstheme="minorHAnsi"/>
          <w:color w:val="4A4A4A"/>
          <w:sz w:val="21"/>
          <w:szCs w:val="21"/>
          <w:lang w:eastAsia="en-GB"/>
        </w:rPr>
        <w:t>often part of technical assistance programs on health financing issues.</w:t>
      </w:r>
    </w:p>
    <w:p w14:paraId="7213D45A" w14:textId="77777777" w:rsidR="00FB77BF" w:rsidRPr="00645B6F" w:rsidRDefault="00FB77BF" w:rsidP="00A11A20">
      <w:pPr>
        <w:shd w:val="clear" w:color="auto" w:fill="FFFFFF"/>
        <w:spacing w:after="0"/>
        <w:jc w:val="both"/>
        <w:rPr>
          <w:rFonts w:eastAsia="Times New Roman" w:cstheme="minorHAnsi"/>
          <w:color w:val="4A4A4A"/>
          <w:sz w:val="21"/>
          <w:szCs w:val="21"/>
          <w:lang w:eastAsia="en-GB"/>
        </w:rPr>
      </w:pPr>
    </w:p>
    <w:p w14:paraId="4C2138C7" w14:textId="6E20A1E6"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World Bank also typically receives data from National Statistical Offices (NSOs) directly. In other cases</w:t>
      </w:r>
      <w:r w:rsidR="001C508A">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it uses NSO data received indirectly. For example, it receives data from Eurostat and from LIS (Luxembourg Income Study), who provide the World Bank NSO data </w:t>
      </w:r>
      <w:r w:rsidR="001F59D1">
        <w:rPr>
          <w:rFonts w:eastAsia="Times New Roman" w:cstheme="minorHAnsi"/>
          <w:color w:val="4A4A4A"/>
          <w:sz w:val="21"/>
          <w:szCs w:val="21"/>
          <w:lang w:eastAsia="en-GB"/>
        </w:rPr>
        <w:t>i</w:t>
      </w:r>
      <w:r w:rsidR="00095128">
        <w:rPr>
          <w:rFonts w:eastAsia="Times New Roman" w:cstheme="minorHAnsi"/>
          <w:color w:val="4A4A4A"/>
          <w:sz w:val="21"/>
          <w:szCs w:val="21"/>
          <w:lang w:eastAsia="en-GB"/>
        </w:rPr>
        <w:t>n</w:t>
      </w:r>
      <w:r w:rsidR="001F59D1">
        <w:rPr>
          <w:rFonts w:eastAsia="Times New Roman" w:cstheme="minorHAnsi"/>
          <w:color w:val="4A4A4A"/>
          <w:sz w:val="21"/>
          <w:szCs w:val="21"/>
          <w:lang w:eastAsia="en-GB"/>
        </w:rPr>
        <w:t xml:space="preserve"> its original form</w:t>
      </w:r>
      <w:r w:rsidRPr="00645B6F">
        <w:rPr>
          <w:rFonts w:eastAsia="Times New Roman" w:cstheme="minorHAnsi"/>
          <w:color w:val="4A4A4A"/>
          <w:sz w:val="21"/>
          <w:szCs w:val="21"/>
          <w:lang w:eastAsia="en-GB"/>
        </w:rPr>
        <w:t xml:space="preserve"> </w:t>
      </w:r>
      <w:r w:rsidR="001F59D1">
        <w:rPr>
          <w:rFonts w:eastAsia="Times New Roman" w:cstheme="minorHAnsi"/>
          <w:color w:val="4A4A4A"/>
          <w:sz w:val="21"/>
          <w:szCs w:val="21"/>
          <w:lang w:eastAsia="en-GB"/>
        </w:rPr>
        <w:t>or</w:t>
      </w:r>
      <w:r w:rsidRPr="00645B6F">
        <w:rPr>
          <w:rFonts w:eastAsia="Times New Roman" w:cstheme="minorHAnsi"/>
          <w:color w:val="4A4A4A"/>
          <w:sz w:val="21"/>
          <w:szCs w:val="21"/>
          <w:lang w:eastAsia="en-GB"/>
        </w:rPr>
        <w:t xml:space="preserve"> harmonized</w:t>
      </w:r>
      <w:r w:rsidR="005D6D92">
        <w:rPr>
          <w:rFonts w:eastAsia="Times New Roman" w:cstheme="minorHAnsi"/>
          <w:color w:val="4A4A4A"/>
          <w:sz w:val="21"/>
          <w:szCs w:val="21"/>
          <w:lang w:eastAsia="en-GB"/>
        </w:rPr>
        <w:t xml:space="preserve"> for comparability</w:t>
      </w:r>
      <w:r w:rsidRPr="00645B6F">
        <w:rPr>
          <w:rFonts w:eastAsia="Times New Roman" w:cstheme="minorHAnsi"/>
          <w:color w:val="4A4A4A"/>
          <w:sz w:val="21"/>
          <w:szCs w:val="21"/>
          <w:lang w:eastAsia="en-GB"/>
        </w:rPr>
        <w:t xml:space="preserve">.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 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r>
    </w:p>
    <w:p w14:paraId="318BF61F" w14:textId="79576982" w:rsidR="00B55A32" w:rsidRDefault="00B55A32" w:rsidP="00A11A20">
      <w:pPr>
        <w:shd w:val="clear" w:color="auto" w:fill="FFFFFF"/>
        <w:spacing w:after="0"/>
        <w:jc w:val="both"/>
        <w:rPr>
          <w:rFonts w:eastAsia="Times New Roman" w:cstheme="minorHAnsi"/>
          <w:color w:val="4A4A4A"/>
          <w:sz w:val="21"/>
          <w:szCs w:val="21"/>
          <w:lang w:eastAsia="en-GB"/>
        </w:rPr>
      </w:pPr>
    </w:p>
    <w:p w14:paraId="4A7BE50D" w14:textId="64D60303" w:rsidR="000F33C8" w:rsidRDefault="00CF7C5C"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The</w:t>
      </w:r>
      <w:r w:rsidRPr="00645B6F">
        <w:rPr>
          <w:rFonts w:eastAsia="Times New Roman" w:cstheme="minorHAnsi"/>
          <w:color w:val="4A4A4A"/>
          <w:sz w:val="21"/>
          <w:szCs w:val="21"/>
          <w:lang w:eastAsia="en-GB"/>
        </w:rPr>
        <w:t xml:space="preserve"> World Health Organization and the World Bank regularly undertake training events on the measurement of lack of financial protection coverage </w:t>
      </w:r>
      <w:r w:rsidR="00E11870">
        <w:rPr>
          <w:rFonts w:eastAsia="Times New Roman" w:cstheme="minorHAnsi"/>
          <w:color w:val="4A4A4A"/>
          <w:sz w:val="21"/>
          <w:szCs w:val="21"/>
          <w:lang w:eastAsia="en-GB"/>
        </w:rPr>
        <w:t>to</w:t>
      </w:r>
      <w:r w:rsidR="0010408D">
        <w:rPr>
          <w:rFonts w:eastAsia="Times New Roman" w:cstheme="minorHAnsi"/>
          <w:color w:val="4A4A4A"/>
          <w:sz w:val="21"/>
          <w:szCs w:val="21"/>
          <w:lang w:eastAsia="en-GB"/>
        </w:rPr>
        <w:t xml:space="preserve"> produce SDG 3.8.2 indicator</w:t>
      </w:r>
      <w:r w:rsidR="00E11870">
        <w:rPr>
          <w:rFonts w:eastAsia="Times New Roman" w:cstheme="minorHAnsi"/>
          <w:color w:val="4A4A4A"/>
          <w:sz w:val="21"/>
          <w:szCs w:val="21"/>
          <w:lang w:eastAsia="en-GB"/>
        </w:rPr>
        <w:t>. This type of activity</w:t>
      </w:r>
      <w:r w:rsidRPr="00645B6F">
        <w:rPr>
          <w:rFonts w:eastAsia="Times New Roman" w:cstheme="minorHAnsi"/>
          <w:color w:val="4A4A4A"/>
          <w:sz w:val="21"/>
          <w:szCs w:val="21"/>
          <w:lang w:eastAsia="en-GB"/>
        </w:rPr>
        <w:t xml:space="preserve"> involves participants from the Ministry of Health as well as from the National Statistical Office.</w:t>
      </w:r>
      <w:r w:rsidR="00264C18">
        <w:rPr>
          <w:rFonts w:eastAsia="Times New Roman" w:cstheme="minorHAnsi"/>
          <w:color w:val="4A4A4A"/>
          <w:sz w:val="21"/>
          <w:szCs w:val="21"/>
          <w:lang w:eastAsia="en-GB"/>
        </w:rPr>
        <w:t xml:space="preserve"> </w:t>
      </w:r>
    </w:p>
    <w:p w14:paraId="6EF75C6F" w14:textId="77777777" w:rsidR="000F33C8" w:rsidRDefault="000F33C8" w:rsidP="00A11A20">
      <w:pPr>
        <w:shd w:val="clear" w:color="auto" w:fill="FFFFFF"/>
        <w:spacing w:after="0"/>
        <w:jc w:val="both"/>
        <w:rPr>
          <w:rFonts w:eastAsia="Times New Roman" w:cstheme="minorHAnsi"/>
          <w:color w:val="4A4A4A"/>
          <w:sz w:val="21"/>
          <w:szCs w:val="21"/>
          <w:lang w:eastAsia="en-GB"/>
        </w:rPr>
      </w:pPr>
    </w:p>
    <w:p w14:paraId="18C7230F" w14:textId="20A1BC1C" w:rsidR="0010408D" w:rsidRDefault="00264C18"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All the </w:t>
      </w:r>
      <w:r w:rsidR="00443539">
        <w:rPr>
          <w:rFonts w:eastAsia="Times New Roman" w:cstheme="minorHAnsi"/>
          <w:color w:val="4A4A4A"/>
          <w:sz w:val="21"/>
          <w:szCs w:val="21"/>
          <w:lang w:eastAsia="en-GB"/>
        </w:rPr>
        <w:t xml:space="preserve">country-year </w:t>
      </w:r>
      <w:r>
        <w:rPr>
          <w:rFonts w:eastAsia="Times New Roman" w:cstheme="minorHAnsi"/>
          <w:color w:val="4A4A4A"/>
          <w:sz w:val="21"/>
          <w:szCs w:val="21"/>
          <w:lang w:eastAsia="en-GB"/>
        </w:rPr>
        <w:t>estimates produced by both organizations are assembled in a joint database</w:t>
      </w:r>
      <w:r w:rsidR="00443539">
        <w:rPr>
          <w:rFonts w:eastAsia="Times New Roman" w:cstheme="minorHAnsi"/>
          <w:color w:val="4A4A4A"/>
          <w:sz w:val="21"/>
          <w:szCs w:val="21"/>
          <w:lang w:eastAsia="en-GB"/>
        </w:rPr>
        <w:t xml:space="preserve"> following a quality </w:t>
      </w:r>
      <w:r w:rsidR="008465FB">
        <w:rPr>
          <w:rFonts w:eastAsia="Times New Roman" w:cstheme="minorHAnsi"/>
          <w:color w:val="4A4A4A"/>
          <w:sz w:val="21"/>
          <w:szCs w:val="21"/>
          <w:lang w:eastAsia="en-GB"/>
        </w:rPr>
        <w:t>assessment process (see section 4.j)</w:t>
      </w:r>
      <w:r w:rsidR="009B5771">
        <w:rPr>
          <w:rFonts w:eastAsia="Times New Roman" w:cstheme="minorHAnsi"/>
          <w:color w:val="4A4A4A"/>
          <w:sz w:val="21"/>
          <w:szCs w:val="21"/>
          <w:lang w:eastAsia="en-GB"/>
        </w:rPr>
        <w:t>. Such estimates are included in a country</w:t>
      </w:r>
      <w:r w:rsidR="00D57626">
        <w:rPr>
          <w:rFonts w:eastAsia="Times New Roman" w:cstheme="minorHAnsi"/>
          <w:color w:val="4A4A4A"/>
          <w:sz w:val="21"/>
          <w:szCs w:val="21"/>
          <w:lang w:eastAsia="en-GB"/>
        </w:rPr>
        <w:t xml:space="preserve"> consultation </w:t>
      </w:r>
      <w:r w:rsidR="00A32B71">
        <w:rPr>
          <w:rFonts w:eastAsia="Times New Roman" w:cstheme="minorHAnsi"/>
          <w:color w:val="4A4A4A"/>
          <w:sz w:val="21"/>
          <w:szCs w:val="21"/>
          <w:lang w:eastAsia="en-GB"/>
        </w:rPr>
        <w:t xml:space="preserve">conducted to give an opportunity to </w:t>
      </w:r>
      <w:proofErr w:type="spellStart"/>
      <w:r w:rsidR="0039181C">
        <w:rPr>
          <w:rFonts w:eastAsia="Times New Roman" w:cstheme="minorHAnsi"/>
          <w:color w:val="4A4A4A"/>
          <w:sz w:val="21"/>
          <w:szCs w:val="21"/>
          <w:lang w:eastAsia="en-GB"/>
        </w:rPr>
        <w:t>i</w:t>
      </w:r>
      <w:proofErr w:type="spellEnd"/>
      <w:r w:rsidR="00A32B71">
        <w:rPr>
          <w:rFonts w:eastAsia="Times New Roman" w:cstheme="minorHAnsi"/>
          <w:color w:val="4A4A4A"/>
          <w:sz w:val="21"/>
          <w:szCs w:val="21"/>
          <w:lang w:eastAsia="en-GB"/>
        </w:rPr>
        <w:t xml:space="preserve">) review </w:t>
      </w:r>
      <w:r w:rsidR="008A0AA5">
        <w:rPr>
          <w:rFonts w:eastAsia="Times New Roman" w:cstheme="minorHAnsi"/>
          <w:color w:val="4A4A4A"/>
          <w:sz w:val="21"/>
          <w:szCs w:val="21"/>
          <w:lang w:eastAsia="en-GB"/>
        </w:rPr>
        <w:t>the estimates, the data sources</w:t>
      </w:r>
      <w:r w:rsidR="006A00F5">
        <w:rPr>
          <w:rFonts w:eastAsia="Times New Roman" w:cstheme="minorHAnsi"/>
          <w:color w:val="4A4A4A"/>
          <w:sz w:val="21"/>
          <w:szCs w:val="21"/>
          <w:lang w:eastAsia="en-GB"/>
        </w:rPr>
        <w:t xml:space="preserve"> and the</w:t>
      </w:r>
      <w:r w:rsidR="00A32B71">
        <w:rPr>
          <w:rFonts w:eastAsia="Times New Roman" w:cstheme="minorHAnsi"/>
          <w:color w:val="4A4A4A"/>
          <w:sz w:val="21"/>
          <w:szCs w:val="21"/>
          <w:lang w:eastAsia="en-GB"/>
        </w:rPr>
        <w:t xml:space="preserve"> methods </w:t>
      </w:r>
      <w:r w:rsidR="0039181C">
        <w:rPr>
          <w:rFonts w:eastAsia="Times New Roman" w:cstheme="minorHAnsi"/>
          <w:color w:val="4A4A4A"/>
          <w:sz w:val="21"/>
          <w:szCs w:val="21"/>
          <w:lang w:eastAsia="en-GB"/>
        </w:rPr>
        <w:t>used</w:t>
      </w:r>
      <w:r w:rsidR="00A32B71">
        <w:rPr>
          <w:rFonts w:eastAsia="Times New Roman" w:cstheme="minorHAnsi"/>
          <w:color w:val="4A4A4A"/>
          <w:sz w:val="21"/>
          <w:szCs w:val="21"/>
          <w:lang w:eastAsia="en-GB"/>
        </w:rPr>
        <w:t xml:space="preserve"> for computation; </w:t>
      </w:r>
      <w:r w:rsidR="0039181C">
        <w:rPr>
          <w:rFonts w:eastAsia="Times New Roman" w:cstheme="minorHAnsi"/>
          <w:color w:val="4A4A4A"/>
          <w:sz w:val="21"/>
          <w:szCs w:val="21"/>
          <w:lang w:eastAsia="en-GB"/>
        </w:rPr>
        <w:t>ii</w:t>
      </w:r>
      <w:r w:rsidR="00A32B71">
        <w:rPr>
          <w:rFonts w:eastAsia="Times New Roman" w:cstheme="minorHAnsi"/>
          <w:color w:val="4A4A4A"/>
          <w:sz w:val="21"/>
          <w:szCs w:val="21"/>
          <w:lang w:eastAsia="en-GB"/>
        </w:rPr>
        <w:t xml:space="preserve">) provide information about </w:t>
      </w:r>
      <w:r w:rsidR="0039181C">
        <w:rPr>
          <w:rFonts w:eastAsia="Times New Roman" w:cstheme="minorHAnsi"/>
          <w:color w:val="4A4A4A"/>
          <w:sz w:val="21"/>
          <w:szCs w:val="21"/>
          <w:lang w:eastAsia="en-GB"/>
        </w:rPr>
        <w:t xml:space="preserve">additional data sources; iii) build </w:t>
      </w:r>
      <w:r w:rsidR="0039181C" w:rsidRPr="0039181C">
        <w:rPr>
          <w:rFonts w:eastAsia="Times New Roman" w:cstheme="minorHAnsi"/>
          <w:color w:val="4A4A4A"/>
          <w:sz w:val="21"/>
          <w:szCs w:val="21"/>
          <w:lang w:eastAsia="en-GB"/>
        </w:rPr>
        <w:t>mutual understanding of the strengths and weaknesses of available data and ensure broad ownership of the results</w:t>
      </w:r>
      <w:r w:rsidR="0039181C">
        <w:rPr>
          <w:rFonts w:eastAsia="Times New Roman" w:cstheme="minorHAnsi"/>
          <w:color w:val="4A4A4A"/>
          <w:sz w:val="21"/>
          <w:szCs w:val="21"/>
          <w:lang w:eastAsia="en-GB"/>
        </w:rPr>
        <w:t xml:space="preserve">; </w:t>
      </w:r>
      <w:r w:rsidR="001D6EA2">
        <w:rPr>
          <w:rFonts w:eastAsia="Times New Roman" w:cstheme="minorHAnsi"/>
          <w:color w:val="4A4A4A"/>
          <w:sz w:val="21"/>
          <w:szCs w:val="21"/>
          <w:lang w:eastAsia="en-GB"/>
        </w:rPr>
        <w:t xml:space="preserve">and </w:t>
      </w:r>
      <w:r w:rsidR="0039181C">
        <w:rPr>
          <w:rFonts w:eastAsia="Times New Roman" w:cstheme="minorHAnsi"/>
          <w:color w:val="4A4A4A"/>
          <w:sz w:val="21"/>
          <w:szCs w:val="21"/>
          <w:lang w:eastAsia="en-GB"/>
        </w:rPr>
        <w:t>iv) request estimates produced by the country as further explained hereafter.</w:t>
      </w:r>
    </w:p>
    <w:p w14:paraId="5B925F20" w14:textId="77777777" w:rsidR="002E1AFA" w:rsidRDefault="002E1AFA" w:rsidP="00A11A20">
      <w:pPr>
        <w:shd w:val="clear" w:color="auto" w:fill="FFFFFF"/>
        <w:spacing w:after="0"/>
        <w:jc w:val="both"/>
        <w:rPr>
          <w:rFonts w:eastAsia="Times New Roman" w:cstheme="minorHAnsi"/>
          <w:color w:val="4A4A4A"/>
          <w:sz w:val="21"/>
          <w:szCs w:val="21"/>
          <w:lang w:eastAsia="en-GB"/>
        </w:rPr>
      </w:pPr>
    </w:p>
    <w:p w14:paraId="04AD46D0" w14:textId="24CBE79B" w:rsidR="00B55A32" w:rsidRPr="00645B6F" w:rsidRDefault="001557B8"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B) E</w:t>
      </w:r>
      <w:r w:rsidR="0010408D">
        <w:rPr>
          <w:rFonts w:eastAsia="Times New Roman" w:cstheme="minorHAnsi"/>
          <w:color w:val="4A4A4A"/>
          <w:sz w:val="21"/>
          <w:szCs w:val="21"/>
          <w:lang w:eastAsia="en-GB"/>
        </w:rPr>
        <w:t>stimates produced by each country</w:t>
      </w:r>
      <w:r w:rsidR="000C0C63">
        <w:rPr>
          <w:rFonts w:eastAsia="Times New Roman" w:cstheme="minorHAnsi"/>
          <w:color w:val="4A4A4A"/>
          <w:sz w:val="21"/>
          <w:szCs w:val="21"/>
          <w:lang w:eastAsia="en-GB"/>
        </w:rPr>
        <w:t xml:space="preserve"> are </w:t>
      </w:r>
      <w:r>
        <w:rPr>
          <w:rFonts w:eastAsia="Times New Roman" w:cstheme="minorHAnsi"/>
          <w:color w:val="4A4A4A"/>
          <w:sz w:val="21"/>
          <w:szCs w:val="21"/>
          <w:lang w:eastAsia="en-GB"/>
        </w:rPr>
        <w:t xml:space="preserve">requested </w:t>
      </w:r>
      <w:r w:rsidR="000C0C63">
        <w:rPr>
          <w:rFonts w:eastAsia="Times New Roman" w:cstheme="minorHAnsi"/>
          <w:color w:val="4A4A4A"/>
          <w:sz w:val="21"/>
          <w:szCs w:val="21"/>
          <w:lang w:eastAsia="en-GB"/>
        </w:rPr>
        <w:t>through a country consultation conducted by the World Health Organization</w:t>
      </w:r>
      <w:r w:rsidR="00C47CBD">
        <w:rPr>
          <w:rFonts w:eastAsia="Times New Roman" w:cstheme="minorHAnsi"/>
          <w:color w:val="4A4A4A"/>
          <w:sz w:val="21"/>
          <w:szCs w:val="21"/>
          <w:lang w:eastAsia="en-GB"/>
        </w:rPr>
        <w:t xml:space="preserve">. Following the </w:t>
      </w:r>
      <w:r w:rsidR="00B55A32" w:rsidRPr="00645B6F">
        <w:rPr>
          <w:rFonts w:eastAsia="Times New Roman" w:cstheme="minorHAnsi"/>
          <w:color w:val="4A4A4A"/>
          <w:sz w:val="21"/>
          <w:szCs w:val="21"/>
          <w:lang w:eastAsia="en-GB"/>
        </w:rPr>
        <w:t>WHO Executive Board resolution (EB107.R8)</w:t>
      </w:r>
      <w:r w:rsidR="00C47CBD">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 xml:space="preserve">this process starts with WHO sending a formal request to ministries of health to nominate a focal point for the consultation. WHO sends draft estimates and methodological descriptions to </w:t>
      </w:r>
      <w:r w:rsidR="00B8020B" w:rsidRPr="00645B6F">
        <w:rPr>
          <w:rFonts w:eastAsia="Times New Roman" w:cstheme="minorHAnsi"/>
          <w:color w:val="4A4A4A"/>
          <w:sz w:val="21"/>
          <w:szCs w:val="21"/>
          <w:lang w:eastAsia="en-GB"/>
        </w:rPr>
        <w:t>the</w:t>
      </w:r>
      <w:r w:rsidR="00B8020B">
        <w:rPr>
          <w:rFonts w:eastAsia="Times New Roman" w:cstheme="minorHAnsi"/>
          <w:color w:val="4A4A4A"/>
          <w:sz w:val="21"/>
          <w:szCs w:val="21"/>
          <w:lang w:eastAsia="en-GB"/>
        </w:rPr>
        <w:t>m</w:t>
      </w:r>
      <w:r w:rsidR="002545E3">
        <w:rPr>
          <w:rFonts w:eastAsia="Times New Roman" w:cstheme="minorHAnsi"/>
          <w:color w:val="4A4A4A"/>
          <w:sz w:val="21"/>
          <w:szCs w:val="21"/>
          <w:lang w:eastAsia="en-GB"/>
        </w:rPr>
        <w:t xml:space="preserve">, copying countries’ focal point for SDG reporting </w:t>
      </w:r>
      <w:r w:rsidR="000D12CC">
        <w:rPr>
          <w:rFonts w:eastAsia="Times New Roman" w:cstheme="minorHAnsi"/>
          <w:color w:val="4A4A4A"/>
          <w:sz w:val="21"/>
          <w:szCs w:val="21"/>
          <w:lang w:eastAsia="en-GB"/>
        </w:rPr>
        <w:t>were</w:t>
      </w:r>
      <w:r w:rsidR="002545E3">
        <w:rPr>
          <w:rFonts w:eastAsia="Times New Roman" w:cstheme="minorHAnsi"/>
          <w:color w:val="4A4A4A"/>
          <w:sz w:val="21"/>
          <w:szCs w:val="21"/>
          <w:lang w:eastAsia="en-GB"/>
        </w:rPr>
        <w:t xml:space="preserve"> </w:t>
      </w:r>
      <w:r w:rsidR="00BB2721">
        <w:rPr>
          <w:rFonts w:eastAsia="Times New Roman" w:cstheme="minorHAnsi"/>
          <w:color w:val="4A4A4A"/>
          <w:sz w:val="21"/>
          <w:szCs w:val="21"/>
          <w:lang w:eastAsia="en-GB"/>
        </w:rPr>
        <w:t>nominated at the request of UNSD</w:t>
      </w:r>
      <w:r w:rsidR="00B55A32" w:rsidRPr="00645B6F">
        <w:rPr>
          <w:rFonts w:eastAsia="Times New Roman" w:cstheme="minorHAnsi"/>
          <w:color w:val="4A4A4A"/>
          <w:sz w:val="21"/>
          <w:szCs w:val="21"/>
          <w:lang w:eastAsia="en-GB"/>
        </w:rPr>
        <w:t xml:space="preserve">. STATA codes are available to reproduce the estimates shared. The focal points then send to WHO their comments, often including new data or revised country estimates that are used to update the country estimates. </w:t>
      </w:r>
      <w:r w:rsidR="0010635A">
        <w:rPr>
          <w:rFonts w:eastAsia="Times New Roman" w:cstheme="minorHAnsi"/>
          <w:color w:val="4A4A4A"/>
          <w:sz w:val="21"/>
          <w:szCs w:val="21"/>
          <w:lang w:eastAsia="en-GB"/>
        </w:rPr>
        <w:t xml:space="preserve">Estimates produced by the countries are subject to the same quality </w:t>
      </w:r>
      <w:r w:rsidR="0001783F">
        <w:rPr>
          <w:rFonts w:eastAsia="Times New Roman" w:cstheme="minorHAnsi"/>
          <w:color w:val="4A4A4A"/>
          <w:sz w:val="21"/>
          <w:szCs w:val="21"/>
          <w:lang w:eastAsia="en-GB"/>
        </w:rPr>
        <w:t>assessment</w:t>
      </w:r>
      <w:r w:rsidR="0010635A">
        <w:rPr>
          <w:rFonts w:eastAsia="Times New Roman" w:cstheme="minorHAnsi"/>
          <w:color w:val="4A4A4A"/>
          <w:sz w:val="21"/>
          <w:szCs w:val="21"/>
          <w:lang w:eastAsia="en-GB"/>
        </w:rPr>
        <w:t xml:space="preserve"> process and included in the joint database if they are not flagged in consumption or in the health budget share</w:t>
      </w:r>
      <w:r w:rsidR="00324BDA">
        <w:rPr>
          <w:rFonts w:eastAsia="Times New Roman" w:cstheme="minorHAnsi"/>
          <w:color w:val="4A4A4A"/>
          <w:sz w:val="21"/>
          <w:szCs w:val="21"/>
          <w:lang w:eastAsia="en-GB"/>
        </w:rPr>
        <w:t xml:space="preserve"> (see section 4.j).</w:t>
      </w:r>
    </w:p>
    <w:p w14:paraId="056923DC" w14:textId="77777777" w:rsidR="00786630" w:rsidRDefault="00786630" w:rsidP="00A11A20">
      <w:pPr>
        <w:pStyle w:val="MText"/>
        <w:jc w:val="both"/>
        <w:rPr>
          <w:rFonts w:cstheme="minorHAnsi"/>
        </w:rPr>
      </w:pPr>
    </w:p>
    <w:p w14:paraId="7D9F065F" w14:textId="0EEBC173" w:rsidR="00EC2915" w:rsidRPr="00645B6F" w:rsidRDefault="00576CFA" w:rsidP="00A11A20">
      <w:pPr>
        <w:pStyle w:val="MText"/>
        <w:jc w:val="both"/>
        <w:rPr>
          <w:rFonts w:cstheme="minorHAnsi"/>
        </w:rPr>
      </w:pPr>
      <w:r w:rsidRPr="00645B6F">
        <w:rPr>
          <w:rFonts w:cstheme="minorHAnsi"/>
        </w:rPr>
        <w:tab/>
      </w:r>
    </w:p>
    <w:p w14:paraId="0089069B" w14:textId="77777777" w:rsidR="00AF2722" w:rsidRPr="00A96255" w:rsidRDefault="00AF2722" w:rsidP="00AF2722">
      <w:pPr>
        <w:pStyle w:val="MHeader2"/>
      </w:pPr>
      <w:r w:rsidRPr="00A96255">
        <w:lastRenderedPageBreak/>
        <w:t xml:space="preserve">3.c. Data collection calendar </w:t>
      </w:r>
      <w:r>
        <w:rPr>
          <w:color w:val="B4B4B4"/>
          <w:sz w:val="20"/>
        </w:rPr>
        <w:t>(FREQ_COLL)</w:t>
      </w:r>
    </w:p>
    <w:p w14:paraId="2E6AAC94" w14:textId="781F164B" w:rsidR="00B55A32" w:rsidRPr="00645B6F" w:rsidRDefault="002472A3"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A country consultation</w:t>
      </w:r>
      <w:r w:rsidR="008B18C4">
        <w:rPr>
          <w:rFonts w:eastAsia="Times New Roman" w:cstheme="minorHAnsi"/>
          <w:color w:val="4A4A4A"/>
          <w:sz w:val="21"/>
          <w:szCs w:val="21"/>
          <w:lang w:eastAsia="en-GB"/>
        </w:rPr>
        <w:t xml:space="preserve"> on SDG 3.8.2 estimates</w:t>
      </w:r>
      <w:r w:rsidR="007D5F89">
        <w:rPr>
          <w:rFonts w:eastAsia="Times New Roman" w:cstheme="minorHAnsi"/>
          <w:color w:val="4A4A4A"/>
          <w:sz w:val="21"/>
          <w:szCs w:val="21"/>
          <w:lang w:eastAsia="en-GB"/>
        </w:rPr>
        <w:t xml:space="preserve"> is</w:t>
      </w:r>
      <w:r w:rsidR="0052361E">
        <w:rPr>
          <w:rFonts w:eastAsia="Times New Roman" w:cstheme="minorHAnsi"/>
          <w:color w:val="4A4A4A"/>
          <w:sz w:val="21"/>
          <w:szCs w:val="21"/>
          <w:lang w:eastAsia="en-GB"/>
        </w:rPr>
        <w:t xml:space="preserve"> typically</w:t>
      </w:r>
      <w:r w:rsidR="007D5F89">
        <w:rPr>
          <w:rFonts w:eastAsia="Times New Roman" w:cstheme="minorHAnsi"/>
          <w:color w:val="4A4A4A"/>
          <w:sz w:val="21"/>
          <w:szCs w:val="21"/>
          <w:lang w:eastAsia="en-GB"/>
        </w:rPr>
        <w:t xml:space="preserve"> conducted between January and March every two years</w:t>
      </w:r>
      <w:r w:rsidR="00524468">
        <w:rPr>
          <w:rFonts w:eastAsia="Times New Roman" w:cstheme="minorHAnsi"/>
          <w:color w:val="4A4A4A"/>
          <w:sz w:val="21"/>
          <w:szCs w:val="21"/>
          <w:lang w:eastAsia="en-GB"/>
        </w:rPr>
        <w:t xml:space="preserve"> (see 4.j)</w:t>
      </w:r>
      <w:r w:rsidR="005C101C">
        <w:rPr>
          <w:rFonts w:eastAsia="Times New Roman" w:cstheme="minorHAnsi"/>
          <w:color w:val="4A4A4A"/>
          <w:sz w:val="21"/>
          <w:szCs w:val="21"/>
          <w:lang w:eastAsia="en-GB"/>
        </w:rPr>
        <w:t>.</w:t>
      </w:r>
    </w:p>
    <w:p w14:paraId="01BA862E" w14:textId="77777777" w:rsidR="00EC2915" w:rsidRPr="00645B6F" w:rsidRDefault="00EC2915" w:rsidP="00A11A20">
      <w:pPr>
        <w:pStyle w:val="MText"/>
        <w:jc w:val="both"/>
        <w:rPr>
          <w:rFonts w:cstheme="minorHAnsi"/>
        </w:rPr>
      </w:pPr>
    </w:p>
    <w:p w14:paraId="1C8A0176" w14:textId="77777777" w:rsidR="00AF2722" w:rsidRPr="00F719A8" w:rsidRDefault="00AF2722" w:rsidP="00AF2722">
      <w:pPr>
        <w:pStyle w:val="MHeader2"/>
      </w:pPr>
      <w:r w:rsidRPr="00A96255">
        <w:t xml:space="preserve">3.d. Data release calendar </w:t>
      </w:r>
      <w:r>
        <w:rPr>
          <w:color w:val="B4B4B4"/>
          <w:sz w:val="20"/>
        </w:rPr>
        <w:t>(REL_CAL_POLICY)</w:t>
      </w:r>
    </w:p>
    <w:p w14:paraId="64C749BD" w14:textId="3D80D916" w:rsidR="00EC2915" w:rsidRPr="00645B6F" w:rsidRDefault="008B18C4" w:rsidP="00A11A20">
      <w:pPr>
        <w:pStyle w:val="MText"/>
        <w:jc w:val="both"/>
        <w:rPr>
          <w:rFonts w:eastAsia="SimSun"/>
        </w:rPr>
      </w:pPr>
      <w:r>
        <w:t>SDG 3.8.2 e</w:t>
      </w:r>
      <w:r w:rsidR="00B55A32" w:rsidRPr="00645B6F">
        <w:t xml:space="preserve">stimates </w:t>
      </w:r>
      <w:r w:rsidR="00C317BA">
        <w:t xml:space="preserve">at country, regional and global levels </w:t>
      </w:r>
      <w:r>
        <w:t>are released</w:t>
      </w:r>
      <w:r w:rsidR="00550277">
        <w:t xml:space="preserve"> every two years either </w:t>
      </w:r>
      <w:r>
        <w:t xml:space="preserve">on </w:t>
      </w:r>
      <w:r w:rsidR="00C317BA">
        <w:t xml:space="preserve">December 12 (Universal Health Coverage </w:t>
      </w:r>
      <w:r w:rsidR="000D12CC">
        <w:t>D</w:t>
      </w:r>
      <w:r w:rsidR="00C317BA">
        <w:t xml:space="preserve">ay) </w:t>
      </w:r>
      <w:r w:rsidR="00550277">
        <w:t xml:space="preserve">or </w:t>
      </w:r>
      <w:r w:rsidR="00D37199">
        <w:t>in September (</w:t>
      </w:r>
      <w:r w:rsidR="00550277">
        <w:t>UN General Assembly</w:t>
      </w:r>
      <w:r w:rsidR="00D37199">
        <w:t>)</w:t>
      </w:r>
      <w:r w:rsidR="00B55A32" w:rsidRPr="00645B6F">
        <w:t xml:space="preserve">. </w:t>
      </w:r>
    </w:p>
    <w:p w14:paraId="0A86A14F" w14:textId="77777777" w:rsidR="00B55A32" w:rsidRPr="00645B6F" w:rsidRDefault="00B55A32" w:rsidP="00A11A20">
      <w:pPr>
        <w:pStyle w:val="MText"/>
        <w:jc w:val="both"/>
      </w:pPr>
    </w:p>
    <w:p w14:paraId="61E94D05" w14:textId="77777777" w:rsidR="00AF2722" w:rsidRPr="00B544F2" w:rsidRDefault="00AF2722" w:rsidP="00AF2722">
      <w:pPr>
        <w:pStyle w:val="MHeader2"/>
        <w:rPr>
          <w:lang w:val="it-IT"/>
        </w:rPr>
      </w:pPr>
      <w:r w:rsidRPr="00B544F2">
        <w:rPr>
          <w:lang w:val="it-IT"/>
        </w:rPr>
        <w:t xml:space="preserve">3.e. Data providers </w:t>
      </w:r>
      <w:r w:rsidRPr="00B544F2">
        <w:rPr>
          <w:color w:val="B4B4B4"/>
          <w:sz w:val="20"/>
          <w:lang w:val="it-IT"/>
        </w:rPr>
        <w:t>(DATA_SOURCE)</w:t>
      </w:r>
    </w:p>
    <w:p w14:paraId="2C7B7C5E"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National Statistical Offices in collaboration with Ministries of health. See data sources for further details. </w:t>
      </w:r>
    </w:p>
    <w:p w14:paraId="50A66E64" w14:textId="77777777" w:rsidR="00EC2915" w:rsidRPr="00645B6F" w:rsidRDefault="00EC2915" w:rsidP="00A11A20">
      <w:pPr>
        <w:pStyle w:val="MText"/>
        <w:jc w:val="both"/>
        <w:rPr>
          <w:rFonts w:cstheme="minorHAnsi"/>
        </w:rPr>
      </w:pPr>
    </w:p>
    <w:p w14:paraId="2E624A4E" w14:textId="77777777" w:rsidR="00AF2722" w:rsidRPr="00A96255" w:rsidRDefault="00AF2722" w:rsidP="00AF2722">
      <w:pPr>
        <w:pStyle w:val="MHeader2"/>
      </w:pPr>
      <w:r w:rsidRPr="00A96255">
        <w:t xml:space="preserve">3.f. Data compilers </w:t>
      </w:r>
      <w:r>
        <w:rPr>
          <w:color w:val="B4B4B4"/>
          <w:sz w:val="20"/>
        </w:rPr>
        <w:t>(COMPILING_ORG)</w:t>
      </w:r>
    </w:p>
    <w:p w14:paraId="7017E793"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World Health Organization and the World Bank.</w:t>
      </w:r>
    </w:p>
    <w:p w14:paraId="5C43435B" w14:textId="77777777" w:rsidR="00EC2915" w:rsidRPr="00645B6F" w:rsidRDefault="00EC2915" w:rsidP="00A11A20">
      <w:pPr>
        <w:pStyle w:val="MText"/>
        <w:jc w:val="both"/>
        <w:rPr>
          <w:rFonts w:cstheme="minorHAnsi"/>
        </w:rPr>
      </w:pPr>
    </w:p>
    <w:p w14:paraId="766908CF" w14:textId="77777777" w:rsidR="00AF2722" w:rsidRPr="00A96255" w:rsidRDefault="00AF2722" w:rsidP="00AF2722">
      <w:pPr>
        <w:pStyle w:val="MHeader2"/>
      </w:pPr>
      <w:r w:rsidRPr="00A96255">
        <w:t xml:space="preserve">3.g. Institutional mandate </w:t>
      </w:r>
      <w:r>
        <w:rPr>
          <w:color w:val="B4B4B4"/>
          <w:sz w:val="20"/>
        </w:rPr>
        <w:t>(INST_MANDATE)</w:t>
      </w:r>
    </w:p>
    <w:p w14:paraId="26B863C3" w14:textId="77E5CF28" w:rsidR="00576CFA" w:rsidRPr="00471B87" w:rsidRDefault="0071291D" w:rsidP="00A11A20">
      <w:pPr>
        <w:pStyle w:val="MText"/>
        <w:jc w:val="both"/>
        <w:rPr>
          <w:rFonts w:cstheme="minorHAnsi"/>
        </w:rPr>
      </w:pPr>
      <w:r w:rsidRPr="003D6A3E">
        <w:rPr>
          <w:rFonts w:eastAsia="Arial" w:cstheme="minorHAnsi"/>
          <w:bCs/>
          <w:iCs/>
          <w:color w:val="595959"/>
          <w:lang w:val="en-US"/>
        </w:rPr>
        <w:t>WHO support for monitoring the financial protection dimension of Universal Health Coverage</w:t>
      </w:r>
      <w:r w:rsidR="002435F0" w:rsidRPr="003D6A3E">
        <w:rPr>
          <w:rFonts w:eastAsia="Arial" w:cstheme="minorHAnsi"/>
          <w:bCs/>
          <w:iCs/>
          <w:color w:val="595959"/>
          <w:lang w:val="en-US"/>
        </w:rPr>
        <w:t xml:space="preserve"> (target 3.8, indicator 3.8.2 specifically)</w:t>
      </w:r>
      <w:r w:rsidRPr="003D6A3E">
        <w:rPr>
          <w:rFonts w:eastAsia="Arial" w:cstheme="minorHAnsi"/>
          <w:bCs/>
          <w:iCs/>
          <w:color w:val="595959"/>
          <w:lang w:val="en-US"/>
        </w:rPr>
        <w:t xml:space="preserve"> is underpinned by Resolution </w:t>
      </w:r>
      <w:hyperlink r:id="rId17" w:history="1">
        <w:r w:rsidRPr="003D6A3E">
          <w:rPr>
            <w:rStyle w:val="Hyperlink"/>
            <w:rFonts w:eastAsia="Arial" w:cstheme="minorHAnsi"/>
            <w:bCs/>
            <w:iCs/>
            <w:lang w:val="en-US"/>
          </w:rPr>
          <w:t>WHA58.33</w:t>
        </w:r>
      </w:hyperlink>
      <w:r w:rsidRPr="003D6A3E">
        <w:rPr>
          <w:rFonts w:eastAsia="Arial" w:cstheme="minorHAnsi"/>
          <w:bCs/>
          <w:iCs/>
          <w:color w:val="595959"/>
          <w:lang w:val="en-US"/>
        </w:rPr>
        <w:t xml:space="preserve"> on sustainable health financing, universal coverage and social health insurance</w:t>
      </w:r>
      <w:r w:rsidR="002435F0" w:rsidRPr="003D6A3E">
        <w:rPr>
          <w:rFonts w:eastAsia="Arial" w:cstheme="minorHAnsi"/>
          <w:bCs/>
          <w:iCs/>
          <w:color w:val="595959"/>
          <w:lang w:val="en-US"/>
        </w:rPr>
        <w:t>.</w:t>
      </w:r>
    </w:p>
    <w:p w14:paraId="3D063F4C" w14:textId="1D0EE4E7" w:rsidR="00F719A8" w:rsidRDefault="00F719A8" w:rsidP="00A11A20">
      <w:pPr>
        <w:pStyle w:val="MText"/>
        <w:jc w:val="both"/>
        <w:rPr>
          <w:rFonts w:cstheme="minorHAnsi"/>
        </w:rPr>
      </w:pPr>
    </w:p>
    <w:p w14:paraId="3F452856" w14:textId="5D2F33EE" w:rsidR="00E44596" w:rsidRPr="00471B87" w:rsidRDefault="00413A37" w:rsidP="00A11A20">
      <w:pPr>
        <w:pStyle w:val="MText"/>
        <w:jc w:val="both"/>
        <w:rPr>
          <w:rFonts w:cstheme="minorHAnsi"/>
        </w:rPr>
      </w:pPr>
      <w:r>
        <w:rPr>
          <w:rFonts w:eastAsia="Arial" w:cstheme="minorHAnsi"/>
          <w:bCs/>
          <w:iCs/>
          <w:color w:val="595959"/>
          <w:lang w:val="en-US"/>
        </w:rPr>
        <w:t xml:space="preserve">Within the World Bank the </w:t>
      </w:r>
      <w:r w:rsidR="00CA11DA">
        <w:rPr>
          <w:rFonts w:eastAsia="Arial" w:cstheme="minorHAnsi"/>
          <w:bCs/>
          <w:iCs/>
          <w:color w:val="595959"/>
          <w:lang w:val="en-US"/>
        </w:rPr>
        <w:t xml:space="preserve">Global Engagement Unit of the </w:t>
      </w:r>
      <w:r>
        <w:rPr>
          <w:rFonts w:eastAsia="Arial" w:cstheme="minorHAnsi"/>
          <w:bCs/>
          <w:iCs/>
          <w:color w:val="595959"/>
          <w:lang w:val="en-US"/>
        </w:rPr>
        <w:t xml:space="preserve">Health Nutrition and Population Global Practice (HNP) is in charge of </w:t>
      </w:r>
      <w:r w:rsidR="00C112C8">
        <w:rPr>
          <w:rFonts w:eastAsia="Arial" w:cstheme="minorHAnsi"/>
          <w:bCs/>
          <w:iCs/>
          <w:color w:val="595959"/>
          <w:lang w:val="en-US"/>
        </w:rPr>
        <w:t>the collection, validation, and estimation of the SDG 3.8.2 indicator.</w:t>
      </w:r>
    </w:p>
    <w:p w14:paraId="1E487517" w14:textId="77777777" w:rsidR="00E44596" w:rsidRDefault="00E44596" w:rsidP="00A11A20">
      <w:pPr>
        <w:pStyle w:val="MText"/>
        <w:jc w:val="both"/>
        <w:rPr>
          <w:rFonts w:cstheme="minorHAnsi"/>
        </w:rPr>
      </w:pPr>
    </w:p>
    <w:p w14:paraId="515ADCD2" w14:textId="77777777" w:rsidR="00E44596" w:rsidRPr="00645B6F" w:rsidRDefault="00E44596" w:rsidP="00A11A20">
      <w:pPr>
        <w:pStyle w:val="MText"/>
        <w:jc w:val="both"/>
        <w:rPr>
          <w:rFonts w:cstheme="minorHAnsi"/>
        </w:rPr>
      </w:pPr>
    </w:p>
    <w:p w14:paraId="6D972B66" w14:textId="77777777" w:rsidR="00AF2722" w:rsidRPr="00A96255" w:rsidRDefault="00AF2722" w:rsidP="00AF2722">
      <w:pPr>
        <w:pStyle w:val="MHeader"/>
      </w:pPr>
      <w:r w:rsidRPr="00A96255">
        <w:t xml:space="preserve">4. Other methodological considerations </w:t>
      </w:r>
      <w:r>
        <w:rPr>
          <w:color w:val="B4B4B4"/>
          <w:sz w:val="20"/>
        </w:rPr>
        <w:t>(OTHER_METHOD)</w:t>
      </w:r>
    </w:p>
    <w:p w14:paraId="1AFA5517" w14:textId="5A2CBE5B" w:rsidR="00AF5ED1" w:rsidRPr="00AF2722" w:rsidRDefault="00AF2722" w:rsidP="00AF2722">
      <w:pPr>
        <w:pStyle w:val="MHeader2"/>
      </w:pPr>
      <w:r w:rsidRPr="00A96255">
        <w:t xml:space="preserve">4.a. Rationale </w:t>
      </w:r>
      <w:r>
        <w:rPr>
          <w:color w:val="B4B4B4"/>
          <w:sz w:val="20"/>
        </w:rPr>
        <w:t>(RATIONALE)</w:t>
      </w:r>
    </w:p>
    <w:p w14:paraId="0BB593EA" w14:textId="7095BA71" w:rsidR="005407CA"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Target 3.8 is</w:t>
      </w:r>
      <w:r w:rsidR="00EE12DB">
        <w:rPr>
          <w:rFonts w:eastAsia="Times New Roman" w:cstheme="minorHAnsi"/>
          <w:color w:val="4A4A4A"/>
          <w:sz w:val="21"/>
          <w:szCs w:val="21"/>
          <w:lang w:eastAsia="en-GB"/>
        </w:rPr>
        <w:t xml:space="preserve"> about UHC and is</w:t>
      </w:r>
      <w:r w:rsidRPr="00645B6F">
        <w:rPr>
          <w:rFonts w:eastAsia="Times New Roman" w:cstheme="minorHAnsi"/>
          <w:color w:val="4A4A4A"/>
          <w:sz w:val="21"/>
          <w:szCs w:val="21"/>
          <w:lang w:eastAsia="en-GB"/>
        </w:rPr>
        <w:t xml:space="preserve"> defined as “Achieve universal health coverage, including </w:t>
      </w:r>
      <w:r w:rsidRPr="003D6A3E">
        <w:rPr>
          <w:rFonts w:eastAsia="Times New Roman" w:cstheme="minorHAnsi"/>
          <w:i/>
          <w:iCs/>
          <w:color w:val="4A4A4A"/>
          <w:sz w:val="21"/>
          <w:szCs w:val="21"/>
          <w:lang w:eastAsia="en-GB"/>
        </w:rPr>
        <w:t>financial risk protection</w:t>
      </w:r>
      <w:r w:rsidRPr="00645B6F">
        <w:rPr>
          <w:rFonts w:eastAsia="Times New Roman" w:cstheme="minorHAnsi"/>
          <w:color w:val="4A4A4A"/>
          <w:sz w:val="21"/>
          <w:szCs w:val="21"/>
          <w:lang w:eastAsia="en-GB"/>
        </w:rPr>
        <w:t>,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w:t>
      </w:r>
      <w:r w:rsidR="00D0156A">
        <w:rPr>
          <w:rFonts w:eastAsia="Times New Roman" w:cstheme="minorHAnsi"/>
          <w:color w:val="4A4A4A"/>
          <w:sz w:val="21"/>
          <w:szCs w:val="21"/>
          <w:lang w:eastAsia="en-GB"/>
        </w:rPr>
        <w:t xml:space="preserve"> </w:t>
      </w:r>
      <w:r w:rsidR="00127B00">
        <w:rPr>
          <w:rFonts w:eastAsia="Times New Roman" w:cstheme="minorHAnsi"/>
          <w:color w:val="4A4A4A"/>
          <w:sz w:val="21"/>
          <w:szCs w:val="21"/>
          <w:lang w:eastAsia="en-GB"/>
        </w:rPr>
        <w:t xml:space="preserve"> </w:t>
      </w:r>
      <w:r w:rsidR="00127B00" w:rsidRPr="002D6CEC">
        <w:rPr>
          <w:rFonts w:eastAsia="Times New Roman" w:cstheme="minorHAnsi"/>
          <w:color w:val="4A4A4A"/>
          <w:sz w:val="21"/>
          <w:szCs w:val="21"/>
          <w:lang w:eastAsia="en-GB"/>
        </w:rPr>
        <w:t>Financial hardship is a key consequence of inadequate of financial risk protection mechanisms</w:t>
      </w:r>
      <w:r w:rsidR="009078C5">
        <w:rPr>
          <w:rFonts w:eastAsia="Times New Roman" w:cstheme="minorHAnsi"/>
          <w:color w:val="4A4A4A"/>
          <w:sz w:val="21"/>
          <w:szCs w:val="21"/>
          <w:lang w:eastAsia="en-GB"/>
        </w:rPr>
        <w:t xml:space="preserve"> and can be experienced in any country, regardless of the income level and type of health </w:t>
      </w:r>
      <w:r w:rsidR="00206171">
        <w:rPr>
          <w:rFonts w:eastAsia="Times New Roman" w:cstheme="minorHAnsi"/>
          <w:color w:val="4A4A4A"/>
          <w:sz w:val="21"/>
          <w:szCs w:val="21"/>
          <w:lang w:eastAsia="en-GB"/>
        </w:rPr>
        <w:t>system</w:t>
      </w:r>
      <w:r w:rsidR="00127B00" w:rsidRPr="002D6CEC">
        <w:rPr>
          <w:rFonts w:eastAsia="Times New Roman" w:cstheme="minorHAnsi"/>
          <w:color w:val="4A4A4A"/>
          <w:sz w:val="21"/>
          <w:szCs w:val="21"/>
          <w:lang w:eastAsia="en-GB"/>
        </w:rPr>
        <w:t>.</w:t>
      </w:r>
      <w:r w:rsidR="00F1583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 xml:space="preserve">Indicator 3.8.2 is about identifying people </w:t>
      </w:r>
      <w:r w:rsidR="000F1460">
        <w:rPr>
          <w:rFonts w:eastAsia="Times New Roman" w:cstheme="minorHAnsi"/>
          <w:color w:val="4A4A4A"/>
          <w:sz w:val="21"/>
          <w:szCs w:val="21"/>
          <w:lang w:eastAsia="en-GB"/>
        </w:rPr>
        <w:t xml:space="preserve">facing financial hardship because </w:t>
      </w:r>
      <w:r w:rsidR="004011F4">
        <w:rPr>
          <w:rFonts w:eastAsia="Times New Roman" w:cstheme="minorHAnsi"/>
          <w:color w:val="4A4A4A"/>
          <w:sz w:val="21"/>
          <w:szCs w:val="21"/>
          <w:lang w:eastAsia="en-GB"/>
        </w:rPr>
        <w:t xml:space="preserve">out-of-pocket </w:t>
      </w:r>
      <w:r w:rsidR="00023027">
        <w:rPr>
          <w:rFonts w:eastAsia="Times New Roman" w:cstheme="minorHAnsi"/>
          <w:color w:val="4A4A4A"/>
          <w:sz w:val="21"/>
          <w:szCs w:val="21"/>
          <w:lang w:eastAsia="en-GB"/>
        </w:rPr>
        <w:t xml:space="preserve">household </w:t>
      </w:r>
      <w:r w:rsidR="004011F4">
        <w:rPr>
          <w:rFonts w:eastAsia="Times New Roman" w:cstheme="minorHAnsi"/>
          <w:color w:val="4A4A4A"/>
          <w:sz w:val="21"/>
          <w:szCs w:val="21"/>
          <w:lang w:eastAsia="en-GB"/>
        </w:rPr>
        <w:t>spending on health exceed</w:t>
      </w:r>
      <w:r w:rsidR="00BB0487">
        <w:rPr>
          <w:rFonts w:eastAsia="Times New Roman" w:cstheme="minorHAnsi"/>
          <w:color w:val="4A4A4A"/>
          <w:sz w:val="21"/>
          <w:szCs w:val="21"/>
          <w:lang w:eastAsia="en-GB"/>
        </w:rPr>
        <w:t>s</w:t>
      </w:r>
      <w:r w:rsidR="004011F4">
        <w:rPr>
          <w:rFonts w:eastAsia="Times New Roman" w:cstheme="minorHAnsi"/>
          <w:color w:val="4A4A4A"/>
          <w:sz w:val="21"/>
          <w:szCs w:val="21"/>
          <w:lang w:eastAsia="en-GB"/>
        </w:rPr>
        <w:t xml:space="preserve"> their ability to pay</w:t>
      </w:r>
      <w:r w:rsidR="00866729">
        <w:rPr>
          <w:rFonts w:eastAsia="Times New Roman" w:cstheme="minorHAnsi"/>
          <w:color w:val="4A4A4A"/>
          <w:sz w:val="21"/>
          <w:szCs w:val="21"/>
          <w:lang w:eastAsia="en-GB"/>
        </w:rPr>
        <w:t xml:space="preserve">, </w:t>
      </w:r>
      <w:r w:rsidR="00866729" w:rsidRPr="00866729">
        <w:rPr>
          <w:rFonts w:eastAsia="Times New Roman" w:cstheme="minorHAnsi"/>
          <w:color w:val="4A4A4A"/>
          <w:sz w:val="21"/>
          <w:szCs w:val="21"/>
          <w:lang w:eastAsia="en-GB"/>
        </w:rPr>
        <w:t>which might</w:t>
      </w:r>
      <w:r w:rsidR="00BD502F">
        <w:rPr>
          <w:rFonts w:eastAsia="Times New Roman" w:cstheme="minorHAnsi"/>
          <w:color w:val="4A4A4A"/>
          <w:sz w:val="21"/>
          <w:szCs w:val="21"/>
          <w:lang w:eastAsia="en-GB"/>
        </w:rPr>
        <w:t xml:space="preserve"> </w:t>
      </w:r>
      <w:r w:rsidR="00866729" w:rsidRPr="00866729">
        <w:rPr>
          <w:rFonts w:eastAsia="Times New Roman" w:cstheme="minorHAnsi"/>
          <w:color w:val="4A4A4A"/>
          <w:sz w:val="21"/>
          <w:szCs w:val="21"/>
          <w:lang w:eastAsia="en-GB"/>
        </w:rPr>
        <w:t>lead to cutting spending on other</w:t>
      </w:r>
      <w:r w:rsidR="00B8369A">
        <w:rPr>
          <w:rFonts w:eastAsia="Times New Roman" w:cstheme="minorHAnsi"/>
          <w:color w:val="4A4A4A"/>
          <w:sz w:val="21"/>
          <w:szCs w:val="21"/>
          <w:lang w:eastAsia="en-GB"/>
        </w:rPr>
        <w:t xml:space="preserve"> basic</w:t>
      </w:r>
      <w:r w:rsidR="00866729" w:rsidRPr="00866729">
        <w:rPr>
          <w:rFonts w:eastAsia="Times New Roman" w:cstheme="minorHAnsi"/>
          <w:color w:val="4A4A4A"/>
          <w:sz w:val="21"/>
          <w:szCs w:val="21"/>
          <w:lang w:eastAsia="en-GB"/>
        </w:rPr>
        <w:t xml:space="preserve"> needs</w:t>
      </w:r>
      <w:r w:rsidR="00B8369A">
        <w:rPr>
          <w:rFonts w:eastAsia="Times New Roman" w:cstheme="minorHAnsi"/>
          <w:color w:val="4A4A4A"/>
          <w:sz w:val="21"/>
          <w:szCs w:val="21"/>
          <w:lang w:eastAsia="en-GB"/>
        </w:rPr>
        <w:t xml:space="preserve"> </w:t>
      </w:r>
      <w:r w:rsidR="00B8369A" w:rsidRPr="00645B6F">
        <w:rPr>
          <w:rFonts w:eastAsia="Times New Roman" w:cstheme="minorHAnsi"/>
          <w:color w:val="4A4A4A"/>
          <w:sz w:val="21"/>
          <w:szCs w:val="21"/>
          <w:lang w:eastAsia="en-GB"/>
        </w:rPr>
        <w:t>such as education, food, housing and utilities</w:t>
      </w:r>
      <w:r w:rsidRPr="00645B6F">
        <w:rPr>
          <w:rFonts w:eastAsia="Times New Roman" w:cstheme="minorHAnsi"/>
          <w:color w:val="4A4A4A"/>
          <w:sz w:val="21"/>
          <w:szCs w:val="21"/>
          <w:lang w:eastAsia="en-GB"/>
        </w:rPr>
        <w:t>.</w:t>
      </w:r>
      <w:r w:rsidR="008E7717">
        <w:rPr>
          <w:rFonts w:eastAsia="Times New Roman" w:cstheme="minorHAnsi"/>
          <w:color w:val="4A4A4A"/>
          <w:sz w:val="21"/>
          <w:szCs w:val="21"/>
          <w:lang w:eastAsia="en-GB"/>
        </w:rPr>
        <w:t xml:space="preserve"> </w:t>
      </w:r>
      <w:r w:rsidR="00BE0BD6">
        <w:rPr>
          <w:rFonts w:eastAsia="Times New Roman" w:cstheme="minorHAnsi"/>
          <w:color w:val="4A4A4A"/>
          <w:sz w:val="21"/>
          <w:szCs w:val="21"/>
          <w:lang w:eastAsia="en-GB"/>
        </w:rPr>
        <w:t>The household</w:t>
      </w:r>
      <w:r w:rsidR="00E1654C">
        <w:rPr>
          <w:rFonts w:eastAsia="Times New Roman" w:cstheme="minorHAnsi"/>
          <w:color w:val="4A4A4A"/>
          <w:sz w:val="21"/>
          <w:szCs w:val="21"/>
          <w:lang w:eastAsia="en-GB"/>
        </w:rPr>
        <w:t xml:space="preserve"> discretionary </w:t>
      </w:r>
      <w:r w:rsidR="00BE0BD6">
        <w:rPr>
          <w:rFonts w:eastAsia="Times New Roman" w:cstheme="minorHAnsi"/>
          <w:color w:val="4A4A4A"/>
          <w:sz w:val="21"/>
          <w:szCs w:val="21"/>
          <w:lang w:eastAsia="en-GB"/>
        </w:rPr>
        <w:t xml:space="preserve">budget is a better measure of household ability to pay than the household total budget. The latter </w:t>
      </w:r>
      <w:r w:rsidR="002607A7">
        <w:rPr>
          <w:rFonts w:eastAsia="Times New Roman" w:cstheme="minorHAnsi"/>
          <w:color w:val="4A4A4A"/>
          <w:sz w:val="21"/>
          <w:szCs w:val="21"/>
          <w:lang w:eastAsia="en-GB"/>
        </w:rPr>
        <w:t xml:space="preserve">doesn't </w:t>
      </w:r>
      <w:r w:rsidR="00506D04">
        <w:rPr>
          <w:rFonts w:eastAsia="Times New Roman" w:cstheme="minorHAnsi"/>
          <w:color w:val="4A4A4A"/>
          <w:sz w:val="21"/>
          <w:szCs w:val="21"/>
          <w:lang w:eastAsia="en-GB"/>
        </w:rPr>
        <w:t>consider</w:t>
      </w:r>
      <w:r w:rsidR="002607A7">
        <w:rPr>
          <w:rFonts w:eastAsia="Times New Roman" w:cstheme="minorHAnsi"/>
          <w:color w:val="4A4A4A"/>
          <w:sz w:val="21"/>
          <w:szCs w:val="21"/>
          <w:lang w:eastAsia="en-GB"/>
        </w:rPr>
        <w:t xml:space="preserve"> that poorer household tend to devote</w:t>
      </w:r>
      <w:r w:rsidR="00CB7ACA">
        <w:rPr>
          <w:rFonts w:eastAsia="Times New Roman" w:cstheme="minorHAnsi"/>
          <w:color w:val="4A4A4A"/>
          <w:sz w:val="21"/>
          <w:szCs w:val="21"/>
          <w:lang w:eastAsia="en-GB"/>
        </w:rPr>
        <w:t xml:space="preserve"> </w:t>
      </w:r>
      <w:r w:rsidR="00AD3488">
        <w:rPr>
          <w:rFonts w:eastAsia="Times New Roman" w:cstheme="minorHAnsi"/>
          <w:color w:val="4A4A4A"/>
          <w:sz w:val="21"/>
          <w:szCs w:val="21"/>
          <w:lang w:eastAsia="en-GB"/>
        </w:rPr>
        <w:t>most of their resources to</w:t>
      </w:r>
      <w:r w:rsidR="00BE0BD6">
        <w:rPr>
          <w:rFonts w:eastAsia="Times New Roman" w:cstheme="minorHAnsi"/>
          <w:color w:val="4A4A4A"/>
          <w:sz w:val="21"/>
          <w:szCs w:val="21"/>
          <w:lang w:eastAsia="en-GB"/>
        </w:rPr>
        <w:t xml:space="preserve"> </w:t>
      </w:r>
      <w:r w:rsidR="00136F42">
        <w:rPr>
          <w:rFonts w:eastAsia="Times New Roman" w:cstheme="minorHAnsi"/>
          <w:color w:val="4A4A4A"/>
          <w:sz w:val="21"/>
          <w:szCs w:val="21"/>
          <w:lang w:eastAsia="en-GB"/>
        </w:rPr>
        <w:t>necessities</w:t>
      </w:r>
      <w:r w:rsidR="000B429B">
        <w:rPr>
          <w:rFonts w:eastAsia="Times New Roman" w:cstheme="minorHAnsi"/>
          <w:color w:val="4A4A4A"/>
          <w:sz w:val="21"/>
          <w:szCs w:val="21"/>
          <w:lang w:eastAsia="en-GB"/>
        </w:rPr>
        <w:t xml:space="preserve">. That is embedded in the definition of discretionary budget adopted for this indicator </w:t>
      </w:r>
      <w:r w:rsidR="001363BC">
        <w:rPr>
          <w:rFonts w:eastAsia="Times New Roman" w:cstheme="minorHAnsi"/>
          <w:color w:val="4A4A4A"/>
          <w:sz w:val="21"/>
          <w:szCs w:val="21"/>
          <w:lang w:eastAsia="en-GB"/>
        </w:rPr>
        <w:t>by using</w:t>
      </w:r>
      <w:r w:rsidR="00136F42">
        <w:rPr>
          <w:rFonts w:eastAsia="Times New Roman" w:cstheme="minorHAnsi"/>
          <w:color w:val="4A4A4A"/>
          <w:sz w:val="21"/>
          <w:szCs w:val="21"/>
          <w:lang w:eastAsia="en-GB"/>
        </w:rPr>
        <w:t xml:space="preserve"> </w:t>
      </w:r>
      <w:r w:rsidR="00E526FA">
        <w:rPr>
          <w:rFonts w:eastAsia="Times New Roman" w:cstheme="minorHAnsi"/>
          <w:color w:val="4A4A4A"/>
          <w:sz w:val="21"/>
          <w:szCs w:val="21"/>
          <w:lang w:eastAsia="en-GB"/>
        </w:rPr>
        <w:t xml:space="preserve">a poverty line </w:t>
      </w:r>
      <w:r w:rsidR="00727C08">
        <w:rPr>
          <w:rFonts w:eastAsia="Times New Roman" w:cstheme="minorHAnsi"/>
          <w:color w:val="4A4A4A"/>
          <w:sz w:val="21"/>
          <w:szCs w:val="21"/>
          <w:lang w:eastAsia="en-GB"/>
        </w:rPr>
        <w:t>to approximate</w:t>
      </w:r>
      <w:r w:rsidR="00E526FA">
        <w:rPr>
          <w:rFonts w:eastAsia="Times New Roman" w:cstheme="minorHAnsi"/>
          <w:color w:val="4A4A4A"/>
          <w:sz w:val="21"/>
          <w:szCs w:val="21"/>
          <w:lang w:eastAsia="en-GB"/>
        </w:rPr>
        <w:t xml:space="preserve"> the cost of basic needs</w:t>
      </w:r>
      <w:r w:rsidR="00D6278A" w:rsidRPr="00D6278A">
        <w:rPr>
          <w:rFonts w:eastAsia="Times New Roman" w:cstheme="minorHAnsi"/>
          <w:color w:val="4A4A4A"/>
          <w:sz w:val="21"/>
          <w:szCs w:val="21"/>
          <w:lang w:eastAsia="en-GB"/>
        </w:rPr>
        <w:t>, and by deducting the poverty line from each household’s budget</w:t>
      </w:r>
      <w:r w:rsidR="00E526FA">
        <w:rPr>
          <w:rFonts w:eastAsia="Times New Roman" w:cstheme="minorHAnsi"/>
          <w:color w:val="4A4A4A"/>
          <w:sz w:val="21"/>
          <w:szCs w:val="21"/>
          <w:lang w:eastAsia="en-GB"/>
        </w:rPr>
        <w:t xml:space="preserve">. </w:t>
      </w:r>
      <w:r w:rsidR="006E7725">
        <w:rPr>
          <w:rFonts w:eastAsia="Times New Roman" w:cstheme="minorHAnsi"/>
          <w:color w:val="4A4A4A"/>
          <w:sz w:val="21"/>
          <w:szCs w:val="21"/>
          <w:lang w:eastAsia="en-GB"/>
        </w:rPr>
        <w:t>t</w:t>
      </w:r>
      <w:r w:rsidR="00C72CB6">
        <w:rPr>
          <w:rFonts w:eastAsia="Times New Roman" w:cstheme="minorHAnsi"/>
          <w:color w:val="4A4A4A"/>
          <w:sz w:val="21"/>
          <w:szCs w:val="21"/>
          <w:lang w:eastAsia="en-GB"/>
        </w:rPr>
        <w:t xml:space="preserve">he </w:t>
      </w:r>
      <w:r w:rsidR="009E6739">
        <w:rPr>
          <w:rFonts w:eastAsia="Times New Roman" w:cstheme="minorHAnsi"/>
          <w:color w:val="4A4A4A"/>
          <w:sz w:val="21"/>
          <w:szCs w:val="21"/>
          <w:lang w:eastAsia="en-GB"/>
        </w:rPr>
        <w:t xml:space="preserve">societal poverty line </w:t>
      </w:r>
      <w:r w:rsidR="006E7725">
        <w:rPr>
          <w:rFonts w:eastAsia="Times New Roman" w:cstheme="minorHAnsi"/>
          <w:color w:val="4A4A4A"/>
          <w:sz w:val="21"/>
          <w:szCs w:val="21"/>
          <w:lang w:eastAsia="en-GB"/>
        </w:rPr>
        <w:t>(SPL). The SPL</w:t>
      </w:r>
      <w:r w:rsidR="009E6739">
        <w:rPr>
          <w:rFonts w:eastAsia="Times New Roman" w:cstheme="minorHAnsi"/>
          <w:color w:val="4A4A4A"/>
          <w:sz w:val="21"/>
          <w:szCs w:val="21"/>
          <w:lang w:eastAsia="en-GB"/>
        </w:rPr>
        <w:t xml:space="preserve"> is a </w:t>
      </w:r>
      <w:r w:rsidR="003829CA">
        <w:rPr>
          <w:rFonts w:eastAsia="Times New Roman" w:cstheme="minorHAnsi"/>
          <w:color w:val="4A4A4A"/>
          <w:sz w:val="21"/>
          <w:szCs w:val="21"/>
          <w:lang w:eastAsia="en-GB"/>
        </w:rPr>
        <w:t xml:space="preserve">standard </w:t>
      </w:r>
      <w:r w:rsidR="009E6739">
        <w:rPr>
          <w:rFonts w:eastAsia="Times New Roman" w:cstheme="minorHAnsi"/>
          <w:color w:val="4A4A4A"/>
          <w:sz w:val="21"/>
          <w:szCs w:val="21"/>
          <w:lang w:eastAsia="en-GB"/>
        </w:rPr>
        <w:t>method</w:t>
      </w:r>
      <w:r w:rsidR="003057D6">
        <w:rPr>
          <w:rFonts w:eastAsia="Times New Roman" w:cstheme="minorHAnsi"/>
          <w:color w:val="4A4A4A"/>
          <w:sz w:val="21"/>
          <w:szCs w:val="21"/>
          <w:lang w:eastAsia="en-GB"/>
        </w:rPr>
        <w:t>, relevant across a wide range of countries,</w:t>
      </w:r>
      <w:r w:rsidR="009E6739">
        <w:rPr>
          <w:rFonts w:eastAsia="Times New Roman" w:cstheme="minorHAnsi"/>
          <w:color w:val="4A4A4A"/>
          <w:sz w:val="21"/>
          <w:szCs w:val="21"/>
          <w:lang w:eastAsia="en-GB"/>
        </w:rPr>
        <w:t xml:space="preserve"> to assess the co</w:t>
      </w:r>
      <w:r w:rsidR="00790EC8">
        <w:rPr>
          <w:rFonts w:eastAsia="Times New Roman" w:cstheme="minorHAnsi"/>
          <w:color w:val="4A4A4A"/>
          <w:sz w:val="21"/>
          <w:szCs w:val="21"/>
          <w:lang w:eastAsia="en-GB"/>
        </w:rPr>
        <w:t>st of basic needs</w:t>
      </w:r>
      <w:r w:rsidR="003829CA">
        <w:rPr>
          <w:rFonts w:eastAsia="Times New Roman" w:cstheme="minorHAnsi"/>
          <w:color w:val="4A4A4A"/>
          <w:sz w:val="21"/>
          <w:szCs w:val="21"/>
          <w:lang w:eastAsia="en-GB"/>
        </w:rPr>
        <w:t xml:space="preserve">, </w:t>
      </w:r>
      <w:r w:rsidR="00A570B4">
        <w:rPr>
          <w:rFonts w:eastAsia="Times New Roman" w:cstheme="minorHAnsi"/>
          <w:color w:val="4A4A4A"/>
          <w:sz w:val="21"/>
          <w:szCs w:val="21"/>
          <w:lang w:eastAsia="en-GB"/>
        </w:rPr>
        <w:t>considering</w:t>
      </w:r>
      <w:r w:rsidR="003829CA">
        <w:rPr>
          <w:rFonts w:eastAsia="Times New Roman" w:cstheme="minorHAnsi"/>
          <w:color w:val="4A4A4A"/>
          <w:sz w:val="21"/>
          <w:szCs w:val="21"/>
          <w:lang w:eastAsia="en-GB"/>
        </w:rPr>
        <w:t xml:space="preserve"> that </w:t>
      </w:r>
      <w:r w:rsidR="006214B2">
        <w:rPr>
          <w:rFonts w:eastAsia="Times New Roman" w:cstheme="minorHAnsi"/>
          <w:color w:val="4A4A4A"/>
          <w:sz w:val="21"/>
          <w:szCs w:val="21"/>
          <w:lang w:eastAsia="en-GB"/>
        </w:rPr>
        <w:t>it</w:t>
      </w:r>
      <w:r w:rsidR="00A570B4">
        <w:rPr>
          <w:rFonts w:eastAsia="Times New Roman" w:cstheme="minorHAnsi"/>
          <w:color w:val="4A4A4A"/>
          <w:sz w:val="21"/>
          <w:szCs w:val="21"/>
          <w:lang w:eastAsia="en-GB"/>
        </w:rPr>
        <w:t xml:space="preserve"> var</w:t>
      </w:r>
      <w:r w:rsidR="006214B2">
        <w:rPr>
          <w:rFonts w:eastAsia="Times New Roman" w:cstheme="minorHAnsi"/>
          <w:color w:val="4A4A4A"/>
          <w:sz w:val="21"/>
          <w:szCs w:val="21"/>
          <w:lang w:eastAsia="en-GB"/>
        </w:rPr>
        <w:t>ies</w:t>
      </w:r>
      <w:r w:rsidR="00A570B4">
        <w:rPr>
          <w:rFonts w:eastAsia="Times New Roman" w:cstheme="minorHAnsi"/>
          <w:color w:val="4A4A4A"/>
          <w:sz w:val="21"/>
          <w:szCs w:val="21"/>
          <w:lang w:eastAsia="en-GB"/>
        </w:rPr>
        <w:t xml:space="preserve"> across countries and over time</w:t>
      </w:r>
      <w:r w:rsidR="00790EC8">
        <w:rPr>
          <w:rFonts w:eastAsia="Times New Roman" w:cstheme="minorHAnsi"/>
          <w:color w:val="4A4A4A"/>
          <w:sz w:val="21"/>
          <w:szCs w:val="21"/>
          <w:lang w:eastAsia="en-GB"/>
        </w:rPr>
        <w:t>.</w:t>
      </w:r>
      <w:r w:rsidR="00A570B4">
        <w:rPr>
          <w:rFonts w:eastAsia="Times New Roman" w:cstheme="minorHAnsi"/>
          <w:color w:val="4A4A4A"/>
          <w:sz w:val="21"/>
          <w:szCs w:val="21"/>
          <w:lang w:eastAsia="en-GB"/>
        </w:rPr>
        <w:t xml:space="preserve"> </w:t>
      </w:r>
      <w:r w:rsidR="00C2327E">
        <w:rPr>
          <w:rFonts w:eastAsia="Times New Roman" w:cstheme="minorHAnsi"/>
          <w:color w:val="4A4A4A"/>
          <w:sz w:val="21"/>
          <w:szCs w:val="21"/>
          <w:lang w:eastAsia="en-GB"/>
        </w:rPr>
        <w:t xml:space="preserve">By using this </w:t>
      </w:r>
      <w:r w:rsidR="005407CA">
        <w:rPr>
          <w:rFonts w:eastAsia="Times New Roman" w:cstheme="minorHAnsi"/>
          <w:color w:val="4A4A4A"/>
          <w:sz w:val="21"/>
          <w:szCs w:val="21"/>
          <w:lang w:eastAsia="en-GB"/>
        </w:rPr>
        <w:t xml:space="preserve">societal poverty line indicator 3.8.2 </w:t>
      </w:r>
      <w:r w:rsidR="00DF4741">
        <w:rPr>
          <w:rFonts w:eastAsia="Times New Roman" w:cstheme="minorHAnsi"/>
          <w:color w:val="4A4A4A"/>
          <w:sz w:val="21"/>
          <w:szCs w:val="21"/>
          <w:lang w:eastAsia="en-GB"/>
        </w:rPr>
        <w:t>takes into account that</w:t>
      </w:r>
      <w:r w:rsidR="005407CA" w:rsidRPr="00BB179E">
        <w:rPr>
          <w:rFonts w:eastAsia="Times New Roman" w:cstheme="minorHAnsi"/>
          <w:color w:val="4A4A4A"/>
          <w:sz w:val="21"/>
          <w:szCs w:val="21"/>
          <w:lang w:eastAsia="en-GB"/>
        </w:rPr>
        <w:t xml:space="preserve"> OOP health spending deters efforts to “End poverty in all its form everywhere” </w:t>
      </w:r>
      <w:r w:rsidR="005407CA" w:rsidRPr="00BB179E">
        <w:rPr>
          <w:rFonts w:eastAsia="Times New Roman" w:cstheme="minorHAnsi"/>
          <w:color w:val="4A4A4A"/>
          <w:sz w:val="21"/>
          <w:szCs w:val="21"/>
          <w:lang w:eastAsia="en-GB"/>
        </w:rPr>
        <w:lastRenderedPageBreak/>
        <w:t>(SDG 1)</w:t>
      </w:r>
      <w:r w:rsidR="00DF4741">
        <w:rPr>
          <w:rFonts w:eastAsia="Times New Roman" w:cstheme="minorHAnsi"/>
          <w:color w:val="4A4A4A"/>
          <w:sz w:val="21"/>
          <w:szCs w:val="21"/>
          <w:lang w:eastAsia="en-GB"/>
        </w:rPr>
        <w:t xml:space="preserve">, </w:t>
      </w:r>
      <w:r w:rsidR="00A51294">
        <w:rPr>
          <w:rFonts w:eastAsia="Times New Roman" w:cstheme="minorHAnsi"/>
          <w:color w:val="4A4A4A"/>
          <w:sz w:val="21"/>
          <w:szCs w:val="21"/>
          <w:lang w:eastAsia="en-GB"/>
        </w:rPr>
        <w:t>reduce</w:t>
      </w:r>
      <w:r w:rsidR="00DF4741">
        <w:rPr>
          <w:rFonts w:eastAsia="Times New Roman" w:cstheme="minorHAnsi"/>
          <w:color w:val="4A4A4A"/>
          <w:sz w:val="21"/>
          <w:szCs w:val="21"/>
          <w:lang w:eastAsia="en-GB"/>
        </w:rPr>
        <w:t xml:space="preserve"> inequalities</w:t>
      </w:r>
      <w:r w:rsidR="00436E03">
        <w:rPr>
          <w:rFonts w:eastAsia="Times New Roman" w:cstheme="minorHAnsi"/>
          <w:color w:val="4A4A4A"/>
          <w:sz w:val="21"/>
          <w:szCs w:val="21"/>
          <w:lang w:eastAsia="en-GB"/>
        </w:rPr>
        <w:t xml:space="preserve"> </w:t>
      </w:r>
      <w:r w:rsidR="00A51294">
        <w:rPr>
          <w:rFonts w:eastAsia="Times New Roman" w:cstheme="minorHAnsi"/>
          <w:color w:val="4A4A4A"/>
          <w:sz w:val="21"/>
          <w:szCs w:val="21"/>
          <w:lang w:eastAsia="en-GB"/>
        </w:rPr>
        <w:t xml:space="preserve">within and between countries (SDG 10) </w:t>
      </w:r>
      <w:r w:rsidR="00EA1D34">
        <w:rPr>
          <w:rFonts w:eastAsia="Times New Roman" w:cstheme="minorHAnsi"/>
          <w:color w:val="4A4A4A"/>
          <w:sz w:val="21"/>
          <w:szCs w:val="21"/>
          <w:lang w:eastAsia="en-GB"/>
        </w:rPr>
        <w:t xml:space="preserve">and can better track progress towards the </w:t>
      </w:r>
      <w:r w:rsidR="000748A0">
        <w:rPr>
          <w:rFonts w:eastAsia="Times New Roman" w:cstheme="minorHAnsi"/>
          <w:color w:val="4A4A4A"/>
          <w:sz w:val="21"/>
          <w:szCs w:val="21"/>
          <w:lang w:eastAsia="en-GB"/>
        </w:rPr>
        <w:t>overarching</w:t>
      </w:r>
      <w:r w:rsidR="00EA1D34">
        <w:rPr>
          <w:rFonts w:eastAsia="Times New Roman" w:cstheme="minorHAnsi"/>
          <w:color w:val="4A4A4A"/>
          <w:sz w:val="21"/>
          <w:szCs w:val="21"/>
          <w:lang w:eastAsia="en-GB"/>
        </w:rPr>
        <w:t xml:space="preserve"> objective of </w:t>
      </w:r>
      <w:r w:rsidR="000748A0">
        <w:rPr>
          <w:rFonts w:eastAsia="Times New Roman" w:cstheme="minorHAnsi"/>
          <w:color w:val="4A4A4A"/>
          <w:sz w:val="21"/>
          <w:szCs w:val="21"/>
          <w:lang w:eastAsia="en-GB"/>
        </w:rPr>
        <w:t xml:space="preserve">the SDGs which is </w:t>
      </w:r>
      <w:r w:rsidR="00EA1D34">
        <w:rPr>
          <w:rFonts w:eastAsia="Times New Roman" w:cstheme="minorHAnsi"/>
          <w:color w:val="4A4A4A"/>
          <w:sz w:val="21"/>
          <w:szCs w:val="21"/>
          <w:lang w:eastAsia="en-GB"/>
        </w:rPr>
        <w:t xml:space="preserve">leaving </w:t>
      </w:r>
      <w:r w:rsidR="00C20F73">
        <w:rPr>
          <w:rFonts w:eastAsia="Times New Roman" w:cstheme="minorHAnsi"/>
          <w:color w:val="4A4A4A"/>
          <w:sz w:val="21"/>
          <w:szCs w:val="21"/>
          <w:lang w:eastAsia="en-GB"/>
        </w:rPr>
        <w:t>no one behind</w:t>
      </w:r>
      <w:r w:rsidR="00941B1A">
        <w:rPr>
          <w:rFonts w:eastAsia="Times New Roman" w:cstheme="minorHAnsi"/>
          <w:color w:val="4A4A4A"/>
          <w:sz w:val="21"/>
          <w:szCs w:val="21"/>
          <w:lang w:eastAsia="en-GB"/>
        </w:rPr>
        <w:t>.</w:t>
      </w:r>
    </w:p>
    <w:p w14:paraId="563F2CAA" w14:textId="77777777" w:rsidR="00CD769A" w:rsidRDefault="00CD769A" w:rsidP="00A11A20">
      <w:pPr>
        <w:shd w:val="clear" w:color="auto" w:fill="FFFFFF"/>
        <w:spacing w:after="0"/>
        <w:jc w:val="both"/>
        <w:rPr>
          <w:rFonts w:eastAsia="Times New Roman" w:cstheme="minorHAnsi"/>
          <w:color w:val="4A4A4A"/>
          <w:sz w:val="21"/>
          <w:szCs w:val="21"/>
          <w:lang w:eastAsia="en-GB"/>
        </w:rPr>
      </w:pPr>
    </w:p>
    <w:p w14:paraId="097B0B43" w14:textId="1B7AEF68" w:rsidR="00B55A32" w:rsidRPr="00645B6F" w:rsidRDefault="00220E40"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Reducing</w:t>
      </w:r>
      <w:r w:rsidR="00614C3E">
        <w:rPr>
          <w:rFonts w:eastAsia="Times New Roman" w:cstheme="minorHAnsi"/>
          <w:color w:val="4A4A4A"/>
          <w:sz w:val="21"/>
          <w:szCs w:val="21"/>
          <w:lang w:eastAsia="en-GB"/>
        </w:rPr>
        <w:t xml:space="preserve"> financial hardship</w:t>
      </w:r>
      <w:r>
        <w:rPr>
          <w:rFonts w:eastAsia="Times New Roman" w:cstheme="minorHAnsi"/>
          <w:color w:val="4A4A4A"/>
          <w:sz w:val="21"/>
          <w:szCs w:val="21"/>
          <w:lang w:eastAsia="en-GB"/>
        </w:rPr>
        <w:t xml:space="preserve"> in health</w:t>
      </w:r>
      <w:r w:rsidR="00614C3E">
        <w:rPr>
          <w:rFonts w:eastAsia="Times New Roman" w:cstheme="minorHAnsi"/>
          <w:color w:val="4A4A4A"/>
          <w:sz w:val="21"/>
          <w:szCs w:val="21"/>
          <w:lang w:eastAsia="en-GB"/>
        </w:rPr>
        <w:t xml:space="preserve"> is important on the global development agenda as well as </w:t>
      </w:r>
      <w:r>
        <w:rPr>
          <w:rFonts w:eastAsia="Times New Roman" w:cstheme="minorHAnsi"/>
          <w:color w:val="4A4A4A"/>
          <w:sz w:val="21"/>
          <w:szCs w:val="21"/>
          <w:lang w:eastAsia="en-GB"/>
        </w:rPr>
        <w:t>a priority of the health sector</w:t>
      </w:r>
      <w:r w:rsidR="007C6D76">
        <w:rPr>
          <w:rFonts w:eastAsia="Times New Roman" w:cstheme="minorHAnsi"/>
          <w:color w:val="4A4A4A"/>
          <w:sz w:val="21"/>
          <w:szCs w:val="21"/>
          <w:lang w:eastAsia="en-GB"/>
        </w:rPr>
        <w:t xml:space="preserve"> of many countries across all regions.</w:t>
      </w:r>
    </w:p>
    <w:p w14:paraId="18EA7892" w14:textId="77777777" w:rsidR="00576CFA" w:rsidRPr="00645B6F" w:rsidRDefault="00576CFA" w:rsidP="00A11A20">
      <w:pPr>
        <w:pStyle w:val="MText"/>
        <w:jc w:val="both"/>
        <w:rPr>
          <w:rFonts w:cstheme="minorHAnsi"/>
        </w:rPr>
      </w:pPr>
    </w:p>
    <w:p w14:paraId="190863C1" w14:textId="77777777" w:rsidR="00AF2722" w:rsidRPr="00A96255" w:rsidRDefault="00AF2722" w:rsidP="00AF2722">
      <w:pPr>
        <w:pStyle w:val="MHeader2"/>
      </w:pPr>
      <w:r w:rsidRPr="00A96255">
        <w:t xml:space="preserve">4.b. Comment and limitations </w:t>
      </w:r>
      <w:r>
        <w:rPr>
          <w:color w:val="B4B4B4"/>
          <w:sz w:val="20"/>
        </w:rPr>
        <w:t>(REC_USE_LIM)</w:t>
      </w:r>
    </w:p>
    <w:p w14:paraId="282C4252" w14:textId="0D911189"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It is feasible to monitor indicator 3.8.2 on a regular basis using the same household survey data that is used to monitor SDG target 1.1 and 1.2 on poverty</w:t>
      </w:r>
      <w:r w:rsidRPr="00645B6F">
        <w:rPr>
          <w:rFonts w:eastAsia="Times New Roman" w:cstheme="minorHAnsi"/>
          <w:color w:val="4A4A4A"/>
          <w:sz w:val="21"/>
          <w:szCs w:val="21"/>
          <w:vertAlign w:val="superscript"/>
          <w:lang w:eastAsia="en-GB"/>
        </w:rPr>
        <w:footnoteReference w:id="10"/>
      </w:r>
      <w:r w:rsidRPr="00645B6F">
        <w:rPr>
          <w:rFonts w:eastAsia="Times New Roman" w:cstheme="minorHAnsi"/>
          <w:color w:val="4A4A4A"/>
          <w:sz w:val="21"/>
          <w:szCs w:val="21"/>
          <w:lang w:eastAsia="en-GB"/>
        </w:rPr>
        <w:t xml:space="preserve">. These surveys are also regularly conducted for other purposes such as calculating weights for the Consumer Price Index. </w:t>
      </w:r>
      <w:r w:rsidRPr="00645B6F">
        <w:rPr>
          <w:rFonts w:eastAsia="Times New Roman" w:cstheme="minorHAnsi"/>
          <w:color w:val="595959" w:themeColor="text1" w:themeTint="A6"/>
          <w:sz w:val="21"/>
          <w:szCs w:val="21"/>
          <w:lang w:val="en-US" w:eastAsia="en-GB"/>
        </w:rPr>
        <w:t>These surveys are conducted typically by NSOs.</w:t>
      </w:r>
      <w:r w:rsidRPr="00645B6F">
        <w:rPr>
          <w:rFonts w:eastAsia="Times New Roman" w:cstheme="minorHAnsi"/>
          <w:color w:val="595959" w:themeColor="text1" w:themeTint="A6"/>
          <w:sz w:val="21"/>
          <w:szCs w:val="21"/>
          <w:lang w:eastAsia="en-GB"/>
        </w:rPr>
        <w:t xml:space="preserve"> Thus, monitoring the proportion of the population with large household expenditures on health as a share of total household consumption or income does not add any ad</w:t>
      </w:r>
      <w:r w:rsidRPr="00645B6F">
        <w:rPr>
          <w:rFonts w:eastAsia="Times New Roman" w:cstheme="minorHAnsi"/>
          <w:color w:val="4A4A4A"/>
          <w:sz w:val="21"/>
          <w:szCs w:val="21"/>
          <w:lang w:eastAsia="en-GB"/>
        </w:rPr>
        <w:t>ditional data collection burden so long as the health expenditure component of the household non-food consumption data can be identified. While this is an advantage, indicator 3.8.2 suffers from the same challenges of timeliness, frequency, data quality and comparability of surveys than SDG indicator 1.1.1.  However, indicator 3.8.2 has its own conceptual and empirical limitations.</w:t>
      </w:r>
    </w:p>
    <w:p w14:paraId="44F91D7A"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23ECBB6C" w14:textId="1DE18746" w:rsidR="00B55A32"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First,</w:t>
      </w:r>
      <w:r w:rsidR="005A6812">
        <w:rPr>
          <w:rFonts w:eastAsia="Times New Roman" w:cstheme="minorHAnsi"/>
          <w:color w:val="4A4A4A"/>
          <w:sz w:val="21"/>
          <w:szCs w:val="21"/>
          <w:lang w:eastAsia="en-GB"/>
        </w:rPr>
        <w:t xml:space="preserve"> challenges to track</w:t>
      </w:r>
      <w:r w:rsidR="007109EF">
        <w:rPr>
          <w:rFonts w:eastAsia="Times New Roman" w:cstheme="minorHAnsi"/>
          <w:color w:val="4A4A4A"/>
          <w:sz w:val="21"/>
          <w:szCs w:val="21"/>
          <w:lang w:eastAsia="en-GB"/>
        </w:rPr>
        <w:t xml:space="preserve"> out-of-pocket health spending: </w:t>
      </w:r>
      <w:r w:rsidRPr="00645B6F">
        <w:rPr>
          <w:rFonts w:eastAsia="Times New Roman" w:cstheme="minorHAnsi"/>
          <w:color w:val="4A4A4A"/>
          <w:sz w:val="21"/>
          <w:szCs w:val="21"/>
          <w:lang w:eastAsia="en-GB"/>
        </w:rPr>
        <w:t xml:space="preserve"> indicator 3.8.2 attempts to identify financial hardship that individuals face when using their income, savings or taking loans to pay for health care. However, most household surveys fail to identify the source of funding used by a household who is reporting health expenditur</w:t>
      </w:r>
      <w:r w:rsidRPr="00645B6F">
        <w:rPr>
          <w:rFonts w:eastAsia="Times New Roman" w:cstheme="minorHAnsi"/>
          <w:color w:val="595959" w:themeColor="text1" w:themeTint="A6"/>
          <w:sz w:val="21"/>
          <w:szCs w:val="21"/>
          <w:lang w:eastAsia="en-GB"/>
        </w:rPr>
        <w:t xml:space="preserve">e. In countries where there is no retrospective reimbursement of household spending on health </w:t>
      </w:r>
      <w:r w:rsidRPr="00645B6F">
        <w:rPr>
          <w:rFonts w:eastAsia="Times New Roman" w:cstheme="minorHAnsi"/>
          <w:color w:val="4A4A4A"/>
          <w:sz w:val="21"/>
          <w:szCs w:val="21"/>
          <w:lang w:eastAsia="en-GB"/>
        </w:rPr>
        <w:t xml:space="preserve">this is not a problem. If a household does report any expenditure on health, it would be because it is not going to be reimbursed by any third-party payer. It is therefore consistent with the definition given for direct health care payments. </w:t>
      </w:r>
    </w:p>
    <w:p w14:paraId="45EDB632" w14:textId="77777777" w:rsidR="000F2D40" w:rsidRPr="00645B6F" w:rsidRDefault="000F2D40" w:rsidP="00A11A20">
      <w:pPr>
        <w:shd w:val="clear" w:color="auto" w:fill="FFFFFF"/>
        <w:spacing w:after="0"/>
        <w:jc w:val="both"/>
        <w:rPr>
          <w:rFonts w:eastAsia="Times New Roman" w:cstheme="minorHAnsi"/>
          <w:color w:val="4A4A4A"/>
          <w:sz w:val="21"/>
          <w:szCs w:val="21"/>
          <w:lang w:eastAsia="en-GB"/>
        </w:rPr>
      </w:pPr>
    </w:p>
    <w:p w14:paraId="4BDED981"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For those countries on the other hand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r>
    </w:p>
    <w:p w14:paraId="3F4AF757"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39FF9767" w14:textId="10F56882"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Clearly, more work is needed to ensure that survey instruments gather information on the sources of funding used by the household to pay for health care, or the household survey instrument always specifies that health expenditures should be net of any reimbursement.</w:t>
      </w:r>
      <w:r w:rsidR="0039035F">
        <w:rPr>
          <w:rFonts w:eastAsia="Times New Roman" w:cstheme="minorHAnsi"/>
          <w:color w:val="4A4A4A"/>
          <w:sz w:val="21"/>
          <w:szCs w:val="21"/>
          <w:lang w:eastAsia="en-GB"/>
        </w:rPr>
        <w:t xml:space="preserve"> Survey instrument and sample design should also be carefully reviewed </w:t>
      </w:r>
      <w:r w:rsidR="00F57BE7">
        <w:rPr>
          <w:rFonts w:eastAsia="Times New Roman" w:cstheme="minorHAnsi"/>
          <w:color w:val="4A4A4A"/>
          <w:sz w:val="21"/>
          <w:szCs w:val="21"/>
          <w:lang w:eastAsia="en-GB"/>
        </w:rPr>
        <w:t>to minimize</w:t>
      </w:r>
      <w:r w:rsidRPr="00645B6F">
        <w:rPr>
          <w:rFonts w:eastAsia="Times New Roman" w:cstheme="minorHAnsi"/>
          <w:color w:val="4A4A4A"/>
          <w:sz w:val="21"/>
          <w:szCs w:val="21"/>
          <w:lang w:eastAsia="en-GB"/>
        </w:rPr>
        <w:t xml:space="preserve"> </w:t>
      </w:r>
      <w:r w:rsidR="0039035F" w:rsidRPr="00645B6F">
        <w:rPr>
          <w:rFonts w:eastAsia="Times New Roman" w:cstheme="minorHAnsi"/>
          <w:color w:val="4A4A4A"/>
          <w:sz w:val="21"/>
          <w:szCs w:val="21"/>
          <w:lang w:eastAsia="en-GB"/>
        </w:rPr>
        <w:t>measurement errors due to both non-sampling errors such as a very short</w:t>
      </w:r>
      <w:r w:rsidR="00F57BE7">
        <w:rPr>
          <w:rFonts w:eastAsia="Times New Roman" w:cstheme="minorHAnsi"/>
          <w:color w:val="4A4A4A"/>
          <w:sz w:val="21"/>
          <w:szCs w:val="21"/>
          <w:lang w:eastAsia="en-GB"/>
        </w:rPr>
        <w:t xml:space="preserve"> or very long</w:t>
      </w:r>
      <w:r w:rsidR="0039035F" w:rsidRPr="00645B6F">
        <w:rPr>
          <w:rFonts w:eastAsia="Times New Roman" w:cstheme="minorHAnsi"/>
          <w:color w:val="4A4A4A"/>
          <w:sz w:val="21"/>
          <w:szCs w:val="21"/>
          <w:lang w:eastAsia="en-GB"/>
        </w:rPr>
        <w:t xml:space="preserve"> recall period</w:t>
      </w:r>
      <w:r w:rsidR="00F57BE7">
        <w:rPr>
          <w:rFonts w:eastAsia="Times New Roman" w:cstheme="minorHAnsi"/>
          <w:color w:val="4A4A4A"/>
          <w:sz w:val="21"/>
          <w:szCs w:val="21"/>
          <w:lang w:eastAsia="en-GB"/>
        </w:rPr>
        <w:t>s</w:t>
      </w:r>
      <w:r w:rsidR="0039035F" w:rsidRPr="00645B6F">
        <w:rPr>
          <w:rFonts w:eastAsia="Times New Roman" w:cstheme="minorHAnsi"/>
          <w:color w:val="4A4A4A"/>
          <w:sz w:val="21"/>
          <w:szCs w:val="21"/>
          <w:lang w:eastAsia="en-GB"/>
        </w:rPr>
        <w:t xml:space="preserve"> </w:t>
      </w:r>
      <w:r w:rsidR="00F57BE7">
        <w:rPr>
          <w:rFonts w:eastAsia="Times New Roman" w:cstheme="minorHAnsi"/>
          <w:color w:val="4A4A4A"/>
          <w:sz w:val="21"/>
          <w:szCs w:val="21"/>
          <w:lang w:eastAsia="en-GB"/>
        </w:rPr>
        <w:t>precluding proper</w:t>
      </w:r>
      <w:r w:rsidR="0039035F" w:rsidRPr="00645B6F">
        <w:rPr>
          <w:rFonts w:eastAsia="Times New Roman" w:cstheme="minorHAnsi"/>
          <w:color w:val="4A4A4A"/>
          <w:sz w:val="21"/>
          <w:szCs w:val="21"/>
          <w:lang w:eastAsia="en-GB"/>
        </w:rPr>
        <w:t xml:space="preserve"> </w:t>
      </w:r>
      <w:r w:rsidR="00C04482">
        <w:rPr>
          <w:rFonts w:eastAsia="Times New Roman" w:cstheme="minorHAnsi"/>
          <w:color w:val="4A4A4A"/>
          <w:sz w:val="21"/>
          <w:szCs w:val="21"/>
          <w:lang w:eastAsia="en-GB"/>
        </w:rPr>
        <w:t xml:space="preserve">data </w:t>
      </w:r>
      <w:r w:rsidR="0039035F" w:rsidRPr="00645B6F">
        <w:rPr>
          <w:rFonts w:eastAsia="Times New Roman" w:cstheme="minorHAnsi"/>
          <w:color w:val="4A4A4A"/>
          <w:sz w:val="21"/>
          <w:szCs w:val="21"/>
          <w:lang w:eastAsia="en-GB"/>
        </w:rPr>
        <w:t>collection of</w:t>
      </w:r>
      <w:r w:rsidR="00C04482">
        <w:rPr>
          <w:rFonts w:eastAsia="Times New Roman" w:cstheme="minorHAnsi"/>
          <w:color w:val="4A4A4A"/>
          <w:sz w:val="21"/>
          <w:szCs w:val="21"/>
          <w:lang w:eastAsia="en-GB"/>
        </w:rPr>
        <w:t xml:space="preserve"> all health care components (</w:t>
      </w:r>
      <w:r w:rsidR="007356E0">
        <w:rPr>
          <w:rFonts w:eastAsia="Times New Roman" w:cstheme="minorHAnsi"/>
          <w:color w:val="4A4A4A"/>
          <w:sz w:val="21"/>
          <w:szCs w:val="21"/>
          <w:lang w:eastAsia="en-GB"/>
        </w:rPr>
        <w:t>overnight stay, medicines, etc..)</w:t>
      </w:r>
      <w:r w:rsidR="0039035F" w:rsidRPr="00645B6F">
        <w:rPr>
          <w:rFonts w:eastAsia="Times New Roman" w:cstheme="minorHAnsi"/>
          <w:color w:val="4A4A4A"/>
          <w:sz w:val="21"/>
          <w:szCs w:val="21"/>
          <w:lang w:eastAsia="en-GB"/>
        </w:rPr>
        <w:t>; or sampling errors such as over-sample of areas with a particularly low burden of disease.</w:t>
      </w:r>
    </w:p>
    <w:p w14:paraId="65E4F0C4"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1AF57316" w14:textId="53A6E4F3" w:rsidR="00B55A32" w:rsidRPr="00645B6F" w:rsidRDefault="007A4A9D"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Second</w:t>
      </w:r>
      <w:r w:rsidR="00B55A32" w:rsidRPr="00645B6F">
        <w:rPr>
          <w:rFonts w:eastAsia="Times New Roman" w:cstheme="minorHAnsi"/>
          <w:color w:val="4A4A4A"/>
          <w:sz w:val="21"/>
          <w:szCs w:val="21"/>
          <w:lang w:eastAsia="en-GB"/>
        </w:rPr>
        <w:t>,</w:t>
      </w:r>
      <w:r w:rsidR="00C5705F">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indicator 3.8.2 relies on a single cut-off point</w:t>
      </w:r>
      <w:r w:rsidR="00EA6118">
        <w:rPr>
          <w:rFonts w:eastAsia="Times New Roman" w:cstheme="minorHAnsi"/>
          <w:color w:val="4A4A4A"/>
          <w:sz w:val="21"/>
          <w:szCs w:val="21"/>
          <w:lang w:eastAsia="en-GB"/>
        </w:rPr>
        <w:t>,</w:t>
      </w:r>
      <w:r w:rsidR="003431AC">
        <w:rPr>
          <w:rFonts w:eastAsia="Times New Roman" w:cstheme="minorHAnsi"/>
          <w:color w:val="4A4A4A"/>
          <w:sz w:val="21"/>
          <w:szCs w:val="21"/>
          <w:lang w:eastAsia="en-GB"/>
        </w:rPr>
        <w:t xml:space="preserve"> 40%</w:t>
      </w:r>
      <w:r w:rsidR="00EA6118">
        <w:rPr>
          <w:rFonts w:eastAsia="Times New Roman" w:cstheme="minorHAnsi"/>
          <w:color w:val="4A4A4A"/>
          <w:sz w:val="21"/>
          <w:szCs w:val="21"/>
          <w:lang w:eastAsia="en-GB"/>
        </w:rPr>
        <w:t xml:space="preserve"> of household </w:t>
      </w:r>
      <w:r w:rsidR="000A7CB4">
        <w:rPr>
          <w:rFonts w:eastAsia="Times New Roman" w:cstheme="minorHAnsi"/>
          <w:color w:val="4A4A4A"/>
          <w:sz w:val="21"/>
          <w:szCs w:val="21"/>
          <w:lang w:eastAsia="en-GB"/>
        </w:rPr>
        <w:t>discretionary budget</w:t>
      </w:r>
      <w:r w:rsidR="00601290">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 xml:space="preserve"> People just below such threshold are not taken into account, which is always the problem with measures based on cut-offs. </w:t>
      </w:r>
      <w:r w:rsidR="008D29FD">
        <w:rPr>
          <w:rFonts w:eastAsia="Times New Roman" w:cstheme="minorHAnsi"/>
          <w:color w:val="4A4A4A"/>
          <w:sz w:val="21"/>
          <w:szCs w:val="21"/>
          <w:lang w:eastAsia="en-GB"/>
        </w:rPr>
        <w:t xml:space="preserve"> However, e</w:t>
      </w:r>
      <w:r w:rsidR="0013587D">
        <w:rPr>
          <w:rFonts w:eastAsia="Times New Roman" w:cstheme="minorHAnsi"/>
          <w:color w:val="4A4A4A"/>
          <w:sz w:val="21"/>
          <w:szCs w:val="21"/>
          <w:lang w:eastAsia="en-GB"/>
        </w:rPr>
        <w:t>mpirical evidence shows that the choice of the threshold affect</w:t>
      </w:r>
      <w:r w:rsidR="00DF2003">
        <w:rPr>
          <w:rFonts w:eastAsia="Times New Roman" w:cstheme="minorHAnsi"/>
          <w:color w:val="4A4A4A"/>
          <w:sz w:val="21"/>
          <w:szCs w:val="21"/>
          <w:lang w:eastAsia="en-GB"/>
        </w:rPr>
        <w:t>s</w:t>
      </w:r>
      <w:r w:rsidR="0013587D">
        <w:rPr>
          <w:rFonts w:eastAsia="Times New Roman" w:cstheme="minorHAnsi"/>
          <w:color w:val="4A4A4A"/>
          <w:sz w:val="21"/>
          <w:szCs w:val="21"/>
          <w:lang w:eastAsia="en-GB"/>
        </w:rPr>
        <w:t xml:space="preserve"> the </w:t>
      </w:r>
      <w:r w:rsidR="0043334F">
        <w:rPr>
          <w:rFonts w:eastAsia="Times New Roman" w:cstheme="minorHAnsi"/>
          <w:color w:val="4A4A4A"/>
          <w:sz w:val="21"/>
          <w:szCs w:val="21"/>
          <w:lang w:eastAsia="en-GB"/>
        </w:rPr>
        <w:t>level of the indicator but not the trends over time.</w:t>
      </w:r>
      <w:r w:rsidR="00B55A32" w:rsidRPr="00645B6F">
        <w:rPr>
          <w:rFonts w:eastAsia="Times New Roman" w:cstheme="minorHAnsi"/>
          <w:color w:val="4A4A4A"/>
          <w:sz w:val="21"/>
          <w:szCs w:val="21"/>
          <w:lang w:eastAsia="en-GB"/>
        </w:rPr>
        <w:t xml:space="preserve"> </w:t>
      </w:r>
    </w:p>
    <w:p w14:paraId="554CCB56" w14:textId="21A5CA76" w:rsidR="00B55A32" w:rsidRDefault="00B55A32" w:rsidP="00A11A20">
      <w:pPr>
        <w:shd w:val="clear" w:color="auto" w:fill="FFFFFF"/>
        <w:spacing w:after="0"/>
        <w:jc w:val="both"/>
        <w:rPr>
          <w:rFonts w:eastAsia="Times New Roman" w:cstheme="minorHAnsi"/>
          <w:color w:val="4A4A4A"/>
          <w:sz w:val="21"/>
          <w:szCs w:val="21"/>
          <w:lang w:eastAsia="en-GB"/>
        </w:rPr>
      </w:pPr>
    </w:p>
    <w:p w14:paraId="1DFD95F4" w14:textId="16805AF8" w:rsidR="000360BD" w:rsidRDefault="00213853" w:rsidP="00A11A20">
      <w:pPr>
        <w:shd w:val="clear" w:color="auto" w:fill="FFFFFF"/>
        <w:spacing w:after="0"/>
        <w:jc w:val="both"/>
        <w:rPr>
          <w:rFonts w:eastAsia="Times New Roman" w:cstheme="minorHAnsi"/>
          <w:color w:val="4A4A4A"/>
          <w:sz w:val="21"/>
          <w:szCs w:val="21"/>
          <w:lang w:eastAsia="en-GB"/>
        </w:rPr>
      </w:pPr>
      <w:r w:rsidRPr="00C95B87">
        <w:rPr>
          <w:rFonts w:eastAsia="Times New Roman" w:cstheme="minorHAnsi"/>
          <w:color w:val="4A4A4A"/>
          <w:sz w:val="21"/>
          <w:szCs w:val="21"/>
          <w:lang w:eastAsia="en-GB"/>
        </w:rPr>
        <w:lastRenderedPageBreak/>
        <w:t>Third</w:t>
      </w:r>
      <w:r w:rsidR="00BB179E" w:rsidRPr="00C95B87">
        <w:rPr>
          <w:rFonts w:eastAsia="Times New Roman" w:cstheme="minorHAnsi"/>
          <w:color w:val="4A4A4A"/>
          <w:sz w:val="21"/>
          <w:szCs w:val="21"/>
          <w:lang w:eastAsia="en-GB"/>
        </w:rPr>
        <w:t>, there are other indicators used to measure financial hardship</w:t>
      </w:r>
      <w:r w:rsidR="002E43B6" w:rsidRPr="00C95B87">
        <w:rPr>
          <w:rFonts w:eastAsia="Times New Roman" w:cstheme="minorHAnsi"/>
          <w:color w:val="4A4A4A"/>
          <w:sz w:val="21"/>
          <w:szCs w:val="21"/>
          <w:lang w:eastAsia="en-GB"/>
        </w:rPr>
        <w:t xml:space="preserve"> in health</w:t>
      </w:r>
      <w:r w:rsidR="00BB179E" w:rsidRPr="00C95B87">
        <w:rPr>
          <w:rFonts w:eastAsia="Times New Roman" w:cstheme="minorHAnsi"/>
          <w:color w:val="4A4A4A"/>
          <w:sz w:val="21"/>
          <w:szCs w:val="21"/>
          <w:lang w:eastAsia="en-GB"/>
        </w:rPr>
        <w:t>, all based on the same data sources</w:t>
      </w:r>
      <w:r w:rsidR="002E43B6" w:rsidRPr="00C95B87">
        <w:rPr>
          <w:rFonts w:eastAsia="Times New Roman" w:cstheme="minorHAnsi"/>
          <w:color w:val="4A4A4A"/>
          <w:sz w:val="21"/>
          <w:szCs w:val="21"/>
          <w:lang w:eastAsia="en-GB"/>
        </w:rPr>
        <w:t>.</w:t>
      </w:r>
      <w:r w:rsidR="00BB179E" w:rsidRPr="00C95B87">
        <w:rPr>
          <w:rFonts w:eastAsia="Times New Roman" w:cstheme="minorHAnsi"/>
          <w:color w:val="4A4A4A"/>
          <w:sz w:val="21"/>
          <w:szCs w:val="21"/>
          <w:lang w:eastAsia="en-GB"/>
        </w:rPr>
        <w:t xml:space="preserve"> </w:t>
      </w:r>
      <w:r w:rsidR="00C473BB" w:rsidRPr="00C95B87">
        <w:rPr>
          <w:rFonts w:eastAsia="Times New Roman" w:cstheme="minorHAnsi"/>
          <w:color w:val="4A4A4A"/>
          <w:sz w:val="21"/>
          <w:szCs w:val="21"/>
          <w:lang w:eastAsia="en-GB"/>
        </w:rPr>
        <w:t>The</w:t>
      </w:r>
      <w:r w:rsidR="00D01ACF" w:rsidRPr="00C95B87">
        <w:rPr>
          <w:rFonts w:eastAsia="Times New Roman" w:cstheme="minorHAnsi"/>
          <w:color w:val="4A4A4A"/>
          <w:sz w:val="21"/>
          <w:szCs w:val="21"/>
          <w:lang w:eastAsia="en-GB"/>
        </w:rPr>
        <w:t>se measures typically focus on</w:t>
      </w:r>
      <w:r w:rsidR="00751983" w:rsidRPr="00C95B87">
        <w:rPr>
          <w:rFonts w:eastAsia="Times New Roman" w:cstheme="minorHAnsi"/>
          <w:color w:val="4A4A4A"/>
          <w:sz w:val="21"/>
          <w:szCs w:val="21"/>
          <w:lang w:eastAsia="en-GB"/>
        </w:rPr>
        <w:t xml:space="preserve"> the </w:t>
      </w:r>
      <w:r w:rsidR="006570FC" w:rsidRPr="00C95B87">
        <w:rPr>
          <w:rFonts w:eastAsia="Times New Roman" w:cstheme="minorHAnsi"/>
          <w:color w:val="4A4A4A"/>
          <w:sz w:val="21"/>
          <w:szCs w:val="21"/>
          <w:lang w:eastAsia="en-GB"/>
        </w:rPr>
        <w:t xml:space="preserve">percentage of the </w:t>
      </w:r>
      <w:r w:rsidR="00751983" w:rsidRPr="00C95B87">
        <w:rPr>
          <w:rFonts w:eastAsia="Times New Roman" w:cstheme="minorHAnsi"/>
          <w:color w:val="4A4A4A"/>
          <w:sz w:val="21"/>
          <w:szCs w:val="21"/>
          <w:lang w:eastAsia="en-GB"/>
        </w:rPr>
        <w:t xml:space="preserve">population </w:t>
      </w:r>
      <w:r w:rsidR="006570FC" w:rsidRPr="00C95B87">
        <w:rPr>
          <w:rFonts w:eastAsia="Times New Roman" w:cstheme="minorHAnsi"/>
          <w:color w:val="4A4A4A"/>
          <w:sz w:val="21"/>
          <w:szCs w:val="21"/>
          <w:lang w:eastAsia="en-GB"/>
        </w:rPr>
        <w:t xml:space="preserve">with </w:t>
      </w:r>
      <w:r w:rsidR="00D01ACF" w:rsidRPr="00C95B87">
        <w:rPr>
          <w:rFonts w:eastAsia="Times New Roman" w:cstheme="minorHAnsi"/>
          <w:color w:val="4A4A4A"/>
          <w:sz w:val="21"/>
          <w:szCs w:val="21"/>
          <w:lang w:eastAsia="en-GB"/>
        </w:rPr>
        <w:t xml:space="preserve"> either </w:t>
      </w:r>
      <w:r w:rsidR="008B309C" w:rsidRPr="00C95B87">
        <w:rPr>
          <w:rFonts w:eastAsia="Times New Roman" w:cstheme="minorHAnsi"/>
          <w:color w:val="4A4A4A"/>
          <w:sz w:val="21"/>
          <w:szCs w:val="21"/>
          <w:lang w:eastAsia="en-GB"/>
        </w:rPr>
        <w:t>large</w:t>
      </w:r>
      <w:r w:rsidR="00D333EB" w:rsidRPr="00C95B87">
        <w:rPr>
          <w:rFonts w:eastAsia="Times New Roman" w:cstheme="minorHAnsi"/>
          <w:color w:val="4A4A4A"/>
          <w:sz w:val="21"/>
          <w:szCs w:val="21"/>
          <w:lang w:eastAsia="en-GB"/>
        </w:rPr>
        <w:t xml:space="preserve"> or impoverishing</w:t>
      </w:r>
      <w:r w:rsidR="00D01ACF" w:rsidRPr="00C95B87">
        <w:rPr>
          <w:rFonts w:eastAsia="Times New Roman" w:cstheme="minorHAnsi"/>
          <w:color w:val="4A4A4A"/>
          <w:sz w:val="21"/>
          <w:szCs w:val="21"/>
          <w:lang w:eastAsia="en-GB"/>
        </w:rPr>
        <w:t xml:space="preserve"> out-of-pocket household spending on health</w:t>
      </w:r>
      <w:r w:rsidR="00027E2E" w:rsidRPr="000262B1">
        <w:rPr>
          <w:rFonts w:eastAsia="Times New Roman" w:cstheme="minorHAnsi"/>
          <w:color w:val="4A4A4A"/>
          <w:sz w:val="21"/>
          <w:szCs w:val="21"/>
          <w:vertAlign w:val="superscript"/>
          <w:lang w:eastAsia="en-GB"/>
        </w:rPr>
        <w:footnoteReference w:id="11"/>
      </w:r>
      <w:r w:rsidR="00027E2E" w:rsidRPr="000262B1">
        <w:rPr>
          <w:rFonts w:eastAsia="Times New Roman" w:cstheme="minorHAnsi"/>
          <w:color w:val="4A4A4A"/>
          <w:sz w:val="21"/>
          <w:szCs w:val="21"/>
          <w:vertAlign w:val="superscript"/>
          <w:lang w:eastAsia="en-GB"/>
        </w:rPr>
        <w:t>,</w:t>
      </w:r>
      <w:r w:rsidR="00027E2E" w:rsidRPr="000262B1">
        <w:rPr>
          <w:rFonts w:eastAsia="Times New Roman" w:cstheme="minorHAnsi"/>
          <w:color w:val="4A4A4A"/>
          <w:sz w:val="21"/>
          <w:szCs w:val="21"/>
          <w:vertAlign w:val="superscript"/>
          <w:lang w:eastAsia="en-GB"/>
        </w:rPr>
        <w:footnoteReference w:id="12"/>
      </w:r>
      <w:r w:rsidR="00027E2E" w:rsidRPr="000262B1">
        <w:rPr>
          <w:rFonts w:eastAsia="Times New Roman" w:cstheme="minorHAnsi"/>
          <w:color w:val="4A4A4A"/>
          <w:sz w:val="21"/>
          <w:szCs w:val="21"/>
          <w:vertAlign w:val="superscript"/>
          <w:lang w:eastAsia="en-GB"/>
        </w:rPr>
        <w:t>,</w:t>
      </w:r>
      <w:r w:rsidR="00027E2E" w:rsidRPr="000262B1">
        <w:rPr>
          <w:rFonts w:eastAsia="Times New Roman" w:cstheme="minorHAnsi"/>
          <w:color w:val="4A4A4A"/>
          <w:sz w:val="21"/>
          <w:szCs w:val="21"/>
          <w:vertAlign w:val="superscript"/>
          <w:lang w:eastAsia="en-GB"/>
        </w:rPr>
        <w:footnoteReference w:id="13"/>
      </w:r>
      <w:r w:rsidR="00027E2E" w:rsidRPr="000262B1">
        <w:rPr>
          <w:rFonts w:eastAsia="Times New Roman" w:cstheme="minorHAnsi"/>
          <w:color w:val="4A4A4A"/>
          <w:sz w:val="21"/>
          <w:szCs w:val="21"/>
          <w:vertAlign w:val="superscript"/>
          <w:lang w:eastAsia="en-GB"/>
        </w:rPr>
        <w:t>,</w:t>
      </w:r>
      <w:r w:rsidR="0022213C" w:rsidRPr="000262B1">
        <w:rPr>
          <w:rFonts w:eastAsia="Times New Roman" w:cstheme="minorHAnsi"/>
          <w:color w:val="4A4A4A"/>
          <w:sz w:val="21"/>
          <w:szCs w:val="21"/>
          <w:lang w:eastAsia="en-GB"/>
        </w:rPr>
        <w:t>.</w:t>
      </w:r>
      <w:r w:rsidR="00155A95" w:rsidRPr="000262B1">
        <w:rPr>
          <w:rFonts w:eastAsia="Times New Roman" w:cstheme="minorHAnsi"/>
          <w:color w:val="4A4A4A"/>
          <w:sz w:val="21"/>
          <w:szCs w:val="21"/>
          <w:lang w:eastAsia="en-GB"/>
        </w:rPr>
        <w:t xml:space="preserve"> </w:t>
      </w:r>
      <w:r w:rsidR="004F1B95" w:rsidRPr="000262B1">
        <w:rPr>
          <w:rFonts w:eastAsia="Times New Roman" w:cstheme="minorHAnsi"/>
          <w:color w:val="4A4A4A"/>
          <w:sz w:val="21"/>
          <w:szCs w:val="21"/>
          <w:lang w:eastAsia="en-GB"/>
        </w:rPr>
        <w:t xml:space="preserve">Focusing only on </w:t>
      </w:r>
      <w:r w:rsidR="00136C6E" w:rsidRPr="000262B1">
        <w:rPr>
          <w:rFonts w:eastAsia="Times New Roman" w:cstheme="minorHAnsi"/>
          <w:color w:val="4A4A4A"/>
          <w:sz w:val="21"/>
          <w:szCs w:val="21"/>
          <w:lang w:eastAsia="en-GB"/>
        </w:rPr>
        <w:t xml:space="preserve">either large or impoverishing health spending doesn’t capture the full spectrum of </w:t>
      </w:r>
      <w:r w:rsidR="00E46133" w:rsidRPr="000262B1">
        <w:rPr>
          <w:rFonts w:eastAsia="Times New Roman" w:cstheme="minorHAnsi"/>
          <w:color w:val="4A4A4A"/>
          <w:sz w:val="21"/>
          <w:szCs w:val="21"/>
          <w:lang w:eastAsia="en-GB"/>
        </w:rPr>
        <w:t xml:space="preserve">people </w:t>
      </w:r>
      <w:r w:rsidR="008B1713" w:rsidRPr="000262B1">
        <w:rPr>
          <w:rFonts w:eastAsia="Times New Roman" w:cstheme="minorHAnsi"/>
          <w:color w:val="4A4A4A"/>
          <w:sz w:val="21"/>
          <w:szCs w:val="21"/>
          <w:lang w:eastAsia="en-GB"/>
        </w:rPr>
        <w:t>who have their living standards deteriorate due to</w:t>
      </w:r>
      <w:r w:rsidR="00136C6E" w:rsidRPr="000262B1">
        <w:rPr>
          <w:rFonts w:eastAsia="Times New Roman" w:cstheme="minorHAnsi"/>
          <w:color w:val="4A4A4A"/>
          <w:sz w:val="21"/>
          <w:szCs w:val="21"/>
          <w:lang w:eastAsia="en-GB"/>
        </w:rPr>
        <w:t xml:space="preserve"> out-of-pocket household spending on health</w:t>
      </w:r>
      <w:r w:rsidR="008B1713" w:rsidRPr="000262B1">
        <w:rPr>
          <w:rFonts w:eastAsia="Times New Roman" w:cstheme="minorHAnsi"/>
          <w:color w:val="4A4A4A"/>
          <w:sz w:val="21"/>
          <w:szCs w:val="21"/>
          <w:lang w:eastAsia="en-GB"/>
        </w:rPr>
        <w:t>.</w:t>
      </w:r>
      <w:r w:rsidR="00136C6E" w:rsidRPr="000262B1">
        <w:rPr>
          <w:rFonts w:eastAsia="Times New Roman" w:cstheme="minorHAnsi"/>
          <w:color w:val="4A4A4A"/>
          <w:sz w:val="21"/>
          <w:szCs w:val="21"/>
          <w:lang w:eastAsia="en-GB"/>
        </w:rPr>
        <w:t xml:space="preserve"> </w:t>
      </w:r>
      <w:r w:rsidR="002A5827" w:rsidRPr="000262B1">
        <w:rPr>
          <w:rFonts w:eastAsia="Times New Roman" w:cstheme="minorHAnsi"/>
          <w:color w:val="4A4A4A"/>
          <w:sz w:val="21"/>
          <w:szCs w:val="21"/>
          <w:lang w:eastAsia="en-GB"/>
        </w:rPr>
        <w:t>Th</w:t>
      </w:r>
      <w:r w:rsidR="00FF2BE7" w:rsidRPr="00C95B87">
        <w:rPr>
          <w:rFonts w:eastAsia="Times New Roman" w:cstheme="minorHAnsi"/>
          <w:color w:val="4A4A4A"/>
          <w:sz w:val="21"/>
          <w:szCs w:val="21"/>
          <w:lang w:eastAsia="en-GB"/>
        </w:rPr>
        <w:t>is</w:t>
      </w:r>
      <w:r w:rsidR="00585C67" w:rsidRPr="00C95B87">
        <w:rPr>
          <w:rFonts w:eastAsia="Times New Roman" w:cstheme="minorHAnsi"/>
          <w:color w:val="4A4A4A"/>
          <w:sz w:val="21"/>
          <w:szCs w:val="21"/>
          <w:lang w:eastAsia="en-GB"/>
        </w:rPr>
        <w:t xml:space="preserve"> </w:t>
      </w:r>
      <w:r w:rsidR="002A5827" w:rsidRPr="00C95B87">
        <w:rPr>
          <w:rFonts w:eastAsia="Times New Roman" w:cstheme="minorHAnsi"/>
          <w:color w:val="4A4A4A"/>
          <w:sz w:val="21"/>
          <w:szCs w:val="21"/>
          <w:lang w:eastAsia="en-GB"/>
        </w:rPr>
        <w:t>definition of SDG indicator 3.8.2</w:t>
      </w:r>
      <w:r w:rsidR="00267F2F" w:rsidRPr="00C95B87">
        <w:rPr>
          <w:rFonts w:eastAsia="Times New Roman" w:cstheme="minorHAnsi"/>
          <w:color w:val="4A4A4A"/>
          <w:sz w:val="21"/>
          <w:szCs w:val="21"/>
          <w:lang w:eastAsia="en-GB"/>
        </w:rPr>
        <w:t xml:space="preserve">, </w:t>
      </w:r>
      <w:r w:rsidR="00585C67" w:rsidRPr="00C95B87">
        <w:rPr>
          <w:rFonts w:eastAsia="Times New Roman" w:cstheme="minorHAnsi"/>
          <w:color w:val="4A4A4A"/>
          <w:sz w:val="21"/>
          <w:szCs w:val="21"/>
          <w:lang w:eastAsia="en-GB"/>
        </w:rPr>
        <w:t xml:space="preserve">provides a unified framework to capture both large and impoverishing out-of-pocket household </w:t>
      </w:r>
      <w:r w:rsidR="004E2CE5" w:rsidRPr="00C95B87">
        <w:rPr>
          <w:rFonts w:eastAsia="Times New Roman" w:cstheme="minorHAnsi"/>
          <w:color w:val="4A4A4A"/>
          <w:sz w:val="21"/>
          <w:szCs w:val="21"/>
          <w:lang w:eastAsia="en-GB"/>
        </w:rPr>
        <w:t>spending on health</w:t>
      </w:r>
      <w:r w:rsidR="004E2CE5" w:rsidRPr="000262B1">
        <w:rPr>
          <w:rFonts w:eastAsia="Times New Roman" w:cstheme="minorHAnsi"/>
          <w:color w:val="4A4A4A"/>
          <w:sz w:val="21"/>
          <w:szCs w:val="21"/>
          <w:lang w:eastAsia="en-GB"/>
        </w:rPr>
        <w:t xml:space="preserve"> </w:t>
      </w:r>
      <w:r w:rsidR="0069528B" w:rsidRPr="000262B1">
        <w:rPr>
          <w:rFonts w:eastAsia="Times New Roman" w:cstheme="minorHAnsi"/>
          <w:color w:val="4A4A4A"/>
          <w:sz w:val="21"/>
          <w:szCs w:val="21"/>
          <w:lang w:eastAsia="en-GB"/>
        </w:rPr>
        <w:t>using a poverty line that has been developed to be relevant for all countries at all income levels</w:t>
      </w:r>
      <w:r w:rsidR="004E2CE5" w:rsidRPr="000262B1">
        <w:rPr>
          <w:rFonts w:eastAsia="Times New Roman" w:cstheme="minorHAnsi"/>
          <w:color w:val="4A4A4A"/>
          <w:sz w:val="21"/>
          <w:szCs w:val="21"/>
          <w:lang w:eastAsia="en-GB"/>
        </w:rPr>
        <w:t xml:space="preserve"> </w:t>
      </w:r>
      <w:r w:rsidR="00D5318A" w:rsidRPr="000262B1">
        <w:rPr>
          <w:rFonts w:eastAsia="Times New Roman" w:cstheme="minorHAnsi"/>
          <w:color w:val="4A4A4A"/>
          <w:sz w:val="21"/>
          <w:szCs w:val="21"/>
          <w:lang w:eastAsia="en-GB"/>
        </w:rPr>
        <w:t xml:space="preserve">and a threshold that has been widely used </w:t>
      </w:r>
      <w:r w:rsidR="0017064B" w:rsidRPr="000262B1">
        <w:rPr>
          <w:rFonts w:eastAsia="Times New Roman" w:cstheme="minorHAnsi"/>
          <w:color w:val="4A4A4A"/>
          <w:sz w:val="21"/>
          <w:szCs w:val="21"/>
          <w:lang w:eastAsia="en-GB"/>
        </w:rPr>
        <w:t xml:space="preserve">to </w:t>
      </w:r>
      <w:r w:rsidR="00EA502F" w:rsidRPr="000262B1">
        <w:rPr>
          <w:rFonts w:eastAsia="Times New Roman" w:cstheme="minorHAnsi"/>
          <w:color w:val="4A4A4A"/>
          <w:sz w:val="21"/>
          <w:szCs w:val="21"/>
          <w:lang w:eastAsia="en-GB"/>
        </w:rPr>
        <w:t>identify large out-of-pocket household expenditure on health defined in relation to household discretionary budget rather than the total budget.</w:t>
      </w:r>
      <w:r w:rsidR="00EA502F">
        <w:rPr>
          <w:rFonts w:eastAsia="Times New Roman" w:cstheme="minorHAnsi"/>
          <w:color w:val="4A4A4A"/>
          <w:sz w:val="21"/>
          <w:szCs w:val="21"/>
          <w:lang w:eastAsia="en-GB"/>
        </w:rPr>
        <w:t xml:space="preserve"> </w:t>
      </w:r>
      <w:r w:rsidR="004E2CE5">
        <w:rPr>
          <w:rFonts w:eastAsia="Times New Roman" w:cstheme="minorHAnsi"/>
          <w:color w:val="4A4A4A"/>
          <w:sz w:val="21"/>
          <w:szCs w:val="21"/>
          <w:lang w:eastAsia="en-GB"/>
        </w:rPr>
        <w:t xml:space="preserve"> </w:t>
      </w:r>
      <w:r w:rsidR="00813E65">
        <w:rPr>
          <w:rFonts w:eastAsia="Times New Roman" w:cstheme="minorHAnsi"/>
          <w:color w:val="4A4A4A"/>
          <w:sz w:val="21"/>
          <w:szCs w:val="21"/>
          <w:lang w:eastAsia="en-GB"/>
        </w:rPr>
        <w:t xml:space="preserve">This approach builds on </w:t>
      </w:r>
      <w:r w:rsidR="00754A4E">
        <w:rPr>
          <w:rFonts w:eastAsia="Times New Roman" w:cstheme="minorHAnsi"/>
          <w:color w:val="4A4A4A"/>
          <w:sz w:val="21"/>
          <w:szCs w:val="21"/>
          <w:lang w:eastAsia="en-GB"/>
        </w:rPr>
        <w:t xml:space="preserve">a methodology proposed by </w:t>
      </w:r>
      <w:r w:rsidR="00813E65">
        <w:rPr>
          <w:rFonts w:eastAsia="Times New Roman" w:cstheme="minorHAnsi"/>
          <w:color w:val="4A4A4A"/>
          <w:sz w:val="21"/>
          <w:szCs w:val="21"/>
          <w:lang w:eastAsia="en-GB"/>
        </w:rPr>
        <w:t xml:space="preserve"> </w:t>
      </w:r>
      <w:r w:rsidR="002A5827" w:rsidRPr="00645B6F">
        <w:rPr>
          <w:rFonts w:eastAsia="Times New Roman" w:cstheme="minorHAnsi"/>
          <w:color w:val="4A4A4A"/>
          <w:sz w:val="21"/>
          <w:szCs w:val="21"/>
          <w:lang w:eastAsia="en-GB"/>
        </w:rPr>
        <w:t>the World Bank and the World Health Organization</w:t>
      </w:r>
      <w:r w:rsidR="002A5827">
        <w:rPr>
          <w:rFonts w:eastAsia="Times New Roman" w:cstheme="minorHAnsi"/>
          <w:color w:val="4A4A4A"/>
          <w:sz w:val="21"/>
          <w:szCs w:val="21"/>
          <w:lang w:eastAsia="en-GB"/>
        </w:rPr>
        <w:t xml:space="preserve"> </w:t>
      </w:r>
      <w:r w:rsidR="00C84F17">
        <w:rPr>
          <w:rFonts w:eastAsia="Times New Roman" w:cstheme="minorHAnsi"/>
          <w:color w:val="4A4A4A"/>
          <w:sz w:val="21"/>
          <w:szCs w:val="21"/>
          <w:lang w:eastAsia="en-GB"/>
        </w:rPr>
        <w:t xml:space="preserve"> a</w:t>
      </w:r>
      <w:r w:rsidR="00FA145B">
        <w:rPr>
          <w:rFonts w:eastAsia="Times New Roman" w:cstheme="minorHAnsi"/>
          <w:color w:val="4A4A4A"/>
          <w:sz w:val="21"/>
          <w:szCs w:val="21"/>
          <w:lang w:eastAsia="en-GB"/>
        </w:rPr>
        <w:t xml:space="preserve">nd that both organization </w:t>
      </w:r>
      <w:r w:rsidR="00576466">
        <w:rPr>
          <w:rFonts w:eastAsia="Times New Roman" w:cstheme="minorHAnsi"/>
          <w:color w:val="4A4A4A"/>
          <w:sz w:val="21"/>
          <w:szCs w:val="21"/>
          <w:lang w:eastAsia="en-GB"/>
        </w:rPr>
        <w:t>have been</w:t>
      </w:r>
      <w:r w:rsidR="00FA145B">
        <w:rPr>
          <w:rFonts w:eastAsia="Times New Roman" w:cstheme="minorHAnsi"/>
          <w:color w:val="4A4A4A"/>
          <w:sz w:val="21"/>
          <w:szCs w:val="21"/>
          <w:lang w:eastAsia="en-GB"/>
        </w:rPr>
        <w:t xml:space="preserve"> using</w:t>
      </w:r>
      <w:r w:rsidR="00576466">
        <w:rPr>
          <w:rFonts w:eastAsia="Times New Roman" w:cstheme="minorHAnsi"/>
          <w:color w:val="4A4A4A"/>
          <w:sz w:val="21"/>
          <w:szCs w:val="21"/>
          <w:lang w:eastAsia="en-GB"/>
        </w:rPr>
        <w:t xml:space="preserve"> for global reporting since 2021 </w:t>
      </w:r>
      <w:r w:rsidR="00351A47">
        <w:rPr>
          <w:rFonts w:eastAsia="Times New Roman" w:cstheme="minorHAnsi"/>
          <w:color w:val="4A4A4A"/>
          <w:sz w:val="21"/>
          <w:szCs w:val="21"/>
          <w:lang w:eastAsia="en-GB"/>
        </w:rPr>
        <w:t>and WHO for regional reporting since 201</w:t>
      </w:r>
      <w:r w:rsidR="006E0F28">
        <w:rPr>
          <w:rFonts w:eastAsia="Times New Roman" w:cstheme="minorHAnsi"/>
          <w:color w:val="4A4A4A"/>
          <w:sz w:val="21"/>
          <w:szCs w:val="21"/>
          <w:lang w:eastAsia="en-GB"/>
        </w:rPr>
        <w:t xml:space="preserve">7 </w:t>
      </w:r>
      <w:r w:rsidR="002A5827">
        <w:rPr>
          <w:rFonts w:eastAsia="Times New Roman" w:cstheme="minorHAnsi"/>
          <w:color w:val="4A4A4A"/>
          <w:sz w:val="21"/>
          <w:szCs w:val="21"/>
          <w:lang w:eastAsia="en-GB"/>
        </w:rPr>
        <w:t>(see references</w:t>
      </w:r>
      <w:r w:rsidR="00B253C0">
        <w:rPr>
          <w:rFonts w:eastAsia="Times New Roman" w:cstheme="minorHAnsi"/>
          <w:color w:val="4A4A4A"/>
          <w:sz w:val="21"/>
          <w:szCs w:val="21"/>
          <w:lang w:eastAsia="en-GB"/>
        </w:rPr>
        <w:t>).</w:t>
      </w:r>
      <w:r w:rsidR="002A5827">
        <w:rPr>
          <w:rFonts w:eastAsia="Times New Roman" w:cstheme="minorHAnsi"/>
          <w:color w:val="4A4A4A"/>
          <w:sz w:val="21"/>
          <w:szCs w:val="21"/>
          <w:lang w:eastAsia="en-GB"/>
        </w:rPr>
        <w:t xml:space="preserve"> </w:t>
      </w:r>
    </w:p>
    <w:p w14:paraId="1F0F38BB" w14:textId="77777777" w:rsidR="000360BD" w:rsidRDefault="000360BD" w:rsidP="00A11A20">
      <w:pPr>
        <w:shd w:val="clear" w:color="auto" w:fill="FFFFFF"/>
        <w:spacing w:after="0"/>
        <w:jc w:val="both"/>
        <w:rPr>
          <w:rFonts w:eastAsia="Times New Roman" w:cstheme="minorHAnsi"/>
          <w:color w:val="4A4A4A"/>
          <w:sz w:val="21"/>
          <w:szCs w:val="21"/>
          <w:lang w:eastAsia="en-GB"/>
        </w:rPr>
      </w:pPr>
    </w:p>
    <w:p w14:paraId="0344645F" w14:textId="09529D9A" w:rsidR="00BB179E" w:rsidRDefault="00BB179E" w:rsidP="00A11A20">
      <w:pPr>
        <w:shd w:val="clear" w:color="auto" w:fill="FFFFFF"/>
        <w:spacing w:after="0"/>
        <w:jc w:val="both"/>
        <w:rPr>
          <w:rFonts w:eastAsia="Times New Roman" w:cstheme="minorHAnsi"/>
          <w:color w:val="4A4A4A"/>
          <w:sz w:val="21"/>
          <w:szCs w:val="21"/>
          <w:lang w:eastAsia="en-GB"/>
        </w:rPr>
      </w:pPr>
    </w:p>
    <w:p w14:paraId="7E2192DB" w14:textId="35B946D0" w:rsidR="00B55A32" w:rsidRPr="00645B6F" w:rsidRDefault="00281C2D"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Fourth</w:t>
      </w:r>
      <w:r w:rsidR="00B55A32" w:rsidRPr="00645B6F">
        <w:rPr>
          <w:rFonts w:eastAsia="Times New Roman" w:cstheme="minorHAnsi"/>
          <w:color w:val="4A4A4A"/>
          <w:sz w:val="21"/>
          <w:szCs w:val="21"/>
          <w:lang w:eastAsia="en-GB"/>
        </w:rPr>
        <w:t xml:space="preserve">, </w:t>
      </w:r>
      <w:r w:rsidR="00D06D1B">
        <w:rPr>
          <w:rFonts w:eastAsia="Times New Roman" w:cstheme="minorHAnsi"/>
          <w:color w:val="4A4A4A"/>
          <w:sz w:val="21"/>
          <w:szCs w:val="21"/>
          <w:lang w:eastAsia="en-GB"/>
        </w:rPr>
        <w:t>t</w:t>
      </w:r>
      <w:r w:rsidR="00D06D1B" w:rsidRPr="00645B6F" w:rsidDel="007D713B">
        <w:rPr>
          <w:rFonts w:eastAsia="Times New Roman" w:cstheme="minorHAnsi"/>
          <w:color w:val="4A4A4A"/>
          <w:sz w:val="21"/>
          <w:szCs w:val="21"/>
          <w:lang w:eastAsia="en-GB"/>
        </w:rPr>
        <w:t xml:space="preserve">wo </w:t>
      </w:r>
      <w:r w:rsidR="006F11B1" w:rsidRPr="00645B6F" w:rsidDel="007D713B">
        <w:rPr>
          <w:rFonts w:eastAsia="Times New Roman" w:cstheme="minorHAnsi"/>
          <w:color w:val="4A4A4A"/>
          <w:sz w:val="21"/>
          <w:szCs w:val="21"/>
          <w:lang w:eastAsia="en-GB"/>
        </w:rPr>
        <w:t>indicators have been chosen to monitor target 3.8</w:t>
      </w:r>
      <w:r w:rsidR="006F11B1">
        <w:rPr>
          <w:rFonts w:eastAsia="Times New Roman" w:cstheme="minorHAnsi"/>
          <w:color w:val="4A4A4A"/>
          <w:sz w:val="21"/>
          <w:szCs w:val="21"/>
          <w:lang w:eastAsia="en-GB"/>
        </w:rPr>
        <w:t xml:space="preserve"> on Universal Health Coverage</w:t>
      </w:r>
      <w:r w:rsidR="006F11B1" w:rsidRPr="00645B6F" w:rsidDel="007D713B">
        <w:rPr>
          <w:rFonts w:eastAsia="Times New Roman" w:cstheme="minorHAnsi"/>
          <w:color w:val="4A4A4A"/>
          <w:sz w:val="21"/>
          <w:szCs w:val="21"/>
          <w:lang w:eastAsia="en-GB"/>
        </w:rPr>
        <w:t xml:space="preserve"> within the SDG framework. Indicator 3.8.1 is for </w:t>
      </w:r>
      <w:r w:rsidR="006F11B1">
        <w:rPr>
          <w:rFonts w:eastAsia="Times New Roman" w:cstheme="minorHAnsi"/>
          <w:color w:val="4A4A4A"/>
          <w:sz w:val="21"/>
          <w:szCs w:val="21"/>
          <w:lang w:eastAsia="en-GB"/>
        </w:rPr>
        <w:t xml:space="preserve">the </w:t>
      </w:r>
      <w:r w:rsidR="006F11B1" w:rsidRPr="00645B6F" w:rsidDel="007D713B">
        <w:rPr>
          <w:rFonts w:eastAsia="Times New Roman" w:cstheme="minorHAnsi"/>
          <w:color w:val="4A4A4A"/>
          <w:sz w:val="21"/>
          <w:szCs w:val="21"/>
          <w:lang w:eastAsia="en-GB"/>
        </w:rPr>
        <w:t>health service coverage</w:t>
      </w:r>
      <w:r w:rsidR="006F11B1">
        <w:rPr>
          <w:rFonts w:eastAsia="Times New Roman" w:cstheme="minorHAnsi"/>
          <w:color w:val="4A4A4A"/>
          <w:sz w:val="21"/>
          <w:szCs w:val="21"/>
          <w:lang w:eastAsia="en-GB"/>
        </w:rPr>
        <w:t xml:space="preserve"> dimension of UHC and</w:t>
      </w:r>
      <w:r w:rsidR="006F11B1" w:rsidRPr="00645B6F" w:rsidDel="007D713B">
        <w:rPr>
          <w:rFonts w:eastAsia="Times New Roman" w:cstheme="minorHAnsi"/>
          <w:color w:val="4A4A4A"/>
          <w:sz w:val="21"/>
          <w:szCs w:val="21"/>
          <w:lang w:eastAsia="en-GB"/>
        </w:rPr>
        <w:t xml:space="preserve"> Indicator 3.8.2 </w:t>
      </w:r>
      <w:r w:rsidR="006F11B1">
        <w:rPr>
          <w:rFonts w:eastAsia="Times New Roman" w:cstheme="minorHAnsi"/>
          <w:color w:val="4A4A4A"/>
          <w:sz w:val="21"/>
          <w:szCs w:val="21"/>
          <w:lang w:eastAsia="en-GB"/>
        </w:rPr>
        <w:t>to track</w:t>
      </w:r>
      <w:r w:rsidR="006F11B1" w:rsidRPr="00645B6F" w:rsidDel="007D713B">
        <w:rPr>
          <w:rFonts w:eastAsia="Times New Roman" w:cstheme="minorHAnsi"/>
          <w:color w:val="4A4A4A"/>
          <w:sz w:val="21"/>
          <w:szCs w:val="21"/>
          <w:lang w:eastAsia="en-GB"/>
        </w:rPr>
        <w:t xml:space="preserve"> </w:t>
      </w:r>
      <w:r w:rsidR="006F11B1">
        <w:rPr>
          <w:rFonts w:eastAsia="Times New Roman" w:cstheme="minorHAnsi"/>
          <w:color w:val="4A4A4A"/>
          <w:sz w:val="21"/>
          <w:szCs w:val="21"/>
          <w:lang w:eastAsia="en-GB"/>
        </w:rPr>
        <w:t>the</w:t>
      </w:r>
      <w:r w:rsidR="006F11B1" w:rsidRPr="00645B6F" w:rsidDel="007D713B">
        <w:rPr>
          <w:rFonts w:eastAsia="Times New Roman" w:cstheme="minorHAnsi"/>
          <w:color w:val="4A4A4A"/>
          <w:sz w:val="21"/>
          <w:szCs w:val="21"/>
          <w:lang w:eastAsia="en-GB"/>
        </w:rPr>
        <w:t xml:space="preserve"> financial protection dimensions. These two indicators should be always monitored jointly.</w:t>
      </w:r>
      <w:r w:rsidR="006F11B1">
        <w:rPr>
          <w:rFonts w:eastAsia="Times New Roman" w:cstheme="minorHAnsi"/>
          <w:color w:val="4A4A4A"/>
          <w:sz w:val="21"/>
          <w:szCs w:val="21"/>
          <w:lang w:eastAsia="en-GB"/>
        </w:rPr>
        <w:t xml:space="preserve"> Indeed, s</w:t>
      </w:r>
      <w:r w:rsidR="00ED7CC0" w:rsidRPr="00ED7CC0">
        <w:rPr>
          <w:rFonts w:eastAsia="Times New Roman" w:cstheme="minorHAnsi"/>
          <w:color w:val="4A4A4A"/>
          <w:sz w:val="21"/>
          <w:szCs w:val="21"/>
          <w:lang w:eastAsia="en-GB"/>
        </w:rPr>
        <w:t>ome of the people seeking care face barriers to access related to</w:t>
      </w:r>
      <w:r w:rsidR="007C3F7E">
        <w:rPr>
          <w:rFonts w:eastAsia="Times New Roman" w:cstheme="minorHAnsi"/>
          <w:color w:val="4A4A4A"/>
          <w:sz w:val="21"/>
          <w:szCs w:val="21"/>
          <w:lang w:eastAsia="en-GB"/>
        </w:rPr>
        <w:t xml:space="preserve"> </w:t>
      </w:r>
      <w:r w:rsidR="00ED7CC0" w:rsidRPr="00ED7CC0">
        <w:rPr>
          <w:rFonts w:eastAsia="Times New Roman" w:cstheme="minorHAnsi"/>
          <w:color w:val="4A4A4A"/>
          <w:sz w:val="21"/>
          <w:szCs w:val="21"/>
          <w:lang w:eastAsia="en-GB"/>
        </w:rPr>
        <w:t>financial constraints, acceptability issues, unavailability of services, or accessibility.</w:t>
      </w:r>
      <w:r w:rsidR="007C3F7E">
        <w:rPr>
          <w:rFonts w:eastAsia="Times New Roman" w:cstheme="minorHAnsi"/>
          <w:color w:val="4A4A4A"/>
          <w:sz w:val="21"/>
          <w:szCs w:val="21"/>
          <w:lang w:eastAsia="en-GB"/>
        </w:rPr>
        <w:t xml:space="preserve"> </w:t>
      </w:r>
      <w:r w:rsidR="00ED7CC0" w:rsidRPr="00ED7CC0">
        <w:rPr>
          <w:rFonts w:eastAsia="Times New Roman" w:cstheme="minorHAnsi"/>
          <w:color w:val="4A4A4A"/>
          <w:sz w:val="21"/>
          <w:szCs w:val="21"/>
          <w:lang w:eastAsia="en-GB"/>
        </w:rPr>
        <w:t xml:space="preserve"> </w:t>
      </w:r>
      <w:r w:rsidR="002833AA">
        <w:rPr>
          <w:rFonts w:eastAsia="Times New Roman" w:cstheme="minorHAnsi"/>
          <w:color w:val="4A4A4A"/>
          <w:sz w:val="21"/>
          <w:szCs w:val="21"/>
          <w:lang w:eastAsia="en-GB"/>
        </w:rPr>
        <w:t>T</w:t>
      </w:r>
      <w:r w:rsidR="007C3F7E">
        <w:rPr>
          <w:rFonts w:eastAsia="Times New Roman" w:cstheme="minorHAnsi"/>
          <w:color w:val="4A4A4A"/>
          <w:sz w:val="21"/>
          <w:szCs w:val="21"/>
          <w:lang w:eastAsia="en-GB"/>
        </w:rPr>
        <w:t>hose unable to overcome such barrier</w:t>
      </w:r>
      <w:r w:rsidR="00897E74">
        <w:rPr>
          <w:rFonts w:eastAsia="Times New Roman" w:cstheme="minorHAnsi"/>
          <w:color w:val="4A4A4A"/>
          <w:sz w:val="21"/>
          <w:szCs w:val="21"/>
          <w:lang w:eastAsia="en-GB"/>
        </w:rPr>
        <w:t>s (financial and non-financial ones)</w:t>
      </w:r>
      <w:r w:rsidR="007C3F7E">
        <w:rPr>
          <w:rFonts w:eastAsia="Times New Roman" w:cstheme="minorHAnsi"/>
          <w:color w:val="4A4A4A"/>
          <w:sz w:val="21"/>
          <w:szCs w:val="21"/>
          <w:lang w:eastAsia="en-GB"/>
        </w:rPr>
        <w:t xml:space="preserve"> </w:t>
      </w:r>
      <w:r w:rsidR="008B0B6C">
        <w:rPr>
          <w:rFonts w:eastAsia="Times New Roman" w:cstheme="minorHAnsi"/>
          <w:color w:val="4A4A4A"/>
          <w:sz w:val="21"/>
          <w:szCs w:val="21"/>
          <w:lang w:eastAsia="en-GB"/>
        </w:rPr>
        <w:t xml:space="preserve">will not </w:t>
      </w:r>
      <w:r w:rsidR="007C3F7E">
        <w:rPr>
          <w:rFonts w:eastAsia="Times New Roman" w:cstheme="minorHAnsi"/>
          <w:color w:val="4A4A4A"/>
          <w:sz w:val="21"/>
          <w:szCs w:val="21"/>
          <w:lang w:eastAsia="en-GB"/>
        </w:rPr>
        <w:t>report any spending on health</w:t>
      </w:r>
      <w:r w:rsidR="00897E74">
        <w:rPr>
          <w:rFonts w:eastAsia="Times New Roman" w:cstheme="minorHAnsi"/>
          <w:color w:val="4A4A4A"/>
          <w:sz w:val="21"/>
          <w:szCs w:val="21"/>
          <w:lang w:eastAsia="en-GB"/>
        </w:rPr>
        <w:t xml:space="preserve"> which</w:t>
      </w:r>
      <w:r w:rsidR="007D38A0">
        <w:rPr>
          <w:rFonts w:eastAsia="Times New Roman" w:cstheme="minorHAnsi"/>
          <w:color w:val="4A4A4A"/>
          <w:sz w:val="21"/>
          <w:szCs w:val="21"/>
          <w:lang w:eastAsia="en-GB"/>
        </w:rPr>
        <w:t xml:space="preserve"> </w:t>
      </w:r>
      <w:r w:rsidR="00E115C7">
        <w:rPr>
          <w:rFonts w:eastAsia="Times New Roman" w:cstheme="minorHAnsi"/>
          <w:color w:val="4A4A4A"/>
          <w:sz w:val="21"/>
          <w:szCs w:val="21"/>
          <w:lang w:eastAsia="en-GB"/>
        </w:rPr>
        <w:t>will tend to reduce</w:t>
      </w:r>
      <w:r w:rsidR="006F11B1">
        <w:rPr>
          <w:rFonts w:eastAsia="Times New Roman" w:cstheme="minorHAnsi"/>
          <w:color w:val="4A4A4A"/>
          <w:sz w:val="21"/>
          <w:szCs w:val="21"/>
          <w:lang w:eastAsia="en-GB"/>
        </w:rPr>
        <w:t xml:space="preserve"> SDG 3.8.2 rates. When this happens, SDG 3.8.1 levels should also be low as the tracer indicators of service coverage should reflect that large fractions of the population are unable to get the services they needed. But specific indicators on barriers to access ought to be tracked to understand which type of barriers is precluding access to needed services. </w:t>
      </w:r>
    </w:p>
    <w:p w14:paraId="21B90D65" w14:textId="1492E87C" w:rsidR="00B55A32" w:rsidRPr="00645B6F" w:rsidRDefault="00B55A32" w:rsidP="00A11A20">
      <w:pPr>
        <w:pStyle w:val="MText"/>
        <w:jc w:val="both"/>
        <w:rPr>
          <w:rFonts w:cstheme="minorHAnsi"/>
        </w:rPr>
      </w:pPr>
    </w:p>
    <w:p w14:paraId="414485D8" w14:textId="77777777" w:rsidR="00AF2722" w:rsidRPr="00A96255" w:rsidRDefault="00AF2722" w:rsidP="00AF2722">
      <w:pPr>
        <w:pStyle w:val="MHeader2"/>
      </w:pPr>
      <w:r>
        <w:t xml:space="preserve">4.c. Method of computation </w:t>
      </w:r>
      <w:r w:rsidRPr="153C7502">
        <w:rPr>
          <w:color w:val="B4B4B4"/>
          <w:sz w:val="20"/>
          <w:szCs w:val="20"/>
        </w:rPr>
        <w:t>(DATA_COMP)</w:t>
      </w:r>
    </w:p>
    <w:p w14:paraId="13AC2805" w14:textId="57FEDD85" w:rsidR="00B55A32" w:rsidRPr="00645B6F" w:rsidRDefault="00B55A32" w:rsidP="00A11A20">
      <w:pPr>
        <w:shd w:val="clear" w:color="auto" w:fill="FFFFFF"/>
        <w:spacing w:after="0"/>
        <w:jc w:val="both"/>
        <w:rPr>
          <w:rFonts w:eastAsia="TT15Ct00" w:cstheme="minorHAnsi"/>
          <w:color w:val="4A4A4A"/>
          <w:sz w:val="21"/>
          <w:szCs w:val="21"/>
          <w:lang w:eastAsia="en-GB"/>
        </w:rPr>
      </w:pPr>
      <w:r w:rsidRPr="00645B6F">
        <w:rPr>
          <w:rFonts w:eastAsia="TT15Ct00" w:cstheme="minorHAnsi"/>
          <w:color w:val="4A4A4A"/>
          <w:sz w:val="21"/>
          <w:szCs w:val="21"/>
          <w:lang w:eastAsia="en-GB"/>
        </w:rPr>
        <w:t xml:space="preserve">Population weighted average number of people with </w:t>
      </w:r>
      <w:r w:rsidR="00951618">
        <w:rPr>
          <w:rFonts w:eastAsia="TT15Ct00" w:cstheme="minorHAnsi"/>
          <w:color w:val="4A4A4A"/>
          <w:sz w:val="21"/>
          <w:szCs w:val="21"/>
          <w:lang w:eastAsia="en-GB"/>
        </w:rPr>
        <w:t>positive out-of-pocke</w:t>
      </w:r>
      <w:r w:rsidR="000B1BC2">
        <w:rPr>
          <w:rFonts w:eastAsia="TT15Ct00" w:cstheme="minorHAnsi"/>
          <w:color w:val="4A4A4A"/>
          <w:sz w:val="21"/>
          <w:szCs w:val="21"/>
          <w:lang w:eastAsia="en-GB"/>
        </w:rPr>
        <w:t>t</w:t>
      </w:r>
      <w:r w:rsidR="00951618" w:rsidRPr="00645B6F">
        <w:rPr>
          <w:rFonts w:eastAsia="TT15Ct00" w:cstheme="minorHAnsi"/>
          <w:color w:val="4A4A4A"/>
          <w:sz w:val="21"/>
          <w:szCs w:val="21"/>
          <w:lang w:eastAsia="en-GB"/>
        </w:rPr>
        <w:t xml:space="preserve"> </w:t>
      </w:r>
      <w:r w:rsidRPr="00645B6F">
        <w:rPr>
          <w:rFonts w:eastAsia="TT15Ct00" w:cstheme="minorHAnsi"/>
          <w:color w:val="4A4A4A"/>
          <w:sz w:val="21"/>
          <w:szCs w:val="21"/>
          <w:lang w:eastAsia="en-GB"/>
        </w:rPr>
        <w:t xml:space="preserve">household expenditure on health </w:t>
      </w:r>
      <w:r w:rsidR="000B1BC2">
        <w:rPr>
          <w:rFonts w:eastAsia="TT15Ct00" w:cstheme="minorHAnsi"/>
          <w:color w:val="4A4A4A"/>
          <w:sz w:val="21"/>
          <w:szCs w:val="21"/>
          <w:lang w:eastAsia="en-GB"/>
        </w:rPr>
        <w:t xml:space="preserve">exceeding 40% </w:t>
      </w:r>
      <w:r w:rsidRPr="00645B6F">
        <w:rPr>
          <w:rFonts w:eastAsia="TT15Ct00" w:cstheme="minorHAnsi"/>
          <w:color w:val="4A4A4A"/>
          <w:sz w:val="21"/>
          <w:szCs w:val="21"/>
          <w:lang w:eastAsia="en-GB"/>
        </w:rPr>
        <w:t xml:space="preserve"> of total household</w:t>
      </w:r>
      <w:r w:rsidR="006D0588">
        <w:rPr>
          <w:rFonts w:eastAsia="TT15Ct00" w:cstheme="minorHAnsi"/>
          <w:color w:val="4A4A4A"/>
          <w:sz w:val="21"/>
          <w:szCs w:val="21"/>
          <w:lang w:eastAsia="en-GB"/>
        </w:rPr>
        <w:t xml:space="preserve"> discretionary budget</w:t>
      </w:r>
      <w:r w:rsidR="009851A2">
        <w:rPr>
          <w:rFonts w:eastAsia="TT15Ct00" w:cstheme="minorHAnsi"/>
          <w:color w:val="4A4A4A"/>
          <w:sz w:val="21"/>
          <w:szCs w:val="21"/>
          <w:lang w:eastAsia="en-GB"/>
        </w:rPr>
        <w:t>:</w:t>
      </w:r>
    </w:p>
    <w:p w14:paraId="4E87F2D3" w14:textId="77777777" w:rsidR="00B55A32" w:rsidRPr="00645B6F" w:rsidRDefault="00B55A32" w:rsidP="00A11A20">
      <w:pPr>
        <w:shd w:val="clear" w:color="auto" w:fill="FFFFFF"/>
        <w:spacing w:after="0"/>
        <w:jc w:val="both"/>
        <w:rPr>
          <w:rFonts w:eastAsia="TT15Ct00" w:cstheme="minorHAnsi"/>
          <w:color w:val="4A4A4A"/>
          <w:sz w:val="21"/>
          <w:szCs w:val="21"/>
          <w:lang w:eastAsia="en-GB"/>
        </w:rPr>
      </w:pPr>
      <w:r w:rsidRPr="00645B6F">
        <w:rPr>
          <w:rFonts w:eastAsia="TT15Ct00" w:cstheme="minorHAnsi"/>
          <w:color w:val="4A4A4A"/>
          <w:sz w:val="21"/>
          <w:szCs w:val="21"/>
          <w:lang w:eastAsia="en-GB"/>
        </w:rPr>
        <w:t xml:space="preserve"> </w:t>
      </w:r>
    </w:p>
    <w:p w14:paraId="507B6C88" w14:textId="1FDD04DF" w:rsidR="00B55A32" w:rsidRPr="00645B6F" w:rsidRDefault="00AF2722" w:rsidP="00A11A20">
      <w:pPr>
        <w:shd w:val="clear" w:color="auto" w:fill="FFFFFF"/>
        <w:spacing w:after="0"/>
        <w:jc w:val="both"/>
        <w:rPr>
          <w:rFonts w:eastAsia="TT15Ct00" w:cstheme="minorHAnsi"/>
          <w:color w:val="4A4A4A"/>
          <w:sz w:val="20"/>
          <w:szCs w:val="20"/>
          <w:lang w:eastAsia="en-GB"/>
        </w:rPr>
      </w:pPr>
      <m:oMathPara>
        <m:oMath>
          <m:f>
            <m:fPr>
              <m:ctrlPr>
                <w:rPr>
                  <w:rFonts w:ascii="Cambria Math" w:eastAsia="Times New Roman" w:hAnsi="Cambria Math" w:cstheme="minorHAnsi"/>
                  <w:i/>
                  <w:noProof/>
                  <w:color w:val="4A4A4A"/>
                  <w:sz w:val="21"/>
                  <w:szCs w:val="21"/>
                  <w:lang w:eastAsia="en-GB"/>
                </w:rPr>
              </m:ctrlPr>
            </m:fPr>
            <m:num>
              <m:nary>
                <m:naryPr>
                  <m:chr m:val="∑"/>
                  <m:limLoc m:val="undOvr"/>
                  <m:supHide m:val="1"/>
                  <m:ctrlPr>
                    <w:rPr>
                      <w:rFonts w:ascii="Cambria Math" w:eastAsia="Times New Roman" w:hAnsi="Cambria Math" w:cstheme="minorHAnsi"/>
                      <w:i/>
                      <w:noProof/>
                      <w:color w:val="4A4A4A"/>
                      <w:sz w:val="21"/>
                      <w:szCs w:val="21"/>
                      <w:lang w:eastAsia="en-GB"/>
                    </w:rPr>
                  </m:ctrlPr>
                </m:naryPr>
                <m:sub>
                  <m:r>
                    <w:rPr>
                      <w:rFonts w:ascii="Cambria Math" w:eastAsia="Times New Roman" w:hAnsi="Cambria Math" w:cstheme="minorHAnsi"/>
                      <w:noProof/>
                      <w:color w:val="4A4A4A"/>
                      <w:sz w:val="21"/>
                      <w:szCs w:val="21"/>
                      <w:lang w:eastAsia="en-GB"/>
                    </w:rPr>
                    <m:t>i</m:t>
                  </m:r>
                </m:sub>
                <m:sup/>
                <m:e>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m</m:t>
                      </m:r>
                    </m:e>
                    <m:sub>
                      <m:r>
                        <w:rPr>
                          <w:rFonts w:ascii="Cambria Math" w:eastAsia="Times New Roman" w:hAnsi="Cambria Math" w:cstheme="minorHAnsi"/>
                          <w:noProof/>
                          <w:color w:val="4A4A4A"/>
                          <w:sz w:val="21"/>
                          <w:szCs w:val="21"/>
                          <w:lang w:eastAsia="en-GB"/>
                        </w:rPr>
                        <m:t>i</m:t>
                      </m:r>
                    </m:sub>
                  </m:sSub>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ω</m:t>
                      </m:r>
                    </m:e>
                    <m:sub>
                      <m:r>
                        <w:rPr>
                          <w:rFonts w:ascii="Cambria Math" w:eastAsia="Times New Roman" w:hAnsi="Cambria Math" w:cstheme="minorHAnsi"/>
                          <w:noProof/>
                          <w:color w:val="4A4A4A"/>
                          <w:sz w:val="21"/>
                          <w:szCs w:val="21"/>
                          <w:lang w:eastAsia="en-GB"/>
                        </w:rPr>
                        <m:t>i</m:t>
                      </m:r>
                    </m:sub>
                  </m:sSub>
                  <m:r>
                    <w:rPr>
                      <w:rFonts w:ascii="Cambria Math" w:eastAsia="Times New Roman" w:hAnsi="Cambria Math" w:cstheme="minorHAnsi"/>
                      <w:noProof/>
                      <w:color w:val="4A4A4A"/>
                      <w:sz w:val="21"/>
                      <w:szCs w:val="21"/>
                      <w:lang w:eastAsia="en-GB"/>
                    </w:rPr>
                    <m:t>1</m:t>
                  </m:r>
                  <m:d>
                    <m:dPr>
                      <m:ctrlPr>
                        <w:rPr>
                          <w:rFonts w:ascii="Cambria Math" w:eastAsia="Times New Roman" w:hAnsi="Cambria Math" w:cstheme="minorHAnsi"/>
                          <w:i/>
                          <w:noProof/>
                          <w:color w:val="4A4A4A"/>
                          <w:sz w:val="21"/>
                          <w:szCs w:val="21"/>
                          <w:lang w:eastAsia="en-GB"/>
                        </w:rPr>
                      </m:ctrlPr>
                    </m:dPr>
                    <m:e>
                      <m:r>
                        <w:rPr>
                          <w:rFonts w:ascii="Cambria Math" w:eastAsia="Times New Roman" w:hAnsi="Cambria Math" w:cstheme="minorHAnsi"/>
                          <w:noProof/>
                          <w:color w:val="4A4A4A"/>
                          <w:sz w:val="21"/>
                          <w:szCs w:val="21"/>
                          <w:lang w:eastAsia="en-GB"/>
                        </w:rPr>
                        <m:t xml:space="preserve"> </m:t>
                      </m:r>
                      <m:sSubSup>
                        <m:sSubSupPr>
                          <m:ctrlPr>
                            <w:rPr>
                              <w:rFonts w:ascii="Cambria Math" w:eastAsia="Times New Roman" w:hAnsi="Cambria Math" w:cstheme="minorHAnsi"/>
                              <w:i/>
                              <w:noProof/>
                              <w:color w:val="4A4A4A"/>
                              <w:sz w:val="21"/>
                              <w:szCs w:val="21"/>
                              <w:lang w:eastAsia="en-GB"/>
                            </w:rPr>
                          </m:ctrlPr>
                        </m:sSubSupPr>
                        <m:e>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oop</m:t>
                          </m:r>
                        </m:e>
                        <m:sub>
                          <m:r>
                            <w:rPr>
                              <w:rFonts w:ascii="Cambria Math" w:eastAsia="Times New Roman" w:hAnsi="Cambria Math" w:cstheme="minorHAnsi"/>
                              <w:noProof/>
                              <w:color w:val="4A4A4A"/>
                              <w:sz w:val="21"/>
                              <w:szCs w:val="21"/>
                              <w:lang w:eastAsia="en-GB"/>
                            </w:rPr>
                            <m:t>i</m:t>
                          </m:r>
                        </m:sub>
                        <m:sup>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ealt</m:t>
                          </m:r>
                          <m:r>
                            <w:rPr>
                              <w:rFonts w:ascii="Cambria Math" w:eastAsia="Times New Roman" w:hAnsi="Cambria Math" w:cstheme="minorHAnsi"/>
                              <w:noProof/>
                              <w:color w:val="4A4A4A"/>
                              <w:sz w:val="21"/>
                              <w:szCs w:val="21"/>
                              <w:lang w:eastAsia="en-GB"/>
                            </w:rPr>
                            <m:t>h</m:t>
                          </m:r>
                        </m:sup>
                      </m:sSubSup>
                      <m:r>
                        <w:rPr>
                          <w:rFonts w:ascii="Cambria Math" w:eastAsia="Times New Roman" w:hAnsi="Cambria Math" w:cstheme="minorHAnsi"/>
                          <w:noProof/>
                          <w:color w:val="4A4A4A"/>
                          <w:sz w:val="21"/>
                          <w:szCs w:val="21"/>
                          <w:lang w:eastAsia="en-GB"/>
                        </w:rPr>
                        <m:t>&gt;0.4*</m:t>
                      </m:r>
                      <m:d>
                        <m:dPr>
                          <m:ctrlPr>
                            <w:rPr>
                              <w:rFonts w:ascii="Cambria Math" w:eastAsia="Times New Roman" w:hAnsi="Cambria Math" w:cstheme="minorHAnsi"/>
                              <w:i/>
                              <w:noProof/>
                              <w:color w:val="4A4A4A"/>
                              <w:sz w:val="21"/>
                              <w:szCs w:val="21"/>
                              <w:lang w:eastAsia="en-GB"/>
                            </w:rPr>
                          </m:ctrlPr>
                        </m:dPr>
                        <m:e>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y</m:t>
                              </m:r>
                            </m:e>
                            <m:sub>
                              <m:r>
                                <w:rPr>
                                  <w:rFonts w:ascii="Cambria Math" w:eastAsia="Times New Roman" w:hAnsi="Cambria Math" w:cstheme="minorHAnsi"/>
                                  <w:noProof/>
                                  <w:color w:val="4A4A4A"/>
                                  <w:sz w:val="21"/>
                                  <w:szCs w:val="21"/>
                                  <w:lang w:eastAsia="en-GB"/>
                                </w:rPr>
                                <m:t>i</m:t>
                              </m:r>
                            </m:sub>
                          </m:sSub>
                          <m:r>
                            <m:rPr>
                              <m:sty m:val="p"/>
                            </m:rPr>
                            <w:rPr>
                              <w:rFonts w:ascii="Cambria Math" w:eastAsia="Times New Roman" w:hAnsi="Cambria Math" w:cstheme="minorHAnsi"/>
                              <w:noProof/>
                              <w:color w:val="4A4A4A"/>
                              <w:sz w:val="21"/>
                              <w:szCs w:val="21"/>
                              <w:lang w:eastAsia="en-GB"/>
                            </w:rPr>
                            <m:t>-SPL</m:t>
                          </m:r>
                        </m:e>
                      </m:d>
                      <m:r>
                        <m:rPr>
                          <m:sty m:val="p"/>
                        </m:rPr>
                        <w:rPr>
                          <w:rFonts w:ascii="Cambria Math" w:eastAsia="Times New Roman" w:hAnsi="Cambria Math" w:cstheme="minorHAnsi"/>
                          <w:noProof/>
                          <w:color w:val="4A4A4A"/>
                          <w:sz w:val="21"/>
                          <w:szCs w:val="21"/>
                          <w:lang w:eastAsia="en-GB"/>
                        </w:rPr>
                        <m:t>∩</m:t>
                      </m:r>
                      <m:sSubSup>
                        <m:sSubSupPr>
                          <m:ctrlPr>
                            <w:rPr>
                              <w:rFonts w:ascii="Cambria Math" w:eastAsia="Times New Roman" w:hAnsi="Cambria Math" w:cstheme="minorHAnsi"/>
                              <w:i/>
                              <w:noProof/>
                              <w:color w:val="4A4A4A"/>
                              <w:sz w:val="21"/>
                              <w:szCs w:val="21"/>
                              <w:lang w:eastAsia="en-GB"/>
                            </w:rPr>
                          </m:ctrlPr>
                        </m:sSubSupPr>
                        <m:e>
                          <m:r>
                            <w:rPr>
                              <w:rFonts w:ascii="Cambria Math" w:eastAsia="Times New Roman" w:hAnsi="Cambria Math" w:cstheme="minorHAnsi"/>
                              <w:noProof/>
                              <w:color w:val="4A4A4A"/>
                              <w:sz w:val="21"/>
                              <w:szCs w:val="21"/>
                              <w:lang w:eastAsia="en-GB"/>
                            </w:rPr>
                            <m:t>oop</m:t>
                          </m:r>
                        </m:e>
                        <m:sub>
                          <m:r>
                            <w:rPr>
                              <w:rFonts w:ascii="Cambria Math" w:eastAsia="Times New Roman" w:hAnsi="Cambria Math" w:cstheme="minorHAnsi"/>
                              <w:noProof/>
                              <w:color w:val="4A4A4A"/>
                              <w:sz w:val="21"/>
                              <w:szCs w:val="21"/>
                              <w:lang w:eastAsia="en-GB"/>
                            </w:rPr>
                            <m:t>i</m:t>
                          </m:r>
                        </m:sub>
                        <m:sup>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ealt</m:t>
                          </m:r>
                          <m:r>
                            <w:rPr>
                              <w:rFonts w:ascii="Cambria Math" w:eastAsia="Times New Roman" w:hAnsi="Cambria Math" w:cstheme="minorHAnsi"/>
                              <w:noProof/>
                              <w:color w:val="4A4A4A"/>
                              <w:sz w:val="21"/>
                              <w:szCs w:val="21"/>
                              <w:lang w:eastAsia="en-GB"/>
                            </w:rPr>
                            <m:t>h</m:t>
                          </m:r>
                        </m:sup>
                      </m:sSubSup>
                      <m:r>
                        <w:rPr>
                          <w:rFonts w:ascii="Cambria Math" w:eastAsia="Times New Roman" w:hAnsi="Cambria Math" w:cstheme="minorHAnsi"/>
                          <w:noProof/>
                          <w:color w:val="4A4A4A"/>
                          <w:sz w:val="21"/>
                          <w:szCs w:val="21"/>
                          <w:lang w:eastAsia="en-GB"/>
                        </w:rPr>
                        <m:t>&gt;0</m:t>
                      </m:r>
                    </m:e>
                  </m:d>
                </m:e>
              </m:nary>
            </m:num>
            <m:den>
              <m:nary>
                <m:naryPr>
                  <m:chr m:val="∑"/>
                  <m:limLoc m:val="undOvr"/>
                  <m:supHide m:val="1"/>
                  <m:ctrlPr>
                    <w:rPr>
                      <w:rFonts w:ascii="Cambria Math" w:eastAsia="Times New Roman" w:hAnsi="Cambria Math" w:cstheme="minorHAnsi"/>
                      <w:i/>
                      <w:noProof/>
                      <w:color w:val="4A4A4A"/>
                      <w:sz w:val="21"/>
                      <w:szCs w:val="21"/>
                      <w:lang w:eastAsia="en-GB"/>
                    </w:rPr>
                  </m:ctrlPr>
                </m:naryPr>
                <m:sub>
                  <m:r>
                    <w:rPr>
                      <w:rFonts w:ascii="Cambria Math" w:eastAsia="Times New Roman" w:hAnsi="Cambria Math" w:cstheme="minorHAnsi"/>
                      <w:noProof/>
                      <w:color w:val="4A4A4A"/>
                      <w:sz w:val="21"/>
                      <w:szCs w:val="21"/>
                      <w:lang w:eastAsia="en-GB"/>
                    </w:rPr>
                    <m:t>i</m:t>
                  </m:r>
                </m:sub>
                <m:sup/>
                <m:e>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m</m:t>
                      </m:r>
                    </m:e>
                    <m:sub>
                      <m:r>
                        <w:rPr>
                          <w:rFonts w:ascii="Cambria Math" w:eastAsia="Times New Roman" w:hAnsi="Cambria Math" w:cstheme="minorHAnsi"/>
                          <w:noProof/>
                          <w:color w:val="4A4A4A"/>
                          <w:sz w:val="21"/>
                          <w:szCs w:val="21"/>
                          <w:lang w:eastAsia="en-GB"/>
                        </w:rPr>
                        <m:t>i</m:t>
                      </m:r>
                    </m:sub>
                  </m:sSub>
                </m:e>
              </m:nary>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ω</m:t>
                  </m:r>
                </m:e>
                <m:sub>
                  <m:r>
                    <w:rPr>
                      <w:rFonts w:ascii="Cambria Math" w:eastAsia="Times New Roman" w:hAnsi="Cambria Math" w:cstheme="minorHAnsi"/>
                      <w:noProof/>
                      <w:color w:val="4A4A4A"/>
                      <w:sz w:val="21"/>
                      <w:szCs w:val="21"/>
                      <w:lang w:eastAsia="en-GB"/>
                    </w:rPr>
                    <m:t>i</m:t>
                  </m:r>
                </m:sub>
              </m:sSub>
            </m:den>
          </m:f>
        </m:oMath>
      </m:oMathPara>
    </w:p>
    <w:p w14:paraId="29FF7C1E" w14:textId="77777777" w:rsidR="00B55A32" w:rsidRPr="00645B6F" w:rsidRDefault="00B55A32" w:rsidP="00A11A20">
      <w:pPr>
        <w:shd w:val="clear" w:color="auto" w:fill="FFFFFF"/>
        <w:spacing w:after="0"/>
        <w:jc w:val="both"/>
        <w:rPr>
          <w:rFonts w:eastAsia="TT15Ct00" w:cstheme="minorHAnsi"/>
          <w:color w:val="4A4A4A"/>
          <w:sz w:val="20"/>
          <w:szCs w:val="20"/>
          <w:lang w:eastAsia="en-GB"/>
        </w:rPr>
      </w:pPr>
    </w:p>
    <w:p w14:paraId="0093A54A" w14:textId="6BCD7482" w:rsidR="00B702C5" w:rsidRDefault="00B55A32" w:rsidP="00A11A20">
      <w:pPr>
        <w:shd w:val="clear" w:color="auto" w:fill="FFFFFF"/>
        <w:spacing w:after="0"/>
        <w:jc w:val="both"/>
        <w:rPr>
          <w:rFonts w:eastAsia="Times New Roman" w:cstheme="minorHAnsi"/>
          <w:noProof/>
          <w:color w:val="4A4A4A"/>
          <w:sz w:val="21"/>
          <w:szCs w:val="21"/>
          <w:lang w:eastAsia="en-GB"/>
        </w:rPr>
      </w:pPr>
      <w:r w:rsidRPr="00645B6F">
        <w:rPr>
          <w:rFonts w:eastAsia="Times New Roman" w:cstheme="minorHAnsi"/>
          <w:noProof/>
          <w:color w:val="4A4A4A"/>
          <w:sz w:val="21"/>
          <w:szCs w:val="21"/>
          <w:lang w:eastAsia="en-GB"/>
        </w:rPr>
        <w:t xml:space="preserve">where </w:t>
      </w:r>
      <w:r w:rsidRPr="00645B6F">
        <w:rPr>
          <w:rFonts w:eastAsia="Times New Roman" w:cstheme="minorHAnsi"/>
          <w:i/>
          <w:noProof/>
          <w:color w:val="4A4A4A"/>
          <w:sz w:val="21"/>
          <w:szCs w:val="21"/>
          <w:lang w:eastAsia="en-GB"/>
        </w:rPr>
        <w:t xml:space="preserve">i </w:t>
      </w:r>
      <w:r w:rsidRPr="00645B6F">
        <w:rPr>
          <w:rFonts w:eastAsia="Times New Roman" w:cstheme="minorHAnsi"/>
          <w:noProof/>
          <w:color w:val="4A4A4A"/>
          <w:sz w:val="21"/>
          <w:szCs w:val="21"/>
          <w:lang w:eastAsia="en-GB"/>
        </w:rPr>
        <w:t>denotes a household,</w:t>
      </w:r>
      <w:r w:rsidRPr="00645B6F">
        <w:rPr>
          <w:rFonts w:eastAsia="Times New Roman" w:cstheme="minorHAnsi"/>
          <w:i/>
          <w:noProof/>
          <w:color w:val="4A4A4A"/>
          <w:sz w:val="21"/>
          <w:szCs w:val="21"/>
          <w:lang w:eastAsia="en-GB"/>
        </w:rPr>
        <w:t xml:space="preserve"> 1()</w:t>
      </w:r>
      <w:r w:rsidRPr="00645B6F">
        <w:rPr>
          <w:rFonts w:eastAsia="Times New Roman" w:cstheme="minorHAnsi"/>
          <w:noProof/>
          <w:color w:val="4A4A4A"/>
          <w:sz w:val="21"/>
          <w:szCs w:val="21"/>
          <w:lang w:eastAsia="en-GB"/>
        </w:rPr>
        <w:t xml:space="preserve"> is the indicator function that takes on the value 1 if the bracketed expression is true, and 0 otherwise, </w:t>
      </w:r>
      <w:r w:rsidRPr="00645B6F">
        <w:rPr>
          <w:rFonts w:eastAsia="Times New Roman" w:cstheme="minorHAnsi"/>
          <w:i/>
          <w:noProof/>
          <w:color w:val="4A4A4A"/>
          <w:sz w:val="21"/>
          <w:szCs w:val="21"/>
          <w:lang w:eastAsia="en-GB"/>
        </w:rPr>
        <w:t>m</w:t>
      </w:r>
      <w:r w:rsidRPr="00645B6F">
        <w:rPr>
          <w:rFonts w:eastAsia="Times New Roman" w:cstheme="minorHAnsi"/>
          <w:i/>
          <w:noProof/>
          <w:color w:val="4A4A4A"/>
          <w:sz w:val="21"/>
          <w:szCs w:val="21"/>
          <w:vertAlign w:val="subscript"/>
          <w:lang w:eastAsia="en-GB"/>
        </w:rPr>
        <w:t>i</w:t>
      </w:r>
      <w:r w:rsidRPr="00645B6F">
        <w:rPr>
          <w:rFonts w:eastAsia="Times New Roman" w:cstheme="minorHAnsi"/>
          <w:noProof/>
          <w:color w:val="4A4A4A"/>
          <w:sz w:val="21"/>
          <w:szCs w:val="21"/>
          <w:lang w:eastAsia="en-GB"/>
        </w:rPr>
        <w:t xml:space="preserve"> corresponds to the number of household members of </w:t>
      </w:r>
      <w:r w:rsidRPr="00645B6F">
        <w:rPr>
          <w:rFonts w:eastAsia="Times New Roman" w:cstheme="minorHAnsi"/>
          <w:i/>
          <w:iCs/>
          <w:noProof/>
          <w:color w:val="4A4A4A"/>
          <w:sz w:val="21"/>
          <w:szCs w:val="21"/>
          <w:lang w:eastAsia="en-GB"/>
        </w:rPr>
        <w:t>i</w:t>
      </w:r>
      <w:r w:rsidRPr="00645B6F">
        <w:rPr>
          <w:rFonts w:eastAsia="Times New Roman" w:cstheme="minorHAnsi"/>
          <w:noProof/>
          <w:color w:val="4A4A4A"/>
          <w:sz w:val="21"/>
          <w:szCs w:val="21"/>
          <w:lang w:eastAsia="en-GB"/>
        </w:rPr>
        <w:t>,</w:t>
      </w:r>
      <m:oMath>
        <m:r>
          <w:rPr>
            <w:rFonts w:ascii="Cambria Math" w:eastAsia="Times New Roman" w:hAnsi="Cambria Math" w:cstheme="minorHAnsi"/>
            <w:noProof/>
            <w:color w:val="4A4A4A"/>
            <w:sz w:val="21"/>
            <w:szCs w:val="21"/>
            <w:lang w:eastAsia="en-GB"/>
          </w:rPr>
          <m:t xml:space="preserve"> </m:t>
        </m:r>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ω</m:t>
            </m:r>
          </m:e>
          <m:sub>
            <m:r>
              <w:rPr>
                <w:rFonts w:ascii="Cambria Math" w:eastAsia="Times New Roman" w:hAnsi="Cambria Math" w:cstheme="minorHAnsi"/>
                <w:noProof/>
                <w:color w:val="4A4A4A"/>
                <w:sz w:val="21"/>
                <w:szCs w:val="21"/>
                <w:lang w:eastAsia="en-GB"/>
              </w:rPr>
              <m:t>i</m:t>
            </m:r>
          </m:sub>
        </m:sSub>
      </m:oMath>
      <w:r w:rsidRPr="00645B6F">
        <w:rPr>
          <w:rFonts w:eastAsia="Times New Roman" w:cstheme="minorHAnsi"/>
          <w:noProof/>
          <w:color w:val="4A4A4A"/>
          <w:sz w:val="21"/>
          <w:szCs w:val="21"/>
          <w:lang w:eastAsia="en-GB"/>
        </w:rPr>
        <w:t xml:space="preserve"> corresponds to the sampling weight of household </w:t>
      </w:r>
      <w:r w:rsidRPr="00645B6F">
        <w:rPr>
          <w:rFonts w:eastAsia="Times New Roman" w:cstheme="minorHAnsi"/>
          <w:i/>
          <w:iCs/>
          <w:noProof/>
          <w:color w:val="4A4A4A"/>
          <w:sz w:val="21"/>
          <w:szCs w:val="21"/>
          <w:lang w:eastAsia="en-GB"/>
        </w:rPr>
        <w:t>i</w:t>
      </w:r>
      <w:r w:rsidRPr="00645B6F">
        <w:rPr>
          <w:rFonts w:eastAsia="Times New Roman" w:cstheme="minorHAnsi"/>
          <w:noProof/>
          <w:color w:val="4A4A4A"/>
          <w:sz w:val="21"/>
          <w:szCs w:val="21"/>
          <w:lang w:eastAsia="en-GB"/>
        </w:rPr>
        <w:t xml:space="preserve">, </w:t>
      </w:r>
      <m:oMath>
        <m:sSubSup>
          <m:sSubSupPr>
            <m:ctrlPr>
              <w:rPr>
                <w:rFonts w:ascii="Cambria Math" w:eastAsia="Times New Roman" w:hAnsi="Cambria Math" w:cstheme="minorHAnsi"/>
                <w:i/>
                <w:noProof/>
                <w:color w:val="4A4A4A"/>
                <w:sz w:val="21"/>
                <w:szCs w:val="21"/>
                <w:lang w:eastAsia="en-GB"/>
              </w:rPr>
            </m:ctrlPr>
          </m:sSubSupPr>
          <m:e>
            <m:r>
              <w:rPr>
                <w:rFonts w:ascii="Cambria Math" w:eastAsia="Times New Roman" w:hAnsi="Cambria Math" w:cstheme="minorHAnsi"/>
                <w:noProof/>
                <w:color w:val="4A4A4A"/>
                <w:sz w:val="21"/>
                <w:szCs w:val="21"/>
                <w:lang w:eastAsia="en-GB"/>
              </w:rPr>
              <m:t>oop</m:t>
            </m:r>
          </m:e>
          <m:sub>
            <m:r>
              <w:rPr>
                <w:rFonts w:ascii="Cambria Math" w:eastAsia="Times New Roman" w:hAnsi="Cambria Math" w:cstheme="minorHAnsi"/>
                <w:noProof/>
                <w:color w:val="4A4A4A"/>
                <w:sz w:val="21"/>
                <w:szCs w:val="21"/>
                <w:lang w:eastAsia="en-GB"/>
              </w:rPr>
              <m:t>i</m:t>
            </m:r>
          </m:sub>
          <m:sup>
            <m:r>
              <w:rPr>
                <w:rFonts w:ascii="Cambria Math" w:eastAsia="Times New Roman" w:hAnsi="Cambria Math" w:cstheme="minorHAnsi"/>
                <w:noProof/>
                <w:color w:val="4A4A4A"/>
                <w:sz w:val="21"/>
                <w:szCs w:val="21"/>
                <w:lang w:eastAsia="en-GB"/>
              </w:rPr>
              <m:t>health</m:t>
            </m:r>
          </m:sup>
        </m:sSubSup>
      </m:oMath>
      <w:r w:rsidRPr="00645B6F">
        <w:rPr>
          <w:rFonts w:eastAsia="Times New Roman" w:cstheme="minorHAnsi"/>
          <w:noProof/>
          <w:color w:val="4A4A4A"/>
          <w:sz w:val="21"/>
          <w:szCs w:val="21"/>
          <w:lang w:eastAsia="en-GB"/>
        </w:rPr>
        <w:t xml:space="preserve"> </w:t>
      </w:r>
      <w:r w:rsidR="001F3673">
        <w:rPr>
          <w:rFonts w:eastAsia="Times New Roman" w:cstheme="minorHAnsi"/>
          <w:noProof/>
          <w:color w:val="4A4A4A"/>
          <w:sz w:val="21"/>
          <w:szCs w:val="21"/>
          <w:lang w:eastAsia="en-GB"/>
        </w:rPr>
        <w:t xml:space="preserve">corresponds to daily per capita out-of-pocket </w:t>
      </w:r>
      <w:r w:rsidRPr="00645B6F">
        <w:rPr>
          <w:rFonts w:eastAsia="Times New Roman" w:cstheme="minorHAnsi"/>
          <w:noProof/>
          <w:color w:val="4A4A4A"/>
          <w:sz w:val="21"/>
          <w:szCs w:val="21"/>
          <w:lang w:eastAsia="en-GB"/>
        </w:rPr>
        <w:t xml:space="preserve">household expenditure on health </w:t>
      </w:r>
      <w:r w:rsidR="001F3673">
        <w:rPr>
          <w:rFonts w:eastAsia="Times New Roman" w:cstheme="minorHAnsi"/>
          <w:noProof/>
          <w:color w:val="4A4A4A"/>
          <w:sz w:val="21"/>
          <w:szCs w:val="21"/>
          <w:lang w:eastAsia="en-GB"/>
        </w:rPr>
        <w:t xml:space="preserve">; </w:t>
      </w:r>
      <m:oMath>
        <m:d>
          <m:dPr>
            <m:ctrlPr>
              <w:rPr>
                <w:rFonts w:ascii="Cambria Math" w:eastAsia="Times New Roman" w:hAnsi="Cambria Math" w:cstheme="minorHAnsi"/>
                <w:i/>
                <w:noProof/>
                <w:color w:val="4A4A4A"/>
                <w:sz w:val="21"/>
                <w:szCs w:val="21"/>
                <w:lang w:eastAsia="en-GB"/>
              </w:rPr>
            </m:ctrlPr>
          </m:dPr>
          <m:e>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y</m:t>
                </m:r>
              </m:e>
              <m:sub>
                <m:r>
                  <w:rPr>
                    <w:rFonts w:ascii="Cambria Math" w:eastAsia="Times New Roman" w:hAnsi="Cambria Math" w:cstheme="minorHAnsi"/>
                    <w:noProof/>
                    <w:color w:val="4A4A4A"/>
                    <w:sz w:val="21"/>
                    <w:szCs w:val="21"/>
                    <w:lang w:eastAsia="en-GB"/>
                  </w:rPr>
                  <m:t>i</m:t>
                </m:r>
              </m:sub>
            </m:sSub>
            <m:r>
              <m:rPr>
                <m:sty m:val="p"/>
              </m:rPr>
              <w:rPr>
                <w:rFonts w:ascii="Cambria Math" w:eastAsia="Times New Roman" w:hAnsi="Cambria Math" w:cstheme="minorHAnsi"/>
                <w:noProof/>
                <w:color w:val="4A4A4A"/>
                <w:sz w:val="21"/>
                <w:szCs w:val="21"/>
                <w:lang w:eastAsia="en-GB"/>
              </w:rPr>
              <m:t>-SPL</m:t>
            </m:r>
          </m:e>
        </m:d>
      </m:oMath>
      <w:r w:rsidR="00851A7B">
        <w:rPr>
          <w:rFonts w:eastAsia="Times New Roman" w:cstheme="minorHAnsi"/>
          <w:noProof/>
          <w:color w:val="4A4A4A"/>
          <w:sz w:val="21"/>
          <w:szCs w:val="21"/>
          <w:lang w:eastAsia="en-GB"/>
        </w:rPr>
        <w:t xml:space="preserve"> is the household discretionary budget with </w:t>
      </w:r>
      <m:oMath>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y</m:t>
            </m:r>
          </m:e>
          <m:sub>
            <m:r>
              <w:rPr>
                <w:rFonts w:ascii="Cambria Math" w:eastAsia="Times New Roman" w:hAnsi="Cambria Math" w:cstheme="minorHAnsi"/>
                <w:noProof/>
                <w:color w:val="4A4A4A"/>
                <w:sz w:val="21"/>
                <w:szCs w:val="21"/>
                <w:lang w:eastAsia="en-GB"/>
              </w:rPr>
              <m:t>i</m:t>
            </m:r>
          </m:sub>
        </m:sSub>
      </m:oMath>
      <w:r w:rsidR="00AA783C">
        <w:rPr>
          <w:rFonts w:eastAsia="Times New Roman" w:cstheme="minorHAnsi"/>
          <w:noProof/>
          <w:color w:val="4A4A4A"/>
          <w:sz w:val="21"/>
          <w:szCs w:val="21"/>
          <w:lang w:eastAsia="en-GB"/>
        </w:rPr>
        <w:t xml:space="preserve"> correspond</w:t>
      </w:r>
      <w:r w:rsidR="00851A7B">
        <w:rPr>
          <w:rFonts w:eastAsia="Times New Roman" w:cstheme="minorHAnsi"/>
          <w:noProof/>
          <w:color w:val="4A4A4A"/>
          <w:sz w:val="21"/>
          <w:szCs w:val="21"/>
          <w:lang w:eastAsia="en-GB"/>
        </w:rPr>
        <w:t>ing</w:t>
      </w:r>
      <w:r w:rsidR="00AA783C">
        <w:rPr>
          <w:rFonts w:eastAsia="Times New Roman" w:cstheme="minorHAnsi"/>
          <w:noProof/>
          <w:color w:val="4A4A4A"/>
          <w:sz w:val="21"/>
          <w:szCs w:val="21"/>
          <w:lang w:eastAsia="en-GB"/>
        </w:rPr>
        <w:t xml:space="preserve"> to </w:t>
      </w:r>
      <w:r w:rsidR="00385C37">
        <w:rPr>
          <w:rFonts w:eastAsia="Times New Roman" w:cstheme="minorHAnsi"/>
          <w:noProof/>
          <w:color w:val="4A4A4A"/>
          <w:sz w:val="21"/>
          <w:szCs w:val="21"/>
          <w:lang w:eastAsia="en-GB"/>
        </w:rPr>
        <w:t xml:space="preserve">daily per capita </w:t>
      </w:r>
      <w:r w:rsidRPr="00645B6F">
        <w:rPr>
          <w:rFonts w:eastAsia="Times New Roman" w:cstheme="minorHAnsi"/>
          <w:noProof/>
          <w:color w:val="4A4A4A"/>
          <w:sz w:val="21"/>
          <w:szCs w:val="21"/>
          <w:lang w:eastAsia="en-GB"/>
        </w:rPr>
        <w:t>total household consumption</w:t>
      </w:r>
      <w:r w:rsidR="003C2551">
        <w:rPr>
          <w:rFonts w:eastAsia="Times New Roman" w:cstheme="minorHAnsi"/>
          <w:noProof/>
          <w:color w:val="4A4A4A"/>
          <w:sz w:val="21"/>
          <w:szCs w:val="21"/>
          <w:lang w:eastAsia="en-GB"/>
        </w:rPr>
        <w:t xml:space="preserve"> </w:t>
      </w:r>
      <w:r w:rsidR="00AA783C">
        <w:rPr>
          <w:rFonts w:eastAsia="Times New Roman" w:cstheme="minorHAnsi"/>
          <w:noProof/>
          <w:color w:val="4A4A4A"/>
          <w:sz w:val="21"/>
          <w:szCs w:val="21"/>
          <w:lang w:eastAsia="en-GB"/>
        </w:rPr>
        <w:t>expenditure</w:t>
      </w:r>
      <w:r w:rsidRPr="00645B6F">
        <w:rPr>
          <w:rFonts w:eastAsia="Times New Roman" w:cstheme="minorHAnsi"/>
          <w:noProof/>
          <w:color w:val="4A4A4A"/>
          <w:sz w:val="21"/>
          <w:szCs w:val="21"/>
          <w:lang w:eastAsia="en-GB"/>
        </w:rPr>
        <w:t xml:space="preserve"> or income</w:t>
      </w:r>
      <w:r w:rsidR="00851A7B">
        <w:rPr>
          <w:rFonts w:eastAsia="Times New Roman" w:cstheme="minorHAnsi"/>
          <w:noProof/>
          <w:color w:val="4A4A4A"/>
          <w:sz w:val="21"/>
          <w:szCs w:val="21"/>
          <w:lang w:eastAsia="en-GB"/>
        </w:rPr>
        <w:t xml:space="preserve"> and SPL is the societal poerty line</w:t>
      </w:r>
      <w:r w:rsidR="00B702C5">
        <w:rPr>
          <w:rFonts w:eastAsia="Times New Roman" w:cstheme="minorHAnsi"/>
          <w:noProof/>
          <w:color w:val="4A4A4A"/>
          <w:sz w:val="21"/>
          <w:szCs w:val="21"/>
          <w:lang w:eastAsia="en-GB"/>
        </w:rPr>
        <w:t>.</w:t>
      </w:r>
      <w:r w:rsidRPr="00645B6F">
        <w:rPr>
          <w:rFonts w:eastAsia="Times New Roman" w:cstheme="minorHAnsi"/>
          <w:noProof/>
          <w:color w:val="4A4A4A"/>
          <w:sz w:val="21"/>
          <w:szCs w:val="21"/>
          <w:lang w:eastAsia="en-GB"/>
        </w:rPr>
        <w:t xml:space="preserve"> </w:t>
      </w:r>
      <w:r w:rsidR="002E1352">
        <w:rPr>
          <w:rFonts w:eastAsia="Times New Roman" w:cstheme="minorHAnsi"/>
          <w:noProof/>
          <w:color w:val="4A4A4A"/>
          <w:sz w:val="21"/>
          <w:szCs w:val="21"/>
          <w:lang w:eastAsia="en-GB"/>
        </w:rPr>
        <w:t xml:space="preserve"> </w:t>
      </w:r>
    </w:p>
    <w:p w14:paraId="561AC63C" w14:textId="77777777" w:rsidR="00B702C5" w:rsidRDefault="00B702C5" w:rsidP="00A11A20">
      <w:pPr>
        <w:shd w:val="clear" w:color="auto" w:fill="FFFFFF"/>
        <w:spacing w:after="0"/>
        <w:jc w:val="both"/>
        <w:rPr>
          <w:rFonts w:eastAsia="Times New Roman" w:cstheme="minorHAnsi"/>
          <w:noProof/>
          <w:color w:val="4A4A4A"/>
          <w:sz w:val="21"/>
          <w:szCs w:val="21"/>
          <w:lang w:eastAsia="en-GB"/>
        </w:rPr>
      </w:pPr>
    </w:p>
    <w:p w14:paraId="456A6074" w14:textId="574B0683" w:rsidR="00F9352C" w:rsidRDefault="00F9352C" w:rsidP="00A11A20">
      <w:pPr>
        <w:shd w:val="clear" w:color="auto" w:fill="FFFFFF"/>
        <w:spacing w:after="0"/>
        <w:jc w:val="both"/>
        <w:rPr>
          <w:rFonts w:eastAsia="Times New Roman" w:cstheme="minorHAnsi"/>
          <w:color w:val="4A4A4A"/>
          <w:sz w:val="21"/>
          <w:szCs w:val="21"/>
          <w:shd w:val="clear" w:color="auto" w:fill="FFFFFF"/>
          <w:lang w:eastAsia="en-GB"/>
        </w:rPr>
      </w:pPr>
      <w:r>
        <w:rPr>
          <w:rFonts w:eastAsia="Times New Roman" w:cstheme="minorHAnsi"/>
          <w:color w:val="4A4A4A"/>
          <w:sz w:val="21"/>
          <w:szCs w:val="21"/>
          <w:shd w:val="clear" w:color="auto" w:fill="FFFFFF"/>
          <w:lang w:eastAsia="en-GB"/>
        </w:rPr>
        <w:t>Using</w:t>
      </w:r>
      <w:r w:rsidRPr="00674A20">
        <w:rPr>
          <w:rFonts w:eastAsia="Times New Roman" w:cstheme="minorHAnsi"/>
          <w:color w:val="4A4A4A"/>
          <w:sz w:val="21"/>
          <w:szCs w:val="21"/>
          <w:shd w:val="clear" w:color="auto" w:fill="FFFFFF"/>
          <w:lang w:eastAsia="en-GB"/>
        </w:rPr>
        <w:t xml:space="preserve"> 2017</w:t>
      </w:r>
      <w:r>
        <w:rPr>
          <w:rFonts w:eastAsia="Times New Roman" w:cstheme="minorHAnsi"/>
          <w:color w:val="4A4A4A"/>
          <w:sz w:val="21"/>
          <w:szCs w:val="21"/>
          <w:shd w:val="clear" w:color="auto" w:fill="FFFFFF"/>
          <w:lang w:eastAsia="en-GB"/>
        </w:rPr>
        <w:t xml:space="preserve"> purchasing power parities (PPPs)</w:t>
      </w:r>
      <w:r w:rsidRPr="00674A20">
        <w:rPr>
          <w:rFonts w:eastAsia="Times New Roman" w:cstheme="minorHAnsi"/>
          <w:color w:val="4A4A4A"/>
          <w:sz w:val="21"/>
          <w:szCs w:val="21"/>
          <w:shd w:val="clear" w:color="auto" w:fill="FFFFFF"/>
          <w:lang w:eastAsia="en-GB"/>
        </w:rPr>
        <w:t>, the SPL corresponds to</w:t>
      </w:r>
      <w:r>
        <w:rPr>
          <w:rFonts w:eastAsia="Times New Roman" w:cstheme="minorHAnsi"/>
          <w:color w:val="4A4A4A"/>
          <w:sz w:val="21"/>
          <w:szCs w:val="21"/>
          <w:shd w:val="clear" w:color="auto" w:fill="FFFFFF"/>
          <w:lang w:eastAsia="en-GB"/>
        </w:rPr>
        <w:t xml:space="preserve"> whichever is greater: $2.15 (the </w:t>
      </w:r>
      <w:r w:rsidRPr="00674A20">
        <w:rPr>
          <w:rFonts w:eastAsia="Times New Roman" w:cstheme="minorHAnsi"/>
          <w:color w:val="4A4A4A"/>
          <w:sz w:val="21"/>
          <w:szCs w:val="21"/>
          <w:shd w:val="clear" w:color="auto" w:fill="FFFFFF"/>
          <w:lang w:eastAsia="en-GB"/>
        </w:rPr>
        <w:t>international poverty line</w:t>
      </w:r>
      <w:r>
        <w:rPr>
          <w:rFonts w:eastAsia="Times New Roman" w:cstheme="minorHAnsi"/>
          <w:color w:val="4A4A4A"/>
          <w:sz w:val="21"/>
          <w:szCs w:val="21"/>
          <w:shd w:val="clear" w:color="auto" w:fill="FFFFFF"/>
          <w:lang w:eastAsia="en-GB"/>
        </w:rPr>
        <w:t xml:space="preserve">) or </w:t>
      </w:r>
      <w:r w:rsidRPr="00674A20">
        <w:rPr>
          <w:rFonts w:eastAsia="Times New Roman" w:cstheme="minorHAnsi"/>
          <w:color w:val="4A4A4A"/>
          <w:sz w:val="21"/>
          <w:szCs w:val="21"/>
          <w:shd w:val="clear" w:color="auto" w:fill="FFFFFF"/>
          <w:lang w:eastAsia="en-GB"/>
        </w:rPr>
        <w:t>$1.15</w:t>
      </w:r>
      <w:r>
        <w:rPr>
          <w:rFonts w:eastAsia="Times New Roman" w:cstheme="minorHAnsi"/>
          <w:color w:val="4A4A4A"/>
          <w:sz w:val="21"/>
          <w:szCs w:val="21"/>
          <w:shd w:val="clear" w:color="auto" w:fill="FFFFFF"/>
          <w:lang w:eastAsia="en-GB"/>
        </w:rPr>
        <w:t xml:space="preserve"> </w:t>
      </w:r>
      <w:r w:rsidRPr="00674A20">
        <w:rPr>
          <w:rFonts w:eastAsia="Times New Roman" w:cstheme="minorHAnsi"/>
          <w:color w:val="4A4A4A"/>
          <w:sz w:val="21"/>
          <w:szCs w:val="21"/>
          <w:shd w:val="clear" w:color="auto" w:fill="FFFFFF"/>
          <w:lang w:eastAsia="en-GB"/>
        </w:rPr>
        <w:t>+</w:t>
      </w:r>
      <w:r>
        <w:rPr>
          <w:rFonts w:eastAsia="Times New Roman" w:cstheme="minorHAnsi"/>
          <w:color w:val="4A4A4A"/>
          <w:sz w:val="21"/>
          <w:szCs w:val="21"/>
          <w:shd w:val="clear" w:color="auto" w:fill="FFFFFF"/>
          <w:lang w:eastAsia="en-GB"/>
        </w:rPr>
        <w:t xml:space="preserve"> 50% of m</w:t>
      </w:r>
      <w:r w:rsidRPr="00674A20">
        <w:rPr>
          <w:rFonts w:eastAsia="Times New Roman" w:cstheme="minorHAnsi"/>
          <w:color w:val="4A4A4A"/>
          <w:sz w:val="21"/>
          <w:szCs w:val="21"/>
          <w:shd w:val="clear" w:color="auto" w:fill="FFFFFF"/>
          <w:lang w:eastAsia="en-GB"/>
        </w:rPr>
        <w:t>edian</w:t>
      </w:r>
      <w:r>
        <w:rPr>
          <w:rFonts w:eastAsia="Times New Roman" w:cstheme="minorHAnsi"/>
          <w:color w:val="4A4A4A"/>
          <w:sz w:val="21"/>
          <w:szCs w:val="21"/>
          <w:shd w:val="clear" w:color="auto" w:fill="FFFFFF"/>
          <w:lang w:eastAsia="en-GB"/>
        </w:rPr>
        <w:t>*</w:t>
      </w:r>
      <w:r w:rsidRPr="00674A20">
        <w:rPr>
          <w:rFonts w:eastAsia="Times New Roman" w:cstheme="minorHAnsi"/>
          <w:color w:val="4A4A4A"/>
          <w:sz w:val="21"/>
          <w:szCs w:val="21"/>
          <w:shd w:val="clear" w:color="auto" w:fill="FFFFFF"/>
          <w:lang w:eastAsia="en-GB"/>
        </w:rPr>
        <w:t xml:space="preserve"> household consumption expenditure or income</w:t>
      </w:r>
      <w:r>
        <w:rPr>
          <w:rFonts w:eastAsia="Times New Roman" w:cstheme="minorHAnsi"/>
          <w:color w:val="4A4A4A"/>
          <w:sz w:val="21"/>
          <w:szCs w:val="21"/>
          <w:shd w:val="clear" w:color="auto" w:fill="FFFFFF"/>
          <w:lang w:eastAsia="en-GB"/>
        </w:rPr>
        <w:t xml:space="preserve">. </w:t>
      </w:r>
      <w:r w:rsidRPr="00557A9B">
        <w:rPr>
          <w:rFonts w:eastAsia="Times New Roman" w:cstheme="minorHAnsi"/>
          <w:color w:val="4A4A4A"/>
          <w:sz w:val="21"/>
          <w:szCs w:val="21"/>
          <w:lang w:eastAsia="en-GB"/>
        </w:rPr>
        <w:t>There isn’t any explicit health allowance in the definition of the societal poverty line. On these grounds,</w:t>
      </w:r>
      <w:r>
        <w:rPr>
          <w:rFonts w:eastAsia="Times New Roman" w:cstheme="minorHAnsi"/>
          <w:color w:val="4A4A4A"/>
          <w:sz w:val="21"/>
          <w:szCs w:val="21"/>
          <w:lang w:eastAsia="en-GB"/>
        </w:rPr>
        <w:t xml:space="preserve"> the median* is computed</w:t>
      </w:r>
      <w:r w:rsidR="00F70415">
        <w:rPr>
          <w:rFonts w:eastAsia="Times New Roman" w:cstheme="minorHAnsi"/>
          <w:color w:val="4A4A4A"/>
          <w:sz w:val="21"/>
          <w:szCs w:val="21"/>
          <w:lang w:eastAsia="en-GB"/>
        </w:rPr>
        <w:t xml:space="preserve"> based on the distribution of household consumption expenditure or income</w:t>
      </w:r>
      <w:r>
        <w:rPr>
          <w:rFonts w:eastAsia="Times New Roman" w:cstheme="minorHAnsi"/>
          <w:color w:val="4A4A4A"/>
          <w:sz w:val="21"/>
          <w:szCs w:val="21"/>
          <w:lang w:eastAsia="en-GB"/>
        </w:rPr>
        <w:t xml:space="preserve"> excluding out-of-pocket household expenditure on health.</w:t>
      </w:r>
      <w:r w:rsidRPr="00557A9B">
        <w:rPr>
          <w:rFonts w:eastAsia="Times New Roman" w:cstheme="minorHAnsi"/>
          <w:color w:val="4A4A4A"/>
          <w:sz w:val="21"/>
          <w:szCs w:val="21"/>
          <w:lang w:eastAsia="en-GB"/>
        </w:rPr>
        <w:t xml:space="preserve"> </w:t>
      </w:r>
    </w:p>
    <w:p w14:paraId="13A4135D" w14:textId="43FB9025" w:rsidR="00F9352C" w:rsidRPr="00645B6F" w:rsidRDefault="00F9352C" w:rsidP="00A11A20">
      <w:pPr>
        <w:shd w:val="clear" w:color="auto" w:fill="FFFFFF"/>
        <w:spacing w:after="0"/>
        <w:jc w:val="both"/>
        <w:rPr>
          <w:rFonts w:eastAsia="Times New Roman" w:cstheme="minorHAnsi"/>
          <w:noProof/>
          <w:color w:val="4A4A4A"/>
          <w:sz w:val="21"/>
          <w:szCs w:val="21"/>
          <w:lang w:eastAsia="en-GB"/>
        </w:rPr>
      </w:pPr>
    </w:p>
    <w:p w14:paraId="179E95D2" w14:textId="268CCC4E" w:rsidR="00DD5698" w:rsidRPr="00645B6F" w:rsidRDefault="0028191E" w:rsidP="00A11A20">
      <w:pPr>
        <w:shd w:val="clear" w:color="auto" w:fill="FFFFFF"/>
        <w:spacing w:after="0"/>
        <w:jc w:val="both"/>
        <w:rPr>
          <w:rFonts w:eastAsia="Times New Roman" w:cstheme="minorHAnsi"/>
          <w:noProof/>
          <w:color w:val="4A4A4A"/>
          <w:sz w:val="21"/>
          <w:szCs w:val="21"/>
          <w:lang w:eastAsia="en-GB"/>
        </w:rPr>
      </w:pPr>
      <m:oMathPara>
        <m:oMath>
          <m:r>
            <w:rPr>
              <w:rFonts w:ascii="Cambria Math" w:eastAsia="Times New Roman" w:hAnsi="Cambria Math" w:cstheme="minorHAnsi"/>
              <w:noProof/>
              <w:color w:val="4A4A4A"/>
              <w:sz w:val="21"/>
              <w:szCs w:val="21"/>
              <w:lang w:eastAsia="en-GB"/>
            </w:rPr>
            <m:t>SPL=</m:t>
          </m:r>
          <m:r>
            <m:rPr>
              <m:sty m:val="p"/>
            </m:rPr>
            <w:rPr>
              <w:rFonts w:ascii="Cambria Math" w:eastAsia="Times New Roman" w:hAnsi="Cambria Math" w:cstheme="minorHAnsi"/>
              <w:noProof/>
              <w:color w:val="4A4A4A"/>
              <w:sz w:val="21"/>
              <w:szCs w:val="21"/>
              <w:lang w:eastAsia="en-GB"/>
            </w:rPr>
            <m:t>max⁡</m:t>
          </m:r>
          <m:r>
            <w:rPr>
              <w:rFonts w:ascii="Cambria Math" w:eastAsia="Times New Roman" w:hAnsi="Cambria Math" w:cstheme="minorHAnsi"/>
              <w:noProof/>
              <w:color w:val="4A4A4A"/>
              <w:sz w:val="21"/>
              <w:szCs w:val="21"/>
              <w:lang w:eastAsia="en-GB"/>
            </w:rPr>
            <m:t>($2.15 a day;$1.15 a day+0.5*median(</m:t>
          </m:r>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y</m:t>
              </m:r>
            </m:e>
            <m:sub>
              <m:r>
                <w:rPr>
                  <w:rFonts w:ascii="Cambria Math" w:eastAsia="Times New Roman" w:hAnsi="Cambria Math" w:cstheme="minorHAnsi"/>
                  <w:noProof/>
                  <w:color w:val="4A4A4A"/>
                  <w:sz w:val="21"/>
                  <w:szCs w:val="21"/>
                  <w:lang w:eastAsia="en-GB"/>
                </w:rPr>
                <m:t>i</m:t>
              </m:r>
            </m:sub>
          </m:sSub>
          <m:r>
            <w:rPr>
              <w:rFonts w:ascii="Cambria Math" w:eastAsia="Times New Roman" w:hAnsi="Cambria Math" w:cstheme="minorHAnsi"/>
              <w:noProof/>
              <w:color w:val="4A4A4A"/>
              <w:sz w:val="21"/>
              <w:szCs w:val="21"/>
              <w:lang w:eastAsia="en-GB"/>
            </w:rPr>
            <m:t>-</m:t>
          </m:r>
          <m:sSubSup>
            <m:sSubSupPr>
              <m:ctrlPr>
                <w:rPr>
                  <w:rFonts w:ascii="Cambria Math" w:eastAsia="Times New Roman" w:hAnsi="Cambria Math" w:cstheme="minorHAnsi"/>
                  <w:i/>
                  <w:noProof/>
                  <w:color w:val="4A4A4A"/>
                  <w:sz w:val="21"/>
                  <w:szCs w:val="21"/>
                  <w:lang w:eastAsia="en-GB"/>
                </w:rPr>
              </m:ctrlPr>
            </m:sSubSupPr>
            <m:e>
              <m:r>
                <w:rPr>
                  <w:rFonts w:ascii="Cambria Math" w:eastAsia="Times New Roman" w:hAnsi="Cambria Math" w:cstheme="minorHAnsi"/>
                  <w:noProof/>
                  <w:color w:val="4A4A4A"/>
                  <w:sz w:val="21"/>
                  <w:szCs w:val="21"/>
                  <w:lang w:eastAsia="en-GB"/>
                </w:rPr>
                <m:t>oop</m:t>
              </m:r>
            </m:e>
            <m:sub>
              <m:r>
                <w:rPr>
                  <w:rFonts w:ascii="Cambria Math" w:eastAsia="Times New Roman" w:hAnsi="Cambria Math" w:cstheme="minorHAnsi"/>
                  <w:noProof/>
                  <w:color w:val="4A4A4A"/>
                  <w:sz w:val="21"/>
                  <w:szCs w:val="21"/>
                  <w:lang w:eastAsia="en-GB"/>
                </w:rPr>
                <m:t>i</m:t>
              </m:r>
            </m:sub>
            <m:sup>
              <m:r>
                <w:rPr>
                  <w:rFonts w:ascii="Cambria Math" w:eastAsia="Times New Roman" w:hAnsi="Cambria Math" w:cstheme="minorHAnsi"/>
                  <w:noProof/>
                  <w:color w:val="4A4A4A"/>
                  <w:sz w:val="21"/>
                  <w:szCs w:val="21"/>
                  <w:lang w:eastAsia="en-GB"/>
                </w:rPr>
                <m:t>health</m:t>
              </m:r>
            </m:sup>
          </m:sSubSup>
          <m:r>
            <w:rPr>
              <w:rFonts w:ascii="Cambria Math" w:eastAsia="Times New Roman" w:hAnsi="Cambria Math" w:cstheme="minorHAnsi"/>
              <w:noProof/>
              <w:color w:val="4A4A4A"/>
              <w:sz w:val="21"/>
              <w:szCs w:val="21"/>
              <w:lang w:eastAsia="en-GB"/>
            </w:rPr>
            <m:t xml:space="preserve">) </m:t>
          </m:r>
        </m:oMath>
      </m:oMathPara>
    </w:p>
    <w:p w14:paraId="04953142" w14:textId="77777777" w:rsidR="0095284B" w:rsidRDefault="0095284B" w:rsidP="00A11A20">
      <w:pPr>
        <w:shd w:val="clear" w:color="auto" w:fill="FFFFFF"/>
        <w:spacing w:after="0"/>
        <w:jc w:val="both"/>
      </w:pPr>
    </w:p>
    <w:p w14:paraId="1AD0CB06" w14:textId="1BC5C947" w:rsidR="00772FA4" w:rsidRDefault="0095284B" w:rsidP="00A11A20">
      <w:pPr>
        <w:shd w:val="clear" w:color="auto" w:fill="FFFFFF"/>
        <w:spacing w:after="0"/>
        <w:jc w:val="both"/>
      </w:pPr>
      <w:r w:rsidRPr="00F56347">
        <w:rPr>
          <w:rFonts w:eastAsia="Times New Roman" w:cstheme="minorHAnsi"/>
          <w:color w:val="4A4A4A"/>
          <w:sz w:val="21"/>
          <w:szCs w:val="21"/>
          <w:lang w:eastAsia="en-GB"/>
        </w:rPr>
        <w:t>All amounts defined in PPP values (</w:t>
      </w:r>
      <w:r w:rsidR="00471610" w:rsidRPr="00F56347">
        <w:rPr>
          <w:rFonts w:eastAsia="Times New Roman" w:cstheme="minorHAnsi"/>
          <w:color w:val="4A4A4A"/>
          <w:sz w:val="21"/>
          <w:szCs w:val="21"/>
          <w:lang w:eastAsia="en-GB"/>
        </w:rPr>
        <w:t>$2.15 and $1.15) are</w:t>
      </w:r>
      <w:r w:rsidR="00EC6505" w:rsidRPr="00EC6505">
        <w:rPr>
          <w:rFonts w:eastAsia="Times New Roman" w:cstheme="minorHAnsi"/>
          <w:color w:val="4A4A4A"/>
          <w:sz w:val="21"/>
          <w:szCs w:val="21"/>
          <w:lang w:eastAsia="en-GB"/>
        </w:rPr>
        <w:t xml:space="preserve"> converted to local currencies in 2017 price and</w:t>
      </w:r>
      <w:r w:rsidR="00EC6505" w:rsidRPr="00EC6505">
        <w:rPr>
          <w:rFonts w:eastAsia="Times New Roman" w:cstheme="minorHAnsi"/>
          <w:noProof/>
          <w:color w:val="4A4A4A"/>
          <w:sz w:val="21"/>
          <w:szCs w:val="21"/>
          <w:lang w:eastAsia="en-GB"/>
        </w:rPr>
        <w:t xml:space="preserve"> then converted to the prices prevailing at the time of the relevant household survey using the best available Consumer Price Index (CPI).</w:t>
      </w:r>
      <w:r w:rsidR="00C70656">
        <w:rPr>
          <w:rFonts w:eastAsia="Times New Roman" w:cstheme="minorHAnsi"/>
          <w:noProof/>
          <w:color w:val="4A4A4A"/>
          <w:sz w:val="21"/>
          <w:szCs w:val="21"/>
          <w:lang w:eastAsia="en-GB"/>
        </w:rPr>
        <w:t xml:space="preserve"> This approach is consistent with the methodology used for </w:t>
      </w:r>
      <w:r w:rsidR="008A26BB">
        <w:rPr>
          <w:rFonts w:eastAsia="Times New Roman" w:cstheme="minorHAnsi"/>
          <w:noProof/>
          <w:color w:val="4A4A4A"/>
          <w:sz w:val="21"/>
          <w:szCs w:val="21"/>
          <w:lang w:eastAsia="en-GB"/>
        </w:rPr>
        <w:t>SDG indicator 1.1.1.</w:t>
      </w:r>
    </w:p>
    <w:p w14:paraId="56C866F4" w14:textId="0DC76A6F" w:rsidR="00772FA4" w:rsidRPr="00F771E5" w:rsidRDefault="00980B73" w:rsidP="00A11A20">
      <w:pPr>
        <w:shd w:val="clear" w:color="auto" w:fill="FFFFFF"/>
        <w:spacing w:after="0"/>
        <w:jc w:val="both"/>
        <w:rPr>
          <w:color w:val="4A4A4A"/>
          <w:sz w:val="21"/>
          <w:szCs w:val="21"/>
          <w:lang w:eastAsia="en-GB"/>
        </w:rPr>
      </w:pPr>
      <w:r>
        <w:rPr>
          <w:color w:val="4A4A4A"/>
          <w:sz w:val="21"/>
          <w:szCs w:val="21"/>
          <w:lang w:eastAsia="en-GB"/>
        </w:rPr>
        <w:t>The discretionary budget (</w:t>
      </w:r>
      <m:oMath>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y</m:t>
            </m:r>
          </m:e>
          <m:sub>
            <m:r>
              <w:rPr>
                <w:rFonts w:ascii="Cambria Math" w:eastAsia="Times New Roman" w:hAnsi="Cambria Math" w:cstheme="minorHAnsi"/>
                <w:noProof/>
                <w:color w:val="4A4A4A"/>
                <w:sz w:val="21"/>
                <w:szCs w:val="21"/>
                <w:lang w:eastAsia="en-GB"/>
              </w:rPr>
              <m:t>i</m:t>
            </m:r>
          </m:sub>
        </m:sSub>
        <m:r>
          <m:rPr>
            <m:sty m:val="p"/>
          </m:rPr>
          <w:rPr>
            <w:rFonts w:ascii="Cambria Math" w:eastAsia="Times New Roman" w:hAnsi="Cambria Math" w:cstheme="minorHAnsi"/>
            <w:noProof/>
            <w:color w:val="4A4A4A"/>
            <w:sz w:val="21"/>
            <w:szCs w:val="21"/>
            <w:lang w:eastAsia="en-GB"/>
          </w:rPr>
          <m:t>-SPL)</m:t>
        </m:r>
      </m:oMath>
      <w:r w:rsidR="00772FA4">
        <w:rPr>
          <w:color w:val="4A4A4A"/>
          <w:sz w:val="21"/>
          <w:szCs w:val="21"/>
          <w:lang w:eastAsia="en-GB"/>
        </w:rPr>
        <w:t xml:space="preserve"> </w:t>
      </w:r>
      <w:r w:rsidR="001051F9">
        <w:rPr>
          <w:color w:val="4A4A4A"/>
          <w:sz w:val="21"/>
          <w:szCs w:val="21"/>
          <w:lang w:eastAsia="en-GB"/>
        </w:rPr>
        <w:t>is</w:t>
      </w:r>
      <w:r w:rsidR="00772FA4">
        <w:rPr>
          <w:color w:val="4A4A4A"/>
          <w:sz w:val="21"/>
          <w:szCs w:val="21"/>
          <w:lang w:eastAsia="en-GB"/>
        </w:rPr>
        <w:t xml:space="preserve"> negative for people living </w:t>
      </w:r>
      <w:r w:rsidR="001051F9">
        <w:rPr>
          <w:color w:val="4A4A4A"/>
          <w:sz w:val="21"/>
          <w:szCs w:val="21"/>
          <w:lang w:eastAsia="en-GB"/>
        </w:rPr>
        <w:t>below the societal poverty line</w:t>
      </w:r>
      <w:r w:rsidR="00772FA4">
        <w:rPr>
          <w:color w:val="4A4A4A"/>
          <w:sz w:val="21"/>
          <w:szCs w:val="21"/>
          <w:lang w:eastAsia="en-GB"/>
        </w:rPr>
        <w:t xml:space="preserve">. </w:t>
      </w:r>
      <w:r w:rsidR="00A91C07">
        <w:rPr>
          <w:color w:val="4A4A4A"/>
          <w:sz w:val="21"/>
          <w:szCs w:val="21"/>
          <w:lang w:eastAsia="en-GB"/>
        </w:rPr>
        <w:t>In such cases</w:t>
      </w:r>
      <w:r w:rsidR="00772FA4">
        <w:rPr>
          <w:color w:val="4A4A4A"/>
          <w:sz w:val="21"/>
          <w:szCs w:val="21"/>
          <w:lang w:eastAsia="en-GB"/>
        </w:rPr>
        <w:t xml:space="preserve">, </w:t>
      </w:r>
      <w:r w:rsidR="003E4B7A">
        <w:rPr>
          <w:color w:val="4A4A4A"/>
          <w:sz w:val="21"/>
          <w:szCs w:val="21"/>
          <w:lang w:eastAsia="en-GB"/>
        </w:rPr>
        <w:t xml:space="preserve">the threshold used to identify if </w:t>
      </w:r>
      <w:r w:rsidR="00D7739E">
        <w:rPr>
          <w:color w:val="4A4A4A"/>
          <w:sz w:val="21"/>
          <w:szCs w:val="21"/>
          <w:lang w:eastAsia="en-GB"/>
        </w:rPr>
        <w:t xml:space="preserve">out-of-pocket household expenditure on health </w:t>
      </w:r>
      <w:r w:rsidR="00A91C07">
        <w:rPr>
          <w:color w:val="4A4A4A"/>
          <w:sz w:val="21"/>
          <w:szCs w:val="21"/>
          <w:lang w:eastAsia="en-GB"/>
        </w:rPr>
        <w:t>a</w:t>
      </w:r>
      <w:r w:rsidR="003E4B7A">
        <w:rPr>
          <w:color w:val="4A4A4A"/>
          <w:sz w:val="21"/>
          <w:szCs w:val="21"/>
          <w:lang w:eastAsia="en-GB"/>
        </w:rPr>
        <w:t xml:space="preserve">s a source of financial hardship is </w:t>
      </w:r>
      <w:r w:rsidR="0059799A">
        <w:rPr>
          <w:color w:val="4A4A4A"/>
          <w:sz w:val="21"/>
          <w:szCs w:val="21"/>
          <w:lang w:eastAsia="en-GB"/>
        </w:rPr>
        <w:t xml:space="preserve">effectively </w:t>
      </w:r>
      <w:r w:rsidR="003E4B7A">
        <w:rPr>
          <w:color w:val="4A4A4A"/>
          <w:sz w:val="21"/>
          <w:szCs w:val="21"/>
          <w:lang w:eastAsia="en-GB"/>
        </w:rPr>
        <w:t xml:space="preserve">zero as any positive spending on health will exceed </w:t>
      </w:r>
      <w:r w:rsidR="00DC593C">
        <w:rPr>
          <w:color w:val="4A4A4A"/>
          <w:sz w:val="21"/>
          <w:szCs w:val="21"/>
          <w:lang w:eastAsia="en-GB"/>
        </w:rPr>
        <w:t xml:space="preserve">the household discretionary budget. </w:t>
      </w:r>
      <w:r w:rsidR="00D7739E">
        <w:rPr>
          <w:color w:val="4A4A4A"/>
          <w:sz w:val="21"/>
          <w:szCs w:val="21"/>
          <w:lang w:eastAsia="en-GB"/>
        </w:rPr>
        <w:t xml:space="preserve"> </w:t>
      </w:r>
    </w:p>
    <w:p w14:paraId="39C2EFD6" w14:textId="77777777" w:rsidR="000A0BB1" w:rsidRPr="00A10DEC" w:rsidRDefault="000A0BB1" w:rsidP="00A11A20">
      <w:pPr>
        <w:shd w:val="clear" w:color="auto" w:fill="FFFFFF"/>
        <w:spacing w:after="0"/>
        <w:jc w:val="both"/>
        <w:rPr>
          <w:rFonts w:eastAsia="Times New Roman" w:cstheme="minorHAnsi"/>
          <w:color w:val="4A4A4A"/>
          <w:sz w:val="21"/>
          <w:szCs w:val="21"/>
          <w:lang w:eastAsia="en-GB"/>
        </w:rPr>
      </w:pPr>
    </w:p>
    <w:p w14:paraId="1D54933C" w14:textId="37B46211" w:rsidR="00B55A32" w:rsidRPr="00645B6F" w:rsidRDefault="00DC593C" w:rsidP="00A11A20">
      <w:pPr>
        <w:shd w:val="clear" w:color="auto" w:fill="FFFFFF"/>
        <w:spacing w:after="0"/>
        <w:jc w:val="both"/>
        <w:rPr>
          <w:rFonts w:eastAsia="TT15Ct00" w:cstheme="minorHAnsi"/>
          <w:color w:val="4A4A4A"/>
          <w:sz w:val="21"/>
          <w:szCs w:val="21"/>
          <w:lang w:eastAsia="en-GB"/>
        </w:rPr>
      </w:pPr>
      <w:r>
        <w:rPr>
          <w:rFonts w:eastAsia="TT15Ct00" w:cstheme="minorHAnsi"/>
          <w:color w:val="4A4A4A"/>
          <w:sz w:val="21"/>
          <w:szCs w:val="21"/>
          <w:lang w:eastAsia="en-GB"/>
        </w:rPr>
        <w:t>Out-of-pocket h</w:t>
      </w:r>
      <w:r w:rsidR="00B55A32" w:rsidRPr="00645B6F">
        <w:rPr>
          <w:rFonts w:eastAsia="TT15Ct00" w:cstheme="minorHAnsi"/>
          <w:color w:val="4A4A4A"/>
          <w:sz w:val="21"/>
          <w:szCs w:val="21"/>
          <w:lang w:eastAsia="en-GB"/>
        </w:rPr>
        <w:t xml:space="preserve">ousehold expenditure </w:t>
      </w:r>
      <w:r>
        <w:rPr>
          <w:rFonts w:eastAsia="TT15Ct00" w:cstheme="minorHAnsi"/>
          <w:color w:val="4A4A4A"/>
          <w:sz w:val="21"/>
          <w:szCs w:val="21"/>
          <w:lang w:eastAsia="en-GB"/>
        </w:rPr>
        <w:t xml:space="preserve">on health, </w:t>
      </w:r>
      <w:r w:rsidR="00B55A32" w:rsidRPr="00645B6F">
        <w:rPr>
          <w:rFonts w:eastAsia="TT15Ct00" w:cstheme="minorHAnsi"/>
          <w:color w:val="4A4A4A"/>
          <w:sz w:val="21"/>
          <w:szCs w:val="21"/>
          <w:lang w:eastAsia="en-GB"/>
        </w:rPr>
        <w:t xml:space="preserve">household </w:t>
      </w:r>
      <w:r>
        <w:rPr>
          <w:rFonts w:eastAsia="TT15Ct00" w:cstheme="minorHAnsi"/>
          <w:color w:val="4A4A4A"/>
          <w:sz w:val="21"/>
          <w:szCs w:val="21"/>
          <w:lang w:eastAsia="en-GB"/>
        </w:rPr>
        <w:t xml:space="preserve">consumption </w:t>
      </w:r>
      <w:r w:rsidR="00B55A32" w:rsidRPr="00645B6F">
        <w:rPr>
          <w:rFonts w:eastAsia="TT15Ct00" w:cstheme="minorHAnsi"/>
          <w:color w:val="4A4A4A"/>
          <w:sz w:val="21"/>
          <w:szCs w:val="21"/>
          <w:lang w:eastAsia="en-GB"/>
        </w:rPr>
        <w:t>expenditure or income</w:t>
      </w:r>
      <w:r>
        <w:rPr>
          <w:rFonts w:eastAsia="TT15Ct00" w:cstheme="minorHAnsi"/>
          <w:color w:val="4A4A4A"/>
          <w:sz w:val="21"/>
          <w:szCs w:val="21"/>
          <w:lang w:eastAsia="en-GB"/>
        </w:rPr>
        <w:t>, the societal poverty line (SPL)</w:t>
      </w:r>
      <w:r w:rsidR="00B55A32" w:rsidRPr="00645B6F">
        <w:rPr>
          <w:rFonts w:eastAsia="TT15Ct00" w:cstheme="minorHAnsi"/>
          <w:color w:val="4A4A4A"/>
          <w:sz w:val="21"/>
          <w:szCs w:val="21"/>
          <w:lang w:eastAsia="en-GB"/>
        </w:rPr>
        <w:t xml:space="preserve"> are defined as explained in the “concept” section. </w:t>
      </w:r>
      <w:r w:rsidR="00A82829" w:rsidRPr="00A82829">
        <w:rPr>
          <w:rFonts w:eastAsia="TT15Ct00" w:cstheme="minorHAnsi"/>
          <w:color w:val="4A4A4A"/>
          <w:sz w:val="21"/>
          <w:szCs w:val="21"/>
          <w:lang w:eastAsia="en-GB"/>
        </w:rPr>
        <w:t xml:space="preserve">All amounts are measured </w:t>
      </w:r>
      <w:r w:rsidR="00A82829">
        <w:rPr>
          <w:rFonts w:eastAsia="TT15Ct00" w:cstheme="minorHAnsi"/>
          <w:color w:val="4A4A4A"/>
          <w:sz w:val="21"/>
          <w:szCs w:val="21"/>
          <w:lang w:eastAsia="en-GB"/>
        </w:rPr>
        <w:t>on a</w:t>
      </w:r>
      <w:r w:rsidR="00A82829" w:rsidRPr="00A82829">
        <w:rPr>
          <w:rFonts w:eastAsia="TT15Ct00" w:cstheme="minorHAnsi"/>
          <w:color w:val="4A4A4A"/>
          <w:sz w:val="21"/>
          <w:szCs w:val="21"/>
          <w:lang w:eastAsia="en-GB"/>
        </w:rPr>
        <w:t xml:space="preserve"> per capita daily basis.</w:t>
      </w:r>
      <w:r w:rsidR="00A82829">
        <w:rPr>
          <w:rFonts w:eastAsia="TT15Ct00" w:cstheme="minorHAnsi"/>
          <w:color w:val="4A4A4A"/>
          <w:sz w:val="21"/>
          <w:szCs w:val="21"/>
          <w:lang w:eastAsia="en-GB"/>
        </w:rPr>
        <w:t xml:space="preserve"> </w:t>
      </w:r>
      <w:r w:rsidR="00B55A32" w:rsidRPr="00645B6F">
        <w:rPr>
          <w:rFonts w:eastAsia="TT15Ct00" w:cstheme="minorHAnsi"/>
          <w:color w:val="4A4A4A"/>
          <w:sz w:val="21"/>
          <w:szCs w:val="21"/>
          <w:lang w:eastAsia="en-GB"/>
        </w:rPr>
        <w:t xml:space="preserve">For more information about the methodology please </w:t>
      </w:r>
      <w:r w:rsidR="00EF0BA7">
        <w:rPr>
          <w:rFonts w:eastAsia="TT15Ct00" w:cstheme="minorHAnsi"/>
          <w:color w:val="4A4A4A"/>
          <w:sz w:val="21"/>
          <w:szCs w:val="21"/>
          <w:lang w:eastAsia="en-GB"/>
        </w:rPr>
        <w:t>see references</w:t>
      </w:r>
      <w:r w:rsidR="00B55A32" w:rsidRPr="00645B6F">
        <w:rPr>
          <w:rFonts w:eastAsia="TT15Ct00" w:cstheme="minorHAnsi"/>
          <w:color w:val="4A4A4A"/>
          <w:sz w:val="21"/>
          <w:szCs w:val="21"/>
          <w:lang w:eastAsia="en-GB"/>
        </w:rPr>
        <w:t>.</w:t>
      </w:r>
    </w:p>
    <w:p w14:paraId="6A89839E" w14:textId="77777777" w:rsidR="00576CFA" w:rsidRPr="00645B6F" w:rsidRDefault="00576CFA" w:rsidP="00A11A20">
      <w:pPr>
        <w:pStyle w:val="MText"/>
        <w:jc w:val="both"/>
        <w:rPr>
          <w:rFonts w:cstheme="minorHAnsi"/>
        </w:rPr>
      </w:pPr>
    </w:p>
    <w:p w14:paraId="1D2294AA" w14:textId="77777777" w:rsidR="00AF2722" w:rsidRPr="00A96255" w:rsidRDefault="00AF2722" w:rsidP="00AF2722">
      <w:pPr>
        <w:pStyle w:val="MHeader2"/>
      </w:pPr>
      <w:r w:rsidRPr="00A96255">
        <w:t xml:space="preserve">4.d. Validation </w:t>
      </w:r>
      <w:r>
        <w:rPr>
          <w:color w:val="B4B4B4"/>
          <w:sz w:val="20"/>
        </w:rPr>
        <w:t>(DATA_VALIDATION)</w:t>
      </w:r>
    </w:p>
    <w:p w14:paraId="746FA91F" w14:textId="38D8A2EB" w:rsidR="00F719A8" w:rsidRDefault="004A6AB5" w:rsidP="00A11A20">
      <w:pPr>
        <w:pStyle w:val="MText"/>
        <w:jc w:val="both"/>
        <w:rPr>
          <w:rFonts w:cstheme="minorHAnsi"/>
        </w:rPr>
      </w:pPr>
      <w:r>
        <w:rPr>
          <w:rFonts w:cstheme="minorHAnsi"/>
        </w:rPr>
        <w:t>The microdata obtained by WHO is requested</w:t>
      </w:r>
      <w:r w:rsidR="00695D71">
        <w:rPr>
          <w:rFonts w:cstheme="minorHAnsi"/>
        </w:rPr>
        <w:t xml:space="preserve"> to National Statistical Offices</w:t>
      </w:r>
      <w:r>
        <w:rPr>
          <w:rFonts w:cstheme="minorHAnsi"/>
        </w:rPr>
        <w:t xml:space="preserve"> with </w:t>
      </w:r>
      <w:r w:rsidR="00C63F7D">
        <w:rPr>
          <w:rFonts w:cstheme="minorHAnsi"/>
        </w:rPr>
        <w:t>household total consumption expenditure</w:t>
      </w:r>
      <w:r w:rsidR="00074E33">
        <w:rPr>
          <w:rFonts w:cstheme="minorHAnsi"/>
        </w:rPr>
        <w:t xml:space="preserve"> or income </w:t>
      </w:r>
      <w:r w:rsidR="00C63F7D">
        <w:rPr>
          <w:rFonts w:cstheme="minorHAnsi"/>
        </w:rPr>
        <w:t xml:space="preserve">already constructed </w:t>
      </w:r>
      <w:r w:rsidR="00C63F7D" w:rsidRPr="00645B6F">
        <w:rPr>
          <w:rFonts w:cstheme="minorHAnsi"/>
        </w:rPr>
        <w:t>following their own guidelines</w:t>
      </w:r>
      <w:r w:rsidR="00C40A35">
        <w:rPr>
          <w:rFonts w:cstheme="minorHAnsi"/>
        </w:rPr>
        <w:t xml:space="preserve"> and follows those guidelines when the denominator is not provided</w:t>
      </w:r>
      <w:r w:rsidR="00695D71">
        <w:rPr>
          <w:rFonts w:cstheme="minorHAnsi"/>
        </w:rPr>
        <w:t>.</w:t>
      </w:r>
      <w:r w:rsidR="00777904">
        <w:rPr>
          <w:rFonts w:cstheme="minorHAnsi"/>
        </w:rPr>
        <w:t xml:space="preserve"> WHO </w:t>
      </w:r>
      <w:r w:rsidR="001507D6">
        <w:rPr>
          <w:rFonts w:cstheme="minorHAnsi"/>
        </w:rPr>
        <w:t xml:space="preserve">generates </w:t>
      </w:r>
      <w:r w:rsidR="00777904">
        <w:rPr>
          <w:rFonts w:cstheme="minorHAnsi"/>
        </w:rPr>
        <w:t xml:space="preserve">the </w:t>
      </w:r>
      <w:r w:rsidR="00074E33">
        <w:rPr>
          <w:rFonts w:cstheme="minorHAnsi"/>
        </w:rPr>
        <w:t xml:space="preserve">out-of-pocket </w:t>
      </w:r>
      <w:r w:rsidR="001507D6">
        <w:rPr>
          <w:rFonts w:cstheme="minorHAnsi"/>
        </w:rPr>
        <w:t>hou</w:t>
      </w:r>
      <w:r w:rsidR="00777904">
        <w:rPr>
          <w:rFonts w:cstheme="minorHAnsi"/>
        </w:rPr>
        <w:t xml:space="preserve">sehold </w:t>
      </w:r>
      <w:r w:rsidR="00074E33">
        <w:rPr>
          <w:rFonts w:cstheme="minorHAnsi"/>
        </w:rPr>
        <w:t xml:space="preserve">expenditure on health   </w:t>
      </w:r>
      <w:r w:rsidR="002E187F">
        <w:rPr>
          <w:rFonts w:cstheme="minorHAnsi"/>
        </w:rPr>
        <w:t>following the definitions and classifications described in 2.a and 2.c.</w:t>
      </w:r>
      <w:r w:rsidR="0073361C">
        <w:rPr>
          <w:rFonts w:cstheme="minorHAnsi"/>
        </w:rPr>
        <w:t xml:space="preserve"> </w:t>
      </w:r>
    </w:p>
    <w:p w14:paraId="65857872" w14:textId="4C6A97A9" w:rsidR="00486CE3" w:rsidRDefault="00486CE3" w:rsidP="00A11A20">
      <w:pPr>
        <w:pStyle w:val="MText"/>
        <w:jc w:val="both"/>
        <w:rPr>
          <w:rFonts w:cstheme="minorHAnsi"/>
        </w:rPr>
      </w:pPr>
    </w:p>
    <w:p w14:paraId="30491DF7" w14:textId="4C404234" w:rsidR="00486CE3" w:rsidRDefault="00486CE3" w:rsidP="00A11A20">
      <w:pPr>
        <w:pStyle w:val="MText"/>
        <w:jc w:val="both"/>
        <w:rPr>
          <w:rFonts w:cstheme="minorHAnsi"/>
        </w:rPr>
      </w:pPr>
      <w:r>
        <w:rPr>
          <w:rFonts w:cstheme="minorHAnsi"/>
        </w:rPr>
        <w:t xml:space="preserve">The microdata obtained by the </w:t>
      </w:r>
      <w:r w:rsidR="00C33129">
        <w:rPr>
          <w:rFonts w:cstheme="minorHAnsi"/>
        </w:rPr>
        <w:t>World Bank</w:t>
      </w:r>
      <w:r w:rsidR="00182CD4">
        <w:rPr>
          <w:rFonts w:cstheme="minorHAnsi"/>
        </w:rPr>
        <w:t xml:space="preserve"> </w:t>
      </w:r>
      <w:r w:rsidR="007025E2">
        <w:rPr>
          <w:rFonts w:cstheme="minorHAnsi"/>
        </w:rPr>
        <w:t xml:space="preserve">is </w:t>
      </w:r>
      <w:r w:rsidR="00DD6235">
        <w:rPr>
          <w:rFonts w:cstheme="minorHAnsi"/>
        </w:rPr>
        <w:t>provided by country governments</w:t>
      </w:r>
      <w:r w:rsidR="007025E2">
        <w:rPr>
          <w:rFonts w:cstheme="minorHAnsi"/>
        </w:rPr>
        <w:t xml:space="preserve"> </w:t>
      </w:r>
      <w:r w:rsidR="00E53D2E">
        <w:rPr>
          <w:rFonts w:cstheme="minorHAnsi"/>
        </w:rPr>
        <w:t>and</w:t>
      </w:r>
      <w:r w:rsidR="007025E2">
        <w:rPr>
          <w:rFonts w:cstheme="minorHAnsi"/>
        </w:rPr>
        <w:t xml:space="preserve"> typically</w:t>
      </w:r>
      <w:r w:rsidR="00DD6235">
        <w:rPr>
          <w:rFonts w:cstheme="minorHAnsi"/>
        </w:rPr>
        <w:t xml:space="preserve"> </w:t>
      </w:r>
      <w:r w:rsidR="00182CD4">
        <w:rPr>
          <w:rFonts w:cstheme="minorHAnsi"/>
        </w:rPr>
        <w:t xml:space="preserve">includes the </w:t>
      </w:r>
      <w:r w:rsidR="004B0EDB">
        <w:rPr>
          <w:rFonts w:cstheme="minorHAnsi"/>
        </w:rPr>
        <w:t>household consumption expenditure or income, out-of-pocket spending on health</w:t>
      </w:r>
      <w:r w:rsidR="00CA0D1B">
        <w:rPr>
          <w:rFonts w:cstheme="minorHAnsi"/>
        </w:rPr>
        <w:t xml:space="preserve"> </w:t>
      </w:r>
      <w:r w:rsidR="007025E2">
        <w:rPr>
          <w:rFonts w:cstheme="minorHAnsi"/>
        </w:rPr>
        <w:t>already</w:t>
      </w:r>
      <w:r w:rsidR="00232615">
        <w:rPr>
          <w:rFonts w:cstheme="minorHAnsi"/>
        </w:rPr>
        <w:t xml:space="preserve"> constructed</w:t>
      </w:r>
      <w:r w:rsidR="007025E2">
        <w:rPr>
          <w:rFonts w:cstheme="minorHAnsi"/>
        </w:rPr>
        <w:t>.</w:t>
      </w:r>
      <w:r w:rsidR="00E53D2E" w:rsidRPr="00E53D2E">
        <w:t xml:space="preserve"> </w:t>
      </w:r>
      <w:r w:rsidR="00E53D2E" w:rsidRPr="00E53D2E">
        <w:rPr>
          <w:rFonts w:cstheme="minorHAnsi"/>
        </w:rPr>
        <w:t xml:space="preserve">Sometimes, the World Bank </w:t>
      </w:r>
      <w:r w:rsidR="004B0EDB" w:rsidRPr="00E53D2E">
        <w:rPr>
          <w:rFonts w:cstheme="minorHAnsi"/>
        </w:rPr>
        <w:t>must</w:t>
      </w:r>
      <w:r w:rsidR="00E53D2E" w:rsidRPr="00E53D2E">
        <w:rPr>
          <w:rFonts w:cstheme="minorHAnsi"/>
        </w:rPr>
        <w:t xml:space="preserve"> construct the welfare aggregate or adjust the aggregate provided by the country.</w:t>
      </w:r>
    </w:p>
    <w:p w14:paraId="59053B94" w14:textId="38CB746F" w:rsidR="00530E58" w:rsidRDefault="00530E58" w:rsidP="00A11A20">
      <w:pPr>
        <w:pStyle w:val="MText"/>
        <w:jc w:val="both"/>
        <w:rPr>
          <w:rFonts w:cstheme="minorHAnsi"/>
        </w:rPr>
      </w:pPr>
    </w:p>
    <w:p w14:paraId="703E8DBA" w14:textId="50DA36CC" w:rsidR="00530E58" w:rsidRDefault="00530E58" w:rsidP="00A11A20">
      <w:pPr>
        <w:pStyle w:val="MText"/>
        <w:jc w:val="both"/>
        <w:rPr>
          <w:rFonts w:cstheme="minorHAnsi"/>
        </w:rPr>
      </w:pPr>
      <w:r>
        <w:rPr>
          <w:rFonts w:cstheme="minorHAnsi"/>
        </w:rPr>
        <w:t>The microdata obtained by both institutions</w:t>
      </w:r>
      <w:r w:rsidR="00762C0C">
        <w:rPr>
          <w:rFonts w:cstheme="minorHAnsi"/>
        </w:rPr>
        <w:t xml:space="preserve"> to track SDG indicator 3.8.2</w:t>
      </w:r>
      <w:r w:rsidR="000C1381">
        <w:rPr>
          <w:rFonts w:cstheme="minorHAnsi"/>
        </w:rPr>
        <w:t xml:space="preserve"> has</w:t>
      </w:r>
      <w:r w:rsidR="00762C0C">
        <w:rPr>
          <w:rFonts w:cstheme="minorHAnsi"/>
        </w:rPr>
        <w:t xml:space="preserve"> typically</w:t>
      </w:r>
      <w:r w:rsidR="000C1381">
        <w:rPr>
          <w:rFonts w:cstheme="minorHAnsi"/>
        </w:rPr>
        <w:t xml:space="preserve"> already been </w:t>
      </w:r>
      <w:r>
        <w:rPr>
          <w:rFonts w:cstheme="minorHAnsi"/>
        </w:rPr>
        <w:t>checked for quality</w:t>
      </w:r>
      <w:r w:rsidR="00762C0C">
        <w:rPr>
          <w:rFonts w:cstheme="minorHAnsi"/>
        </w:rPr>
        <w:t xml:space="preserve"> to track other important indicators (e.g. SDG indicator 1.1.1). </w:t>
      </w:r>
      <w:r w:rsidR="004A6B0F">
        <w:rPr>
          <w:rFonts w:cstheme="minorHAnsi"/>
        </w:rPr>
        <w:t>A quality assessment is performed before consulting countries on SDG 3.8.2 estimates (see section 4.k).</w:t>
      </w:r>
    </w:p>
    <w:p w14:paraId="5E7505D3" w14:textId="4A6D6810" w:rsidR="00412FE1" w:rsidRDefault="00412FE1" w:rsidP="00A11A20">
      <w:pPr>
        <w:pStyle w:val="MText"/>
        <w:jc w:val="both"/>
        <w:rPr>
          <w:rFonts w:cstheme="minorHAnsi"/>
        </w:rPr>
      </w:pPr>
    </w:p>
    <w:p w14:paraId="623E03AE" w14:textId="0F5872C9" w:rsidR="00412FE1" w:rsidRPr="00645B6F" w:rsidRDefault="00412FE1" w:rsidP="00A11A20">
      <w:pPr>
        <w:pStyle w:val="MText"/>
        <w:jc w:val="both"/>
        <w:rPr>
          <w:rFonts w:cstheme="minorHAnsi"/>
        </w:rPr>
      </w:pPr>
      <w:r>
        <w:rPr>
          <w:rFonts w:cstheme="minorHAnsi"/>
        </w:rPr>
        <w:t xml:space="preserve">The estimates produced by both organizations are included in </w:t>
      </w:r>
      <w:r w:rsidR="0092485E">
        <w:rPr>
          <w:rFonts w:cstheme="minorHAnsi"/>
        </w:rPr>
        <w:t>a</w:t>
      </w:r>
      <w:r>
        <w:rPr>
          <w:rFonts w:cstheme="minorHAnsi"/>
        </w:rPr>
        <w:t xml:space="preserve"> consultation to obtain country’s feedback</w:t>
      </w:r>
      <w:r w:rsidR="0092485E">
        <w:rPr>
          <w:rFonts w:cstheme="minorHAnsi"/>
        </w:rPr>
        <w:t xml:space="preserve"> </w:t>
      </w:r>
      <w:r w:rsidR="00F334D9">
        <w:rPr>
          <w:rFonts w:cstheme="minorHAnsi"/>
        </w:rPr>
        <w:t xml:space="preserve">and revised </w:t>
      </w:r>
      <w:r w:rsidR="008C1FB0">
        <w:rPr>
          <w:rFonts w:cstheme="minorHAnsi"/>
        </w:rPr>
        <w:t>as needed.</w:t>
      </w:r>
    </w:p>
    <w:p w14:paraId="0025F830" w14:textId="77777777" w:rsidR="00F719A8" w:rsidRPr="00645B6F" w:rsidRDefault="00F719A8" w:rsidP="00A11A20">
      <w:pPr>
        <w:pStyle w:val="MText"/>
        <w:jc w:val="both"/>
        <w:rPr>
          <w:rFonts w:cstheme="minorHAnsi"/>
        </w:rPr>
      </w:pPr>
    </w:p>
    <w:p w14:paraId="6D78F1EF" w14:textId="77777777" w:rsidR="00AF2722" w:rsidRPr="00A96255" w:rsidRDefault="00AF2722" w:rsidP="00AF2722">
      <w:pPr>
        <w:pStyle w:val="MHeader2"/>
      </w:pPr>
      <w:r w:rsidRPr="00A96255">
        <w:t xml:space="preserve">4.e. Adjustments </w:t>
      </w:r>
      <w:r>
        <w:rPr>
          <w:color w:val="B4B4B4"/>
          <w:sz w:val="20"/>
        </w:rPr>
        <w:t>(ADJUSTMENT)</w:t>
      </w:r>
    </w:p>
    <w:p w14:paraId="600C371D" w14:textId="77777777" w:rsidR="001265C5" w:rsidRPr="00FB5543" w:rsidRDefault="001265C5" w:rsidP="00A11A20">
      <w:pPr>
        <w:pStyle w:val="MText"/>
        <w:jc w:val="both"/>
        <w:rPr>
          <w:rFonts w:ascii="Calibri" w:hAnsi="Calibri"/>
        </w:rPr>
      </w:pPr>
      <w:r w:rsidRPr="00FB5543">
        <w:t xml:space="preserve">Not </w:t>
      </w:r>
      <w:r>
        <w:t>applicable</w:t>
      </w:r>
    </w:p>
    <w:p w14:paraId="5032CC5E" w14:textId="1D3E9CB6" w:rsidR="00576CFA" w:rsidRPr="00645B6F" w:rsidRDefault="00576CFA" w:rsidP="00A11A20">
      <w:pPr>
        <w:pStyle w:val="MText"/>
        <w:jc w:val="both"/>
        <w:rPr>
          <w:rFonts w:cstheme="minorHAnsi"/>
        </w:rPr>
      </w:pPr>
    </w:p>
    <w:p w14:paraId="7FBAEBBA" w14:textId="77777777" w:rsidR="00EC2915" w:rsidRPr="00645B6F" w:rsidRDefault="00EC2915" w:rsidP="00A11A20">
      <w:pPr>
        <w:pStyle w:val="MText"/>
        <w:jc w:val="both"/>
        <w:rPr>
          <w:rFonts w:cstheme="minorHAnsi"/>
        </w:rPr>
      </w:pPr>
    </w:p>
    <w:p w14:paraId="17735630" w14:textId="7BB543C3" w:rsidR="00E1050F" w:rsidRPr="00AF2722" w:rsidRDefault="00AF2722" w:rsidP="00AF2722">
      <w:pPr>
        <w:pStyle w:val="MHeader2"/>
      </w:pPr>
      <w:r>
        <w:t>4.f. Treatment of missing values (</w:t>
      </w:r>
      <w:proofErr w:type="spellStart"/>
      <w:r>
        <w:t>i</w:t>
      </w:r>
      <w:proofErr w:type="spellEnd"/>
      <w:r>
        <w:t xml:space="preserve">) at country level and (ii) at regional level </w:t>
      </w:r>
      <w:r w:rsidRPr="153C7502">
        <w:rPr>
          <w:color w:val="B4B4B4"/>
          <w:sz w:val="20"/>
          <w:szCs w:val="20"/>
        </w:rPr>
        <w:t>(IMPUTATION)</w:t>
      </w:r>
    </w:p>
    <w:p w14:paraId="38E73556" w14:textId="68AF10C2" w:rsidR="00B97AAB" w:rsidRPr="003D6A3E" w:rsidRDefault="00B97AAB" w:rsidP="00A11A20">
      <w:pPr>
        <w:pStyle w:val="ListParagraph"/>
        <w:numPr>
          <w:ilvl w:val="0"/>
          <w:numId w:val="9"/>
        </w:numPr>
        <w:shd w:val="clear" w:color="auto" w:fill="FFFFFF"/>
        <w:spacing w:after="0"/>
        <w:jc w:val="both"/>
        <w:rPr>
          <w:rFonts w:eastAsia="Times New Roman" w:cstheme="minorHAnsi"/>
          <w:b/>
          <w:bCs/>
          <w:color w:val="4A4A4A"/>
          <w:sz w:val="21"/>
          <w:szCs w:val="21"/>
          <w:lang w:eastAsia="en-GB"/>
        </w:rPr>
      </w:pPr>
      <w:r w:rsidRPr="003D6A3E">
        <w:rPr>
          <w:rFonts w:eastAsia="Times New Roman" w:cstheme="minorHAnsi"/>
          <w:b/>
          <w:bCs/>
          <w:color w:val="4A4A4A"/>
          <w:sz w:val="21"/>
          <w:szCs w:val="21"/>
          <w:lang w:eastAsia="en-GB"/>
        </w:rPr>
        <w:lastRenderedPageBreak/>
        <w:t>At country level</w:t>
      </w:r>
    </w:p>
    <w:p w14:paraId="3D298E44" w14:textId="5838A266" w:rsidR="00B55A32"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At the country level no imputation is attempted to produce estimates. </w:t>
      </w:r>
      <w:r w:rsidR="001265C5">
        <w:rPr>
          <w:rFonts w:eastAsia="Times New Roman" w:cstheme="minorHAnsi"/>
          <w:color w:val="4A4A4A"/>
          <w:sz w:val="21"/>
          <w:szCs w:val="21"/>
          <w:lang w:eastAsia="en-GB"/>
        </w:rPr>
        <w:t>SDG indicator 3.8.2</w:t>
      </w:r>
      <w:r w:rsidRPr="00645B6F">
        <w:rPr>
          <w:rFonts w:eastAsia="Times New Roman" w:cstheme="minorHAnsi"/>
          <w:color w:val="4A4A4A"/>
          <w:sz w:val="21"/>
          <w:szCs w:val="21"/>
          <w:lang w:eastAsia="en-GB"/>
        </w:rPr>
        <w:t xml:space="preserve"> is estimated for all years for which a nationally representative survey on household budget, household income and expenditure, socio-economic conditions or living standards is available with information on both total household expenditure or income and total household expenditure on health. When there are multiple surveys over time for the same country a preference is given to estimates produced based on the same survey. A series of tests is performed to retain the best performing series (see </w:t>
      </w:r>
      <w:r w:rsidR="005D263C">
        <w:rPr>
          <w:rFonts w:eastAsia="Times New Roman" w:cstheme="minorHAnsi"/>
          <w:color w:val="4A4A4A"/>
          <w:sz w:val="21"/>
          <w:szCs w:val="21"/>
          <w:lang w:eastAsia="en-GB"/>
        </w:rPr>
        <w:t>4.k</w:t>
      </w:r>
      <w:r w:rsidRPr="00645B6F">
        <w:rPr>
          <w:rFonts w:eastAsia="Times New Roman" w:cstheme="minorHAnsi"/>
          <w:color w:val="4A4A4A"/>
          <w:sz w:val="21"/>
          <w:szCs w:val="21"/>
          <w:lang w:eastAsia="en-GB"/>
        </w:rPr>
        <w:t>).</w:t>
      </w:r>
    </w:p>
    <w:p w14:paraId="7DE52D62" w14:textId="5C0AFC48" w:rsidR="006A0215" w:rsidRDefault="006A0215" w:rsidP="00A11A20">
      <w:pPr>
        <w:shd w:val="clear" w:color="auto" w:fill="FFFFFF"/>
        <w:spacing w:after="0"/>
        <w:jc w:val="both"/>
        <w:rPr>
          <w:rFonts w:eastAsia="Times New Roman" w:cstheme="minorHAnsi"/>
          <w:color w:val="4A4A4A"/>
          <w:sz w:val="21"/>
          <w:szCs w:val="21"/>
          <w:lang w:eastAsia="en-GB"/>
        </w:rPr>
      </w:pPr>
    </w:p>
    <w:p w14:paraId="59FD576D" w14:textId="2228D494" w:rsidR="006A0215" w:rsidRPr="00FB5543" w:rsidRDefault="006A0215" w:rsidP="00A11A20">
      <w:pPr>
        <w:pStyle w:val="MText"/>
        <w:jc w:val="both"/>
        <w:rPr>
          <w:b/>
          <w:bCs/>
        </w:rPr>
      </w:pPr>
      <w:r w:rsidRPr="00FB5543">
        <w:rPr>
          <w:b/>
          <w:bCs/>
        </w:rPr>
        <w:t>•</w:t>
      </w:r>
      <w:r w:rsidRPr="00FB5543">
        <w:rPr>
          <w:b/>
          <w:bCs/>
        </w:rPr>
        <w:tab/>
        <w:t>At regional levels</w:t>
      </w:r>
    </w:p>
    <w:p w14:paraId="15B2D4EE" w14:textId="0FBB1746" w:rsidR="003B5C94" w:rsidRDefault="008A2311" w:rsidP="00A11A20">
      <w:pPr>
        <w:pStyle w:val="MText"/>
        <w:jc w:val="both"/>
        <w:rPr>
          <w:rFonts w:cstheme="minorHAnsi"/>
        </w:rPr>
      </w:pPr>
      <w:r w:rsidRPr="008A2311">
        <w:t>Because surveys are not conducted every year in most countries</w:t>
      </w:r>
      <w:r>
        <w:t xml:space="preserve">, </w:t>
      </w:r>
      <w:r w:rsidR="003E7288">
        <w:t>SDG 3.8.2 estimates</w:t>
      </w:r>
      <w:r w:rsidR="003B5C94">
        <w:t xml:space="preserve"> across countries</w:t>
      </w:r>
      <w:r w:rsidR="00B80043">
        <w:t xml:space="preserve"> are computed for different years. To </w:t>
      </w:r>
      <w:r w:rsidR="003B5C94">
        <w:t>compute regional</w:t>
      </w:r>
      <w:r w:rsidR="00504600">
        <w:t xml:space="preserve"> and global</w:t>
      </w:r>
      <w:r w:rsidR="003B5C94">
        <w:t xml:space="preserve"> aggregates</w:t>
      </w:r>
      <w:r w:rsidR="0019033C">
        <w:t xml:space="preserve"> for a common reference year</w:t>
      </w:r>
      <w:r w:rsidR="00913A6A" w:rsidRPr="00645B6F">
        <w:rPr>
          <w:rFonts w:cstheme="minorHAnsi"/>
        </w:rPr>
        <w:t xml:space="preserve"> </w:t>
      </w:r>
      <w:r w:rsidR="00913A6A">
        <w:rPr>
          <w:rFonts w:cstheme="minorHAnsi"/>
        </w:rPr>
        <w:t xml:space="preserve">(e.g. </w:t>
      </w:r>
      <w:r w:rsidR="00913A6A" w:rsidRPr="00645B6F">
        <w:rPr>
          <w:rFonts w:cstheme="minorHAnsi"/>
        </w:rPr>
        <w:t>2000, 2005</w:t>
      </w:r>
      <w:r w:rsidR="00913A6A">
        <w:rPr>
          <w:rFonts w:cstheme="minorHAnsi"/>
        </w:rPr>
        <w:t>,</w:t>
      </w:r>
      <w:r w:rsidR="00913A6A" w:rsidRPr="00645B6F">
        <w:rPr>
          <w:rFonts w:cstheme="minorHAnsi"/>
        </w:rPr>
        <w:t>2010</w:t>
      </w:r>
      <w:r w:rsidR="00913A6A">
        <w:rPr>
          <w:rFonts w:cstheme="minorHAnsi"/>
        </w:rPr>
        <w:t>, 2015 etc…)</w:t>
      </w:r>
      <w:r w:rsidR="00973669">
        <w:rPr>
          <w:rFonts w:cstheme="minorHAnsi"/>
        </w:rPr>
        <w:t xml:space="preserve">, </w:t>
      </w:r>
      <w:r w:rsidR="0019033C" w:rsidRPr="00645B6F">
        <w:rPr>
          <w:rFonts w:cstheme="minorHAnsi"/>
        </w:rPr>
        <w:t xml:space="preserve">survey-based </w:t>
      </w:r>
      <w:r w:rsidR="0019033C">
        <w:rPr>
          <w:rFonts w:cstheme="minorHAnsi"/>
        </w:rPr>
        <w:t xml:space="preserve">country </w:t>
      </w:r>
      <w:r w:rsidR="0019033C" w:rsidRPr="00645B6F">
        <w:rPr>
          <w:rFonts w:cstheme="minorHAnsi"/>
        </w:rPr>
        <w:t xml:space="preserve">estimates </w:t>
      </w:r>
      <w:r w:rsidR="00973669">
        <w:rPr>
          <w:rFonts w:cstheme="minorHAnsi"/>
        </w:rPr>
        <w:t>are first “lined-up</w:t>
      </w:r>
      <w:r w:rsidR="008F15A1">
        <w:rPr>
          <w:rFonts w:cstheme="minorHAnsi"/>
        </w:rPr>
        <w:t xml:space="preserve">” </w:t>
      </w:r>
      <w:r w:rsidR="00913A6A" w:rsidRPr="00645B6F">
        <w:rPr>
          <w:rFonts w:cstheme="minorHAnsi"/>
        </w:rPr>
        <w:t>using a combination of interpolation</w:t>
      </w:r>
      <w:r w:rsidR="00255F10">
        <w:rPr>
          <w:rFonts w:cstheme="minorHAnsi"/>
        </w:rPr>
        <w:t>/</w:t>
      </w:r>
      <w:r w:rsidR="00913A6A" w:rsidRPr="00645B6F">
        <w:rPr>
          <w:rFonts w:cstheme="minorHAnsi"/>
        </w:rPr>
        <w:t>extrapolation</w:t>
      </w:r>
      <w:r w:rsidR="00255F10">
        <w:rPr>
          <w:rFonts w:cstheme="minorHAnsi"/>
        </w:rPr>
        <w:t xml:space="preserve"> (when there are</w:t>
      </w:r>
      <w:r w:rsidR="0019033C">
        <w:rPr>
          <w:rFonts w:cstheme="minorHAnsi"/>
        </w:rPr>
        <w:t xml:space="preserve"> at least two </w:t>
      </w:r>
      <w:r w:rsidR="00942C18">
        <w:rPr>
          <w:rFonts w:cstheme="minorHAnsi"/>
        </w:rPr>
        <w:t>survey-based estimates available around the reference year);</w:t>
      </w:r>
      <w:r w:rsidR="00913A6A" w:rsidRPr="00645B6F">
        <w:rPr>
          <w:rFonts w:cstheme="minorHAnsi"/>
        </w:rPr>
        <w:t xml:space="preserve"> econometric modelling</w:t>
      </w:r>
      <w:r w:rsidR="00942C18">
        <w:rPr>
          <w:rFonts w:cstheme="minorHAnsi"/>
        </w:rPr>
        <w:t xml:space="preserve"> (one survey-based estimate available around the reference year);</w:t>
      </w:r>
      <w:r w:rsidR="00913A6A" w:rsidRPr="00645B6F">
        <w:rPr>
          <w:rFonts w:cstheme="minorHAnsi"/>
        </w:rPr>
        <w:t xml:space="preserve"> and imputation based on regional medians</w:t>
      </w:r>
      <w:r w:rsidR="000722F7">
        <w:rPr>
          <w:rFonts w:cstheme="minorHAnsi"/>
        </w:rPr>
        <w:t xml:space="preserve"> (no survey-based estimates available around the reference year)</w:t>
      </w:r>
      <w:r w:rsidR="00C86285">
        <w:rPr>
          <w:rFonts w:cstheme="minorHAnsi"/>
        </w:rPr>
        <w:t>.</w:t>
      </w:r>
      <w:r w:rsidR="00311247">
        <w:rPr>
          <w:rFonts w:cstheme="minorHAnsi"/>
        </w:rPr>
        <w:t xml:space="preserve"> </w:t>
      </w:r>
      <w:r w:rsidR="000722F7">
        <w:rPr>
          <w:rFonts w:cstheme="minorHAnsi"/>
        </w:rPr>
        <w:t>For more</w:t>
      </w:r>
      <w:r w:rsidR="00DA7865">
        <w:rPr>
          <w:rFonts w:cstheme="minorHAnsi"/>
        </w:rPr>
        <w:t xml:space="preserve"> information,</w:t>
      </w:r>
      <w:r w:rsidR="000722F7">
        <w:rPr>
          <w:rFonts w:cstheme="minorHAnsi"/>
        </w:rPr>
        <w:t xml:space="preserve"> see</w:t>
      </w:r>
      <w:r w:rsidR="00913A6A" w:rsidRPr="00645B6F">
        <w:rPr>
          <w:rFonts w:cstheme="minorHAnsi"/>
        </w:rPr>
        <w:t xml:space="preserve"> </w:t>
      </w:r>
      <w:r w:rsidR="00A95BBB">
        <w:rPr>
          <w:rFonts w:cstheme="minorHAnsi"/>
        </w:rPr>
        <w:t>references</w:t>
      </w:r>
    </w:p>
    <w:p w14:paraId="64BDCF5A" w14:textId="60C8A388" w:rsidR="004B7F23" w:rsidRDefault="004B7F23" w:rsidP="00A11A20">
      <w:pPr>
        <w:pStyle w:val="MText"/>
        <w:jc w:val="both"/>
        <w:rPr>
          <w:rFonts w:cstheme="minorHAnsi"/>
        </w:rPr>
      </w:pPr>
    </w:p>
    <w:p w14:paraId="5E7CFD24" w14:textId="4F40D3DB" w:rsidR="002923FA" w:rsidRDefault="002923FA" w:rsidP="00A11A20">
      <w:pPr>
        <w:pStyle w:val="MText"/>
        <w:jc w:val="both"/>
      </w:pPr>
      <w:r>
        <w:t xml:space="preserve">The </w:t>
      </w:r>
      <w:r w:rsidR="006E696C">
        <w:t>regional estimate of 3.8.2</w:t>
      </w:r>
      <w:r>
        <w:t xml:space="preserve"> </w:t>
      </w:r>
      <w:r w:rsidR="00330EB7">
        <w:t xml:space="preserve">corresponds to the total number of people </w:t>
      </w:r>
      <w:r w:rsidR="00173EA9">
        <w:t>across all the countries in that region with</w:t>
      </w:r>
      <w:r w:rsidR="00F56347">
        <w:t xml:space="preserve"> </w:t>
      </w:r>
      <w:r w:rsidR="004A7C80">
        <w:rPr>
          <w:rFonts w:cstheme="minorHAnsi"/>
          <w:shd w:val="clear" w:color="auto" w:fill="FFFFFF"/>
        </w:rPr>
        <w:t>positive out-of-pocket</w:t>
      </w:r>
      <w:r w:rsidR="004A7C80" w:rsidRPr="00645B6F">
        <w:rPr>
          <w:rFonts w:cstheme="minorHAnsi"/>
          <w:shd w:val="clear" w:color="auto" w:fill="FFFFFF"/>
        </w:rPr>
        <w:t xml:space="preserve"> household expenditure on health </w:t>
      </w:r>
      <w:r w:rsidR="004A7C80">
        <w:rPr>
          <w:rFonts w:cstheme="minorHAnsi"/>
          <w:shd w:val="clear" w:color="auto" w:fill="FFFFFF"/>
        </w:rPr>
        <w:t>exceeding</w:t>
      </w:r>
      <w:r w:rsidR="00F56347">
        <w:rPr>
          <w:rFonts w:cstheme="minorHAnsi"/>
          <w:shd w:val="clear" w:color="auto" w:fill="FFFFFF"/>
        </w:rPr>
        <w:t xml:space="preserve"> </w:t>
      </w:r>
      <w:r w:rsidR="004A7C80">
        <w:rPr>
          <w:rFonts w:cstheme="minorHAnsi"/>
          <w:shd w:val="clear" w:color="auto" w:fill="FFFFFF"/>
        </w:rPr>
        <w:t>40%</w:t>
      </w:r>
      <w:r w:rsidR="004A7C80" w:rsidRPr="00645B6F">
        <w:rPr>
          <w:rFonts w:cstheme="minorHAnsi"/>
          <w:shd w:val="clear" w:color="auto" w:fill="FFFFFF"/>
        </w:rPr>
        <w:t xml:space="preserve"> of household</w:t>
      </w:r>
      <w:r w:rsidR="004A7C80">
        <w:rPr>
          <w:rFonts w:cstheme="minorHAnsi"/>
          <w:shd w:val="clear" w:color="auto" w:fill="FFFFFF"/>
        </w:rPr>
        <w:t xml:space="preserve"> </w:t>
      </w:r>
      <w:r w:rsidR="00762363">
        <w:rPr>
          <w:rFonts w:cstheme="minorHAnsi"/>
          <w:shd w:val="clear" w:color="auto" w:fill="FFFFFF"/>
        </w:rPr>
        <w:t xml:space="preserve">discretionary budget </w:t>
      </w:r>
      <w:r w:rsidR="00173EA9">
        <w:t>divided by the total number of people in that regio</w:t>
      </w:r>
      <w:r w:rsidR="002A5BFC">
        <w:t>n.</w:t>
      </w:r>
      <w:r w:rsidR="00173EA9">
        <w:t xml:space="preserve"> </w:t>
      </w:r>
    </w:p>
    <w:p w14:paraId="378E7800" w14:textId="77777777" w:rsidR="00786630" w:rsidRPr="00645B6F" w:rsidRDefault="00786630" w:rsidP="00A11A20">
      <w:pPr>
        <w:pStyle w:val="MText"/>
        <w:jc w:val="both"/>
        <w:rPr>
          <w:rFonts w:cstheme="minorHAnsi"/>
        </w:rPr>
      </w:pPr>
    </w:p>
    <w:p w14:paraId="51608101" w14:textId="77777777" w:rsidR="00AF2722" w:rsidRPr="00A96255" w:rsidRDefault="00AF2722" w:rsidP="00AF2722">
      <w:pPr>
        <w:pStyle w:val="MHeader2"/>
      </w:pPr>
      <w:r>
        <w:t xml:space="preserve">4.g. Regional aggregations </w:t>
      </w:r>
      <w:r w:rsidRPr="153C7502">
        <w:rPr>
          <w:color w:val="B4B4B4"/>
          <w:sz w:val="20"/>
          <w:szCs w:val="20"/>
        </w:rPr>
        <w:t>(REG_AGG)</w:t>
      </w:r>
    </w:p>
    <w:p w14:paraId="6E9DF97C" w14:textId="739C10BB" w:rsidR="00B55A32" w:rsidRPr="00645B6F" w:rsidRDefault="00922F43"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Regional and global aggregates correspond to population weighted averages of the </w:t>
      </w:r>
      <w:r w:rsidR="0058731A">
        <w:rPr>
          <w:rFonts w:eastAsia="Times New Roman" w:cstheme="minorHAnsi"/>
          <w:color w:val="4A4A4A"/>
          <w:sz w:val="21"/>
          <w:szCs w:val="21"/>
          <w:lang w:eastAsia="en-GB"/>
        </w:rPr>
        <w:t>“lined-up” country estimates (see 4.</w:t>
      </w:r>
      <w:r w:rsidR="00762588">
        <w:rPr>
          <w:rFonts w:eastAsia="Times New Roman" w:cstheme="minorHAnsi"/>
          <w:color w:val="4A4A4A"/>
          <w:sz w:val="21"/>
          <w:szCs w:val="21"/>
          <w:lang w:eastAsia="en-GB"/>
        </w:rPr>
        <w:t>f</w:t>
      </w:r>
      <w:r w:rsidR="0058731A">
        <w:rPr>
          <w:rFonts w:eastAsia="Times New Roman" w:cstheme="minorHAnsi"/>
          <w:color w:val="4A4A4A"/>
          <w:sz w:val="21"/>
          <w:szCs w:val="21"/>
          <w:lang w:eastAsia="en-GB"/>
        </w:rPr>
        <w:t>)</w:t>
      </w:r>
      <w:r w:rsidR="00762588">
        <w:rPr>
          <w:rFonts w:eastAsia="Times New Roman" w:cstheme="minorHAnsi"/>
          <w:color w:val="4A4A4A"/>
          <w:sz w:val="21"/>
          <w:szCs w:val="21"/>
          <w:lang w:eastAsia="en-GB"/>
        </w:rPr>
        <w:t>.</w:t>
      </w:r>
    </w:p>
    <w:p w14:paraId="3D790F45"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p>
    <w:p w14:paraId="684BA268" w14:textId="0C2D155A"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World Bank and the World Health Organization use their own regional grouping, in addition to the regional breakdown </w:t>
      </w:r>
      <w:r w:rsidR="00762588">
        <w:rPr>
          <w:rFonts w:eastAsia="Times New Roman" w:cstheme="minorHAnsi"/>
          <w:color w:val="4A4A4A"/>
          <w:sz w:val="21"/>
          <w:szCs w:val="21"/>
          <w:lang w:eastAsia="en-GB"/>
        </w:rPr>
        <w:t xml:space="preserve">used for </w:t>
      </w:r>
      <w:r w:rsidRPr="00645B6F">
        <w:rPr>
          <w:rFonts w:eastAsia="Times New Roman" w:cstheme="minorHAnsi"/>
          <w:color w:val="4A4A4A"/>
          <w:sz w:val="21"/>
          <w:szCs w:val="21"/>
          <w:lang w:eastAsia="en-GB"/>
        </w:rPr>
        <w:t>SDG</w:t>
      </w:r>
      <w:r w:rsidR="00762588">
        <w:rPr>
          <w:rFonts w:eastAsia="Times New Roman" w:cstheme="minorHAnsi"/>
          <w:color w:val="4A4A4A"/>
          <w:sz w:val="21"/>
          <w:szCs w:val="21"/>
          <w:lang w:eastAsia="en-GB"/>
        </w:rPr>
        <w:t xml:space="preserve"> reporting</w:t>
      </w:r>
      <w:r w:rsidRPr="00645B6F">
        <w:rPr>
          <w:rFonts w:eastAsia="Times New Roman" w:cstheme="minorHAnsi"/>
          <w:color w:val="4A4A4A"/>
          <w:sz w:val="21"/>
          <w:szCs w:val="21"/>
          <w:lang w:eastAsia="en-GB"/>
        </w:rPr>
        <w:t xml:space="preserve">. </w:t>
      </w:r>
    </w:p>
    <w:p w14:paraId="2EA010B7" w14:textId="77777777" w:rsidR="00EC2915" w:rsidRPr="00645B6F" w:rsidRDefault="00EC2915" w:rsidP="00A11A20">
      <w:pPr>
        <w:pStyle w:val="MText"/>
        <w:jc w:val="both"/>
        <w:rPr>
          <w:rFonts w:cstheme="minorHAnsi"/>
        </w:rPr>
      </w:pPr>
    </w:p>
    <w:p w14:paraId="1A2EE8D8" w14:textId="77777777" w:rsidR="00AF2722" w:rsidRPr="00A96255" w:rsidRDefault="00AF2722" w:rsidP="00AF2722">
      <w:pPr>
        <w:pStyle w:val="MHeader2"/>
      </w:pPr>
      <w:r w:rsidRPr="00A96255">
        <w:t xml:space="preserve">4.h. Methods and guidance available to countries for the compilation of the data at the national level </w:t>
      </w:r>
      <w:r>
        <w:rPr>
          <w:color w:val="B4B4B4"/>
          <w:sz w:val="20"/>
        </w:rPr>
        <w:t>(DOC_METHOD)</w:t>
      </w:r>
    </w:p>
    <w:p w14:paraId="61C749EB" w14:textId="3C0AA774" w:rsidR="00576CFA" w:rsidRPr="00645B6F" w:rsidRDefault="00BB179E" w:rsidP="00A11A20">
      <w:pPr>
        <w:pStyle w:val="MText"/>
        <w:jc w:val="both"/>
        <w:rPr>
          <w:rFonts w:cstheme="minorHAnsi"/>
        </w:rPr>
      </w:pPr>
      <w:r>
        <w:rPr>
          <w:rFonts w:cstheme="minorHAnsi"/>
        </w:rPr>
        <w:t xml:space="preserve">All documentation needed to compile the data at the national level </w:t>
      </w:r>
      <w:r w:rsidR="007B28E0">
        <w:rPr>
          <w:rFonts w:cstheme="minorHAnsi"/>
        </w:rPr>
        <w:t xml:space="preserve">is shared with nominated focal points every two years. It can be requested </w:t>
      </w:r>
      <w:r>
        <w:rPr>
          <w:rFonts w:cstheme="minorHAnsi"/>
        </w:rPr>
        <w:t>by National Statistical Offices as well as Ministries of Health</w:t>
      </w:r>
      <w:r w:rsidR="005B5C16">
        <w:rPr>
          <w:rFonts w:cstheme="minorHAnsi"/>
        </w:rPr>
        <w:t xml:space="preserve"> along with STATA codes,</w:t>
      </w:r>
      <w:r>
        <w:rPr>
          <w:rFonts w:cstheme="minorHAnsi"/>
        </w:rPr>
        <w:t xml:space="preserve"> to </w:t>
      </w:r>
      <w:hyperlink r:id="rId18" w:history="1">
        <w:r w:rsidRPr="00DF6107">
          <w:rPr>
            <w:rStyle w:val="Hyperlink"/>
            <w:rFonts w:cstheme="minorHAnsi"/>
          </w:rPr>
          <w:t>uhc_stats@who.int</w:t>
        </w:r>
      </w:hyperlink>
      <w:r w:rsidR="0009410C">
        <w:rPr>
          <w:rFonts w:cstheme="minorHAnsi"/>
        </w:rPr>
        <w:t>,</w:t>
      </w:r>
      <w:r>
        <w:rPr>
          <w:rFonts w:cstheme="minorHAnsi"/>
        </w:rPr>
        <w:t xml:space="preserve">  subject: package to produce SDG indicator 3.8.2.  </w:t>
      </w:r>
    </w:p>
    <w:p w14:paraId="2939895F" w14:textId="77777777" w:rsidR="00EC2915" w:rsidRPr="00645B6F" w:rsidRDefault="00EC2915" w:rsidP="00A11A20">
      <w:pPr>
        <w:pStyle w:val="MText"/>
        <w:jc w:val="both"/>
        <w:rPr>
          <w:rFonts w:cstheme="minorHAnsi"/>
        </w:rPr>
      </w:pPr>
    </w:p>
    <w:p w14:paraId="3D8F7173" w14:textId="77777777" w:rsidR="00AF2722" w:rsidRPr="00A96255" w:rsidRDefault="00AF2722" w:rsidP="00AF2722">
      <w:pPr>
        <w:pStyle w:val="MHeader2"/>
      </w:pPr>
      <w:r w:rsidRPr="00A96255">
        <w:t xml:space="preserve">4.i. Quality management </w:t>
      </w:r>
      <w:r>
        <w:rPr>
          <w:color w:val="B4B4B4"/>
          <w:sz w:val="20"/>
        </w:rPr>
        <w:t>(QUALITY_MGMNT)</w:t>
      </w:r>
    </w:p>
    <w:p w14:paraId="356BAA24" w14:textId="66D19D04" w:rsidR="00576CFA" w:rsidRPr="00645B6F" w:rsidRDefault="000851B1" w:rsidP="00A11A20">
      <w:pPr>
        <w:pStyle w:val="MText"/>
        <w:jc w:val="both"/>
        <w:rPr>
          <w:rFonts w:cstheme="minorHAnsi"/>
        </w:rPr>
      </w:pPr>
      <w:r>
        <w:t xml:space="preserve">For the World Health Organization, the quality of the estimates is managed through the health financing </w:t>
      </w:r>
      <w:r w:rsidR="00743CD6">
        <w:t>and economics department at headquarters</w:t>
      </w:r>
      <w:r w:rsidR="007B2C2D">
        <w:t xml:space="preserve"> and for the World Bank through the </w:t>
      </w:r>
      <w:r w:rsidR="007B2C2D">
        <w:rPr>
          <w:rFonts w:eastAsia="Arial" w:cstheme="minorHAnsi"/>
          <w:bCs/>
          <w:iCs/>
          <w:color w:val="595959"/>
          <w:lang w:val="en-US"/>
        </w:rPr>
        <w:t>Health Nutrition and Population Global Practice (HNP).</w:t>
      </w:r>
    </w:p>
    <w:p w14:paraId="5484B16D" w14:textId="77777777" w:rsidR="00EC2915" w:rsidRPr="00645B6F" w:rsidRDefault="00EC2915" w:rsidP="00A11A20">
      <w:pPr>
        <w:pStyle w:val="MText"/>
        <w:jc w:val="both"/>
        <w:rPr>
          <w:rFonts w:cstheme="minorHAnsi"/>
        </w:rPr>
      </w:pPr>
    </w:p>
    <w:p w14:paraId="6627C656" w14:textId="77777777" w:rsidR="00AF2722" w:rsidRPr="00A96255" w:rsidRDefault="00AF2722" w:rsidP="00AF2722">
      <w:pPr>
        <w:pStyle w:val="MHeader2"/>
      </w:pPr>
      <w:r w:rsidRPr="00A96255">
        <w:t xml:space="preserve">4.j Quality assurance </w:t>
      </w:r>
      <w:r>
        <w:rPr>
          <w:color w:val="B4B4B4"/>
          <w:sz w:val="20"/>
        </w:rPr>
        <w:t>(QUALITY_ASSURE)</w:t>
      </w:r>
    </w:p>
    <w:p w14:paraId="7E6B04E3" w14:textId="38665FC0" w:rsidR="00576CFA" w:rsidRPr="00645B6F" w:rsidRDefault="00755FA3" w:rsidP="00A11A20">
      <w:pPr>
        <w:pStyle w:val="MText"/>
        <w:jc w:val="both"/>
        <w:rPr>
          <w:rFonts w:cstheme="minorHAnsi"/>
        </w:rPr>
      </w:pPr>
      <w:r>
        <w:rPr>
          <w:rFonts w:cstheme="minorHAnsi"/>
        </w:rPr>
        <w:t>SDG 3.8.2 estimates</w:t>
      </w:r>
      <w:r w:rsidRPr="00755FA3">
        <w:rPr>
          <w:rFonts w:cstheme="minorHAnsi"/>
        </w:rPr>
        <w:t xml:space="preserve"> released by </w:t>
      </w:r>
      <w:r>
        <w:rPr>
          <w:rFonts w:cstheme="minorHAnsi"/>
        </w:rPr>
        <w:t>WHO and the</w:t>
      </w:r>
      <w:r w:rsidRPr="00755FA3">
        <w:rPr>
          <w:rFonts w:cstheme="minorHAnsi"/>
        </w:rPr>
        <w:t xml:space="preserve"> World Bank are quality checked by members of the</w:t>
      </w:r>
      <w:r>
        <w:rPr>
          <w:rFonts w:cstheme="minorHAnsi"/>
        </w:rPr>
        <w:t xml:space="preserve"> WHO and World Bank global financial protection monitoring team which include staffs from the WHO health financing and economics department at headquarters and the World Bank</w:t>
      </w:r>
      <w:r w:rsidR="0059265C" w:rsidRPr="0059265C">
        <w:t xml:space="preserve"> </w:t>
      </w:r>
      <w:r w:rsidR="0059265C" w:rsidRPr="0059265C">
        <w:rPr>
          <w:rFonts w:cstheme="minorHAnsi"/>
        </w:rPr>
        <w:t>Health Nutrition and Population Global Practice (HNP)</w:t>
      </w:r>
      <w:r w:rsidR="007B2C2D">
        <w:rPr>
          <w:rFonts w:cstheme="minorHAnsi"/>
        </w:rPr>
        <w:t xml:space="preserve">. </w:t>
      </w:r>
      <w:r w:rsidR="004E399E">
        <w:rPr>
          <w:rFonts w:cstheme="minorHAnsi"/>
        </w:rPr>
        <w:t xml:space="preserve">All estimates selected for publication by the joint global monitoring team </w:t>
      </w:r>
      <w:r w:rsidR="00524468">
        <w:rPr>
          <w:rFonts w:cstheme="minorHAnsi"/>
        </w:rPr>
        <w:t xml:space="preserve">based on </w:t>
      </w:r>
      <w:r w:rsidR="00524468">
        <w:rPr>
          <w:rFonts w:cstheme="minorHAnsi"/>
        </w:rPr>
        <w:lastRenderedPageBreak/>
        <w:t xml:space="preserve">the criteria described in section 4.k </w:t>
      </w:r>
      <w:r w:rsidR="004E399E">
        <w:rPr>
          <w:rFonts w:cstheme="minorHAnsi"/>
        </w:rPr>
        <w:t xml:space="preserve">are subject to a country consultation which involves </w:t>
      </w:r>
      <w:r w:rsidRPr="00755FA3">
        <w:rPr>
          <w:rFonts w:cstheme="minorHAnsi"/>
        </w:rPr>
        <w:t xml:space="preserve"> members of the relevant National Statistical Offices</w:t>
      </w:r>
      <w:r w:rsidR="004E399E">
        <w:rPr>
          <w:rFonts w:cstheme="minorHAnsi"/>
        </w:rPr>
        <w:t xml:space="preserve"> and ministry of health</w:t>
      </w:r>
      <w:r w:rsidR="00E7644B">
        <w:rPr>
          <w:rFonts w:cstheme="minorHAnsi"/>
        </w:rPr>
        <w:t xml:space="preserve"> (see section 4.j)</w:t>
      </w:r>
      <w:r w:rsidR="00524468">
        <w:rPr>
          <w:rFonts w:cstheme="minorHAnsi"/>
        </w:rPr>
        <w:t>.</w:t>
      </w:r>
    </w:p>
    <w:p w14:paraId="03EF3244" w14:textId="77777777" w:rsidR="00EC2915" w:rsidRPr="00645B6F" w:rsidRDefault="00EC2915" w:rsidP="00A11A20">
      <w:pPr>
        <w:pStyle w:val="MText"/>
        <w:jc w:val="both"/>
        <w:rPr>
          <w:rFonts w:cstheme="minorHAnsi"/>
        </w:rPr>
      </w:pPr>
    </w:p>
    <w:p w14:paraId="11E12026" w14:textId="77777777" w:rsidR="00AF2722" w:rsidRPr="00A96255" w:rsidRDefault="00AF2722" w:rsidP="00AF2722">
      <w:pPr>
        <w:pStyle w:val="MHeader2"/>
      </w:pPr>
      <w:r w:rsidRPr="00A96255">
        <w:t xml:space="preserve">4.k Quality assessment </w:t>
      </w:r>
      <w:r>
        <w:rPr>
          <w:color w:val="B4B4B4"/>
          <w:sz w:val="20"/>
        </w:rPr>
        <w:t>(QUALITY_ASSMNT)</w:t>
      </w:r>
    </w:p>
    <w:p w14:paraId="350CE923" w14:textId="56ABF243" w:rsidR="002569DD" w:rsidRDefault="002569DD"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World Health Organization and the World Bank generate indicator 3.8.2 following the same approach (see methodology). Both institutions combine estimates at the meso-level. Eligibility of the estimates included in a joint global database </w:t>
      </w:r>
      <w:r>
        <w:rPr>
          <w:rFonts w:eastAsia="Times New Roman" w:cstheme="minorHAnsi"/>
          <w:color w:val="4A4A4A"/>
          <w:sz w:val="21"/>
          <w:szCs w:val="21"/>
          <w:lang w:eastAsia="en-GB"/>
        </w:rPr>
        <w:t xml:space="preserve">at country level and used </w:t>
      </w:r>
      <w:r w:rsidRPr="00645B6F">
        <w:rPr>
          <w:rFonts w:eastAsia="Times New Roman" w:cstheme="minorHAnsi"/>
          <w:color w:val="4A4A4A"/>
          <w:sz w:val="21"/>
          <w:szCs w:val="21"/>
          <w:lang w:eastAsia="en-GB"/>
        </w:rPr>
        <w:t xml:space="preserve">to produce regional and global estimates is based on the following quality </w:t>
      </w:r>
      <w:r>
        <w:rPr>
          <w:rFonts w:eastAsia="Times New Roman" w:cstheme="minorHAnsi"/>
          <w:color w:val="4A4A4A"/>
          <w:sz w:val="21"/>
          <w:szCs w:val="21"/>
          <w:lang w:eastAsia="en-GB"/>
        </w:rPr>
        <w:t>assessment</w:t>
      </w:r>
      <w:r w:rsidRPr="00645B6F">
        <w:rPr>
          <w:rFonts w:eastAsia="Times New Roman" w:cstheme="minorHAnsi"/>
          <w:color w:val="4A4A4A"/>
          <w:sz w:val="21"/>
          <w:szCs w:val="21"/>
          <w:lang w:eastAsia="en-GB"/>
        </w:rPr>
        <w:t>:</w:t>
      </w:r>
    </w:p>
    <w:p w14:paraId="1D79DAD8" w14:textId="66CD5686" w:rsidR="002811CF" w:rsidRDefault="002811CF" w:rsidP="00A11A20">
      <w:pPr>
        <w:shd w:val="clear" w:color="auto" w:fill="FFFFFF"/>
        <w:spacing w:after="0"/>
        <w:jc w:val="both"/>
        <w:rPr>
          <w:rFonts w:eastAsia="Times New Roman" w:cstheme="minorHAnsi"/>
          <w:color w:val="4A4A4A"/>
          <w:sz w:val="21"/>
          <w:szCs w:val="21"/>
          <w:lang w:eastAsia="en-GB"/>
        </w:rPr>
      </w:pPr>
    </w:p>
    <w:p w14:paraId="57ED24C4" w14:textId="1BA5C604" w:rsidR="002811CF" w:rsidRPr="00645B6F" w:rsidRDefault="002811CF" w:rsidP="00A11A20">
      <w:pPr>
        <w:shd w:val="clear" w:color="auto" w:fill="FFFFFF"/>
        <w:spacing w:after="0"/>
        <w:jc w:val="both"/>
        <w:rPr>
          <w:rFonts w:eastAsia="Times New Roman" w:cstheme="minorHAnsi"/>
          <w:i/>
          <w:iCs/>
          <w:color w:val="4A4A4A"/>
          <w:sz w:val="21"/>
          <w:szCs w:val="21"/>
          <w:lang w:eastAsia="en-GB"/>
        </w:rPr>
      </w:pPr>
      <w:r w:rsidRPr="00645B6F">
        <w:rPr>
          <w:rFonts w:eastAsia="Times New Roman" w:cstheme="minorHAnsi"/>
          <w:i/>
          <w:iCs/>
          <w:color w:val="4A4A4A"/>
          <w:sz w:val="21"/>
          <w:szCs w:val="21"/>
          <w:lang w:eastAsia="en-GB"/>
        </w:rPr>
        <w:t xml:space="preserve">For </w:t>
      </w:r>
      <w:r w:rsidR="008F40DE">
        <w:rPr>
          <w:rFonts w:eastAsia="Times New Roman" w:cstheme="minorHAnsi"/>
          <w:i/>
          <w:iCs/>
          <w:color w:val="4A4A4A"/>
          <w:sz w:val="21"/>
          <w:szCs w:val="21"/>
          <w:lang w:eastAsia="en-GB"/>
        </w:rPr>
        <w:t xml:space="preserve"> household consumption expenditure or income</w:t>
      </w:r>
    </w:p>
    <w:p w14:paraId="3FA851B0" w14:textId="1AF00287" w:rsidR="002811CF" w:rsidRPr="007A33BE" w:rsidRDefault="002811CF" w:rsidP="00A11A20">
      <w:pPr>
        <w:numPr>
          <w:ilvl w:val="0"/>
          <w:numId w:val="6"/>
        </w:numPr>
        <w:shd w:val="clear" w:color="auto" w:fill="FFFFFF"/>
        <w:spacing w:after="0" w:line="240" w:lineRule="auto"/>
        <w:jc w:val="both"/>
        <w:rPr>
          <w:rFonts w:eastAsia="Times New Roman" w:cstheme="minorHAnsi"/>
          <w:color w:val="4A4A4A"/>
          <w:sz w:val="21"/>
          <w:szCs w:val="21"/>
          <w:lang w:eastAsia="en-GB"/>
        </w:rPr>
      </w:pPr>
      <w:r w:rsidRPr="007A33BE">
        <w:rPr>
          <w:rFonts w:eastAsia="Times New Roman" w:cstheme="minorHAnsi"/>
          <w:color w:val="4A4A4A"/>
          <w:sz w:val="21"/>
          <w:szCs w:val="21"/>
          <w:lang w:eastAsia="en-GB"/>
        </w:rPr>
        <w:t xml:space="preserve">Compare the average monthly total household per capita consumption or income in a benchmark source with the average </w:t>
      </w:r>
      <w:r w:rsidRPr="00F87231">
        <w:rPr>
          <w:rFonts w:eastAsia="Times New Roman" w:cstheme="minorHAnsi"/>
          <w:color w:val="4A4A4A"/>
          <w:sz w:val="21"/>
          <w:szCs w:val="21"/>
          <w:lang w:eastAsia="en-GB"/>
        </w:rPr>
        <w:t>monthly</w:t>
      </w:r>
      <w:r w:rsidRPr="007A33BE">
        <w:rPr>
          <w:rFonts w:eastAsia="Times New Roman" w:cstheme="minorHAnsi"/>
          <w:color w:val="4A4A4A"/>
          <w:sz w:val="21"/>
          <w:szCs w:val="21"/>
          <w:lang w:eastAsia="en-GB"/>
        </w:rPr>
        <w:t xml:space="preserve"> value estimated from the survey.  The benchmark </w:t>
      </w:r>
      <w:r w:rsidR="005303D4" w:rsidRPr="007A33BE">
        <w:rPr>
          <w:rFonts w:eastAsia="Times New Roman" w:cstheme="minorHAnsi"/>
          <w:color w:val="4A4A4A"/>
          <w:sz w:val="21"/>
          <w:szCs w:val="21"/>
          <w:lang w:eastAsia="en-GB"/>
        </w:rPr>
        <w:t>values are</w:t>
      </w:r>
      <w:r w:rsidRPr="007A33BE">
        <w:rPr>
          <w:rFonts w:eastAsia="Times New Roman" w:cstheme="minorHAnsi"/>
          <w:color w:val="4A4A4A"/>
          <w:sz w:val="21"/>
          <w:szCs w:val="21"/>
          <w:lang w:eastAsia="en-GB"/>
        </w:rPr>
        <w:t xml:space="preserve"> taken from</w:t>
      </w:r>
      <w:r w:rsidR="0092719C" w:rsidRPr="007A33BE">
        <w:rPr>
          <w:rFonts w:eastAsia="Times New Roman" w:cstheme="minorHAnsi"/>
          <w:color w:val="4A4A4A"/>
          <w:sz w:val="21"/>
          <w:szCs w:val="21"/>
          <w:lang w:eastAsia="en-GB"/>
        </w:rPr>
        <w:t xml:space="preserve"> the World Bank</w:t>
      </w:r>
      <w:r w:rsidRPr="007A33BE">
        <w:rPr>
          <w:rFonts w:eastAsia="Times New Roman" w:cstheme="minorHAnsi"/>
          <w:color w:val="4A4A4A"/>
          <w:sz w:val="21"/>
          <w:szCs w:val="21"/>
          <w:lang w:eastAsia="en-GB"/>
        </w:rPr>
        <w:t xml:space="preserve"> </w:t>
      </w:r>
      <w:r w:rsidR="0092719C" w:rsidRPr="007A33BE">
        <w:rPr>
          <w:rFonts w:eastAsia="Times New Roman" w:cstheme="minorHAnsi"/>
          <w:color w:val="4A4A4A"/>
          <w:sz w:val="21"/>
          <w:szCs w:val="21"/>
          <w:lang w:eastAsia="en-GB"/>
        </w:rPr>
        <w:t>Poverty and Inequality Platform (PIP)</w:t>
      </w:r>
      <w:r w:rsidRPr="00645B6F">
        <w:rPr>
          <w:rFonts w:eastAsia="Times New Roman" w:cstheme="minorHAnsi"/>
          <w:color w:val="4A4A4A"/>
          <w:sz w:val="21"/>
          <w:szCs w:val="21"/>
          <w:vertAlign w:val="superscript"/>
          <w:lang w:eastAsia="en-GB"/>
        </w:rPr>
        <w:footnoteReference w:id="14"/>
      </w:r>
      <w:r w:rsidR="008F6CAF" w:rsidRPr="007A33BE">
        <w:rPr>
          <w:rFonts w:eastAsia="Times New Roman" w:cstheme="minorHAnsi"/>
          <w:color w:val="4A4A4A"/>
          <w:sz w:val="21"/>
          <w:szCs w:val="21"/>
          <w:lang w:eastAsia="en-GB"/>
        </w:rPr>
        <w:t xml:space="preserve">. </w:t>
      </w:r>
      <w:r w:rsidRPr="007A33BE">
        <w:rPr>
          <w:rFonts w:eastAsia="Times New Roman" w:cstheme="minorHAnsi"/>
          <w:color w:val="4A4A4A"/>
          <w:sz w:val="21"/>
          <w:szCs w:val="21"/>
          <w:lang w:eastAsia="en-GB"/>
        </w:rPr>
        <w:t xml:space="preserve"> if available, and otherwise from the World Development Indicators (WDI)</w:t>
      </w:r>
      <w:r w:rsidR="00A81F1F">
        <w:rPr>
          <w:rStyle w:val="FootnoteReference"/>
          <w:rFonts w:eastAsia="Times New Roman" w:cstheme="minorHAnsi"/>
          <w:color w:val="4A4A4A"/>
          <w:sz w:val="21"/>
          <w:szCs w:val="21"/>
          <w:lang w:eastAsia="en-GB"/>
        </w:rPr>
        <w:footnoteReference w:id="15"/>
      </w:r>
      <w:r w:rsidRPr="007A33BE">
        <w:rPr>
          <w:rFonts w:eastAsia="Times New Roman" w:cstheme="minorHAnsi"/>
          <w:color w:val="4A4A4A"/>
          <w:sz w:val="21"/>
          <w:szCs w:val="21"/>
          <w:lang w:eastAsia="en-GB"/>
        </w:rPr>
        <w:t xml:space="preserve">, computed as the household final consumption expenditures in </w:t>
      </w:r>
      <w:r w:rsidR="008E0CF5" w:rsidRPr="007A33BE">
        <w:rPr>
          <w:rFonts w:eastAsia="Times New Roman" w:cstheme="minorHAnsi"/>
          <w:color w:val="4A4A4A"/>
          <w:sz w:val="21"/>
          <w:szCs w:val="21"/>
          <w:lang w:eastAsia="en-GB"/>
        </w:rPr>
        <w:t>the latest available purchasing power parities (PPP)</w:t>
      </w:r>
      <w:r w:rsidR="008F40DE" w:rsidRPr="007A33BE">
        <w:rPr>
          <w:rFonts w:eastAsia="Times New Roman" w:cstheme="minorHAnsi"/>
          <w:color w:val="4A4A4A"/>
          <w:sz w:val="21"/>
          <w:szCs w:val="21"/>
          <w:lang w:eastAsia="en-GB"/>
        </w:rPr>
        <w:t xml:space="preserve"> </w:t>
      </w:r>
      <w:r w:rsidRPr="007A33BE">
        <w:rPr>
          <w:rFonts w:eastAsia="Times New Roman" w:cstheme="minorHAnsi"/>
          <w:color w:val="4A4A4A"/>
          <w:sz w:val="21"/>
          <w:szCs w:val="21"/>
          <w:lang w:eastAsia="en-GB"/>
        </w:rPr>
        <w:t>divided by</w:t>
      </w:r>
      <w:r w:rsidR="009B2FC9">
        <w:rPr>
          <w:rFonts w:eastAsia="Times New Roman" w:cstheme="minorHAnsi"/>
          <w:color w:val="4A4A4A"/>
          <w:sz w:val="21"/>
          <w:szCs w:val="21"/>
          <w:lang w:eastAsia="en-GB"/>
        </w:rPr>
        <w:t xml:space="preserve"> the</w:t>
      </w:r>
      <w:r w:rsidRPr="007A33BE">
        <w:rPr>
          <w:rFonts w:eastAsia="Times New Roman" w:cstheme="minorHAnsi"/>
          <w:color w:val="4A4A4A"/>
          <w:sz w:val="21"/>
          <w:szCs w:val="21"/>
          <w:lang w:eastAsia="en-GB"/>
        </w:rPr>
        <w:t xml:space="preserve"> total population. The comparison is based on the ratio of both averages </w:t>
      </w:r>
      <w:r w:rsidR="006214AF" w:rsidRPr="007A33BE">
        <w:rPr>
          <w:rFonts w:eastAsia="Times New Roman" w:cstheme="minorHAnsi"/>
          <w:color w:val="4A4A4A"/>
          <w:sz w:val="21"/>
          <w:szCs w:val="21"/>
          <w:lang w:eastAsia="en-GB"/>
        </w:rPr>
        <w:t xml:space="preserve">medians </w:t>
      </w:r>
      <w:r w:rsidRPr="007A33BE">
        <w:rPr>
          <w:rFonts w:eastAsia="Times New Roman" w:cstheme="minorHAnsi"/>
          <w:color w:val="4A4A4A"/>
          <w:sz w:val="21"/>
          <w:szCs w:val="21"/>
          <w:lang w:eastAsia="en-GB"/>
        </w:rPr>
        <w:t>(benchmark source</w:t>
      </w:r>
      <w:r w:rsidR="0056454C">
        <w:rPr>
          <w:rFonts w:eastAsia="Times New Roman" w:cstheme="minorHAnsi"/>
          <w:color w:val="4A4A4A"/>
          <w:sz w:val="21"/>
          <w:szCs w:val="21"/>
          <w:lang w:eastAsia="en-GB"/>
        </w:rPr>
        <w:t xml:space="preserve"> </w:t>
      </w:r>
      <w:r w:rsidRPr="007A33BE">
        <w:rPr>
          <w:rFonts w:eastAsia="Times New Roman" w:cstheme="minorHAnsi"/>
          <w:color w:val="4A4A4A"/>
          <w:sz w:val="21"/>
          <w:szCs w:val="21"/>
          <w:lang w:eastAsia="en-GB"/>
        </w:rPr>
        <w:t xml:space="preserve"> to the survey-based estimate). If the ratio is greater than 20% (when </w:t>
      </w:r>
      <w:r w:rsidR="00416BC2">
        <w:rPr>
          <w:rFonts w:eastAsia="Times New Roman" w:cstheme="minorHAnsi"/>
          <w:color w:val="4A4A4A"/>
          <w:sz w:val="21"/>
          <w:szCs w:val="21"/>
          <w:lang w:eastAsia="en-GB"/>
        </w:rPr>
        <w:t xml:space="preserve">the </w:t>
      </w:r>
      <w:r w:rsidR="00EF6182" w:rsidRPr="007A33BE">
        <w:rPr>
          <w:rFonts w:eastAsia="Times New Roman" w:cstheme="minorHAnsi"/>
          <w:color w:val="4A4A4A"/>
          <w:sz w:val="21"/>
          <w:szCs w:val="21"/>
          <w:lang w:eastAsia="en-GB"/>
        </w:rPr>
        <w:t xml:space="preserve">welfare vector used for estimates is the same, </w:t>
      </w:r>
      <w:r w:rsidR="007A33BE" w:rsidRPr="007A33BE">
        <w:rPr>
          <w:rFonts w:eastAsia="Times New Roman" w:cstheme="minorHAnsi"/>
          <w:color w:val="4A4A4A"/>
          <w:sz w:val="21"/>
          <w:szCs w:val="21"/>
          <w:lang w:eastAsia="en-GB"/>
        </w:rPr>
        <w:t>either income or consumption</w:t>
      </w:r>
      <w:r w:rsidRPr="007A33BE">
        <w:rPr>
          <w:rFonts w:eastAsia="Times New Roman" w:cstheme="minorHAnsi"/>
          <w:color w:val="4A4A4A"/>
          <w:sz w:val="21"/>
          <w:szCs w:val="21"/>
          <w:lang w:eastAsia="en-GB"/>
        </w:rPr>
        <w:t>) or 30% (</w:t>
      </w:r>
      <w:r w:rsidR="007A33BE" w:rsidRPr="007A33BE">
        <w:rPr>
          <w:rFonts w:eastAsia="Times New Roman" w:cstheme="minorHAnsi"/>
          <w:color w:val="4A4A4A"/>
          <w:sz w:val="21"/>
          <w:szCs w:val="21"/>
          <w:lang w:eastAsia="en-GB"/>
        </w:rPr>
        <w:t>when welfare vector</w:t>
      </w:r>
      <w:r w:rsidR="003573F1">
        <w:rPr>
          <w:rFonts w:eastAsia="Times New Roman" w:cstheme="minorHAnsi"/>
          <w:color w:val="4A4A4A"/>
          <w:sz w:val="21"/>
          <w:szCs w:val="21"/>
          <w:lang w:eastAsia="en-GB"/>
        </w:rPr>
        <w:t>s</w:t>
      </w:r>
      <w:r w:rsidR="007A33BE" w:rsidRPr="007A33BE">
        <w:rPr>
          <w:rFonts w:eastAsia="Times New Roman" w:cstheme="minorHAnsi"/>
          <w:color w:val="4A4A4A"/>
          <w:sz w:val="21"/>
          <w:szCs w:val="21"/>
          <w:lang w:eastAsia="en-GB"/>
        </w:rPr>
        <w:t xml:space="preserve"> used for</w:t>
      </w:r>
      <w:r w:rsidR="007A33BE">
        <w:rPr>
          <w:rFonts w:eastAsia="Times New Roman" w:cstheme="minorHAnsi"/>
          <w:color w:val="4A4A4A"/>
          <w:sz w:val="21"/>
          <w:szCs w:val="21"/>
          <w:lang w:eastAsia="en-GB"/>
        </w:rPr>
        <w:t xml:space="preserve"> survey</w:t>
      </w:r>
      <w:r w:rsidR="00B64882">
        <w:rPr>
          <w:rFonts w:eastAsia="Times New Roman" w:cstheme="minorHAnsi"/>
          <w:color w:val="4A4A4A"/>
          <w:sz w:val="21"/>
          <w:szCs w:val="21"/>
          <w:lang w:eastAsia="en-GB"/>
        </w:rPr>
        <w:t xml:space="preserve"> and benchmark</w:t>
      </w:r>
      <w:r w:rsidR="007A33BE" w:rsidRPr="007A33BE">
        <w:rPr>
          <w:rFonts w:eastAsia="Times New Roman" w:cstheme="minorHAnsi"/>
          <w:color w:val="4A4A4A"/>
          <w:sz w:val="21"/>
          <w:szCs w:val="21"/>
          <w:lang w:eastAsia="en-GB"/>
        </w:rPr>
        <w:t xml:space="preserve"> estimates </w:t>
      </w:r>
      <w:r w:rsidR="00B64882">
        <w:rPr>
          <w:rFonts w:eastAsia="Times New Roman" w:cstheme="minorHAnsi"/>
          <w:color w:val="4A4A4A"/>
          <w:sz w:val="21"/>
          <w:szCs w:val="21"/>
          <w:lang w:eastAsia="en-GB"/>
        </w:rPr>
        <w:t>are</w:t>
      </w:r>
      <w:r w:rsidR="007A33BE" w:rsidRPr="007A33BE">
        <w:rPr>
          <w:rFonts w:eastAsia="Times New Roman" w:cstheme="minorHAnsi"/>
          <w:color w:val="4A4A4A"/>
          <w:sz w:val="21"/>
          <w:szCs w:val="21"/>
          <w:lang w:eastAsia="en-GB"/>
        </w:rPr>
        <w:t xml:space="preserve"> different</w:t>
      </w:r>
      <w:r w:rsidRPr="007A33BE">
        <w:rPr>
          <w:rFonts w:eastAsia="Times New Roman" w:cstheme="minorHAnsi"/>
          <w:color w:val="4A4A4A"/>
          <w:sz w:val="21"/>
          <w:szCs w:val="21"/>
          <w:lang w:eastAsia="en-GB"/>
        </w:rPr>
        <w:t>)</w:t>
      </w:r>
      <w:r w:rsidR="007A33BE" w:rsidRPr="007A33BE">
        <w:rPr>
          <w:rFonts w:eastAsia="Times New Roman" w:cstheme="minorHAnsi"/>
          <w:color w:val="4A4A4A"/>
          <w:sz w:val="21"/>
          <w:szCs w:val="21"/>
          <w:lang w:eastAsia="en-GB"/>
        </w:rPr>
        <w:t>,</w:t>
      </w:r>
      <w:r w:rsidRPr="007A33BE">
        <w:rPr>
          <w:rFonts w:eastAsia="Times New Roman" w:cstheme="minorHAnsi"/>
          <w:color w:val="4A4A4A"/>
          <w:sz w:val="21"/>
          <w:szCs w:val="21"/>
          <w:lang w:eastAsia="en-GB"/>
        </w:rPr>
        <w:t xml:space="preserve"> the survey point is identified as an outlier in terms of consumption </w:t>
      </w:r>
      <w:r w:rsidR="009D2EDE" w:rsidRPr="007A33BE">
        <w:rPr>
          <w:rFonts w:eastAsia="Times New Roman" w:cstheme="minorHAnsi"/>
          <w:color w:val="4A4A4A"/>
          <w:sz w:val="21"/>
          <w:szCs w:val="21"/>
          <w:lang w:eastAsia="en-GB"/>
        </w:rPr>
        <w:t>or income</w:t>
      </w:r>
      <w:r w:rsidRPr="007A33BE">
        <w:rPr>
          <w:rFonts w:eastAsia="Times New Roman" w:cstheme="minorHAnsi"/>
          <w:color w:val="4A4A4A"/>
          <w:sz w:val="21"/>
          <w:szCs w:val="21"/>
          <w:lang w:eastAsia="en-GB"/>
        </w:rPr>
        <w:t xml:space="preserve"> per capita and flagged for possible exclusion. </w:t>
      </w:r>
    </w:p>
    <w:p w14:paraId="06684625" w14:textId="77777777" w:rsidR="00974A31" w:rsidRPr="00645B6F" w:rsidRDefault="00974A31" w:rsidP="00A11A20">
      <w:pPr>
        <w:shd w:val="clear" w:color="auto" w:fill="FFFFFF"/>
        <w:spacing w:after="0" w:line="240" w:lineRule="auto"/>
        <w:ind w:left="720"/>
        <w:jc w:val="both"/>
        <w:rPr>
          <w:rFonts w:eastAsia="Times New Roman" w:cstheme="minorHAnsi"/>
          <w:color w:val="4A4A4A"/>
          <w:sz w:val="21"/>
          <w:szCs w:val="21"/>
          <w:lang w:eastAsia="en-GB"/>
        </w:rPr>
      </w:pPr>
    </w:p>
    <w:p w14:paraId="7A7515CC" w14:textId="26FFA2E6" w:rsidR="00A964F2" w:rsidRPr="00247705" w:rsidRDefault="00A964F2" w:rsidP="00A11A20">
      <w:pPr>
        <w:shd w:val="clear" w:color="auto" w:fill="FFFFFF"/>
        <w:spacing w:after="0" w:line="240" w:lineRule="auto"/>
        <w:jc w:val="both"/>
        <w:rPr>
          <w:rFonts w:eastAsia="Times New Roman" w:cstheme="minorHAnsi"/>
          <w:i/>
          <w:iCs/>
          <w:color w:val="4A4A4A"/>
          <w:sz w:val="21"/>
          <w:szCs w:val="21"/>
          <w:lang w:eastAsia="en-GB"/>
        </w:rPr>
      </w:pPr>
      <w:r w:rsidRPr="00247705">
        <w:rPr>
          <w:rFonts w:eastAsia="Times New Roman" w:cstheme="minorHAnsi"/>
          <w:i/>
          <w:iCs/>
          <w:color w:val="4A4A4A"/>
          <w:sz w:val="21"/>
          <w:szCs w:val="21"/>
          <w:lang w:eastAsia="en-GB"/>
        </w:rPr>
        <w:t>For the societal poverty line</w:t>
      </w:r>
    </w:p>
    <w:p w14:paraId="60EB2E64" w14:textId="58A4A24B" w:rsidR="00254529" w:rsidRPr="003D7310" w:rsidRDefault="002811CF" w:rsidP="00A11A20">
      <w:pPr>
        <w:numPr>
          <w:ilvl w:val="0"/>
          <w:numId w:val="6"/>
        </w:numPr>
        <w:shd w:val="clear" w:color="auto" w:fill="FFFFFF"/>
        <w:spacing w:after="0" w:line="240" w:lineRule="auto"/>
        <w:jc w:val="both"/>
        <w:rPr>
          <w:rFonts w:eastAsia="Times New Roman" w:cstheme="minorHAnsi"/>
          <w:color w:val="4A4A4A"/>
          <w:sz w:val="21"/>
          <w:szCs w:val="21"/>
          <w:lang w:eastAsia="en-GB"/>
        </w:rPr>
      </w:pPr>
      <w:r w:rsidRPr="003D7310">
        <w:rPr>
          <w:rFonts w:eastAsia="Times New Roman" w:cstheme="minorHAnsi"/>
          <w:color w:val="4A4A4A"/>
          <w:sz w:val="21"/>
          <w:szCs w:val="21"/>
          <w:lang w:eastAsia="en-GB"/>
        </w:rPr>
        <w:t xml:space="preserve">Compare the poverty headcount estimated from the survey at the </w:t>
      </w:r>
      <w:r w:rsidR="009D2EDE" w:rsidRPr="003D7310">
        <w:rPr>
          <w:rFonts w:eastAsia="Times New Roman" w:cstheme="minorHAnsi"/>
          <w:color w:val="4A4A4A"/>
          <w:sz w:val="21"/>
          <w:szCs w:val="21"/>
          <w:lang w:eastAsia="en-GB"/>
        </w:rPr>
        <w:t>societal poverty line</w:t>
      </w:r>
      <w:r w:rsidRPr="003D7310">
        <w:rPr>
          <w:rFonts w:eastAsia="Times New Roman" w:cstheme="minorHAnsi"/>
          <w:color w:val="4A4A4A"/>
          <w:sz w:val="21"/>
          <w:szCs w:val="21"/>
          <w:lang w:eastAsia="en-GB"/>
        </w:rPr>
        <w:t xml:space="preserve"> with the poverty incidence</w:t>
      </w:r>
      <w:r w:rsidR="005303D4" w:rsidRPr="003D7310">
        <w:rPr>
          <w:rFonts w:eastAsia="Times New Roman" w:cstheme="minorHAnsi"/>
          <w:color w:val="4A4A4A"/>
          <w:sz w:val="21"/>
          <w:szCs w:val="21"/>
          <w:lang w:eastAsia="en-GB"/>
        </w:rPr>
        <w:t xml:space="preserve"> values</w:t>
      </w:r>
      <w:r w:rsidRPr="003D7310">
        <w:rPr>
          <w:rFonts w:eastAsia="Times New Roman" w:cstheme="minorHAnsi"/>
          <w:color w:val="4A4A4A"/>
          <w:sz w:val="21"/>
          <w:szCs w:val="21"/>
          <w:lang w:eastAsia="en-GB"/>
        </w:rPr>
        <w:t xml:space="preserve"> reported in </w:t>
      </w:r>
      <w:r w:rsidR="001E4A8F" w:rsidRPr="003D7310">
        <w:rPr>
          <w:rFonts w:eastAsia="Times New Roman" w:cstheme="minorHAnsi"/>
          <w:color w:val="4A4A4A"/>
          <w:sz w:val="21"/>
          <w:szCs w:val="21"/>
          <w:lang w:eastAsia="en-GB"/>
        </w:rPr>
        <w:t xml:space="preserve">PIP </w:t>
      </w:r>
      <w:r w:rsidRPr="003D7310">
        <w:rPr>
          <w:rFonts w:eastAsia="Times New Roman" w:cstheme="minorHAnsi"/>
          <w:color w:val="4A4A4A"/>
          <w:sz w:val="21"/>
          <w:szCs w:val="21"/>
          <w:lang w:eastAsia="en-GB"/>
        </w:rPr>
        <w:t>at the same poverty line (benchmark value)</w:t>
      </w:r>
      <w:r w:rsidR="00DC168D">
        <w:rPr>
          <w:rStyle w:val="FootnoteReference"/>
          <w:rFonts w:eastAsia="Times New Roman" w:cstheme="minorHAnsi"/>
          <w:color w:val="4A4A4A"/>
          <w:sz w:val="21"/>
          <w:szCs w:val="21"/>
          <w:lang w:eastAsia="en-GB"/>
        </w:rPr>
        <w:footnoteReference w:id="16"/>
      </w:r>
      <w:r w:rsidRPr="003D7310">
        <w:rPr>
          <w:rFonts w:eastAsia="Times New Roman" w:cstheme="minorHAnsi"/>
          <w:color w:val="4A4A4A"/>
          <w:sz w:val="21"/>
          <w:szCs w:val="21"/>
          <w:lang w:eastAsia="en-GB"/>
        </w:rPr>
        <w:t xml:space="preserve">. </w:t>
      </w:r>
      <w:r w:rsidR="003D7310" w:rsidRPr="003D7310">
        <w:rPr>
          <w:rFonts w:eastAsia="Times New Roman" w:cstheme="minorHAnsi"/>
          <w:color w:val="4A4A4A"/>
          <w:sz w:val="21"/>
          <w:szCs w:val="21"/>
          <w:lang w:eastAsia="en-GB"/>
        </w:rPr>
        <w:t xml:space="preserve">The comparison is based on the </w:t>
      </w:r>
      <w:r w:rsidR="003D7310">
        <w:rPr>
          <w:rFonts w:eastAsia="Times New Roman" w:cstheme="minorHAnsi"/>
          <w:color w:val="4A4A4A"/>
          <w:sz w:val="21"/>
          <w:szCs w:val="21"/>
          <w:lang w:eastAsia="en-GB"/>
        </w:rPr>
        <w:t xml:space="preserve">absolute </w:t>
      </w:r>
      <w:r w:rsidR="003D7310" w:rsidRPr="003D7310">
        <w:rPr>
          <w:rFonts w:eastAsia="Times New Roman" w:cstheme="minorHAnsi"/>
          <w:color w:val="4A4A4A"/>
          <w:sz w:val="21"/>
          <w:szCs w:val="21"/>
          <w:lang w:eastAsia="en-GB"/>
        </w:rPr>
        <w:t xml:space="preserve">difference between survey and benchmark </w:t>
      </w:r>
      <w:r w:rsidR="007F2C61">
        <w:rPr>
          <w:rFonts w:eastAsia="Times New Roman" w:cstheme="minorHAnsi"/>
          <w:color w:val="4A4A4A"/>
          <w:sz w:val="21"/>
          <w:szCs w:val="21"/>
          <w:lang w:eastAsia="en-GB"/>
        </w:rPr>
        <w:t xml:space="preserve">poverty headcount </w:t>
      </w:r>
      <w:r w:rsidR="003D7310" w:rsidRPr="003D7310">
        <w:rPr>
          <w:rFonts w:eastAsia="Times New Roman" w:cstheme="minorHAnsi"/>
          <w:color w:val="4A4A4A"/>
          <w:sz w:val="21"/>
          <w:szCs w:val="21"/>
          <w:lang w:eastAsia="en-GB"/>
        </w:rPr>
        <w:t xml:space="preserve">values. </w:t>
      </w:r>
      <w:r w:rsidR="00524689" w:rsidRPr="003D7310">
        <w:rPr>
          <w:rFonts w:eastAsia="Times New Roman" w:cstheme="minorHAnsi"/>
          <w:color w:val="4A4A4A"/>
          <w:sz w:val="21"/>
          <w:szCs w:val="21"/>
          <w:lang w:eastAsia="en-GB"/>
        </w:rPr>
        <w:t>When</w:t>
      </w:r>
      <w:r w:rsidR="00206478" w:rsidRPr="003D7310">
        <w:rPr>
          <w:rFonts w:eastAsia="Times New Roman" w:cstheme="minorHAnsi"/>
          <w:color w:val="4A4A4A"/>
          <w:sz w:val="21"/>
          <w:szCs w:val="21"/>
          <w:lang w:eastAsia="en-GB"/>
        </w:rPr>
        <w:t xml:space="preserve"> the type of welfare vector used for estimates </w:t>
      </w:r>
      <w:r w:rsidR="000A06D7" w:rsidRPr="003D7310">
        <w:rPr>
          <w:rFonts w:eastAsia="Times New Roman" w:cstheme="minorHAnsi"/>
          <w:color w:val="4A4A4A"/>
          <w:sz w:val="21"/>
          <w:szCs w:val="21"/>
          <w:lang w:eastAsia="en-GB"/>
        </w:rPr>
        <w:t xml:space="preserve">between </w:t>
      </w:r>
      <w:r w:rsidR="00FD6A27" w:rsidRPr="003D7310">
        <w:rPr>
          <w:rFonts w:eastAsia="Times New Roman" w:cstheme="minorHAnsi"/>
          <w:color w:val="4A4A4A"/>
          <w:sz w:val="21"/>
          <w:szCs w:val="21"/>
          <w:lang w:eastAsia="en-GB"/>
        </w:rPr>
        <w:t xml:space="preserve">the </w:t>
      </w:r>
      <w:r w:rsidR="000A06D7" w:rsidRPr="003D7310">
        <w:rPr>
          <w:rFonts w:eastAsia="Times New Roman" w:cstheme="minorHAnsi"/>
          <w:color w:val="4A4A4A"/>
          <w:sz w:val="21"/>
          <w:szCs w:val="21"/>
          <w:lang w:eastAsia="en-GB"/>
        </w:rPr>
        <w:t>survey and benchmark value</w:t>
      </w:r>
      <w:r w:rsidR="00FD6A27" w:rsidRPr="003D7310">
        <w:rPr>
          <w:rFonts w:eastAsia="Times New Roman" w:cstheme="minorHAnsi"/>
          <w:color w:val="4A4A4A"/>
          <w:sz w:val="21"/>
          <w:szCs w:val="21"/>
          <w:lang w:eastAsia="en-GB"/>
        </w:rPr>
        <w:t>s</w:t>
      </w:r>
      <w:r w:rsidR="000A06D7" w:rsidRPr="003D7310">
        <w:rPr>
          <w:rFonts w:eastAsia="Times New Roman" w:cstheme="minorHAnsi"/>
          <w:color w:val="4A4A4A"/>
          <w:sz w:val="21"/>
          <w:szCs w:val="21"/>
          <w:lang w:eastAsia="en-GB"/>
        </w:rPr>
        <w:t xml:space="preserve"> is the same and </w:t>
      </w:r>
      <w:r w:rsidRPr="003D7310">
        <w:rPr>
          <w:rFonts w:eastAsia="Times New Roman" w:cstheme="minorHAnsi"/>
          <w:color w:val="4A4A4A"/>
          <w:sz w:val="21"/>
          <w:szCs w:val="21"/>
          <w:lang w:eastAsia="en-GB"/>
        </w:rPr>
        <w:t xml:space="preserve">the absolute difference exceeds </w:t>
      </w:r>
      <w:r w:rsidR="00FD6A27" w:rsidRPr="003D7310">
        <w:rPr>
          <w:rFonts w:eastAsia="Times New Roman" w:cstheme="minorHAnsi"/>
          <w:color w:val="4A4A4A"/>
          <w:sz w:val="21"/>
          <w:szCs w:val="21"/>
          <w:lang w:eastAsia="en-GB"/>
        </w:rPr>
        <w:t xml:space="preserve">the </w:t>
      </w:r>
      <w:r w:rsidRPr="003D7310">
        <w:rPr>
          <w:rFonts w:eastAsia="Times New Roman" w:cstheme="minorHAnsi"/>
          <w:color w:val="4A4A4A"/>
          <w:sz w:val="21"/>
          <w:szCs w:val="21"/>
          <w:lang w:eastAsia="en-GB"/>
        </w:rPr>
        <w:t>10 percentage points</w:t>
      </w:r>
      <w:r w:rsidR="005B7A1E" w:rsidRPr="003D7310">
        <w:rPr>
          <w:rFonts w:eastAsia="Times New Roman" w:cstheme="minorHAnsi"/>
          <w:color w:val="4A4A4A"/>
          <w:sz w:val="21"/>
          <w:szCs w:val="21"/>
          <w:lang w:eastAsia="en-GB"/>
        </w:rPr>
        <w:t>,</w:t>
      </w:r>
      <w:r w:rsidRPr="003D7310">
        <w:rPr>
          <w:rFonts w:eastAsia="Times New Roman" w:cstheme="minorHAnsi"/>
          <w:color w:val="4A4A4A"/>
          <w:sz w:val="21"/>
          <w:szCs w:val="21"/>
          <w:lang w:eastAsia="en-GB"/>
        </w:rPr>
        <w:t xml:space="preserve"> the survey-based point is identified as an outlier to track poverty </w:t>
      </w:r>
      <w:r w:rsidR="004E657A" w:rsidRPr="003D7310">
        <w:rPr>
          <w:rFonts w:eastAsia="Times New Roman" w:cstheme="minorHAnsi"/>
          <w:color w:val="4A4A4A"/>
          <w:sz w:val="21"/>
          <w:szCs w:val="21"/>
          <w:lang w:eastAsia="en-GB"/>
        </w:rPr>
        <w:t xml:space="preserve">based on the societal poverty line </w:t>
      </w:r>
      <w:r w:rsidRPr="003D7310">
        <w:rPr>
          <w:rFonts w:eastAsia="Times New Roman" w:cstheme="minorHAnsi"/>
          <w:color w:val="4A4A4A"/>
          <w:sz w:val="21"/>
          <w:szCs w:val="21"/>
          <w:lang w:eastAsia="en-GB"/>
        </w:rPr>
        <w:t xml:space="preserve">and flagged for possible exclusion. </w:t>
      </w:r>
      <w:r w:rsidR="00DD097C" w:rsidRPr="003D7310">
        <w:rPr>
          <w:rFonts w:eastAsia="Times New Roman" w:cstheme="minorHAnsi"/>
          <w:color w:val="4A4A4A"/>
          <w:sz w:val="21"/>
          <w:szCs w:val="21"/>
          <w:lang w:eastAsia="en-GB"/>
        </w:rPr>
        <w:t>When</w:t>
      </w:r>
      <w:r w:rsidR="00FD6A27" w:rsidRPr="003D7310">
        <w:rPr>
          <w:rFonts w:eastAsia="Times New Roman" w:cstheme="minorHAnsi"/>
          <w:color w:val="4A4A4A"/>
          <w:sz w:val="21"/>
          <w:szCs w:val="21"/>
          <w:lang w:eastAsia="en-GB"/>
        </w:rPr>
        <w:t xml:space="preserve"> the</w:t>
      </w:r>
      <w:r w:rsidR="00BF585E" w:rsidRPr="003D7310">
        <w:rPr>
          <w:rFonts w:eastAsia="Times New Roman" w:cstheme="minorHAnsi"/>
          <w:color w:val="4A4A4A"/>
          <w:sz w:val="21"/>
          <w:szCs w:val="21"/>
          <w:lang w:eastAsia="en-GB"/>
        </w:rPr>
        <w:t xml:space="preserve"> type of welfare vector used for estimates differs</w:t>
      </w:r>
      <w:r w:rsidR="007C39E2" w:rsidRPr="003D7310">
        <w:rPr>
          <w:rFonts w:eastAsia="Times New Roman" w:cstheme="minorHAnsi"/>
          <w:color w:val="4A4A4A"/>
          <w:sz w:val="21"/>
          <w:szCs w:val="21"/>
          <w:lang w:eastAsia="en-GB"/>
        </w:rPr>
        <w:t xml:space="preserve">, the absolute difference </w:t>
      </w:r>
      <w:r w:rsidR="001F3517" w:rsidRPr="003D7310">
        <w:rPr>
          <w:rFonts w:eastAsia="Times New Roman" w:cstheme="minorHAnsi"/>
          <w:color w:val="4A4A4A"/>
          <w:sz w:val="21"/>
          <w:szCs w:val="21"/>
          <w:lang w:eastAsia="en-GB"/>
        </w:rPr>
        <w:t xml:space="preserve">is compared against </w:t>
      </w:r>
      <w:r w:rsidR="00FD6A27" w:rsidRPr="003D7310">
        <w:rPr>
          <w:rFonts w:eastAsia="Times New Roman" w:cstheme="minorHAnsi"/>
          <w:color w:val="4A4A4A"/>
          <w:sz w:val="21"/>
          <w:szCs w:val="21"/>
          <w:lang w:eastAsia="en-GB"/>
        </w:rPr>
        <w:t xml:space="preserve">the </w:t>
      </w:r>
      <w:r w:rsidR="009D0838" w:rsidRPr="003D7310">
        <w:rPr>
          <w:rFonts w:eastAsia="Times New Roman" w:cstheme="minorHAnsi"/>
          <w:color w:val="4A4A4A"/>
          <w:sz w:val="21"/>
          <w:szCs w:val="21"/>
          <w:lang w:eastAsia="en-GB"/>
        </w:rPr>
        <w:t>20-percentage</w:t>
      </w:r>
      <w:r w:rsidR="001F3517" w:rsidRPr="003D7310">
        <w:rPr>
          <w:rFonts w:eastAsia="Times New Roman" w:cstheme="minorHAnsi"/>
          <w:color w:val="4A4A4A"/>
          <w:sz w:val="21"/>
          <w:szCs w:val="21"/>
          <w:lang w:eastAsia="en-GB"/>
        </w:rPr>
        <w:t xml:space="preserve"> points</w:t>
      </w:r>
      <w:r w:rsidR="00A63C25" w:rsidRPr="003D7310">
        <w:rPr>
          <w:rFonts w:eastAsia="Times New Roman" w:cstheme="minorHAnsi"/>
          <w:color w:val="4A4A4A"/>
          <w:sz w:val="21"/>
          <w:szCs w:val="21"/>
          <w:lang w:eastAsia="en-GB"/>
        </w:rPr>
        <w:t xml:space="preserve"> threshold</w:t>
      </w:r>
      <w:r w:rsidR="0020132E">
        <w:rPr>
          <w:rFonts w:eastAsia="Times New Roman" w:cstheme="minorHAnsi"/>
          <w:color w:val="4A4A4A"/>
          <w:sz w:val="21"/>
          <w:szCs w:val="21"/>
          <w:lang w:eastAsia="en-GB"/>
        </w:rPr>
        <w:t xml:space="preserve"> to identify an outlier and it </w:t>
      </w:r>
      <w:r w:rsidR="0020132E" w:rsidRPr="003D7310">
        <w:rPr>
          <w:rFonts w:eastAsia="Times New Roman" w:cstheme="minorHAnsi"/>
          <w:color w:val="4A4A4A"/>
          <w:sz w:val="21"/>
          <w:szCs w:val="21"/>
          <w:lang w:eastAsia="en-GB"/>
        </w:rPr>
        <w:t>flag for possible exclusion</w:t>
      </w:r>
      <w:r w:rsidR="0020132E">
        <w:rPr>
          <w:rFonts w:eastAsia="Times New Roman" w:cstheme="minorHAnsi"/>
          <w:color w:val="4A4A4A"/>
          <w:sz w:val="21"/>
          <w:szCs w:val="21"/>
          <w:lang w:eastAsia="en-GB"/>
        </w:rPr>
        <w:t>.</w:t>
      </w:r>
    </w:p>
    <w:p w14:paraId="791CCEBA" w14:textId="5342F78E" w:rsidR="002811CF" w:rsidRPr="00DD097C" w:rsidRDefault="002811CF" w:rsidP="00A11A20">
      <w:pPr>
        <w:numPr>
          <w:ilvl w:val="0"/>
          <w:numId w:val="6"/>
        </w:numPr>
        <w:shd w:val="clear" w:color="auto" w:fill="FFFFFF"/>
        <w:spacing w:after="0" w:line="240" w:lineRule="auto"/>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Compare the </w:t>
      </w:r>
      <w:r w:rsidR="008514B4">
        <w:rPr>
          <w:rFonts w:eastAsia="Times New Roman" w:cstheme="minorHAnsi"/>
          <w:color w:val="4A4A4A"/>
          <w:sz w:val="21"/>
          <w:szCs w:val="21"/>
          <w:lang w:eastAsia="en-GB"/>
        </w:rPr>
        <w:t xml:space="preserve">value of the societal poverty line estimated </w:t>
      </w:r>
      <w:r w:rsidRPr="00645B6F">
        <w:rPr>
          <w:rFonts w:eastAsia="Times New Roman" w:cstheme="minorHAnsi"/>
          <w:color w:val="4A4A4A"/>
          <w:sz w:val="21"/>
          <w:szCs w:val="21"/>
          <w:lang w:eastAsia="en-GB"/>
        </w:rPr>
        <w:t xml:space="preserve">from the survey </w:t>
      </w:r>
      <w:r w:rsidR="00DA6846">
        <w:rPr>
          <w:rFonts w:eastAsia="Times New Roman" w:cstheme="minorHAnsi"/>
          <w:color w:val="4A4A4A"/>
          <w:sz w:val="21"/>
          <w:szCs w:val="21"/>
          <w:lang w:eastAsia="en-GB"/>
        </w:rPr>
        <w:t xml:space="preserve">with the </w:t>
      </w:r>
      <w:r w:rsidR="009A2BA1">
        <w:rPr>
          <w:rFonts w:eastAsia="Times New Roman" w:cstheme="minorHAnsi"/>
          <w:color w:val="4A4A4A"/>
          <w:sz w:val="21"/>
          <w:szCs w:val="21"/>
          <w:lang w:eastAsia="en-GB"/>
        </w:rPr>
        <w:t xml:space="preserve">benchmark </w:t>
      </w:r>
      <w:r w:rsidR="00DA6846">
        <w:rPr>
          <w:rFonts w:eastAsia="Times New Roman" w:cstheme="minorHAnsi"/>
          <w:color w:val="4A4A4A"/>
          <w:sz w:val="21"/>
          <w:szCs w:val="21"/>
          <w:lang w:eastAsia="en-GB"/>
        </w:rPr>
        <w:t>value</w:t>
      </w:r>
      <w:r w:rsidR="005303D4">
        <w:rPr>
          <w:rFonts w:eastAsia="Times New Roman" w:cstheme="minorHAnsi"/>
          <w:color w:val="4A4A4A"/>
          <w:sz w:val="21"/>
          <w:szCs w:val="21"/>
          <w:lang w:eastAsia="en-GB"/>
        </w:rPr>
        <w:t>s</w:t>
      </w:r>
      <w:r w:rsidR="00DA6846">
        <w:rPr>
          <w:rFonts w:eastAsia="Times New Roman" w:cstheme="minorHAnsi"/>
          <w:color w:val="4A4A4A"/>
          <w:sz w:val="21"/>
          <w:szCs w:val="21"/>
          <w:lang w:eastAsia="en-GB"/>
        </w:rPr>
        <w:t xml:space="preserve"> available from PIP</w:t>
      </w:r>
      <w:r w:rsidRPr="00645B6F">
        <w:rPr>
          <w:rFonts w:eastAsia="Times New Roman" w:cstheme="minorHAnsi"/>
          <w:color w:val="4A4A4A"/>
          <w:sz w:val="21"/>
          <w:szCs w:val="21"/>
          <w:lang w:eastAsia="en-GB"/>
        </w:rPr>
        <w:t xml:space="preserve"> </w:t>
      </w:r>
      <w:r w:rsidR="00B61DBF">
        <w:rPr>
          <w:rFonts w:eastAsia="Times New Roman" w:cstheme="minorHAnsi"/>
          <w:color w:val="4A4A4A"/>
          <w:sz w:val="21"/>
          <w:szCs w:val="21"/>
          <w:lang w:eastAsia="en-GB"/>
        </w:rPr>
        <w:t>for the same country/year</w:t>
      </w:r>
      <w:r w:rsidR="00B47569">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w:t>
      </w:r>
      <w:r w:rsidR="009A2BA1">
        <w:rPr>
          <w:rFonts w:eastAsia="Times New Roman" w:cstheme="minorHAnsi"/>
          <w:color w:val="4A4A4A"/>
          <w:sz w:val="21"/>
          <w:szCs w:val="21"/>
          <w:lang w:eastAsia="en-GB"/>
        </w:rPr>
        <w:t>same source as poverty headcount</w:t>
      </w:r>
      <w:r w:rsidRPr="00645B6F">
        <w:rPr>
          <w:rFonts w:eastAsia="Times New Roman" w:cstheme="minorHAnsi"/>
          <w:color w:val="4A4A4A"/>
          <w:sz w:val="21"/>
          <w:szCs w:val="21"/>
          <w:lang w:eastAsia="en-GB"/>
        </w:rPr>
        <w:t>)</w:t>
      </w:r>
      <w:r w:rsidR="00AE2B09">
        <w:rPr>
          <w:rStyle w:val="FootnoteReference"/>
          <w:rFonts w:eastAsia="Times New Roman" w:cstheme="minorHAnsi"/>
          <w:color w:val="4A4A4A"/>
          <w:sz w:val="21"/>
          <w:szCs w:val="21"/>
          <w:lang w:eastAsia="en-GB"/>
        </w:rPr>
        <w:footnoteReference w:id="17"/>
      </w:r>
      <w:r w:rsidRPr="00645B6F">
        <w:rPr>
          <w:rFonts w:eastAsia="Times New Roman" w:cstheme="minorHAnsi"/>
          <w:color w:val="4A4A4A"/>
          <w:sz w:val="21"/>
          <w:szCs w:val="21"/>
          <w:lang w:eastAsia="en-GB"/>
        </w:rPr>
        <w:t xml:space="preserve">. </w:t>
      </w:r>
      <w:r w:rsidR="00524689">
        <w:rPr>
          <w:rFonts w:eastAsia="Times New Roman" w:cstheme="minorHAnsi"/>
          <w:color w:val="4A4A4A"/>
          <w:sz w:val="21"/>
          <w:szCs w:val="21"/>
          <w:lang w:eastAsia="en-GB"/>
        </w:rPr>
        <w:t>When</w:t>
      </w:r>
      <w:r w:rsidR="00524689" w:rsidRPr="000D085B">
        <w:rPr>
          <w:rFonts w:eastAsia="Times New Roman" w:cstheme="minorHAnsi"/>
          <w:color w:val="4A4A4A"/>
          <w:sz w:val="21"/>
          <w:szCs w:val="21"/>
          <w:lang w:eastAsia="en-GB"/>
        </w:rPr>
        <w:t xml:space="preserve"> the type of welfare vector used for estimates </w:t>
      </w:r>
      <w:r w:rsidR="00524689">
        <w:rPr>
          <w:rFonts w:eastAsia="Times New Roman" w:cstheme="minorHAnsi"/>
          <w:color w:val="4A4A4A"/>
          <w:sz w:val="21"/>
          <w:szCs w:val="21"/>
          <w:lang w:eastAsia="en-GB"/>
        </w:rPr>
        <w:t xml:space="preserve">is the same and </w:t>
      </w:r>
      <w:r w:rsidRPr="00645B6F">
        <w:rPr>
          <w:rFonts w:eastAsia="Times New Roman" w:cstheme="minorHAnsi"/>
          <w:color w:val="4A4A4A"/>
          <w:sz w:val="21"/>
          <w:szCs w:val="21"/>
          <w:lang w:eastAsia="en-GB"/>
        </w:rPr>
        <w:t>the absolute difference between the benchmark value and the survey</w:t>
      </w:r>
      <w:r>
        <w:rPr>
          <w:rFonts w:eastAsia="Times New Roman" w:cstheme="minorHAnsi"/>
          <w:color w:val="4A4A4A"/>
          <w:sz w:val="21"/>
          <w:szCs w:val="21"/>
          <w:lang w:eastAsia="en-GB"/>
        </w:rPr>
        <w:t>-based</w:t>
      </w:r>
      <w:r w:rsidRPr="00645B6F">
        <w:rPr>
          <w:rFonts w:eastAsia="Times New Roman" w:cstheme="minorHAnsi"/>
          <w:color w:val="4A4A4A"/>
          <w:sz w:val="21"/>
          <w:szCs w:val="21"/>
          <w:lang w:eastAsia="en-GB"/>
        </w:rPr>
        <w:t xml:space="preserve"> estimate exceeds 10</w:t>
      </w:r>
      <w:r w:rsidR="003936F6">
        <w:rPr>
          <w:rFonts w:eastAsia="Times New Roman" w:cstheme="minorHAnsi"/>
          <w:color w:val="4A4A4A"/>
          <w:sz w:val="21"/>
          <w:szCs w:val="21"/>
          <w:lang w:eastAsia="en-GB"/>
        </w:rPr>
        <w:t>%</w:t>
      </w:r>
      <w:r w:rsidR="00524689">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the survey point is identified as an outlier </w:t>
      </w:r>
      <w:r>
        <w:rPr>
          <w:rFonts w:eastAsia="Times New Roman" w:cstheme="minorHAnsi"/>
          <w:color w:val="4A4A4A"/>
          <w:sz w:val="21"/>
          <w:szCs w:val="21"/>
          <w:lang w:eastAsia="en-GB"/>
        </w:rPr>
        <w:t>to track</w:t>
      </w:r>
      <w:r w:rsidRPr="00645B6F">
        <w:rPr>
          <w:rFonts w:eastAsia="Times New Roman" w:cstheme="minorHAnsi"/>
          <w:color w:val="4A4A4A"/>
          <w:sz w:val="21"/>
          <w:szCs w:val="21"/>
          <w:lang w:eastAsia="en-GB"/>
        </w:rPr>
        <w:t xml:space="preserve"> poverty at</w:t>
      </w:r>
      <w:r>
        <w:rPr>
          <w:rFonts w:eastAsia="Times New Roman" w:cstheme="minorHAnsi"/>
          <w:color w:val="4A4A4A"/>
          <w:sz w:val="21"/>
          <w:szCs w:val="21"/>
          <w:lang w:eastAsia="en-GB"/>
        </w:rPr>
        <w:t xml:space="preserve"> the</w:t>
      </w:r>
      <w:r w:rsidRPr="00645B6F">
        <w:rPr>
          <w:rFonts w:eastAsia="Times New Roman" w:cstheme="minorHAnsi"/>
          <w:color w:val="4A4A4A"/>
          <w:sz w:val="21"/>
          <w:szCs w:val="21"/>
          <w:lang w:eastAsia="en-GB"/>
        </w:rPr>
        <w:t xml:space="preserve"> </w:t>
      </w:r>
      <w:r w:rsidR="00DD097C">
        <w:rPr>
          <w:rFonts w:eastAsia="Times New Roman" w:cstheme="minorHAnsi"/>
          <w:color w:val="4A4A4A"/>
          <w:sz w:val="21"/>
          <w:szCs w:val="21"/>
          <w:lang w:eastAsia="en-GB"/>
        </w:rPr>
        <w:t>societal poverty line</w:t>
      </w:r>
      <w:r w:rsidRPr="00645B6F">
        <w:rPr>
          <w:rFonts w:eastAsia="Times New Roman" w:cstheme="minorHAnsi"/>
          <w:color w:val="4A4A4A"/>
          <w:sz w:val="21"/>
          <w:szCs w:val="21"/>
          <w:lang w:eastAsia="en-GB"/>
        </w:rPr>
        <w:t xml:space="preserve"> and flagged for possible exclusion.</w:t>
      </w:r>
      <w:r w:rsidR="00206478" w:rsidRPr="00206478">
        <w:rPr>
          <w:rFonts w:eastAsia="Times New Roman" w:cstheme="minorHAnsi"/>
          <w:color w:val="4A4A4A"/>
          <w:sz w:val="21"/>
          <w:szCs w:val="21"/>
          <w:lang w:eastAsia="en-GB"/>
        </w:rPr>
        <w:t xml:space="preserve"> </w:t>
      </w:r>
      <w:r w:rsidR="00DD097C">
        <w:rPr>
          <w:rFonts w:eastAsia="Times New Roman" w:cstheme="minorHAnsi"/>
          <w:color w:val="4A4A4A"/>
          <w:sz w:val="21"/>
          <w:szCs w:val="21"/>
          <w:lang w:eastAsia="en-GB"/>
        </w:rPr>
        <w:t>When the</w:t>
      </w:r>
      <w:r w:rsidR="00DD097C" w:rsidRPr="000D085B">
        <w:rPr>
          <w:rFonts w:eastAsia="Times New Roman" w:cstheme="minorHAnsi"/>
          <w:color w:val="4A4A4A"/>
          <w:sz w:val="21"/>
          <w:szCs w:val="21"/>
          <w:lang w:eastAsia="en-GB"/>
        </w:rPr>
        <w:t xml:space="preserve"> type of welfare vector used for estimates differs, the absolute difference is compared against </w:t>
      </w:r>
      <w:r w:rsidR="00DD097C">
        <w:rPr>
          <w:rFonts w:eastAsia="Times New Roman" w:cstheme="minorHAnsi"/>
          <w:color w:val="4A4A4A"/>
          <w:sz w:val="21"/>
          <w:szCs w:val="21"/>
          <w:lang w:eastAsia="en-GB"/>
        </w:rPr>
        <w:t xml:space="preserve">the </w:t>
      </w:r>
      <w:r w:rsidR="00DD097C" w:rsidRPr="000D085B">
        <w:rPr>
          <w:rFonts w:eastAsia="Times New Roman" w:cstheme="minorHAnsi"/>
          <w:color w:val="4A4A4A"/>
          <w:sz w:val="21"/>
          <w:szCs w:val="21"/>
          <w:lang w:eastAsia="en-GB"/>
        </w:rPr>
        <w:t>20</w:t>
      </w:r>
      <w:r w:rsidR="00DD097C">
        <w:rPr>
          <w:rFonts w:eastAsia="Times New Roman" w:cstheme="minorHAnsi"/>
          <w:color w:val="4A4A4A"/>
          <w:sz w:val="21"/>
          <w:szCs w:val="21"/>
          <w:lang w:eastAsia="en-GB"/>
        </w:rPr>
        <w:t>% threshold</w:t>
      </w:r>
      <w:r w:rsidR="0020132E">
        <w:rPr>
          <w:rFonts w:eastAsia="Times New Roman" w:cstheme="minorHAnsi"/>
          <w:color w:val="4A4A4A"/>
          <w:sz w:val="21"/>
          <w:szCs w:val="21"/>
          <w:lang w:eastAsia="en-GB"/>
        </w:rPr>
        <w:t xml:space="preserve"> to identify an outlier and it </w:t>
      </w:r>
      <w:r w:rsidR="0020132E" w:rsidRPr="003D7310">
        <w:rPr>
          <w:rFonts w:eastAsia="Times New Roman" w:cstheme="minorHAnsi"/>
          <w:color w:val="4A4A4A"/>
          <w:sz w:val="21"/>
          <w:szCs w:val="21"/>
          <w:lang w:eastAsia="en-GB"/>
        </w:rPr>
        <w:t>flag for possible exclusion</w:t>
      </w:r>
      <w:r w:rsidR="00DD097C" w:rsidRPr="000D085B">
        <w:rPr>
          <w:rFonts w:eastAsia="Times New Roman" w:cstheme="minorHAnsi"/>
          <w:color w:val="4A4A4A"/>
          <w:sz w:val="21"/>
          <w:szCs w:val="21"/>
          <w:lang w:eastAsia="en-GB"/>
        </w:rPr>
        <w:t>.</w:t>
      </w:r>
    </w:p>
    <w:p w14:paraId="453CC2E4" w14:textId="470D7620" w:rsidR="00517ED8" w:rsidRDefault="00517ED8" w:rsidP="00A11A20">
      <w:pPr>
        <w:shd w:val="clear" w:color="auto" w:fill="FFFFFF"/>
        <w:spacing w:after="0" w:line="240" w:lineRule="auto"/>
        <w:jc w:val="both"/>
        <w:rPr>
          <w:rFonts w:eastAsia="Times New Roman" w:cstheme="minorHAnsi"/>
          <w:color w:val="4A4A4A"/>
          <w:sz w:val="21"/>
          <w:szCs w:val="21"/>
          <w:lang w:eastAsia="en-GB"/>
        </w:rPr>
      </w:pPr>
    </w:p>
    <w:p w14:paraId="343F5E83" w14:textId="21CDC276" w:rsidR="00AB083D" w:rsidRPr="00645B6F" w:rsidRDefault="00AB083D" w:rsidP="00A11A20">
      <w:pPr>
        <w:shd w:val="clear" w:color="auto" w:fill="FFFFFF"/>
        <w:spacing w:after="0"/>
        <w:jc w:val="both"/>
        <w:rPr>
          <w:rFonts w:eastAsia="Times New Roman" w:cstheme="minorHAnsi"/>
          <w:i/>
          <w:iCs/>
          <w:color w:val="4A4A4A"/>
          <w:sz w:val="21"/>
          <w:szCs w:val="21"/>
          <w:lang w:eastAsia="en-GB"/>
        </w:rPr>
      </w:pPr>
      <w:r w:rsidRPr="00645B6F">
        <w:rPr>
          <w:rFonts w:eastAsia="Times New Roman" w:cstheme="minorHAnsi"/>
          <w:i/>
          <w:iCs/>
          <w:color w:val="4A4A4A"/>
          <w:sz w:val="21"/>
          <w:szCs w:val="21"/>
          <w:lang w:eastAsia="en-GB"/>
        </w:rPr>
        <w:t xml:space="preserve">For the </w:t>
      </w:r>
      <w:r w:rsidR="00D2455E">
        <w:rPr>
          <w:rFonts w:eastAsia="Times New Roman" w:cstheme="minorHAnsi"/>
          <w:i/>
          <w:iCs/>
          <w:color w:val="4A4A4A"/>
          <w:sz w:val="21"/>
          <w:szCs w:val="21"/>
          <w:lang w:eastAsia="en-GB"/>
        </w:rPr>
        <w:t xml:space="preserve">out-of-pocket </w:t>
      </w:r>
      <w:r w:rsidR="007A03F2">
        <w:rPr>
          <w:rFonts w:eastAsia="Times New Roman" w:cstheme="minorHAnsi"/>
          <w:i/>
          <w:iCs/>
          <w:color w:val="4A4A4A"/>
          <w:sz w:val="21"/>
          <w:szCs w:val="21"/>
          <w:lang w:eastAsia="en-GB"/>
        </w:rPr>
        <w:t xml:space="preserve">household expenditure </w:t>
      </w:r>
      <w:r w:rsidR="00530B95">
        <w:rPr>
          <w:rFonts w:eastAsia="Times New Roman" w:cstheme="minorHAnsi"/>
          <w:i/>
          <w:iCs/>
          <w:color w:val="4A4A4A"/>
          <w:sz w:val="21"/>
          <w:szCs w:val="21"/>
          <w:lang w:eastAsia="en-GB"/>
        </w:rPr>
        <w:t>on</w:t>
      </w:r>
      <w:r w:rsidRPr="00645B6F">
        <w:rPr>
          <w:rFonts w:eastAsia="Times New Roman" w:cstheme="minorHAnsi"/>
          <w:i/>
          <w:iCs/>
          <w:color w:val="4A4A4A"/>
          <w:sz w:val="21"/>
          <w:szCs w:val="21"/>
          <w:lang w:eastAsia="en-GB"/>
        </w:rPr>
        <w:t xml:space="preserve"> health </w:t>
      </w:r>
    </w:p>
    <w:p w14:paraId="31FA1918" w14:textId="20D47CCF" w:rsidR="00EE74BC" w:rsidRPr="00913495" w:rsidRDefault="00AB083D" w:rsidP="00A11A20">
      <w:pPr>
        <w:numPr>
          <w:ilvl w:val="0"/>
          <w:numId w:val="7"/>
        </w:numPr>
        <w:shd w:val="clear" w:color="auto" w:fill="FFFFFF"/>
        <w:spacing w:after="0" w:line="240" w:lineRule="auto"/>
        <w:jc w:val="both"/>
        <w:rPr>
          <w:rFonts w:eastAsia="Times New Roman" w:cstheme="minorHAnsi"/>
          <w:color w:val="4A4A4A"/>
          <w:sz w:val="21"/>
          <w:szCs w:val="21"/>
          <w:lang w:eastAsia="en-GB"/>
        </w:rPr>
      </w:pPr>
      <w:r w:rsidRPr="00913495">
        <w:rPr>
          <w:rFonts w:eastAsia="Times New Roman" w:cstheme="minorHAnsi"/>
          <w:color w:val="4A4A4A"/>
          <w:sz w:val="21"/>
          <w:szCs w:val="21"/>
          <w:lang w:eastAsia="en-GB"/>
        </w:rPr>
        <w:t>Compare the average</w:t>
      </w:r>
      <w:r w:rsidR="001F4D52" w:rsidRPr="00913495">
        <w:rPr>
          <w:rFonts w:eastAsia="Times New Roman" w:cstheme="minorHAnsi"/>
          <w:color w:val="4A4A4A"/>
          <w:sz w:val="21"/>
          <w:szCs w:val="21"/>
          <w:lang w:eastAsia="en-GB"/>
        </w:rPr>
        <w:t xml:space="preserve"> per capita out-of-pocket household expenditure on health in a benchmark source with the average value</w:t>
      </w:r>
      <w:r w:rsidR="005303D4" w:rsidRPr="00913495">
        <w:rPr>
          <w:rFonts w:eastAsia="Times New Roman" w:cstheme="minorHAnsi"/>
          <w:color w:val="4A4A4A"/>
          <w:sz w:val="21"/>
          <w:szCs w:val="21"/>
          <w:lang w:eastAsia="en-GB"/>
        </w:rPr>
        <w:t>s</w:t>
      </w:r>
      <w:r w:rsidR="001F4D52" w:rsidRPr="00913495">
        <w:rPr>
          <w:rFonts w:eastAsia="Times New Roman" w:cstheme="minorHAnsi"/>
          <w:color w:val="4A4A4A"/>
          <w:sz w:val="21"/>
          <w:szCs w:val="21"/>
          <w:lang w:eastAsia="en-GB"/>
        </w:rPr>
        <w:t xml:space="preserve"> estimated from the survey. The benchmark source </w:t>
      </w:r>
      <w:r w:rsidR="00D639B6" w:rsidRPr="00913495">
        <w:rPr>
          <w:rFonts w:eastAsia="Times New Roman" w:cstheme="minorHAnsi"/>
          <w:color w:val="4A4A4A"/>
          <w:sz w:val="21"/>
          <w:szCs w:val="21"/>
          <w:lang w:eastAsia="en-GB"/>
        </w:rPr>
        <w:t>values are</w:t>
      </w:r>
      <w:r w:rsidR="001F4D52" w:rsidRPr="00913495">
        <w:rPr>
          <w:rFonts w:eastAsia="Times New Roman" w:cstheme="minorHAnsi"/>
          <w:color w:val="4A4A4A"/>
          <w:sz w:val="21"/>
          <w:szCs w:val="21"/>
          <w:lang w:eastAsia="en-GB"/>
        </w:rPr>
        <w:t xml:space="preserve"> taken </w:t>
      </w:r>
      <w:r w:rsidR="001F4D52" w:rsidRPr="00913495">
        <w:rPr>
          <w:rFonts w:eastAsia="Times New Roman" w:cstheme="minorHAnsi"/>
          <w:color w:val="4A4A4A"/>
          <w:sz w:val="21"/>
          <w:szCs w:val="21"/>
          <w:lang w:eastAsia="en-GB"/>
        </w:rPr>
        <w:lastRenderedPageBreak/>
        <w:t xml:space="preserve">from the </w:t>
      </w:r>
      <w:r w:rsidR="0046049B" w:rsidRPr="00913495">
        <w:rPr>
          <w:rFonts w:eastAsia="Times New Roman" w:cstheme="minorHAnsi"/>
          <w:color w:val="4A4A4A"/>
          <w:sz w:val="21"/>
          <w:szCs w:val="21"/>
          <w:lang w:eastAsia="en-GB"/>
        </w:rPr>
        <w:t xml:space="preserve">WHO </w:t>
      </w:r>
      <w:r w:rsidR="00912D59" w:rsidRPr="00913495">
        <w:rPr>
          <w:rFonts w:eastAsia="Times New Roman" w:cstheme="minorHAnsi"/>
          <w:color w:val="4A4A4A"/>
          <w:sz w:val="21"/>
          <w:szCs w:val="21"/>
          <w:lang w:eastAsia="en-GB"/>
        </w:rPr>
        <w:t xml:space="preserve">Global Health Expenditure Database </w:t>
      </w:r>
      <w:r w:rsidR="001038BC" w:rsidRPr="00913495">
        <w:rPr>
          <w:rFonts w:eastAsia="Times New Roman" w:cstheme="minorHAnsi"/>
          <w:color w:val="4A4A4A"/>
          <w:sz w:val="21"/>
          <w:szCs w:val="21"/>
          <w:lang w:eastAsia="en-GB"/>
        </w:rPr>
        <w:t>(GHED)</w:t>
      </w:r>
      <w:r w:rsidR="001F4D52" w:rsidRPr="00645B6F">
        <w:rPr>
          <w:rFonts w:eastAsia="Times New Roman" w:cstheme="minorHAnsi"/>
          <w:color w:val="4A4A4A"/>
          <w:sz w:val="21"/>
          <w:szCs w:val="21"/>
          <w:vertAlign w:val="superscript"/>
          <w:lang w:eastAsia="en-GB"/>
        </w:rPr>
        <w:footnoteReference w:id="18"/>
      </w:r>
      <w:r w:rsidR="00770C54" w:rsidRPr="00913495">
        <w:rPr>
          <w:rFonts w:eastAsia="Times New Roman" w:cstheme="minorHAnsi"/>
          <w:color w:val="4A4A4A"/>
          <w:sz w:val="21"/>
          <w:szCs w:val="21"/>
          <w:lang w:eastAsia="en-GB"/>
        </w:rPr>
        <w:t xml:space="preserve"> in </w:t>
      </w:r>
      <w:r w:rsidR="0035763E" w:rsidRPr="00913495">
        <w:rPr>
          <w:rFonts w:eastAsia="Times New Roman" w:cstheme="minorHAnsi"/>
          <w:color w:val="4A4A4A"/>
          <w:sz w:val="21"/>
          <w:szCs w:val="21"/>
          <w:lang w:eastAsia="en-GB"/>
        </w:rPr>
        <w:t xml:space="preserve">yearly national </w:t>
      </w:r>
      <w:r w:rsidR="00EE74BC" w:rsidRPr="00913495">
        <w:rPr>
          <w:rFonts w:eastAsia="Times New Roman" w:cstheme="minorHAnsi"/>
          <w:color w:val="4A4A4A"/>
          <w:sz w:val="21"/>
          <w:szCs w:val="21"/>
          <w:lang w:eastAsia="en-GB"/>
        </w:rPr>
        <w:t xml:space="preserve">local </w:t>
      </w:r>
      <w:r w:rsidR="00925110" w:rsidRPr="00913495">
        <w:rPr>
          <w:rFonts w:eastAsia="Times New Roman" w:cstheme="minorHAnsi"/>
          <w:color w:val="4A4A4A"/>
          <w:sz w:val="21"/>
          <w:szCs w:val="21"/>
          <w:lang w:eastAsia="en-GB"/>
        </w:rPr>
        <w:t>currency</w:t>
      </w:r>
      <w:r w:rsidR="0035763E" w:rsidRPr="00913495">
        <w:rPr>
          <w:rFonts w:eastAsia="Times New Roman" w:cstheme="minorHAnsi"/>
          <w:color w:val="4A4A4A"/>
          <w:sz w:val="21"/>
          <w:szCs w:val="21"/>
          <w:lang w:eastAsia="en-GB"/>
        </w:rPr>
        <w:t xml:space="preserve"> per capita</w:t>
      </w:r>
      <w:r w:rsidR="00EE74BC" w:rsidRPr="00913495">
        <w:rPr>
          <w:rFonts w:eastAsia="Times New Roman" w:cstheme="minorHAnsi"/>
          <w:color w:val="4A4A4A"/>
          <w:sz w:val="21"/>
          <w:szCs w:val="21"/>
          <w:lang w:eastAsia="en-GB"/>
        </w:rPr>
        <w:t xml:space="preserve"> units</w:t>
      </w:r>
      <w:r w:rsidR="00925110" w:rsidRPr="00913495">
        <w:rPr>
          <w:rFonts w:eastAsia="Times New Roman" w:cstheme="minorHAnsi"/>
          <w:color w:val="4A4A4A"/>
          <w:sz w:val="21"/>
          <w:szCs w:val="21"/>
          <w:lang w:eastAsia="en-GB"/>
        </w:rPr>
        <w:t xml:space="preserve">, converted into </w:t>
      </w:r>
      <w:r w:rsidR="007B4C10" w:rsidRPr="00913495">
        <w:rPr>
          <w:rFonts w:eastAsia="Times New Roman" w:cstheme="minorHAnsi"/>
          <w:color w:val="4A4A4A"/>
          <w:sz w:val="21"/>
          <w:szCs w:val="21"/>
          <w:lang w:eastAsia="en-GB"/>
        </w:rPr>
        <w:t xml:space="preserve">daily per capita </w:t>
      </w:r>
      <w:r w:rsidR="009243F8" w:rsidRPr="00913495">
        <w:rPr>
          <w:rFonts w:eastAsia="Times New Roman" w:cstheme="minorHAnsi"/>
          <w:color w:val="4A4A4A"/>
          <w:sz w:val="21"/>
          <w:szCs w:val="21"/>
          <w:lang w:eastAsia="en-GB"/>
        </w:rPr>
        <w:t xml:space="preserve">values in </w:t>
      </w:r>
      <w:r w:rsidR="00925110" w:rsidRPr="00913495">
        <w:rPr>
          <w:rFonts w:eastAsia="Times New Roman" w:cstheme="minorHAnsi"/>
          <w:color w:val="4A4A4A"/>
          <w:sz w:val="21"/>
          <w:szCs w:val="21"/>
          <w:lang w:eastAsia="en-GB"/>
        </w:rPr>
        <w:t>PPP2017, using a conversion factor</w:t>
      </w:r>
      <w:r w:rsidR="001F4D52" w:rsidRPr="00913495">
        <w:rPr>
          <w:rFonts w:eastAsia="Times New Roman" w:cstheme="minorHAnsi"/>
          <w:color w:val="4A4A4A"/>
          <w:sz w:val="21"/>
          <w:szCs w:val="21"/>
          <w:lang w:eastAsia="en-GB"/>
        </w:rPr>
        <w:t>.</w:t>
      </w:r>
      <w:r w:rsidR="009243F8" w:rsidRPr="00913495">
        <w:rPr>
          <w:rFonts w:eastAsia="Times New Roman" w:cstheme="minorHAnsi"/>
          <w:color w:val="4A4A4A"/>
          <w:sz w:val="21"/>
          <w:szCs w:val="21"/>
          <w:lang w:eastAsia="en-GB"/>
        </w:rPr>
        <w:t xml:space="preserve"> </w:t>
      </w:r>
      <w:r w:rsidR="003C0E7C" w:rsidRPr="00913495">
        <w:rPr>
          <w:rFonts w:eastAsia="Times New Roman" w:cstheme="minorHAnsi"/>
          <w:color w:val="4A4A4A"/>
          <w:sz w:val="21"/>
          <w:szCs w:val="21"/>
          <w:lang w:eastAsia="en-GB"/>
        </w:rPr>
        <w:t>PPP values are derived from PIP database</w:t>
      </w:r>
      <w:r w:rsidR="003C0E7C">
        <w:rPr>
          <w:rStyle w:val="FootnoteReference"/>
          <w:rFonts w:eastAsia="Times New Roman" w:cstheme="minorHAnsi"/>
          <w:color w:val="4A4A4A"/>
          <w:sz w:val="21"/>
          <w:szCs w:val="21"/>
          <w:lang w:eastAsia="en-GB"/>
        </w:rPr>
        <w:footnoteReference w:id="19"/>
      </w:r>
      <w:r w:rsidR="001276CA" w:rsidRPr="00913495">
        <w:rPr>
          <w:rFonts w:eastAsia="Times New Roman" w:cstheme="minorHAnsi"/>
          <w:color w:val="4A4A4A"/>
          <w:sz w:val="21"/>
          <w:szCs w:val="21"/>
          <w:lang w:eastAsia="en-GB"/>
        </w:rPr>
        <w:t xml:space="preserve"> if available, else </w:t>
      </w:r>
      <w:r w:rsidR="00873E30" w:rsidRPr="00913495">
        <w:rPr>
          <w:rFonts w:eastAsia="Times New Roman" w:cstheme="minorHAnsi"/>
          <w:color w:val="4A4A4A"/>
          <w:sz w:val="21"/>
          <w:szCs w:val="21"/>
          <w:lang w:eastAsia="en-GB"/>
        </w:rPr>
        <w:t>from the World Bank’s World Development Indicators database</w:t>
      </w:r>
      <w:r w:rsidR="00873E30">
        <w:rPr>
          <w:rStyle w:val="FootnoteReference"/>
          <w:rFonts w:eastAsia="Times New Roman" w:cstheme="minorHAnsi"/>
          <w:color w:val="4A4A4A"/>
          <w:sz w:val="21"/>
          <w:szCs w:val="21"/>
          <w:lang w:eastAsia="en-GB"/>
        </w:rPr>
        <w:footnoteReference w:id="20"/>
      </w:r>
      <w:r w:rsidR="00873E30" w:rsidRPr="00913495">
        <w:rPr>
          <w:rFonts w:eastAsia="Times New Roman" w:cstheme="minorHAnsi"/>
          <w:color w:val="4A4A4A"/>
          <w:sz w:val="21"/>
          <w:szCs w:val="21"/>
          <w:lang w:eastAsia="en-GB"/>
        </w:rPr>
        <w:t xml:space="preserve">. </w:t>
      </w:r>
      <w:r w:rsidR="00EE74BC" w:rsidRPr="00913495">
        <w:rPr>
          <w:rFonts w:eastAsia="Times New Roman" w:cstheme="minorHAnsi"/>
          <w:color w:val="4A4A4A"/>
          <w:sz w:val="21"/>
          <w:szCs w:val="21"/>
          <w:lang w:eastAsia="en-GB"/>
        </w:rPr>
        <w:t xml:space="preserve"> The comparison is based on the ratio of the average per capita out-of-pocket household expenditure on health in a benchmark source with the average values estimated from the survey</w:t>
      </w:r>
      <w:r w:rsidR="00913495">
        <w:rPr>
          <w:rFonts w:eastAsia="Times New Roman" w:cstheme="minorHAnsi"/>
          <w:color w:val="4A4A4A"/>
          <w:sz w:val="21"/>
          <w:szCs w:val="21"/>
          <w:lang w:eastAsia="en-GB"/>
        </w:rPr>
        <w:t xml:space="preserve"> </w:t>
      </w:r>
      <w:r w:rsidR="00EE74BC" w:rsidRPr="00913495">
        <w:rPr>
          <w:rFonts w:eastAsia="Times New Roman" w:cstheme="minorHAnsi"/>
          <w:color w:val="4A4A4A"/>
          <w:sz w:val="21"/>
          <w:szCs w:val="21"/>
          <w:lang w:eastAsia="en-GB"/>
        </w:rPr>
        <w:t xml:space="preserve">(difference between average expenditures to the survey-based estimate). If the ratio is greater than 10% (when welfare vector used for estimates is the same, either income or consumption) or 20% (when welfare vectors used for survey and benchmark estimates are different), the survey point is identified as an outlier in terms of median consumption or income per capita and flagged for possible exclusion. </w:t>
      </w:r>
    </w:p>
    <w:p w14:paraId="7E1986AD" w14:textId="2B181B33" w:rsidR="00AB083D" w:rsidRPr="00A4731F" w:rsidRDefault="00AB083D" w:rsidP="00A11A20">
      <w:pPr>
        <w:numPr>
          <w:ilvl w:val="0"/>
          <w:numId w:val="7"/>
        </w:numPr>
        <w:shd w:val="clear" w:color="auto" w:fill="FFFFFF"/>
        <w:spacing w:after="0" w:line="240" w:lineRule="auto"/>
        <w:jc w:val="both"/>
        <w:rPr>
          <w:rFonts w:eastAsia="Times New Roman" w:cstheme="minorHAnsi"/>
          <w:color w:val="4A4A4A"/>
          <w:sz w:val="21"/>
          <w:szCs w:val="21"/>
          <w:lang w:eastAsia="en-GB"/>
        </w:rPr>
      </w:pPr>
      <w:r w:rsidRPr="0005342A">
        <w:rPr>
          <w:rFonts w:eastAsia="Times New Roman" w:cstheme="minorHAnsi"/>
          <w:color w:val="4A4A4A"/>
          <w:sz w:val="21"/>
          <w:szCs w:val="21"/>
          <w:lang w:eastAsia="en-GB"/>
        </w:rPr>
        <w:t>Compare the average</w:t>
      </w:r>
      <w:r w:rsidR="001F4D52">
        <w:rPr>
          <w:rFonts w:eastAsia="Times New Roman" w:cstheme="minorHAnsi"/>
          <w:color w:val="4A4A4A"/>
          <w:sz w:val="21"/>
          <w:szCs w:val="21"/>
          <w:lang w:eastAsia="en-GB"/>
        </w:rPr>
        <w:t xml:space="preserve"> out-of-pocket</w:t>
      </w:r>
      <w:r w:rsidRPr="0005342A">
        <w:rPr>
          <w:rFonts w:eastAsia="Times New Roman" w:cstheme="minorHAnsi"/>
          <w:color w:val="4A4A4A"/>
          <w:sz w:val="21"/>
          <w:szCs w:val="21"/>
          <w:lang w:eastAsia="en-GB"/>
        </w:rPr>
        <w:t xml:space="preserve"> health expenditure </w:t>
      </w:r>
      <w:r w:rsidR="008E5734">
        <w:rPr>
          <w:rFonts w:eastAsia="Times New Roman" w:cstheme="minorHAnsi"/>
          <w:color w:val="4A4A4A"/>
          <w:sz w:val="21"/>
          <w:szCs w:val="21"/>
          <w:lang w:eastAsia="en-GB"/>
        </w:rPr>
        <w:t>budget share</w:t>
      </w:r>
      <w:r w:rsidRPr="0005342A">
        <w:rPr>
          <w:rFonts w:eastAsia="Times New Roman" w:cstheme="minorHAnsi"/>
          <w:color w:val="4A4A4A"/>
          <w:sz w:val="21"/>
          <w:szCs w:val="21"/>
          <w:lang w:eastAsia="en-GB"/>
        </w:rPr>
        <w:t xml:space="preserve"> in the survey to a benchmark average</w:t>
      </w:r>
      <w:r>
        <w:rPr>
          <w:rFonts w:eastAsia="Times New Roman" w:cstheme="minorHAnsi"/>
          <w:color w:val="4A4A4A"/>
          <w:sz w:val="21"/>
          <w:szCs w:val="21"/>
          <w:lang w:eastAsia="en-GB"/>
        </w:rPr>
        <w:t xml:space="preserve"> </w:t>
      </w:r>
      <w:r w:rsidR="001F4D52">
        <w:rPr>
          <w:rFonts w:eastAsia="Times New Roman" w:cstheme="minorHAnsi"/>
          <w:color w:val="4A4A4A"/>
          <w:sz w:val="21"/>
          <w:szCs w:val="21"/>
          <w:lang w:eastAsia="en-GB"/>
        </w:rPr>
        <w:t>out-of-pocket</w:t>
      </w:r>
      <w:r>
        <w:rPr>
          <w:rFonts w:eastAsia="Times New Roman" w:cstheme="minorHAnsi"/>
          <w:color w:val="4A4A4A"/>
          <w:sz w:val="21"/>
          <w:szCs w:val="21"/>
          <w:lang w:eastAsia="en-GB"/>
        </w:rPr>
        <w:t xml:space="preserve"> health</w:t>
      </w:r>
      <w:r w:rsidRPr="0005342A">
        <w:rPr>
          <w:rFonts w:eastAsia="Times New Roman" w:cstheme="minorHAnsi"/>
          <w:color w:val="4A4A4A"/>
          <w:sz w:val="21"/>
          <w:szCs w:val="21"/>
          <w:lang w:eastAsia="en-GB"/>
        </w:rPr>
        <w:t xml:space="preserve"> budget share. The latter is constructed </w:t>
      </w:r>
      <w:r>
        <w:rPr>
          <w:rFonts w:eastAsia="Times New Roman" w:cstheme="minorHAnsi"/>
          <w:color w:val="4A4A4A"/>
          <w:sz w:val="21"/>
          <w:szCs w:val="21"/>
          <w:lang w:eastAsia="en-GB"/>
        </w:rPr>
        <w:t xml:space="preserve">from national health accounts data </w:t>
      </w:r>
      <w:r w:rsidRPr="0005342A">
        <w:rPr>
          <w:rFonts w:eastAsia="Times New Roman" w:cstheme="minorHAnsi"/>
          <w:color w:val="4A4A4A"/>
          <w:sz w:val="21"/>
          <w:szCs w:val="21"/>
          <w:lang w:eastAsia="en-GB"/>
        </w:rPr>
        <w:t>as the ratio of the aggregate measure of household out-of-pocket expenditures</w:t>
      </w:r>
      <w:r w:rsidR="00F46855">
        <w:rPr>
          <w:rFonts w:eastAsia="Times New Roman" w:cstheme="minorHAnsi"/>
          <w:color w:val="4A4A4A"/>
          <w:sz w:val="21"/>
          <w:szCs w:val="21"/>
          <w:lang w:eastAsia="en-GB"/>
        </w:rPr>
        <w:t xml:space="preserve"> </w:t>
      </w:r>
      <w:r w:rsidRPr="0005342A">
        <w:rPr>
          <w:rFonts w:eastAsia="Times New Roman" w:cstheme="minorHAnsi"/>
          <w:color w:val="4A4A4A"/>
          <w:sz w:val="21"/>
          <w:szCs w:val="21"/>
          <w:lang w:eastAsia="en-GB"/>
        </w:rPr>
        <w:t>to the final consumption expenditure</w:t>
      </w:r>
      <w:r>
        <w:rPr>
          <w:rFonts w:eastAsia="Times New Roman" w:cstheme="minorHAnsi"/>
          <w:color w:val="4A4A4A"/>
          <w:sz w:val="21"/>
          <w:szCs w:val="21"/>
          <w:lang w:eastAsia="en-GB"/>
        </w:rPr>
        <w:t xml:space="preserve"> of households and profit institutions serving households</w:t>
      </w:r>
      <w:r w:rsidRPr="00E35EB1">
        <w:rPr>
          <w:rFonts w:eastAsia="Times New Roman" w:cstheme="minorHAnsi"/>
          <w:color w:val="4A4A4A"/>
          <w:sz w:val="21"/>
          <w:szCs w:val="21"/>
          <w:lang w:eastAsia="en-GB"/>
        </w:rPr>
        <w:t>, both in current local currency</w:t>
      </w:r>
      <w:r w:rsidR="00913495">
        <w:rPr>
          <w:rFonts w:eastAsia="Times New Roman" w:cstheme="minorHAnsi"/>
          <w:color w:val="4A4A4A"/>
          <w:sz w:val="21"/>
          <w:szCs w:val="21"/>
          <w:lang w:eastAsia="en-GB"/>
        </w:rPr>
        <w:t xml:space="preserve"> units</w:t>
      </w:r>
      <w:r w:rsidRPr="00E35EB1">
        <w:rPr>
          <w:rFonts w:eastAsia="Times New Roman" w:cstheme="minorHAnsi"/>
          <w:color w:val="4A4A4A"/>
          <w:sz w:val="21"/>
          <w:szCs w:val="21"/>
          <w:lang w:eastAsia="en-GB"/>
        </w:rPr>
        <w:t>.  When the absolute difference exceeds 5 percentage points the survey point is identified as an outlier in terms of household budget share spent on health and flagged for possible exclusion. The macro-indicator</w:t>
      </w:r>
      <w:r>
        <w:rPr>
          <w:rFonts w:eastAsia="Times New Roman" w:cstheme="minorHAnsi"/>
          <w:color w:val="4A4A4A"/>
          <w:sz w:val="21"/>
          <w:szCs w:val="21"/>
          <w:lang w:eastAsia="en-GB"/>
        </w:rPr>
        <w:t>s</w:t>
      </w:r>
      <w:r w:rsidRPr="00E35EB1">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are</w:t>
      </w:r>
      <w:r w:rsidRPr="00E35EB1">
        <w:rPr>
          <w:rFonts w:eastAsia="Times New Roman" w:cstheme="minorHAnsi"/>
          <w:color w:val="4A4A4A"/>
          <w:sz w:val="21"/>
          <w:szCs w:val="21"/>
          <w:lang w:eastAsia="en-GB"/>
        </w:rPr>
        <w:t xml:space="preserve"> available from the </w:t>
      </w:r>
      <w:r w:rsidR="00A91080">
        <w:rPr>
          <w:rFonts w:eastAsia="Times New Roman" w:cstheme="minorHAnsi"/>
          <w:color w:val="4A4A4A"/>
          <w:sz w:val="21"/>
          <w:szCs w:val="21"/>
          <w:lang w:eastAsia="en-GB"/>
        </w:rPr>
        <w:t xml:space="preserve">WHO </w:t>
      </w:r>
      <w:r w:rsidRPr="0005342A">
        <w:rPr>
          <w:rFonts w:eastAsia="Times New Roman" w:cstheme="minorHAnsi"/>
          <w:color w:val="4A4A4A"/>
          <w:sz w:val="21"/>
          <w:szCs w:val="21"/>
          <w:lang w:eastAsia="en-GB"/>
        </w:rPr>
        <w:t>GHED</w:t>
      </w:r>
      <w:r w:rsidRPr="00645B6F">
        <w:rPr>
          <w:rFonts w:eastAsia="Times New Roman" w:cstheme="minorHAnsi"/>
          <w:color w:val="4A4A4A"/>
          <w:sz w:val="21"/>
          <w:szCs w:val="21"/>
          <w:vertAlign w:val="superscript"/>
          <w:lang w:eastAsia="en-GB"/>
        </w:rPr>
        <w:footnoteReference w:id="21"/>
      </w:r>
      <w:r w:rsidR="00A91080">
        <w:rPr>
          <w:rFonts w:eastAsia="Times New Roman" w:cstheme="minorHAnsi"/>
          <w:color w:val="4A4A4A"/>
          <w:sz w:val="21"/>
          <w:szCs w:val="21"/>
          <w:lang w:eastAsia="en-GB"/>
        </w:rPr>
        <w:t>.</w:t>
      </w:r>
      <w:r w:rsidRPr="0005342A">
        <w:rPr>
          <w:rFonts w:eastAsia="Times New Roman" w:cstheme="minorHAnsi"/>
          <w:color w:val="4A4A4A"/>
          <w:sz w:val="21"/>
          <w:szCs w:val="21"/>
          <w:lang w:eastAsia="en-GB"/>
        </w:rPr>
        <w:t xml:space="preserve"> </w:t>
      </w:r>
    </w:p>
    <w:p w14:paraId="345098CE" w14:textId="77777777" w:rsidR="00AB083D" w:rsidRPr="00645B6F" w:rsidRDefault="00AB083D" w:rsidP="00A11A20">
      <w:pPr>
        <w:shd w:val="clear" w:color="auto" w:fill="FFFFFF"/>
        <w:spacing w:after="0"/>
        <w:ind w:left="720"/>
        <w:contextualSpacing/>
        <w:jc w:val="both"/>
        <w:rPr>
          <w:rFonts w:eastAsia="Times New Roman" w:cstheme="minorHAnsi"/>
          <w:color w:val="4A4A4A"/>
          <w:sz w:val="21"/>
          <w:szCs w:val="21"/>
          <w:lang w:eastAsia="en-GB"/>
        </w:rPr>
      </w:pPr>
    </w:p>
    <w:p w14:paraId="7B5890C7" w14:textId="77777777" w:rsidR="009C120F" w:rsidRDefault="00AB083D" w:rsidP="00A11A20">
      <w:pPr>
        <w:shd w:val="clear" w:color="auto" w:fill="FFFFFF"/>
        <w:spacing w:after="0" w:line="240" w:lineRule="auto"/>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These benchmarks are also used to decide between two estimates for those countries and those years for which both institutions have the same data source.</w:t>
      </w:r>
      <w:r>
        <w:rPr>
          <w:rFonts w:eastAsia="Times New Roman" w:cstheme="minorHAnsi"/>
          <w:color w:val="4A4A4A"/>
          <w:sz w:val="21"/>
          <w:szCs w:val="21"/>
          <w:lang w:eastAsia="en-GB"/>
        </w:rPr>
        <w:t xml:space="preserve"> For a survey-based estimate of indicator 3.8.2 to be included in the joint database and therefore in the country consultation </w:t>
      </w:r>
      <w:r w:rsidR="00412FE1">
        <w:rPr>
          <w:rFonts w:eastAsia="Times New Roman" w:cstheme="minorHAnsi"/>
          <w:color w:val="4A4A4A"/>
          <w:sz w:val="21"/>
          <w:szCs w:val="21"/>
          <w:lang w:eastAsia="en-GB"/>
        </w:rPr>
        <w:t>conducted every two years</w:t>
      </w:r>
      <w:r w:rsidR="009C120F">
        <w:rPr>
          <w:rFonts w:eastAsia="Times New Roman" w:cstheme="minorHAnsi"/>
          <w:color w:val="4A4A4A"/>
          <w:sz w:val="21"/>
          <w:szCs w:val="21"/>
          <w:lang w:eastAsia="en-GB"/>
        </w:rPr>
        <w:t xml:space="preserve"> previously described,</w:t>
      </w:r>
      <w:r>
        <w:rPr>
          <w:rFonts w:eastAsia="Times New Roman" w:cstheme="minorHAnsi"/>
          <w:color w:val="4A4A4A"/>
          <w:sz w:val="21"/>
          <w:szCs w:val="21"/>
          <w:lang w:eastAsia="en-GB"/>
        </w:rPr>
        <w:t xml:space="preserve"> it cannot be an outlier in consumption, neither in terms of the health budget share.</w:t>
      </w:r>
      <w:r w:rsidR="009C120F">
        <w:rPr>
          <w:rFonts w:eastAsia="Times New Roman" w:cstheme="minorHAnsi"/>
          <w:color w:val="4A4A4A"/>
          <w:sz w:val="21"/>
          <w:szCs w:val="21"/>
          <w:lang w:eastAsia="en-GB"/>
        </w:rPr>
        <w:t xml:space="preserve"> </w:t>
      </w:r>
    </w:p>
    <w:p w14:paraId="000C4FF4" w14:textId="77777777" w:rsidR="009C120F" w:rsidRDefault="009C120F" w:rsidP="00A11A20">
      <w:pPr>
        <w:shd w:val="clear" w:color="auto" w:fill="FFFFFF"/>
        <w:spacing w:after="0" w:line="240" w:lineRule="auto"/>
        <w:jc w:val="both"/>
        <w:rPr>
          <w:rFonts w:eastAsia="Times New Roman" w:cstheme="minorHAnsi"/>
          <w:color w:val="4A4A4A"/>
          <w:sz w:val="21"/>
          <w:szCs w:val="21"/>
          <w:lang w:eastAsia="en-GB"/>
        </w:rPr>
      </w:pPr>
    </w:p>
    <w:p w14:paraId="6A798689" w14:textId="56D82A99" w:rsidR="00517ED8" w:rsidRPr="00645B6F" w:rsidRDefault="009C120F" w:rsidP="00A11A20">
      <w:pPr>
        <w:shd w:val="clear" w:color="auto" w:fill="FFFFFF"/>
        <w:spacing w:after="0" w:line="240" w:lineRule="auto"/>
        <w:jc w:val="both"/>
        <w:rPr>
          <w:rFonts w:eastAsia="Times New Roman" w:cstheme="minorHAnsi"/>
          <w:color w:val="4A4A4A"/>
          <w:sz w:val="21"/>
          <w:szCs w:val="21"/>
          <w:lang w:eastAsia="en-GB"/>
        </w:rPr>
      </w:pPr>
      <w:r>
        <w:rPr>
          <w:rFonts w:eastAsia="Times New Roman" w:cstheme="minorHAnsi"/>
          <w:color w:val="4A4A4A"/>
          <w:sz w:val="21"/>
          <w:szCs w:val="21"/>
          <w:lang w:eastAsia="en-GB"/>
        </w:rPr>
        <w:t>Estimates produced by the countries and shared through the country consultation are subject to the same quality assurance process</w:t>
      </w:r>
      <w:r w:rsidR="000E44B5">
        <w:rPr>
          <w:rFonts w:eastAsia="Times New Roman" w:cstheme="minorHAnsi"/>
          <w:color w:val="4A4A4A"/>
          <w:sz w:val="21"/>
          <w:szCs w:val="21"/>
          <w:lang w:eastAsia="en-GB"/>
        </w:rPr>
        <w:t xml:space="preserve">. They are </w:t>
      </w:r>
      <w:r>
        <w:rPr>
          <w:rFonts w:eastAsia="Times New Roman" w:cstheme="minorHAnsi"/>
          <w:color w:val="4A4A4A"/>
          <w:sz w:val="21"/>
          <w:szCs w:val="21"/>
          <w:lang w:eastAsia="en-GB"/>
        </w:rPr>
        <w:t>included in the joint database if they are not flagged neither in consumption</w:t>
      </w:r>
      <w:r w:rsidR="006533D2">
        <w:rPr>
          <w:rFonts w:eastAsia="Times New Roman" w:cstheme="minorHAnsi"/>
          <w:color w:val="4A4A4A"/>
          <w:sz w:val="21"/>
          <w:szCs w:val="21"/>
          <w:lang w:eastAsia="en-GB"/>
        </w:rPr>
        <w:t>/income</w:t>
      </w:r>
      <w:r>
        <w:rPr>
          <w:rFonts w:eastAsia="Times New Roman" w:cstheme="minorHAnsi"/>
          <w:color w:val="4A4A4A"/>
          <w:sz w:val="21"/>
          <w:szCs w:val="21"/>
          <w:lang w:eastAsia="en-GB"/>
        </w:rPr>
        <w:t xml:space="preserve"> nor in the </w:t>
      </w:r>
      <w:r w:rsidR="006533D2">
        <w:rPr>
          <w:rFonts w:eastAsia="Times New Roman" w:cstheme="minorHAnsi"/>
          <w:color w:val="4A4A4A"/>
          <w:sz w:val="21"/>
          <w:szCs w:val="21"/>
          <w:lang w:eastAsia="en-GB"/>
        </w:rPr>
        <w:t>out-of-pocket household expenditure on</w:t>
      </w:r>
      <w:r>
        <w:rPr>
          <w:rFonts w:eastAsia="Times New Roman" w:cstheme="minorHAnsi"/>
          <w:color w:val="4A4A4A"/>
          <w:sz w:val="21"/>
          <w:szCs w:val="21"/>
          <w:lang w:eastAsia="en-GB"/>
        </w:rPr>
        <w:t xml:space="preserve"> health.</w:t>
      </w:r>
    </w:p>
    <w:p w14:paraId="6E7D4C83" w14:textId="77777777" w:rsidR="002811CF" w:rsidRPr="00645B6F" w:rsidRDefault="002811CF" w:rsidP="00A11A20">
      <w:pPr>
        <w:shd w:val="clear" w:color="auto" w:fill="FFFFFF"/>
        <w:spacing w:after="0"/>
        <w:jc w:val="both"/>
        <w:rPr>
          <w:rFonts w:eastAsia="Times New Roman" w:cstheme="minorHAnsi"/>
          <w:color w:val="4A4A4A"/>
          <w:sz w:val="21"/>
          <w:szCs w:val="21"/>
          <w:lang w:eastAsia="en-GB"/>
        </w:rPr>
      </w:pPr>
    </w:p>
    <w:p w14:paraId="0789638A" w14:textId="77777777" w:rsidR="00AF2722" w:rsidRPr="00A96255" w:rsidRDefault="00AF2722" w:rsidP="00AF2722">
      <w:pPr>
        <w:pStyle w:val="MHeader"/>
        <w:spacing w:after="100"/>
        <w:rPr>
          <w:color w:val="B4B4B4"/>
          <w:sz w:val="20"/>
          <w:szCs w:val="20"/>
        </w:rPr>
      </w:pPr>
      <w:r>
        <w:t xml:space="preserve">5. Data availability and disaggregation </w:t>
      </w:r>
      <w:r w:rsidRPr="153C7502">
        <w:rPr>
          <w:color w:val="B4B4B4"/>
          <w:sz w:val="20"/>
          <w:szCs w:val="20"/>
        </w:rPr>
        <w:t>(COVERAGE)</w:t>
      </w:r>
    </w:p>
    <w:p w14:paraId="464A8CCF" w14:textId="27C17D3B" w:rsidR="00576CFA" w:rsidRPr="004254C4" w:rsidRDefault="00D51E7C" w:rsidP="00A11A20">
      <w:pPr>
        <w:pStyle w:val="MText"/>
        <w:jc w:val="both"/>
        <w:rPr>
          <w:rFonts w:cstheme="minorHAnsi"/>
          <w:b/>
          <w:bCs/>
        </w:rPr>
      </w:pPr>
      <w:r w:rsidRPr="004254C4">
        <w:rPr>
          <w:rFonts w:cstheme="minorHAnsi"/>
          <w:b/>
          <w:bCs/>
        </w:rPr>
        <w:t>Data availability:</w:t>
      </w:r>
    </w:p>
    <w:p w14:paraId="75470DEE" w14:textId="2CA83A5A" w:rsidR="001E40C9" w:rsidRDefault="00151ABF" w:rsidP="00A11A20">
      <w:pPr>
        <w:shd w:val="clear" w:color="auto" w:fill="FFFFFF"/>
        <w:spacing w:after="0"/>
        <w:jc w:val="both"/>
      </w:pPr>
      <w:r>
        <w:rPr>
          <w:rFonts w:eastAsia="Times New Roman" w:cstheme="minorHAnsi"/>
          <w:color w:val="4A4A4A"/>
          <w:sz w:val="21"/>
          <w:szCs w:val="21"/>
          <w:lang w:eastAsia="en-GB"/>
        </w:rPr>
        <w:t>The number of countries or territories with SDG 3.8.2 data increases over time as more surveys become available</w:t>
      </w:r>
      <w:r w:rsidR="007C2836">
        <w:rPr>
          <w:rFonts w:eastAsia="Times New Roman" w:cstheme="minorHAnsi"/>
          <w:color w:val="4A4A4A"/>
          <w:sz w:val="21"/>
          <w:szCs w:val="21"/>
          <w:lang w:eastAsia="en-GB"/>
        </w:rPr>
        <w:t xml:space="preserve"> </w:t>
      </w:r>
      <w:r w:rsidR="00872181">
        <w:rPr>
          <w:rFonts w:eastAsia="Times New Roman" w:cstheme="minorHAnsi"/>
          <w:color w:val="4A4A4A"/>
          <w:sz w:val="21"/>
          <w:szCs w:val="21"/>
          <w:lang w:eastAsia="en-GB"/>
        </w:rPr>
        <w:t xml:space="preserve">with at least </w:t>
      </w:r>
      <w:r w:rsidR="00922D2F">
        <w:rPr>
          <w:rFonts w:eastAsia="Times New Roman" w:cstheme="minorHAnsi"/>
          <w:color w:val="4A4A4A"/>
          <w:sz w:val="21"/>
          <w:szCs w:val="21"/>
          <w:lang w:eastAsia="en-GB"/>
        </w:rPr>
        <w:t xml:space="preserve">150 </w:t>
      </w:r>
      <w:r w:rsidR="006F5114">
        <w:rPr>
          <w:rFonts w:eastAsia="Times New Roman" w:cstheme="minorHAnsi"/>
          <w:color w:val="4A4A4A"/>
          <w:sz w:val="21"/>
          <w:szCs w:val="21"/>
          <w:lang w:eastAsia="en-GB"/>
        </w:rPr>
        <w:t xml:space="preserve">economies (measured in terms of </w:t>
      </w:r>
      <w:r w:rsidR="003B7120">
        <w:rPr>
          <w:rFonts w:eastAsia="Times New Roman" w:cstheme="minorHAnsi"/>
          <w:color w:val="4A4A4A"/>
          <w:sz w:val="21"/>
          <w:szCs w:val="21"/>
          <w:lang w:eastAsia="en-GB"/>
        </w:rPr>
        <w:t>those that have at least 1 data point)</w:t>
      </w:r>
      <w:r w:rsidR="00453323">
        <w:rPr>
          <w:rFonts w:eastAsia="Times New Roman" w:cstheme="minorHAnsi"/>
          <w:color w:val="4A4A4A"/>
          <w:sz w:val="21"/>
          <w:szCs w:val="21"/>
          <w:lang w:eastAsia="en-GB"/>
        </w:rPr>
        <w:t xml:space="preserve">. </w:t>
      </w:r>
      <w:r w:rsidR="00C33C1D">
        <w:rPr>
          <w:rFonts w:eastAsia="Times New Roman" w:cstheme="minorHAnsi"/>
          <w:color w:val="4A4A4A"/>
          <w:sz w:val="21"/>
          <w:szCs w:val="21"/>
          <w:lang w:eastAsia="en-GB"/>
        </w:rPr>
        <w:t>This</w:t>
      </w:r>
      <w:r w:rsidR="00FB33E5">
        <w:rPr>
          <w:rFonts w:eastAsia="Times New Roman" w:cstheme="minorHAnsi"/>
          <w:color w:val="4A4A4A"/>
          <w:sz w:val="21"/>
          <w:szCs w:val="21"/>
          <w:lang w:eastAsia="en-GB"/>
        </w:rPr>
        <w:t xml:space="preserve"> is </w:t>
      </w:r>
      <w:r w:rsidR="00C33C1D">
        <w:rPr>
          <w:rFonts w:eastAsia="Times New Roman" w:cstheme="minorHAnsi"/>
          <w:color w:val="4A4A4A"/>
          <w:sz w:val="21"/>
          <w:szCs w:val="21"/>
          <w:lang w:eastAsia="en-GB"/>
        </w:rPr>
        <w:t>like</w:t>
      </w:r>
      <w:r w:rsidR="00FB33E5">
        <w:rPr>
          <w:rFonts w:eastAsia="Times New Roman" w:cstheme="minorHAnsi"/>
          <w:color w:val="4A4A4A"/>
          <w:sz w:val="21"/>
          <w:szCs w:val="21"/>
          <w:lang w:eastAsia="en-GB"/>
        </w:rPr>
        <w:t xml:space="preserve"> the availability </w:t>
      </w:r>
      <w:r w:rsidR="00846DA2">
        <w:rPr>
          <w:rFonts w:eastAsia="Times New Roman" w:cstheme="minorHAnsi"/>
          <w:color w:val="4A4A4A"/>
          <w:sz w:val="21"/>
          <w:szCs w:val="21"/>
          <w:lang w:eastAsia="en-GB"/>
        </w:rPr>
        <w:t xml:space="preserve">for SDG 1.1.1. </w:t>
      </w:r>
      <w:r w:rsidR="00A04DFC">
        <w:rPr>
          <w:rFonts w:eastAsia="Times New Roman" w:cstheme="minorHAnsi"/>
          <w:color w:val="4A4A4A"/>
          <w:sz w:val="21"/>
          <w:szCs w:val="21"/>
          <w:lang w:eastAsia="en-GB"/>
        </w:rPr>
        <w:t xml:space="preserve"> </w:t>
      </w:r>
      <w:r w:rsidR="00AF127B">
        <w:rPr>
          <w:rFonts w:eastAsia="Times New Roman" w:cstheme="minorHAnsi"/>
          <w:color w:val="4A4A4A"/>
          <w:sz w:val="21"/>
          <w:szCs w:val="21"/>
          <w:lang w:eastAsia="en-GB"/>
        </w:rPr>
        <w:t>F</w:t>
      </w:r>
      <w:r w:rsidR="00B55A32" w:rsidRPr="00645B6F">
        <w:rPr>
          <w:rFonts w:eastAsia="Times New Roman" w:cstheme="minorHAnsi"/>
          <w:color w:val="4A4A4A"/>
          <w:sz w:val="21"/>
          <w:szCs w:val="21"/>
          <w:lang w:eastAsia="en-GB"/>
        </w:rPr>
        <w:t>or</w:t>
      </w:r>
      <w:r w:rsidR="00846DA2">
        <w:rPr>
          <w:rFonts w:eastAsia="Times New Roman" w:cstheme="minorHAnsi"/>
          <w:color w:val="404040" w:themeColor="text1" w:themeTint="BF"/>
          <w:sz w:val="21"/>
          <w:szCs w:val="21"/>
          <w:lang w:eastAsia="en-GB"/>
        </w:rPr>
        <w:t xml:space="preserve"> the data on 3.8.2</w:t>
      </w:r>
      <w:r w:rsidR="00980CE1">
        <w:rPr>
          <w:rFonts w:eastAsia="Times New Roman" w:cstheme="minorHAnsi"/>
          <w:color w:val="404040" w:themeColor="text1" w:themeTint="BF"/>
          <w:sz w:val="21"/>
          <w:szCs w:val="21"/>
          <w:lang w:eastAsia="en-GB"/>
        </w:rPr>
        <w:t>and to get the latest updates</w:t>
      </w:r>
      <w:r w:rsidR="00B55A32" w:rsidRPr="00645B6F">
        <w:rPr>
          <w:rFonts w:eastAsia="Times New Roman" w:cstheme="minorHAnsi"/>
          <w:color w:val="404040" w:themeColor="text1" w:themeTint="BF"/>
          <w:sz w:val="21"/>
          <w:szCs w:val="21"/>
          <w:lang w:eastAsia="en-GB"/>
        </w:rPr>
        <w:t xml:space="preserve">, please </w:t>
      </w:r>
      <w:r w:rsidR="00115E55">
        <w:rPr>
          <w:rFonts w:eastAsia="Times New Roman" w:cstheme="minorHAnsi"/>
          <w:color w:val="404040" w:themeColor="text1" w:themeTint="BF"/>
          <w:sz w:val="21"/>
          <w:szCs w:val="21"/>
          <w:lang w:eastAsia="en-GB"/>
        </w:rPr>
        <w:t>consult</w:t>
      </w:r>
      <w:r w:rsidR="00B55A32" w:rsidRPr="00645B6F">
        <w:rPr>
          <w:rFonts w:eastAsia="Times New Roman" w:cstheme="minorHAnsi"/>
          <w:color w:val="404040" w:themeColor="text1" w:themeTint="BF"/>
          <w:sz w:val="21"/>
          <w:szCs w:val="21"/>
          <w:lang w:eastAsia="en-GB"/>
        </w:rPr>
        <w:t xml:space="preserve"> WHO and World Bank </w:t>
      </w:r>
      <w:r w:rsidR="00AF127B">
        <w:rPr>
          <w:rFonts w:eastAsia="Times New Roman" w:cstheme="minorHAnsi"/>
          <w:color w:val="404040" w:themeColor="text1" w:themeTint="BF"/>
          <w:sz w:val="21"/>
          <w:szCs w:val="21"/>
          <w:lang w:eastAsia="en-GB"/>
        </w:rPr>
        <w:t>dedicated</w:t>
      </w:r>
      <w:r w:rsidR="000D3EAD">
        <w:rPr>
          <w:rFonts w:eastAsia="Times New Roman" w:cstheme="minorHAnsi"/>
          <w:color w:val="404040" w:themeColor="text1" w:themeTint="BF"/>
          <w:sz w:val="21"/>
          <w:szCs w:val="21"/>
          <w:lang w:eastAsia="en-GB"/>
        </w:rPr>
        <w:t xml:space="preserve"> data</w:t>
      </w:r>
      <w:r w:rsidR="007C2836">
        <w:rPr>
          <w:rFonts w:eastAsia="Times New Roman" w:cstheme="minorHAnsi"/>
          <w:color w:val="404040" w:themeColor="text1" w:themeTint="BF"/>
          <w:sz w:val="21"/>
          <w:szCs w:val="21"/>
          <w:lang w:eastAsia="en-GB"/>
        </w:rPr>
        <w:t xml:space="preserve"> </w:t>
      </w:r>
      <w:r w:rsidR="000D3EAD">
        <w:rPr>
          <w:rFonts w:eastAsia="Times New Roman" w:cstheme="minorHAnsi"/>
          <w:color w:val="404040" w:themeColor="text1" w:themeTint="BF"/>
          <w:sz w:val="21"/>
          <w:szCs w:val="21"/>
          <w:lang w:eastAsia="en-GB"/>
        </w:rPr>
        <w:t xml:space="preserve">portals: </w:t>
      </w:r>
    </w:p>
    <w:p w14:paraId="71724280" w14:textId="0C2441DE" w:rsidR="001E40C9" w:rsidRDefault="001E40C9" w:rsidP="00A11A20">
      <w:pPr>
        <w:shd w:val="clear" w:color="auto" w:fill="FFFFFF"/>
        <w:spacing w:after="0"/>
        <w:jc w:val="both"/>
      </w:pPr>
      <w:hyperlink r:id="rId19" w:history="1">
        <w:r w:rsidRPr="00DF6107">
          <w:rPr>
            <w:rStyle w:val="Hyperlink"/>
          </w:rPr>
          <w:t>https://www.who.int/data/gho/data/themes/topics/financial-protection</w:t>
        </w:r>
      </w:hyperlink>
      <w:r>
        <w:t xml:space="preserve"> </w:t>
      </w:r>
    </w:p>
    <w:p w14:paraId="4298D4BD" w14:textId="2D3A2760" w:rsidR="00A941DA" w:rsidRDefault="00A941DA" w:rsidP="00A11A20">
      <w:pPr>
        <w:shd w:val="clear" w:color="auto" w:fill="FFFFFF"/>
        <w:spacing w:after="0"/>
        <w:jc w:val="both"/>
      </w:pPr>
      <w:hyperlink r:id="rId20" w:history="1">
        <w:r w:rsidRPr="00B47B44">
          <w:rPr>
            <w:rStyle w:val="Hyperlink"/>
          </w:rPr>
          <w:t>https://data.who.int/indicators/i/A65146D</w:t>
        </w:r>
      </w:hyperlink>
    </w:p>
    <w:p w14:paraId="382F14F2" w14:textId="4CD34EFC" w:rsidR="007B6FAB" w:rsidRDefault="00A941DA" w:rsidP="00A11A20">
      <w:pPr>
        <w:shd w:val="clear" w:color="auto" w:fill="FFFFFF"/>
        <w:spacing w:after="0"/>
        <w:jc w:val="both"/>
      </w:pPr>
      <w:hyperlink r:id="rId21" w:history="1">
        <w:r w:rsidRPr="00B47B44">
          <w:rPr>
            <w:rStyle w:val="Hyperlink"/>
          </w:rPr>
          <w:t>https://data.who.int/indicators/i/4934B28</w:t>
        </w:r>
      </w:hyperlink>
    </w:p>
    <w:p w14:paraId="09187B0B" w14:textId="7B095E45" w:rsidR="00976664" w:rsidRDefault="00976664" w:rsidP="00A11A20">
      <w:pPr>
        <w:pStyle w:val="MText"/>
        <w:jc w:val="both"/>
      </w:pPr>
      <w:hyperlink r:id="rId22" w:history="1">
        <w:r w:rsidRPr="00DF6107">
          <w:rPr>
            <w:rStyle w:val="Hyperlink"/>
          </w:rPr>
          <w:t>https://datatopics.worldbank.org/universal-health-coverage/</w:t>
        </w:r>
      </w:hyperlink>
      <w:r>
        <w:t xml:space="preserve"> </w:t>
      </w:r>
    </w:p>
    <w:p w14:paraId="470DE28F" w14:textId="77777777" w:rsidR="00976664" w:rsidRPr="00645B6F" w:rsidRDefault="00976664" w:rsidP="00A11A20">
      <w:pPr>
        <w:shd w:val="clear" w:color="auto" w:fill="FFFFFF"/>
        <w:spacing w:after="0"/>
        <w:jc w:val="both"/>
        <w:rPr>
          <w:rFonts w:eastAsia="Times New Roman" w:cstheme="minorHAnsi"/>
          <w:color w:val="404040" w:themeColor="text1" w:themeTint="BF"/>
          <w:sz w:val="21"/>
          <w:szCs w:val="21"/>
          <w:lang w:eastAsia="en-GB"/>
        </w:rPr>
      </w:pPr>
    </w:p>
    <w:p w14:paraId="5853D6F7" w14:textId="55FB0CD9" w:rsidR="00D51E7C" w:rsidRPr="004254C4" w:rsidRDefault="00D51E7C" w:rsidP="00A11A20">
      <w:pPr>
        <w:pStyle w:val="MText"/>
        <w:jc w:val="both"/>
        <w:rPr>
          <w:rFonts w:cstheme="minorHAnsi"/>
          <w:b/>
          <w:bCs/>
        </w:rPr>
      </w:pPr>
      <w:r w:rsidRPr="004254C4">
        <w:rPr>
          <w:rFonts w:cstheme="minorHAnsi"/>
          <w:b/>
          <w:bCs/>
        </w:rPr>
        <w:t>Time series:</w:t>
      </w:r>
    </w:p>
    <w:p w14:paraId="2C0838EC" w14:textId="23BF38BE" w:rsidR="00B55A32" w:rsidRPr="00645B6F" w:rsidRDefault="00C739E6"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On average t</w:t>
      </w:r>
      <w:r w:rsidR="00B55A32" w:rsidRPr="00645B6F">
        <w:rPr>
          <w:rFonts w:eastAsia="Times New Roman" w:cstheme="minorHAnsi"/>
          <w:color w:val="4A4A4A"/>
          <w:sz w:val="21"/>
          <w:szCs w:val="21"/>
          <w:lang w:eastAsia="en-GB"/>
        </w:rPr>
        <w:t xml:space="preserve">he frequency of </w:t>
      </w:r>
      <w:r w:rsidR="00F8458B">
        <w:rPr>
          <w:rFonts w:eastAsia="Times New Roman" w:cstheme="minorHAnsi"/>
          <w:color w:val="4A4A4A"/>
          <w:sz w:val="21"/>
          <w:szCs w:val="21"/>
          <w:lang w:eastAsia="en-GB"/>
        </w:rPr>
        <w:t>3.8.2 estimates</w:t>
      </w:r>
      <w:r w:rsidR="00B55A32" w:rsidRPr="00645B6F">
        <w:rPr>
          <w:rFonts w:eastAsia="Times New Roman" w:cstheme="minorHAnsi"/>
          <w:color w:val="4A4A4A"/>
          <w:sz w:val="21"/>
          <w:szCs w:val="21"/>
          <w:lang w:eastAsia="en-GB"/>
        </w:rPr>
        <w:t xml:space="preserve"> is </w:t>
      </w:r>
      <w:r>
        <w:rPr>
          <w:rFonts w:eastAsia="Times New Roman" w:cstheme="minorHAnsi"/>
          <w:color w:val="4A4A4A"/>
          <w:sz w:val="21"/>
          <w:szCs w:val="21"/>
          <w:lang w:eastAsia="en-GB"/>
        </w:rPr>
        <w:t>5.8</w:t>
      </w:r>
      <w:r w:rsidR="006B1B5B">
        <w:rPr>
          <w:rFonts w:eastAsia="Times New Roman" w:cstheme="minorHAnsi"/>
          <w:color w:val="4A4A4A"/>
          <w:sz w:val="21"/>
          <w:szCs w:val="21"/>
          <w:lang w:eastAsia="en-GB"/>
        </w:rPr>
        <w:t xml:space="preserve"> data points per country</w:t>
      </w:r>
      <w:r w:rsidR="00B55A32" w:rsidRPr="00645B6F">
        <w:rPr>
          <w:rFonts w:eastAsia="Times New Roman" w:cstheme="minorHAnsi"/>
          <w:color w:val="4A4A4A"/>
          <w:sz w:val="21"/>
          <w:szCs w:val="21"/>
          <w:lang w:eastAsia="en-GB"/>
        </w:rPr>
        <w:t xml:space="preserve">. It varies across countries but on average, this ranges </w:t>
      </w:r>
      <w:r w:rsidR="005A58EC">
        <w:rPr>
          <w:rFonts w:eastAsia="Times New Roman" w:cstheme="minorHAnsi"/>
          <w:color w:val="4A4A4A"/>
          <w:sz w:val="21"/>
          <w:szCs w:val="21"/>
          <w:lang w:eastAsia="en-GB"/>
        </w:rPr>
        <w:t xml:space="preserve">on average from </w:t>
      </w:r>
      <w:r w:rsidR="00D83BF1">
        <w:rPr>
          <w:rFonts w:eastAsia="Times New Roman" w:cstheme="minorHAnsi"/>
          <w:color w:val="4A4A4A"/>
          <w:sz w:val="21"/>
          <w:szCs w:val="21"/>
          <w:lang w:eastAsia="en-GB"/>
        </w:rPr>
        <w:t xml:space="preserve">every three years in the WHO European region </w:t>
      </w:r>
      <w:r w:rsidR="00AA09AA">
        <w:rPr>
          <w:rFonts w:eastAsia="Times New Roman" w:cstheme="minorHAnsi"/>
          <w:color w:val="4A4A4A"/>
          <w:sz w:val="21"/>
          <w:szCs w:val="21"/>
          <w:lang w:eastAsia="en-GB"/>
        </w:rPr>
        <w:t>to ever</w:t>
      </w:r>
      <w:r w:rsidR="0018014D">
        <w:rPr>
          <w:rFonts w:eastAsia="Times New Roman" w:cstheme="minorHAnsi"/>
          <w:color w:val="4A4A4A"/>
          <w:sz w:val="21"/>
          <w:szCs w:val="21"/>
          <w:lang w:eastAsia="en-GB"/>
        </w:rPr>
        <w:t>y</w:t>
      </w:r>
      <w:r w:rsidR="00725C0F">
        <w:rPr>
          <w:rFonts w:eastAsia="Times New Roman" w:cstheme="minorHAnsi"/>
          <w:color w:val="4A4A4A"/>
          <w:sz w:val="21"/>
          <w:szCs w:val="21"/>
          <w:lang w:eastAsia="en-GB"/>
        </w:rPr>
        <w:t xml:space="preserve"> 6.5</w:t>
      </w:r>
      <w:r w:rsidR="004C48C9">
        <w:rPr>
          <w:rFonts w:eastAsia="Times New Roman" w:cstheme="minorHAnsi"/>
          <w:color w:val="4A4A4A"/>
          <w:sz w:val="21"/>
          <w:szCs w:val="21"/>
          <w:lang w:eastAsia="en-GB"/>
        </w:rPr>
        <w:t xml:space="preserve"> years in the WHO African region. </w:t>
      </w:r>
    </w:p>
    <w:p w14:paraId="760C013A" w14:textId="364E2656" w:rsidR="00D51E7C" w:rsidRPr="00645B6F" w:rsidRDefault="00D51E7C" w:rsidP="00A11A20">
      <w:pPr>
        <w:pStyle w:val="MText"/>
        <w:jc w:val="both"/>
        <w:rPr>
          <w:rFonts w:cstheme="minorHAnsi"/>
          <w:highlight w:val="cyan"/>
        </w:rPr>
      </w:pPr>
    </w:p>
    <w:p w14:paraId="72C7C370" w14:textId="7CA3CA69" w:rsidR="00D51E7C" w:rsidRPr="004254C4" w:rsidRDefault="00D51E7C" w:rsidP="00A11A20">
      <w:pPr>
        <w:pStyle w:val="MText"/>
        <w:jc w:val="both"/>
        <w:rPr>
          <w:rFonts w:cstheme="minorHAnsi"/>
          <w:b/>
          <w:bCs/>
        </w:rPr>
      </w:pPr>
      <w:r w:rsidRPr="004254C4">
        <w:rPr>
          <w:rFonts w:cstheme="minorHAnsi"/>
          <w:b/>
          <w:bCs/>
        </w:rPr>
        <w:t>Disaggregation:</w:t>
      </w:r>
    </w:p>
    <w:p w14:paraId="13D1BA5D" w14:textId="77777777"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following disaggregation is possible in so far as the survey has been designed to provide representative estimates at such level:</w:t>
      </w:r>
    </w:p>
    <w:p w14:paraId="36D6C90F" w14:textId="1E28B0DE" w:rsidR="00511DA9" w:rsidRDefault="006F1885" w:rsidP="00A11A20">
      <w:pPr>
        <w:numPr>
          <w:ilvl w:val="0"/>
          <w:numId w:val="5"/>
        </w:numPr>
        <w:shd w:val="clear" w:color="auto" w:fill="FFFFFF"/>
        <w:spacing w:after="0" w:line="240" w:lineRule="auto"/>
        <w:jc w:val="both"/>
        <w:rPr>
          <w:rFonts w:eastAsia="Times New Roman" w:cstheme="minorHAnsi"/>
          <w:color w:val="4A4A4A"/>
          <w:sz w:val="21"/>
          <w:szCs w:val="21"/>
          <w:lang w:eastAsia="en-GB"/>
        </w:rPr>
      </w:pPr>
      <w:r w:rsidRPr="009C72A7">
        <w:rPr>
          <w:rFonts w:eastAsia="Times New Roman" w:cstheme="minorHAnsi"/>
          <w:color w:val="4A4A4A"/>
          <w:sz w:val="21"/>
          <w:szCs w:val="21"/>
          <w:lang w:eastAsia="en-GB"/>
        </w:rPr>
        <w:t>Age</w:t>
      </w:r>
      <w:r w:rsidR="00C52C6A">
        <w:rPr>
          <w:rFonts w:eastAsia="Times New Roman" w:cstheme="minorHAnsi"/>
          <w:color w:val="4A4A4A"/>
          <w:sz w:val="21"/>
          <w:szCs w:val="21"/>
          <w:lang w:eastAsia="en-GB"/>
        </w:rPr>
        <w:t xml:space="preserve"> </w:t>
      </w:r>
      <w:r w:rsidR="00C52C6A" w:rsidRPr="00632AA8">
        <w:rPr>
          <w:rFonts w:eastAsia="Times New Roman" w:cstheme="minorHAnsi"/>
          <w:color w:val="4A4A4A"/>
          <w:sz w:val="21"/>
          <w:szCs w:val="21"/>
          <w:lang w:eastAsia="en-GB"/>
        </w:rPr>
        <w:t>(below 60 years old/60 years or older)</w:t>
      </w:r>
      <w:r w:rsidRPr="009C72A7">
        <w:rPr>
          <w:rFonts w:eastAsia="Times New Roman" w:cstheme="minorHAnsi"/>
          <w:color w:val="4A4A4A"/>
          <w:sz w:val="21"/>
          <w:szCs w:val="21"/>
          <w:lang w:eastAsia="en-GB"/>
        </w:rPr>
        <w:t xml:space="preserve"> and </w:t>
      </w:r>
      <w:r w:rsidR="000E59FB" w:rsidRPr="00632AA8">
        <w:rPr>
          <w:rFonts w:eastAsia="Times New Roman" w:cstheme="minorHAnsi"/>
          <w:color w:val="4A4A4A"/>
          <w:sz w:val="21"/>
          <w:szCs w:val="21"/>
          <w:lang w:eastAsia="en-GB"/>
        </w:rPr>
        <w:t xml:space="preserve">sex of the head of the household (male/female); </w:t>
      </w:r>
    </w:p>
    <w:p w14:paraId="059CC7FB" w14:textId="14BFE7E4" w:rsidR="00B141C7" w:rsidRPr="007E7FB5" w:rsidRDefault="000E59FB" w:rsidP="00A11A20">
      <w:pPr>
        <w:numPr>
          <w:ilvl w:val="0"/>
          <w:numId w:val="5"/>
        </w:numPr>
        <w:shd w:val="clear" w:color="auto" w:fill="FFFFFF"/>
        <w:spacing w:after="0" w:line="240" w:lineRule="auto"/>
        <w:jc w:val="both"/>
        <w:rPr>
          <w:rFonts w:eastAsia="Times New Roman" w:cstheme="minorHAnsi"/>
          <w:color w:val="4A4A4A"/>
          <w:sz w:val="21"/>
          <w:szCs w:val="21"/>
          <w:lang w:eastAsia="en-GB"/>
        </w:rPr>
      </w:pPr>
      <w:r w:rsidRPr="007E7FB5">
        <w:rPr>
          <w:rFonts w:eastAsia="Times New Roman" w:cstheme="minorHAnsi"/>
          <w:color w:val="4A4A4A"/>
          <w:sz w:val="21"/>
          <w:szCs w:val="21"/>
          <w:lang w:eastAsia="en-GB"/>
        </w:rPr>
        <w:t>A</w:t>
      </w:r>
      <w:r w:rsidR="006F1885" w:rsidRPr="007E7FB5">
        <w:rPr>
          <w:rFonts w:eastAsia="Times New Roman" w:cstheme="minorHAnsi"/>
          <w:color w:val="4A4A4A"/>
          <w:sz w:val="21"/>
          <w:szCs w:val="21"/>
          <w:lang w:eastAsia="en-GB"/>
        </w:rPr>
        <w:t>ge composition of the household</w:t>
      </w:r>
      <w:r w:rsidR="0004398C" w:rsidRPr="007E7FB5">
        <w:rPr>
          <w:rFonts w:eastAsia="Times New Roman" w:cstheme="minorHAnsi"/>
          <w:color w:val="4A4A4A"/>
          <w:sz w:val="21"/>
          <w:szCs w:val="21"/>
          <w:lang w:eastAsia="en-GB"/>
        </w:rPr>
        <w:t>:</w:t>
      </w:r>
      <w:r w:rsidR="00B141C7" w:rsidRPr="007E7FB5">
        <w:rPr>
          <w:rFonts w:eastAsia="Times New Roman" w:cstheme="minorHAnsi"/>
          <w:color w:val="4A4A4A"/>
          <w:sz w:val="21"/>
          <w:szCs w:val="21"/>
          <w:lang w:eastAsia="en-GB"/>
        </w:rPr>
        <w:t xml:space="preserve"> </w:t>
      </w:r>
      <w:r w:rsidRPr="007E7FB5">
        <w:rPr>
          <w:rFonts w:eastAsia="Times New Roman" w:cstheme="minorHAnsi"/>
          <w:color w:val="4A4A4A"/>
          <w:sz w:val="21"/>
          <w:szCs w:val="21"/>
          <w:lang w:eastAsia="en-GB"/>
        </w:rPr>
        <w:t xml:space="preserve"> </w:t>
      </w:r>
      <w:r w:rsidR="00B141C7" w:rsidRPr="007E7FB5">
        <w:rPr>
          <w:rFonts w:eastAsia="Times New Roman" w:cstheme="minorHAnsi"/>
          <w:color w:val="4A4A4A"/>
          <w:sz w:val="21"/>
          <w:szCs w:val="21"/>
          <w:lang w:eastAsia="en-GB"/>
        </w:rPr>
        <w:t>“adults</w:t>
      </w:r>
      <w:r w:rsidR="00D33020" w:rsidRPr="007E7FB5">
        <w:rPr>
          <w:rFonts w:eastAsia="Times New Roman" w:cstheme="minorHAnsi"/>
          <w:color w:val="4A4A4A"/>
          <w:sz w:val="21"/>
          <w:szCs w:val="21"/>
          <w:lang w:eastAsia="en-GB"/>
        </w:rPr>
        <w:t xml:space="preserve"> only</w:t>
      </w:r>
      <w:r w:rsidR="00B141C7" w:rsidRPr="007E7FB5">
        <w:rPr>
          <w:rFonts w:eastAsia="Times New Roman" w:cstheme="minorHAnsi"/>
          <w:color w:val="4A4A4A"/>
          <w:sz w:val="21"/>
          <w:szCs w:val="21"/>
          <w:lang w:eastAsia="en-GB"/>
        </w:rPr>
        <w:t xml:space="preserve">” includes households composed </w:t>
      </w:r>
      <w:r w:rsidR="009C72A7" w:rsidRPr="007E7FB5">
        <w:rPr>
          <w:rFonts w:eastAsia="Times New Roman" w:cstheme="minorHAnsi"/>
          <w:color w:val="4A4A4A"/>
          <w:sz w:val="21"/>
          <w:szCs w:val="21"/>
          <w:lang w:eastAsia="en-GB"/>
        </w:rPr>
        <w:t xml:space="preserve">only </w:t>
      </w:r>
      <w:r w:rsidR="00B141C7" w:rsidRPr="007E7FB5">
        <w:rPr>
          <w:rFonts w:eastAsia="Times New Roman" w:cstheme="minorHAnsi"/>
          <w:color w:val="4A4A4A"/>
          <w:sz w:val="21"/>
          <w:szCs w:val="21"/>
          <w:lang w:eastAsia="en-GB"/>
        </w:rPr>
        <w:t>of people</w:t>
      </w:r>
      <w:r w:rsidR="009C72A7" w:rsidRPr="007E7FB5">
        <w:rPr>
          <w:rFonts w:eastAsia="Times New Roman" w:cstheme="minorHAnsi"/>
          <w:color w:val="4A4A4A"/>
          <w:sz w:val="21"/>
          <w:szCs w:val="21"/>
          <w:lang w:eastAsia="en-GB"/>
        </w:rPr>
        <w:t xml:space="preserve"> </w:t>
      </w:r>
      <w:r w:rsidR="00B141C7" w:rsidRPr="007E7FB5">
        <w:rPr>
          <w:rFonts w:eastAsia="Times New Roman" w:cstheme="minorHAnsi"/>
          <w:color w:val="4A4A4A"/>
          <w:sz w:val="21"/>
          <w:szCs w:val="21"/>
          <w:lang w:eastAsia="en-GB"/>
        </w:rPr>
        <w:t xml:space="preserve">aged between 20 and 59 years old; </w:t>
      </w:r>
      <w:r w:rsidR="004F2F6D" w:rsidRPr="007E7FB5">
        <w:rPr>
          <w:rFonts w:eastAsia="Times New Roman" w:cstheme="minorHAnsi"/>
          <w:color w:val="4A4A4A"/>
          <w:sz w:val="21"/>
          <w:szCs w:val="21"/>
          <w:lang w:eastAsia="en-GB"/>
        </w:rPr>
        <w:t>“</w:t>
      </w:r>
      <w:r w:rsidR="00B141C7" w:rsidRPr="007E7FB5">
        <w:rPr>
          <w:rFonts w:eastAsia="Times New Roman" w:cstheme="minorHAnsi"/>
          <w:color w:val="4A4A4A"/>
          <w:sz w:val="21"/>
          <w:szCs w:val="21"/>
          <w:lang w:eastAsia="en-GB"/>
        </w:rPr>
        <w:t>multigenerational</w:t>
      </w:r>
      <w:r w:rsidR="004F2F6D" w:rsidRPr="007E7FB5">
        <w:rPr>
          <w:rFonts w:eastAsia="Times New Roman" w:cstheme="minorHAnsi"/>
          <w:color w:val="4A4A4A"/>
          <w:sz w:val="21"/>
          <w:szCs w:val="21"/>
          <w:lang w:eastAsia="en-GB"/>
        </w:rPr>
        <w:t>”</w:t>
      </w:r>
      <w:r w:rsidR="00B141C7" w:rsidRPr="007E7FB5">
        <w:rPr>
          <w:rFonts w:eastAsia="Times New Roman" w:cstheme="minorHAnsi"/>
          <w:color w:val="4A4A4A"/>
          <w:sz w:val="21"/>
          <w:szCs w:val="21"/>
          <w:lang w:eastAsia="en-GB"/>
        </w:rPr>
        <w:t xml:space="preserve"> households include adults living with people below 20 years old (children and/or adolescents) as well as people aged</w:t>
      </w:r>
    </w:p>
    <w:p w14:paraId="6FE7472B" w14:textId="212FC1E3" w:rsidR="00B55A32" w:rsidRPr="00B557FA" w:rsidRDefault="00B141C7" w:rsidP="00A11A20">
      <w:pPr>
        <w:numPr>
          <w:ilvl w:val="0"/>
          <w:numId w:val="5"/>
        </w:numPr>
        <w:shd w:val="clear" w:color="auto" w:fill="FFFFFF"/>
        <w:spacing w:after="0" w:line="240" w:lineRule="auto"/>
        <w:jc w:val="both"/>
        <w:rPr>
          <w:rFonts w:eastAsia="Times New Roman" w:cstheme="minorHAnsi"/>
          <w:color w:val="4A4A4A"/>
          <w:sz w:val="21"/>
          <w:szCs w:val="21"/>
          <w:lang w:eastAsia="en-GB"/>
        </w:rPr>
      </w:pPr>
      <w:r w:rsidRPr="00B557FA">
        <w:rPr>
          <w:rFonts w:eastAsia="Times New Roman" w:cstheme="minorHAnsi"/>
          <w:color w:val="4A4A4A"/>
          <w:sz w:val="21"/>
          <w:szCs w:val="21"/>
          <w:lang w:eastAsia="en-GB"/>
        </w:rPr>
        <w:t>-older adults</w:t>
      </w:r>
      <w:r w:rsidR="007E7FB5">
        <w:rPr>
          <w:rFonts w:eastAsia="Times New Roman" w:cstheme="minorHAnsi"/>
          <w:color w:val="4A4A4A"/>
          <w:sz w:val="21"/>
          <w:szCs w:val="21"/>
          <w:lang w:eastAsia="en-GB"/>
        </w:rPr>
        <w:t xml:space="preserve"> (</w:t>
      </w:r>
      <w:r w:rsidR="007E7FB5" w:rsidRPr="00B557FA">
        <w:rPr>
          <w:rFonts w:eastAsia="Times New Roman" w:cstheme="minorHAnsi"/>
          <w:color w:val="4A4A4A"/>
          <w:sz w:val="21"/>
          <w:szCs w:val="21"/>
          <w:lang w:eastAsia="en-GB"/>
        </w:rPr>
        <w:t>60 years old or more</w:t>
      </w:r>
      <w:r w:rsidRPr="00B557FA">
        <w:rPr>
          <w:rFonts w:eastAsia="Times New Roman" w:cstheme="minorHAnsi"/>
          <w:color w:val="4A4A4A"/>
          <w:sz w:val="21"/>
          <w:szCs w:val="21"/>
          <w:lang w:eastAsia="en-GB"/>
        </w:rPr>
        <w:t xml:space="preserve">); </w:t>
      </w:r>
      <w:r w:rsidR="005556B0" w:rsidRPr="00B557FA">
        <w:rPr>
          <w:rFonts w:eastAsia="Times New Roman" w:cstheme="minorHAnsi"/>
          <w:color w:val="4A4A4A"/>
          <w:sz w:val="21"/>
          <w:szCs w:val="21"/>
          <w:lang w:eastAsia="en-GB"/>
        </w:rPr>
        <w:t>“</w:t>
      </w:r>
      <w:r w:rsidR="00AB71AB" w:rsidRPr="00B557FA">
        <w:rPr>
          <w:rFonts w:eastAsia="Times New Roman" w:cstheme="minorHAnsi"/>
          <w:color w:val="4A4A4A"/>
          <w:sz w:val="21"/>
          <w:szCs w:val="21"/>
          <w:lang w:eastAsia="en-GB"/>
        </w:rPr>
        <w:t>younger households</w:t>
      </w:r>
      <w:r w:rsidR="005556B0" w:rsidRPr="00B557FA">
        <w:rPr>
          <w:rFonts w:eastAsia="Times New Roman" w:cstheme="minorHAnsi"/>
          <w:color w:val="4A4A4A"/>
          <w:sz w:val="21"/>
          <w:szCs w:val="21"/>
          <w:lang w:eastAsia="en-GB"/>
        </w:rPr>
        <w:t>”</w:t>
      </w:r>
      <w:r w:rsidR="00BB3887" w:rsidRPr="00B557FA">
        <w:rPr>
          <w:rFonts w:eastAsia="Times New Roman" w:cstheme="minorHAnsi"/>
          <w:color w:val="4A4A4A"/>
          <w:sz w:val="21"/>
          <w:szCs w:val="21"/>
          <w:lang w:eastAsia="en-GB"/>
        </w:rPr>
        <w:t xml:space="preserve"> </w:t>
      </w:r>
      <w:r w:rsidR="00AE2FDC" w:rsidRPr="00B557FA">
        <w:rPr>
          <w:rFonts w:eastAsia="Times New Roman" w:cstheme="minorHAnsi"/>
          <w:color w:val="4A4A4A"/>
          <w:sz w:val="21"/>
          <w:szCs w:val="21"/>
          <w:lang w:eastAsia="en-GB"/>
        </w:rPr>
        <w:t xml:space="preserve">include </w:t>
      </w:r>
      <w:r w:rsidRPr="00B557FA">
        <w:rPr>
          <w:rFonts w:eastAsia="Times New Roman" w:cstheme="minorHAnsi"/>
          <w:color w:val="4A4A4A"/>
          <w:sz w:val="21"/>
          <w:szCs w:val="21"/>
          <w:lang w:eastAsia="en-GB"/>
        </w:rPr>
        <w:t>adults living with children (0 to 9 years old) and/or adolescents</w:t>
      </w:r>
      <w:r w:rsidR="00BB3887" w:rsidRPr="00B557FA">
        <w:rPr>
          <w:rFonts w:eastAsia="Times New Roman" w:cstheme="minorHAnsi"/>
          <w:color w:val="4A4A4A"/>
          <w:sz w:val="21"/>
          <w:szCs w:val="21"/>
          <w:lang w:eastAsia="en-GB"/>
        </w:rPr>
        <w:t xml:space="preserve"> </w:t>
      </w:r>
      <w:r w:rsidRPr="00B557FA">
        <w:rPr>
          <w:rFonts w:eastAsia="Times New Roman" w:cstheme="minorHAnsi"/>
          <w:color w:val="4A4A4A"/>
          <w:sz w:val="21"/>
          <w:szCs w:val="21"/>
          <w:lang w:eastAsia="en-GB"/>
        </w:rPr>
        <w:t>(10 to 19 years old)</w:t>
      </w:r>
      <w:r w:rsidR="0098567C" w:rsidRPr="00B557FA">
        <w:rPr>
          <w:rFonts w:eastAsia="Times New Roman" w:cstheme="minorHAnsi"/>
          <w:color w:val="4A4A4A"/>
          <w:sz w:val="21"/>
          <w:szCs w:val="21"/>
          <w:lang w:eastAsia="en-GB"/>
        </w:rPr>
        <w:t xml:space="preserve">; </w:t>
      </w:r>
      <w:r w:rsidR="00B87B0A" w:rsidRPr="00B557FA">
        <w:rPr>
          <w:rFonts w:eastAsia="Times New Roman" w:cstheme="minorHAnsi"/>
          <w:color w:val="4A4A4A"/>
          <w:sz w:val="21"/>
          <w:szCs w:val="21"/>
          <w:lang w:eastAsia="en-GB"/>
        </w:rPr>
        <w:t xml:space="preserve">and </w:t>
      </w:r>
      <w:r w:rsidR="005556B0" w:rsidRPr="00B557FA">
        <w:rPr>
          <w:rFonts w:eastAsia="Times New Roman" w:cstheme="minorHAnsi"/>
          <w:color w:val="4A4A4A"/>
          <w:sz w:val="21"/>
          <w:szCs w:val="21"/>
          <w:lang w:eastAsia="en-GB"/>
        </w:rPr>
        <w:t>“</w:t>
      </w:r>
      <w:r w:rsidR="0098567C" w:rsidRPr="00B557FA">
        <w:rPr>
          <w:rFonts w:eastAsia="Times New Roman" w:cstheme="minorHAnsi"/>
          <w:color w:val="4A4A4A"/>
          <w:sz w:val="21"/>
          <w:szCs w:val="21"/>
          <w:lang w:eastAsia="en-GB"/>
        </w:rPr>
        <w:t>older households</w:t>
      </w:r>
      <w:r w:rsidR="005556B0" w:rsidRPr="00B557FA">
        <w:rPr>
          <w:rFonts w:eastAsia="Times New Roman" w:cstheme="minorHAnsi"/>
          <w:color w:val="4A4A4A"/>
          <w:sz w:val="21"/>
          <w:szCs w:val="21"/>
          <w:lang w:eastAsia="en-GB"/>
        </w:rPr>
        <w:t>”</w:t>
      </w:r>
      <w:r w:rsidR="0098567C" w:rsidRPr="00B557FA">
        <w:rPr>
          <w:rFonts w:eastAsia="Times New Roman" w:cstheme="minorHAnsi"/>
          <w:color w:val="4A4A4A"/>
          <w:sz w:val="21"/>
          <w:szCs w:val="21"/>
          <w:lang w:eastAsia="en-GB"/>
        </w:rPr>
        <w:t xml:space="preserve"> include</w:t>
      </w:r>
      <w:r w:rsidR="005556B0" w:rsidRPr="00B557FA">
        <w:rPr>
          <w:rFonts w:eastAsia="Times New Roman" w:cstheme="minorHAnsi"/>
          <w:color w:val="4A4A4A"/>
          <w:sz w:val="21"/>
          <w:szCs w:val="21"/>
          <w:lang w:eastAsia="en-GB"/>
        </w:rPr>
        <w:t xml:space="preserve"> household composed of</w:t>
      </w:r>
      <w:r w:rsidR="0098567C" w:rsidRPr="00B557FA">
        <w:rPr>
          <w:rFonts w:eastAsia="Times New Roman" w:cstheme="minorHAnsi"/>
          <w:color w:val="4A4A4A"/>
          <w:sz w:val="21"/>
          <w:szCs w:val="21"/>
          <w:lang w:eastAsia="en-GB"/>
        </w:rPr>
        <w:t xml:space="preserve"> </w:t>
      </w:r>
      <w:r w:rsidRPr="00B557FA">
        <w:rPr>
          <w:rFonts w:eastAsia="Times New Roman" w:cstheme="minorHAnsi"/>
          <w:color w:val="4A4A4A"/>
          <w:sz w:val="21"/>
          <w:szCs w:val="21"/>
          <w:lang w:eastAsia="en-GB"/>
        </w:rPr>
        <w:t>adults living with at least one older person (60 years and older</w:t>
      </w:r>
      <w:r w:rsidR="005556B0" w:rsidRPr="00B557FA">
        <w:rPr>
          <w:rFonts w:eastAsia="Times New Roman" w:cstheme="minorHAnsi"/>
          <w:color w:val="4A4A4A"/>
          <w:sz w:val="21"/>
          <w:szCs w:val="21"/>
          <w:lang w:eastAsia="en-GB"/>
        </w:rPr>
        <w:t xml:space="preserve">) </w:t>
      </w:r>
      <w:r w:rsidR="0000295E" w:rsidRPr="00B557FA">
        <w:rPr>
          <w:rFonts w:eastAsia="Times New Roman" w:cstheme="minorHAnsi"/>
          <w:color w:val="4A4A4A"/>
          <w:sz w:val="21"/>
          <w:szCs w:val="21"/>
          <w:lang w:eastAsia="en-GB"/>
        </w:rPr>
        <w:t>or exclusively composed of</w:t>
      </w:r>
      <w:r w:rsidRPr="00B557FA">
        <w:rPr>
          <w:rFonts w:eastAsia="Times New Roman" w:cstheme="minorHAnsi"/>
          <w:color w:val="4A4A4A"/>
          <w:sz w:val="21"/>
          <w:szCs w:val="21"/>
          <w:lang w:eastAsia="en-GB"/>
        </w:rPr>
        <w:t xml:space="preserve"> older people.</w:t>
      </w:r>
    </w:p>
    <w:p w14:paraId="16A21E1B" w14:textId="77777777" w:rsidR="00B55A32" w:rsidRPr="00645B6F" w:rsidRDefault="00B55A32" w:rsidP="00A11A20">
      <w:pPr>
        <w:numPr>
          <w:ilvl w:val="0"/>
          <w:numId w:val="5"/>
        </w:numPr>
        <w:shd w:val="clear" w:color="auto" w:fill="FFFFFF"/>
        <w:spacing w:after="0" w:line="240" w:lineRule="auto"/>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Geographic location (rural/urban)</w:t>
      </w:r>
    </w:p>
    <w:p w14:paraId="6469B16C" w14:textId="0F389214" w:rsidR="00B55A32" w:rsidRPr="00645B6F" w:rsidRDefault="00B55A32" w:rsidP="00A11A20">
      <w:pPr>
        <w:numPr>
          <w:ilvl w:val="0"/>
          <w:numId w:val="5"/>
        </w:numPr>
        <w:shd w:val="clear" w:color="auto" w:fill="FFFFFF"/>
        <w:spacing w:after="0" w:line="240" w:lineRule="auto"/>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Quintiles of the household welfare measures (total household</w:t>
      </w:r>
      <w:r w:rsidR="0000295E">
        <w:rPr>
          <w:rFonts w:eastAsia="Times New Roman" w:cstheme="minorHAnsi"/>
          <w:color w:val="4A4A4A"/>
          <w:sz w:val="21"/>
          <w:szCs w:val="21"/>
          <w:lang w:eastAsia="en-GB"/>
        </w:rPr>
        <w:t xml:space="preserve"> consumption</w:t>
      </w:r>
      <w:r w:rsidRPr="00645B6F">
        <w:rPr>
          <w:rFonts w:eastAsia="Times New Roman" w:cstheme="minorHAnsi"/>
          <w:color w:val="4A4A4A"/>
          <w:sz w:val="21"/>
          <w:szCs w:val="21"/>
          <w:lang w:eastAsia="en-GB"/>
        </w:rPr>
        <w:t xml:space="preserve"> expenditure or income). See comments and limitations for the sensitivity of the disaggregation to the choice of the welfare measure.</w:t>
      </w:r>
    </w:p>
    <w:p w14:paraId="42E8CA56" w14:textId="77777777" w:rsidR="00D51E7C" w:rsidRPr="00645B6F" w:rsidRDefault="00D51E7C" w:rsidP="00A11A20">
      <w:pPr>
        <w:pStyle w:val="MText"/>
        <w:jc w:val="both"/>
        <w:rPr>
          <w:rFonts w:cstheme="minorHAnsi"/>
        </w:rPr>
      </w:pPr>
    </w:p>
    <w:p w14:paraId="48B86A2C" w14:textId="77777777" w:rsidR="00AF2722" w:rsidRPr="00A96255" w:rsidRDefault="00AF2722" w:rsidP="00AF2722">
      <w:pPr>
        <w:pStyle w:val="MHeader"/>
        <w:spacing w:after="100"/>
      </w:pPr>
      <w:r w:rsidRPr="00A96255">
        <w:t xml:space="preserve">6. Comparability / deviation from international standards </w:t>
      </w:r>
      <w:r>
        <w:rPr>
          <w:color w:val="B4B4B4"/>
          <w:sz w:val="20"/>
        </w:rPr>
        <w:t>(COMPARABILITY)</w:t>
      </w:r>
    </w:p>
    <w:p w14:paraId="3595E072" w14:textId="37630D41" w:rsidR="00D51E7C" w:rsidRPr="004254C4" w:rsidRDefault="00D51E7C" w:rsidP="00A11A20">
      <w:pPr>
        <w:pStyle w:val="MText"/>
        <w:jc w:val="both"/>
        <w:rPr>
          <w:rFonts w:cstheme="minorHAnsi"/>
          <w:b/>
          <w:bCs/>
        </w:rPr>
      </w:pPr>
      <w:r w:rsidRPr="004254C4">
        <w:rPr>
          <w:rFonts w:cstheme="minorHAnsi"/>
          <w:b/>
          <w:bCs/>
        </w:rPr>
        <w:t>Sources of discrepancies:</w:t>
      </w:r>
    </w:p>
    <w:p w14:paraId="28CC59C7" w14:textId="0BB5D61A" w:rsidR="00C61516" w:rsidRDefault="00C61516"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Definition of the discretionary budget budget/ cost of basic needs:</w:t>
      </w:r>
    </w:p>
    <w:p w14:paraId="6A7CDBEA" w14:textId="2433DE21" w:rsidR="00125BB3" w:rsidRDefault="00B945A6"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For global reporting</w:t>
      </w:r>
      <w:r w:rsidR="0039250A">
        <w:rPr>
          <w:rFonts w:eastAsia="Times New Roman" w:cstheme="minorHAnsi"/>
          <w:color w:val="4A4A4A"/>
          <w:sz w:val="21"/>
          <w:szCs w:val="21"/>
          <w:lang w:eastAsia="en-GB"/>
        </w:rPr>
        <w:t xml:space="preserve">, the cost of basic needs/discretionary budget is defined in relation to the societal poverty line. While the societal poverty line is highly correlated with national poverty lines, they are different. </w:t>
      </w:r>
      <w:r w:rsidR="00A91DE4">
        <w:rPr>
          <w:rFonts w:eastAsia="Times New Roman" w:cstheme="minorHAnsi"/>
          <w:color w:val="4A4A4A"/>
          <w:sz w:val="21"/>
          <w:szCs w:val="21"/>
          <w:lang w:eastAsia="en-GB"/>
        </w:rPr>
        <w:t xml:space="preserve">Countries can use their own national poverty lines to produce the same indicator and at regional level there may be other more relevant regional </w:t>
      </w:r>
      <w:r w:rsidR="00FD68BD">
        <w:rPr>
          <w:rFonts w:eastAsia="Times New Roman" w:cstheme="minorHAnsi"/>
          <w:color w:val="4A4A4A"/>
          <w:sz w:val="21"/>
          <w:szCs w:val="21"/>
          <w:lang w:eastAsia="en-GB"/>
        </w:rPr>
        <w:t>assessments of the cost of basic needs</w:t>
      </w:r>
      <w:r w:rsidR="0085544F">
        <w:rPr>
          <w:rFonts w:eastAsia="Times New Roman" w:cstheme="minorHAnsi"/>
          <w:color w:val="4A4A4A"/>
          <w:sz w:val="21"/>
          <w:szCs w:val="21"/>
          <w:lang w:eastAsia="en-GB"/>
        </w:rPr>
        <w:t>.</w:t>
      </w:r>
    </w:p>
    <w:p w14:paraId="77FE7ADC" w14:textId="77777777" w:rsidR="00810236" w:rsidRDefault="00810236" w:rsidP="00A11A20">
      <w:pPr>
        <w:shd w:val="clear" w:color="auto" w:fill="FFFFFF"/>
        <w:spacing w:after="0"/>
        <w:jc w:val="both"/>
        <w:rPr>
          <w:rFonts w:eastAsia="Times New Roman" w:cstheme="minorHAnsi"/>
          <w:color w:val="4A4A4A"/>
          <w:sz w:val="21"/>
          <w:szCs w:val="21"/>
          <w:lang w:eastAsia="en-GB"/>
        </w:rPr>
      </w:pPr>
    </w:p>
    <w:p w14:paraId="33DAB429" w14:textId="20FF2A17" w:rsidR="00EE7DFD" w:rsidRDefault="00EE7DFD" w:rsidP="00A11A20">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Data sources:</w:t>
      </w:r>
    </w:p>
    <w:p w14:paraId="6FF6BB21" w14:textId="47B5EDF0"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Country level estimates are all based on nationally representative surveys with information on both household total expenditure or income and household expenditure on health (see data sources). In most cases such data come from non-</w:t>
      </w:r>
      <w:r w:rsidR="000137AF">
        <w:rPr>
          <w:rFonts w:eastAsia="Times New Roman" w:cstheme="minorHAnsi"/>
          <w:color w:val="4A4A4A"/>
          <w:sz w:val="21"/>
          <w:szCs w:val="21"/>
          <w:lang w:eastAsia="en-GB"/>
        </w:rPr>
        <w:t xml:space="preserve">standard household surveys and </w:t>
      </w:r>
      <w:r w:rsidRPr="00645B6F">
        <w:rPr>
          <w:rFonts w:eastAsia="Times New Roman" w:cstheme="minorHAnsi"/>
          <w:color w:val="4A4A4A"/>
          <w:sz w:val="21"/>
          <w:szCs w:val="21"/>
          <w:lang w:eastAsia="en-GB"/>
        </w:rPr>
        <w:t>ex-post standardization processes can be designed to increase the degree of comparability across countries. For instance, regional teams from the World Bank produce standardized versions of raw datasets following common regional procedures: the ECAPOV harmonized datasets are based  on the Living Standards Measurement Study datasets – LSMS</w:t>
      </w:r>
      <w:r w:rsidRPr="00645B6F">
        <w:rPr>
          <w:rFonts w:eastAsia="Times New Roman" w:cstheme="minorHAnsi"/>
          <w:bCs/>
          <w:color w:val="4A4A4A"/>
          <w:sz w:val="21"/>
          <w:szCs w:val="21"/>
          <w:vertAlign w:val="superscript"/>
          <w:lang w:eastAsia="en-GB"/>
        </w:rPr>
        <w:footnoteReference w:id="22"/>
      </w:r>
      <w:r w:rsidRPr="00645B6F">
        <w:rPr>
          <w:rFonts w:eastAsia="Times New Roman" w:cstheme="minorHAnsi"/>
          <w:color w:val="4A4A4A"/>
          <w:sz w:val="21"/>
          <w:szCs w:val="21"/>
          <w:lang w:eastAsia="en-GB"/>
        </w:rPr>
        <w:t xml:space="preserve">  or </w:t>
      </w:r>
      <w:r w:rsidRPr="00645B6F">
        <w:rPr>
          <w:rFonts w:eastAsia="TT15Ct00" w:cstheme="minorHAnsi"/>
          <w:color w:val="404040" w:themeColor="text1" w:themeTint="BF"/>
          <w:sz w:val="21"/>
          <w:szCs w:val="21"/>
          <w:lang w:eastAsia="en-GB"/>
        </w:rPr>
        <w:t>household budget surveys</w:t>
      </w:r>
      <w:r w:rsidRPr="00645B6F">
        <w:rPr>
          <w:rFonts w:eastAsia="Times New Roman" w:cstheme="minorHAnsi"/>
          <w:color w:val="4A4A4A"/>
          <w:sz w:val="21"/>
          <w:szCs w:val="21"/>
          <w:lang w:eastAsia="en-GB"/>
        </w:rPr>
        <w:t xml:space="preserve"> (HBS) collected in the World Bank’s Europe and Central Asia region; the SHIP collection results from a poverty program on harmonized household surveys in the World Bank’s African region, while the SHES collection was developed by the World Bank for the international comparison program</w:t>
      </w:r>
      <w:r w:rsidRPr="00645B6F">
        <w:rPr>
          <w:rFonts w:eastAsia="Times New Roman" w:cstheme="minorHAnsi"/>
          <w:bCs/>
          <w:color w:val="4A4A4A"/>
          <w:sz w:val="21"/>
          <w:szCs w:val="21"/>
          <w:vertAlign w:val="superscript"/>
          <w:lang w:eastAsia="en-GB"/>
        </w:rPr>
        <w:footnoteReference w:id="23"/>
      </w:r>
      <w:r w:rsidRPr="00645B6F">
        <w:rPr>
          <w:rFonts w:eastAsia="Times New Roman" w:cstheme="minorHAnsi"/>
          <w:color w:val="4A4A4A"/>
          <w:sz w:val="21"/>
          <w:szCs w:val="21"/>
          <w:lang w:eastAsia="en-GB"/>
        </w:rPr>
        <w:t>. The Luxembourg income study (LIS) datasets results from effort to harmonize datasets from many high and middle-income countries</w:t>
      </w:r>
      <w:r w:rsidRPr="00645B6F">
        <w:rPr>
          <w:rFonts w:eastAsia="Times New Roman" w:cstheme="minorHAnsi"/>
          <w:bCs/>
          <w:color w:val="4A4A4A"/>
          <w:sz w:val="21"/>
          <w:szCs w:val="21"/>
          <w:vertAlign w:val="superscript"/>
          <w:lang w:eastAsia="en-GB"/>
        </w:rPr>
        <w:footnoteReference w:id="24"/>
      </w:r>
      <w:r w:rsidRPr="00645B6F">
        <w:rPr>
          <w:rFonts w:eastAsia="Times New Roman" w:cstheme="minorHAnsi"/>
          <w:color w:val="4A4A4A"/>
          <w:sz w:val="21"/>
          <w:szCs w:val="21"/>
          <w:lang w:eastAsia="en-GB"/>
        </w:rPr>
        <w:t xml:space="preserve">. </w:t>
      </w:r>
    </w:p>
    <w:p w14:paraId="6775E516" w14:textId="5C251ECA" w:rsidR="00B55A32" w:rsidRPr="00645B6F" w:rsidRDefault="00B55A32" w:rsidP="00A11A20">
      <w:pPr>
        <w:shd w:val="clear" w:color="auto" w:fill="FFFFFF"/>
        <w:spacing w:after="0"/>
        <w:jc w:val="both"/>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In some </w:t>
      </w:r>
      <w:r w:rsidR="00DF31D2" w:rsidRPr="00645B6F">
        <w:rPr>
          <w:rFonts w:eastAsia="Times New Roman" w:cstheme="minorHAnsi"/>
          <w:color w:val="4A4A4A"/>
          <w:sz w:val="21"/>
          <w:szCs w:val="21"/>
          <w:lang w:eastAsia="en-GB"/>
        </w:rPr>
        <w:t>cases,</w:t>
      </w:r>
      <w:r w:rsidRPr="00645B6F">
        <w:rPr>
          <w:rFonts w:eastAsia="Times New Roman" w:cstheme="minorHAnsi"/>
          <w:color w:val="4A4A4A"/>
          <w:sz w:val="21"/>
          <w:szCs w:val="21"/>
          <w:lang w:eastAsia="en-GB"/>
        </w:rPr>
        <w:t xml:space="preserve"> the raw data is accessible to produce country level estimates. In some countries </w:t>
      </w:r>
      <w:r w:rsidR="002D7B3A">
        <w:rPr>
          <w:rFonts w:eastAsia="Times New Roman" w:cstheme="minorHAnsi"/>
          <w:color w:val="4A4A4A"/>
          <w:sz w:val="21"/>
          <w:szCs w:val="21"/>
          <w:lang w:eastAsia="en-GB"/>
        </w:rPr>
        <w:t xml:space="preserve">both </w:t>
      </w:r>
      <w:r w:rsidRPr="00645B6F">
        <w:rPr>
          <w:rFonts w:eastAsia="Times New Roman" w:cstheme="minorHAnsi"/>
          <w:color w:val="4A4A4A"/>
          <w:sz w:val="21"/>
          <w:szCs w:val="21"/>
          <w:lang w:eastAsia="en-GB"/>
        </w:rPr>
        <w:t xml:space="preserve">raw data </w:t>
      </w:r>
      <w:r w:rsidR="002D7B3A">
        <w:rPr>
          <w:rFonts w:eastAsia="Times New Roman" w:cstheme="minorHAnsi"/>
          <w:color w:val="4A4A4A"/>
          <w:sz w:val="21"/>
          <w:szCs w:val="21"/>
          <w:lang w:eastAsia="en-GB"/>
        </w:rPr>
        <w:t xml:space="preserve">and </w:t>
      </w:r>
      <w:r w:rsidRPr="00645B6F">
        <w:rPr>
          <w:rFonts w:eastAsia="Times New Roman" w:cstheme="minorHAnsi"/>
          <w:color w:val="4A4A4A"/>
          <w:sz w:val="21"/>
          <w:szCs w:val="21"/>
          <w:lang w:eastAsia="en-GB"/>
        </w:rPr>
        <w:t>standardized version</w:t>
      </w:r>
      <w:r w:rsidR="002D7B3A">
        <w:rPr>
          <w:rFonts w:eastAsia="Times New Roman" w:cstheme="minorHAnsi"/>
          <w:color w:val="4A4A4A"/>
          <w:sz w:val="21"/>
          <w:szCs w:val="21"/>
          <w:lang w:eastAsia="en-GB"/>
        </w:rPr>
        <w:t xml:space="preserve">s are available while in some </w:t>
      </w:r>
      <w:r w:rsidRPr="00645B6F">
        <w:rPr>
          <w:rFonts w:eastAsia="Times New Roman" w:cstheme="minorHAnsi"/>
          <w:color w:val="4A4A4A"/>
          <w:sz w:val="21"/>
          <w:szCs w:val="21"/>
          <w:lang w:eastAsia="en-GB"/>
        </w:rPr>
        <w:t>countries only the standardized version is</w:t>
      </w:r>
      <w:r w:rsidR="002D7B3A">
        <w:rPr>
          <w:rFonts w:eastAsia="Times New Roman" w:cstheme="minorHAnsi"/>
          <w:color w:val="4A4A4A"/>
          <w:sz w:val="21"/>
          <w:szCs w:val="21"/>
          <w:lang w:eastAsia="en-GB"/>
        </w:rPr>
        <w:t xml:space="preserve"> available</w:t>
      </w:r>
      <w:r w:rsidRPr="00645B6F">
        <w:rPr>
          <w:rFonts w:eastAsia="Times New Roman" w:cstheme="minorHAnsi"/>
          <w:color w:val="4A4A4A"/>
          <w:sz w:val="21"/>
          <w:szCs w:val="21"/>
          <w:lang w:eastAsia="en-GB"/>
        </w:rPr>
        <w:t>. When multiple versions of the same survey are available</w:t>
      </w:r>
      <w:r w:rsidR="002D7B3A">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the </w:t>
      </w:r>
      <w:r w:rsidR="002D7B3A">
        <w:rPr>
          <w:rFonts w:eastAsia="Times New Roman" w:cstheme="minorHAnsi"/>
          <w:color w:val="4A4A4A"/>
          <w:sz w:val="21"/>
          <w:szCs w:val="21"/>
          <w:lang w:eastAsia="en-GB"/>
        </w:rPr>
        <w:t xml:space="preserve">estimate </w:t>
      </w:r>
      <w:r w:rsidR="001E2E4F">
        <w:rPr>
          <w:rFonts w:eastAsia="Times New Roman" w:cstheme="minorHAnsi"/>
          <w:color w:val="4A4A4A"/>
          <w:sz w:val="21"/>
          <w:szCs w:val="21"/>
          <w:lang w:eastAsia="en-GB"/>
        </w:rPr>
        <w:t xml:space="preserve">which </w:t>
      </w:r>
      <w:r w:rsidRPr="00645B6F">
        <w:rPr>
          <w:rFonts w:eastAsia="Times New Roman" w:cstheme="minorHAnsi"/>
          <w:color w:val="4A4A4A"/>
          <w:sz w:val="21"/>
          <w:szCs w:val="21"/>
          <w:lang w:eastAsia="en-GB"/>
        </w:rPr>
        <w:t>perform</w:t>
      </w:r>
      <w:r w:rsidR="001E2E4F">
        <w:rPr>
          <w:rFonts w:eastAsia="Times New Roman" w:cstheme="minorHAnsi"/>
          <w:color w:val="4A4A4A"/>
          <w:sz w:val="21"/>
          <w:szCs w:val="21"/>
          <w:lang w:eastAsia="en-GB"/>
        </w:rPr>
        <w:t>ed</w:t>
      </w:r>
      <w:r w:rsidRPr="00645B6F">
        <w:rPr>
          <w:rFonts w:eastAsia="Times New Roman" w:cstheme="minorHAnsi"/>
          <w:color w:val="4A4A4A"/>
          <w:sz w:val="21"/>
          <w:szCs w:val="21"/>
          <w:lang w:eastAsia="en-GB"/>
        </w:rPr>
        <w:t xml:space="preserve"> </w:t>
      </w:r>
      <w:r w:rsidR="001E2E4F">
        <w:rPr>
          <w:rFonts w:eastAsia="Times New Roman" w:cstheme="minorHAnsi"/>
          <w:color w:val="4A4A4A"/>
          <w:sz w:val="21"/>
          <w:szCs w:val="21"/>
          <w:lang w:eastAsia="en-GB"/>
        </w:rPr>
        <w:t xml:space="preserve">best </w:t>
      </w:r>
      <w:r w:rsidRPr="00645B6F">
        <w:rPr>
          <w:rFonts w:eastAsia="Times New Roman" w:cstheme="minorHAnsi"/>
          <w:color w:val="4A4A4A"/>
          <w:sz w:val="21"/>
          <w:szCs w:val="21"/>
          <w:lang w:eastAsia="en-GB"/>
        </w:rPr>
        <w:t xml:space="preserve">in a series of quality assurance tests is retained (see collection process). When a standardized version of a nationally designed survey instruments is chosen there are differences between expenditure variables </w:t>
      </w:r>
      <w:r w:rsidRPr="00645B6F">
        <w:rPr>
          <w:rFonts w:eastAsia="Times New Roman" w:cstheme="minorHAnsi"/>
          <w:color w:val="4A4A4A"/>
          <w:sz w:val="21"/>
          <w:szCs w:val="21"/>
          <w:lang w:eastAsia="en-GB"/>
        </w:rPr>
        <w:lastRenderedPageBreak/>
        <w:t>generated using the raw data, and the expenditure variables generated using the harmonization procedures which might result in different estimated incidence of the population with large household expenditure on health as a share of household total expenditure or income.</w:t>
      </w:r>
    </w:p>
    <w:p w14:paraId="5AB6DD91" w14:textId="65E36448" w:rsidR="00F719A8" w:rsidRPr="00645B6F" w:rsidRDefault="00F719A8" w:rsidP="00A11A20">
      <w:pPr>
        <w:pStyle w:val="MText"/>
        <w:jc w:val="both"/>
        <w:rPr>
          <w:rFonts w:cstheme="minorHAnsi"/>
        </w:rPr>
      </w:pPr>
    </w:p>
    <w:p w14:paraId="7676E1E8" w14:textId="77777777" w:rsidR="00AF2722" w:rsidRPr="00A96255" w:rsidRDefault="00AF2722" w:rsidP="00AF2722">
      <w:pPr>
        <w:pStyle w:val="MHeader"/>
        <w:spacing w:after="100"/>
      </w:pPr>
      <w:r w:rsidRPr="00A96255">
        <w:t xml:space="preserve">7. References and Documentation </w:t>
      </w:r>
      <w:r>
        <w:rPr>
          <w:color w:val="B4B4B4"/>
          <w:sz w:val="20"/>
        </w:rPr>
        <w:t>(OTHER_DOC)</w:t>
      </w:r>
    </w:p>
    <w:p w14:paraId="2DAE2B8A" w14:textId="77777777" w:rsidR="006F6CC8" w:rsidRDefault="001E782E" w:rsidP="00A11A20">
      <w:pPr>
        <w:shd w:val="clear" w:color="auto" w:fill="FFFFFF"/>
        <w:spacing w:after="0"/>
        <w:jc w:val="both"/>
        <w:rPr>
          <w:rFonts w:eastAsia="Times New Roman" w:cstheme="minorHAnsi"/>
          <w:b/>
          <w:bCs/>
          <w:color w:val="4A4A4A"/>
          <w:sz w:val="21"/>
          <w:szCs w:val="21"/>
          <w:lang w:val="en-US" w:eastAsia="en-GB"/>
        </w:rPr>
      </w:pPr>
      <w:r w:rsidRPr="00360B50">
        <w:rPr>
          <w:rFonts w:eastAsia="Times New Roman" w:cstheme="minorHAnsi"/>
          <w:b/>
          <w:bCs/>
          <w:color w:val="4A4A4A"/>
          <w:sz w:val="21"/>
          <w:szCs w:val="21"/>
          <w:lang w:val="en-US" w:eastAsia="en-GB"/>
        </w:rPr>
        <w:t>URL:</w:t>
      </w:r>
    </w:p>
    <w:p w14:paraId="48EEAE73" w14:textId="3B52CB87" w:rsidR="001E782E" w:rsidRPr="00360B50" w:rsidRDefault="003019F8" w:rsidP="00A11A20">
      <w:pPr>
        <w:shd w:val="clear" w:color="auto" w:fill="FFFFFF"/>
        <w:spacing w:after="0"/>
        <w:jc w:val="both"/>
        <w:rPr>
          <w:rFonts w:eastAsia="Times New Roman" w:cstheme="minorHAnsi"/>
          <w:b/>
          <w:bCs/>
          <w:color w:val="404040" w:themeColor="text1" w:themeTint="BF"/>
          <w:sz w:val="21"/>
          <w:szCs w:val="21"/>
          <w:u w:val="single"/>
          <w:lang w:val="en-US" w:eastAsia="en-GB"/>
        </w:rPr>
      </w:pPr>
      <w:r w:rsidRPr="003019F8">
        <w:rPr>
          <w:rFonts w:eastAsia="SimSun" w:cstheme="minorHAnsi"/>
          <w:color w:val="0000FF" w:themeColor="hyperlink"/>
          <w:u w:val="single"/>
          <w:lang w:val="en-US"/>
        </w:rPr>
        <w:t>https://www.who.int/data/gho/data/themes/topics/financial-protection</w:t>
      </w:r>
      <w:r w:rsidR="001E782E" w:rsidRPr="00360B50">
        <w:rPr>
          <w:rFonts w:eastAsia="SimSun" w:cstheme="minorHAnsi"/>
          <w:lang w:val="en-US"/>
        </w:rPr>
        <w:t xml:space="preserve">;  </w:t>
      </w:r>
      <w:hyperlink r:id="rId23" w:history="1">
        <w:r w:rsidR="001E782E" w:rsidRPr="00360B50">
          <w:rPr>
            <w:rFonts w:eastAsia="SimSun" w:cstheme="minorHAnsi"/>
            <w:color w:val="0000FF" w:themeColor="hyperlink"/>
            <w:u w:val="single"/>
            <w:lang w:val="en-US"/>
          </w:rPr>
          <w:t>http://datatopics.worldbank.org/universal-health-coverage/</w:t>
        </w:r>
      </w:hyperlink>
      <w:r w:rsidR="001E782E" w:rsidRPr="00360B50">
        <w:rPr>
          <w:rFonts w:eastAsia="SimSun" w:cstheme="minorHAnsi"/>
          <w:lang w:val="en-US"/>
        </w:rPr>
        <w:t xml:space="preserve"> </w:t>
      </w:r>
    </w:p>
    <w:p w14:paraId="07A75ECD" w14:textId="77777777" w:rsidR="001E782E" w:rsidRPr="00360B50" w:rsidRDefault="001E782E" w:rsidP="00A11A20">
      <w:pPr>
        <w:shd w:val="clear" w:color="auto" w:fill="FFFFFF"/>
        <w:spacing w:after="0"/>
        <w:jc w:val="both"/>
        <w:rPr>
          <w:rFonts w:eastAsia="Times New Roman" w:cstheme="minorHAnsi"/>
          <w:color w:val="404040" w:themeColor="text1" w:themeTint="BF"/>
          <w:sz w:val="21"/>
          <w:szCs w:val="21"/>
          <w:lang w:val="en-US" w:eastAsia="en-GB"/>
        </w:rPr>
      </w:pPr>
    </w:p>
    <w:p w14:paraId="23484FD4" w14:textId="66F30E18" w:rsidR="000D03BD" w:rsidRDefault="000D03BD" w:rsidP="00A11A20">
      <w:pPr>
        <w:keepNext/>
        <w:keepLines/>
        <w:shd w:val="clear" w:color="auto" w:fill="FFFFFF"/>
        <w:spacing w:after="0"/>
        <w:contextualSpacing/>
        <w:jc w:val="both"/>
        <w:rPr>
          <w:rStyle w:val="Strong"/>
          <w:rFonts w:cs="Times New Roman"/>
          <w:color w:val="4A4A4A"/>
          <w:sz w:val="21"/>
          <w:szCs w:val="21"/>
        </w:rPr>
      </w:pPr>
      <w:r w:rsidRPr="00090AB4">
        <w:rPr>
          <w:rStyle w:val="Strong"/>
          <w:rFonts w:cs="Times New Roman"/>
          <w:color w:val="4A4A4A"/>
          <w:sz w:val="21"/>
          <w:szCs w:val="21"/>
        </w:rPr>
        <w:t>References:</w:t>
      </w:r>
    </w:p>
    <w:p w14:paraId="3AEC9CF7" w14:textId="008D8024" w:rsidR="001E782E" w:rsidRPr="003D6A3E" w:rsidRDefault="00296A90" w:rsidP="00A11A20">
      <w:pPr>
        <w:shd w:val="clear" w:color="auto" w:fill="FFFFFF"/>
        <w:spacing w:after="0"/>
        <w:jc w:val="both"/>
        <w:rPr>
          <w:rFonts w:eastAsia="Times New Roman" w:cstheme="minorHAnsi"/>
          <w:i/>
          <w:iCs/>
          <w:color w:val="4A4A4A"/>
          <w:sz w:val="21"/>
          <w:szCs w:val="21"/>
          <w:lang w:eastAsia="en-GB"/>
        </w:rPr>
      </w:pPr>
      <w:r w:rsidRPr="003D6A3E">
        <w:rPr>
          <w:rFonts w:eastAsia="Times New Roman" w:cstheme="minorHAnsi"/>
          <w:i/>
          <w:iCs/>
          <w:color w:val="4A4A4A"/>
          <w:sz w:val="21"/>
          <w:szCs w:val="21"/>
          <w:lang w:eastAsia="en-GB"/>
        </w:rPr>
        <w:t>Global monitoring reports</w:t>
      </w:r>
      <w:r w:rsidR="00AD03CF">
        <w:rPr>
          <w:rFonts w:eastAsia="Times New Roman" w:cstheme="minorHAnsi"/>
          <w:i/>
          <w:iCs/>
          <w:color w:val="4A4A4A"/>
          <w:sz w:val="21"/>
          <w:szCs w:val="21"/>
          <w:lang w:eastAsia="en-GB"/>
        </w:rPr>
        <w:t xml:space="preserve"> on universal health coverage</w:t>
      </w:r>
      <w:r w:rsidR="004A4EFD">
        <w:rPr>
          <w:rFonts w:eastAsia="Times New Roman" w:cstheme="minorHAnsi"/>
          <w:i/>
          <w:iCs/>
          <w:color w:val="4A4A4A"/>
          <w:sz w:val="21"/>
          <w:szCs w:val="21"/>
          <w:lang w:eastAsia="en-GB"/>
        </w:rPr>
        <w:t xml:space="preserve"> and financial protection in health</w:t>
      </w:r>
      <w:r w:rsidR="00AD03CF">
        <w:rPr>
          <w:rFonts w:eastAsia="Times New Roman" w:cstheme="minorHAnsi"/>
          <w:i/>
          <w:iCs/>
          <w:color w:val="4A4A4A"/>
          <w:sz w:val="21"/>
          <w:szCs w:val="21"/>
          <w:lang w:eastAsia="en-GB"/>
        </w:rPr>
        <w:t xml:space="preserve"> </w:t>
      </w:r>
      <w:r w:rsidRPr="003D6A3E">
        <w:rPr>
          <w:rFonts w:eastAsia="Times New Roman" w:cstheme="minorHAnsi"/>
          <w:i/>
          <w:iCs/>
          <w:color w:val="4A4A4A"/>
          <w:sz w:val="21"/>
          <w:szCs w:val="21"/>
          <w:lang w:eastAsia="en-GB"/>
        </w:rPr>
        <w:t xml:space="preserve"> (e.g. 2015, 2017, 2019, 2021</w:t>
      </w:r>
      <w:r w:rsidR="00DF4296">
        <w:rPr>
          <w:rFonts w:eastAsia="Times New Roman" w:cstheme="minorHAnsi"/>
          <w:i/>
          <w:iCs/>
          <w:color w:val="4A4A4A"/>
          <w:sz w:val="21"/>
          <w:szCs w:val="21"/>
          <w:lang w:eastAsia="en-GB"/>
        </w:rPr>
        <w:t>, 2023</w:t>
      </w:r>
      <w:r w:rsidRPr="003D6A3E">
        <w:rPr>
          <w:rFonts w:eastAsia="Times New Roman" w:cstheme="minorHAnsi"/>
          <w:i/>
          <w:iCs/>
          <w:color w:val="4A4A4A"/>
          <w:sz w:val="21"/>
          <w:szCs w:val="21"/>
          <w:lang w:eastAsia="en-GB"/>
        </w:rPr>
        <w:t>)</w:t>
      </w:r>
    </w:p>
    <w:p w14:paraId="1E6FF238" w14:textId="4CB81E40" w:rsidR="001E782E" w:rsidRPr="00645B6F" w:rsidRDefault="0041710D" w:rsidP="00A11A20">
      <w:pPr>
        <w:shd w:val="clear" w:color="auto" w:fill="FFFFFF"/>
        <w:spacing w:after="0"/>
        <w:jc w:val="both"/>
        <w:rPr>
          <w:rFonts w:eastAsia="Times New Roman" w:cstheme="minorHAnsi"/>
          <w:color w:val="4A4A4A"/>
          <w:sz w:val="21"/>
          <w:szCs w:val="21"/>
          <w:lang w:eastAsia="en-GB"/>
        </w:rPr>
      </w:pPr>
      <w:hyperlink r:id="rId24" w:history="1">
        <w:r w:rsidRPr="00DF6107">
          <w:rPr>
            <w:rStyle w:val="Hyperlink"/>
            <w:rFonts w:eastAsia="Times New Roman" w:cstheme="minorHAnsi"/>
            <w:sz w:val="21"/>
            <w:szCs w:val="21"/>
            <w:lang w:eastAsia="en-GB"/>
          </w:rPr>
          <w:t>https://www.who.int/teams/health-systems-governance-and-financing/global-monitoring-report</w:t>
        </w:r>
      </w:hyperlink>
      <w:r>
        <w:rPr>
          <w:rFonts w:eastAsia="Times New Roman" w:cstheme="minorHAnsi"/>
          <w:color w:val="4A4A4A"/>
          <w:sz w:val="21"/>
          <w:szCs w:val="21"/>
          <w:lang w:eastAsia="en-GB"/>
        </w:rPr>
        <w:t xml:space="preserve"> </w:t>
      </w:r>
    </w:p>
    <w:p w14:paraId="0B9426F5" w14:textId="77777777" w:rsidR="000926C8" w:rsidRDefault="000926C8" w:rsidP="00A11A20">
      <w:pPr>
        <w:shd w:val="clear" w:color="auto" w:fill="FFFFFF"/>
        <w:spacing w:after="0" w:line="240" w:lineRule="auto"/>
        <w:contextualSpacing/>
        <w:jc w:val="both"/>
        <w:rPr>
          <w:rFonts w:eastAsia="Times New Roman" w:cstheme="minorHAnsi"/>
          <w:i/>
          <w:iCs/>
          <w:color w:val="4A4A4A"/>
          <w:sz w:val="21"/>
          <w:szCs w:val="21"/>
          <w:lang w:eastAsia="en-GB"/>
        </w:rPr>
      </w:pPr>
    </w:p>
    <w:p w14:paraId="13BDD92F" w14:textId="29BE7B7D" w:rsidR="00A87486" w:rsidRDefault="00ED7AE9" w:rsidP="00A11A20">
      <w:pPr>
        <w:shd w:val="clear" w:color="auto" w:fill="FFFFFF"/>
        <w:spacing w:after="0" w:line="240" w:lineRule="auto"/>
        <w:contextualSpacing/>
        <w:jc w:val="both"/>
        <w:rPr>
          <w:rFonts w:eastAsia="Times New Roman" w:cstheme="minorHAnsi"/>
          <w:i/>
          <w:iCs/>
          <w:color w:val="4A4A4A"/>
          <w:sz w:val="21"/>
          <w:szCs w:val="21"/>
          <w:lang w:eastAsia="en-GB"/>
        </w:rPr>
      </w:pPr>
      <w:r>
        <w:rPr>
          <w:rFonts w:eastAsia="Times New Roman" w:cstheme="minorHAnsi"/>
          <w:i/>
          <w:iCs/>
          <w:color w:val="4A4A4A"/>
          <w:sz w:val="21"/>
          <w:szCs w:val="21"/>
          <w:lang w:eastAsia="en-GB"/>
        </w:rPr>
        <w:t>Methodology:</w:t>
      </w:r>
    </w:p>
    <w:p w14:paraId="70A6D5CE" w14:textId="13332008" w:rsidR="00D5634A" w:rsidRPr="003D6A3E" w:rsidRDefault="00D5634A" w:rsidP="00A11A20">
      <w:pPr>
        <w:shd w:val="clear" w:color="auto" w:fill="FFFFFF"/>
        <w:spacing w:after="0" w:line="240" w:lineRule="auto"/>
        <w:contextualSpacing/>
        <w:jc w:val="both"/>
        <w:rPr>
          <w:rFonts w:eastAsia="Times New Roman" w:cstheme="minorHAnsi"/>
          <w:color w:val="404040" w:themeColor="text1" w:themeTint="BF"/>
          <w:sz w:val="21"/>
          <w:szCs w:val="21"/>
          <w:lang w:eastAsia="en-GB"/>
        </w:rPr>
      </w:pPr>
      <w:r>
        <w:rPr>
          <w:rFonts w:eastAsia="Times New Roman" w:cstheme="minorHAnsi"/>
          <w:i/>
          <w:iCs/>
          <w:color w:val="4A4A4A"/>
          <w:sz w:val="21"/>
          <w:szCs w:val="21"/>
          <w:lang w:eastAsia="en-GB"/>
        </w:rPr>
        <w:t>Discretionary budget approach</w:t>
      </w:r>
      <w:r w:rsidR="00485AAD">
        <w:rPr>
          <w:rFonts w:eastAsia="Times New Roman" w:cstheme="minorHAnsi"/>
          <w:i/>
          <w:iCs/>
          <w:color w:val="4A4A4A"/>
          <w:sz w:val="21"/>
          <w:szCs w:val="21"/>
          <w:lang w:eastAsia="en-GB"/>
        </w:rPr>
        <w:t xml:space="preserve"> </w:t>
      </w:r>
    </w:p>
    <w:p w14:paraId="7F8CBFCD" w14:textId="6FEAFA6B" w:rsidR="001C57DD" w:rsidRDefault="005452A0" w:rsidP="00A11A20">
      <w:pPr>
        <w:pStyle w:val="ListParagraph"/>
        <w:numPr>
          <w:ilvl w:val="0"/>
          <w:numId w:val="9"/>
        </w:numPr>
        <w:spacing w:after="160" w:line="259" w:lineRule="auto"/>
        <w:jc w:val="both"/>
      </w:pPr>
      <w:r>
        <w:t>Wagstaff A, Eozenou P (2014).</w:t>
      </w:r>
      <w:r w:rsidR="001C57DD">
        <w:t xml:space="preserve"> CATA meets IMPOV: a unified approach to measuring financial protection in health. Washington (DC): World Bank Policy Research Working Paper No. 6861. (</w:t>
      </w:r>
      <w:hyperlink r:id="rId25" w:history="1">
        <w:r w:rsidR="001C57DD" w:rsidRPr="008F363C">
          <w:rPr>
            <w:rStyle w:val="Hyperlink"/>
          </w:rPr>
          <w:t>link</w:t>
        </w:r>
      </w:hyperlink>
      <w:r w:rsidR="001C57DD">
        <w:t>)</w:t>
      </w:r>
    </w:p>
    <w:p w14:paraId="577515A8" w14:textId="24728E82" w:rsidR="00CB1B39" w:rsidRDefault="00CB1B39" w:rsidP="00A11A20">
      <w:pPr>
        <w:pStyle w:val="ListParagraph"/>
        <w:numPr>
          <w:ilvl w:val="0"/>
          <w:numId w:val="9"/>
        </w:numPr>
        <w:spacing w:after="160" w:line="259" w:lineRule="auto"/>
        <w:jc w:val="both"/>
      </w:pPr>
      <w:r w:rsidRPr="003C0FBB">
        <w:t>Cylus J, Thomson S, Evetovits T. Catastrophic health spending in Europe: equity and policy implications of different calculation methods. Bull World Health Organ. 2018; 96(9):599–609. (</w:t>
      </w:r>
      <w:hyperlink r:id="rId26" w:history="1">
        <w:r w:rsidRPr="003C0FBB">
          <w:rPr>
            <w:rStyle w:val="Hyperlink"/>
          </w:rPr>
          <w:t>link</w:t>
        </w:r>
      </w:hyperlink>
      <w:r>
        <w:rPr>
          <w:rStyle w:val="Hyperlink"/>
        </w:rPr>
        <w:t>)</w:t>
      </w:r>
    </w:p>
    <w:p w14:paraId="1D013444" w14:textId="1FBD45CB" w:rsidR="001E25DB" w:rsidRPr="00BA16F2" w:rsidRDefault="001E25DB" w:rsidP="00A11A20">
      <w:pPr>
        <w:spacing w:after="160" w:line="259" w:lineRule="auto"/>
        <w:jc w:val="both"/>
        <w:rPr>
          <w:rStyle w:val="Hyperlink"/>
          <w:i/>
          <w:iCs/>
          <w:color w:val="auto"/>
          <w:u w:val="none"/>
        </w:rPr>
      </w:pPr>
      <w:r w:rsidRPr="00BA16F2">
        <w:rPr>
          <w:rStyle w:val="Hyperlink"/>
          <w:i/>
          <w:iCs/>
          <w:color w:val="auto"/>
          <w:u w:val="none"/>
        </w:rPr>
        <w:t>On the societal poverty line:</w:t>
      </w:r>
    </w:p>
    <w:p w14:paraId="0C7B3CCB" w14:textId="77777777" w:rsidR="001303BE" w:rsidRPr="001303BE" w:rsidRDefault="001303BE" w:rsidP="00A11A20">
      <w:pPr>
        <w:numPr>
          <w:ilvl w:val="0"/>
          <w:numId w:val="9"/>
        </w:numPr>
        <w:shd w:val="clear" w:color="auto" w:fill="FFFFFF"/>
        <w:spacing w:after="0" w:line="240" w:lineRule="auto"/>
        <w:contextualSpacing/>
        <w:jc w:val="both"/>
        <w:rPr>
          <w:rStyle w:val="Hyperlink"/>
          <w:rFonts w:eastAsia="Times New Roman" w:cstheme="minorHAnsi"/>
          <w:color w:val="404040" w:themeColor="text1" w:themeTint="BF"/>
          <w:sz w:val="21"/>
          <w:szCs w:val="21"/>
          <w:u w:val="none"/>
          <w:lang w:eastAsia="en-GB"/>
        </w:rPr>
      </w:pPr>
      <w:r w:rsidRPr="001303BE">
        <w:rPr>
          <w:rStyle w:val="Hyperlink"/>
        </w:rPr>
        <w:t xml:space="preserve">Jolliffe, Dean, and Espen Beer </w:t>
      </w:r>
      <w:proofErr w:type="spellStart"/>
      <w:r w:rsidRPr="001303BE">
        <w:rPr>
          <w:rStyle w:val="Hyperlink"/>
        </w:rPr>
        <w:t>Prydz</w:t>
      </w:r>
      <w:proofErr w:type="spellEnd"/>
      <w:r w:rsidRPr="001303BE">
        <w:rPr>
          <w:rStyle w:val="Hyperlink"/>
        </w:rPr>
        <w:t>. "Societal poverty: A relative and relevant measure." The World Bank Economic Review 35, no. 1 (2021): 180-206.</w:t>
      </w:r>
    </w:p>
    <w:p w14:paraId="6692FD02" w14:textId="54D14D66" w:rsidR="00B41E44" w:rsidRDefault="00B41E44" w:rsidP="00A11A20">
      <w:pPr>
        <w:shd w:val="clear" w:color="auto" w:fill="FFFFFF"/>
        <w:spacing w:after="0" w:line="240" w:lineRule="auto"/>
        <w:ind w:left="720"/>
        <w:contextualSpacing/>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Regional reports: </w:t>
      </w:r>
    </w:p>
    <w:p w14:paraId="73537067" w14:textId="77777777" w:rsidR="00B41E44" w:rsidRDefault="00B41E44" w:rsidP="00A11A20">
      <w:pPr>
        <w:shd w:val="clear" w:color="auto" w:fill="FFFFFF"/>
        <w:spacing w:after="0" w:line="240" w:lineRule="auto"/>
        <w:contextualSpacing/>
        <w:jc w:val="both"/>
        <w:rPr>
          <w:rFonts w:eastAsia="Times New Roman" w:cstheme="minorHAnsi"/>
          <w:color w:val="4A4A4A"/>
          <w:sz w:val="21"/>
          <w:szCs w:val="21"/>
          <w:lang w:eastAsia="en-GB"/>
        </w:rPr>
      </w:pPr>
    </w:p>
    <w:p w14:paraId="1C53D787" w14:textId="4CB32452" w:rsidR="00C13528" w:rsidRPr="00BA16F2" w:rsidRDefault="00C13528" w:rsidP="00A11A20">
      <w:pPr>
        <w:spacing w:after="160" w:line="259" w:lineRule="auto"/>
        <w:jc w:val="both"/>
        <w:rPr>
          <w:rFonts w:eastAsia="Times New Roman" w:cstheme="minorHAnsi"/>
          <w:i/>
          <w:iCs/>
          <w:color w:val="4A4A4A"/>
          <w:sz w:val="21"/>
          <w:szCs w:val="21"/>
          <w:lang w:eastAsia="en-GB"/>
        </w:rPr>
      </w:pPr>
      <w:r w:rsidRPr="00BA16F2">
        <w:rPr>
          <w:rStyle w:val="Hyperlink"/>
          <w:i/>
          <w:iCs/>
          <w:color w:val="auto"/>
          <w:u w:val="none"/>
        </w:rPr>
        <w:t>On internationally comparable evidence based on the discretionary budget approach using a 40% threshold</w:t>
      </w:r>
    </w:p>
    <w:p w14:paraId="27445386" w14:textId="77777777" w:rsidR="006E32F5" w:rsidRPr="001303BE" w:rsidRDefault="006E32F5" w:rsidP="00A11A20">
      <w:pPr>
        <w:pStyle w:val="ListParagraph"/>
        <w:numPr>
          <w:ilvl w:val="0"/>
          <w:numId w:val="11"/>
        </w:numPr>
        <w:spacing w:after="160" w:line="259" w:lineRule="auto"/>
        <w:jc w:val="both"/>
        <w:rPr>
          <w:color w:val="0000FF" w:themeColor="hyperlink"/>
          <w:u w:val="single"/>
        </w:rPr>
      </w:pPr>
      <w:r w:rsidRPr="003C0FBB">
        <w:t xml:space="preserve">Thomson S, Cylus J, Evetovits T (2019). Can people afford to pay for health care? New evidence on financial protection in Europe. Copenhagen: WHO Regional Office for Europe. </w:t>
      </w:r>
      <w:hyperlink r:id="rId27" w:history="1">
        <w:r w:rsidRPr="004258A3">
          <w:rPr>
            <w:rStyle w:val="Hyperlink"/>
          </w:rPr>
          <w:t>https://iris.who.int/handle/10665/311654</w:t>
        </w:r>
      </w:hyperlink>
    </w:p>
    <w:p w14:paraId="146CBD3C" w14:textId="77777777" w:rsidR="00C13528" w:rsidRDefault="00C13528" w:rsidP="00A11A20">
      <w:pPr>
        <w:pStyle w:val="ListParagraph"/>
        <w:numPr>
          <w:ilvl w:val="0"/>
          <w:numId w:val="11"/>
        </w:numPr>
        <w:autoSpaceDE w:val="0"/>
        <w:autoSpaceDN w:val="0"/>
        <w:adjustRightInd w:val="0"/>
        <w:spacing w:after="0" w:line="240" w:lineRule="auto"/>
        <w:jc w:val="both"/>
      </w:pPr>
      <w:r w:rsidRPr="00B903E4">
        <w:t>WHO Regional Office for Europe (2023). Can people afford to pay for health care? Evidence on financial protection in 40 countries in Europe. Copenhagen: WHO Regional Office for Europe.</w:t>
      </w:r>
    </w:p>
    <w:p w14:paraId="7B89CF4F" w14:textId="77777777" w:rsidR="00F02E56" w:rsidRPr="00B903E4" w:rsidRDefault="00F02E56" w:rsidP="00A11A20">
      <w:pPr>
        <w:pStyle w:val="ListParagraph"/>
        <w:autoSpaceDE w:val="0"/>
        <w:autoSpaceDN w:val="0"/>
        <w:adjustRightInd w:val="0"/>
        <w:spacing w:after="0" w:line="240" w:lineRule="auto"/>
        <w:jc w:val="both"/>
      </w:pPr>
    </w:p>
    <w:p w14:paraId="0FBF9DBA" w14:textId="0A4BC85B" w:rsidR="00C13528" w:rsidRPr="00BA16F2" w:rsidRDefault="00C13528" w:rsidP="00A11A20">
      <w:pPr>
        <w:spacing w:after="160" w:line="259" w:lineRule="auto"/>
        <w:jc w:val="both"/>
        <w:rPr>
          <w:i/>
          <w:iCs/>
        </w:rPr>
      </w:pPr>
      <w:r w:rsidRPr="00BA16F2">
        <w:rPr>
          <w:i/>
          <w:iCs/>
        </w:rPr>
        <w:t xml:space="preserve">On internationally comparable evidence based on </w:t>
      </w:r>
      <w:r w:rsidR="00AD03CF" w:rsidRPr="00BA16F2">
        <w:rPr>
          <w:i/>
          <w:iCs/>
        </w:rPr>
        <w:t>one single indicator to capture large and impoverishing out-of-pocket health spending</w:t>
      </w:r>
      <w:r w:rsidRPr="00BA16F2">
        <w:rPr>
          <w:i/>
          <w:iCs/>
        </w:rPr>
        <w:t xml:space="preserve"> </w:t>
      </w:r>
    </w:p>
    <w:p w14:paraId="51D7DD09" w14:textId="3E8C0570" w:rsidR="009142CA" w:rsidRDefault="009142CA" w:rsidP="00A11A20">
      <w:pPr>
        <w:pStyle w:val="ListParagraph"/>
        <w:numPr>
          <w:ilvl w:val="0"/>
          <w:numId w:val="11"/>
        </w:numPr>
        <w:autoSpaceDE w:val="0"/>
        <w:autoSpaceDN w:val="0"/>
        <w:adjustRightInd w:val="0"/>
        <w:spacing w:after="0" w:line="240" w:lineRule="auto"/>
        <w:jc w:val="both"/>
      </w:pPr>
      <w:r>
        <w:t>Tracking universal health coverage: 202</w:t>
      </w:r>
      <w:r w:rsidR="004E2FDB">
        <w:t>1</w:t>
      </w:r>
      <w:r>
        <w:t xml:space="preserve"> global monitoring report. Geneva: World Health Organization and International Bank for Reconstruction and Development / The World Bank; 202</w:t>
      </w:r>
      <w:r w:rsidR="004E2FDB">
        <w:t>1</w:t>
      </w:r>
    </w:p>
    <w:p w14:paraId="320FF869" w14:textId="7348FB26" w:rsidR="00646BEA" w:rsidRPr="003E3D64" w:rsidRDefault="00646BEA" w:rsidP="00A11A20">
      <w:pPr>
        <w:pStyle w:val="ListParagraph"/>
        <w:numPr>
          <w:ilvl w:val="0"/>
          <w:numId w:val="11"/>
        </w:numPr>
        <w:autoSpaceDE w:val="0"/>
        <w:autoSpaceDN w:val="0"/>
        <w:adjustRightInd w:val="0"/>
        <w:spacing w:after="0" w:line="240" w:lineRule="auto"/>
        <w:jc w:val="both"/>
      </w:pPr>
      <w:r w:rsidRPr="003E3D64">
        <w:t>Monitoring progress on universal health coverage and the health-related Sustainable Development Goals in the WHO South-East Asia Region: 2022 update. New Delhi: World Health Organization, Regional Office for South-East Asia; 2022. Licence: CC BY-NC-SA 3.0 IGO.</w:t>
      </w:r>
    </w:p>
    <w:p w14:paraId="29B9A691" w14:textId="77777777" w:rsidR="00646BEA" w:rsidRDefault="00646BEA" w:rsidP="00A11A20">
      <w:pPr>
        <w:pStyle w:val="ListParagraph"/>
        <w:numPr>
          <w:ilvl w:val="0"/>
          <w:numId w:val="11"/>
        </w:numPr>
        <w:autoSpaceDE w:val="0"/>
        <w:autoSpaceDN w:val="0"/>
        <w:adjustRightInd w:val="0"/>
        <w:spacing w:after="0" w:line="240" w:lineRule="auto"/>
        <w:jc w:val="both"/>
      </w:pPr>
      <w:r w:rsidRPr="00B903E4">
        <w:lastRenderedPageBreak/>
        <w:t>Progress towards universal health coverage: monitoring financial protection in the Western Pacific Region. Manila: World Health Organization Regional Office for the Western Pacific; 2023. Licence: CC BY-NC-SA 3.0 IGO.</w:t>
      </w:r>
    </w:p>
    <w:p w14:paraId="272C89A5" w14:textId="24747EDB" w:rsidR="0007161D" w:rsidRPr="00B903E4" w:rsidRDefault="0007161D" w:rsidP="00A11A20">
      <w:pPr>
        <w:pStyle w:val="ListParagraph"/>
        <w:numPr>
          <w:ilvl w:val="0"/>
          <w:numId w:val="11"/>
        </w:numPr>
        <w:autoSpaceDE w:val="0"/>
        <w:autoSpaceDN w:val="0"/>
        <w:adjustRightInd w:val="0"/>
        <w:spacing w:after="0" w:line="240" w:lineRule="auto"/>
        <w:jc w:val="both"/>
      </w:pPr>
      <w:r>
        <w:t>Tracking universal health coverage: 2023 global monitoring report. Geneva: World Health Organization and International Bank for Reconstruction and Development / The World Bank; 2023</w:t>
      </w:r>
    </w:p>
    <w:p w14:paraId="4525A1DE" w14:textId="77777777" w:rsidR="00C54C9E" w:rsidRPr="003D6A3E" w:rsidRDefault="00C54C9E" w:rsidP="00A11A20">
      <w:pPr>
        <w:shd w:val="clear" w:color="auto" w:fill="FFFFFF"/>
        <w:spacing w:after="0" w:line="240" w:lineRule="auto"/>
        <w:ind w:left="720"/>
        <w:contextualSpacing/>
        <w:jc w:val="both"/>
        <w:rPr>
          <w:rFonts w:eastAsia="Times New Roman" w:cstheme="minorHAnsi"/>
          <w:color w:val="4A4A4A"/>
          <w:sz w:val="21"/>
          <w:szCs w:val="21"/>
          <w:lang w:eastAsia="en-GB"/>
        </w:rPr>
      </w:pPr>
    </w:p>
    <w:p w14:paraId="58314A36" w14:textId="77777777" w:rsidR="001E782E" w:rsidRPr="00645B6F" w:rsidRDefault="001E782E" w:rsidP="00A11A20">
      <w:pPr>
        <w:shd w:val="clear" w:color="auto" w:fill="FFFFFF"/>
        <w:spacing w:after="0"/>
        <w:jc w:val="both"/>
        <w:rPr>
          <w:rFonts w:eastAsia="Times New Roman" w:cstheme="minorHAnsi"/>
          <w:i/>
          <w:iCs/>
          <w:color w:val="404040" w:themeColor="text1" w:themeTint="BF"/>
          <w:sz w:val="21"/>
          <w:szCs w:val="21"/>
          <w:lang w:eastAsia="en-GB"/>
        </w:rPr>
      </w:pPr>
    </w:p>
    <w:p w14:paraId="384B0992" w14:textId="36889691" w:rsidR="00186795" w:rsidRPr="00645B6F" w:rsidRDefault="00186795" w:rsidP="00A11A20">
      <w:pPr>
        <w:jc w:val="both"/>
        <w:rPr>
          <w:rFonts w:cstheme="minorHAnsi"/>
        </w:rPr>
      </w:pPr>
    </w:p>
    <w:sectPr w:rsidR="00186795" w:rsidRPr="00645B6F">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3D28" w14:textId="77777777" w:rsidR="00A27774" w:rsidRDefault="00A27774" w:rsidP="00573C0B">
      <w:pPr>
        <w:spacing w:after="0" w:line="240" w:lineRule="auto"/>
      </w:pPr>
      <w:r>
        <w:separator/>
      </w:r>
    </w:p>
  </w:endnote>
  <w:endnote w:type="continuationSeparator" w:id="0">
    <w:p w14:paraId="3DF7A222" w14:textId="77777777" w:rsidR="00A27774" w:rsidRDefault="00A27774" w:rsidP="00573C0B">
      <w:pPr>
        <w:spacing w:after="0" w:line="240" w:lineRule="auto"/>
      </w:pPr>
      <w:r>
        <w:continuationSeparator/>
      </w:r>
    </w:p>
  </w:endnote>
  <w:endnote w:type="continuationNotice" w:id="1">
    <w:p w14:paraId="6F7F68A6" w14:textId="77777777" w:rsidR="00A27774" w:rsidRDefault="00A27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15Ct0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815EA" w14:textId="77777777" w:rsidR="00A27774" w:rsidRDefault="00A27774" w:rsidP="00573C0B">
      <w:pPr>
        <w:spacing w:after="0" w:line="240" w:lineRule="auto"/>
      </w:pPr>
      <w:r>
        <w:separator/>
      </w:r>
    </w:p>
  </w:footnote>
  <w:footnote w:type="continuationSeparator" w:id="0">
    <w:p w14:paraId="307DD055" w14:textId="77777777" w:rsidR="00A27774" w:rsidRDefault="00A27774" w:rsidP="00573C0B">
      <w:pPr>
        <w:spacing w:after="0" w:line="240" w:lineRule="auto"/>
      </w:pPr>
      <w:r>
        <w:continuationSeparator/>
      </w:r>
    </w:p>
  </w:footnote>
  <w:footnote w:type="continuationNotice" w:id="1">
    <w:p w14:paraId="634A06F2" w14:textId="77777777" w:rsidR="00A27774" w:rsidRDefault="00A27774">
      <w:pPr>
        <w:spacing w:after="0" w:line="240" w:lineRule="auto"/>
      </w:pPr>
    </w:p>
  </w:footnote>
  <w:footnote w:id="2">
    <w:p w14:paraId="7AB41B95" w14:textId="77777777" w:rsidR="006F11B1" w:rsidRDefault="006F11B1" w:rsidP="00B55A32">
      <w:pPr>
        <w:pStyle w:val="FootnoteText"/>
        <w:rPr>
          <w:color w:val="404040" w:themeColor="text1" w:themeTint="BF"/>
          <w:sz w:val="18"/>
          <w:szCs w:val="18"/>
        </w:rPr>
      </w:pPr>
      <w:r>
        <w:rPr>
          <w:rStyle w:val="FootnoteReference"/>
          <w:color w:val="404040" w:themeColor="text1" w:themeTint="BF"/>
          <w:sz w:val="18"/>
          <w:szCs w:val="18"/>
        </w:rPr>
        <w:footnoteRef/>
      </w:r>
      <w:r>
        <w:rPr>
          <w:color w:val="404040" w:themeColor="text1" w:themeTint="BF"/>
          <w:sz w:val="18"/>
          <w:szCs w:val="18"/>
        </w:rPr>
        <w:t xml:space="preserve"> </w:t>
      </w:r>
      <w:hyperlink r:id="rId1" w:history="1">
        <w:r>
          <w:rPr>
            <w:rStyle w:val="Hyperlink"/>
            <w:sz w:val="18"/>
            <w:szCs w:val="18"/>
          </w:rPr>
          <w:t>http://www.oecd-ilibrary.org/social-issues-migration-health/a-system-of-health-accounts/classification-of-health-care-financing-schemes-icha-hf_9789264116016-9-en</w:t>
        </w:r>
      </w:hyperlink>
      <w:r>
        <w:rPr>
          <w:rStyle w:val="Hyperlink"/>
          <w:rFonts w:eastAsia="Times New Roman" w:cs="Times New Roman"/>
          <w:color w:val="404040" w:themeColor="text1" w:themeTint="BF"/>
          <w:sz w:val="18"/>
          <w:szCs w:val="18"/>
          <w:lang w:eastAsia="en-GB"/>
        </w:rPr>
        <w:t xml:space="preserve">  </w:t>
      </w:r>
    </w:p>
  </w:footnote>
  <w:footnote w:id="3">
    <w:p w14:paraId="6A93201B" w14:textId="77777777" w:rsidR="006F11B1" w:rsidRDefault="006F11B1" w:rsidP="00B55A32">
      <w:pPr>
        <w:pStyle w:val="FootnoteText"/>
      </w:pPr>
      <w:r>
        <w:rPr>
          <w:rStyle w:val="FootnoteReference"/>
          <w:color w:val="404040" w:themeColor="text1" w:themeTint="BF"/>
          <w:sz w:val="18"/>
          <w:szCs w:val="18"/>
        </w:rPr>
        <w:footnoteRef/>
      </w:r>
      <w:r>
        <w:rPr>
          <w:color w:val="404040" w:themeColor="text1" w:themeTint="BF"/>
          <w:sz w:val="18"/>
          <w:szCs w:val="18"/>
        </w:rPr>
        <w:t xml:space="preserve"> Agenda item 3(l) available at </w:t>
      </w:r>
      <w:hyperlink r:id="rId2" w:history="1">
        <w:r>
          <w:rPr>
            <w:rStyle w:val="Hyperlink"/>
            <w:sz w:val="18"/>
            <w:szCs w:val="18"/>
          </w:rPr>
          <w:t>https://unstats.un.org/unsd/statcom/49th-session/documents/</w:t>
        </w:r>
      </w:hyperlink>
      <w:r>
        <w:rPr>
          <w:color w:val="404040" w:themeColor="text1" w:themeTint="BF"/>
          <w:sz w:val="18"/>
          <w:szCs w:val="18"/>
        </w:rPr>
        <w:t xml:space="preserve">; </w:t>
      </w:r>
      <w:hyperlink r:id="rId3" w:history="1">
        <w:r>
          <w:rPr>
            <w:rStyle w:val="Hyperlink"/>
            <w:sz w:val="18"/>
            <w:szCs w:val="18"/>
          </w:rPr>
          <w:t>http://unstats.un.org/unsd/cr/registry/regcs.asp?Cl=5&amp;Lg=1&amp;Co=06.1</w:t>
        </w:r>
      </w:hyperlink>
      <w:r>
        <w:rPr>
          <w:rStyle w:val="Hyperlink"/>
          <w:sz w:val="18"/>
          <w:szCs w:val="18"/>
        </w:rPr>
        <w:t xml:space="preserve"> </w:t>
      </w:r>
    </w:p>
  </w:footnote>
  <w:footnote w:id="4">
    <w:p w14:paraId="4068C5F3" w14:textId="3CD5E9A4" w:rsidR="007022CC" w:rsidRPr="007022CC" w:rsidRDefault="007022CC" w:rsidP="007022CC">
      <w:pPr>
        <w:pStyle w:val="FootnoteText"/>
      </w:pPr>
      <w:r>
        <w:rPr>
          <w:rStyle w:val="FootnoteReference"/>
        </w:rPr>
        <w:footnoteRef/>
      </w:r>
      <w:r>
        <w:t xml:space="preserve"> </w:t>
      </w:r>
      <w:proofErr w:type="spellStart"/>
      <w:r>
        <w:t>Mancini,Giulia</w:t>
      </w:r>
      <w:proofErr w:type="spellEnd"/>
      <w:r>
        <w:t xml:space="preserve">; </w:t>
      </w:r>
      <w:proofErr w:type="spellStart"/>
      <w:r>
        <w:t>Vecchi,Giovanni</w:t>
      </w:r>
      <w:proofErr w:type="spellEnd"/>
      <w:r>
        <w:t>. On the Construction of a Consumption Aggregate for Inequality and Poverty Analysis (English). Washington, D.C. : World Bank Group.</w:t>
      </w:r>
      <w:r w:rsidR="00101A8E">
        <w:t xml:space="preserve"> (</w:t>
      </w:r>
      <w:hyperlink r:id="rId4" w:history="1">
        <w:r w:rsidR="00101A8E" w:rsidRPr="00101A8E">
          <w:rPr>
            <w:rStyle w:val="Hyperlink"/>
          </w:rPr>
          <w:t>link</w:t>
        </w:r>
      </w:hyperlink>
      <w:r w:rsidR="00101A8E">
        <w:t>)</w:t>
      </w:r>
    </w:p>
  </w:footnote>
  <w:footnote w:id="5">
    <w:p w14:paraId="2943AB1D" w14:textId="77777777" w:rsidR="006F11B1" w:rsidRDefault="006F11B1" w:rsidP="00B55A32">
      <w:pPr>
        <w:pStyle w:val="FootnoteText"/>
        <w:rPr>
          <w:color w:val="404040" w:themeColor="text1" w:themeTint="BF"/>
          <w:sz w:val="18"/>
          <w:szCs w:val="18"/>
        </w:rPr>
      </w:pPr>
      <w:r>
        <w:rPr>
          <w:rStyle w:val="FootnoteReference"/>
          <w:color w:val="404040" w:themeColor="text1" w:themeTint="BF"/>
          <w:sz w:val="18"/>
          <w:szCs w:val="18"/>
        </w:rPr>
        <w:footnoteRef/>
      </w:r>
      <w:r>
        <w:rPr>
          <w:color w:val="404040" w:themeColor="text1" w:themeTint="BF"/>
          <w:sz w:val="18"/>
          <w:szCs w:val="18"/>
        </w:rPr>
        <w:t xml:space="preserve"> </w:t>
      </w:r>
      <w:hyperlink r:id="rId5" w:history="1">
        <w:r>
          <w:rPr>
            <w:rStyle w:val="Hyperlink"/>
            <w:sz w:val="18"/>
            <w:szCs w:val="18"/>
          </w:rPr>
          <w:t>http://www.ilo.org/public/english/bureau/stat/download/17thicls/r2hies.pdf</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6">
    <w:p w14:paraId="2D4CA252" w14:textId="580AB7B6" w:rsidR="008C5A3B" w:rsidRPr="008C5A3B" w:rsidRDefault="008C5A3B">
      <w:pPr>
        <w:pStyle w:val="FootnoteText"/>
      </w:pPr>
      <w:r>
        <w:rPr>
          <w:rStyle w:val="FootnoteReference"/>
        </w:rPr>
        <w:footnoteRef/>
      </w:r>
      <w:r>
        <w:t xml:space="preserve"> </w:t>
      </w:r>
      <w:r w:rsidRPr="008C5A3B">
        <w:rPr>
          <w:color w:val="222222"/>
          <w:sz w:val="18"/>
          <w:szCs w:val="18"/>
          <w:highlight w:val="white"/>
        </w:rPr>
        <w:t xml:space="preserve">Jolliffe, Dean, and Espen Beer </w:t>
      </w:r>
      <w:proofErr w:type="spellStart"/>
      <w:r w:rsidRPr="008C5A3B">
        <w:rPr>
          <w:color w:val="222222"/>
          <w:sz w:val="18"/>
          <w:szCs w:val="18"/>
          <w:highlight w:val="white"/>
        </w:rPr>
        <w:t>Prydz</w:t>
      </w:r>
      <w:proofErr w:type="spellEnd"/>
      <w:r w:rsidRPr="008C5A3B">
        <w:rPr>
          <w:color w:val="222222"/>
          <w:sz w:val="18"/>
          <w:szCs w:val="18"/>
          <w:highlight w:val="white"/>
        </w:rPr>
        <w:t>. "Societal poverty: A relative and relevant measure." </w:t>
      </w:r>
      <w:r w:rsidRPr="008C5A3B">
        <w:rPr>
          <w:i/>
          <w:iCs/>
          <w:color w:val="222222"/>
          <w:sz w:val="18"/>
          <w:szCs w:val="18"/>
          <w:highlight w:val="white"/>
        </w:rPr>
        <w:t>The World Bank Economic Review</w:t>
      </w:r>
      <w:r w:rsidRPr="008C5A3B">
        <w:rPr>
          <w:color w:val="222222"/>
          <w:sz w:val="18"/>
          <w:szCs w:val="18"/>
          <w:highlight w:val="white"/>
        </w:rPr>
        <w:t> 35, no. 1 (2021): 180-206.</w:t>
      </w:r>
    </w:p>
  </w:footnote>
  <w:footnote w:id="7">
    <w:p w14:paraId="599632B5" w14:textId="20381BC4" w:rsidR="002725DD" w:rsidRPr="002725DD" w:rsidRDefault="002725DD">
      <w:pPr>
        <w:pStyle w:val="FootnoteText"/>
      </w:pPr>
      <w:r>
        <w:rPr>
          <w:rStyle w:val="FootnoteReference"/>
        </w:rPr>
        <w:footnoteRef/>
      </w:r>
      <w:r>
        <w:t xml:space="preserve"> </w:t>
      </w:r>
      <w:r w:rsidR="008B7631">
        <w:rPr>
          <w:rFonts w:cs="Calibri"/>
          <w:color w:val="404040" w:themeColor="text1" w:themeTint="BF"/>
          <w:sz w:val="18"/>
          <w:szCs w:val="18"/>
        </w:rPr>
        <w:t xml:space="preserve">Xu, K., Evans, D. B., Carrin, G., Aguilar-Rivera, A. M., Musgrove, P., and Evans, T. (2007), “Protecting Households From Catastrophic Health Spending,” </w:t>
      </w:r>
      <w:r w:rsidR="008B7631">
        <w:rPr>
          <w:rFonts w:cs="Calibri"/>
          <w:i/>
          <w:iCs/>
          <w:color w:val="404040" w:themeColor="text1" w:themeTint="BF"/>
          <w:sz w:val="18"/>
          <w:szCs w:val="18"/>
        </w:rPr>
        <w:t>Health Affairs</w:t>
      </w:r>
      <w:r w:rsidR="008B7631">
        <w:rPr>
          <w:rFonts w:cs="Calibri"/>
          <w:color w:val="404040" w:themeColor="text1" w:themeTint="BF"/>
          <w:sz w:val="18"/>
          <w:szCs w:val="18"/>
        </w:rPr>
        <w:t xml:space="preserve">, 26, 972–983. Xu, K., Evans, D., Kawabata, K., </w:t>
      </w:r>
      <w:proofErr w:type="spellStart"/>
      <w:r w:rsidR="008B7631">
        <w:rPr>
          <w:rFonts w:cs="Calibri"/>
          <w:color w:val="404040" w:themeColor="text1" w:themeTint="BF"/>
          <w:sz w:val="18"/>
          <w:szCs w:val="18"/>
        </w:rPr>
        <w:t>Zeramdini</w:t>
      </w:r>
      <w:proofErr w:type="spellEnd"/>
      <w:r w:rsidR="008B7631">
        <w:rPr>
          <w:rFonts w:cs="Calibri"/>
          <w:color w:val="404040" w:themeColor="text1" w:themeTint="BF"/>
          <w:sz w:val="18"/>
          <w:szCs w:val="18"/>
        </w:rPr>
        <w:t xml:space="preserve">, R., </w:t>
      </w:r>
      <w:proofErr w:type="spellStart"/>
      <w:r w:rsidR="008B7631">
        <w:rPr>
          <w:rFonts w:cs="Calibri"/>
          <w:color w:val="404040" w:themeColor="text1" w:themeTint="BF"/>
          <w:sz w:val="18"/>
          <w:szCs w:val="18"/>
        </w:rPr>
        <w:t>Klavus</w:t>
      </w:r>
      <w:proofErr w:type="spellEnd"/>
      <w:r w:rsidR="008B7631">
        <w:rPr>
          <w:rFonts w:cs="Calibri"/>
          <w:color w:val="404040" w:themeColor="text1" w:themeTint="BF"/>
          <w:sz w:val="18"/>
          <w:szCs w:val="18"/>
        </w:rPr>
        <w:t xml:space="preserve">, J., and Murray, C. (2003), “Households Catastrophic Health Expenditure: A Multi-Country Analysis,” </w:t>
      </w:r>
      <w:r w:rsidR="008B7631">
        <w:rPr>
          <w:rFonts w:cs="Calibri"/>
          <w:i/>
          <w:iCs/>
          <w:color w:val="404040" w:themeColor="text1" w:themeTint="BF"/>
          <w:sz w:val="18"/>
          <w:szCs w:val="18"/>
        </w:rPr>
        <w:t>The Lancet</w:t>
      </w:r>
      <w:r w:rsidR="008B7631">
        <w:rPr>
          <w:rFonts w:cs="Calibri"/>
          <w:color w:val="404040" w:themeColor="text1" w:themeTint="BF"/>
          <w:sz w:val="18"/>
          <w:szCs w:val="18"/>
        </w:rPr>
        <w:t>, 326, 111–117.</w:t>
      </w:r>
    </w:p>
  </w:footnote>
  <w:footnote w:id="8">
    <w:p w14:paraId="6FBDDA94" w14:textId="505106C2" w:rsidR="00903084" w:rsidRPr="00903084" w:rsidRDefault="00903084">
      <w:pPr>
        <w:pStyle w:val="FootnoteText"/>
      </w:pPr>
      <w:r>
        <w:rPr>
          <w:rStyle w:val="FootnoteReference"/>
        </w:rPr>
        <w:footnoteRef/>
      </w:r>
      <w:r w:rsidRPr="00903084">
        <w:rPr>
          <w:lang w:val="fr-CH"/>
        </w:rPr>
        <w:t xml:space="preserve"> </w:t>
      </w:r>
      <w:r w:rsidRPr="00903084">
        <w:rPr>
          <w:sz w:val="18"/>
          <w:szCs w:val="18"/>
          <w:lang w:val="fr-CH"/>
        </w:rPr>
        <w:t xml:space="preserve">Hsu, J., Flores, G., Evans, D. et al. </w:t>
      </w:r>
      <w:r w:rsidRPr="00903084">
        <w:rPr>
          <w:sz w:val="18"/>
          <w:szCs w:val="18"/>
        </w:rPr>
        <w:t>Measuring financial protection against catastrophic health expenditures: methodological challenges for global monitoring. Int J Equity Health 17, 69 (2018). https://doi.org/10.1186/s12939-018-0749-5</w:t>
      </w:r>
    </w:p>
  </w:footnote>
  <w:footnote w:id="9">
    <w:p w14:paraId="31F87755" w14:textId="77777777" w:rsidR="006F11B1" w:rsidRDefault="006F11B1" w:rsidP="00B55A32">
      <w:pPr>
        <w:pStyle w:val="FootnoteText"/>
      </w:pPr>
      <w:r w:rsidRPr="001040CF">
        <w:rPr>
          <w:rStyle w:val="Hyperlink"/>
          <w:color w:val="auto"/>
          <w:sz w:val="16"/>
          <w:szCs w:val="16"/>
          <w:u w:val="none"/>
          <w:vertAlign w:val="superscript"/>
        </w:rPr>
        <w:footnoteRef/>
      </w:r>
      <w:r w:rsidRPr="001040CF">
        <w:rPr>
          <w:rStyle w:val="Hyperlink"/>
          <w:sz w:val="16"/>
          <w:szCs w:val="16"/>
          <w:vertAlign w:val="superscript"/>
        </w:rPr>
        <w:t xml:space="preserve"> </w:t>
      </w:r>
      <w:hyperlink r:id="rId6" w:history="1">
        <w:r>
          <w:rPr>
            <w:rStyle w:val="Hyperlink"/>
            <w:sz w:val="18"/>
            <w:szCs w:val="18"/>
          </w:rPr>
          <w:t>http://unstats.un.org/sdgs/metadata/files/Metadata-01-01-01a.pdf</w:t>
        </w:r>
      </w:hyperlink>
    </w:p>
  </w:footnote>
  <w:footnote w:id="10">
    <w:p w14:paraId="5343A2CC" w14:textId="77777777" w:rsidR="006F11B1" w:rsidRDefault="006F11B1" w:rsidP="00B55A32">
      <w:pPr>
        <w:pStyle w:val="FootnoteText"/>
        <w:rPr>
          <w:sz w:val="14"/>
          <w:szCs w:val="14"/>
        </w:rPr>
      </w:pPr>
      <w:r>
        <w:rPr>
          <w:rStyle w:val="FootnoteReference"/>
          <w:color w:val="404040" w:themeColor="text1" w:themeTint="BF"/>
          <w:sz w:val="18"/>
          <w:szCs w:val="18"/>
        </w:rPr>
        <w:footnoteRef/>
      </w:r>
      <w:r>
        <w:rPr>
          <w:color w:val="404040" w:themeColor="text1" w:themeTint="BF"/>
          <w:sz w:val="18"/>
          <w:szCs w:val="18"/>
        </w:rPr>
        <w:t xml:space="preserve"> </w:t>
      </w:r>
      <w:hyperlink r:id="rId7" w:history="1">
        <w:r>
          <w:rPr>
            <w:rStyle w:val="Hyperlink"/>
            <w:sz w:val="18"/>
            <w:szCs w:val="18"/>
          </w:rPr>
          <w:t>http://unstats.un.org/sdgs/metadata/files/Metadata-01-01-01a.pdf</w:t>
        </w:r>
      </w:hyperlink>
      <w:r>
        <w:rPr>
          <w:color w:val="404040" w:themeColor="text1" w:themeTint="BF"/>
          <w:sz w:val="18"/>
          <w:szCs w:val="18"/>
        </w:rPr>
        <w:t xml:space="preserve">  </w:t>
      </w:r>
    </w:p>
  </w:footnote>
  <w:footnote w:id="11">
    <w:p w14:paraId="28B82C85" w14:textId="77777777" w:rsidR="00027E2E" w:rsidRDefault="00027E2E" w:rsidP="00027E2E">
      <w:pPr>
        <w:pStyle w:val="FootnoteText"/>
      </w:pPr>
      <w:r>
        <w:rPr>
          <w:rStyle w:val="FootnoteReference"/>
        </w:rPr>
        <w:footnoteRef/>
      </w:r>
      <w:r>
        <w:t xml:space="preserve"> </w:t>
      </w:r>
      <w:r>
        <w:rPr>
          <w:rStyle w:val="Hyperlink"/>
          <w:color w:val="404040" w:themeColor="text1" w:themeTint="BF"/>
          <w:sz w:val="18"/>
          <w:szCs w:val="18"/>
        </w:rPr>
        <w:t>Chapter 2 in</w:t>
      </w:r>
      <w:r>
        <w:t xml:space="preserve"> </w:t>
      </w:r>
      <w:r>
        <w:rPr>
          <w:rStyle w:val="Hyperlink"/>
          <w:color w:val="404040" w:themeColor="text1" w:themeTint="BF"/>
          <w:sz w:val="18"/>
          <w:szCs w:val="18"/>
        </w:rPr>
        <w:t>“Tracking universal health coverage: 2017 global monitoring report”, World Health Organization and International Bank for Reconstruction and Development/  The World Bank; 2017</w:t>
      </w:r>
      <w:r>
        <w:t xml:space="preserve">; </w:t>
      </w:r>
      <w:hyperlink r:id="rId8" w:history="1">
        <w:r>
          <w:rPr>
            <w:rStyle w:val="Hyperlink"/>
            <w:sz w:val="18"/>
            <w:szCs w:val="18"/>
          </w:rPr>
          <w:t>http://www.who.int/healthinfo/indicators/2015/en/</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12">
    <w:p w14:paraId="3C90B578" w14:textId="77777777" w:rsidR="00027E2E" w:rsidRDefault="00027E2E" w:rsidP="00027E2E">
      <w:pPr>
        <w:pStyle w:val="FootnoteText"/>
        <w:rPr>
          <w:color w:val="404040" w:themeColor="text1" w:themeTint="BF"/>
          <w:sz w:val="18"/>
          <w:szCs w:val="18"/>
        </w:rPr>
      </w:pPr>
      <w:r>
        <w:rPr>
          <w:rStyle w:val="FootnoteReference"/>
          <w:color w:val="404040" w:themeColor="text1" w:themeTint="BF"/>
          <w:sz w:val="18"/>
          <w:szCs w:val="18"/>
        </w:rPr>
        <w:footnoteRef/>
      </w:r>
      <w:r>
        <w:rPr>
          <w:rFonts w:cs="Calibri"/>
          <w:color w:val="404040" w:themeColor="text1" w:themeTint="BF"/>
          <w:sz w:val="18"/>
          <w:szCs w:val="18"/>
        </w:rPr>
        <w:t xml:space="preserve">Xu, K., Evans, D. B., Carrin, G., Aguilar-Rivera, A. M., Musgrove, P., and Evans, T. (2007), “Protecting Households From Catastrophic Health Spending,” </w:t>
      </w:r>
      <w:r>
        <w:rPr>
          <w:rFonts w:cs="Calibri"/>
          <w:i/>
          <w:iCs/>
          <w:color w:val="404040" w:themeColor="text1" w:themeTint="BF"/>
          <w:sz w:val="18"/>
          <w:szCs w:val="18"/>
        </w:rPr>
        <w:t>Health Affairs</w:t>
      </w:r>
      <w:r>
        <w:rPr>
          <w:rFonts w:cs="Calibri"/>
          <w:color w:val="404040" w:themeColor="text1" w:themeTint="BF"/>
          <w:sz w:val="18"/>
          <w:szCs w:val="18"/>
        </w:rPr>
        <w:t xml:space="preserve">, 26, 972–983. Xu, K., Evans, D., Kawabata, K., </w:t>
      </w:r>
      <w:proofErr w:type="spellStart"/>
      <w:r>
        <w:rPr>
          <w:rFonts w:cs="Calibri"/>
          <w:color w:val="404040" w:themeColor="text1" w:themeTint="BF"/>
          <w:sz w:val="18"/>
          <w:szCs w:val="18"/>
        </w:rPr>
        <w:t>Zeramdini</w:t>
      </w:r>
      <w:proofErr w:type="spellEnd"/>
      <w:r>
        <w:rPr>
          <w:rFonts w:cs="Calibri"/>
          <w:color w:val="404040" w:themeColor="text1" w:themeTint="BF"/>
          <w:sz w:val="18"/>
          <w:szCs w:val="18"/>
        </w:rPr>
        <w:t xml:space="preserve">, R., </w:t>
      </w:r>
      <w:proofErr w:type="spellStart"/>
      <w:r>
        <w:rPr>
          <w:rFonts w:cs="Calibri"/>
          <w:color w:val="404040" w:themeColor="text1" w:themeTint="BF"/>
          <w:sz w:val="18"/>
          <w:szCs w:val="18"/>
        </w:rPr>
        <w:t>Klavus</w:t>
      </w:r>
      <w:proofErr w:type="spellEnd"/>
      <w:r>
        <w:rPr>
          <w:rFonts w:cs="Calibri"/>
          <w:color w:val="404040" w:themeColor="text1" w:themeTint="BF"/>
          <w:sz w:val="18"/>
          <w:szCs w:val="18"/>
        </w:rPr>
        <w:t xml:space="preserve">, J., and Murray, C. (2003), “Households Catastrophic Health Expenditure: A Multi-Country Analysis,” </w:t>
      </w:r>
      <w:r>
        <w:rPr>
          <w:rFonts w:cs="Calibri"/>
          <w:i/>
          <w:iCs/>
          <w:color w:val="404040" w:themeColor="text1" w:themeTint="BF"/>
          <w:sz w:val="18"/>
          <w:szCs w:val="18"/>
        </w:rPr>
        <w:t>The Lancet</w:t>
      </w:r>
      <w:r>
        <w:rPr>
          <w:rFonts w:cs="Calibri"/>
          <w:color w:val="404040" w:themeColor="text1" w:themeTint="BF"/>
          <w:sz w:val="18"/>
          <w:szCs w:val="18"/>
        </w:rPr>
        <w:t xml:space="preserve">, 326, 111–117. </w:t>
      </w:r>
    </w:p>
  </w:footnote>
  <w:footnote w:id="13">
    <w:p w14:paraId="168E9D8E" w14:textId="27FBDDCD" w:rsidR="00027E2E" w:rsidRDefault="00027E2E" w:rsidP="00027E2E">
      <w:pPr>
        <w:pStyle w:val="FootnoteText"/>
        <w:rPr>
          <w:color w:val="404040" w:themeColor="text1" w:themeTint="BF"/>
          <w:sz w:val="18"/>
          <w:szCs w:val="18"/>
        </w:rPr>
      </w:pPr>
      <w:r>
        <w:rPr>
          <w:rStyle w:val="FootnoteReference"/>
          <w:color w:val="404040" w:themeColor="text1" w:themeTint="BF"/>
          <w:sz w:val="18"/>
          <w:szCs w:val="18"/>
        </w:rPr>
        <w:footnoteRef/>
      </w:r>
      <w:r>
        <w:rPr>
          <w:color w:val="404040" w:themeColor="text1" w:themeTint="BF"/>
          <w:sz w:val="18"/>
          <w:szCs w:val="18"/>
        </w:rPr>
        <w:t xml:space="preserve"> </w:t>
      </w:r>
      <w:hyperlink r:id="rId9" w:history="1">
        <w:r w:rsidR="00EF5F0D" w:rsidRPr="00EF5F0D">
          <w:rPr>
            <w:rStyle w:val="Hyperlink"/>
            <w:sz w:val="18"/>
            <w:szCs w:val="18"/>
          </w:rPr>
          <w:t>http://applications.emro.who.int/dsaf/EMROPUB_2016_EN_19169.pdf?ua=1</w:t>
        </w:r>
      </w:hyperlink>
      <w:r>
        <w:rPr>
          <w:rStyle w:val="Hyperlink"/>
        </w:rPr>
        <w:t xml:space="preserve"> ; </w:t>
      </w:r>
      <w:hyperlink r:id="rId10" w:history="1">
        <w:r>
          <w:rPr>
            <w:rStyle w:val="Hyperlink"/>
            <w:sz w:val="18"/>
            <w:szCs w:val="18"/>
          </w:rPr>
          <w:t>http://apps.searo.who.int/uhc</w:t>
        </w:r>
      </w:hyperlink>
      <w:hyperlink r:id="rId11" w:history="1">
        <w:r>
          <w:rPr>
            <w:rStyle w:val="Hyperlink"/>
            <w:sz w:val="18"/>
            <w:szCs w:val="18"/>
          </w:rPr>
          <w:t>http://www.paho.org/hq/index.php?option=com_content&amp;view=article&amp;id=11065%3A2015-universal-health-coverage-latin-america-caribbean&amp;catid=3316%3Apublications&amp;Itemid=3562&amp;lang=en</w:t>
        </w:r>
      </w:hyperlink>
    </w:p>
  </w:footnote>
  <w:footnote w:id="14">
    <w:p w14:paraId="073A49EF" w14:textId="1BC1351F" w:rsidR="00045457" w:rsidRPr="00E85480" w:rsidRDefault="002811CF" w:rsidP="00AE2B09">
      <w:pPr>
        <w:pStyle w:val="FootnoteText"/>
        <w:rPr>
          <w:sz w:val="18"/>
          <w:szCs w:val="18"/>
        </w:rPr>
      </w:pPr>
      <w:r>
        <w:rPr>
          <w:rStyle w:val="FootnoteReference"/>
          <w:sz w:val="18"/>
          <w:szCs w:val="18"/>
        </w:rPr>
        <w:footnoteRef/>
      </w:r>
      <w:r>
        <w:rPr>
          <w:sz w:val="18"/>
          <w:szCs w:val="18"/>
        </w:rPr>
        <w:t xml:space="preserve"> </w:t>
      </w:r>
      <w:r w:rsidR="00AE1F9D" w:rsidRPr="0095268D">
        <w:rPr>
          <w:rFonts w:asciiTheme="minorHAnsi" w:eastAsiaTheme="minorEastAsia" w:hAnsiTheme="minorHAnsi" w:cstheme="minorBidi"/>
          <w:sz w:val="18"/>
          <w:szCs w:val="18"/>
        </w:rPr>
        <w:t xml:space="preserve">Data can be downloaded </w:t>
      </w:r>
      <w:r w:rsidR="00AE1F9D">
        <w:rPr>
          <w:rFonts w:asciiTheme="minorHAnsi" w:eastAsiaTheme="minorEastAsia" w:hAnsiTheme="minorHAnsi" w:cstheme="minorBidi"/>
          <w:sz w:val="18"/>
          <w:szCs w:val="18"/>
        </w:rPr>
        <w:t>using the online portal (</w:t>
      </w:r>
      <w:hyperlink r:id="rId12" w:history="1">
        <w:r w:rsidR="00AE1F9D" w:rsidRPr="002943AC">
          <w:rPr>
            <w:rStyle w:val="Hyperlink"/>
            <w:sz w:val="18"/>
            <w:szCs w:val="18"/>
          </w:rPr>
          <w:t>https://pip.worldbank.org/home</w:t>
        </w:r>
      </w:hyperlink>
      <w:r w:rsidR="00AE1F9D">
        <w:rPr>
          <w:sz w:val="18"/>
          <w:szCs w:val="18"/>
        </w:rPr>
        <w:t>).</w:t>
      </w:r>
      <w:r w:rsidR="00AE1F9D" w:rsidRPr="00453968">
        <w:rPr>
          <w:sz w:val="18"/>
          <w:szCs w:val="18"/>
        </w:rPr>
        <w:t xml:space="preserve"> </w:t>
      </w:r>
      <w:r w:rsidR="00AE1F9D" w:rsidRPr="00E85480">
        <w:rPr>
          <w:sz w:val="18"/>
          <w:szCs w:val="18"/>
        </w:rPr>
        <w:t>In</w:t>
      </w:r>
      <w:r w:rsidR="00AE1F9D">
        <w:rPr>
          <w:sz w:val="18"/>
          <w:szCs w:val="18"/>
        </w:rPr>
        <w:t xml:space="preserve"> addition to the online portal, </w:t>
      </w:r>
      <w:r w:rsidR="00DE46F5">
        <w:rPr>
          <w:sz w:val="18"/>
          <w:szCs w:val="18"/>
        </w:rPr>
        <w:t>data</w:t>
      </w:r>
      <w:r w:rsidR="00AE1F9D">
        <w:rPr>
          <w:sz w:val="18"/>
          <w:szCs w:val="18"/>
        </w:rPr>
        <w:t xml:space="preserve"> can be downloaded directly from Stata.</w:t>
      </w:r>
      <w:r w:rsidR="00045457">
        <w:rPr>
          <w:sz w:val="18"/>
          <w:szCs w:val="18"/>
        </w:rPr>
        <w:t xml:space="preserve"> </w:t>
      </w:r>
    </w:p>
  </w:footnote>
  <w:footnote w:id="15">
    <w:p w14:paraId="049DB93B" w14:textId="1A024B6B" w:rsidR="00A81F1F" w:rsidRPr="00A81F1F" w:rsidRDefault="00A81F1F">
      <w:pPr>
        <w:pStyle w:val="FootnoteText"/>
        <w:rPr>
          <w:lang w:val="en-US"/>
        </w:rPr>
      </w:pPr>
      <w:r>
        <w:rPr>
          <w:rStyle w:val="FootnoteReference"/>
        </w:rPr>
        <w:footnoteRef/>
      </w:r>
      <w:r>
        <w:t xml:space="preserve"> </w:t>
      </w:r>
      <w:hyperlink r:id="rId13" w:history="1">
        <w:r>
          <w:rPr>
            <w:rStyle w:val="Hyperlink"/>
            <w:sz w:val="18"/>
            <w:szCs w:val="18"/>
          </w:rPr>
          <w:t>https://datacatalog.worldbank.org/dataset/world-development-indicators</w:t>
        </w:r>
      </w:hyperlink>
    </w:p>
  </w:footnote>
  <w:footnote w:id="16">
    <w:p w14:paraId="18F383AA" w14:textId="1BEEBDFC" w:rsidR="00DC168D" w:rsidRPr="00DC168D" w:rsidRDefault="00DC168D">
      <w:pPr>
        <w:pStyle w:val="FootnoteText"/>
      </w:pPr>
      <w:r>
        <w:rPr>
          <w:rStyle w:val="FootnoteReference"/>
        </w:rPr>
        <w:footnoteRef/>
      </w:r>
      <w:r>
        <w:t xml:space="preserve"> </w:t>
      </w:r>
      <w:r w:rsidR="00032920" w:rsidRPr="0095268D">
        <w:rPr>
          <w:rFonts w:asciiTheme="minorHAnsi" w:eastAsiaTheme="minorEastAsia" w:hAnsiTheme="minorHAnsi" w:cstheme="minorBidi"/>
          <w:sz w:val="18"/>
          <w:szCs w:val="18"/>
        </w:rPr>
        <w:t xml:space="preserve">Data can be downloaded </w:t>
      </w:r>
      <w:r w:rsidR="00032920">
        <w:rPr>
          <w:rFonts w:asciiTheme="minorHAnsi" w:eastAsiaTheme="minorEastAsia" w:hAnsiTheme="minorHAnsi" w:cstheme="minorBidi"/>
          <w:sz w:val="18"/>
          <w:szCs w:val="18"/>
        </w:rPr>
        <w:t>using the online portal (</w:t>
      </w:r>
      <w:hyperlink r:id="rId14" w:history="1">
        <w:r w:rsidR="00032920" w:rsidRPr="002943AC">
          <w:rPr>
            <w:rStyle w:val="Hyperlink"/>
            <w:sz w:val="18"/>
            <w:szCs w:val="18"/>
          </w:rPr>
          <w:t>https://pip.worldbank.org/home</w:t>
        </w:r>
      </w:hyperlink>
      <w:r w:rsidR="00032920">
        <w:rPr>
          <w:sz w:val="18"/>
          <w:szCs w:val="18"/>
        </w:rPr>
        <w:t>).</w:t>
      </w:r>
      <w:r w:rsidR="00032920" w:rsidRPr="00453968">
        <w:rPr>
          <w:sz w:val="18"/>
          <w:szCs w:val="18"/>
        </w:rPr>
        <w:t xml:space="preserve"> </w:t>
      </w:r>
      <w:r w:rsidR="00032920" w:rsidRPr="00E85480">
        <w:rPr>
          <w:sz w:val="18"/>
          <w:szCs w:val="18"/>
        </w:rPr>
        <w:t>In</w:t>
      </w:r>
      <w:r w:rsidR="00032920">
        <w:rPr>
          <w:sz w:val="18"/>
          <w:szCs w:val="18"/>
        </w:rPr>
        <w:t xml:space="preserve"> addition to the online portal, data can be downloaded directly from Stata</w:t>
      </w:r>
      <w:r w:rsidR="00370886">
        <w:rPr>
          <w:sz w:val="18"/>
          <w:szCs w:val="18"/>
        </w:rPr>
        <w:t>.</w:t>
      </w:r>
    </w:p>
  </w:footnote>
  <w:footnote w:id="17">
    <w:p w14:paraId="07EBF45F" w14:textId="736EDE7F" w:rsidR="00AE2B09" w:rsidRPr="00AE2B09" w:rsidRDefault="00AE2B09">
      <w:pPr>
        <w:pStyle w:val="FootnoteText"/>
      </w:pPr>
      <w:r>
        <w:rPr>
          <w:rStyle w:val="FootnoteReference"/>
        </w:rPr>
        <w:footnoteRef/>
      </w:r>
      <w:r>
        <w:t xml:space="preserve"> </w:t>
      </w:r>
      <w:r w:rsidR="00370886" w:rsidRPr="0095268D">
        <w:rPr>
          <w:rFonts w:asciiTheme="minorHAnsi" w:eastAsiaTheme="minorEastAsia" w:hAnsiTheme="minorHAnsi" w:cstheme="minorBidi"/>
          <w:sz w:val="18"/>
          <w:szCs w:val="18"/>
        </w:rPr>
        <w:t xml:space="preserve">Data can be downloaded </w:t>
      </w:r>
      <w:r w:rsidR="00370886">
        <w:rPr>
          <w:rFonts w:asciiTheme="minorHAnsi" w:eastAsiaTheme="minorEastAsia" w:hAnsiTheme="minorHAnsi" w:cstheme="minorBidi"/>
          <w:sz w:val="18"/>
          <w:szCs w:val="18"/>
        </w:rPr>
        <w:t>using the online portal (</w:t>
      </w:r>
      <w:hyperlink r:id="rId15" w:history="1">
        <w:r w:rsidR="00370886" w:rsidRPr="002943AC">
          <w:rPr>
            <w:rStyle w:val="Hyperlink"/>
            <w:sz w:val="18"/>
            <w:szCs w:val="18"/>
          </w:rPr>
          <w:t>https://pip.worldbank.org/home</w:t>
        </w:r>
      </w:hyperlink>
      <w:r w:rsidR="00370886">
        <w:rPr>
          <w:sz w:val="18"/>
          <w:szCs w:val="18"/>
        </w:rPr>
        <w:t>).</w:t>
      </w:r>
      <w:r w:rsidR="00370886" w:rsidRPr="00453968">
        <w:rPr>
          <w:sz w:val="18"/>
          <w:szCs w:val="18"/>
        </w:rPr>
        <w:t xml:space="preserve"> </w:t>
      </w:r>
      <w:r w:rsidR="00370886" w:rsidRPr="00E85480">
        <w:rPr>
          <w:sz w:val="18"/>
          <w:szCs w:val="18"/>
        </w:rPr>
        <w:t>In</w:t>
      </w:r>
      <w:r w:rsidR="00370886">
        <w:rPr>
          <w:sz w:val="18"/>
          <w:szCs w:val="18"/>
        </w:rPr>
        <w:t xml:space="preserve"> addition to the online portal, data can be downloaded directly from Stata.</w:t>
      </w:r>
    </w:p>
  </w:footnote>
  <w:footnote w:id="18">
    <w:p w14:paraId="49A7AF91" w14:textId="11FDB301" w:rsidR="00927A86" w:rsidRPr="006843E6" w:rsidRDefault="001F4D52" w:rsidP="001F4D52">
      <w:pPr>
        <w:pStyle w:val="FootnoteText"/>
        <w:rPr>
          <w:sz w:val="18"/>
          <w:szCs w:val="18"/>
          <w:lang w:val="en-US"/>
        </w:rPr>
      </w:pPr>
      <w:r>
        <w:rPr>
          <w:rStyle w:val="FootnoteReference"/>
          <w:sz w:val="18"/>
          <w:szCs w:val="18"/>
        </w:rPr>
        <w:footnoteRef/>
      </w:r>
      <w:r w:rsidRPr="00527CDA">
        <w:rPr>
          <w:sz w:val="18"/>
          <w:szCs w:val="18"/>
          <w:lang w:val="en-US"/>
        </w:rPr>
        <w:t xml:space="preserve"> </w:t>
      </w:r>
      <w:r w:rsidR="00927A86" w:rsidRPr="00C95B87">
        <w:rPr>
          <w:sz w:val="18"/>
          <w:szCs w:val="18"/>
          <w:lang w:val="en-US"/>
        </w:rPr>
        <w:t>Data can</w:t>
      </w:r>
      <w:r w:rsidR="00927A86">
        <w:rPr>
          <w:sz w:val="18"/>
          <w:szCs w:val="18"/>
          <w:lang w:val="en-US"/>
        </w:rPr>
        <w:t xml:space="preserve"> be </w:t>
      </w:r>
      <w:r w:rsidR="00613574">
        <w:rPr>
          <w:sz w:val="18"/>
          <w:szCs w:val="18"/>
          <w:lang w:val="en-US"/>
        </w:rPr>
        <w:t>downloaded</w:t>
      </w:r>
      <w:r w:rsidR="00EE74BC">
        <w:rPr>
          <w:sz w:val="18"/>
          <w:szCs w:val="18"/>
          <w:lang w:val="en-US"/>
        </w:rPr>
        <w:t xml:space="preserve"> using online portal (</w:t>
      </w:r>
      <w:hyperlink r:id="rId16" w:history="1">
        <w:r w:rsidR="00EE74BC" w:rsidRPr="009F2700">
          <w:rPr>
            <w:rStyle w:val="Hyperlink"/>
            <w:sz w:val="18"/>
            <w:szCs w:val="18"/>
            <w:lang w:val="en-US"/>
          </w:rPr>
          <w:t>https://apps.who.int/nha/database/Select/Indicators/en</w:t>
        </w:r>
      </w:hyperlink>
      <w:r w:rsidR="00EE74BC">
        <w:rPr>
          <w:sz w:val="18"/>
          <w:szCs w:val="18"/>
        </w:rPr>
        <w:t>|)</w:t>
      </w:r>
      <w:r w:rsidR="00EE74BC" w:rsidRPr="009F2700">
        <w:rPr>
          <w:sz w:val="18"/>
          <w:szCs w:val="18"/>
          <w:lang w:val="en-US"/>
        </w:rPr>
        <w:t xml:space="preserve"> </w:t>
      </w:r>
      <w:r w:rsidR="00613574">
        <w:rPr>
          <w:sz w:val="18"/>
          <w:szCs w:val="18"/>
          <w:lang w:val="en-US"/>
        </w:rPr>
        <w:t xml:space="preserve">by choosing Data explorer, Health expenditure data, </w:t>
      </w:r>
      <w:r w:rsidR="009346EA">
        <w:rPr>
          <w:sz w:val="18"/>
          <w:szCs w:val="18"/>
          <w:lang w:val="en-US"/>
        </w:rPr>
        <w:t>Financing schemes, and Household out-of-pocket payments (</w:t>
      </w:r>
      <w:proofErr w:type="spellStart"/>
      <w:r w:rsidR="009346EA">
        <w:rPr>
          <w:sz w:val="18"/>
          <w:szCs w:val="18"/>
          <w:lang w:val="en-US"/>
        </w:rPr>
        <w:t>OOps</w:t>
      </w:r>
      <w:proofErr w:type="spellEnd"/>
      <w:r w:rsidR="009346EA">
        <w:rPr>
          <w:sz w:val="18"/>
          <w:szCs w:val="18"/>
          <w:lang w:val="en-US"/>
        </w:rPr>
        <w:t>)</w:t>
      </w:r>
      <w:r w:rsidR="00E47040">
        <w:rPr>
          <w:sz w:val="18"/>
          <w:szCs w:val="18"/>
          <w:lang w:val="en-US"/>
        </w:rPr>
        <w:t>.</w:t>
      </w:r>
      <w:r w:rsidR="009346EA">
        <w:rPr>
          <w:sz w:val="18"/>
          <w:szCs w:val="18"/>
          <w:lang w:val="en-US"/>
        </w:rPr>
        <w:t xml:space="preserve"> </w:t>
      </w:r>
    </w:p>
  </w:footnote>
  <w:footnote w:id="19">
    <w:p w14:paraId="34E6839A" w14:textId="599371F2" w:rsidR="003C0E7C" w:rsidRPr="003C0E7C" w:rsidRDefault="003C0E7C">
      <w:pPr>
        <w:pStyle w:val="FootnoteText"/>
      </w:pPr>
      <w:r>
        <w:rPr>
          <w:rStyle w:val="FootnoteReference"/>
        </w:rPr>
        <w:footnoteRef/>
      </w:r>
      <w:r>
        <w:t xml:space="preserve"> </w:t>
      </w:r>
      <w:r w:rsidR="00B53A63" w:rsidRPr="0095268D">
        <w:rPr>
          <w:rFonts w:asciiTheme="minorHAnsi" w:eastAsiaTheme="minorEastAsia" w:hAnsiTheme="minorHAnsi" w:cstheme="minorBidi"/>
          <w:sz w:val="18"/>
          <w:szCs w:val="18"/>
        </w:rPr>
        <w:t xml:space="preserve">Data can be downloaded </w:t>
      </w:r>
      <w:r w:rsidR="00B53A63">
        <w:rPr>
          <w:rFonts w:asciiTheme="minorHAnsi" w:eastAsiaTheme="minorEastAsia" w:hAnsiTheme="minorHAnsi" w:cstheme="minorBidi"/>
          <w:sz w:val="18"/>
          <w:szCs w:val="18"/>
        </w:rPr>
        <w:t>using the online portal (</w:t>
      </w:r>
      <w:hyperlink r:id="rId17" w:history="1">
        <w:r w:rsidR="00B53A63" w:rsidRPr="002943AC">
          <w:rPr>
            <w:rStyle w:val="Hyperlink"/>
            <w:sz w:val="18"/>
            <w:szCs w:val="18"/>
          </w:rPr>
          <w:t>https://pip.worldbank.org/home</w:t>
        </w:r>
      </w:hyperlink>
      <w:r w:rsidR="00B53A63">
        <w:rPr>
          <w:sz w:val="18"/>
          <w:szCs w:val="18"/>
        </w:rPr>
        <w:t>).</w:t>
      </w:r>
      <w:r w:rsidR="00B53A63" w:rsidRPr="00453968">
        <w:rPr>
          <w:sz w:val="18"/>
          <w:szCs w:val="18"/>
        </w:rPr>
        <w:t xml:space="preserve"> </w:t>
      </w:r>
      <w:r w:rsidR="00B53A63" w:rsidRPr="00E85480">
        <w:rPr>
          <w:sz w:val="18"/>
          <w:szCs w:val="18"/>
        </w:rPr>
        <w:t>In</w:t>
      </w:r>
      <w:r w:rsidR="00B53A63">
        <w:rPr>
          <w:sz w:val="18"/>
          <w:szCs w:val="18"/>
        </w:rPr>
        <w:t xml:space="preserve"> addition to the online portal, data can be downloaded directly from Stata.</w:t>
      </w:r>
    </w:p>
  </w:footnote>
  <w:footnote w:id="20">
    <w:p w14:paraId="04B38FCC" w14:textId="5B3E9B09" w:rsidR="00873E30" w:rsidRPr="00873E30" w:rsidRDefault="00873E30">
      <w:pPr>
        <w:pStyle w:val="FootnoteText"/>
      </w:pPr>
      <w:r>
        <w:rPr>
          <w:rStyle w:val="FootnoteReference"/>
        </w:rPr>
        <w:footnoteRef/>
      </w:r>
      <w:r>
        <w:t xml:space="preserve"> </w:t>
      </w:r>
      <w:hyperlink r:id="rId18" w:history="1">
        <w:r w:rsidR="00B53A63" w:rsidRPr="00DA46A3">
          <w:rPr>
            <w:rStyle w:val="Hyperlink"/>
            <w:sz w:val="18"/>
            <w:szCs w:val="18"/>
          </w:rPr>
          <w:t>https://datacatalog.worldbank.org/search/dataset/0037712/world-development-indicators</w:t>
        </w:r>
      </w:hyperlink>
      <w:r w:rsidR="00B53A63">
        <w:rPr>
          <w:sz w:val="18"/>
          <w:szCs w:val="18"/>
        </w:rPr>
        <w:t xml:space="preserve"> </w:t>
      </w:r>
    </w:p>
  </w:footnote>
  <w:footnote w:id="21">
    <w:p w14:paraId="6F0C5A3B" w14:textId="3881B37C" w:rsidR="00AB083D" w:rsidRDefault="00AB083D" w:rsidP="00AB083D">
      <w:pPr>
        <w:pStyle w:val="FootnoteText"/>
        <w:rPr>
          <w:sz w:val="18"/>
          <w:szCs w:val="18"/>
        </w:rPr>
      </w:pPr>
      <w:r>
        <w:rPr>
          <w:rStyle w:val="FootnoteReference"/>
          <w:sz w:val="18"/>
          <w:szCs w:val="18"/>
        </w:rPr>
        <w:footnoteRef/>
      </w:r>
      <w:r>
        <w:rPr>
          <w:sz w:val="18"/>
          <w:szCs w:val="18"/>
        </w:rPr>
        <w:t xml:space="preserve"> </w:t>
      </w:r>
      <w:r w:rsidR="00A8475D" w:rsidRPr="00ED0992">
        <w:rPr>
          <w:sz w:val="18"/>
          <w:szCs w:val="18"/>
          <w:lang w:val="en-US"/>
        </w:rPr>
        <w:t>Data can</w:t>
      </w:r>
      <w:r w:rsidR="00A8475D">
        <w:rPr>
          <w:sz w:val="18"/>
          <w:szCs w:val="18"/>
          <w:lang w:val="en-US"/>
        </w:rPr>
        <w:t xml:space="preserve"> be downloaded using online portal (</w:t>
      </w:r>
      <w:hyperlink r:id="rId19" w:history="1">
        <w:r w:rsidR="00A8475D" w:rsidRPr="009F2700">
          <w:rPr>
            <w:rStyle w:val="Hyperlink"/>
            <w:sz w:val="18"/>
            <w:szCs w:val="18"/>
            <w:lang w:val="en-US"/>
          </w:rPr>
          <w:t>https://apps.who.int/nha/database/Select/Indicators/en</w:t>
        </w:r>
      </w:hyperlink>
      <w:r w:rsidR="00A8475D">
        <w:rPr>
          <w:sz w:val="18"/>
          <w:szCs w:val="18"/>
        </w:rPr>
        <w:t>|)</w:t>
      </w:r>
      <w:r w:rsidR="00A8475D" w:rsidRPr="009F2700">
        <w:rPr>
          <w:sz w:val="18"/>
          <w:szCs w:val="18"/>
          <w:lang w:val="en-US"/>
        </w:rPr>
        <w:t xml:space="preserve"> </w:t>
      </w:r>
      <w:r w:rsidR="00A8475D">
        <w:rPr>
          <w:sz w:val="18"/>
          <w:szCs w:val="18"/>
          <w:lang w:val="en-US"/>
        </w:rPr>
        <w:t>by choosing Data explorer, Health expenditure data, Financing schemes, and Household out-of-pocket payments (OO</w:t>
      </w:r>
      <w:r w:rsidR="00596155">
        <w:rPr>
          <w:sz w:val="18"/>
          <w:szCs w:val="18"/>
          <w:lang w:val="en-US"/>
        </w:rPr>
        <w:t>PS</w:t>
      </w:r>
      <w:r w:rsidR="00A8475D">
        <w:rPr>
          <w:sz w:val="18"/>
          <w:szCs w:val="18"/>
          <w:lang w:val="en-US"/>
        </w:rPr>
        <w:t>)</w:t>
      </w:r>
      <w:r w:rsidR="00596155">
        <w:rPr>
          <w:sz w:val="18"/>
          <w:szCs w:val="18"/>
          <w:lang w:val="en-US"/>
        </w:rPr>
        <w:t xml:space="preserve"> and Macro data, Consumptions, Final consumption expenditure of Household and profit institutions serving households (PFC)</w:t>
      </w:r>
      <w:r w:rsidR="00A8475D">
        <w:rPr>
          <w:sz w:val="18"/>
          <w:szCs w:val="18"/>
          <w:lang w:val="en-US"/>
        </w:rPr>
        <w:t>.</w:t>
      </w:r>
    </w:p>
  </w:footnote>
  <w:footnote w:id="22">
    <w:p w14:paraId="7782EB87" w14:textId="77777777" w:rsidR="006F11B1" w:rsidRDefault="006F11B1" w:rsidP="00B55A32">
      <w:pPr>
        <w:pStyle w:val="FootnoteText"/>
        <w:rPr>
          <w:rStyle w:val="Hyperlink"/>
          <w:sz w:val="18"/>
          <w:szCs w:val="18"/>
        </w:rPr>
      </w:pPr>
      <w:r>
        <w:rPr>
          <w:rStyle w:val="FootnoteReference"/>
        </w:rPr>
        <w:footnoteRef/>
      </w:r>
      <w:r>
        <w:t xml:space="preserve"> </w:t>
      </w:r>
      <w:r>
        <w:rPr>
          <w:rStyle w:val="Hyperlink"/>
          <w:sz w:val="18"/>
          <w:szCs w:val="18"/>
        </w:rPr>
        <w:t>http://econ.worldbank.org/WBSITE/EXTERNAL/EXTDEC/EXTRESEARCH/EXTLSMS/0,,contentMDK:21610833~pagePK:64168427~piPK:64168435~theSitePK:3358997,00.html</w:t>
      </w:r>
    </w:p>
  </w:footnote>
  <w:footnote w:id="23">
    <w:p w14:paraId="74929DFD" w14:textId="77777777" w:rsidR="006F11B1" w:rsidRDefault="006F11B1" w:rsidP="00B55A32">
      <w:pPr>
        <w:pStyle w:val="FootnoteText"/>
        <w:rPr>
          <w:rStyle w:val="Hyperlink"/>
          <w:sz w:val="18"/>
          <w:szCs w:val="18"/>
        </w:rPr>
      </w:pPr>
      <w:r w:rsidRPr="003557F5">
        <w:rPr>
          <w:rStyle w:val="Hyperlink"/>
          <w:sz w:val="18"/>
          <w:szCs w:val="18"/>
          <w:u w:val="none"/>
          <w:vertAlign w:val="superscript"/>
        </w:rPr>
        <w:footnoteRef/>
      </w:r>
      <w:r w:rsidRPr="003557F5">
        <w:rPr>
          <w:rStyle w:val="Hyperlink"/>
          <w:sz w:val="18"/>
          <w:szCs w:val="18"/>
          <w:u w:val="none"/>
          <w:vertAlign w:val="superscript"/>
        </w:rPr>
        <w:t xml:space="preserve"> </w:t>
      </w:r>
      <w:r>
        <w:rPr>
          <w:rStyle w:val="Hyperlink"/>
          <w:sz w:val="18"/>
          <w:szCs w:val="18"/>
        </w:rPr>
        <w:t>A detailed documentation describing the harmonization procedures is available from the accompanying pdf documents</w:t>
      </w:r>
    </w:p>
  </w:footnote>
  <w:footnote w:id="24">
    <w:p w14:paraId="37C3EE2B" w14:textId="77777777" w:rsidR="006F11B1" w:rsidRDefault="006F11B1" w:rsidP="00B55A32">
      <w:pPr>
        <w:pStyle w:val="FootnoteText"/>
        <w:rPr>
          <w:rStyle w:val="Hyperlink"/>
          <w:sz w:val="18"/>
          <w:szCs w:val="18"/>
        </w:rPr>
      </w:pPr>
      <w:r w:rsidRPr="003557F5">
        <w:rPr>
          <w:rStyle w:val="Hyperlink"/>
          <w:sz w:val="18"/>
          <w:szCs w:val="18"/>
          <w:u w:val="none"/>
          <w:vertAlign w:val="superscript"/>
        </w:rPr>
        <w:footnoteRef/>
      </w:r>
      <w:r>
        <w:rPr>
          <w:rStyle w:val="Hyperlink"/>
          <w:sz w:val="18"/>
          <w:szCs w:val="18"/>
        </w:rPr>
        <w:t xml:space="preserve"> http://www.lisdatacenter.org/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95E66D0" w:rsidR="006F11B1" w:rsidRPr="00757E8A" w:rsidRDefault="006F11B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6ADEAB2A">
      <w:rPr>
        <w:color w:val="404040" w:themeColor="text1" w:themeTint="BF"/>
        <w:sz w:val="18"/>
        <w:szCs w:val="18"/>
      </w:rPr>
      <w:t>Last updated:</w:t>
    </w:r>
    <w:bookmarkEnd w:id="5"/>
    <w:bookmarkEnd w:id="6"/>
    <w:bookmarkEnd w:id="7"/>
    <w:bookmarkEnd w:id="8"/>
    <w:bookmarkEnd w:id="9"/>
    <w:bookmarkEnd w:id="10"/>
    <w:r w:rsidRPr="6ADEAB2A">
      <w:rPr>
        <w:color w:val="404040" w:themeColor="text1" w:themeTint="BF"/>
        <w:sz w:val="18"/>
        <w:szCs w:val="18"/>
      </w:rPr>
      <w:t xml:space="preserve"> 20</w:t>
    </w:r>
    <w:r w:rsidR="00AF2722">
      <w:rPr>
        <w:color w:val="404040" w:themeColor="text1" w:themeTint="BF"/>
        <w:sz w:val="18"/>
        <w:szCs w:val="18"/>
      </w:rPr>
      <w:t>25</w:t>
    </w:r>
    <w:r w:rsidRPr="6ADEAB2A">
      <w:rPr>
        <w:color w:val="404040" w:themeColor="text1" w:themeTint="BF"/>
        <w:sz w:val="18"/>
        <w:szCs w:val="18"/>
      </w:rPr>
      <w:t>-0</w:t>
    </w:r>
    <w:r w:rsidR="00AF2722">
      <w:rPr>
        <w:color w:val="404040" w:themeColor="text1" w:themeTint="BF"/>
        <w:sz w:val="18"/>
        <w:szCs w:val="18"/>
      </w:rPr>
      <w:t>7</w:t>
    </w:r>
    <w:r w:rsidRPr="6ADEAB2A">
      <w:rPr>
        <w:color w:val="404040" w:themeColor="text1" w:themeTint="BF"/>
        <w:sz w:val="18"/>
        <w:szCs w:val="18"/>
      </w:rPr>
      <w:t>-1</w:t>
    </w:r>
    <w:r w:rsidR="00AF2722">
      <w:rPr>
        <w:color w:val="404040" w:themeColor="text1" w:themeTint="BF"/>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888"/>
    <w:multiLevelType w:val="hybridMultilevel"/>
    <w:tmpl w:val="91748328"/>
    <w:lvl w:ilvl="0" w:tplc="30C67488">
      <w:start w:val="1"/>
      <w:numFmt w:val="bullet"/>
      <w:lvlText w:val="•"/>
      <w:lvlJc w:val="left"/>
      <w:pPr>
        <w:tabs>
          <w:tab w:val="num" w:pos="720"/>
        </w:tabs>
        <w:ind w:left="720" w:hanging="360"/>
      </w:pPr>
      <w:rPr>
        <w:rFonts w:ascii="Arial" w:hAnsi="Arial" w:hint="default"/>
      </w:rPr>
    </w:lvl>
    <w:lvl w:ilvl="1" w:tplc="FCD06288" w:tentative="1">
      <w:start w:val="1"/>
      <w:numFmt w:val="bullet"/>
      <w:lvlText w:val="•"/>
      <w:lvlJc w:val="left"/>
      <w:pPr>
        <w:tabs>
          <w:tab w:val="num" w:pos="1440"/>
        </w:tabs>
        <w:ind w:left="1440" w:hanging="360"/>
      </w:pPr>
      <w:rPr>
        <w:rFonts w:ascii="Arial" w:hAnsi="Arial" w:hint="default"/>
      </w:rPr>
    </w:lvl>
    <w:lvl w:ilvl="2" w:tplc="75B4004E" w:tentative="1">
      <w:start w:val="1"/>
      <w:numFmt w:val="bullet"/>
      <w:lvlText w:val="•"/>
      <w:lvlJc w:val="left"/>
      <w:pPr>
        <w:tabs>
          <w:tab w:val="num" w:pos="2160"/>
        </w:tabs>
        <w:ind w:left="2160" w:hanging="360"/>
      </w:pPr>
      <w:rPr>
        <w:rFonts w:ascii="Arial" w:hAnsi="Arial" w:hint="default"/>
      </w:rPr>
    </w:lvl>
    <w:lvl w:ilvl="3" w:tplc="14CC2CF4" w:tentative="1">
      <w:start w:val="1"/>
      <w:numFmt w:val="bullet"/>
      <w:lvlText w:val="•"/>
      <w:lvlJc w:val="left"/>
      <w:pPr>
        <w:tabs>
          <w:tab w:val="num" w:pos="2880"/>
        </w:tabs>
        <w:ind w:left="2880" w:hanging="360"/>
      </w:pPr>
      <w:rPr>
        <w:rFonts w:ascii="Arial" w:hAnsi="Arial" w:hint="default"/>
      </w:rPr>
    </w:lvl>
    <w:lvl w:ilvl="4" w:tplc="EE78142A" w:tentative="1">
      <w:start w:val="1"/>
      <w:numFmt w:val="bullet"/>
      <w:lvlText w:val="•"/>
      <w:lvlJc w:val="left"/>
      <w:pPr>
        <w:tabs>
          <w:tab w:val="num" w:pos="3600"/>
        </w:tabs>
        <w:ind w:left="3600" w:hanging="360"/>
      </w:pPr>
      <w:rPr>
        <w:rFonts w:ascii="Arial" w:hAnsi="Arial" w:hint="default"/>
      </w:rPr>
    </w:lvl>
    <w:lvl w:ilvl="5" w:tplc="0BC26434" w:tentative="1">
      <w:start w:val="1"/>
      <w:numFmt w:val="bullet"/>
      <w:lvlText w:val="•"/>
      <w:lvlJc w:val="left"/>
      <w:pPr>
        <w:tabs>
          <w:tab w:val="num" w:pos="4320"/>
        </w:tabs>
        <w:ind w:left="4320" w:hanging="360"/>
      </w:pPr>
      <w:rPr>
        <w:rFonts w:ascii="Arial" w:hAnsi="Arial" w:hint="default"/>
      </w:rPr>
    </w:lvl>
    <w:lvl w:ilvl="6" w:tplc="90741688" w:tentative="1">
      <w:start w:val="1"/>
      <w:numFmt w:val="bullet"/>
      <w:lvlText w:val="•"/>
      <w:lvlJc w:val="left"/>
      <w:pPr>
        <w:tabs>
          <w:tab w:val="num" w:pos="5040"/>
        </w:tabs>
        <w:ind w:left="5040" w:hanging="360"/>
      </w:pPr>
      <w:rPr>
        <w:rFonts w:ascii="Arial" w:hAnsi="Arial" w:hint="default"/>
      </w:rPr>
    </w:lvl>
    <w:lvl w:ilvl="7" w:tplc="BD7CD91E" w:tentative="1">
      <w:start w:val="1"/>
      <w:numFmt w:val="bullet"/>
      <w:lvlText w:val="•"/>
      <w:lvlJc w:val="left"/>
      <w:pPr>
        <w:tabs>
          <w:tab w:val="num" w:pos="5760"/>
        </w:tabs>
        <w:ind w:left="5760" w:hanging="360"/>
      </w:pPr>
      <w:rPr>
        <w:rFonts w:ascii="Arial" w:hAnsi="Arial" w:hint="default"/>
      </w:rPr>
    </w:lvl>
    <w:lvl w:ilvl="8" w:tplc="0A607B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1B354A"/>
    <w:multiLevelType w:val="hybridMultilevel"/>
    <w:tmpl w:val="09A45C7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B51878"/>
    <w:multiLevelType w:val="hybridMultilevel"/>
    <w:tmpl w:val="B33EE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E03AC"/>
    <w:multiLevelType w:val="hybridMultilevel"/>
    <w:tmpl w:val="47B0B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7761E6"/>
    <w:multiLevelType w:val="hybridMultilevel"/>
    <w:tmpl w:val="6ABC1A1E"/>
    <w:lvl w:ilvl="0" w:tplc="5E0C481A">
      <w:start w:val="1"/>
      <w:numFmt w:val="decimal"/>
      <w:lvlText w:val="%1."/>
      <w:lvlJc w:val="left"/>
      <w:pPr>
        <w:ind w:left="720" w:hanging="360"/>
      </w:pPr>
      <w:rPr>
        <w:rFonts w:ascii="Calibri" w:eastAsia="Calibri" w:hAnsi="Calibri" w:cs="Calibri" w:hint="default"/>
        <w:color w:val="4444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8419A"/>
    <w:multiLevelType w:val="hybridMultilevel"/>
    <w:tmpl w:val="EC2E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304E62"/>
    <w:multiLevelType w:val="hybridMultilevel"/>
    <w:tmpl w:val="30823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815367199">
    <w:abstractNumId w:val="8"/>
  </w:num>
  <w:num w:numId="2" w16cid:durableId="898321756">
    <w:abstractNumId w:val="3"/>
  </w:num>
  <w:num w:numId="3" w16cid:durableId="136647105">
    <w:abstractNumId w:val="13"/>
  </w:num>
  <w:num w:numId="4" w16cid:durableId="381830014">
    <w:abstractNumId w:val="5"/>
  </w:num>
  <w:num w:numId="5" w16cid:durableId="1172794170">
    <w:abstractNumId w:val="12"/>
  </w:num>
  <w:num w:numId="6" w16cid:durableId="844444458">
    <w:abstractNumId w:val="1"/>
  </w:num>
  <w:num w:numId="7" w16cid:durableId="1456874742">
    <w:abstractNumId w:val="11"/>
  </w:num>
  <w:num w:numId="8" w16cid:durableId="7216797">
    <w:abstractNumId w:val="10"/>
  </w:num>
  <w:num w:numId="9" w16cid:durableId="275257631">
    <w:abstractNumId w:val="14"/>
  </w:num>
  <w:num w:numId="10" w16cid:durableId="1032268335">
    <w:abstractNumId w:val="6"/>
  </w:num>
  <w:num w:numId="11" w16cid:durableId="1323511943">
    <w:abstractNumId w:val="9"/>
  </w:num>
  <w:num w:numId="12" w16cid:durableId="1883252941">
    <w:abstractNumId w:val="7"/>
  </w:num>
  <w:num w:numId="13" w16cid:durableId="661153936">
    <w:abstractNumId w:val="0"/>
  </w:num>
  <w:num w:numId="14" w16cid:durableId="811749552">
    <w:abstractNumId w:val="4"/>
  </w:num>
  <w:num w:numId="15" w16cid:durableId="114054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zMzUwMjO0MDAzNjVQ0lEKTi0uzszPAykwrwUAbhVttiwAAAA="/>
  </w:docVars>
  <w:rsids>
    <w:rsidRoot w:val="0058556D"/>
    <w:rsid w:val="000020CC"/>
    <w:rsid w:val="0000295E"/>
    <w:rsid w:val="0000571B"/>
    <w:rsid w:val="00005777"/>
    <w:rsid w:val="00006288"/>
    <w:rsid w:val="000070BA"/>
    <w:rsid w:val="0000725A"/>
    <w:rsid w:val="00007B95"/>
    <w:rsid w:val="00011977"/>
    <w:rsid w:val="000137AF"/>
    <w:rsid w:val="00016F65"/>
    <w:rsid w:val="0001702C"/>
    <w:rsid w:val="000173F9"/>
    <w:rsid w:val="000176DB"/>
    <w:rsid w:val="0001783F"/>
    <w:rsid w:val="00020FF6"/>
    <w:rsid w:val="00023027"/>
    <w:rsid w:val="00023D3D"/>
    <w:rsid w:val="000262B1"/>
    <w:rsid w:val="0002689E"/>
    <w:rsid w:val="00027E2E"/>
    <w:rsid w:val="0003129D"/>
    <w:rsid w:val="00031EB3"/>
    <w:rsid w:val="00032920"/>
    <w:rsid w:val="00035C91"/>
    <w:rsid w:val="000360BD"/>
    <w:rsid w:val="000412A0"/>
    <w:rsid w:val="00042D6C"/>
    <w:rsid w:val="0004398C"/>
    <w:rsid w:val="00043B4C"/>
    <w:rsid w:val="00044636"/>
    <w:rsid w:val="00045457"/>
    <w:rsid w:val="00046EFD"/>
    <w:rsid w:val="00047147"/>
    <w:rsid w:val="00047DDA"/>
    <w:rsid w:val="00050578"/>
    <w:rsid w:val="00051BB5"/>
    <w:rsid w:val="00052E54"/>
    <w:rsid w:val="0005342A"/>
    <w:rsid w:val="000535FD"/>
    <w:rsid w:val="00053ECC"/>
    <w:rsid w:val="00054139"/>
    <w:rsid w:val="00054475"/>
    <w:rsid w:val="0005455A"/>
    <w:rsid w:val="000563A3"/>
    <w:rsid w:val="000571F9"/>
    <w:rsid w:val="0006051D"/>
    <w:rsid w:val="00061D80"/>
    <w:rsid w:val="00062F8C"/>
    <w:rsid w:val="00066DC4"/>
    <w:rsid w:val="00066F29"/>
    <w:rsid w:val="00067EE2"/>
    <w:rsid w:val="00070F7F"/>
    <w:rsid w:val="0007161D"/>
    <w:rsid w:val="00071F07"/>
    <w:rsid w:val="000722F7"/>
    <w:rsid w:val="000748A0"/>
    <w:rsid w:val="00074E33"/>
    <w:rsid w:val="0007592F"/>
    <w:rsid w:val="00075D18"/>
    <w:rsid w:val="000770CC"/>
    <w:rsid w:val="0007759D"/>
    <w:rsid w:val="000777AB"/>
    <w:rsid w:val="00077F46"/>
    <w:rsid w:val="00081F9D"/>
    <w:rsid w:val="000828DE"/>
    <w:rsid w:val="000851B1"/>
    <w:rsid w:val="00085375"/>
    <w:rsid w:val="00085481"/>
    <w:rsid w:val="00086D9C"/>
    <w:rsid w:val="00090A41"/>
    <w:rsid w:val="00090FB1"/>
    <w:rsid w:val="00091BAB"/>
    <w:rsid w:val="000926C8"/>
    <w:rsid w:val="0009410C"/>
    <w:rsid w:val="00095128"/>
    <w:rsid w:val="00096186"/>
    <w:rsid w:val="00096601"/>
    <w:rsid w:val="000976C4"/>
    <w:rsid w:val="000A06D7"/>
    <w:rsid w:val="000A0BB1"/>
    <w:rsid w:val="000A16D0"/>
    <w:rsid w:val="000A4CE2"/>
    <w:rsid w:val="000A6D1D"/>
    <w:rsid w:val="000A72E4"/>
    <w:rsid w:val="000A7CB4"/>
    <w:rsid w:val="000B0E2F"/>
    <w:rsid w:val="000B15CD"/>
    <w:rsid w:val="000B1BC2"/>
    <w:rsid w:val="000B2430"/>
    <w:rsid w:val="000B3782"/>
    <w:rsid w:val="000B429B"/>
    <w:rsid w:val="000B4F4F"/>
    <w:rsid w:val="000B5D7A"/>
    <w:rsid w:val="000B605B"/>
    <w:rsid w:val="000C0C63"/>
    <w:rsid w:val="000C1381"/>
    <w:rsid w:val="000C20C9"/>
    <w:rsid w:val="000C3A56"/>
    <w:rsid w:val="000C461D"/>
    <w:rsid w:val="000C4AF8"/>
    <w:rsid w:val="000C6266"/>
    <w:rsid w:val="000C6873"/>
    <w:rsid w:val="000C7B81"/>
    <w:rsid w:val="000C7E81"/>
    <w:rsid w:val="000D03BD"/>
    <w:rsid w:val="000D085B"/>
    <w:rsid w:val="000D0B30"/>
    <w:rsid w:val="000D0E38"/>
    <w:rsid w:val="000D12CC"/>
    <w:rsid w:val="000D2572"/>
    <w:rsid w:val="000D2B2C"/>
    <w:rsid w:val="000D3EAD"/>
    <w:rsid w:val="000D6A71"/>
    <w:rsid w:val="000D6A78"/>
    <w:rsid w:val="000E0A94"/>
    <w:rsid w:val="000E110C"/>
    <w:rsid w:val="000E1FAE"/>
    <w:rsid w:val="000E21F1"/>
    <w:rsid w:val="000E44B5"/>
    <w:rsid w:val="000E59FB"/>
    <w:rsid w:val="000F1460"/>
    <w:rsid w:val="000F261C"/>
    <w:rsid w:val="000F2D40"/>
    <w:rsid w:val="000F324D"/>
    <w:rsid w:val="000F33C8"/>
    <w:rsid w:val="000F35A8"/>
    <w:rsid w:val="000F3B9F"/>
    <w:rsid w:val="000F4B10"/>
    <w:rsid w:val="000F6217"/>
    <w:rsid w:val="000F6F22"/>
    <w:rsid w:val="000F703E"/>
    <w:rsid w:val="00101871"/>
    <w:rsid w:val="00101A8E"/>
    <w:rsid w:val="0010267C"/>
    <w:rsid w:val="001038BC"/>
    <w:rsid w:val="0010408D"/>
    <w:rsid w:val="0010409E"/>
    <w:rsid w:val="001040CF"/>
    <w:rsid w:val="001051F9"/>
    <w:rsid w:val="0010635A"/>
    <w:rsid w:val="00107846"/>
    <w:rsid w:val="00113613"/>
    <w:rsid w:val="00115A50"/>
    <w:rsid w:val="00115A5F"/>
    <w:rsid w:val="00115E55"/>
    <w:rsid w:val="0011674D"/>
    <w:rsid w:val="00116B37"/>
    <w:rsid w:val="00120E86"/>
    <w:rsid w:val="0012260F"/>
    <w:rsid w:val="00122855"/>
    <w:rsid w:val="00125BB3"/>
    <w:rsid w:val="00125DE9"/>
    <w:rsid w:val="00125FC6"/>
    <w:rsid w:val="001265C5"/>
    <w:rsid w:val="00126F77"/>
    <w:rsid w:val="001276CA"/>
    <w:rsid w:val="00127B00"/>
    <w:rsid w:val="001303BE"/>
    <w:rsid w:val="001332E0"/>
    <w:rsid w:val="001335B0"/>
    <w:rsid w:val="00134DE7"/>
    <w:rsid w:val="00135401"/>
    <w:rsid w:val="001354E8"/>
    <w:rsid w:val="0013587D"/>
    <w:rsid w:val="001363BC"/>
    <w:rsid w:val="00136C6E"/>
    <w:rsid w:val="00136F42"/>
    <w:rsid w:val="001372CC"/>
    <w:rsid w:val="0013781F"/>
    <w:rsid w:val="0014412B"/>
    <w:rsid w:val="0014586C"/>
    <w:rsid w:val="00145C50"/>
    <w:rsid w:val="001503CF"/>
    <w:rsid w:val="001507D6"/>
    <w:rsid w:val="00151ABF"/>
    <w:rsid w:val="00153179"/>
    <w:rsid w:val="001557B8"/>
    <w:rsid w:val="00155A95"/>
    <w:rsid w:val="00155E17"/>
    <w:rsid w:val="00156127"/>
    <w:rsid w:val="00156358"/>
    <w:rsid w:val="00156794"/>
    <w:rsid w:val="0015750E"/>
    <w:rsid w:val="00157F92"/>
    <w:rsid w:val="001632F8"/>
    <w:rsid w:val="001657DA"/>
    <w:rsid w:val="00165E43"/>
    <w:rsid w:val="001660A5"/>
    <w:rsid w:val="00167B82"/>
    <w:rsid w:val="00170416"/>
    <w:rsid w:val="0017064B"/>
    <w:rsid w:val="0017125E"/>
    <w:rsid w:val="00173EA9"/>
    <w:rsid w:val="00174AB7"/>
    <w:rsid w:val="001754A8"/>
    <w:rsid w:val="0017610B"/>
    <w:rsid w:val="00176682"/>
    <w:rsid w:val="0018014D"/>
    <w:rsid w:val="00180407"/>
    <w:rsid w:val="0018119A"/>
    <w:rsid w:val="00181F28"/>
    <w:rsid w:val="00182CD4"/>
    <w:rsid w:val="00183386"/>
    <w:rsid w:val="001837F3"/>
    <w:rsid w:val="00184429"/>
    <w:rsid w:val="00185354"/>
    <w:rsid w:val="001854DC"/>
    <w:rsid w:val="00186795"/>
    <w:rsid w:val="0019033C"/>
    <w:rsid w:val="0019195F"/>
    <w:rsid w:val="00193A4A"/>
    <w:rsid w:val="001944F5"/>
    <w:rsid w:val="00194D09"/>
    <w:rsid w:val="001950E8"/>
    <w:rsid w:val="001A03DC"/>
    <w:rsid w:val="001A568A"/>
    <w:rsid w:val="001A5EE6"/>
    <w:rsid w:val="001A7D5C"/>
    <w:rsid w:val="001B3616"/>
    <w:rsid w:val="001B426D"/>
    <w:rsid w:val="001B60AA"/>
    <w:rsid w:val="001B63C8"/>
    <w:rsid w:val="001C04EA"/>
    <w:rsid w:val="001C18EC"/>
    <w:rsid w:val="001C1972"/>
    <w:rsid w:val="001C1DE5"/>
    <w:rsid w:val="001C3AAD"/>
    <w:rsid w:val="001C3B10"/>
    <w:rsid w:val="001C421F"/>
    <w:rsid w:val="001C4F88"/>
    <w:rsid w:val="001C508A"/>
    <w:rsid w:val="001C56EB"/>
    <w:rsid w:val="001C57DD"/>
    <w:rsid w:val="001C6EAD"/>
    <w:rsid w:val="001D2185"/>
    <w:rsid w:val="001D360D"/>
    <w:rsid w:val="001D4487"/>
    <w:rsid w:val="001D5DB6"/>
    <w:rsid w:val="001D645E"/>
    <w:rsid w:val="001D6B4A"/>
    <w:rsid w:val="001D6EA2"/>
    <w:rsid w:val="001E22E7"/>
    <w:rsid w:val="001E25DB"/>
    <w:rsid w:val="001E2A94"/>
    <w:rsid w:val="001E2E4F"/>
    <w:rsid w:val="001E40C9"/>
    <w:rsid w:val="001E4A8F"/>
    <w:rsid w:val="001E6397"/>
    <w:rsid w:val="001E782E"/>
    <w:rsid w:val="001E7D92"/>
    <w:rsid w:val="001F1773"/>
    <w:rsid w:val="001F18C9"/>
    <w:rsid w:val="001F282B"/>
    <w:rsid w:val="001F3517"/>
    <w:rsid w:val="001F3673"/>
    <w:rsid w:val="001F3827"/>
    <w:rsid w:val="001F3AF0"/>
    <w:rsid w:val="001F4B27"/>
    <w:rsid w:val="001F4D52"/>
    <w:rsid w:val="001F5453"/>
    <w:rsid w:val="001F59D1"/>
    <w:rsid w:val="001F6A53"/>
    <w:rsid w:val="001F6D6D"/>
    <w:rsid w:val="001F73C2"/>
    <w:rsid w:val="001F7DFC"/>
    <w:rsid w:val="002012F4"/>
    <w:rsid w:val="0020132E"/>
    <w:rsid w:val="00202466"/>
    <w:rsid w:val="00203F46"/>
    <w:rsid w:val="00205445"/>
    <w:rsid w:val="00206171"/>
    <w:rsid w:val="00206478"/>
    <w:rsid w:val="0020710C"/>
    <w:rsid w:val="00207663"/>
    <w:rsid w:val="00207DA0"/>
    <w:rsid w:val="002120E0"/>
    <w:rsid w:val="002121ED"/>
    <w:rsid w:val="002127DB"/>
    <w:rsid w:val="00212839"/>
    <w:rsid w:val="00213783"/>
    <w:rsid w:val="00213853"/>
    <w:rsid w:val="00215303"/>
    <w:rsid w:val="002155B6"/>
    <w:rsid w:val="00216180"/>
    <w:rsid w:val="00220E40"/>
    <w:rsid w:val="0022213C"/>
    <w:rsid w:val="00222794"/>
    <w:rsid w:val="00222FB9"/>
    <w:rsid w:val="00225B0F"/>
    <w:rsid w:val="00226CCE"/>
    <w:rsid w:val="0022739E"/>
    <w:rsid w:val="00232615"/>
    <w:rsid w:val="00233D04"/>
    <w:rsid w:val="00234F65"/>
    <w:rsid w:val="00236903"/>
    <w:rsid w:val="00240F53"/>
    <w:rsid w:val="002435F0"/>
    <w:rsid w:val="00243A26"/>
    <w:rsid w:val="002443C6"/>
    <w:rsid w:val="00245958"/>
    <w:rsid w:val="002472A3"/>
    <w:rsid w:val="00247705"/>
    <w:rsid w:val="00251F91"/>
    <w:rsid w:val="002520A0"/>
    <w:rsid w:val="002525E3"/>
    <w:rsid w:val="0025279D"/>
    <w:rsid w:val="00252C21"/>
    <w:rsid w:val="00252CF9"/>
    <w:rsid w:val="00252DA8"/>
    <w:rsid w:val="00254422"/>
    <w:rsid w:val="00254529"/>
    <w:rsid w:val="002545E3"/>
    <w:rsid w:val="002553DF"/>
    <w:rsid w:val="00255F10"/>
    <w:rsid w:val="002569DD"/>
    <w:rsid w:val="00256EA9"/>
    <w:rsid w:val="002607A7"/>
    <w:rsid w:val="0026150D"/>
    <w:rsid w:val="00261A8D"/>
    <w:rsid w:val="00262244"/>
    <w:rsid w:val="00262685"/>
    <w:rsid w:val="002632D5"/>
    <w:rsid w:val="0026348F"/>
    <w:rsid w:val="00264C18"/>
    <w:rsid w:val="00266457"/>
    <w:rsid w:val="002677FC"/>
    <w:rsid w:val="00267F2F"/>
    <w:rsid w:val="0027144E"/>
    <w:rsid w:val="002725DD"/>
    <w:rsid w:val="00272F8B"/>
    <w:rsid w:val="00277051"/>
    <w:rsid w:val="002811CF"/>
    <w:rsid w:val="0028191E"/>
    <w:rsid w:val="00281C2D"/>
    <w:rsid w:val="002826CF"/>
    <w:rsid w:val="002833AA"/>
    <w:rsid w:val="00283C1C"/>
    <w:rsid w:val="0029145E"/>
    <w:rsid w:val="002916C7"/>
    <w:rsid w:val="00291A00"/>
    <w:rsid w:val="00291A11"/>
    <w:rsid w:val="002923FA"/>
    <w:rsid w:val="002927FC"/>
    <w:rsid w:val="00293C2F"/>
    <w:rsid w:val="00293F0C"/>
    <w:rsid w:val="002943AC"/>
    <w:rsid w:val="002958D0"/>
    <w:rsid w:val="00296A90"/>
    <w:rsid w:val="002A0024"/>
    <w:rsid w:val="002A315C"/>
    <w:rsid w:val="002A3342"/>
    <w:rsid w:val="002A4313"/>
    <w:rsid w:val="002A5827"/>
    <w:rsid w:val="002A5BFC"/>
    <w:rsid w:val="002A64BA"/>
    <w:rsid w:val="002A66D2"/>
    <w:rsid w:val="002A769E"/>
    <w:rsid w:val="002A7D7A"/>
    <w:rsid w:val="002B0081"/>
    <w:rsid w:val="002B1A67"/>
    <w:rsid w:val="002B2D33"/>
    <w:rsid w:val="002B37F0"/>
    <w:rsid w:val="002B4989"/>
    <w:rsid w:val="002C0A48"/>
    <w:rsid w:val="002C2510"/>
    <w:rsid w:val="002C29DF"/>
    <w:rsid w:val="002C3012"/>
    <w:rsid w:val="002C3311"/>
    <w:rsid w:val="002C6326"/>
    <w:rsid w:val="002D4827"/>
    <w:rsid w:val="002D55D2"/>
    <w:rsid w:val="002D5E4A"/>
    <w:rsid w:val="002D714E"/>
    <w:rsid w:val="002D7B3A"/>
    <w:rsid w:val="002E1352"/>
    <w:rsid w:val="002E187F"/>
    <w:rsid w:val="002E1AFA"/>
    <w:rsid w:val="002E3082"/>
    <w:rsid w:val="002E43B6"/>
    <w:rsid w:val="002E43B7"/>
    <w:rsid w:val="002E4676"/>
    <w:rsid w:val="002E53C3"/>
    <w:rsid w:val="002F03A4"/>
    <w:rsid w:val="002F1468"/>
    <w:rsid w:val="002F4809"/>
    <w:rsid w:val="002F4A14"/>
    <w:rsid w:val="002F5F0C"/>
    <w:rsid w:val="002F716B"/>
    <w:rsid w:val="003011C8"/>
    <w:rsid w:val="003019CC"/>
    <w:rsid w:val="003019F8"/>
    <w:rsid w:val="003040AA"/>
    <w:rsid w:val="003057D6"/>
    <w:rsid w:val="003061A1"/>
    <w:rsid w:val="00306458"/>
    <w:rsid w:val="00311247"/>
    <w:rsid w:val="00313F6D"/>
    <w:rsid w:val="00314A21"/>
    <w:rsid w:val="00314F04"/>
    <w:rsid w:val="00316F4D"/>
    <w:rsid w:val="0031784C"/>
    <w:rsid w:val="00317BA9"/>
    <w:rsid w:val="00321D4B"/>
    <w:rsid w:val="00322103"/>
    <w:rsid w:val="00322210"/>
    <w:rsid w:val="003228C5"/>
    <w:rsid w:val="003235EC"/>
    <w:rsid w:val="00324BDA"/>
    <w:rsid w:val="0032643B"/>
    <w:rsid w:val="003265EB"/>
    <w:rsid w:val="00326E67"/>
    <w:rsid w:val="00326FDF"/>
    <w:rsid w:val="00327B51"/>
    <w:rsid w:val="00330047"/>
    <w:rsid w:val="00330EB7"/>
    <w:rsid w:val="0033265B"/>
    <w:rsid w:val="00333B22"/>
    <w:rsid w:val="0033512D"/>
    <w:rsid w:val="00336D68"/>
    <w:rsid w:val="00336EAD"/>
    <w:rsid w:val="00336F9B"/>
    <w:rsid w:val="003414F1"/>
    <w:rsid w:val="003431AC"/>
    <w:rsid w:val="0034329E"/>
    <w:rsid w:val="00343D5F"/>
    <w:rsid w:val="00343FAA"/>
    <w:rsid w:val="00344402"/>
    <w:rsid w:val="003446D8"/>
    <w:rsid w:val="00347F5E"/>
    <w:rsid w:val="00351A47"/>
    <w:rsid w:val="0035273A"/>
    <w:rsid w:val="00353BC6"/>
    <w:rsid w:val="00353C98"/>
    <w:rsid w:val="003550DA"/>
    <w:rsid w:val="0035516F"/>
    <w:rsid w:val="003557F5"/>
    <w:rsid w:val="003563D0"/>
    <w:rsid w:val="003567A8"/>
    <w:rsid w:val="003573F1"/>
    <w:rsid w:val="0035763E"/>
    <w:rsid w:val="00360B50"/>
    <w:rsid w:val="003632EE"/>
    <w:rsid w:val="00363DCE"/>
    <w:rsid w:val="00365EED"/>
    <w:rsid w:val="00366439"/>
    <w:rsid w:val="00366972"/>
    <w:rsid w:val="0037032F"/>
    <w:rsid w:val="00370446"/>
    <w:rsid w:val="00370886"/>
    <w:rsid w:val="00371A20"/>
    <w:rsid w:val="00373377"/>
    <w:rsid w:val="003821B4"/>
    <w:rsid w:val="003829CA"/>
    <w:rsid w:val="00382CF3"/>
    <w:rsid w:val="003831E0"/>
    <w:rsid w:val="00383ECF"/>
    <w:rsid w:val="003851E2"/>
    <w:rsid w:val="00385C37"/>
    <w:rsid w:val="00387D52"/>
    <w:rsid w:val="0039035F"/>
    <w:rsid w:val="0039181C"/>
    <w:rsid w:val="0039250A"/>
    <w:rsid w:val="003936F6"/>
    <w:rsid w:val="00394321"/>
    <w:rsid w:val="003A252A"/>
    <w:rsid w:val="003A258A"/>
    <w:rsid w:val="003A2ADD"/>
    <w:rsid w:val="003A2C86"/>
    <w:rsid w:val="003A64CF"/>
    <w:rsid w:val="003A7336"/>
    <w:rsid w:val="003A7CEA"/>
    <w:rsid w:val="003B0916"/>
    <w:rsid w:val="003B22DF"/>
    <w:rsid w:val="003B5C94"/>
    <w:rsid w:val="003B7120"/>
    <w:rsid w:val="003B79A5"/>
    <w:rsid w:val="003C0E7C"/>
    <w:rsid w:val="003C1AB7"/>
    <w:rsid w:val="003C1FF4"/>
    <w:rsid w:val="003C2551"/>
    <w:rsid w:val="003C7FC2"/>
    <w:rsid w:val="003D0606"/>
    <w:rsid w:val="003D194F"/>
    <w:rsid w:val="003D20F0"/>
    <w:rsid w:val="003D2B3A"/>
    <w:rsid w:val="003D6A3E"/>
    <w:rsid w:val="003D6BD3"/>
    <w:rsid w:val="003D7310"/>
    <w:rsid w:val="003E3A36"/>
    <w:rsid w:val="003E422A"/>
    <w:rsid w:val="003E4B7A"/>
    <w:rsid w:val="003E7288"/>
    <w:rsid w:val="003E7518"/>
    <w:rsid w:val="003F0AC5"/>
    <w:rsid w:val="003F0BD3"/>
    <w:rsid w:val="003F25BB"/>
    <w:rsid w:val="003F278A"/>
    <w:rsid w:val="003F2AA0"/>
    <w:rsid w:val="003F5BCC"/>
    <w:rsid w:val="003F7A02"/>
    <w:rsid w:val="004011F4"/>
    <w:rsid w:val="00404E25"/>
    <w:rsid w:val="00410BE9"/>
    <w:rsid w:val="00412FE1"/>
    <w:rsid w:val="00413A37"/>
    <w:rsid w:val="00416BC2"/>
    <w:rsid w:val="0041710D"/>
    <w:rsid w:val="0041785E"/>
    <w:rsid w:val="004220C1"/>
    <w:rsid w:val="00422EA5"/>
    <w:rsid w:val="00422EFA"/>
    <w:rsid w:val="00424316"/>
    <w:rsid w:val="004246ED"/>
    <w:rsid w:val="004254C4"/>
    <w:rsid w:val="004265C9"/>
    <w:rsid w:val="00426B6E"/>
    <w:rsid w:val="0042791F"/>
    <w:rsid w:val="00431879"/>
    <w:rsid w:val="0043334F"/>
    <w:rsid w:val="0043665A"/>
    <w:rsid w:val="00436E03"/>
    <w:rsid w:val="004406C7"/>
    <w:rsid w:val="00441383"/>
    <w:rsid w:val="00441A62"/>
    <w:rsid w:val="00442D0D"/>
    <w:rsid w:val="00443539"/>
    <w:rsid w:val="00444B06"/>
    <w:rsid w:val="004456ED"/>
    <w:rsid w:val="00446813"/>
    <w:rsid w:val="00446976"/>
    <w:rsid w:val="00446E8B"/>
    <w:rsid w:val="004479C8"/>
    <w:rsid w:val="00452103"/>
    <w:rsid w:val="00452C0A"/>
    <w:rsid w:val="00453323"/>
    <w:rsid w:val="0046049B"/>
    <w:rsid w:val="00460FCF"/>
    <w:rsid w:val="00463D8F"/>
    <w:rsid w:val="00466103"/>
    <w:rsid w:val="00471610"/>
    <w:rsid w:val="00471B87"/>
    <w:rsid w:val="00472A24"/>
    <w:rsid w:val="004746B6"/>
    <w:rsid w:val="00475C52"/>
    <w:rsid w:val="0047785D"/>
    <w:rsid w:val="00477F6E"/>
    <w:rsid w:val="0048045A"/>
    <w:rsid w:val="00480F5D"/>
    <w:rsid w:val="00483122"/>
    <w:rsid w:val="00483D5A"/>
    <w:rsid w:val="004841B8"/>
    <w:rsid w:val="00485AAD"/>
    <w:rsid w:val="00486CE3"/>
    <w:rsid w:val="0049053A"/>
    <w:rsid w:val="00492846"/>
    <w:rsid w:val="00492EC4"/>
    <w:rsid w:val="004930F2"/>
    <w:rsid w:val="0049441C"/>
    <w:rsid w:val="004A003A"/>
    <w:rsid w:val="004A2988"/>
    <w:rsid w:val="004A4EFD"/>
    <w:rsid w:val="004A6AB5"/>
    <w:rsid w:val="004A6B0F"/>
    <w:rsid w:val="004A7C80"/>
    <w:rsid w:val="004B0C35"/>
    <w:rsid w:val="004B0EDB"/>
    <w:rsid w:val="004B0F1C"/>
    <w:rsid w:val="004B11E7"/>
    <w:rsid w:val="004B186B"/>
    <w:rsid w:val="004B258F"/>
    <w:rsid w:val="004B2A0C"/>
    <w:rsid w:val="004B2C05"/>
    <w:rsid w:val="004B7F23"/>
    <w:rsid w:val="004C2160"/>
    <w:rsid w:val="004C2FBA"/>
    <w:rsid w:val="004C48C9"/>
    <w:rsid w:val="004D0419"/>
    <w:rsid w:val="004D2867"/>
    <w:rsid w:val="004D4523"/>
    <w:rsid w:val="004D6AC4"/>
    <w:rsid w:val="004E157B"/>
    <w:rsid w:val="004E15E0"/>
    <w:rsid w:val="004E2CE5"/>
    <w:rsid w:val="004E2FDB"/>
    <w:rsid w:val="004E399E"/>
    <w:rsid w:val="004E427F"/>
    <w:rsid w:val="004E4FFA"/>
    <w:rsid w:val="004E657A"/>
    <w:rsid w:val="004E6D67"/>
    <w:rsid w:val="004F0797"/>
    <w:rsid w:val="004F0BB5"/>
    <w:rsid w:val="004F0EBA"/>
    <w:rsid w:val="004F1B95"/>
    <w:rsid w:val="004F2EE6"/>
    <w:rsid w:val="004F2F6D"/>
    <w:rsid w:val="004F6E8E"/>
    <w:rsid w:val="00502DBA"/>
    <w:rsid w:val="005033DF"/>
    <w:rsid w:val="00503785"/>
    <w:rsid w:val="005040C4"/>
    <w:rsid w:val="00504600"/>
    <w:rsid w:val="00504ED9"/>
    <w:rsid w:val="00505837"/>
    <w:rsid w:val="00506D04"/>
    <w:rsid w:val="00507637"/>
    <w:rsid w:val="00507852"/>
    <w:rsid w:val="00507E89"/>
    <w:rsid w:val="005112E1"/>
    <w:rsid w:val="00511DA9"/>
    <w:rsid w:val="005139B5"/>
    <w:rsid w:val="00514DBF"/>
    <w:rsid w:val="00517583"/>
    <w:rsid w:val="00517ED8"/>
    <w:rsid w:val="00517F78"/>
    <w:rsid w:val="005218CF"/>
    <w:rsid w:val="00522432"/>
    <w:rsid w:val="0052361E"/>
    <w:rsid w:val="0052364A"/>
    <w:rsid w:val="00523B7D"/>
    <w:rsid w:val="0052420E"/>
    <w:rsid w:val="00524468"/>
    <w:rsid w:val="00524689"/>
    <w:rsid w:val="005258A0"/>
    <w:rsid w:val="00527CDA"/>
    <w:rsid w:val="005303D4"/>
    <w:rsid w:val="00530B95"/>
    <w:rsid w:val="00530E58"/>
    <w:rsid w:val="00533148"/>
    <w:rsid w:val="0053406E"/>
    <w:rsid w:val="00536137"/>
    <w:rsid w:val="0053620D"/>
    <w:rsid w:val="00537A72"/>
    <w:rsid w:val="005407CA"/>
    <w:rsid w:val="00541DF6"/>
    <w:rsid w:val="00542F8B"/>
    <w:rsid w:val="00543F56"/>
    <w:rsid w:val="005444FF"/>
    <w:rsid w:val="005452A0"/>
    <w:rsid w:val="00546A15"/>
    <w:rsid w:val="00547734"/>
    <w:rsid w:val="00550277"/>
    <w:rsid w:val="00550921"/>
    <w:rsid w:val="005521E3"/>
    <w:rsid w:val="00552BE6"/>
    <w:rsid w:val="005556B0"/>
    <w:rsid w:val="005561E6"/>
    <w:rsid w:val="0055645B"/>
    <w:rsid w:val="00557666"/>
    <w:rsid w:val="00557A9B"/>
    <w:rsid w:val="00557B24"/>
    <w:rsid w:val="00563712"/>
    <w:rsid w:val="0056454C"/>
    <w:rsid w:val="00565060"/>
    <w:rsid w:val="0056533E"/>
    <w:rsid w:val="0056596B"/>
    <w:rsid w:val="005672E2"/>
    <w:rsid w:val="0056750D"/>
    <w:rsid w:val="00567BB0"/>
    <w:rsid w:val="00570B17"/>
    <w:rsid w:val="00573631"/>
    <w:rsid w:val="00573C0B"/>
    <w:rsid w:val="00576466"/>
    <w:rsid w:val="005768D7"/>
    <w:rsid w:val="00576CFA"/>
    <w:rsid w:val="00584837"/>
    <w:rsid w:val="0058556D"/>
    <w:rsid w:val="00585C67"/>
    <w:rsid w:val="00585EEA"/>
    <w:rsid w:val="0058731A"/>
    <w:rsid w:val="00591979"/>
    <w:rsid w:val="0059230F"/>
    <w:rsid w:val="0059265C"/>
    <w:rsid w:val="00592A21"/>
    <w:rsid w:val="00592AF2"/>
    <w:rsid w:val="005947AD"/>
    <w:rsid w:val="00596155"/>
    <w:rsid w:val="005969C3"/>
    <w:rsid w:val="00597748"/>
    <w:rsid w:val="0059799A"/>
    <w:rsid w:val="005979E8"/>
    <w:rsid w:val="005A4047"/>
    <w:rsid w:val="005A58EC"/>
    <w:rsid w:val="005A6812"/>
    <w:rsid w:val="005A687B"/>
    <w:rsid w:val="005B2E8F"/>
    <w:rsid w:val="005B37EF"/>
    <w:rsid w:val="005B5C16"/>
    <w:rsid w:val="005B7A1E"/>
    <w:rsid w:val="005C101C"/>
    <w:rsid w:val="005C1F6F"/>
    <w:rsid w:val="005C2D1B"/>
    <w:rsid w:val="005C3D32"/>
    <w:rsid w:val="005C6FD4"/>
    <w:rsid w:val="005D0AF4"/>
    <w:rsid w:val="005D263C"/>
    <w:rsid w:val="005D2B5B"/>
    <w:rsid w:val="005D5719"/>
    <w:rsid w:val="005D5FBE"/>
    <w:rsid w:val="005D6D92"/>
    <w:rsid w:val="005D73C3"/>
    <w:rsid w:val="005E3147"/>
    <w:rsid w:val="005E4BCC"/>
    <w:rsid w:val="005E54BD"/>
    <w:rsid w:val="005E5C37"/>
    <w:rsid w:val="005E7E05"/>
    <w:rsid w:val="005F1670"/>
    <w:rsid w:val="005F18FF"/>
    <w:rsid w:val="005F1C58"/>
    <w:rsid w:val="005F5D8F"/>
    <w:rsid w:val="005F6CCA"/>
    <w:rsid w:val="005F6E8D"/>
    <w:rsid w:val="00601290"/>
    <w:rsid w:val="00601C40"/>
    <w:rsid w:val="00603238"/>
    <w:rsid w:val="0060330B"/>
    <w:rsid w:val="00603390"/>
    <w:rsid w:val="006104AF"/>
    <w:rsid w:val="00610510"/>
    <w:rsid w:val="00613574"/>
    <w:rsid w:val="00613AA1"/>
    <w:rsid w:val="00614C3E"/>
    <w:rsid w:val="006170A9"/>
    <w:rsid w:val="006214AF"/>
    <w:rsid w:val="006214B2"/>
    <w:rsid w:val="00621893"/>
    <w:rsid w:val="00623A7D"/>
    <w:rsid w:val="00624288"/>
    <w:rsid w:val="006255BA"/>
    <w:rsid w:val="00632AA8"/>
    <w:rsid w:val="00632D64"/>
    <w:rsid w:val="006342B1"/>
    <w:rsid w:val="006346AE"/>
    <w:rsid w:val="006351E1"/>
    <w:rsid w:val="0063766E"/>
    <w:rsid w:val="00641021"/>
    <w:rsid w:val="006425F2"/>
    <w:rsid w:val="006428D5"/>
    <w:rsid w:val="006439BE"/>
    <w:rsid w:val="006441A2"/>
    <w:rsid w:val="006447B1"/>
    <w:rsid w:val="00645412"/>
    <w:rsid w:val="00645539"/>
    <w:rsid w:val="00645B6F"/>
    <w:rsid w:val="006460D2"/>
    <w:rsid w:val="00646BEA"/>
    <w:rsid w:val="00650E55"/>
    <w:rsid w:val="00651E3F"/>
    <w:rsid w:val="00652615"/>
    <w:rsid w:val="006533D2"/>
    <w:rsid w:val="00654015"/>
    <w:rsid w:val="00655BE0"/>
    <w:rsid w:val="006570FC"/>
    <w:rsid w:val="00661C46"/>
    <w:rsid w:val="0066240D"/>
    <w:rsid w:val="00662775"/>
    <w:rsid w:val="00666EA4"/>
    <w:rsid w:val="00670F30"/>
    <w:rsid w:val="00671D25"/>
    <w:rsid w:val="00675EA9"/>
    <w:rsid w:val="00680939"/>
    <w:rsid w:val="00680FCE"/>
    <w:rsid w:val="00682E11"/>
    <w:rsid w:val="006838E2"/>
    <w:rsid w:val="006843E6"/>
    <w:rsid w:val="006852FC"/>
    <w:rsid w:val="00686DB8"/>
    <w:rsid w:val="006878F0"/>
    <w:rsid w:val="00690487"/>
    <w:rsid w:val="00692A7F"/>
    <w:rsid w:val="0069528B"/>
    <w:rsid w:val="00695B27"/>
    <w:rsid w:val="00695D63"/>
    <w:rsid w:val="00695D71"/>
    <w:rsid w:val="00695E35"/>
    <w:rsid w:val="0069720A"/>
    <w:rsid w:val="00697ABE"/>
    <w:rsid w:val="006A00F5"/>
    <w:rsid w:val="006A0215"/>
    <w:rsid w:val="006A0F5C"/>
    <w:rsid w:val="006A1861"/>
    <w:rsid w:val="006A2D05"/>
    <w:rsid w:val="006A52EA"/>
    <w:rsid w:val="006B1B5B"/>
    <w:rsid w:val="006B40AB"/>
    <w:rsid w:val="006B56EA"/>
    <w:rsid w:val="006B5DC5"/>
    <w:rsid w:val="006B7424"/>
    <w:rsid w:val="006C0511"/>
    <w:rsid w:val="006C20E4"/>
    <w:rsid w:val="006C4BFD"/>
    <w:rsid w:val="006C57EF"/>
    <w:rsid w:val="006C7D30"/>
    <w:rsid w:val="006D0588"/>
    <w:rsid w:val="006D08B8"/>
    <w:rsid w:val="006D0FC0"/>
    <w:rsid w:val="006D1802"/>
    <w:rsid w:val="006D3306"/>
    <w:rsid w:val="006D426B"/>
    <w:rsid w:val="006D5A98"/>
    <w:rsid w:val="006E0F28"/>
    <w:rsid w:val="006E22D7"/>
    <w:rsid w:val="006E32F5"/>
    <w:rsid w:val="006E3C08"/>
    <w:rsid w:val="006E5A2F"/>
    <w:rsid w:val="006E696C"/>
    <w:rsid w:val="006E7725"/>
    <w:rsid w:val="006E77A5"/>
    <w:rsid w:val="006F0EBD"/>
    <w:rsid w:val="006F11B1"/>
    <w:rsid w:val="006F16A9"/>
    <w:rsid w:val="006F1885"/>
    <w:rsid w:val="006F1BF1"/>
    <w:rsid w:val="006F2EAD"/>
    <w:rsid w:val="006F37FC"/>
    <w:rsid w:val="006F3896"/>
    <w:rsid w:val="006F4879"/>
    <w:rsid w:val="006F5114"/>
    <w:rsid w:val="006F6CC8"/>
    <w:rsid w:val="007001C2"/>
    <w:rsid w:val="00700ACF"/>
    <w:rsid w:val="007022CC"/>
    <w:rsid w:val="007025E2"/>
    <w:rsid w:val="00703F23"/>
    <w:rsid w:val="00706287"/>
    <w:rsid w:val="007066B7"/>
    <w:rsid w:val="0070713B"/>
    <w:rsid w:val="007109EF"/>
    <w:rsid w:val="00712487"/>
    <w:rsid w:val="007126F0"/>
    <w:rsid w:val="0071291D"/>
    <w:rsid w:val="00713D41"/>
    <w:rsid w:val="00717BAA"/>
    <w:rsid w:val="00720489"/>
    <w:rsid w:val="0072109F"/>
    <w:rsid w:val="00721F4E"/>
    <w:rsid w:val="00722BAE"/>
    <w:rsid w:val="00725526"/>
    <w:rsid w:val="00725C0F"/>
    <w:rsid w:val="00727C08"/>
    <w:rsid w:val="0073003A"/>
    <w:rsid w:val="0073048D"/>
    <w:rsid w:val="0073060E"/>
    <w:rsid w:val="007306EE"/>
    <w:rsid w:val="00732A25"/>
    <w:rsid w:val="00733255"/>
    <w:rsid w:val="0073361C"/>
    <w:rsid w:val="00734CF7"/>
    <w:rsid w:val="007356E0"/>
    <w:rsid w:val="007362B6"/>
    <w:rsid w:val="00736332"/>
    <w:rsid w:val="00736370"/>
    <w:rsid w:val="00736FD9"/>
    <w:rsid w:val="00741B46"/>
    <w:rsid w:val="00743CD6"/>
    <w:rsid w:val="00743FAA"/>
    <w:rsid w:val="00744262"/>
    <w:rsid w:val="00744F44"/>
    <w:rsid w:val="00746849"/>
    <w:rsid w:val="00747950"/>
    <w:rsid w:val="00751983"/>
    <w:rsid w:val="0075279C"/>
    <w:rsid w:val="007530CA"/>
    <w:rsid w:val="00754A4E"/>
    <w:rsid w:val="00755FA3"/>
    <w:rsid w:val="00756D68"/>
    <w:rsid w:val="007578D9"/>
    <w:rsid w:val="00757E8A"/>
    <w:rsid w:val="00762363"/>
    <w:rsid w:val="00762588"/>
    <w:rsid w:val="00762C0C"/>
    <w:rsid w:val="00763E43"/>
    <w:rsid w:val="00764EB5"/>
    <w:rsid w:val="00764F31"/>
    <w:rsid w:val="00767866"/>
    <w:rsid w:val="00770C54"/>
    <w:rsid w:val="007710EF"/>
    <w:rsid w:val="007722D0"/>
    <w:rsid w:val="00772FA4"/>
    <w:rsid w:val="00777904"/>
    <w:rsid w:val="00777A95"/>
    <w:rsid w:val="00780398"/>
    <w:rsid w:val="0078117B"/>
    <w:rsid w:val="00781D06"/>
    <w:rsid w:val="00782416"/>
    <w:rsid w:val="00783A05"/>
    <w:rsid w:val="00783BC7"/>
    <w:rsid w:val="00785383"/>
    <w:rsid w:val="00786630"/>
    <w:rsid w:val="007900D8"/>
    <w:rsid w:val="00790EC8"/>
    <w:rsid w:val="00794AF6"/>
    <w:rsid w:val="007A03F2"/>
    <w:rsid w:val="007A0780"/>
    <w:rsid w:val="007A0B9E"/>
    <w:rsid w:val="007A2122"/>
    <w:rsid w:val="007A25D4"/>
    <w:rsid w:val="007A33BE"/>
    <w:rsid w:val="007A4709"/>
    <w:rsid w:val="007A4A9D"/>
    <w:rsid w:val="007A728E"/>
    <w:rsid w:val="007B0221"/>
    <w:rsid w:val="007B0364"/>
    <w:rsid w:val="007B28E0"/>
    <w:rsid w:val="007B2C2D"/>
    <w:rsid w:val="007B4C10"/>
    <w:rsid w:val="007B6FAB"/>
    <w:rsid w:val="007C0E61"/>
    <w:rsid w:val="007C161D"/>
    <w:rsid w:val="007C2836"/>
    <w:rsid w:val="007C2D8F"/>
    <w:rsid w:val="007C303B"/>
    <w:rsid w:val="007C39E2"/>
    <w:rsid w:val="007C3F7E"/>
    <w:rsid w:val="007C4E42"/>
    <w:rsid w:val="007C4F2C"/>
    <w:rsid w:val="007C6D76"/>
    <w:rsid w:val="007C7E6B"/>
    <w:rsid w:val="007D0981"/>
    <w:rsid w:val="007D1929"/>
    <w:rsid w:val="007D2821"/>
    <w:rsid w:val="007D38A0"/>
    <w:rsid w:val="007D5F89"/>
    <w:rsid w:val="007D62BA"/>
    <w:rsid w:val="007D6D23"/>
    <w:rsid w:val="007D6F6B"/>
    <w:rsid w:val="007D7024"/>
    <w:rsid w:val="007D713B"/>
    <w:rsid w:val="007E0DE6"/>
    <w:rsid w:val="007E57BD"/>
    <w:rsid w:val="007E5F1E"/>
    <w:rsid w:val="007E6AB2"/>
    <w:rsid w:val="007E7FB5"/>
    <w:rsid w:val="007F2C61"/>
    <w:rsid w:val="007F52A5"/>
    <w:rsid w:val="007F5653"/>
    <w:rsid w:val="007F593A"/>
    <w:rsid w:val="007F68BB"/>
    <w:rsid w:val="00801F72"/>
    <w:rsid w:val="008037FB"/>
    <w:rsid w:val="00803BDA"/>
    <w:rsid w:val="00803CF1"/>
    <w:rsid w:val="00804740"/>
    <w:rsid w:val="00805AA2"/>
    <w:rsid w:val="008072D3"/>
    <w:rsid w:val="0080783A"/>
    <w:rsid w:val="00810236"/>
    <w:rsid w:val="008104BB"/>
    <w:rsid w:val="008118A0"/>
    <w:rsid w:val="00811E29"/>
    <w:rsid w:val="00813370"/>
    <w:rsid w:val="00813E65"/>
    <w:rsid w:val="008212FC"/>
    <w:rsid w:val="00822D99"/>
    <w:rsid w:val="008249C5"/>
    <w:rsid w:val="00824FFD"/>
    <w:rsid w:val="0082764F"/>
    <w:rsid w:val="00834692"/>
    <w:rsid w:val="00841FBD"/>
    <w:rsid w:val="0084241E"/>
    <w:rsid w:val="008458D4"/>
    <w:rsid w:val="008465FB"/>
    <w:rsid w:val="00846DA2"/>
    <w:rsid w:val="00847ACE"/>
    <w:rsid w:val="00847E7B"/>
    <w:rsid w:val="008514B4"/>
    <w:rsid w:val="00851A7B"/>
    <w:rsid w:val="00852010"/>
    <w:rsid w:val="008526F9"/>
    <w:rsid w:val="0085285E"/>
    <w:rsid w:val="00853023"/>
    <w:rsid w:val="008534D4"/>
    <w:rsid w:val="008553C9"/>
    <w:rsid w:val="0085544F"/>
    <w:rsid w:val="00857A68"/>
    <w:rsid w:val="00863BEB"/>
    <w:rsid w:val="008646E9"/>
    <w:rsid w:val="00866729"/>
    <w:rsid w:val="008718B1"/>
    <w:rsid w:val="00872181"/>
    <w:rsid w:val="00873E30"/>
    <w:rsid w:val="008743F9"/>
    <w:rsid w:val="008747BF"/>
    <w:rsid w:val="00877F71"/>
    <w:rsid w:val="00881E28"/>
    <w:rsid w:val="008846E6"/>
    <w:rsid w:val="008857C3"/>
    <w:rsid w:val="00886F4F"/>
    <w:rsid w:val="0088707D"/>
    <w:rsid w:val="008879D8"/>
    <w:rsid w:val="00890943"/>
    <w:rsid w:val="0089131D"/>
    <w:rsid w:val="00894C4B"/>
    <w:rsid w:val="00897C44"/>
    <w:rsid w:val="00897E74"/>
    <w:rsid w:val="00897F69"/>
    <w:rsid w:val="008A0AA5"/>
    <w:rsid w:val="008A12E3"/>
    <w:rsid w:val="008A20A9"/>
    <w:rsid w:val="008A2311"/>
    <w:rsid w:val="008A26BB"/>
    <w:rsid w:val="008A2A08"/>
    <w:rsid w:val="008A2BCC"/>
    <w:rsid w:val="008A3B80"/>
    <w:rsid w:val="008A41ED"/>
    <w:rsid w:val="008A42FA"/>
    <w:rsid w:val="008A4C74"/>
    <w:rsid w:val="008A7306"/>
    <w:rsid w:val="008B0AC7"/>
    <w:rsid w:val="008B0B6C"/>
    <w:rsid w:val="008B1713"/>
    <w:rsid w:val="008B17DE"/>
    <w:rsid w:val="008B18C1"/>
    <w:rsid w:val="008B18C4"/>
    <w:rsid w:val="008B309C"/>
    <w:rsid w:val="008B7631"/>
    <w:rsid w:val="008C0A38"/>
    <w:rsid w:val="008C1BBE"/>
    <w:rsid w:val="008C1FB0"/>
    <w:rsid w:val="008C2335"/>
    <w:rsid w:val="008C5A3B"/>
    <w:rsid w:val="008C67C1"/>
    <w:rsid w:val="008C7A58"/>
    <w:rsid w:val="008D1D39"/>
    <w:rsid w:val="008D29FD"/>
    <w:rsid w:val="008D2C91"/>
    <w:rsid w:val="008D4AEA"/>
    <w:rsid w:val="008E0CF5"/>
    <w:rsid w:val="008E377C"/>
    <w:rsid w:val="008E5734"/>
    <w:rsid w:val="008E7717"/>
    <w:rsid w:val="008E773F"/>
    <w:rsid w:val="008E7C65"/>
    <w:rsid w:val="008E7CD8"/>
    <w:rsid w:val="008F07D2"/>
    <w:rsid w:val="008F11A0"/>
    <w:rsid w:val="008F15A1"/>
    <w:rsid w:val="008F3818"/>
    <w:rsid w:val="008F40DE"/>
    <w:rsid w:val="008F5BDC"/>
    <w:rsid w:val="008F6CAF"/>
    <w:rsid w:val="008F6FA5"/>
    <w:rsid w:val="00900DC2"/>
    <w:rsid w:val="0090173F"/>
    <w:rsid w:val="00903084"/>
    <w:rsid w:val="009036E6"/>
    <w:rsid w:val="00904695"/>
    <w:rsid w:val="00904CD2"/>
    <w:rsid w:val="00905C3E"/>
    <w:rsid w:val="00907594"/>
    <w:rsid w:val="009078C5"/>
    <w:rsid w:val="00907C9E"/>
    <w:rsid w:val="00912998"/>
    <w:rsid w:val="00912D59"/>
    <w:rsid w:val="00912DD7"/>
    <w:rsid w:val="009132A6"/>
    <w:rsid w:val="00913495"/>
    <w:rsid w:val="00913A6A"/>
    <w:rsid w:val="009142CA"/>
    <w:rsid w:val="00915EF7"/>
    <w:rsid w:val="00917851"/>
    <w:rsid w:val="00917D42"/>
    <w:rsid w:val="00917F65"/>
    <w:rsid w:val="00920FBD"/>
    <w:rsid w:val="00922D2F"/>
    <w:rsid w:val="00922F43"/>
    <w:rsid w:val="00923006"/>
    <w:rsid w:val="009243F8"/>
    <w:rsid w:val="0092485E"/>
    <w:rsid w:val="00925110"/>
    <w:rsid w:val="009257F3"/>
    <w:rsid w:val="0092627A"/>
    <w:rsid w:val="0092719C"/>
    <w:rsid w:val="00927A86"/>
    <w:rsid w:val="009311E7"/>
    <w:rsid w:val="00932D9F"/>
    <w:rsid w:val="009346EA"/>
    <w:rsid w:val="0093482B"/>
    <w:rsid w:val="00934B84"/>
    <w:rsid w:val="00940AD5"/>
    <w:rsid w:val="00941B1A"/>
    <w:rsid w:val="00942694"/>
    <w:rsid w:val="00942AAE"/>
    <w:rsid w:val="00942C18"/>
    <w:rsid w:val="00944C4C"/>
    <w:rsid w:val="00945972"/>
    <w:rsid w:val="00946846"/>
    <w:rsid w:val="00951164"/>
    <w:rsid w:val="00951618"/>
    <w:rsid w:val="0095205B"/>
    <w:rsid w:val="0095284B"/>
    <w:rsid w:val="00955A8B"/>
    <w:rsid w:val="00961678"/>
    <w:rsid w:val="009619A3"/>
    <w:rsid w:val="00964048"/>
    <w:rsid w:val="00964058"/>
    <w:rsid w:val="0096745A"/>
    <w:rsid w:val="00973669"/>
    <w:rsid w:val="00973ADC"/>
    <w:rsid w:val="00974A31"/>
    <w:rsid w:val="00976664"/>
    <w:rsid w:val="009776B1"/>
    <w:rsid w:val="00980B73"/>
    <w:rsid w:val="00980CE1"/>
    <w:rsid w:val="00980FC9"/>
    <w:rsid w:val="0098223E"/>
    <w:rsid w:val="0098353F"/>
    <w:rsid w:val="009851A2"/>
    <w:rsid w:val="0098567C"/>
    <w:rsid w:val="009866E9"/>
    <w:rsid w:val="009902F1"/>
    <w:rsid w:val="00993C1F"/>
    <w:rsid w:val="00994027"/>
    <w:rsid w:val="009959D4"/>
    <w:rsid w:val="009964EB"/>
    <w:rsid w:val="009A127E"/>
    <w:rsid w:val="009A15FB"/>
    <w:rsid w:val="009A2BA1"/>
    <w:rsid w:val="009A2D85"/>
    <w:rsid w:val="009A3E43"/>
    <w:rsid w:val="009A5419"/>
    <w:rsid w:val="009A58D7"/>
    <w:rsid w:val="009A6C98"/>
    <w:rsid w:val="009A7E3A"/>
    <w:rsid w:val="009B1265"/>
    <w:rsid w:val="009B2FC9"/>
    <w:rsid w:val="009B3209"/>
    <w:rsid w:val="009B4A15"/>
    <w:rsid w:val="009B52BD"/>
    <w:rsid w:val="009B5693"/>
    <w:rsid w:val="009B5771"/>
    <w:rsid w:val="009B5E7D"/>
    <w:rsid w:val="009B7346"/>
    <w:rsid w:val="009B76D6"/>
    <w:rsid w:val="009C0337"/>
    <w:rsid w:val="009C120F"/>
    <w:rsid w:val="009C61A2"/>
    <w:rsid w:val="009C72A7"/>
    <w:rsid w:val="009C73EA"/>
    <w:rsid w:val="009C78E4"/>
    <w:rsid w:val="009C7EF0"/>
    <w:rsid w:val="009D0838"/>
    <w:rsid w:val="009D2EDE"/>
    <w:rsid w:val="009D3A89"/>
    <w:rsid w:val="009D4209"/>
    <w:rsid w:val="009D687E"/>
    <w:rsid w:val="009D7BE4"/>
    <w:rsid w:val="009E5446"/>
    <w:rsid w:val="009E6739"/>
    <w:rsid w:val="009F0171"/>
    <w:rsid w:val="009F2AAF"/>
    <w:rsid w:val="009F2E7B"/>
    <w:rsid w:val="009F439A"/>
    <w:rsid w:val="009F4A13"/>
    <w:rsid w:val="009F4EA6"/>
    <w:rsid w:val="009F61C0"/>
    <w:rsid w:val="009F6DE7"/>
    <w:rsid w:val="00A04DFC"/>
    <w:rsid w:val="00A0683A"/>
    <w:rsid w:val="00A0737B"/>
    <w:rsid w:val="00A10583"/>
    <w:rsid w:val="00A10DEC"/>
    <w:rsid w:val="00A11A20"/>
    <w:rsid w:val="00A11CE7"/>
    <w:rsid w:val="00A11CFC"/>
    <w:rsid w:val="00A14059"/>
    <w:rsid w:val="00A17E05"/>
    <w:rsid w:val="00A2013F"/>
    <w:rsid w:val="00A21187"/>
    <w:rsid w:val="00A240CF"/>
    <w:rsid w:val="00A24A7A"/>
    <w:rsid w:val="00A24AF2"/>
    <w:rsid w:val="00A25D1C"/>
    <w:rsid w:val="00A26FCF"/>
    <w:rsid w:val="00A273C1"/>
    <w:rsid w:val="00A27774"/>
    <w:rsid w:val="00A32B71"/>
    <w:rsid w:val="00A347FB"/>
    <w:rsid w:val="00A35899"/>
    <w:rsid w:val="00A36061"/>
    <w:rsid w:val="00A37FC1"/>
    <w:rsid w:val="00A37FCB"/>
    <w:rsid w:val="00A42910"/>
    <w:rsid w:val="00A44F43"/>
    <w:rsid w:val="00A45D16"/>
    <w:rsid w:val="00A4731F"/>
    <w:rsid w:val="00A476A5"/>
    <w:rsid w:val="00A5028B"/>
    <w:rsid w:val="00A508B5"/>
    <w:rsid w:val="00A51294"/>
    <w:rsid w:val="00A54863"/>
    <w:rsid w:val="00A548E7"/>
    <w:rsid w:val="00A557E5"/>
    <w:rsid w:val="00A56312"/>
    <w:rsid w:val="00A570B4"/>
    <w:rsid w:val="00A57DE2"/>
    <w:rsid w:val="00A61D74"/>
    <w:rsid w:val="00A6264D"/>
    <w:rsid w:val="00A62CEC"/>
    <w:rsid w:val="00A634E6"/>
    <w:rsid w:val="00A63C25"/>
    <w:rsid w:val="00A657DE"/>
    <w:rsid w:val="00A748DD"/>
    <w:rsid w:val="00A7600A"/>
    <w:rsid w:val="00A81F1F"/>
    <w:rsid w:val="00A82829"/>
    <w:rsid w:val="00A82C61"/>
    <w:rsid w:val="00A8475D"/>
    <w:rsid w:val="00A85D65"/>
    <w:rsid w:val="00A85EB3"/>
    <w:rsid w:val="00A8688B"/>
    <w:rsid w:val="00A86A75"/>
    <w:rsid w:val="00A86FC8"/>
    <w:rsid w:val="00A87486"/>
    <w:rsid w:val="00A87888"/>
    <w:rsid w:val="00A91080"/>
    <w:rsid w:val="00A91163"/>
    <w:rsid w:val="00A9140A"/>
    <w:rsid w:val="00A91C07"/>
    <w:rsid w:val="00A91DE4"/>
    <w:rsid w:val="00A9286F"/>
    <w:rsid w:val="00A941DA"/>
    <w:rsid w:val="00A95BBB"/>
    <w:rsid w:val="00A96255"/>
    <w:rsid w:val="00A96492"/>
    <w:rsid w:val="00A964F2"/>
    <w:rsid w:val="00AA09AA"/>
    <w:rsid w:val="00AA211C"/>
    <w:rsid w:val="00AA24A8"/>
    <w:rsid w:val="00AA31A8"/>
    <w:rsid w:val="00AA6C4A"/>
    <w:rsid w:val="00AA783C"/>
    <w:rsid w:val="00AB083D"/>
    <w:rsid w:val="00AB0D5B"/>
    <w:rsid w:val="00AB2840"/>
    <w:rsid w:val="00AB285B"/>
    <w:rsid w:val="00AB40CA"/>
    <w:rsid w:val="00AB4534"/>
    <w:rsid w:val="00AB4B4F"/>
    <w:rsid w:val="00AB71AB"/>
    <w:rsid w:val="00AB74D8"/>
    <w:rsid w:val="00AC0584"/>
    <w:rsid w:val="00AC1305"/>
    <w:rsid w:val="00AC1761"/>
    <w:rsid w:val="00AC403C"/>
    <w:rsid w:val="00AC4B36"/>
    <w:rsid w:val="00AC68BB"/>
    <w:rsid w:val="00AC757D"/>
    <w:rsid w:val="00AC7EB0"/>
    <w:rsid w:val="00AD03CF"/>
    <w:rsid w:val="00AD32AF"/>
    <w:rsid w:val="00AD3488"/>
    <w:rsid w:val="00AD35A5"/>
    <w:rsid w:val="00AD4F68"/>
    <w:rsid w:val="00AE1F9D"/>
    <w:rsid w:val="00AE2B09"/>
    <w:rsid w:val="00AE2FDC"/>
    <w:rsid w:val="00AE585B"/>
    <w:rsid w:val="00AE6676"/>
    <w:rsid w:val="00AE6FDB"/>
    <w:rsid w:val="00AE7900"/>
    <w:rsid w:val="00AF127B"/>
    <w:rsid w:val="00AF2722"/>
    <w:rsid w:val="00AF5552"/>
    <w:rsid w:val="00AF5CB4"/>
    <w:rsid w:val="00AF5ED1"/>
    <w:rsid w:val="00AF71D6"/>
    <w:rsid w:val="00B024BA"/>
    <w:rsid w:val="00B05974"/>
    <w:rsid w:val="00B102AB"/>
    <w:rsid w:val="00B115FA"/>
    <w:rsid w:val="00B125F6"/>
    <w:rsid w:val="00B141C7"/>
    <w:rsid w:val="00B14F76"/>
    <w:rsid w:val="00B151E6"/>
    <w:rsid w:val="00B15A53"/>
    <w:rsid w:val="00B17510"/>
    <w:rsid w:val="00B216EE"/>
    <w:rsid w:val="00B228C1"/>
    <w:rsid w:val="00B23423"/>
    <w:rsid w:val="00B25183"/>
    <w:rsid w:val="00B253C0"/>
    <w:rsid w:val="00B26847"/>
    <w:rsid w:val="00B26B90"/>
    <w:rsid w:val="00B3175F"/>
    <w:rsid w:val="00B317A7"/>
    <w:rsid w:val="00B31E2C"/>
    <w:rsid w:val="00B329B0"/>
    <w:rsid w:val="00B3380D"/>
    <w:rsid w:val="00B345A2"/>
    <w:rsid w:val="00B351A2"/>
    <w:rsid w:val="00B369FB"/>
    <w:rsid w:val="00B377BB"/>
    <w:rsid w:val="00B402D8"/>
    <w:rsid w:val="00B41E44"/>
    <w:rsid w:val="00B4237C"/>
    <w:rsid w:val="00B42FE8"/>
    <w:rsid w:val="00B439DC"/>
    <w:rsid w:val="00B43D7A"/>
    <w:rsid w:val="00B47569"/>
    <w:rsid w:val="00B514D0"/>
    <w:rsid w:val="00B52AFD"/>
    <w:rsid w:val="00B532DE"/>
    <w:rsid w:val="00B53A63"/>
    <w:rsid w:val="00B54077"/>
    <w:rsid w:val="00B557FA"/>
    <w:rsid w:val="00B55A32"/>
    <w:rsid w:val="00B55A9E"/>
    <w:rsid w:val="00B613C1"/>
    <w:rsid w:val="00B61DBF"/>
    <w:rsid w:val="00B634E6"/>
    <w:rsid w:val="00B64527"/>
    <w:rsid w:val="00B64882"/>
    <w:rsid w:val="00B6530C"/>
    <w:rsid w:val="00B669A3"/>
    <w:rsid w:val="00B66C12"/>
    <w:rsid w:val="00B702C5"/>
    <w:rsid w:val="00B73B8B"/>
    <w:rsid w:val="00B751ED"/>
    <w:rsid w:val="00B7720A"/>
    <w:rsid w:val="00B80043"/>
    <w:rsid w:val="00B8020B"/>
    <w:rsid w:val="00B8087E"/>
    <w:rsid w:val="00B80995"/>
    <w:rsid w:val="00B8369A"/>
    <w:rsid w:val="00B8398B"/>
    <w:rsid w:val="00B85196"/>
    <w:rsid w:val="00B85A8B"/>
    <w:rsid w:val="00B8726E"/>
    <w:rsid w:val="00B87B0A"/>
    <w:rsid w:val="00B9005E"/>
    <w:rsid w:val="00B90291"/>
    <w:rsid w:val="00B92263"/>
    <w:rsid w:val="00B9283C"/>
    <w:rsid w:val="00B94265"/>
    <w:rsid w:val="00B945A6"/>
    <w:rsid w:val="00B950E5"/>
    <w:rsid w:val="00B97AAB"/>
    <w:rsid w:val="00BA09CA"/>
    <w:rsid w:val="00BA16F2"/>
    <w:rsid w:val="00BA274B"/>
    <w:rsid w:val="00BA2787"/>
    <w:rsid w:val="00BA433E"/>
    <w:rsid w:val="00BA5336"/>
    <w:rsid w:val="00BB0487"/>
    <w:rsid w:val="00BB09D2"/>
    <w:rsid w:val="00BB0B78"/>
    <w:rsid w:val="00BB179E"/>
    <w:rsid w:val="00BB229E"/>
    <w:rsid w:val="00BB2721"/>
    <w:rsid w:val="00BB331E"/>
    <w:rsid w:val="00BB3887"/>
    <w:rsid w:val="00BB646E"/>
    <w:rsid w:val="00BC2CD7"/>
    <w:rsid w:val="00BC31D9"/>
    <w:rsid w:val="00BC4A92"/>
    <w:rsid w:val="00BC5038"/>
    <w:rsid w:val="00BC5A4A"/>
    <w:rsid w:val="00BC67C5"/>
    <w:rsid w:val="00BC7786"/>
    <w:rsid w:val="00BC7D61"/>
    <w:rsid w:val="00BD1BA1"/>
    <w:rsid w:val="00BD232A"/>
    <w:rsid w:val="00BD2E0A"/>
    <w:rsid w:val="00BD3EE8"/>
    <w:rsid w:val="00BD502F"/>
    <w:rsid w:val="00BD631C"/>
    <w:rsid w:val="00BD69A0"/>
    <w:rsid w:val="00BD7B27"/>
    <w:rsid w:val="00BE0BD6"/>
    <w:rsid w:val="00BE0F1C"/>
    <w:rsid w:val="00BE630C"/>
    <w:rsid w:val="00BF0AD7"/>
    <w:rsid w:val="00BF3880"/>
    <w:rsid w:val="00BF585E"/>
    <w:rsid w:val="00BF62CB"/>
    <w:rsid w:val="00BF67A9"/>
    <w:rsid w:val="00C006EE"/>
    <w:rsid w:val="00C01674"/>
    <w:rsid w:val="00C019E5"/>
    <w:rsid w:val="00C03C0E"/>
    <w:rsid w:val="00C04482"/>
    <w:rsid w:val="00C062DF"/>
    <w:rsid w:val="00C07530"/>
    <w:rsid w:val="00C104A9"/>
    <w:rsid w:val="00C112C8"/>
    <w:rsid w:val="00C12808"/>
    <w:rsid w:val="00C13528"/>
    <w:rsid w:val="00C1682B"/>
    <w:rsid w:val="00C16FAC"/>
    <w:rsid w:val="00C17FC0"/>
    <w:rsid w:val="00C20E0A"/>
    <w:rsid w:val="00C20F73"/>
    <w:rsid w:val="00C2327E"/>
    <w:rsid w:val="00C24346"/>
    <w:rsid w:val="00C3096C"/>
    <w:rsid w:val="00C30CBE"/>
    <w:rsid w:val="00C317BA"/>
    <w:rsid w:val="00C330E4"/>
    <w:rsid w:val="00C33129"/>
    <w:rsid w:val="00C33C1D"/>
    <w:rsid w:val="00C35BC4"/>
    <w:rsid w:val="00C35E60"/>
    <w:rsid w:val="00C37C6D"/>
    <w:rsid w:val="00C40A35"/>
    <w:rsid w:val="00C41A9B"/>
    <w:rsid w:val="00C41D32"/>
    <w:rsid w:val="00C42C4A"/>
    <w:rsid w:val="00C43F5B"/>
    <w:rsid w:val="00C45218"/>
    <w:rsid w:val="00C45906"/>
    <w:rsid w:val="00C46675"/>
    <w:rsid w:val="00C473BB"/>
    <w:rsid w:val="00C47617"/>
    <w:rsid w:val="00C47CBD"/>
    <w:rsid w:val="00C52C6A"/>
    <w:rsid w:val="00C54C9E"/>
    <w:rsid w:val="00C56417"/>
    <w:rsid w:val="00C5705F"/>
    <w:rsid w:val="00C61516"/>
    <w:rsid w:val="00C61A91"/>
    <w:rsid w:val="00C6273E"/>
    <w:rsid w:val="00C63F7D"/>
    <w:rsid w:val="00C64EA3"/>
    <w:rsid w:val="00C67866"/>
    <w:rsid w:val="00C702A3"/>
    <w:rsid w:val="00C70656"/>
    <w:rsid w:val="00C72CB6"/>
    <w:rsid w:val="00C739E6"/>
    <w:rsid w:val="00C73B81"/>
    <w:rsid w:val="00C751ED"/>
    <w:rsid w:val="00C82790"/>
    <w:rsid w:val="00C82F6F"/>
    <w:rsid w:val="00C84CA9"/>
    <w:rsid w:val="00C84F17"/>
    <w:rsid w:val="00C86285"/>
    <w:rsid w:val="00C86F24"/>
    <w:rsid w:val="00C875AC"/>
    <w:rsid w:val="00C90459"/>
    <w:rsid w:val="00C90CA7"/>
    <w:rsid w:val="00C914BC"/>
    <w:rsid w:val="00C91E46"/>
    <w:rsid w:val="00C91F80"/>
    <w:rsid w:val="00C94AD5"/>
    <w:rsid w:val="00C95B87"/>
    <w:rsid w:val="00C97759"/>
    <w:rsid w:val="00CA0D1B"/>
    <w:rsid w:val="00CA11DA"/>
    <w:rsid w:val="00CA26A9"/>
    <w:rsid w:val="00CA2938"/>
    <w:rsid w:val="00CA4DFB"/>
    <w:rsid w:val="00CA4E9B"/>
    <w:rsid w:val="00CA4F0B"/>
    <w:rsid w:val="00CA7021"/>
    <w:rsid w:val="00CB03A2"/>
    <w:rsid w:val="00CB1B39"/>
    <w:rsid w:val="00CB4371"/>
    <w:rsid w:val="00CB662B"/>
    <w:rsid w:val="00CB7532"/>
    <w:rsid w:val="00CB7ACA"/>
    <w:rsid w:val="00CC1900"/>
    <w:rsid w:val="00CC516D"/>
    <w:rsid w:val="00CC68EF"/>
    <w:rsid w:val="00CC6B58"/>
    <w:rsid w:val="00CC6D9A"/>
    <w:rsid w:val="00CD3B1B"/>
    <w:rsid w:val="00CD4488"/>
    <w:rsid w:val="00CD769A"/>
    <w:rsid w:val="00CE1BEE"/>
    <w:rsid w:val="00CE1C02"/>
    <w:rsid w:val="00CE2908"/>
    <w:rsid w:val="00CE2CD2"/>
    <w:rsid w:val="00CE51F3"/>
    <w:rsid w:val="00CE5DBA"/>
    <w:rsid w:val="00CE6AA6"/>
    <w:rsid w:val="00CF20F6"/>
    <w:rsid w:val="00CF2C6B"/>
    <w:rsid w:val="00CF38DA"/>
    <w:rsid w:val="00CF60FB"/>
    <w:rsid w:val="00CF7C5C"/>
    <w:rsid w:val="00D0156A"/>
    <w:rsid w:val="00D01ACF"/>
    <w:rsid w:val="00D03C8A"/>
    <w:rsid w:val="00D06D1B"/>
    <w:rsid w:val="00D10EA3"/>
    <w:rsid w:val="00D11A48"/>
    <w:rsid w:val="00D16F15"/>
    <w:rsid w:val="00D211A7"/>
    <w:rsid w:val="00D216DF"/>
    <w:rsid w:val="00D22712"/>
    <w:rsid w:val="00D24330"/>
    <w:rsid w:val="00D2455E"/>
    <w:rsid w:val="00D25FDD"/>
    <w:rsid w:val="00D27225"/>
    <w:rsid w:val="00D2731F"/>
    <w:rsid w:val="00D33020"/>
    <w:rsid w:val="00D333EB"/>
    <w:rsid w:val="00D3691F"/>
    <w:rsid w:val="00D37199"/>
    <w:rsid w:val="00D40056"/>
    <w:rsid w:val="00D44297"/>
    <w:rsid w:val="00D50676"/>
    <w:rsid w:val="00D51CE0"/>
    <w:rsid w:val="00D51E7C"/>
    <w:rsid w:val="00D52654"/>
    <w:rsid w:val="00D52ADF"/>
    <w:rsid w:val="00D5318A"/>
    <w:rsid w:val="00D53961"/>
    <w:rsid w:val="00D53A06"/>
    <w:rsid w:val="00D54706"/>
    <w:rsid w:val="00D54F29"/>
    <w:rsid w:val="00D557FA"/>
    <w:rsid w:val="00D55BFA"/>
    <w:rsid w:val="00D5634A"/>
    <w:rsid w:val="00D563C2"/>
    <w:rsid w:val="00D57626"/>
    <w:rsid w:val="00D61C11"/>
    <w:rsid w:val="00D6278A"/>
    <w:rsid w:val="00D639B6"/>
    <w:rsid w:val="00D63F49"/>
    <w:rsid w:val="00D64E83"/>
    <w:rsid w:val="00D660AA"/>
    <w:rsid w:val="00D6625D"/>
    <w:rsid w:val="00D66948"/>
    <w:rsid w:val="00D66FEE"/>
    <w:rsid w:val="00D7020C"/>
    <w:rsid w:val="00D70AD9"/>
    <w:rsid w:val="00D72152"/>
    <w:rsid w:val="00D730A2"/>
    <w:rsid w:val="00D7739E"/>
    <w:rsid w:val="00D77EF1"/>
    <w:rsid w:val="00D83BF1"/>
    <w:rsid w:val="00D842D6"/>
    <w:rsid w:val="00D85A6D"/>
    <w:rsid w:val="00D86548"/>
    <w:rsid w:val="00D876A6"/>
    <w:rsid w:val="00D907FA"/>
    <w:rsid w:val="00D91E98"/>
    <w:rsid w:val="00D93CF8"/>
    <w:rsid w:val="00D943DA"/>
    <w:rsid w:val="00D94BA5"/>
    <w:rsid w:val="00D9510F"/>
    <w:rsid w:val="00D97B35"/>
    <w:rsid w:val="00DA0BA4"/>
    <w:rsid w:val="00DA2DA6"/>
    <w:rsid w:val="00DA4F53"/>
    <w:rsid w:val="00DA615C"/>
    <w:rsid w:val="00DA6846"/>
    <w:rsid w:val="00DA72C6"/>
    <w:rsid w:val="00DA7865"/>
    <w:rsid w:val="00DA7D08"/>
    <w:rsid w:val="00DA7D9A"/>
    <w:rsid w:val="00DB148D"/>
    <w:rsid w:val="00DB1D67"/>
    <w:rsid w:val="00DB7100"/>
    <w:rsid w:val="00DB7A40"/>
    <w:rsid w:val="00DC06E2"/>
    <w:rsid w:val="00DC168D"/>
    <w:rsid w:val="00DC1EC3"/>
    <w:rsid w:val="00DC21F2"/>
    <w:rsid w:val="00DC38F7"/>
    <w:rsid w:val="00DC3A8E"/>
    <w:rsid w:val="00DC4593"/>
    <w:rsid w:val="00DC593C"/>
    <w:rsid w:val="00DD08E4"/>
    <w:rsid w:val="00DD0941"/>
    <w:rsid w:val="00DD097C"/>
    <w:rsid w:val="00DD0C87"/>
    <w:rsid w:val="00DD1BC6"/>
    <w:rsid w:val="00DD3842"/>
    <w:rsid w:val="00DD3ED0"/>
    <w:rsid w:val="00DD4210"/>
    <w:rsid w:val="00DD5698"/>
    <w:rsid w:val="00DD6235"/>
    <w:rsid w:val="00DE18FE"/>
    <w:rsid w:val="00DE2826"/>
    <w:rsid w:val="00DE46F5"/>
    <w:rsid w:val="00DE5527"/>
    <w:rsid w:val="00DE5DC3"/>
    <w:rsid w:val="00DE6D5A"/>
    <w:rsid w:val="00DF056F"/>
    <w:rsid w:val="00DF2003"/>
    <w:rsid w:val="00DF24B8"/>
    <w:rsid w:val="00DF31D2"/>
    <w:rsid w:val="00DF4296"/>
    <w:rsid w:val="00DF4629"/>
    <w:rsid w:val="00DF4741"/>
    <w:rsid w:val="00DF4FD0"/>
    <w:rsid w:val="00DF62B3"/>
    <w:rsid w:val="00DF69B7"/>
    <w:rsid w:val="00E00D8A"/>
    <w:rsid w:val="00E0106C"/>
    <w:rsid w:val="00E02E7B"/>
    <w:rsid w:val="00E03148"/>
    <w:rsid w:val="00E035F7"/>
    <w:rsid w:val="00E045FD"/>
    <w:rsid w:val="00E04E24"/>
    <w:rsid w:val="00E068CF"/>
    <w:rsid w:val="00E07DB2"/>
    <w:rsid w:val="00E1039A"/>
    <w:rsid w:val="00E1050F"/>
    <w:rsid w:val="00E115C7"/>
    <w:rsid w:val="00E11604"/>
    <w:rsid w:val="00E11870"/>
    <w:rsid w:val="00E11D92"/>
    <w:rsid w:val="00E1290B"/>
    <w:rsid w:val="00E12952"/>
    <w:rsid w:val="00E130A0"/>
    <w:rsid w:val="00E13CA0"/>
    <w:rsid w:val="00E1654C"/>
    <w:rsid w:val="00E210C4"/>
    <w:rsid w:val="00E2208F"/>
    <w:rsid w:val="00E23DB7"/>
    <w:rsid w:val="00E242AC"/>
    <w:rsid w:val="00E24D3C"/>
    <w:rsid w:val="00E2677C"/>
    <w:rsid w:val="00E279D9"/>
    <w:rsid w:val="00E30F30"/>
    <w:rsid w:val="00E31C00"/>
    <w:rsid w:val="00E35EB1"/>
    <w:rsid w:val="00E37E79"/>
    <w:rsid w:val="00E40206"/>
    <w:rsid w:val="00E41331"/>
    <w:rsid w:val="00E43141"/>
    <w:rsid w:val="00E44596"/>
    <w:rsid w:val="00E46133"/>
    <w:rsid w:val="00E46D96"/>
    <w:rsid w:val="00E47040"/>
    <w:rsid w:val="00E47E79"/>
    <w:rsid w:val="00E526FA"/>
    <w:rsid w:val="00E52CCA"/>
    <w:rsid w:val="00E53D2E"/>
    <w:rsid w:val="00E55D65"/>
    <w:rsid w:val="00E57751"/>
    <w:rsid w:val="00E62165"/>
    <w:rsid w:val="00E64D0B"/>
    <w:rsid w:val="00E64D41"/>
    <w:rsid w:val="00E653A1"/>
    <w:rsid w:val="00E66409"/>
    <w:rsid w:val="00E678D4"/>
    <w:rsid w:val="00E705D1"/>
    <w:rsid w:val="00E70C97"/>
    <w:rsid w:val="00E7644B"/>
    <w:rsid w:val="00E81D5B"/>
    <w:rsid w:val="00E8436F"/>
    <w:rsid w:val="00E84C40"/>
    <w:rsid w:val="00E85480"/>
    <w:rsid w:val="00E85F95"/>
    <w:rsid w:val="00E94CE3"/>
    <w:rsid w:val="00E9717F"/>
    <w:rsid w:val="00E976B9"/>
    <w:rsid w:val="00EA0160"/>
    <w:rsid w:val="00EA05D3"/>
    <w:rsid w:val="00EA1D34"/>
    <w:rsid w:val="00EA1D77"/>
    <w:rsid w:val="00EA1F52"/>
    <w:rsid w:val="00EA24B2"/>
    <w:rsid w:val="00EA3362"/>
    <w:rsid w:val="00EA3E13"/>
    <w:rsid w:val="00EA43F2"/>
    <w:rsid w:val="00EA46AB"/>
    <w:rsid w:val="00EA502F"/>
    <w:rsid w:val="00EA6118"/>
    <w:rsid w:val="00EB19AD"/>
    <w:rsid w:val="00EB1EC9"/>
    <w:rsid w:val="00EB289E"/>
    <w:rsid w:val="00EB2F31"/>
    <w:rsid w:val="00EB5C50"/>
    <w:rsid w:val="00EB6493"/>
    <w:rsid w:val="00EB73FF"/>
    <w:rsid w:val="00EB7D2D"/>
    <w:rsid w:val="00EC01CE"/>
    <w:rsid w:val="00EC0EA8"/>
    <w:rsid w:val="00EC2915"/>
    <w:rsid w:val="00EC6505"/>
    <w:rsid w:val="00EC6544"/>
    <w:rsid w:val="00EC7A29"/>
    <w:rsid w:val="00EC7F2E"/>
    <w:rsid w:val="00ED05A9"/>
    <w:rsid w:val="00ED0992"/>
    <w:rsid w:val="00ED1BA0"/>
    <w:rsid w:val="00ED3AAF"/>
    <w:rsid w:val="00ED57C3"/>
    <w:rsid w:val="00ED75B7"/>
    <w:rsid w:val="00ED7AE9"/>
    <w:rsid w:val="00ED7CC0"/>
    <w:rsid w:val="00EE12DB"/>
    <w:rsid w:val="00EE15B1"/>
    <w:rsid w:val="00EE3312"/>
    <w:rsid w:val="00EE7129"/>
    <w:rsid w:val="00EE74BC"/>
    <w:rsid w:val="00EE7DFD"/>
    <w:rsid w:val="00EF0BA7"/>
    <w:rsid w:val="00EF1E2E"/>
    <w:rsid w:val="00EF4561"/>
    <w:rsid w:val="00EF5F0D"/>
    <w:rsid w:val="00EF6182"/>
    <w:rsid w:val="00EF71B4"/>
    <w:rsid w:val="00EF76A8"/>
    <w:rsid w:val="00EF7D28"/>
    <w:rsid w:val="00F00C9E"/>
    <w:rsid w:val="00F01326"/>
    <w:rsid w:val="00F01BF3"/>
    <w:rsid w:val="00F02E56"/>
    <w:rsid w:val="00F03422"/>
    <w:rsid w:val="00F035EF"/>
    <w:rsid w:val="00F05CC3"/>
    <w:rsid w:val="00F10FA2"/>
    <w:rsid w:val="00F1551D"/>
    <w:rsid w:val="00F155F3"/>
    <w:rsid w:val="00F1583F"/>
    <w:rsid w:val="00F165D2"/>
    <w:rsid w:val="00F169F6"/>
    <w:rsid w:val="00F17257"/>
    <w:rsid w:val="00F2003A"/>
    <w:rsid w:val="00F21029"/>
    <w:rsid w:val="00F21994"/>
    <w:rsid w:val="00F22AAB"/>
    <w:rsid w:val="00F22C95"/>
    <w:rsid w:val="00F251B6"/>
    <w:rsid w:val="00F26962"/>
    <w:rsid w:val="00F279D6"/>
    <w:rsid w:val="00F303B1"/>
    <w:rsid w:val="00F31C7C"/>
    <w:rsid w:val="00F31FC4"/>
    <w:rsid w:val="00F330CF"/>
    <w:rsid w:val="00F334D9"/>
    <w:rsid w:val="00F34C11"/>
    <w:rsid w:val="00F34D24"/>
    <w:rsid w:val="00F36EEB"/>
    <w:rsid w:val="00F4007A"/>
    <w:rsid w:val="00F4050A"/>
    <w:rsid w:val="00F4130B"/>
    <w:rsid w:val="00F45116"/>
    <w:rsid w:val="00F46855"/>
    <w:rsid w:val="00F47D45"/>
    <w:rsid w:val="00F556A2"/>
    <w:rsid w:val="00F56347"/>
    <w:rsid w:val="00F57BE7"/>
    <w:rsid w:val="00F57EFE"/>
    <w:rsid w:val="00F6124E"/>
    <w:rsid w:val="00F6159F"/>
    <w:rsid w:val="00F65305"/>
    <w:rsid w:val="00F66260"/>
    <w:rsid w:val="00F70415"/>
    <w:rsid w:val="00F719A8"/>
    <w:rsid w:val="00F73458"/>
    <w:rsid w:val="00F754DF"/>
    <w:rsid w:val="00F7585D"/>
    <w:rsid w:val="00F7718D"/>
    <w:rsid w:val="00F771E5"/>
    <w:rsid w:val="00F8006C"/>
    <w:rsid w:val="00F81DDC"/>
    <w:rsid w:val="00F828B3"/>
    <w:rsid w:val="00F8334C"/>
    <w:rsid w:val="00F83EF2"/>
    <w:rsid w:val="00F8458B"/>
    <w:rsid w:val="00F8540E"/>
    <w:rsid w:val="00F87231"/>
    <w:rsid w:val="00F878B9"/>
    <w:rsid w:val="00F87F48"/>
    <w:rsid w:val="00F9040C"/>
    <w:rsid w:val="00F931BC"/>
    <w:rsid w:val="00F9352C"/>
    <w:rsid w:val="00F95458"/>
    <w:rsid w:val="00F95810"/>
    <w:rsid w:val="00FA08EE"/>
    <w:rsid w:val="00FA145B"/>
    <w:rsid w:val="00FA29EB"/>
    <w:rsid w:val="00FA2FFC"/>
    <w:rsid w:val="00FA32BB"/>
    <w:rsid w:val="00FA42A8"/>
    <w:rsid w:val="00FA4526"/>
    <w:rsid w:val="00FA4B7B"/>
    <w:rsid w:val="00FA5509"/>
    <w:rsid w:val="00FA5F49"/>
    <w:rsid w:val="00FB12A1"/>
    <w:rsid w:val="00FB1C3F"/>
    <w:rsid w:val="00FB20F5"/>
    <w:rsid w:val="00FB24E8"/>
    <w:rsid w:val="00FB25AA"/>
    <w:rsid w:val="00FB2914"/>
    <w:rsid w:val="00FB33E5"/>
    <w:rsid w:val="00FB388D"/>
    <w:rsid w:val="00FB3B2B"/>
    <w:rsid w:val="00FB4D16"/>
    <w:rsid w:val="00FB667E"/>
    <w:rsid w:val="00FB77BF"/>
    <w:rsid w:val="00FC1243"/>
    <w:rsid w:val="00FC18B8"/>
    <w:rsid w:val="00FC18DA"/>
    <w:rsid w:val="00FC1936"/>
    <w:rsid w:val="00FC21FB"/>
    <w:rsid w:val="00FC3917"/>
    <w:rsid w:val="00FC7E74"/>
    <w:rsid w:val="00FD0271"/>
    <w:rsid w:val="00FD073E"/>
    <w:rsid w:val="00FD18A6"/>
    <w:rsid w:val="00FD1B00"/>
    <w:rsid w:val="00FD25AE"/>
    <w:rsid w:val="00FD288A"/>
    <w:rsid w:val="00FD3A2C"/>
    <w:rsid w:val="00FD601A"/>
    <w:rsid w:val="00FD6051"/>
    <w:rsid w:val="00FD60DA"/>
    <w:rsid w:val="00FD642E"/>
    <w:rsid w:val="00FD672B"/>
    <w:rsid w:val="00FD68BD"/>
    <w:rsid w:val="00FD6A27"/>
    <w:rsid w:val="00FD6DC1"/>
    <w:rsid w:val="00FE025A"/>
    <w:rsid w:val="00FE0ACB"/>
    <w:rsid w:val="00FE5BA3"/>
    <w:rsid w:val="00FF07B4"/>
    <w:rsid w:val="00FF1EE0"/>
    <w:rsid w:val="00FF2BE7"/>
    <w:rsid w:val="00FF3521"/>
    <w:rsid w:val="00FF5807"/>
    <w:rsid w:val="079274F7"/>
    <w:rsid w:val="1FC32EFF"/>
    <w:rsid w:val="2B2D0E87"/>
    <w:rsid w:val="3208B904"/>
    <w:rsid w:val="6ADEAB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133D8908-FBCF-4C8B-9AF4-E0F1F457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unhideWhenUsed/>
    <w:rsid w:val="00B55A32"/>
    <w:pPr>
      <w:spacing w:after="0" w:line="240" w:lineRule="auto"/>
    </w:pPr>
    <w:rPr>
      <w:rFonts w:ascii="Calibri" w:eastAsia="SimSun" w:hAnsi="Calibri" w:cs="Arial"/>
      <w:sz w:val="20"/>
      <w:szCs w:val="20"/>
    </w:rPr>
  </w:style>
  <w:style w:type="character" w:customStyle="1" w:styleId="FootnoteTextChar">
    <w:name w:val="Footnote Text Char"/>
    <w:basedOn w:val="DefaultParagraphFont"/>
    <w:link w:val="FootnoteText"/>
    <w:uiPriority w:val="99"/>
    <w:rsid w:val="00B55A32"/>
    <w:rPr>
      <w:rFonts w:ascii="Calibri" w:eastAsia="SimSun" w:hAnsi="Calibri" w:cs="Arial"/>
      <w:sz w:val="20"/>
      <w:szCs w:val="20"/>
    </w:rPr>
  </w:style>
  <w:style w:type="character" w:styleId="FootnoteReference">
    <w:name w:val="footnote reference"/>
    <w:basedOn w:val="DefaultParagraphFont"/>
    <w:uiPriority w:val="99"/>
    <w:semiHidden/>
    <w:unhideWhenUsed/>
    <w:rsid w:val="00B55A32"/>
    <w:rPr>
      <w:vertAlign w:val="superscript"/>
    </w:rPr>
  </w:style>
  <w:style w:type="character" w:styleId="Strong">
    <w:name w:val="Strong"/>
    <w:basedOn w:val="DefaultParagraphFont"/>
    <w:uiPriority w:val="22"/>
    <w:qFormat/>
    <w:rsid w:val="000D03BD"/>
    <w:rPr>
      <w:b/>
      <w:bCs/>
    </w:rPr>
  </w:style>
  <w:style w:type="paragraph" w:styleId="Revision">
    <w:name w:val="Revision"/>
    <w:hidden/>
    <w:uiPriority w:val="99"/>
    <w:semiHidden/>
    <w:rsid w:val="001C6EAD"/>
    <w:pPr>
      <w:spacing w:after="0" w:line="240" w:lineRule="auto"/>
    </w:pPr>
  </w:style>
  <w:style w:type="paragraph" w:customStyle="1" w:styleId="form-control-static">
    <w:name w:val="form-control-static"/>
    <w:basedOn w:val="Normal"/>
    <w:rsid w:val="00F22A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dnoteReference">
    <w:name w:val="endnote reference"/>
    <w:basedOn w:val="DefaultParagraphFont"/>
    <w:uiPriority w:val="99"/>
    <w:semiHidden/>
    <w:unhideWhenUsed/>
    <w:rsid w:val="00AE2B09"/>
    <w:rPr>
      <w:vertAlign w:val="superscript"/>
    </w:rPr>
  </w:style>
  <w:style w:type="character" w:styleId="FollowedHyperlink">
    <w:name w:val="FollowedHyperlink"/>
    <w:basedOn w:val="DefaultParagraphFont"/>
    <w:uiPriority w:val="99"/>
    <w:semiHidden/>
    <w:unhideWhenUsed/>
    <w:rsid w:val="00DC1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9335">
      <w:bodyDiv w:val="1"/>
      <w:marLeft w:val="0"/>
      <w:marRight w:val="0"/>
      <w:marTop w:val="0"/>
      <w:marBottom w:val="0"/>
      <w:divBdr>
        <w:top w:val="none" w:sz="0" w:space="0" w:color="auto"/>
        <w:left w:val="none" w:sz="0" w:space="0" w:color="auto"/>
        <w:bottom w:val="none" w:sz="0" w:space="0" w:color="auto"/>
        <w:right w:val="none" w:sz="0" w:space="0" w:color="auto"/>
      </w:divBdr>
    </w:div>
    <w:div w:id="312948279">
      <w:bodyDiv w:val="1"/>
      <w:marLeft w:val="0"/>
      <w:marRight w:val="0"/>
      <w:marTop w:val="0"/>
      <w:marBottom w:val="0"/>
      <w:divBdr>
        <w:top w:val="none" w:sz="0" w:space="0" w:color="auto"/>
        <w:left w:val="none" w:sz="0" w:space="0" w:color="auto"/>
        <w:bottom w:val="none" w:sz="0" w:space="0" w:color="auto"/>
        <w:right w:val="none" w:sz="0" w:space="0" w:color="auto"/>
      </w:divBdr>
    </w:div>
    <w:div w:id="337194900">
      <w:bodyDiv w:val="1"/>
      <w:marLeft w:val="0"/>
      <w:marRight w:val="0"/>
      <w:marTop w:val="0"/>
      <w:marBottom w:val="0"/>
      <w:divBdr>
        <w:top w:val="none" w:sz="0" w:space="0" w:color="auto"/>
        <w:left w:val="none" w:sz="0" w:space="0" w:color="auto"/>
        <w:bottom w:val="none" w:sz="0" w:space="0" w:color="auto"/>
        <w:right w:val="none" w:sz="0" w:space="0" w:color="auto"/>
      </w:divBdr>
    </w:div>
    <w:div w:id="502596470">
      <w:bodyDiv w:val="1"/>
      <w:marLeft w:val="0"/>
      <w:marRight w:val="0"/>
      <w:marTop w:val="0"/>
      <w:marBottom w:val="0"/>
      <w:divBdr>
        <w:top w:val="none" w:sz="0" w:space="0" w:color="auto"/>
        <w:left w:val="none" w:sz="0" w:space="0" w:color="auto"/>
        <w:bottom w:val="none" w:sz="0" w:space="0" w:color="auto"/>
        <w:right w:val="none" w:sz="0" w:space="0" w:color="auto"/>
      </w:divBdr>
    </w:div>
    <w:div w:id="524171103">
      <w:bodyDiv w:val="1"/>
      <w:marLeft w:val="0"/>
      <w:marRight w:val="0"/>
      <w:marTop w:val="0"/>
      <w:marBottom w:val="0"/>
      <w:divBdr>
        <w:top w:val="none" w:sz="0" w:space="0" w:color="auto"/>
        <w:left w:val="none" w:sz="0" w:space="0" w:color="auto"/>
        <w:bottom w:val="none" w:sz="0" w:space="0" w:color="auto"/>
        <w:right w:val="none" w:sz="0" w:space="0" w:color="auto"/>
      </w:divBdr>
    </w:div>
    <w:div w:id="573009254">
      <w:bodyDiv w:val="1"/>
      <w:marLeft w:val="0"/>
      <w:marRight w:val="0"/>
      <w:marTop w:val="0"/>
      <w:marBottom w:val="0"/>
      <w:divBdr>
        <w:top w:val="none" w:sz="0" w:space="0" w:color="auto"/>
        <w:left w:val="none" w:sz="0" w:space="0" w:color="auto"/>
        <w:bottom w:val="none" w:sz="0" w:space="0" w:color="auto"/>
        <w:right w:val="none" w:sz="0" w:space="0" w:color="auto"/>
      </w:divBdr>
    </w:div>
    <w:div w:id="676155699">
      <w:bodyDiv w:val="1"/>
      <w:marLeft w:val="0"/>
      <w:marRight w:val="0"/>
      <w:marTop w:val="0"/>
      <w:marBottom w:val="0"/>
      <w:divBdr>
        <w:top w:val="none" w:sz="0" w:space="0" w:color="auto"/>
        <w:left w:val="none" w:sz="0" w:space="0" w:color="auto"/>
        <w:bottom w:val="none" w:sz="0" w:space="0" w:color="auto"/>
        <w:right w:val="none" w:sz="0" w:space="0" w:color="auto"/>
      </w:divBdr>
    </w:div>
    <w:div w:id="810902238">
      <w:bodyDiv w:val="1"/>
      <w:marLeft w:val="0"/>
      <w:marRight w:val="0"/>
      <w:marTop w:val="0"/>
      <w:marBottom w:val="0"/>
      <w:divBdr>
        <w:top w:val="none" w:sz="0" w:space="0" w:color="auto"/>
        <w:left w:val="none" w:sz="0" w:space="0" w:color="auto"/>
        <w:bottom w:val="none" w:sz="0" w:space="0" w:color="auto"/>
        <w:right w:val="none" w:sz="0" w:space="0" w:color="auto"/>
      </w:divBdr>
    </w:div>
    <w:div w:id="1007832776">
      <w:bodyDiv w:val="1"/>
      <w:marLeft w:val="0"/>
      <w:marRight w:val="0"/>
      <w:marTop w:val="0"/>
      <w:marBottom w:val="0"/>
      <w:divBdr>
        <w:top w:val="none" w:sz="0" w:space="0" w:color="auto"/>
        <w:left w:val="none" w:sz="0" w:space="0" w:color="auto"/>
        <w:bottom w:val="none" w:sz="0" w:space="0" w:color="auto"/>
        <w:right w:val="none" w:sz="0" w:space="0" w:color="auto"/>
      </w:divBdr>
    </w:div>
    <w:div w:id="104028020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7107376">
      <w:bodyDiv w:val="1"/>
      <w:marLeft w:val="0"/>
      <w:marRight w:val="0"/>
      <w:marTop w:val="0"/>
      <w:marBottom w:val="0"/>
      <w:divBdr>
        <w:top w:val="none" w:sz="0" w:space="0" w:color="auto"/>
        <w:left w:val="none" w:sz="0" w:space="0" w:color="auto"/>
        <w:bottom w:val="none" w:sz="0" w:space="0" w:color="auto"/>
        <w:right w:val="none" w:sz="0" w:space="0" w:color="auto"/>
      </w:divBdr>
      <w:divsChild>
        <w:div w:id="1607423988">
          <w:marLeft w:val="720"/>
          <w:marRight w:val="0"/>
          <w:marTop w:val="0"/>
          <w:marBottom w:val="0"/>
          <w:divBdr>
            <w:top w:val="none" w:sz="0" w:space="0" w:color="auto"/>
            <w:left w:val="none" w:sz="0" w:space="0" w:color="auto"/>
            <w:bottom w:val="none" w:sz="0" w:space="0" w:color="auto"/>
            <w:right w:val="none" w:sz="0" w:space="0" w:color="auto"/>
          </w:divBdr>
        </w:div>
      </w:divsChild>
    </w:div>
    <w:div w:id="1328169766">
      <w:bodyDiv w:val="1"/>
      <w:marLeft w:val="0"/>
      <w:marRight w:val="0"/>
      <w:marTop w:val="0"/>
      <w:marBottom w:val="0"/>
      <w:divBdr>
        <w:top w:val="none" w:sz="0" w:space="0" w:color="auto"/>
        <w:left w:val="none" w:sz="0" w:space="0" w:color="auto"/>
        <w:bottom w:val="none" w:sz="0" w:space="0" w:color="auto"/>
        <w:right w:val="none" w:sz="0" w:space="0" w:color="auto"/>
      </w:divBdr>
    </w:div>
    <w:div w:id="1338927533">
      <w:bodyDiv w:val="1"/>
      <w:marLeft w:val="0"/>
      <w:marRight w:val="0"/>
      <w:marTop w:val="0"/>
      <w:marBottom w:val="0"/>
      <w:divBdr>
        <w:top w:val="none" w:sz="0" w:space="0" w:color="auto"/>
        <w:left w:val="none" w:sz="0" w:space="0" w:color="auto"/>
        <w:bottom w:val="none" w:sz="0" w:space="0" w:color="auto"/>
        <w:right w:val="none" w:sz="0" w:space="0" w:color="auto"/>
      </w:divBdr>
    </w:div>
    <w:div w:id="1447042248">
      <w:bodyDiv w:val="1"/>
      <w:marLeft w:val="0"/>
      <w:marRight w:val="0"/>
      <w:marTop w:val="0"/>
      <w:marBottom w:val="0"/>
      <w:divBdr>
        <w:top w:val="none" w:sz="0" w:space="0" w:color="auto"/>
        <w:left w:val="none" w:sz="0" w:space="0" w:color="auto"/>
        <w:bottom w:val="none" w:sz="0" w:space="0" w:color="auto"/>
        <w:right w:val="none" w:sz="0" w:space="0" w:color="auto"/>
      </w:divBdr>
    </w:div>
    <w:div w:id="1485195329">
      <w:bodyDiv w:val="1"/>
      <w:marLeft w:val="0"/>
      <w:marRight w:val="0"/>
      <w:marTop w:val="0"/>
      <w:marBottom w:val="0"/>
      <w:divBdr>
        <w:top w:val="none" w:sz="0" w:space="0" w:color="auto"/>
        <w:left w:val="none" w:sz="0" w:space="0" w:color="auto"/>
        <w:bottom w:val="none" w:sz="0" w:space="0" w:color="auto"/>
        <w:right w:val="none" w:sz="0" w:space="0" w:color="auto"/>
      </w:divBdr>
    </w:div>
    <w:div w:id="1548369257">
      <w:bodyDiv w:val="1"/>
      <w:marLeft w:val="0"/>
      <w:marRight w:val="0"/>
      <w:marTop w:val="0"/>
      <w:marBottom w:val="0"/>
      <w:divBdr>
        <w:top w:val="none" w:sz="0" w:space="0" w:color="auto"/>
        <w:left w:val="none" w:sz="0" w:space="0" w:color="auto"/>
        <w:bottom w:val="none" w:sz="0" w:space="0" w:color="auto"/>
        <w:right w:val="none" w:sz="0" w:space="0" w:color="auto"/>
      </w:divBdr>
    </w:div>
    <w:div w:id="1698003343">
      <w:bodyDiv w:val="1"/>
      <w:marLeft w:val="0"/>
      <w:marRight w:val="0"/>
      <w:marTop w:val="0"/>
      <w:marBottom w:val="0"/>
      <w:divBdr>
        <w:top w:val="none" w:sz="0" w:space="0" w:color="auto"/>
        <w:left w:val="none" w:sz="0" w:space="0" w:color="auto"/>
        <w:bottom w:val="none" w:sz="0" w:space="0" w:color="auto"/>
        <w:right w:val="none" w:sz="0" w:space="0" w:color="auto"/>
      </w:divBdr>
    </w:div>
    <w:div w:id="1967471653">
      <w:bodyDiv w:val="1"/>
      <w:marLeft w:val="0"/>
      <w:marRight w:val="0"/>
      <w:marTop w:val="0"/>
      <w:marBottom w:val="0"/>
      <w:divBdr>
        <w:top w:val="none" w:sz="0" w:space="0" w:color="auto"/>
        <w:left w:val="none" w:sz="0" w:space="0" w:color="auto"/>
        <w:bottom w:val="none" w:sz="0" w:space="0" w:color="auto"/>
        <w:right w:val="none" w:sz="0" w:space="0" w:color="auto"/>
      </w:divBdr>
    </w:div>
    <w:div w:id="2090729928">
      <w:bodyDiv w:val="1"/>
      <w:marLeft w:val="0"/>
      <w:marRight w:val="0"/>
      <w:marTop w:val="0"/>
      <w:marBottom w:val="0"/>
      <w:divBdr>
        <w:top w:val="none" w:sz="0" w:space="0" w:color="auto"/>
        <w:left w:val="none" w:sz="0" w:space="0" w:color="auto"/>
        <w:bottom w:val="none" w:sz="0" w:space="0" w:color="auto"/>
        <w:right w:val="none" w:sz="0" w:space="0" w:color="auto"/>
      </w:divBdr>
      <w:divsChild>
        <w:div w:id="4601959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class/revisions/coicop_revision.asp" TargetMode="External"/><Relationship Id="rId18" Type="http://schemas.openxmlformats.org/officeDocument/2006/relationships/hyperlink" Target="mailto:uhc_stats@who.int" TargetMode="External"/><Relationship Id="rId26" Type="http://schemas.openxmlformats.org/officeDocument/2006/relationships/hyperlink" Target="https://www.ncbi.nlm.nih.gov/pmc/articles/PMC6154073/pdf/BLT.18.209031.pdf/" TargetMode="External"/><Relationship Id="rId3" Type="http://schemas.openxmlformats.org/officeDocument/2006/relationships/customXml" Target="../customXml/item3.xml"/><Relationship Id="rId21" Type="http://schemas.openxmlformats.org/officeDocument/2006/relationships/hyperlink" Target="https://data.who.int/indicators/i/4934B28" TargetMode="External"/><Relationship Id="rId7" Type="http://schemas.openxmlformats.org/officeDocument/2006/relationships/settings" Target="settings.xml"/><Relationship Id="rId12" Type="http://schemas.openxmlformats.org/officeDocument/2006/relationships/hyperlink" Target="http://www.oecd-ilibrary.org/social-issues-migration-health/a-system-of-health-accounts/classification-of-health-care-financing-schemes-icha-hf_9789264116016-9-en" TargetMode="External"/><Relationship Id="rId17" Type="http://schemas.openxmlformats.org/officeDocument/2006/relationships/hyperlink" Target="https://cdn.who.int/media/docs/default-source/health-financing/sustainable-health-financing-universal-coverage-and-social-health-insurance.pdf?sfvrsn=f8358323_3" TargetMode="External"/><Relationship Id="rId25" Type="http://schemas.openxmlformats.org/officeDocument/2006/relationships/hyperlink" Target="https://elibrary.worldbank.org/doi/epdf/10.1596/1813-9450-6861" TargetMode="External"/><Relationship Id="rId2" Type="http://schemas.openxmlformats.org/officeDocument/2006/relationships/customXml" Target="../customXml/item2.xml"/><Relationship Id="rId16" Type="http://schemas.openxmlformats.org/officeDocument/2006/relationships/hyperlink" Target="http://unstats.un.org/unsd/cr/registry/regcs.asp?Cl=5&amp;Lg=1&amp;Co=06.1" TargetMode="External"/><Relationship Id="rId20" Type="http://schemas.openxmlformats.org/officeDocument/2006/relationships/hyperlink" Target="https://data.who.int/indicators/i/A65146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health-accounts/methodology/en/" TargetMode="External"/><Relationship Id="rId24" Type="http://schemas.openxmlformats.org/officeDocument/2006/relationships/hyperlink" Target="https://www.who.int/teams/health-systems-governance-and-financing/global-monitoring-report" TargetMode="External"/><Relationship Id="rId5" Type="http://schemas.openxmlformats.org/officeDocument/2006/relationships/numbering" Target="numbering.xml"/><Relationship Id="rId15" Type="http://schemas.openxmlformats.org/officeDocument/2006/relationships/hyperlink" Target="https://unstats.un.org/unsd/class/revisions/coicop_revision.asp" TargetMode="External"/><Relationship Id="rId23" Type="http://schemas.openxmlformats.org/officeDocument/2006/relationships/hyperlink" Target="http://datatopics.worldbank.org/universal-health-coverag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ho.int/data/gho/data/themes/topics/financial-protectio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stats.un.org/unsd/cr/registry/regcs.asp?Cl=5&amp;Lg=1&amp;Co=06.1" TargetMode="External"/><Relationship Id="rId22" Type="http://schemas.openxmlformats.org/officeDocument/2006/relationships/hyperlink" Target="https://datatopics.worldbank.org/universal-health-coverage/" TargetMode="External"/><Relationship Id="rId27" Type="http://schemas.openxmlformats.org/officeDocument/2006/relationships/hyperlink" Target="https://iris.who.int/handle/10665/311654" TargetMode="Externa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www.who.int/healthinfo/indicators/2015/en/" TargetMode="External"/><Relationship Id="rId13" Type="http://schemas.openxmlformats.org/officeDocument/2006/relationships/hyperlink" Target="https://datacatalog.worldbank.org/dataset/world-development-indicators" TargetMode="External"/><Relationship Id="rId18" Type="http://schemas.openxmlformats.org/officeDocument/2006/relationships/hyperlink" Target="https://datacatalog.worldbank.org/search/dataset/0037712/world-development-indicators" TargetMode="External"/><Relationship Id="rId3" Type="http://schemas.openxmlformats.org/officeDocument/2006/relationships/hyperlink" Target="http://unstats.un.org/unsd/cr/registry/regcs.asp?Cl=5&amp;Lg=1&amp;Co=06.1" TargetMode="External"/><Relationship Id="rId7" Type="http://schemas.openxmlformats.org/officeDocument/2006/relationships/hyperlink" Target="http://unstats.un.org/sdgs/metadata/files/Metadata-01-01-01a.pdf" TargetMode="External"/><Relationship Id="rId12" Type="http://schemas.openxmlformats.org/officeDocument/2006/relationships/hyperlink" Target="https://pip.worldbank.org/home" TargetMode="External"/><Relationship Id="rId17" Type="http://schemas.openxmlformats.org/officeDocument/2006/relationships/hyperlink" Target="https://pip.worldbank.org/home" TargetMode="External"/><Relationship Id="rId2" Type="http://schemas.openxmlformats.org/officeDocument/2006/relationships/hyperlink" Target="https://unstats.un.org/unsd/statcom/49th-session/documents/" TargetMode="External"/><Relationship Id="rId16" Type="http://schemas.openxmlformats.org/officeDocument/2006/relationships/hyperlink" Target="https://apps.who.int/nha/database/Select/Indicators/en" TargetMode="External"/><Relationship Id="rId1" Type="http://schemas.openxmlformats.org/officeDocument/2006/relationships/hyperlink" Target="http://www.oecd-ilibrary.org/social-issues-migration-health/a-system-of-health-accounts/classification-of-health-care-financing-schemes-icha-hf_9789264116016-9-en" TargetMode="External"/><Relationship Id="rId6" Type="http://schemas.openxmlformats.org/officeDocument/2006/relationships/hyperlink" Target="http://unstats.un.org/sdgs/metadata/files/Metadata-01-01-01a.pdf" TargetMode="External"/><Relationship Id="rId11" Type="http://schemas.openxmlformats.org/officeDocument/2006/relationships/hyperlink" Target="http://www.paho.org/hq/index.php?option=com_content&amp;view=article&amp;id=11065%3A2015-universal-health-coverage-latin-america-caribbean&amp;catid=3316%3Apublications&amp;Itemid=3562&amp;lang=en" TargetMode="External"/><Relationship Id="rId5" Type="http://schemas.openxmlformats.org/officeDocument/2006/relationships/hyperlink" Target="http://www.ilo.org/public/english/bureau/stat/download/17thicls/r2hies.pdf" TargetMode="External"/><Relationship Id="rId15" Type="http://schemas.openxmlformats.org/officeDocument/2006/relationships/hyperlink" Target="https://pip.worldbank.org/home" TargetMode="External"/><Relationship Id="rId10" Type="http://schemas.openxmlformats.org/officeDocument/2006/relationships/hyperlink" Target="http://apps.searo.who.int/uhc" TargetMode="External"/><Relationship Id="rId19" Type="http://schemas.openxmlformats.org/officeDocument/2006/relationships/hyperlink" Target="https://apps.who.int/nha/database/Select/Indicators/en" TargetMode="External"/><Relationship Id="rId4" Type="http://schemas.openxmlformats.org/officeDocument/2006/relationships/hyperlink" Target="https://documents1.worldbank.org/curated/en/099225003092220001/pdf/P1694340e80f9a00a09b20042de5a9cd47e.pdf" TargetMode="External"/><Relationship Id="rId9" Type="http://schemas.openxmlformats.org/officeDocument/2006/relationships/hyperlink" Target="http://applications.emro.who.int/dsaf/EMROPUB_2016_EN_19169.pdf?ua=1" TargetMode="External"/><Relationship Id="rId14" Type="http://schemas.openxmlformats.org/officeDocument/2006/relationships/hyperlink" Target="https://pip.worldbank.org/ho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5459B1F1-171C-4756-B9FF-BE7DA84B68FE}"/>
      </w:docPartPr>
      <w:docPartBody>
        <w:p w:rsidR="00114088" w:rsidRDefault="00114088">
          <w:r w:rsidRPr="0048776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15Ct0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88"/>
    <w:rsid w:val="00114088"/>
    <w:rsid w:val="00D61C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0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633D573A37E748B5711E085CA839C1" ma:contentTypeVersion="19" ma:contentTypeDescription="Create a new document." ma:contentTypeScope="" ma:versionID="7bcdd7ba106c98814989880f39529d1a">
  <xsd:schema xmlns:xsd="http://www.w3.org/2001/XMLSchema" xmlns:xs="http://www.w3.org/2001/XMLSchema" xmlns:p="http://schemas.microsoft.com/office/2006/metadata/properties" xmlns:ns2="8a3a4255-6eae-4a06-9706-bf2d1132ac65" xmlns:ns3="bbf1994b-767e-44a1-93ea-593a2c62d4b6" targetNamespace="http://schemas.microsoft.com/office/2006/metadata/properties" ma:root="true" ma:fieldsID="cae48ee501171db39a54cd64a0fe3732" ns2:_="" ns3:_="">
    <xsd:import namespace="8a3a4255-6eae-4a06-9706-bf2d1132ac65"/>
    <xsd:import namespace="bbf1994b-767e-44a1-93ea-593a2c62d4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a4255-6eae-4a06-9706-bf2d1132a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f1994b-767e-44a1-93ea-593a2c62d4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5e87aa7-2381-434a-8cad-3a3d8b215259}" ma:internalName="TaxCatchAll" ma:showField="CatchAllData" ma:web="bbf1994b-767e-44a1-93ea-593a2c62d4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bf1994b-767e-44a1-93ea-593a2c62d4b6" xsi:nil="true"/>
    <lcf76f155ced4ddcb4097134ff3c332f xmlns="8a3a4255-6eae-4a06-9706-bf2d1132ac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9B6D07-C9C7-46C0-BC2D-4D255CF6786A}">
  <ds:schemaRefs>
    <ds:schemaRef ds:uri="http://schemas.openxmlformats.org/officeDocument/2006/bibliography"/>
  </ds:schemaRefs>
</ds:datastoreItem>
</file>

<file path=customXml/itemProps2.xml><?xml version="1.0" encoding="utf-8"?>
<ds:datastoreItem xmlns:ds="http://schemas.openxmlformats.org/officeDocument/2006/customXml" ds:itemID="{C3E9D51D-EB1C-4466-A755-934253C84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a4255-6eae-4a06-9706-bf2d1132ac65"/>
    <ds:schemaRef ds:uri="bbf1994b-767e-44a1-93ea-593a2c62d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bbf1994b-767e-44a1-93ea-593a2c62d4b6"/>
    <ds:schemaRef ds:uri="8a3a4255-6eae-4a06-9706-bf2d1132ac65"/>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6042</Words>
  <Characters>37358</Characters>
  <Application>Microsoft Office Word</Application>
  <DocSecurity>0</DocSecurity>
  <Lines>311</Lines>
  <Paragraphs>86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43314</CharactersWithSpaces>
  <SharedDoc>false</SharedDoc>
  <HLinks>
    <vt:vector size="186" baseType="variant">
      <vt:variant>
        <vt:i4>3342385</vt:i4>
      </vt:variant>
      <vt:variant>
        <vt:i4>51</vt:i4>
      </vt:variant>
      <vt:variant>
        <vt:i4>0</vt:i4>
      </vt:variant>
      <vt:variant>
        <vt:i4>5</vt:i4>
      </vt:variant>
      <vt:variant>
        <vt:lpwstr>http://dx.doi.org/10.1016/S2214-109X(17)30429-1</vt:lpwstr>
      </vt:variant>
      <vt:variant>
        <vt:lpwstr/>
      </vt:variant>
      <vt:variant>
        <vt:i4>2883628</vt:i4>
      </vt:variant>
      <vt:variant>
        <vt:i4>48</vt:i4>
      </vt:variant>
      <vt:variant>
        <vt:i4>0</vt:i4>
      </vt:variant>
      <vt:variant>
        <vt:i4>5</vt:i4>
      </vt:variant>
      <vt:variant>
        <vt:lpwstr>https://www.ncbi.nlm.nih.gov/pmc/articles/PMC6154073/pdf/BLT.18.209031.pdf/</vt:lpwstr>
      </vt:variant>
      <vt:variant>
        <vt:lpwstr/>
      </vt:variant>
      <vt:variant>
        <vt:i4>7536765</vt:i4>
      </vt:variant>
      <vt:variant>
        <vt:i4>45</vt:i4>
      </vt:variant>
      <vt:variant>
        <vt:i4>0</vt:i4>
      </vt:variant>
      <vt:variant>
        <vt:i4>5</vt:i4>
      </vt:variant>
      <vt:variant>
        <vt:lpwstr>https://elibrary.worldbank.org/doi/epdf/10.1596/1813-9450-6861</vt:lpwstr>
      </vt:variant>
      <vt:variant>
        <vt:lpwstr/>
      </vt:variant>
      <vt:variant>
        <vt:i4>6291567</vt:i4>
      </vt:variant>
      <vt:variant>
        <vt:i4>42</vt:i4>
      </vt:variant>
      <vt:variant>
        <vt:i4>0</vt:i4>
      </vt:variant>
      <vt:variant>
        <vt:i4>5</vt:i4>
      </vt:variant>
      <vt:variant>
        <vt:lpwstr>https://www.who.int/teams/health-systems-governance-and-financing/global-monitoring-report</vt:lpwstr>
      </vt:variant>
      <vt:variant>
        <vt:lpwstr/>
      </vt:variant>
      <vt:variant>
        <vt:i4>6684711</vt:i4>
      </vt:variant>
      <vt:variant>
        <vt:i4>39</vt:i4>
      </vt:variant>
      <vt:variant>
        <vt:i4>0</vt:i4>
      </vt:variant>
      <vt:variant>
        <vt:i4>5</vt:i4>
      </vt:variant>
      <vt:variant>
        <vt:lpwstr>http://datatopics.worldbank.org/universal-health-coverage/</vt:lpwstr>
      </vt:variant>
      <vt:variant>
        <vt:lpwstr/>
      </vt:variant>
      <vt:variant>
        <vt:i4>4128802</vt:i4>
      </vt:variant>
      <vt:variant>
        <vt:i4>36</vt:i4>
      </vt:variant>
      <vt:variant>
        <vt:i4>0</vt:i4>
      </vt:variant>
      <vt:variant>
        <vt:i4>5</vt:i4>
      </vt:variant>
      <vt:variant>
        <vt:lpwstr>https://datatopics.worldbank.org/universal-health-coverage/</vt:lpwstr>
      </vt:variant>
      <vt:variant>
        <vt:lpwstr/>
      </vt:variant>
      <vt:variant>
        <vt:i4>4390927</vt:i4>
      </vt:variant>
      <vt:variant>
        <vt:i4>33</vt:i4>
      </vt:variant>
      <vt:variant>
        <vt:i4>0</vt:i4>
      </vt:variant>
      <vt:variant>
        <vt:i4>5</vt:i4>
      </vt:variant>
      <vt:variant>
        <vt:lpwstr>https://data.who.int/indicators/i/4934B28</vt:lpwstr>
      </vt:variant>
      <vt:variant>
        <vt:lpwstr/>
      </vt:variant>
      <vt:variant>
        <vt:i4>5046282</vt:i4>
      </vt:variant>
      <vt:variant>
        <vt:i4>30</vt:i4>
      </vt:variant>
      <vt:variant>
        <vt:i4>0</vt:i4>
      </vt:variant>
      <vt:variant>
        <vt:i4>5</vt:i4>
      </vt:variant>
      <vt:variant>
        <vt:lpwstr>https://data.who.int/indicators/i/A65146D</vt:lpwstr>
      </vt:variant>
      <vt:variant>
        <vt:lpwstr/>
      </vt:variant>
      <vt:variant>
        <vt:i4>196625</vt:i4>
      </vt:variant>
      <vt:variant>
        <vt:i4>27</vt:i4>
      </vt:variant>
      <vt:variant>
        <vt:i4>0</vt:i4>
      </vt:variant>
      <vt:variant>
        <vt:i4>5</vt:i4>
      </vt:variant>
      <vt:variant>
        <vt:lpwstr>https://www.who.int/data/gho/data/themes/topics/financial-protection</vt:lpwstr>
      </vt:variant>
      <vt:variant>
        <vt:lpwstr/>
      </vt:variant>
      <vt:variant>
        <vt:i4>1048597</vt:i4>
      </vt:variant>
      <vt:variant>
        <vt:i4>21</vt:i4>
      </vt:variant>
      <vt:variant>
        <vt:i4>0</vt:i4>
      </vt:variant>
      <vt:variant>
        <vt:i4>5</vt:i4>
      </vt:variant>
      <vt:variant>
        <vt:lpwstr>mailto:uhc_stats@who.int</vt:lpwstr>
      </vt:variant>
      <vt:variant>
        <vt:lpwstr/>
      </vt:variant>
      <vt:variant>
        <vt:i4>4390954</vt:i4>
      </vt:variant>
      <vt:variant>
        <vt:i4>18</vt:i4>
      </vt:variant>
      <vt:variant>
        <vt:i4>0</vt:i4>
      </vt:variant>
      <vt:variant>
        <vt:i4>5</vt:i4>
      </vt:variant>
      <vt:variant>
        <vt:lpwstr>https://cdn.who.int/media/docs/default-source/health-financing/sustainable-health-financing-universal-coverage-and-social-health-insurance.pdf?sfvrsn=f8358323_3</vt:lpwstr>
      </vt:variant>
      <vt:variant>
        <vt:lpwstr/>
      </vt:variant>
      <vt:variant>
        <vt:i4>8257652</vt:i4>
      </vt:variant>
      <vt:variant>
        <vt:i4>15</vt:i4>
      </vt:variant>
      <vt:variant>
        <vt:i4>0</vt:i4>
      </vt:variant>
      <vt:variant>
        <vt:i4>5</vt:i4>
      </vt:variant>
      <vt:variant>
        <vt:lpwstr>http://unstats.un.org/unsd/cr/registry/regcs.asp?Cl=5&amp;Lg=1&amp;Co=06.1</vt:lpwstr>
      </vt:variant>
      <vt:variant>
        <vt:lpwstr/>
      </vt:variant>
      <vt:variant>
        <vt:i4>3342354</vt:i4>
      </vt:variant>
      <vt:variant>
        <vt:i4>12</vt:i4>
      </vt:variant>
      <vt:variant>
        <vt:i4>0</vt:i4>
      </vt:variant>
      <vt:variant>
        <vt:i4>5</vt:i4>
      </vt:variant>
      <vt:variant>
        <vt:lpwstr>https://unstats.un.org/unsd/class/revisions/coicop_revision.asp</vt:lpwstr>
      </vt:variant>
      <vt:variant>
        <vt:lpwstr/>
      </vt:variant>
      <vt:variant>
        <vt:i4>8257652</vt:i4>
      </vt:variant>
      <vt:variant>
        <vt:i4>9</vt:i4>
      </vt:variant>
      <vt:variant>
        <vt:i4>0</vt:i4>
      </vt:variant>
      <vt:variant>
        <vt:i4>5</vt:i4>
      </vt:variant>
      <vt:variant>
        <vt:lpwstr>http://unstats.un.org/unsd/cr/registry/regcs.asp?Cl=5&amp;Lg=1&amp;Co=06.1</vt:lpwstr>
      </vt:variant>
      <vt:variant>
        <vt:lpwstr/>
      </vt:variant>
      <vt:variant>
        <vt:i4>3342354</vt:i4>
      </vt:variant>
      <vt:variant>
        <vt:i4>6</vt:i4>
      </vt:variant>
      <vt:variant>
        <vt:i4>0</vt:i4>
      </vt:variant>
      <vt:variant>
        <vt:i4>5</vt:i4>
      </vt:variant>
      <vt:variant>
        <vt:lpwstr>https://unstats.un.org/unsd/class/revisions/coicop_revision.asp</vt:lpwstr>
      </vt:variant>
      <vt:variant>
        <vt:lpwstr/>
      </vt:variant>
      <vt:variant>
        <vt:i4>1310819</vt:i4>
      </vt:variant>
      <vt:variant>
        <vt:i4>3</vt:i4>
      </vt:variant>
      <vt:variant>
        <vt:i4>0</vt:i4>
      </vt:variant>
      <vt:variant>
        <vt:i4>5</vt:i4>
      </vt:variant>
      <vt:variant>
        <vt:lpwstr>http://www.oecd-ilibrary.org/social-issues-migration-health/a-system-of-health-accounts/classification-of-health-care-financing-schemes-icha-hf_9789264116016-9-en</vt:lpwstr>
      </vt:variant>
      <vt:variant>
        <vt:lpwstr/>
      </vt:variant>
      <vt:variant>
        <vt:i4>2752569</vt:i4>
      </vt:variant>
      <vt:variant>
        <vt:i4>0</vt:i4>
      </vt:variant>
      <vt:variant>
        <vt:i4>0</vt:i4>
      </vt:variant>
      <vt:variant>
        <vt:i4>5</vt:i4>
      </vt:variant>
      <vt:variant>
        <vt:lpwstr>http://www.who.int/health-accounts/methodology/en/</vt:lpwstr>
      </vt:variant>
      <vt:variant>
        <vt:lpwstr/>
      </vt:variant>
      <vt:variant>
        <vt:i4>7012471</vt:i4>
      </vt:variant>
      <vt:variant>
        <vt:i4>63</vt:i4>
      </vt:variant>
      <vt:variant>
        <vt:i4>0</vt:i4>
      </vt:variant>
      <vt:variant>
        <vt:i4>5</vt:i4>
      </vt:variant>
      <vt:variant>
        <vt:lpwstr>https://apps.who.int/nha/database/Select/Indicators/en</vt:lpwstr>
      </vt:variant>
      <vt:variant>
        <vt:lpwstr/>
      </vt:variant>
      <vt:variant>
        <vt:i4>7012471</vt:i4>
      </vt:variant>
      <vt:variant>
        <vt:i4>60</vt:i4>
      </vt:variant>
      <vt:variant>
        <vt:i4>0</vt:i4>
      </vt:variant>
      <vt:variant>
        <vt:i4>5</vt:i4>
      </vt:variant>
      <vt:variant>
        <vt:lpwstr>https://apps.who.int/nha/database/Select/Indicators/en</vt:lpwstr>
      </vt:variant>
      <vt:variant>
        <vt:lpwstr/>
      </vt:variant>
      <vt:variant>
        <vt:i4>2097190</vt:i4>
      </vt:variant>
      <vt:variant>
        <vt:i4>48</vt:i4>
      </vt:variant>
      <vt:variant>
        <vt:i4>0</vt:i4>
      </vt:variant>
      <vt:variant>
        <vt:i4>5</vt:i4>
      </vt:variant>
      <vt:variant>
        <vt:lpwstr>https://pip.worldbank.org/home</vt:lpwstr>
      </vt:variant>
      <vt:variant>
        <vt:lpwstr/>
      </vt:variant>
      <vt:variant>
        <vt:i4>6422530</vt:i4>
      </vt:variant>
      <vt:variant>
        <vt:i4>30</vt:i4>
      </vt:variant>
      <vt:variant>
        <vt:i4>0</vt:i4>
      </vt:variant>
      <vt:variant>
        <vt:i4>5</vt:i4>
      </vt:variant>
      <vt:variant>
        <vt:lpwstr>http://www.paho.org/hq/index.php?option=com_content&amp;view=article&amp;id=11065%3A2015-universal-health-coverage-latin-america-caribbean&amp;catid=3316%3Apublications&amp;Itemid=3562&amp;lang=en</vt:lpwstr>
      </vt:variant>
      <vt:variant>
        <vt:lpwstr/>
      </vt:variant>
      <vt:variant>
        <vt:i4>4325383</vt:i4>
      </vt:variant>
      <vt:variant>
        <vt:i4>27</vt:i4>
      </vt:variant>
      <vt:variant>
        <vt:i4>0</vt:i4>
      </vt:variant>
      <vt:variant>
        <vt:i4>5</vt:i4>
      </vt:variant>
      <vt:variant>
        <vt:lpwstr>http://apps.searo.who.int/uhc</vt:lpwstr>
      </vt:variant>
      <vt:variant>
        <vt:lpwstr/>
      </vt:variant>
      <vt:variant>
        <vt:i4>524389</vt:i4>
      </vt:variant>
      <vt:variant>
        <vt:i4>24</vt:i4>
      </vt:variant>
      <vt:variant>
        <vt:i4>0</vt:i4>
      </vt:variant>
      <vt:variant>
        <vt:i4>5</vt:i4>
      </vt:variant>
      <vt:variant>
        <vt:lpwstr>http://applications.emro.who.int/dsaf/EMROPUB_2016_EN_19169.pdf?ua=1</vt:lpwstr>
      </vt:variant>
      <vt:variant>
        <vt:lpwstr/>
      </vt:variant>
      <vt:variant>
        <vt:i4>6225920</vt:i4>
      </vt:variant>
      <vt:variant>
        <vt:i4>21</vt:i4>
      </vt:variant>
      <vt:variant>
        <vt:i4>0</vt:i4>
      </vt:variant>
      <vt:variant>
        <vt:i4>5</vt:i4>
      </vt:variant>
      <vt:variant>
        <vt:lpwstr>http://www.euro.who.int/en/health-topics/Health-systems/health-systems-financing/publications/clusters/universal-health-coverage-financial-protection</vt:lpwstr>
      </vt:variant>
      <vt:variant>
        <vt:lpwstr/>
      </vt:variant>
      <vt:variant>
        <vt:i4>4915216</vt:i4>
      </vt:variant>
      <vt:variant>
        <vt:i4>18</vt:i4>
      </vt:variant>
      <vt:variant>
        <vt:i4>0</vt:i4>
      </vt:variant>
      <vt:variant>
        <vt:i4>5</vt:i4>
      </vt:variant>
      <vt:variant>
        <vt:lpwstr>http://www.who.int/healthinfo/indicators/2015/en/</vt:lpwstr>
      </vt:variant>
      <vt:variant>
        <vt:lpwstr/>
      </vt:variant>
      <vt:variant>
        <vt:i4>4456474</vt:i4>
      </vt:variant>
      <vt:variant>
        <vt:i4>15</vt:i4>
      </vt:variant>
      <vt:variant>
        <vt:i4>0</vt:i4>
      </vt:variant>
      <vt:variant>
        <vt:i4>5</vt:i4>
      </vt:variant>
      <vt:variant>
        <vt:lpwstr>http://unstats.un.org/sdgs/metadata/files/Metadata-01-01-01a.pdf</vt:lpwstr>
      </vt:variant>
      <vt:variant>
        <vt:lpwstr/>
      </vt:variant>
      <vt:variant>
        <vt:i4>4456474</vt:i4>
      </vt:variant>
      <vt:variant>
        <vt:i4>12</vt:i4>
      </vt:variant>
      <vt:variant>
        <vt:i4>0</vt:i4>
      </vt:variant>
      <vt:variant>
        <vt:i4>5</vt:i4>
      </vt:variant>
      <vt:variant>
        <vt:lpwstr>http://unstats.un.org/sdgs/metadata/files/Metadata-01-01-01a.pdf</vt:lpwstr>
      </vt:variant>
      <vt:variant>
        <vt:lpwstr/>
      </vt:variant>
      <vt:variant>
        <vt:i4>2883619</vt:i4>
      </vt:variant>
      <vt:variant>
        <vt:i4>9</vt:i4>
      </vt:variant>
      <vt:variant>
        <vt:i4>0</vt:i4>
      </vt:variant>
      <vt:variant>
        <vt:i4>5</vt:i4>
      </vt:variant>
      <vt:variant>
        <vt:lpwstr>http://www.ilo.org/public/english/bureau/stat/download/17thicls/r2hies.pdf</vt:lpwstr>
      </vt:variant>
      <vt:variant>
        <vt:lpwstr/>
      </vt:variant>
      <vt:variant>
        <vt:i4>8257652</vt:i4>
      </vt:variant>
      <vt:variant>
        <vt:i4>6</vt:i4>
      </vt:variant>
      <vt:variant>
        <vt:i4>0</vt:i4>
      </vt:variant>
      <vt:variant>
        <vt:i4>5</vt:i4>
      </vt:variant>
      <vt:variant>
        <vt:lpwstr>http://unstats.un.org/unsd/cr/registry/regcs.asp?Cl=5&amp;Lg=1&amp;Co=06.1</vt:lpwstr>
      </vt:variant>
      <vt:variant>
        <vt:lpwstr/>
      </vt:variant>
      <vt:variant>
        <vt:i4>8323188</vt:i4>
      </vt:variant>
      <vt:variant>
        <vt:i4>3</vt:i4>
      </vt:variant>
      <vt:variant>
        <vt:i4>0</vt:i4>
      </vt:variant>
      <vt:variant>
        <vt:i4>5</vt:i4>
      </vt:variant>
      <vt:variant>
        <vt:lpwstr>https://unstats.un.org/unsd/statcom/49th-session/documents/</vt:lpwstr>
      </vt:variant>
      <vt:variant>
        <vt:lpwstr/>
      </vt:variant>
      <vt:variant>
        <vt:i4>1310819</vt:i4>
      </vt:variant>
      <vt:variant>
        <vt:i4>0</vt:i4>
      </vt:variant>
      <vt:variant>
        <vt:i4>0</vt:i4>
      </vt:variant>
      <vt:variant>
        <vt:i4>5</vt:i4>
      </vt:variant>
      <vt:variant>
        <vt:lpwstr>http://www.oecd-ilibrary.org/social-issues-migration-health/a-system-of-health-accounts/classification-of-health-care-financing-schemes-icha-hf_9789264116016-9-en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9</cp:revision>
  <cp:lastPrinted>2025-03-31T13:41:00Z</cp:lastPrinted>
  <dcterms:created xsi:type="dcterms:W3CDTF">2025-03-31T13:26:00Z</dcterms:created>
  <dcterms:modified xsi:type="dcterms:W3CDTF">2025-07-14T16:04:00Z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0x010100EF633D573A37E748B5711E085CA839C1</vt:lpwstr>
  </property>
  <property fmtid="{D5CDD505-2E9C-101B-9397-08002B2CF9AE}" pid="3" name="MediaServiceImageTags">
    <vt:lpwstr/>
  </property>
  <property fmtid="{D5CDD505-2E9C-101B-9397-08002B2CF9AE}" pid="4" name="GrammarlyDocumentId">
    <vt:lpwstr>4a4bfe6e96dc06dc4ca5b5c0ed6fcc1d2cc812a8cafc78bb972f7600e9b59699</vt:lpwstr>
  </property>
</Properties>
</file>