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jc w:val="center"/>
        <w:rPr>
          <w:rFonts w:cs="Calibri"/>
        </w:rPr>
      </w:pPr>
      <w:r w:rsidRPr="00A96255">
        <w:rPr>
          <w:rFonts w:cs="Calibri"/>
          <w:color w:val="1C75BC"/>
          <w:sz w:val="36"/>
          <w:szCs w:val="36"/>
        </w:rPr>
        <w:t>SDG indicator metadata</w:t>
      </w:r>
    </w:p>
    <w:p w14:paraId="129054E9" w14:textId="2E583254" w:rsidR="006C4BFD" w:rsidRPr="00A96255" w:rsidRDefault="002C2510" w:rsidP="006C4BFD">
      <w:pPr>
        <w:jc w:val="center"/>
        <w:rPr>
          <w:rFonts w:cs="Calibri"/>
          <w:b/>
          <w:bCs/>
          <w:color w:val="4A4A4A"/>
          <w:sz w:val="21"/>
          <w:szCs w:val="21"/>
        </w:rPr>
      </w:pPr>
      <w:r w:rsidRPr="00A96255">
        <w:rPr>
          <w:rFonts w:cs="Calibri"/>
          <w:b/>
          <w:bCs/>
          <w:color w:val="4A4A4A"/>
          <w:sz w:val="21"/>
          <w:szCs w:val="21"/>
        </w:rPr>
        <w:t>(Harmonized metadata template - format version 1.1)</w:t>
      </w:r>
    </w:p>
    <w:p w14:paraId="773F63CF" w14:textId="77777777" w:rsidR="006C4BFD" w:rsidRPr="00A96255" w:rsidRDefault="006C4BFD" w:rsidP="006C4BFD">
      <w:pPr>
        <w:rPr>
          <w:b/>
          <w:bCs/>
          <w:color w:val="4A4A4A"/>
          <w:sz w:val="21"/>
          <w:szCs w:val="21"/>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28CA5F29" w14:textId="56680AF4" w:rsidR="3F36BF5F" w:rsidRDefault="3F36BF5F" w:rsidP="200B6CFF">
      <w:pPr>
        <w:pStyle w:val="MIndHeader"/>
        <w:rPr>
          <w:rFonts w:ascii="Calibri" w:hAnsi="Calibri"/>
          <w:sz w:val="21"/>
          <w:szCs w:val="21"/>
        </w:rPr>
      </w:pPr>
      <w:r w:rsidRPr="200B6CFF">
        <w:rPr>
          <w:rFonts w:ascii="Calibri" w:eastAsia="Calibri" w:hAnsi="Calibri" w:cs="Calibri"/>
          <w:color w:val="444444"/>
          <w:sz w:val="21"/>
          <w:szCs w:val="21"/>
        </w:rPr>
        <w:t>Goal 3: Ensure healthy lives and promote well-being for all at all ages</w:t>
      </w:r>
    </w:p>
    <w:p w14:paraId="084142D2" w14:textId="6ACC2DBA" w:rsidR="00D24330" w:rsidRPr="00A96255" w:rsidRDefault="00D24330" w:rsidP="00D24330">
      <w:pPr>
        <w:pStyle w:val="MIndHeader"/>
      </w:pPr>
      <w:r>
        <w:t xml:space="preserve">0.b. Target </w:t>
      </w:r>
      <w:r>
        <w:rPr>
          <w:color w:val="B4B4B4"/>
          <w:sz w:val="20"/>
        </w:rPr>
        <w:t>(SDG_TARGET)</w:t>
      </w:r>
    </w:p>
    <w:p w14:paraId="0CB620B0" w14:textId="79D40FEC" w:rsidR="04C32A85" w:rsidRDefault="04C32A85" w:rsidP="200B6CFF">
      <w:pPr>
        <w:pStyle w:val="MIndHeader"/>
        <w:rPr>
          <w:rFonts w:ascii="Calibri" w:hAnsi="Calibri"/>
          <w:sz w:val="21"/>
          <w:szCs w:val="21"/>
        </w:rPr>
      </w:pPr>
      <w:r w:rsidRPr="200B6CFF">
        <w:rPr>
          <w:rFonts w:ascii="Calibri" w:eastAsia="Calibri" w:hAnsi="Calibri" w:cs="Calibri"/>
          <w:color w:val="444444"/>
          <w:sz w:val="21"/>
          <w:szCs w:val="21"/>
        </w:rPr>
        <w:t>Target 3.9: By 2030, substantially reduce the number of deaths and illnesses from hazardous chemicals and air, water and soil pollution and contamination</w:t>
      </w:r>
    </w:p>
    <w:p w14:paraId="3E67E7E0" w14:textId="44ACF477" w:rsidR="00D24330" w:rsidRPr="00A96255" w:rsidRDefault="00D24330" w:rsidP="00D24330">
      <w:pPr>
        <w:pStyle w:val="MIndHeader"/>
      </w:pPr>
      <w:r w:rsidRPr="00A96255">
        <w:t xml:space="preserve">0.c. Indicator </w:t>
      </w:r>
      <w:r>
        <w:rPr>
          <w:color w:val="B4B4B4"/>
          <w:sz w:val="20"/>
        </w:rPr>
        <w:t>(SDG_INDICATOR)</w:t>
      </w:r>
    </w:p>
    <w:p w14:paraId="3D246126" w14:textId="77777777" w:rsidR="008E2462" w:rsidRDefault="008E2462" w:rsidP="00D24330">
      <w:pPr>
        <w:pStyle w:val="MIndHeader"/>
        <w:rPr>
          <w:color w:val="333333"/>
          <w:sz w:val="21"/>
          <w:szCs w:val="21"/>
        </w:rPr>
      </w:pPr>
      <w:r w:rsidRPr="008E2462">
        <w:rPr>
          <w:color w:val="333333"/>
          <w:sz w:val="21"/>
          <w:szCs w:val="21"/>
        </w:rPr>
        <w:t xml:space="preserve">Indicator 3.9.2: Mortality rate attributed to unsafe water, unsafe </w:t>
      </w:r>
      <w:proofErr w:type="gramStart"/>
      <w:r w:rsidRPr="008E2462">
        <w:rPr>
          <w:color w:val="333333"/>
          <w:sz w:val="21"/>
          <w:szCs w:val="21"/>
        </w:rPr>
        <w:t>sanitation</w:t>
      </w:r>
      <w:proofErr w:type="gramEnd"/>
      <w:r w:rsidRPr="008E2462">
        <w:rPr>
          <w:color w:val="333333"/>
          <w:sz w:val="21"/>
          <w:szCs w:val="21"/>
        </w:rPr>
        <w:t xml:space="preserve"> and lack of hygiene (exposure to unsafe Water, Sanitation and Hygiene for All (WASH) services) </w:t>
      </w:r>
    </w:p>
    <w:p w14:paraId="37E5E4F6" w14:textId="3D31DE27" w:rsidR="00D24330" w:rsidRPr="00D60653" w:rsidRDefault="00D24330" w:rsidP="00D24330">
      <w:pPr>
        <w:pStyle w:val="MIndHeader"/>
        <w:rPr>
          <w:lang w:val="en-US"/>
        </w:rPr>
      </w:pPr>
      <w:r w:rsidRPr="00D60653">
        <w:rPr>
          <w:lang w:val="en-US"/>
        </w:rPr>
        <w:t xml:space="preserve">0.d. Series </w:t>
      </w:r>
      <w:r>
        <w:rPr>
          <w:color w:val="B4B4B4"/>
          <w:sz w:val="20"/>
        </w:rPr>
        <w:t>(SDG_SERIES_DESCR)</w:t>
      </w:r>
    </w:p>
    <w:p w14:paraId="07158A23" w14:textId="533FF2A0" w:rsidR="000B2B22" w:rsidRPr="00D60653" w:rsidRDefault="00A67945" w:rsidP="00D60653">
      <w:pPr>
        <w:pStyle w:val="MGTHeader"/>
        <w:rPr>
          <w:lang w:val="en-US"/>
        </w:rPr>
      </w:pPr>
      <w:r w:rsidRPr="00D60653">
        <w:rPr>
          <w:lang w:val="en-US"/>
        </w:rPr>
        <w:t>N</w:t>
      </w:r>
      <w:r w:rsidR="00C10F44" w:rsidRPr="00D60653">
        <w:rPr>
          <w:lang w:val="en-US"/>
        </w:rPr>
        <w:t>ot applicable</w:t>
      </w:r>
    </w:p>
    <w:p w14:paraId="157DACE7" w14:textId="10D2EE88" w:rsidR="00D24330" w:rsidRPr="00D60653" w:rsidRDefault="00D24330" w:rsidP="00D24330">
      <w:pPr>
        <w:pStyle w:val="MIndHeader"/>
        <w:rPr>
          <w:lang w:val="en-US"/>
        </w:rPr>
      </w:pPr>
      <w:r w:rsidRPr="00D60653">
        <w:rPr>
          <w:lang w:val="en-US"/>
        </w:rPr>
        <w:t xml:space="preserve">0.e. Metadata update </w:t>
      </w:r>
      <w:r>
        <w:rPr>
          <w:color w:val="B4B4B4"/>
          <w:sz w:val="20"/>
        </w:rPr>
        <w:t>(META_LAST_UPDATE)</w:t>
      </w:r>
    </w:p>
    <w:sdt>
      <w:sdtPr>
        <w:rPr>
          <w:lang w:val="en-US"/>
        </w:rPr>
        <w:id w:val="-1548447118"/>
        <w:placeholder>
          <w:docPart w:val="DefaultPlaceholder_-1854013437"/>
        </w:placeholder>
        <w:date w:fullDate="2022-07-07T00:00:00Z">
          <w:dateFormat w:val="yyyy-MM-dd"/>
          <w:lid w:val="en-US"/>
          <w:storeMappedDataAs w:val="dateTime"/>
          <w:calendar w:val="gregorian"/>
        </w:date>
      </w:sdtPr>
      <w:sdtContent>
        <w:p w14:paraId="03424B60" w14:textId="7BF600C9" w:rsidR="00D24330" w:rsidRPr="00D60653" w:rsidRDefault="006D4BDD" w:rsidP="00D24330">
          <w:pPr>
            <w:pStyle w:val="MGTHeader"/>
            <w:rPr>
              <w:lang w:val="en-US"/>
            </w:rPr>
          </w:pPr>
          <w:r>
            <w:rPr>
              <w:lang w:val="en-US"/>
            </w:rPr>
            <w:t>2022-07-07</w:t>
          </w:r>
        </w:p>
      </w:sdtContent>
    </w:sdt>
    <w:p w14:paraId="415C9FF1" w14:textId="0BC41CA3" w:rsidR="00D24330" w:rsidRPr="00A96255" w:rsidRDefault="00D24330" w:rsidP="00D24330">
      <w:pPr>
        <w:pStyle w:val="MIndHeader"/>
      </w:pPr>
      <w:r w:rsidRPr="00A96255">
        <w:t xml:space="preserve">0.f. Related indicators </w:t>
      </w:r>
      <w:r>
        <w:rPr>
          <w:color w:val="B4B4B4"/>
          <w:sz w:val="20"/>
        </w:rPr>
        <w:t>(SDG_RELATED_INDICATORS)</w:t>
      </w:r>
    </w:p>
    <w:p w14:paraId="316E5EF3" w14:textId="06B01B31" w:rsidR="00A7456E" w:rsidRDefault="00A7456E" w:rsidP="00DA4843">
      <w:pPr>
        <w:pStyle w:val="MIndHeader"/>
        <w:rPr>
          <w:rStyle w:val="eop"/>
          <w:rFonts w:ascii="Calibri" w:hAnsi="Calibri" w:cs="Calibri"/>
          <w:color w:val="4A4A4A"/>
          <w:sz w:val="21"/>
          <w:szCs w:val="21"/>
        </w:rPr>
      </w:pPr>
      <w:r>
        <w:rPr>
          <w:rStyle w:val="normaltextrun"/>
          <w:rFonts w:ascii="Calibri" w:hAnsi="Calibri" w:cs="Calibri"/>
          <w:color w:val="4A4A4A"/>
          <w:sz w:val="21"/>
          <w:szCs w:val="21"/>
        </w:rPr>
        <w:t>Indicator</w:t>
      </w:r>
      <w:r w:rsidR="00D60653">
        <w:rPr>
          <w:rStyle w:val="normaltextrun"/>
          <w:rFonts w:ascii="Calibri" w:hAnsi="Calibri" w:cs="Calibri"/>
          <w:color w:val="4A4A4A"/>
          <w:sz w:val="21"/>
          <w:szCs w:val="21"/>
        </w:rPr>
        <w:t xml:space="preserve"> </w:t>
      </w:r>
      <w:r>
        <w:rPr>
          <w:rStyle w:val="normaltextrun"/>
          <w:rFonts w:ascii="Calibri" w:hAnsi="Calibri" w:cs="Calibri"/>
          <w:color w:val="4A4A4A"/>
          <w:sz w:val="21"/>
          <w:szCs w:val="21"/>
        </w:rPr>
        <w:t>7.1.2</w:t>
      </w:r>
      <w:r>
        <w:rPr>
          <w:rStyle w:val="normaltextrun"/>
          <w:color w:val="4A4A4A"/>
          <w:sz w:val="21"/>
          <w:szCs w:val="21"/>
        </w:rPr>
        <w:t>:</w:t>
      </w:r>
      <w:r w:rsidR="00D60653">
        <w:rPr>
          <w:rStyle w:val="normaltextrun"/>
          <w:color w:val="4A4A4A"/>
          <w:sz w:val="21"/>
          <w:szCs w:val="21"/>
        </w:rPr>
        <w:t xml:space="preserve"> </w:t>
      </w:r>
      <w:r>
        <w:rPr>
          <w:rStyle w:val="normaltextrun"/>
          <w:rFonts w:ascii="Calibri" w:hAnsi="Calibri" w:cs="Calibri"/>
          <w:color w:val="4A4A4A"/>
          <w:sz w:val="21"/>
          <w:szCs w:val="21"/>
        </w:rPr>
        <w:t>Proportion of population with primary reliance on clean fuels and technology</w:t>
      </w:r>
      <w:r>
        <w:rPr>
          <w:rStyle w:val="eop"/>
          <w:rFonts w:ascii="Calibri" w:hAnsi="Calibri" w:cs="Calibri"/>
          <w:color w:val="4A4A4A"/>
          <w:sz w:val="21"/>
          <w:szCs w:val="21"/>
        </w:rPr>
        <w:t> </w:t>
      </w:r>
    </w:p>
    <w:p w14:paraId="077BC49E" w14:textId="5E4C5539"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3BAFB22C" w:rsidR="008D1D39" w:rsidRDefault="008E2462" w:rsidP="00DA4843">
      <w:pPr>
        <w:pStyle w:val="MGTHeader"/>
        <w:rPr>
          <w:rStyle w:val="eop"/>
          <w:rFonts w:ascii="Calibri" w:hAnsi="Calibri" w:cs="Calibri"/>
          <w:color w:val="4A4A4A"/>
        </w:rPr>
      </w:pPr>
      <w:r>
        <w:rPr>
          <w:rStyle w:val="normaltextrun"/>
          <w:rFonts w:ascii="Calibri" w:hAnsi="Calibri" w:cs="Calibri"/>
          <w:color w:val="4A4A4A"/>
        </w:rPr>
        <w:t>World Health Organization (WHO)</w:t>
      </w:r>
    </w:p>
    <w:p w14:paraId="5E531D52" w14:textId="77777777" w:rsidR="00DA4843" w:rsidRPr="00A96255" w:rsidRDefault="00DA4843" w:rsidP="00573631">
      <w:pPr>
        <w:shd w:val="clear" w:color="auto" w:fill="FFFFFF"/>
        <w:rPr>
          <w:color w:val="4A4A4A"/>
          <w:sz w:val="21"/>
          <w:szCs w:val="21"/>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B0D4244" w:rsidR="00F719A8" w:rsidRDefault="008E2462"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76B42941" w14:textId="77777777" w:rsidR="008E2462" w:rsidRDefault="008E2462"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A7EF6DD" w14:textId="77777777"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D3025D7" w14:textId="612A476E" w:rsidR="00054A14" w:rsidRDefault="00054A14" w:rsidP="000B2B2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mortality rate attributed to unsafe water, unsafe </w:t>
      </w:r>
      <w:proofErr w:type="gramStart"/>
      <w:r>
        <w:rPr>
          <w:rStyle w:val="normaltextrun"/>
          <w:rFonts w:ascii="Calibri" w:hAnsi="Calibri" w:cs="Calibri"/>
          <w:color w:val="4A4A4A"/>
          <w:sz w:val="21"/>
          <w:szCs w:val="21"/>
          <w:lang w:val="en-GB"/>
        </w:rPr>
        <w:t>sanitation</w:t>
      </w:r>
      <w:proofErr w:type="gramEnd"/>
      <w:r>
        <w:rPr>
          <w:rStyle w:val="normaltextrun"/>
          <w:rFonts w:ascii="Calibri" w:hAnsi="Calibri" w:cs="Calibri"/>
          <w:color w:val="4A4A4A"/>
          <w:sz w:val="21"/>
          <w:szCs w:val="21"/>
          <w:lang w:val="en-GB"/>
        </w:rPr>
        <w:t xml:space="preserve"> and lack of hygiene (exposure to unsafe Water, Sanitation and Hygiene for All (WASH) services) as defined as the number of deaths from unsafe water, unsafe sanitation and lack of hygiene (exposure to unsafe WASH services) in a year, divided by the population, and multiplied by 100,000.</w:t>
      </w:r>
      <w:r>
        <w:rPr>
          <w:rStyle w:val="eop"/>
          <w:rFonts w:ascii="Calibri" w:hAnsi="Calibri" w:cs="Calibri"/>
          <w:color w:val="4A4A4A"/>
          <w:sz w:val="21"/>
          <w:szCs w:val="21"/>
        </w:rPr>
        <w:t> </w:t>
      </w:r>
    </w:p>
    <w:p w14:paraId="3B28B5F9" w14:textId="77777777"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2337EA1" w14:textId="77777777"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C8DC233" w14:textId="77777777"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1FAAEA2C" w14:textId="14E5D6D2" w:rsidR="00054A14" w:rsidRDefault="00054A14" w:rsidP="000B2B22">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Deaths attributable to unsafe water, sanitation and hygiene focusing on inadequate WASH services, expressed per 100,000 population; The included diseases are diarrhoea (</w:t>
      </w:r>
      <w:r w:rsidR="00B05113">
        <w:rPr>
          <w:rStyle w:val="normaltextrun"/>
          <w:rFonts w:ascii="Calibri" w:hAnsi="Calibri" w:cs="Calibri"/>
          <w:color w:val="4A4A4A"/>
          <w:sz w:val="21"/>
          <w:szCs w:val="21"/>
          <w:lang w:val="en-GB"/>
        </w:rPr>
        <w:t xml:space="preserve">GHE code 110 which includes </w:t>
      </w:r>
      <w:r>
        <w:rPr>
          <w:rStyle w:val="normaltextrun"/>
          <w:rFonts w:ascii="Calibri" w:hAnsi="Calibri" w:cs="Calibri"/>
          <w:color w:val="4A4A4A"/>
          <w:sz w:val="21"/>
          <w:szCs w:val="21"/>
          <w:lang w:val="en-GB"/>
        </w:rPr>
        <w:t>ICD-10 code</w:t>
      </w:r>
      <w:r w:rsidR="001F22C4">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A00, A01, A03, A04, A06-A09), </w:t>
      </w:r>
      <w:r w:rsidR="001F22C4">
        <w:rPr>
          <w:rStyle w:val="normaltextrun"/>
          <w:rFonts w:ascii="Calibri" w:hAnsi="Calibri" w:cs="Calibri"/>
          <w:color w:val="4A4A4A"/>
          <w:sz w:val="21"/>
          <w:szCs w:val="21"/>
          <w:lang w:val="en-GB"/>
        </w:rPr>
        <w:t>acute respiratory infections (</w:t>
      </w:r>
      <w:r w:rsidR="00B05113">
        <w:rPr>
          <w:rStyle w:val="normaltextrun"/>
          <w:rFonts w:ascii="Calibri" w:hAnsi="Calibri" w:cs="Calibri"/>
          <w:color w:val="4A4A4A"/>
          <w:sz w:val="21"/>
          <w:szCs w:val="21"/>
          <w:lang w:val="en-GB"/>
        </w:rPr>
        <w:t xml:space="preserve">GHE code 380 which includes </w:t>
      </w:r>
      <w:r w:rsidR="001F22C4">
        <w:rPr>
          <w:rStyle w:val="normaltextrun"/>
          <w:rFonts w:ascii="Calibri" w:hAnsi="Calibri" w:cs="Calibri"/>
          <w:color w:val="4A4A4A"/>
          <w:sz w:val="21"/>
          <w:szCs w:val="21"/>
          <w:lang w:val="en-GB"/>
        </w:rPr>
        <w:t xml:space="preserve">ICD-10 codes </w:t>
      </w:r>
      <w:r w:rsidR="00B05113">
        <w:rPr>
          <w:rStyle w:val="normaltextrun"/>
          <w:rFonts w:ascii="Calibri" w:hAnsi="Calibri" w:cs="Calibri"/>
          <w:color w:val="4A4A4A"/>
          <w:sz w:val="21"/>
          <w:szCs w:val="21"/>
          <w:lang w:val="en-GB"/>
        </w:rPr>
        <w:t>H65-H66, J</w:t>
      </w:r>
      <w:r w:rsidR="004264CB">
        <w:rPr>
          <w:rStyle w:val="normaltextrun"/>
          <w:rFonts w:ascii="Calibri" w:hAnsi="Calibri" w:cs="Calibri"/>
          <w:color w:val="4A4A4A"/>
          <w:sz w:val="21"/>
          <w:szCs w:val="21"/>
          <w:lang w:val="en-GB"/>
        </w:rPr>
        <w:t>0</w:t>
      </w:r>
      <w:r w:rsidR="001F22C4">
        <w:rPr>
          <w:rStyle w:val="normaltextrun"/>
          <w:rFonts w:ascii="Calibri" w:hAnsi="Calibri" w:cs="Calibri"/>
          <w:color w:val="4A4A4A"/>
          <w:sz w:val="21"/>
          <w:szCs w:val="21"/>
          <w:lang w:val="en-GB"/>
        </w:rPr>
        <w:t>0-J22</w:t>
      </w:r>
      <w:r w:rsidR="00B05113">
        <w:rPr>
          <w:rStyle w:val="normaltextrun"/>
          <w:rFonts w:ascii="Calibri" w:hAnsi="Calibri" w:cs="Calibri"/>
          <w:color w:val="4A4A4A"/>
          <w:sz w:val="21"/>
          <w:szCs w:val="21"/>
          <w:lang w:val="en-GB"/>
        </w:rPr>
        <w:t>, P23, and U04</w:t>
      </w:r>
      <w:r w:rsidR="001F22C4">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intestinal nematode infections (</w:t>
      </w:r>
      <w:r w:rsidR="00B05113">
        <w:rPr>
          <w:rStyle w:val="normaltextrun"/>
          <w:rFonts w:ascii="Calibri" w:hAnsi="Calibri" w:cs="Calibri"/>
          <w:color w:val="4A4A4A"/>
          <w:sz w:val="21"/>
          <w:szCs w:val="21"/>
          <w:lang w:val="en-GB"/>
        </w:rPr>
        <w:t xml:space="preserve">GHE codes 340, 350 and </w:t>
      </w:r>
      <w:r w:rsidR="00B05113">
        <w:rPr>
          <w:rStyle w:val="normaltextrun"/>
          <w:rFonts w:ascii="Calibri" w:hAnsi="Calibri" w:cs="Calibri"/>
          <w:color w:val="4A4A4A"/>
          <w:sz w:val="21"/>
          <w:szCs w:val="21"/>
          <w:lang w:val="en-GB"/>
        </w:rPr>
        <w:lastRenderedPageBreak/>
        <w:t xml:space="preserve">360 which include </w:t>
      </w:r>
      <w:r>
        <w:rPr>
          <w:rStyle w:val="normaltextrun"/>
          <w:rFonts w:ascii="Calibri" w:hAnsi="Calibri" w:cs="Calibri"/>
          <w:color w:val="4A4A4A"/>
          <w:sz w:val="21"/>
          <w:szCs w:val="21"/>
          <w:lang w:val="en-GB"/>
        </w:rPr>
        <w:t>ICD-10 code</w:t>
      </w:r>
      <w:r w:rsidR="001F22C4">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B76-B77, </w:t>
      </w:r>
      <w:r w:rsidR="00224166">
        <w:rPr>
          <w:rStyle w:val="normaltextrun"/>
          <w:rFonts w:ascii="Calibri" w:hAnsi="Calibri" w:cs="Calibri"/>
          <w:color w:val="4A4A4A"/>
          <w:sz w:val="21"/>
          <w:szCs w:val="21"/>
          <w:lang w:val="en-GB"/>
        </w:rPr>
        <w:t xml:space="preserve">and </w:t>
      </w:r>
      <w:r>
        <w:rPr>
          <w:rStyle w:val="normaltextrun"/>
          <w:rFonts w:ascii="Calibri" w:hAnsi="Calibri" w:cs="Calibri"/>
          <w:color w:val="4A4A4A"/>
          <w:sz w:val="21"/>
          <w:szCs w:val="21"/>
          <w:lang w:val="en-GB"/>
        </w:rPr>
        <w:t>B79) and protein-energy malnutrition (</w:t>
      </w:r>
      <w:r w:rsidR="00224166">
        <w:rPr>
          <w:rStyle w:val="normaltextrun"/>
          <w:rFonts w:ascii="Calibri" w:hAnsi="Calibri" w:cs="Calibri"/>
          <w:color w:val="4A4A4A"/>
          <w:sz w:val="21"/>
          <w:szCs w:val="21"/>
          <w:lang w:val="en-GB"/>
        </w:rPr>
        <w:t xml:space="preserve">GHE code 550 which includes </w:t>
      </w:r>
      <w:r>
        <w:rPr>
          <w:rStyle w:val="normaltextrun"/>
          <w:rFonts w:ascii="Calibri" w:hAnsi="Calibri" w:cs="Calibri"/>
          <w:color w:val="4A4A4A"/>
          <w:sz w:val="21"/>
          <w:szCs w:val="21"/>
          <w:lang w:val="en-GB"/>
        </w:rPr>
        <w:t>ICD-10 code</w:t>
      </w:r>
      <w:r w:rsidR="001F22C4">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E40-E46).</w:t>
      </w:r>
      <w:r>
        <w:rPr>
          <w:rStyle w:val="eop"/>
          <w:rFonts w:ascii="Calibri" w:hAnsi="Calibri" w:cs="Calibri"/>
          <w:color w:val="4A4A4A"/>
          <w:sz w:val="21"/>
          <w:szCs w:val="21"/>
        </w:rPr>
        <w:t> </w:t>
      </w:r>
    </w:p>
    <w:p w14:paraId="1FE37133" w14:textId="737A6D9E" w:rsidR="00CC4164" w:rsidRDefault="00CC4164" w:rsidP="000B2B22">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3ACC3A2A" w14:textId="77777777" w:rsidR="00CC4164" w:rsidRDefault="00CC4164" w:rsidP="000B2B22">
      <w:pPr>
        <w:pStyle w:val="paragraph"/>
        <w:shd w:val="clear" w:color="auto" w:fill="FFFFFF"/>
        <w:spacing w:before="0" w:beforeAutospacing="0" w:after="0" w:afterAutospacing="0"/>
        <w:textAlignment w:val="baseline"/>
        <w:rPr>
          <w:rFonts w:ascii="Segoe UI" w:hAnsi="Segoe UI" w:cs="Segoe UI"/>
          <w:sz w:val="18"/>
          <w:szCs w:val="18"/>
        </w:rPr>
      </w:pPr>
    </w:p>
    <w:p w14:paraId="7AE6522D" w14:textId="77777777"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506EFCDF" w:rsidR="00EC2915" w:rsidRDefault="001F22C4" w:rsidP="00576CFA">
      <w:pPr>
        <w:pStyle w:val="MText"/>
      </w:pPr>
      <w:r>
        <w:t>M</w:t>
      </w:r>
      <w:r w:rsidR="00A67945">
        <w:t>ortality rate</w:t>
      </w:r>
      <w:r>
        <w:t xml:space="preserve"> (deaths per 100,000 population</w:t>
      </w:r>
      <w:r w:rsidR="00A67945">
        <w:t>)</w:t>
      </w:r>
    </w:p>
    <w:p w14:paraId="34C2887D" w14:textId="77777777" w:rsidR="00A67945" w:rsidRPr="00A96255" w:rsidRDefault="00A6794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CE7D4E5" w:rsidR="00EC2915" w:rsidRDefault="00A67945" w:rsidP="00576CFA">
      <w:pPr>
        <w:pStyle w:val="MText"/>
      </w:pPr>
      <w:r>
        <w:t>N</w:t>
      </w:r>
      <w:r w:rsidR="00C10F44">
        <w:t>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5A17632" w14:textId="6E52F293"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is compiled mainly from country and other databases directly. To maximize the data for robust estimates, as well as to reduce duplication of data collection to avoid further data reporting burden on countries, complementary data are used from various databases</w:t>
      </w:r>
      <w:r w:rsidR="002037C0">
        <w:rPr>
          <w:rStyle w:val="normaltextrun"/>
          <w:rFonts w:ascii="Calibri" w:hAnsi="Calibri" w:cs="Calibri"/>
          <w:color w:val="4A4A4A"/>
          <w:sz w:val="21"/>
          <w:szCs w:val="21"/>
          <w:lang w:val="en-GB"/>
        </w:rPr>
        <w:t xml:space="preserve"> (please refer to section 4.c. for specific data sources)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7CB1680D" w14:textId="77777777" w:rsidR="00A7456E" w:rsidRPr="00A96255" w:rsidRDefault="00A7456E"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7A6B782" w:rsidR="00576CFA" w:rsidRPr="00A96255" w:rsidRDefault="00A7456E" w:rsidP="00576CFA">
      <w:pPr>
        <w:pStyle w:val="MText"/>
      </w:pPr>
      <w:r>
        <w:rPr>
          <w:rStyle w:val="normaltextrun"/>
          <w:rFonts w:ascii="Calibri" w:hAnsi="Calibri" w:cs="Calibri"/>
        </w:rPr>
        <w:t xml:space="preserve">WHO conducts a formal country consultation process before releasing its cause-of-death </w:t>
      </w:r>
      <w:proofErr w:type="gramStart"/>
      <w:r>
        <w:rPr>
          <w:rStyle w:val="normaltextrun"/>
          <w:rFonts w:ascii="Calibri" w:hAnsi="Calibri" w:cs="Calibri"/>
        </w:rPr>
        <w:t>estimates.</w:t>
      </w:r>
      <w:proofErr w:type="gramEnd"/>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57F6FEA" w:rsidR="00EC2915" w:rsidRDefault="00A7456E" w:rsidP="00576CFA">
      <w:pPr>
        <w:pStyle w:val="MText"/>
        <w:rPr>
          <w:rStyle w:val="eop"/>
          <w:rFonts w:ascii="Calibri" w:hAnsi="Calibri" w:cs="Calibri"/>
        </w:rPr>
      </w:pPr>
      <w:r>
        <w:rPr>
          <w:rStyle w:val="normaltextrun"/>
          <w:rFonts w:ascii="Calibri" w:hAnsi="Calibri" w:cs="Calibri"/>
        </w:rPr>
        <w:t>Ongoing </w:t>
      </w:r>
      <w:r>
        <w:rPr>
          <w:rStyle w:val="eop"/>
          <w:rFonts w:ascii="Calibri" w:hAnsi="Calibri" w:cs="Calibri"/>
        </w:rPr>
        <w:t> </w:t>
      </w:r>
    </w:p>
    <w:p w14:paraId="34F56B67" w14:textId="77777777" w:rsidR="00A7456E" w:rsidRPr="00A96255" w:rsidRDefault="00A7456E"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4DF45E1" w:rsidR="00EC2915" w:rsidRDefault="00A7456E" w:rsidP="00576CFA">
      <w:pPr>
        <w:pStyle w:val="MText"/>
        <w:rPr>
          <w:rStyle w:val="eop"/>
          <w:rFonts w:ascii="Calibri" w:hAnsi="Calibri" w:cs="Calibri"/>
        </w:rPr>
      </w:pPr>
      <w:r>
        <w:rPr>
          <w:rStyle w:val="normaltextrun"/>
          <w:rFonts w:ascii="Calibri" w:hAnsi="Calibri" w:cs="Calibri"/>
        </w:rPr>
        <w:t>20</w:t>
      </w:r>
      <w:r w:rsidR="00EF1E04">
        <w:rPr>
          <w:rStyle w:val="normaltextrun"/>
          <w:rFonts w:ascii="Calibri" w:hAnsi="Calibri" w:cs="Calibri"/>
        </w:rPr>
        <w:t>22</w:t>
      </w:r>
      <w:r>
        <w:rPr>
          <w:rStyle w:val="normaltextrun"/>
          <w:rFonts w:ascii="Calibri" w:hAnsi="Calibri" w:cs="Calibri"/>
        </w:rPr>
        <w:t xml:space="preserve">, </w:t>
      </w:r>
      <w:r w:rsidR="00A4399E">
        <w:rPr>
          <w:rStyle w:val="normaltextrun"/>
          <w:rFonts w:ascii="Calibri" w:hAnsi="Calibri" w:cs="Calibri"/>
        </w:rPr>
        <w:t xml:space="preserve">second </w:t>
      </w:r>
      <w:r>
        <w:rPr>
          <w:rStyle w:val="normaltextrun"/>
          <w:rFonts w:ascii="Calibri" w:hAnsi="Calibri" w:cs="Calibri"/>
        </w:rPr>
        <w:t>quarter </w:t>
      </w:r>
      <w:r>
        <w:rPr>
          <w:rStyle w:val="eop"/>
          <w:rFonts w:ascii="Calibri" w:hAnsi="Calibri" w:cs="Calibri"/>
        </w:rPr>
        <w:t> </w:t>
      </w:r>
    </w:p>
    <w:p w14:paraId="30A3F56B" w14:textId="77777777" w:rsidR="00A7456E" w:rsidRPr="00A96255" w:rsidRDefault="00A7456E"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1D4FDE8" w:rsidR="00EC2915" w:rsidRDefault="00A7456E" w:rsidP="00576CFA">
      <w:pPr>
        <w:pStyle w:val="MText"/>
        <w:rPr>
          <w:rStyle w:val="eop"/>
          <w:rFonts w:ascii="Calibri" w:hAnsi="Calibri" w:cs="Calibri"/>
        </w:rPr>
      </w:pPr>
      <w:r>
        <w:rPr>
          <w:rStyle w:val="normaltextrun"/>
          <w:rFonts w:ascii="Calibri" w:hAnsi="Calibri" w:cs="Calibri"/>
        </w:rPr>
        <w:t>National statistics offices, Various line ministries and databases covering civil registration with complete coverage and medical certification of cause of death.</w:t>
      </w:r>
      <w:r>
        <w:rPr>
          <w:rStyle w:val="eop"/>
          <w:rFonts w:ascii="Calibri" w:hAnsi="Calibri" w:cs="Calibri"/>
        </w:rPr>
        <w:t> </w:t>
      </w:r>
    </w:p>
    <w:p w14:paraId="431DA671" w14:textId="77777777" w:rsidR="00A7456E" w:rsidRPr="00A96255" w:rsidRDefault="00A7456E"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6AFF40C8" w:rsidR="00EC2915" w:rsidRDefault="00A7456E" w:rsidP="00576CFA">
      <w:pPr>
        <w:pStyle w:val="MText"/>
        <w:rPr>
          <w:rStyle w:val="eop"/>
          <w:rFonts w:ascii="Calibri" w:hAnsi="Calibri" w:cs="Calibri"/>
        </w:rPr>
      </w:pPr>
      <w:r>
        <w:rPr>
          <w:rStyle w:val="normaltextrun"/>
          <w:rFonts w:ascii="Calibri" w:hAnsi="Calibri" w:cs="Calibri"/>
        </w:rPr>
        <w:t>WHO</w:t>
      </w:r>
      <w:r>
        <w:rPr>
          <w:rStyle w:val="eop"/>
          <w:rFonts w:ascii="Calibri" w:hAnsi="Calibri" w:cs="Calibri"/>
        </w:rPr>
        <w:t> </w:t>
      </w:r>
    </w:p>
    <w:p w14:paraId="5D6532CA" w14:textId="77777777" w:rsidR="00A7456E" w:rsidRPr="00A96255" w:rsidRDefault="00A7456E"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1EB76A1" w:rsidR="00EC2915" w:rsidRDefault="00A67945" w:rsidP="00576CFA">
      <w:pPr>
        <w:pStyle w:val="MText"/>
      </w:pPr>
      <w:r w:rsidRPr="00EA2510">
        <w:rPr>
          <w:rFonts w:ascii="Calibri" w:eastAsia="Calibri" w:hAnsi="Calibri" w:cs="Arial"/>
        </w:rPr>
        <w:t xml:space="preserve">The World Health Organization (WHO) is the Custodian Agency or co-Custodian Agency for reporting on several SDG indicators, including </w:t>
      </w:r>
      <w:r w:rsidR="004264CB">
        <w:rPr>
          <w:rFonts w:ascii="Calibri" w:eastAsia="Calibri" w:hAnsi="Calibri" w:cs="Arial"/>
        </w:rPr>
        <w:t>indicator 3.9.2, the m</w:t>
      </w:r>
      <w:r w:rsidR="004264CB" w:rsidRPr="004264CB">
        <w:rPr>
          <w:rFonts w:ascii="Calibri" w:eastAsia="Calibri" w:hAnsi="Calibri" w:cs="Arial"/>
        </w:rPr>
        <w:t xml:space="preserve">ortality rate attributed to unsafe water, unsafe </w:t>
      </w:r>
      <w:proofErr w:type="gramStart"/>
      <w:r w:rsidR="004264CB" w:rsidRPr="004264CB">
        <w:rPr>
          <w:rFonts w:ascii="Calibri" w:eastAsia="Calibri" w:hAnsi="Calibri" w:cs="Arial"/>
        </w:rPr>
        <w:lastRenderedPageBreak/>
        <w:t>sanitation</w:t>
      </w:r>
      <w:proofErr w:type="gramEnd"/>
      <w:r w:rsidR="004264CB" w:rsidRPr="004264CB">
        <w:rPr>
          <w:rFonts w:ascii="Calibri" w:eastAsia="Calibri" w:hAnsi="Calibri" w:cs="Arial"/>
        </w:rPr>
        <w:t xml:space="preserve"> and lack of hygiene (exposure to unsafe Water, Sanitation and Hygiene for All (WASH) services)</w:t>
      </w:r>
      <w:r w:rsidRPr="00EA2510">
        <w:rPr>
          <w:rFonts w:ascii="Calibri" w:eastAsia="Calibri" w:hAnsi="Calibri" w:cs="Arial"/>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7996AFB" w14:textId="3488D022"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indicator expresses the number of deaths from inadequate water, </w:t>
      </w:r>
      <w:proofErr w:type="gramStart"/>
      <w:r>
        <w:rPr>
          <w:rStyle w:val="normaltextrun"/>
          <w:rFonts w:ascii="Calibri" w:hAnsi="Calibri" w:cs="Calibri"/>
          <w:color w:val="4A4A4A"/>
          <w:sz w:val="21"/>
          <w:szCs w:val="21"/>
          <w:lang w:val="en-GB"/>
        </w:rPr>
        <w:t>sanitation</w:t>
      </w:r>
      <w:proofErr w:type="gramEnd"/>
      <w:r>
        <w:rPr>
          <w:rStyle w:val="normaltextrun"/>
          <w:rFonts w:ascii="Calibri" w:hAnsi="Calibri" w:cs="Calibri"/>
          <w:color w:val="4A4A4A"/>
          <w:sz w:val="21"/>
          <w:szCs w:val="21"/>
          <w:lang w:val="en-GB"/>
        </w:rPr>
        <w:t xml:space="preserve"> and hygiene (with focus on WASH services) which could be prevented by improving those services and practices. It is based on both the WASH service provision in the country, as well as the related health outcomes, and therefore provides important information on the actual disease caused by the risks measured in </w:t>
      </w:r>
      <w:r w:rsidR="004264CB">
        <w:rPr>
          <w:rStyle w:val="normaltextrun"/>
          <w:rFonts w:ascii="Calibri" w:hAnsi="Calibri" w:cs="Calibri"/>
          <w:color w:val="4A4A4A"/>
          <w:sz w:val="21"/>
          <w:szCs w:val="21"/>
          <w:lang w:val="en-GB"/>
        </w:rPr>
        <w:t xml:space="preserve">targets </w:t>
      </w:r>
      <w:r>
        <w:rPr>
          <w:rStyle w:val="normaltextrun"/>
          <w:rFonts w:ascii="Calibri" w:hAnsi="Calibri" w:cs="Calibri"/>
          <w:color w:val="4A4A4A"/>
          <w:sz w:val="21"/>
          <w:szCs w:val="21"/>
          <w:lang w:val="en-GB"/>
        </w:rPr>
        <w:t>6.1</w:t>
      </w:r>
      <w:r w:rsidR="004264CB">
        <w:rPr>
          <w:rStyle w:val="normaltextrun"/>
          <w:rFonts w:ascii="Calibri" w:hAnsi="Calibri" w:cs="Calibri"/>
          <w:color w:val="4A4A4A"/>
          <w:sz w:val="21"/>
          <w:szCs w:val="21"/>
          <w:lang w:val="en-GB"/>
        </w:rPr>
        <w:t xml:space="preserve"> and</w:t>
      </w:r>
      <w:r>
        <w:rPr>
          <w:rStyle w:val="normaltextrun"/>
          <w:rFonts w:ascii="Calibri" w:hAnsi="Calibri" w:cs="Calibri"/>
          <w:color w:val="4A4A4A"/>
          <w:sz w:val="21"/>
          <w:szCs w:val="21"/>
          <w:lang w:val="en-GB"/>
        </w:rPr>
        <w:t xml:space="preserve"> 6.2.</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48BF287" w14:textId="0CCDD479" w:rsidR="00054A14" w:rsidRDefault="00054A14" w:rsidP="00054A1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w:t>
      </w:r>
      <w:proofErr w:type="gramStart"/>
      <w:r>
        <w:rPr>
          <w:rStyle w:val="normaltextrun"/>
          <w:rFonts w:ascii="Calibri" w:hAnsi="Calibri" w:cs="Calibri"/>
          <w:color w:val="4A4A4A"/>
          <w:sz w:val="21"/>
          <w:szCs w:val="21"/>
          <w:lang w:val="en-GB"/>
        </w:rPr>
        <w:t>rely</w:t>
      </w:r>
      <w:proofErr w:type="gramEnd"/>
      <w:r>
        <w:rPr>
          <w:rStyle w:val="normaltextrun"/>
          <w:rFonts w:ascii="Calibri" w:hAnsi="Calibri" w:cs="Calibri"/>
          <w:color w:val="4A4A4A"/>
          <w:sz w:val="21"/>
          <w:szCs w:val="21"/>
          <w:lang w:val="en-GB"/>
        </w:rPr>
        <w:t xml:space="preserve"> on (a) statistics on WASH services (6.1</w:t>
      </w:r>
      <w:r w:rsidR="004264CB">
        <w:rPr>
          <w:rStyle w:val="normaltextrun"/>
          <w:rFonts w:ascii="Calibri" w:hAnsi="Calibri" w:cs="Calibri"/>
          <w:color w:val="4A4A4A"/>
          <w:sz w:val="21"/>
          <w:szCs w:val="21"/>
          <w:lang w:val="en-GB"/>
        </w:rPr>
        <w:t xml:space="preserve"> and</w:t>
      </w:r>
      <w:r>
        <w:rPr>
          <w:rStyle w:val="normaltextrun"/>
          <w:rFonts w:ascii="Calibri" w:hAnsi="Calibri" w:cs="Calibri"/>
          <w:color w:val="4A4A4A"/>
          <w:sz w:val="21"/>
          <w:szCs w:val="21"/>
          <w:lang w:val="en-GB"/>
        </w:rPr>
        <w:t xml:space="preserve"> 6.2), which are well assessed in almost all countries, and (b) data on deaths. Data on deaths are also widely available from countries from death registration data or sample registration systems, which are certainly feasible systems. Such data are crucial for improving health and reducing preventable deaths in countries. The main limitation is that not all countries do have such registration systems to date, and data need to be completed with other type of information.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1A1AA76" w14:textId="74E46EDB" w:rsidR="002037C0" w:rsidRPr="003F5222" w:rsidRDefault="00F21F6B" w:rsidP="00054A14">
      <w:pPr>
        <w:pStyle w:val="paragraph"/>
        <w:shd w:val="clear" w:color="auto" w:fill="FFFFFF"/>
        <w:spacing w:before="0" w:beforeAutospacing="0" w:after="0" w:afterAutospacing="0"/>
        <w:textAlignment w:val="baseline"/>
        <w:rPr>
          <w:rStyle w:val="normaltextrun"/>
          <w:rFonts w:asciiTheme="minorHAnsi" w:hAnsiTheme="minorHAnsi" w:cstheme="minorHAnsi"/>
          <w:color w:val="4A4A4A"/>
          <w:sz w:val="22"/>
          <w:szCs w:val="22"/>
          <w:u w:val="single"/>
          <w:lang w:val="en-GB"/>
        </w:rPr>
      </w:pPr>
      <w:r w:rsidRPr="003F5222">
        <w:rPr>
          <w:rStyle w:val="normaltextrun"/>
          <w:rFonts w:asciiTheme="minorHAnsi" w:hAnsiTheme="minorHAnsi" w:cstheme="minorHAnsi"/>
          <w:color w:val="4A4A4A"/>
          <w:sz w:val="22"/>
          <w:szCs w:val="22"/>
          <w:u w:val="single"/>
          <w:lang w:val="en-GB"/>
        </w:rPr>
        <w:t xml:space="preserve">4.c.i. </w:t>
      </w:r>
      <w:r w:rsidR="00702F74" w:rsidRPr="003F5222">
        <w:rPr>
          <w:rStyle w:val="normaltextrun"/>
          <w:rFonts w:asciiTheme="minorHAnsi" w:hAnsiTheme="minorHAnsi" w:cstheme="minorHAnsi"/>
          <w:color w:val="4A4A4A"/>
          <w:sz w:val="22"/>
          <w:szCs w:val="22"/>
          <w:u w:val="single"/>
          <w:lang w:val="en-GB"/>
        </w:rPr>
        <w:t>Model</w:t>
      </w:r>
    </w:p>
    <w:p w14:paraId="42EF3CA1" w14:textId="77777777" w:rsidR="00702F74" w:rsidRPr="003F5222" w:rsidRDefault="00702F74" w:rsidP="00054A14">
      <w:pPr>
        <w:pStyle w:val="paragraph"/>
        <w:shd w:val="clear" w:color="auto" w:fill="FFFFFF"/>
        <w:spacing w:before="0" w:beforeAutospacing="0" w:after="0" w:afterAutospacing="0"/>
        <w:textAlignment w:val="baseline"/>
        <w:rPr>
          <w:rStyle w:val="normaltextrun"/>
          <w:rFonts w:asciiTheme="minorHAnsi" w:hAnsiTheme="minorHAnsi" w:cstheme="minorHAnsi"/>
          <w:color w:val="4A4A4A"/>
          <w:sz w:val="22"/>
          <w:szCs w:val="22"/>
          <w:lang w:val="en-GB"/>
        </w:rPr>
      </w:pPr>
    </w:p>
    <w:p w14:paraId="1A64C6FC" w14:textId="3F179D18" w:rsidR="002037C0" w:rsidRPr="00977027" w:rsidRDefault="00160AE4" w:rsidP="002037C0">
      <w:pPr>
        <w:pStyle w:val="MText"/>
        <w:rPr>
          <w:rFonts w:cstheme="minorHAnsi"/>
          <w:sz w:val="22"/>
          <w:szCs w:val="22"/>
        </w:rPr>
      </w:pPr>
      <w:r w:rsidRPr="00695185">
        <w:rPr>
          <w:rFonts w:cstheme="minorHAnsi"/>
          <w:sz w:val="22"/>
          <w:szCs w:val="22"/>
        </w:rPr>
        <w:t>'WHO estimation of health impacts from environmental risks is based on comparative risk assessment (CRA) methods, which are used extensively in burden of disease assessments (</w:t>
      </w:r>
      <w:proofErr w:type="spellStart"/>
      <w:r w:rsidRPr="00695185">
        <w:rPr>
          <w:rFonts w:cstheme="minorHAnsi"/>
          <w:sz w:val="22"/>
          <w:szCs w:val="22"/>
        </w:rPr>
        <w:t>Ezzati</w:t>
      </w:r>
      <w:proofErr w:type="spellEnd"/>
      <w:r w:rsidRPr="00695185">
        <w:rPr>
          <w:rFonts w:cstheme="minorHAnsi"/>
          <w:sz w:val="22"/>
          <w:szCs w:val="22"/>
        </w:rPr>
        <w:t xml:space="preserve"> et al., 2002).</w:t>
      </w:r>
      <w:r w:rsidRPr="003A52FF">
        <w:rPr>
          <w:rFonts w:cstheme="minorHAnsi"/>
          <w:sz w:val="22"/>
          <w:szCs w:val="22"/>
        </w:rPr>
        <w:t xml:space="preserve"> </w:t>
      </w:r>
      <w:r w:rsidR="002037C0" w:rsidRPr="003F5222">
        <w:rPr>
          <w:rFonts w:cstheme="minorHAnsi"/>
          <w:sz w:val="22"/>
          <w:szCs w:val="22"/>
        </w:rPr>
        <w:t xml:space="preserve">This approach estimates the proportional reduction in disease or death that would occur if exposures were reduced to an alternative baseline level bearing a minimum risk (also referred to as theoretical minimum risk), while other conditions remain unchanged. </w:t>
      </w:r>
      <w:r w:rsidRPr="003F5222">
        <w:rPr>
          <w:rFonts w:cstheme="minorHAnsi"/>
          <w:sz w:val="22"/>
          <w:szCs w:val="22"/>
        </w:rPr>
        <w:t>The CRA methodology combines data on exposure, disease burden and the exposure-response relationship to estimate the burden of disease associated with that exposure (</w:t>
      </w:r>
      <w:proofErr w:type="spellStart"/>
      <w:r w:rsidRPr="003F5222">
        <w:rPr>
          <w:rFonts w:cstheme="minorHAnsi"/>
          <w:sz w:val="22"/>
          <w:szCs w:val="22"/>
        </w:rPr>
        <w:t>Ezzati</w:t>
      </w:r>
      <w:proofErr w:type="spellEnd"/>
      <w:r w:rsidRPr="003F5222">
        <w:rPr>
          <w:rFonts w:cstheme="minorHAnsi"/>
          <w:sz w:val="22"/>
          <w:szCs w:val="22"/>
        </w:rPr>
        <w:t xml:space="preserve"> et al., 2002). </w:t>
      </w:r>
      <w:r w:rsidR="002037C0" w:rsidRPr="003F5222">
        <w:rPr>
          <w:rFonts w:cstheme="minorHAnsi"/>
          <w:sz w:val="22"/>
          <w:szCs w:val="22"/>
        </w:rPr>
        <w:t xml:space="preserve">For each risk factor (unsafe water, sanitation, or hygiene), the population attributable fraction (PAF) is estimated by comparing current exposure distributions to a counterfactual distribution, for each exposure level, </w:t>
      </w:r>
      <w:proofErr w:type="gramStart"/>
      <w:r w:rsidR="002037C0" w:rsidRPr="003F5222">
        <w:rPr>
          <w:rFonts w:cstheme="minorHAnsi"/>
          <w:sz w:val="22"/>
          <w:szCs w:val="22"/>
        </w:rPr>
        <w:t>sex</w:t>
      </w:r>
      <w:proofErr w:type="gramEnd"/>
      <w:r w:rsidR="002037C0" w:rsidRPr="003F5222">
        <w:rPr>
          <w:rFonts w:cstheme="minorHAnsi"/>
          <w:sz w:val="22"/>
          <w:szCs w:val="22"/>
        </w:rPr>
        <w:t xml:space="preserve"> and age group:</w:t>
      </w:r>
    </w:p>
    <w:p w14:paraId="27328325" w14:textId="77777777" w:rsidR="002037C0" w:rsidRPr="00D60653" w:rsidRDefault="002037C0" w:rsidP="002037C0">
      <w:pPr>
        <w:spacing w:after="200" w:line="276" w:lineRule="auto"/>
        <w:jc w:val="both"/>
        <w:rPr>
          <w:rFonts w:asciiTheme="minorHAnsi" w:hAnsiTheme="minorHAnsi" w:cstheme="minorHAnsi"/>
          <w:color w:val="4A4A4A"/>
          <w:sz w:val="22"/>
          <w:szCs w:val="22"/>
        </w:rPr>
      </w:pPr>
      <m:oMathPara>
        <m:oMathParaPr>
          <m:jc m:val="left"/>
        </m:oMathParaPr>
        <m:oMath>
          <m:r>
            <m:rPr>
              <m:sty m:val="p"/>
            </m:rPr>
            <w:rPr>
              <w:rFonts w:ascii="Cambria Math" w:hAnsi="Cambria Math" w:cstheme="minorHAnsi"/>
              <w:color w:val="4A4A4A"/>
              <w:sz w:val="22"/>
              <w:szCs w:val="22"/>
            </w:rPr>
            <m:t xml:space="preserve">PAF= </m:t>
          </m:r>
          <m:f>
            <m:fPr>
              <m:ctrlPr>
                <w:rPr>
                  <w:rFonts w:ascii="Cambria Math" w:hAnsi="Cambria Math" w:cstheme="minorHAnsi"/>
                  <w:color w:val="4A4A4A"/>
                  <w:sz w:val="22"/>
                  <w:szCs w:val="22"/>
                </w:rPr>
              </m:ctrlPr>
            </m:fPr>
            <m:num>
              <m:nary>
                <m:naryPr>
                  <m:chr m:val="∑"/>
                  <m:limLoc m:val="undOvr"/>
                  <m:ctrlPr>
                    <w:rPr>
                      <w:rFonts w:ascii="Cambria Math" w:hAnsi="Cambria Math" w:cstheme="minorHAnsi"/>
                      <w:color w:val="4A4A4A"/>
                      <w:sz w:val="22"/>
                      <w:szCs w:val="22"/>
                    </w:rPr>
                  </m:ctrlPr>
                </m:naryPr>
                <m:sub>
                  <m:r>
                    <m:rPr>
                      <m:sty m:val="p"/>
                    </m:rPr>
                    <w:rPr>
                      <w:rFonts w:ascii="Cambria Math" w:hAnsi="Cambria Math" w:cstheme="minorHAnsi"/>
                      <w:color w:val="4A4A4A"/>
                      <w:sz w:val="22"/>
                      <w:szCs w:val="22"/>
                    </w:rPr>
                    <m:t>i=1</m:t>
                  </m:r>
                </m:sub>
                <m:sup>
                  <m:r>
                    <m:rPr>
                      <m:sty m:val="p"/>
                    </m:rPr>
                    <w:rPr>
                      <w:rFonts w:ascii="Cambria Math" w:hAnsi="Cambria Math" w:cstheme="minorHAnsi"/>
                      <w:color w:val="4A4A4A"/>
                      <w:sz w:val="22"/>
                      <w:szCs w:val="22"/>
                    </w:rPr>
                    <m:t>n</m:t>
                  </m:r>
                </m:sup>
                <m:e>
                  <m:sSub>
                    <m:sSubPr>
                      <m:ctrlPr>
                        <w:rPr>
                          <w:rFonts w:ascii="Cambria Math" w:hAnsi="Cambria Math" w:cstheme="minorHAnsi"/>
                          <w:color w:val="4A4A4A"/>
                          <w:sz w:val="22"/>
                          <w:szCs w:val="22"/>
                        </w:rPr>
                      </m:ctrlPr>
                    </m:sSubPr>
                    <m:e>
                      <m:r>
                        <m:rPr>
                          <m:sty m:val="p"/>
                        </m:rPr>
                        <w:rPr>
                          <w:rFonts w:ascii="Cambria Math" w:hAnsi="Cambria Math" w:cstheme="minorHAnsi"/>
                          <w:color w:val="4A4A4A"/>
                          <w:sz w:val="22"/>
                          <w:szCs w:val="22"/>
                        </w:rPr>
                        <m:t>p</m:t>
                      </m:r>
                    </m:e>
                    <m:sub>
                      <m:r>
                        <m:rPr>
                          <m:sty m:val="p"/>
                        </m:rPr>
                        <w:rPr>
                          <w:rFonts w:ascii="Cambria Math" w:hAnsi="Cambria Math" w:cstheme="minorHAnsi"/>
                          <w:color w:val="4A4A4A"/>
                          <w:sz w:val="22"/>
                          <w:szCs w:val="22"/>
                        </w:rPr>
                        <m:t>i</m:t>
                      </m:r>
                    </m:sub>
                  </m:sSub>
                  <m:r>
                    <m:rPr>
                      <m:sty m:val="p"/>
                    </m:rPr>
                    <w:rPr>
                      <w:rFonts w:ascii="Cambria Math" w:hAnsi="Cambria Math" w:cstheme="minorHAnsi"/>
                      <w:color w:val="4A4A4A"/>
                      <w:sz w:val="22"/>
                      <w:szCs w:val="22"/>
                    </w:rPr>
                    <m:t xml:space="preserve"> (</m:t>
                  </m:r>
                  <m:sSub>
                    <m:sSubPr>
                      <m:ctrlPr>
                        <w:rPr>
                          <w:rFonts w:ascii="Cambria Math" w:hAnsi="Cambria Math" w:cstheme="minorHAnsi"/>
                          <w:color w:val="4A4A4A"/>
                          <w:sz w:val="22"/>
                          <w:szCs w:val="22"/>
                        </w:rPr>
                      </m:ctrlPr>
                    </m:sSubPr>
                    <m:e>
                      <m:r>
                        <m:rPr>
                          <m:sty m:val="p"/>
                        </m:rPr>
                        <w:rPr>
                          <w:rFonts w:ascii="Cambria Math" w:hAnsi="Cambria Math" w:cstheme="minorHAnsi"/>
                          <w:color w:val="4A4A4A"/>
                          <w:sz w:val="22"/>
                          <w:szCs w:val="22"/>
                        </w:rPr>
                        <m:t>RR</m:t>
                      </m:r>
                    </m:e>
                    <m:sub>
                      <m:r>
                        <m:rPr>
                          <m:sty m:val="p"/>
                        </m:rPr>
                        <w:rPr>
                          <w:rFonts w:ascii="Cambria Math" w:hAnsi="Cambria Math" w:cstheme="minorHAnsi"/>
                          <w:color w:val="4A4A4A"/>
                          <w:sz w:val="22"/>
                          <w:szCs w:val="22"/>
                        </w:rPr>
                        <m:t>i</m:t>
                      </m:r>
                    </m:sub>
                  </m:sSub>
                  <m:r>
                    <m:rPr>
                      <m:sty m:val="p"/>
                    </m:rPr>
                    <w:rPr>
                      <w:rFonts w:ascii="Cambria Math" w:hAnsi="Cambria Math" w:cstheme="minorHAnsi"/>
                      <w:color w:val="4A4A4A"/>
                      <w:sz w:val="22"/>
                      <w:szCs w:val="22"/>
                    </w:rPr>
                    <m:t>-1)</m:t>
                  </m:r>
                </m:e>
              </m:nary>
            </m:num>
            <m:den>
              <m:nary>
                <m:naryPr>
                  <m:chr m:val="∑"/>
                  <m:limLoc m:val="undOvr"/>
                  <m:ctrlPr>
                    <w:rPr>
                      <w:rFonts w:ascii="Cambria Math" w:hAnsi="Cambria Math" w:cstheme="minorHAnsi"/>
                      <w:color w:val="4A4A4A"/>
                      <w:sz w:val="22"/>
                      <w:szCs w:val="22"/>
                    </w:rPr>
                  </m:ctrlPr>
                </m:naryPr>
                <m:sub>
                  <m:r>
                    <m:rPr>
                      <m:sty m:val="p"/>
                    </m:rPr>
                    <w:rPr>
                      <w:rFonts w:ascii="Cambria Math" w:hAnsi="Cambria Math" w:cstheme="minorHAnsi"/>
                      <w:color w:val="4A4A4A"/>
                      <w:sz w:val="22"/>
                      <w:szCs w:val="22"/>
                    </w:rPr>
                    <m:t>i=1</m:t>
                  </m:r>
                </m:sub>
                <m:sup>
                  <m:r>
                    <m:rPr>
                      <m:sty m:val="p"/>
                    </m:rPr>
                    <w:rPr>
                      <w:rFonts w:ascii="Cambria Math" w:hAnsi="Cambria Math" w:cstheme="minorHAnsi"/>
                      <w:color w:val="4A4A4A"/>
                      <w:sz w:val="22"/>
                      <w:szCs w:val="22"/>
                    </w:rPr>
                    <m:t>n</m:t>
                  </m:r>
                </m:sup>
                <m:e>
                  <m:sSub>
                    <m:sSubPr>
                      <m:ctrlPr>
                        <w:rPr>
                          <w:rFonts w:ascii="Cambria Math" w:hAnsi="Cambria Math" w:cstheme="minorHAnsi"/>
                          <w:color w:val="4A4A4A"/>
                          <w:sz w:val="22"/>
                          <w:szCs w:val="22"/>
                        </w:rPr>
                      </m:ctrlPr>
                    </m:sSubPr>
                    <m:e>
                      <m:r>
                        <m:rPr>
                          <m:sty m:val="p"/>
                        </m:rPr>
                        <w:rPr>
                          <w:rFonts w:ascii="Cambria Math" w:hAnsi="Cambria Math" w:cstheme="minorHAnsi"/>
                          <w:color w:val="4A4A4A"/>
                          <w:sz w:val="22"/>
                          <w:szCs w:val="22"/>
                        </w:rPr>
                        <m:t>p</m:t>
                      </m:r>
                    </m:e>
                    <m:sub>
                      <m:r>
                        <m:rPr>
                          <m:sty m:val="p"/>
                        </m:rPr>
                        <w:rPr>
                          <w:rFonts w:ascii="Cambria Math" w:hAnsi="Cambria Math" w:cstheme="minorHAnsi"/>
                          <w:color w:val="4A4A4A"/>
                          <w:sz w:val="22"/>
                          <w:szCs w:val="22"/>
                        </w:rPr>
                        <m:t>i</m:t>
                      </m:r>
                    </m:sub>
                  </m:sSub>
                  <m:d>
                    <m:dPr>
                      <m:ctrlPr>
                        <w:rPr>
                          <w:rFonts w:ascii="Cambria Math" w:hAnsi="Cambria Math" w:cstheme="minorHAnsi"/>
                          <w:color w:val="4A4A4A"/>
                          <w:sz w:val="22"/>
                          <w:szCs w:val="22"/>
                        </w:rPr>
                      </m:ctrlPr>
                    </m:dPr>
                    <m:e>
                      <m:sSub>
                        <m:sSubPr>
                          <m:ctrlPr>
                            <w:rPr>
                              <w:rFonts w:ascii="Cambria Math" w:hAnsi="Cambria Math" w:cstheme="minorHAnsi"/>
                              <w:color w:val="4A4A4A"/>
                              <w:sz w:val="22"/>
                              <w:szCs w:val="22"/>
                            </w:rPr>
                          </m:ctrlPr>
                        </m:sSubPr>
                        <m:e>
                          <m:r>
                            <m:rPr>
                              <m:sty m:val="p"/>
                            </m:rPr>
                            <w:rPr>
                              <w:rFonts w:ascii="Cambria Math" w:hAnsi="Cambria Math" w:cstheme="minorHAnsi"/>
                              <w:color w:val="4A4A4A"/>
                              <w:sz w:val="22"/>
                              <w:szCs w:val="22"/>
                            </w:rPr>
                            <m:t>RR</m:t>
                          </m:r>
                        </m:e>
                        <m:sub>
                          <m:r>
                            <m:rPr>
                              <m:sty m:val="p"/>
                            </m:rPr>
                            <w:rPr>
                              <w:rFonts w:ascii="Cambria Math" w:hAnsi="Cambria Math" w:cstheme="minorHAnsi"/>
                              <w:color w:val="4A4A4A"/>
                              <w:sz w:val="22"/>
                              <w:szCs w:val="22"/>
                            </w:rPr>
                            <m:t>i</m:t>
                          </m:r>
                        </m:sub>
                      </m:sSub>
                      <m:r>
                        <m:rPr>
                          <m:sty m:val="p"/>
                        </m:rPr>
                        <w:rPr>
                          <w:rFonts w:ascii="Cambria Math" w:hAnsi="Cambria Math" w:cstheme="minorHAnsi"/>
                          <w:color w:val="4A4A4A"/>
                          <w:sz w:val="22"/>
                          <w:szCs w:val="22"/>
                        </w:rPr>
                        <m:t>-1</m:t>
                      </m:r>
                    </m:e>
                  </m:d>
                  <m:r>
                    <m:rPr>
                      <m:sty m:val="p"/>
                    </m:rPr>
                    <w:rPr>
                      <w:rFonts w:ascii="Cambria Math" w:hAnsi="Cambria Math" w:cstheme="minorHAnsi"/>
                      <w:color w:val="4A4A4A"/>
                      <w:sz w:val="22"/>
                      <w:szCs w:val="22"/>
                    </w:rPr>
                    <m:t>+1</m:t>
                  </m:r>
                </m:e>
              </m:nary>
            </m:den>
          </m:f>
        </m:oMath>
      </m:oMathPara>
    </w:p>
    <w:p w14:paraId="57DDF4DD" w14:textId="77777777" w:rsidR="002037C0" w:rsidRPr="00D60653" w:rsidRDefault="002037C0" w:rsidP="002037C0">
      <w:pPr>
        <w:spacing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Where </w:t>
      </w:r>
      <w:r w:rsidRPr="00D60653">
        <w:rPr>
          <w:rFonts w:asciiTheme="minorHAnsi" w:hAnsiTheme="minorHAnsi" w:cstheme="minorHAnsi"/>
          <w:i/>
          <w:color w:val="4A4A4A"/>
          <w:sz w:val="22"/>
          <w:szCs w:val="22"/>
        </w:rPr>
        <w:t>pi</w:t>
      </w:r>
      <w:r w:rsidRPr="00D60653">
        <w:rPr>
          <w:rFonts w:asciiTheme="minorHAnsi" w:hAnsiTheme="minorHAnsi" w:cstheme="minorHAnsi"/>
          <w:color w:val="4A4A4A"/>
          <w:sz w:val="22"/>
          <w:szCs w:val="22"/>
        </w:rPr>
        <w:t xml:space="preserve"> and </w:t>
      </w:r>
      <w:proofErr w:type="spellStart"/>
      <w:r w:rsidRPr="00D60653">
        <w:rPr>
          <w:rFonts w:asciiTheme="minorHAnsi" w:hAnsiTheme="minorHAnsi" w:cstheme="minorHAnsi"/>
          <w:i/>
          <w:color w:val="4A4A4A"/>
          <w:sz w:val="22"/>
          <w:szCs w:val="22"/>
        </w:rPr>
        <w:t>RR</w:t>
      </w:r>
      <w:r w:rsidRPr="00D60653">
        <w:rPr>
          <w:rFonts w:asciiTheme="minorHAnsi" w:hAnsiTheme="minorHAnsi" w:cstheme="minorHAnsi"/>
          <w:i/>
          <w:color w:val="4A4A4A"/>
          <w:sz w:val="22"/>
          <w:szCs w:val="22"/>
          <w:vertAlign w:val="subscript"/>
        </w:rPr>
        <w:t>i</w:t>
      </w:r>
      <w:proofErr w:type="spellEnd"/>
      <w:r w:rsidRPr="00D60653">
        <w:rPr>
          <w:rFonts w:asciiTheme="minorHAnsi" w:hAnsiTheme="minorHAnsi" w:cstheme="minorHAnsi"/>
          <w:color w:val="4A4A4A"/>
          <w:sz w:val="22"/>
          <w:szCs w:val="22"/>
        </w:rPr>
        <w:t xml:space="preserve"> are the proportion of the exposed population and the relative risk at exposure level </w:t>
      </w:r>
      <w:proofErr w:type="spellStart"/>
      <w:r w:rsidRPr="00D60653">
        <w:rPr>
          <w:rFonts w:asciiTheme="minorHAnsi" w:hAnsiTheme="minorHAnsi" w:cstheme="minorHAnsi"/>
          <w:i/>
          <w:color w:val="4A4A4A"/>
          <w:sz w:val="22"/>
          <w:szCs w:val="22"/>
        </w:rPr>
        <w:t>i</w:t>
      </w:r>
      <w:proofErr w:type="spellEnd"/>
      <w:r w:rsidRPr="00D60653">
        <w:rPr>
          <w:rFonts w:asciiTheme="minorHAnsi" w:hAnsiTheme="minorHAnsi" w:cstheme="minorHAnsi"/>
          <w:color w:val="4A4A4A"/>
          <w:sz w:val="22"/>
          <w:szCs w:val="22"/>
        </w:rPr>
        <w:t xml:space="preserve">, respectively, and </w:t>
      </w:r>
      <w:r w:rsidRPr="00D60653">
        <w:rPr>
          <w:rFonts w:asciiTheme="minorHAnsi" w:hAnsiTheme="minorHAnsi" w:cstheme="minorHAnsi"/>
          <w:i/>
          <w:color w:val="4A4A4A"/>
          <w:sz w:val="22"/>
          <w:szCs w:val="22"/>
        </w:rPr>
        <w:t>n</w:t>
      </w:r>
      <w:r w:rsidRPr="00D60653">
        <w:rPr>
          <w:rFonts w:asciiTheme="minorHAnsi" w:hAnsiTheme="minorHAnsi" w:cstheme="minorHAnsi"/>
          <w:color w:val="4A4A4A"/>
          <w:sz w:val="22"/>
          <w:szCs w:val="22"/>
        </w:rPr>
        <w:t xml:space="preserve"> is the total number of exposure levels. The joint burden of exposure to unsafe water, sanitation and hygiene was estimated by the following formula </w:t>
      </w:r>
      <w:r w:rsidRPr="00D60653">
        <w:rPr>
          <w:rFonts w:asciiTheme="minorHAnsi" w:hAnsiTheme="minorHAnsi" w:cstheme="minorHAnsi"/>
          <w:color w:val="4A4A4A"/>
          <w:sz w:val="22"/>
          <w:szCs w:val="22"/>
        </w:rPr>
        <w:fldChar w:fldCharType="begin"/>
      </w:r>
      <w:r w:rsidRPr="00D60653">
        <w:rPr>
          <w:rFonts w:asciiTheme="minorHAnsi" w:hAnsiTheme="minorHAnsi" w:cstheme="minorHAnsi"/>
          <w:color w:val="4A4A4A"/>
          <w:sz w:val="22"/>
          <w:szCs w:val="22"/>
        </w:rPr>
        <w:instrText xml:space="preserve"> ADDIN ZOTERO_ITEM CSL_CITATION {"citationID":"a1p6njr9srb","properties":{"formattedCitation":"(8)","plainCitation":"(8)"},"citationItems":[{"id":496,"uris":["http://zotero.org/users/1405517/items/E5FGS4UT"],"uri":["http://zotero.org/users/1405517/items/E5FGS4UT"],"itemData":{"id":496,"type":"article-journal","title":"A comparative risk assessment of burden of disease and injury attributable to 67 risk factors and risk factor clusters in 21 regions, 1990–2010: a systematic analysis for the Global Burden of Disease Study 2010","container-title":"The Lancet","page":"2224–2260","volume":"380","issue":"9859","source":"Google Scholar","shortTitle":"A comparative risk assessment of burden of disease and injury attributable to 67 risk factors and risk factor clusters in 21 regions, 1990–2010","author":[{"family":"Lim","given":"S. S."},{"family":"Vos","given":"T."},{"family":"Flaxman","given":"A. D."},{"family":"Danaei","given":"G."},{"family":"Shibuya","given":"K."},{"family":"Adair-Rohani","given":"H."},{"family":"Amann","given":"M."},{"family":"Anderson","given":"H. R."},{"family":"Andrews","given":"K. G."},{"family":"Aryee","given":"M."}],"issued":{"date-parts":[["2013"]]}}}],"schema":"https://github.com/citation-style-language/schema/raw/master/csl-citation.json"} </w:instrText>
      </w:r>
      <w:r w:rsidRPr="00D60653">
        <w:rPr>
          <w:rFonts w:asciiTheme="minorHAnsi" w:hAnsiTheme="minorHAnsi" w:cstheme="minorHAnsi"/>
          <w:color w:val="4A4A4A"/>
          <w:sz w:val="22"/>
          <w:szCs w:val="22"/>
        </w:rPr>
        <w:fldChar w:fldCharType="separate"/>
      </w:r>
      <w:r w:rsidRPr="00D60653">
        <w:rPr>
          <w:rFonts w:asciiTheme="minorHAnsi" w:hAnsiTheme="minorHAnsi" w:cstheme="minorHAnsi"/>
          <w:color w:val="4A4A4A"/>
          <w:sz w:val="22"/>
          <w:szCs w:val="22"/>
        </w:rPr>
        <w:t>(6)</w:t>
      </w:r>
      <w:r w:rsidRPr="00D60653">
        <w:rPr>
          <w:rFonts w:asciiTheme="minorHAnsi" w:hAnsiTheme="minorHAnsi" w:cstheme="minorHAnsi"/>
          <w:color w:val="4A4A4A"/>
          <w:sz w:val="22"/>
          <w:szCs w:val="22"/>
        </w:rPr>
        <w:fldChar w:fldCharType="end"/>
      </w:r>
      <w:r w:rsidRPr="00D60653">
        <w:rPr>
          <w:rFonts w:asciiTheme="minorHAnsi" w:hAnsiTheme="minorHAnsi" w:cstheme="minorHAnsi"/>
          <w:color w:val="4A4A4A"/>
          <w:sz w:val="22"/>
          <w:szCs w:val="22"/>
        </w:rPr>
        <w:t>:</w:t>
      </w:r>
    </w:p>
    <w:p w14:paraId="790794A1" w14:textId="77777777" w:rsidR="002037C0" w:rsidRPr="00D60653" w:rsidRDefault="002037C0" w:rsidP="002037C0">
      <w:pPr>
        <w:spacing w:after="200" w:line="276" w:lineRule="auto"/>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 </w:t>
      </w:r>
      <m:oMath>
        <m:r>
          <m:rPr>
            <m:sty m:val="p"/>
          </m:rPr>
          <w:rPr>
            <w:rFonts w:ascii="Cambria Math" w:hAnsi="Cambria Math" w:cstheme="minorHAnsi"/>
            <w:color w:val="4A4A4A"/>
            <w:sz w:val="22"/>
            <w:szCs w:val="22"/>
          </w:rPr>
          <m:t xml:space="preserve">PAF=1- </m:t>
        </m:r>
        <m:nary>
          <m:naryPr>
            <m:chr m:val="∏"/>
            <m:limLoc m:val="undOvr"/>
            <m:ctrlPr>
              <w:rPr>
                <w:rFonts w:ascii="Cambria Math" w:hAnsi="Cambria Math" w:cstheme="minorHAnsi"/>
                <w:color w:val="4A4A4A"/>
                <w:sz w:val="22"/>
                <w:szCs w:val="22"/>
              </w:rPr>
            </m:ctrlPr>
          </m:naryPr>
          <m:sub>
            <m:r>
              <m:rPr>
                <m:sty m:val="p"/>
              </m:rPr>
              <w:rPr>
                <w:rFonts w:ascii="Cambria Math" w:hAnsi="Cambria Math" w:cstheme="minorHAnsi"/>
                <w:color w:val="4A4A4A"/>
                <w:sz w:val="22"/>
                <w:szCs w:val="22"/>
              </w:rPr>
              <m:t>r=1</m:t>
            </m:r>
          </m:sub>
          <m:sup>
            <m:r>
              <m:rPr>
                <m:sty m:val="p"/>
              </m:rPr>
              <w:rPr>
                <w:rFonts w:ascii="Cambria Math" w:hAnsi="Cambria Math" w:cstheme="minorHAnsi"/>
                <w:color w:val="4A4A4A"/>
                <w:sz w:val="22"/>
                <w:szCs w:val="22"/>
              </w:rPr>
              <m:t>R</m:t>
            </m:r>
          </m:sup>
          <m:e>
            <m:r>
              <m:rPr>
                <m:sty m:val="p"/>
              </m:rPr>
              <w:rPr>
                <w:rFonts w:ascii="Cambria Math" w:hAnsi="Cambria Math" w:cstheme="minorHAnsi"/>
                <w:color w:val="4A4A4A"/>
                <w:sz w:val="22"/>
                <w:szCs w:val="22"/>
              </w:rPr>
              <m:t>(1-</m:t>
            </m:r>
            <m:sSub>
              <m:sSubPr>
                <m:ctrlPr>
                  <w:rPr>
                    <w:rFonts w:ascii="Cambria Math" w:hAnsi="Cambria Math" w:cstheme="minorHAnsi"/>
                    <w:color w:val="4A4A4A"/>
                    <w:sz w:val="22"/>
                    <w:szCs w:val="22"/>
                  </w:rPr>
                </m:ctrlPr>
              </m:sSubPr>
              <m:e>
                <m:r>
                  <m:rPr>
                    <m:sty m:val="p"/>
                  </m:rPr>
                  <w:rPr>
                    <w:rFonts w:ascii="Cambria Math" w:hAnsi="Cambria Math" w:cstheme="minorHAnsi"/>
                    <w:color w:val="4A4A4A"/>
                    <w:sz w:val="22"/>
                    <w:szCs w:val="22"/>
                  </w:rPr>
                  <m:t>PAF</m:t>
                </m:r>
              </m:e>
              <m:sub>
                <m:r>
                  <m:rPr>
                    <m:sty m:val="p"/>
                  </m:rPr>
                  <w:rPr>
                    <w:rFonts w:ascii="Cambria Math" w:hAnsi="Cambria Math" w:cstheme="minorHAnsi"/>
                    <w:color w:val="4A4A4A"/>
                    <w:sz w:val="22"/>
                    <w:szCs w:val="22"/>
                  </w:rPr>
                  <m:t>r</m:t>
                </m:r>
              </m:sub>
            </m:sSub>
            <m:r>
              <m:rPr>
                <m:sty m:val="p"/>
              </m:rPr>
              <w:rPr>
                <w:rFonts w:ascii="Cambria Math" w:hAnsi="Cambria Math" w:cstheme="minorHAnsi"/>
                <w:color w:val="4A4A4A"/>
                <w:sz w:val="22"/>
                <w:szCs w:val="22"/>
              </w:rPr>
              <m:t>)</m:t>
            </m:r>
          </m:e>
        </m:nary>
      </m:oMath>
    </w:p>
    <w:p w14:paraId="32DDD63B" w14:textId="77777777" w:rsidR="002037C0" w:rsidRPr="00D60653" w:rsidRDefault="002037C0" w:rsidP="002037C0">
      <w:pPr>
        <w:autoSpaceDE w:val="0"/>
        <w:autoSpaceDN w:val="0"/>
        <w:adjustRightInd w:val="0"/>
        <w:spacing w:after="120"/>
        <w:ind w:left="40" w:right="-23"/>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Where </w:t>
      </w:r>
      <w:r w:rsidRPr="00D60653">
        <w:rPr>
          <w:rFonts w:asciiTheme="minorHAnsi" w:hAnsiTheme="minorHAnsi" w:cstheme="minorHAnsi"/>
          <w:i/>
          <w:color w:val="4A4A4A"/>
          <w:sz w:val="22"/>
          <w:szCs w:val="22"/>
        </w:rPr>
        <w:t xml:space="preserve">r </w:t>
      </w:r>
      <w:r w:rsidRPr="00D60653">
        <w:rPr>
          <w:rFonts w:asciiTheme="minorHAnsi" w:hAnsiTheme="minorHAnsi" w:cstheme="minorHAnsi"/>
          <w:color w:val="4A4A4A"/>
          <w:sz w:val="22"/>
          <w:szCs w:val="22"/>
        </w:rPr>
        <w:t xml:space="preserve">is the individual risk factor, and </w:t>
      </w:r>
      <w:r w:rsidRPr="00D60653">
        <w:rPr>
          <w:rFonts w:asciiTheme="minorHAnsi" w:hAnsiTheme="minorHAnsi" w:cstheme="minorHAnsi"/>
          <w:i/>
          <w:color w:val="4A4A4A"/>
          <w:sz w:val="22"/>
          <w:szCs w:val="22"/>
        </w:rPr>
        <w:t>R</w:t>
      </w:r>
      <w:r w:rsidRPr="00D60653">
        <w:rPr>
          <w:rFonts w:asciiTheme="minorHAnsi" w:hAnsiTheme="minorHAnsi" w:cstheme="minorHAnsi"/>
          <w:color w:val="4A4A4A"/>
          <w:sz w:val="22"/>
          <w:szCs w:val="22"/>
        </w:rPr>
        <w:t xml:space="preserve"> the total of risk factors accounted for in the cluster. Additional details on the methods of estimation are available from various publications </w:t>
      </w:r>
      <w:r w:rsidRPr="00D60653">
        <w:rPr>
          <w:rFonts w:asciiTheme="minorHAnsi" w:hAnsiTheme="minorHAnsi" w:cstheme="minorHAnsi"/>
          <w:color w:val="4A4A4A"/>
          <w:sz w:val="22"/>
          <w:szCs w:val="22"/>
        </w:rPr>
        <w:fldChar w:fldCharType="begin"/>
      </w:r>
      <w:r w:rsidRPr="00D60653">
        <w:rPr>
          <w:rFonts w:asciiTheme="minorHAnsi" w:hAnsiTheme="minorHAnsi" w:cstheme="minorHAnsi"/>
          <w:color w:val="4A4A4A"/>
          <w:sz w:val="22"/>
          <w:szCs w:val="22"/>
        </w:rPr>
        <w:instrText xml:space="preserve"> ADDIN ZOTERO_ITEM CSL_CITATION {"citationID":"ac867k0hcj","properties":{"formattedCitation":"(1,9)","plainCitation":"(1,9)"},"citationItems":[{"id":4113,"uris":["http://zotero.org/users/1405517/items/N9GTQ4U6"],"uri":["http://zotero.org/users/1405517/items/N9GTQ4U6"],"itemData":{"id":4113,"type":"article-journal","title":"Burden of disease from inadequate water, sanitation and hygiene in low- and middle-income settings: a retrospective analysis of data from 145 countries","container-title":"Tropical medicine &amp; international health","page":"894-905","volume":"19","issue":"8","source":"NCBI PubMed","abstract":"OBJECTIVE: To estimate the burden of diarrhoeal diseases from exposure to inadequate water, sanitation and hand hygiene in low- and middle-income settings and provide an overview of the impact on other diseases.\nMETHODS: For estimating the impact of water, sanitation and hygiene on diarrhoea, we selected exposure levels with both sufficient global exposure data and a matching exposure-risk relationship. Global exposure data were estimated for the year 2012, and risk estimates were taken from the most recent systematic analyses. We estimated attributable deaths and disability-adjusted life years (DALYs) by country, age and sex for inadequate water, sanitation and hand hygiene separately, and as a cluster of risk factors. Uncertainty estimates were computed on the basis of uncertainty surrounding exposure estimates and relative risks.\nRESULTS: In 2012, 502 000 diarrhoea deaths were estimated to be caused by inadequate drinking water and 280 000 deaths by inadequate sanitation. The most likely estimate of disease burden from inadequate hand hygiene amounts to 297 000 deaths. In total, 842 000 diarrhoea deaths are estimated to be caused by this cluster of risk factors, which amounts to 1.5% of the total disease burden and 58% of diarrhoeal diseases. In children under 5 years old, 361 000 deaths could be prevented, representing 5.5% of deaths in that age group.\nCONCLUSIONS: This estimate confirms the importance of improving water and sanitation in low- and middle-income settings for the prevention of diarrhoeal disease burden. It also underscores the need for better data on exposure and risk reductions that can be achieved with provision of reliable piped water, community sewage with treatment and hand hygiene.","DOI":"10.1111/tmi.12329","ISSN":"1365-3156","note":"PMID: 24779548","shortTitle":"Burden of disease from inadequate water, sanitation and hygiene in low- and middle-income settings","journalAbbreviation":"Trop. Med. Int. Health","language":"ENG","author":[{"family":"Prüss-Ustün","given":"Annette"},{"family":"Bartram","given":"Jamie"},{"family":"Clasen","given":"Thomas"},{"family":"Colford","given":"John M","suffix":"Jr"},{"family":"Cumming","given":"Oliver"},{"family":"Curtis","given":"Valerie"},{"family":"Bonjour","given":"Sophie"},{"family":"Dangour","given":"Alan D"},{"family":"De France","given":"Jennifer"},{"family":"Fewtrell","given":"Lorna"},{"family":"Freeman","given":"Matthew C"},{"family":"Gordon","given":"Bruce"},{"family":"Hunter","given":"Paul R"},{"family":"Johnston","given":"Richard B"},{"family":"Mathers","given":"Colin"},{"family":"Mäusezahl","given":"Daniel"},{"family":"Medlicott","given":"Kate"},{"family":"Neira","given":"Maria"},{"family":"Stocks","given":"Meredith"},{"family":"Wolf","given":"Jennyfer"},{"family":"Cairncross","given":"Sandy"}],"issued":{"date-parts":[["2014"]]}}},{"id":23550,"uris":["http://zotero.org/users/1405517/items/BVHLCWFR"],"uri":["http://zotero.org/users/1405517/items/BVHLCWFR"],"itemData":{"id":23550,"type":"report","title":"Preventing diarrhoea through better water, sanitation and hygiene: Exposures and impacts in low- and middle-income countries","publisher":"World Health Organization","publisher-place":"Geneva","event-place":"Geneva","URL":"http://apps.who.int/iris/bitstream/10665/150112/1/9789241564823_eng.pdf","author":[{"family":"WHO","given":""}],"issued":{"date-parts":[["2014"]]},"accessed":{"date-parts":[["2017",11,27]]}}}],"schema":"https://github.com/citation-style-language/schema/raw/master/csl-citation.json"} </w:instrText>
      </w:r>
      <w:r w:rsidRPr="00D60653">
        <w:rPr>
          <w:rFonts w:asciiTheme="minorHAnsi" w:hAnsiTheme="minorHAnsi" w:cstheme="minorHAnsi"/>
          <w:color w:val="4A4A4A"/>
          <w:sz w:val="22"/>
          <w:szCs w:val="22"/>
        </w:rPr>
        <w:fldChar w:fldCharType="separate"/>
      </w:r>
      <w:r w:rsidRPr="00D60653">
        <w:rPr>
          <w:rFonts w:asciiTheme="minorHAnsi" w:hAnsiTheme="minorHAnsi" w:cstheme="minorHAnsi"/>
          <w:color w:val="4A4A4A"/>
          <w:sz w:val="22"/>
          <w:szCs w:val="22"/>
        </w:rPr>
        <w:t>(1,7)</w:t>
      </w:r>
      <w:r w:rsidRPr="00D60653">
        <w:rPr>
          <w:rFonts w:asciiTheme="minorHAnsi" w:hAnsiTheme="minorHAnsi" w:cstheme="minorHAnsi"/>
          <w:color w:val="4A4A4A"/>
          <w:sz w:val="22"/>
          <w:szCs w:val="22"/>
        </w:rPr>
        <w:fldChar w:fldCharType="end"/>
      </w:r>
      <w:r w:rsidRPr="00D60653">
        <w:rPr>
          <w:rFonts w:asciiTheme="minorHAnsi" w:hAnsiTheme="minorHAnsi" w:cstheme="minorHAnsi"/>
          <w:color w:val="4A4A4A"/>
          <w:sz w:val="22"/>
          <w:szCs w:val="22"/>
        </w:rPr>
        <w:t xml:space="preserve">. </w:t>
      </w:r>
    </w:p>
    <w:p w14:paraId="1039F47B" w14:textId="0CDB0A26" w:rsidR="002037C0" w:rsidRPr="00977027" w:rsidRDefault="002037C0" w:rsidP="00054A14">
      <w:pPr>
        <w:pStyle w:val="paragraph"/>
        <w:shd w:val="clear" w:color="auto" w:fill="FFFFFF"/>
        <w:spacing w:before="0" w:beforeAutospacing="0" w:after="0" w:afterAutospacing="0"/>
        <w:textAlignment w:val="baseline"/>
        <w:rPr>
          <w:rStyle w:val="normaltextrun"/>
          <w:rFonts w:asciiTheme="minorHAnsi" w:hAnsiTheme="minorHAnsi" w:cstheme="minorHAnsi"/>
          <w:color w:val="4A4A4A"/>
          <w:sz w:val="22"/>
          <w:szCs w:val="22"/>
          <w:lang w:val="en-GB"/>
        </w:rPr>
      </w:pPr>
    </w:p>
    <w:p w14:paraId="4A211DE9" w14:textId="3B98B9BB" w:rsidR="00160AE4" w:rsidRPr="003F5222" w:rsidRDefault="00160AE4" w:rsidP="00054A14">
      <w:pPr>
        <w:pStyle w:val="paragraph"/>
        <w:shd w:val="clear" w:color="auto" w:fill="FFFFFF"/>
        <w:spacing w:before="0" w:beforeAutospacing="0" w:after="0" w:afterAutospacing="0"/>
        <w:textAlignment w:val="baseline"/>
        <w:rPr>
          <w:rStyle w:val="normaltextrun"/>
          <w:rFonts w:asciiTheme="minorHAnsi" w:hAnsiTheme="minorHAnsi" w:cstheme="minorHAnsi"/>
          <w:color w:val="4A4A4A"/>
          <w:sz w:val="22"/>
          <w:szCs w:val="22"/>
          <w:lang w:val="en-GB"/>
        </w:rPr>
      </w:pPr>
      <w:r w:rsidRPr="003F5222">
        <w:rPr>
          <w:rStyle w:val="normaltextrun"/>
          <w:rFonts w:asciiTheme="minorHAnsi" w:hAnsiTheme="minorHAnsi" w:cstheme="minorHAnsi"/>
          <w:color w:val="4A4A4A"/>
          <w:sz w:val="22"/>
          <w:szCs w:val="22"/>
          <w:lang w:val="en-GB"/>
        </w:rPr>
        <w:t>This methodology has been used extensively to calculate the health gains from improvements in water supply, as well as sanitation and hygiene and had been published in various documents (</w:t>
      </w:r>
      <w:proofErr w:type="spellStart"/>
      <w:r w:rsidRPr="003F5222">
        <w:rPr>
          <w:rStyle w:val="normaltextrun"/>
          <w:rFonts w:asciiTheme="minorHAnsi" w:hAnsiTheme="minorHAnsi" w:cstheme="minorHAnsi"/>
          <w:color w:val="4A4A4A"/>
          <w:sz w:val="22"/>
          <w:szCs w:val="22"/>
          <w:lang w:val="en-GB"/>
        </w:rPr>
        <w:t>Clasen</w:t>
      </w:r>
      <w:proofErr w:type="spellEnd"/>
      <w:r w:rsidRPr="003F5222">
        <w:rPr>
          <w:rStyle w:val="normaltextrun"/>
          <w:rFonts w:asciiTheme="minorHAnsi" w:hAnsiTheme="minorHAnsi" w:cstheme="minorHAnsi"/>
          <w:color w:val="4A4A4A"/>
          <w:sz w:val="22"/>
          <w:szCs w:val="22"/>
          <w:lang w:val="en-GB"/>
        </w:rPr>
        <w:t xml:space="preserve"> et al., 2014; </w:t>
      </w:r>
      <w:proofErr w:type="spellStart"/>
      <w:r w:rsidRPr="003F5222">
        <w:rPr>
          <w:rStyle w:val="normaltextrun"/>
          <w:rFonts w:asciiTheme="minorHAnsi" w:hAnsiTheme="minorHAnsi" w:cstheme="minorHAnsi"/>
          <w:color w:val="4A4A4A"/>
          <w:sz w:val="22"/>
          <w:szCs w:val="22"/>
          <w:lang w:val="en-GB"/>
        </w:rPr>
        <w:t>Prüss-Ustün</w:t>
      </w:r>
      <w:proofErr w:type="spellEnd"/>
      <w:r w:rsidRPr="003F5222">
        <w:rPr>
          <w:rStyle w:val="normaltextrun"/>
          <w:rFonts w:asciiTheme="minorHAnsi" w:hAnsiTheme="minorHAnsi" w:cstheme="minorHAnsi"/>
          <w:color w:val="4A4A4A"/>
          <w:sz w:val="22"/>
          <w:szCs w:val="22"/>
          <w:lang w:val="en-GB"/>
        </w:rPr>
        <w:t xml:space="preserve"> et al., 2014; </w:t>
      </w:r>
      <w:proofErr w:type="spellStart"/>
      <w:r w:rsidRPr="003F5222">
        <w:rPr>
          <w:rStyle w:val="normaltextrun"/>
          <w:rFonts w:asciiTheme="minorHAnsi" w:hAnsiTheme="minorHAnsi" w:cstheme="minorHAnsi"/>
          <w:color w:val="4A4A4A"/>
          <w:sz w:val="22"/>
          <w:szCs w:val="22"/>
          <w:lang w:val="en-GB"/>
        </w:rPr>
        <w:t>Prüss-Ustün</w:t>
      </w:r>
      <w:proofErr w:type="spellEnd"/>
      <w:r w:rsidRPr="003F5222">
        <w:rPr>
          <w:rStyle w:val="normaltextrun"/>
          <w:rFonts w:asciiTheme="minorHAnsi" w:hAnsiTheme="minorHAnsi" w:cstheme="minorHAnsi"/>
          <w:color w:val="4A4A4A"/>
          <w:sz w:val="22"/>
          <w:szCs w:val="22"/>
          <w:lang w:val="en-GB"/>
        </w:rPr>
        <w:t xml:space="preserve"> et al., 2019)</w:t>
      </w:r>
    </w:p>
    <w:p w14:paraId="6D1A0004" w14:textId="197F856D" w:rsidR="00702F74" w:rsidRPr="00977027" w:rsidRDefault="00702F74" w:rsidP="00054A14">
      <w:pPr>
        <w:pStyle w:val="paragraph"/>
        <w:shd w:val="clear" w:color="auto" w:fill="FFFFFF"/>
        <w:spacing w:before="0" w:beforeAutospacing="0" w:after="0" w:afterAutospacing="0"/>
        <w:textAlignment w:val="baseline"/>
        <w:rPr>
          <w:rStyle w:val="normaltextrun"/>
          <w:rFonts w:asciiTheme="minorHAnsi" w:hAnsiTheme="minorHAnsi" w:cstheme="minorHAnsi"/>
          <w:color w:val="4A4A4A"/>
          <w:sz w:val="22"/>
          <w:szCs w:val="22"/>
          <w:lang w:val="en-GB"/>
        </w:rPr>
      </w:pPr>
    </w:p>
    <w:p w14:paraId="1DFEF237" w14:textId="77777777" w:rsidR="00695185" w:rsidRPr="00D60653" w:rsidRDefault="00702F74" w:rsidP="00702F74">
      <w:pPr>
        <w:spacing w:before="120"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The following four types of data are required to produce </w:t>
      </w:r>
      <w:r w:rsidR="00695185" w:rsidRPr="00D60653">
        <w:rPr>
          <w:rFonts w:asciiTheme="minorHAnsi" w:hAnsiTheme="minorHAnsi" w:cstheme="minorHAnsi"/>
          <w:color w:val="4A4A4A"/>
          <w:sz w:val="22"/>
          <w:szCs w:val="22"/>
        </w:rPr>
        <w:t>estimates for indicator 3.9.2</w:t>
      </w:r>
      <w:r w:rsidRPr="00D60653">
        <w:rPr>
          <w:rFonts w:asciiTheme="minorHAnsi" w:hAnsiTheme="minorHAnsi" w:cstheme="minorHAnsi"/>
          <w:color w:val="4A4A4A"/>
          <w:sz w:val="22"/>
          <w:szCs w:val="22"/>
        </w:rPr>
        <w:t>:</w:t>
      </w:r>
    </w:p>
    <w:tbl>
      <w:tblPr>
        <w:tblStyle w:val="TableGrid"/>
        <w:tblW w:w="9209" w:type="dxa"/>
        <w:tblLayout w:type="fixed"/>
        <w:tblLook w:val="04A0" w:firstRow="1" w:lastRow="0" w:firstColumn="1" w:lastColumn="0" w:noHBand="0" w:noVBand="1"/>
      </w:tblPr>
      <w:tblGrid>
        <w:gridCol w:w="5234"/>
        <w:gridCol w:w="3975"/>
      </w:tblGrid>
      <w:tr w:rsidR="0090202F" w:rsidRPr="0090202F" w14:paraId="25DE35E0" w14:textId="77777777" w:rsidTr="00072855">
        <w:tc>
          <w:tcPr>
            <w:tcW w:w="5234" w:type="dxa"/>
          </w:tcPr>
          <w:p w14:paraId="2D5CA06F" w14:textId="6A06724F" w:rsidR="00072855" w:rsidRPr="00D60653" w:rsidRDefault="00072855" w:rsidP="00702F74">
            <w:pPr>
              <w:spacing w:before="120"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Data type </w:t>
            </w:r>
          </w:p>
        </w:tc>
        <w:tc>
          <w:tcPr>
            <w:tcW w:w="3975" w:type="dxa"/>
          </w:tcPr>
          <w:p w14:paraId="55837CB2" w14:textId="4711217A" w:rsidR="00072855" w:rsidRPr="00D60653" w:rsidRDefault="00072855" w:rsidP="00702F74">
            <w:pPr>
              <w:spacing w:before="120"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Source</w:t>
            </w:r>
          </w:p>
        </w:tc>
      </w:tr>
      <w:tr w:rsidR="0090202F" w:rsidRPr="006D4BDD" w14:paraId="420A0A87" w14:textId="77777777" w:rsidTr="00072855">
        <w:tc>
          <w:tcPr>
            <w:tcW w:w="5234" w:type="dxa"/>
          </w:tcPr>
          <w:p w14:paraId="3F082827" w14:textId="1DF5C61E" w:rsidR="00072855" w:rsidRPr="0090202F" w:rsidRDefault="00072855" w:rsidP="00695185">
            <w:pPr>
              <w:spacing w:before="120" w:after="120"/>
              <w:jc w:val="both"/>
              <w:rPr>
                <w:rStyle w:val="normaltextrun"/>
                <w:rFonts w:asciiTheme="minorHAnsi" w:hAnsiTheme="minorHAnsi" w:cstheme="minorHAnsi"/>
                <w:color w:val="4A4A4A"/>
                <w:sz w:val="22"/>
                <w:szCs w:val="22"/>
              </w:rPr>
            </w:pPr>
            <w:r w:rsidRPr="0090202F">
              <w:rPr>
                <w:rStyle w:val="normaltextrun"/>
                <w:rFonts w:asciiTheme="minorHAnsi" w:hAnsiTheme="minorHAnsi" w:cstheme="minorHAnsi"/>
                <w:color w:val="4A4A4A"/>
                <w:sz w:val="22"/>
                <w:szCs w:val="22"/>
              </w:rPr>
              <w:t xml:space="preserve">Population </w:t>
            </w:r>
          </w:p>
          <w:p w14:paraId="232E89E0" w14:textId="6F5F8898" w:rsidR="00072855" w:rsidRPr="0090202F" w:rsidRDefault="00072855" w:rsidP="00695185">
            <w:pPr>
              <w:spacing w:before="120" w:after="120"/>
              <w:jc w:val="both"/>
              <w:rPr>
                <w:rStyle w:val="normaltextrun"/>
                <w:rFonts w:asciiTheme="minorHAnsi" w:hAnsiTheme="minorHAnsi" w:cstheme="minorHAnsi"/>
                <w:color w:val="4A4A4A"/>
                <w:sz w:val="22"/>
                <w:szCs w:val="22"/>
              </w:rPr>
            </w:pPr>
            <w:r w:rsidRPr="0090202F">
              <w:rPr>
                <w:rStyle w:val="normaltextrun"/>
                <w:rFonts w:asciiTheme="minorHAnsi" w:hAnsiTheme="minorHAnsi" w:cstheme="minorHAnsi"/>
                <w:color w:val="4A4A4A"/>
                <w:sz w:val="22"/>
                <w:szCs w:val="22"/>
              </w:rPr>
              <w:t xml:space="preserve">Country level population figures </w:t>
            </w:r>
          </w:p>
        </w:tc>
        <w:tc>
          <w:tcPr>
            <w:tcW w:w="3975" w:type="dxa"/>
          </w:tcPr>
          <w:p w14:paraId="4B6C287F" w14:textId="740C27D1" w:rsidR="00072855" w:rsidRPr="00D60653" w:rsidRDefault="00072855" w:rsidP="003F5222">
            <w:pPr>
              <w:spacing w:before="120" w:after="120"/>
              <w:rPr>
                <w:rStyle w:val="normaltextrun"/>
                <w:rFonts w:asciiTheme="minorHAnsi" w:hAnsiTheme="minorHAnsi" w:cstheme="minorHAnsi"/>
                <w:color w:val="4A4A4A"/>
                <w:sz w:val="22"/>
                <w:szCs w:val="22"/>
                <w:lang w:val="fr-FR"/>
              </w:rPr>
            </w:pPr>
            <w:r w:rsidRPr="00D60653">
              <w:rPr>
                <w:rStyle w:val="eop"/>
                <w:rFonts w:asciiTheme="minorHAnsi" w:hAnsiTheme="minorHAnsi" w:cstheme="minorHAnsi"/>
                <w:color w:val="4A4A4A"/>
                <w:sz w:val="22"/>
                <w:szCs w:val="22"/>
                <w:u w:val="single"/>
                <w:lang w:val="fr-FR"/>
              </w:rPr>
              <w:t xml:space="preserve">UN Population Division. </w:t>
            </w:r>
            <w:hyperlink r:id="rId11" w:history="1">
              <w:r w:rsidRPr="00D60653">
                <w:rPr>
                  <w:rStyle w:val="Hyperlink"/>
                  <w:rFonts w:asciiTheme="minorHAnsi" w:hAnsiTheme="minorHAnsi" w:cstheme="minorHAnsi"/>
                  <w:color w:val="4A4A4A"/>
                  <w:sz w:val="22"/>
                  <w:szCs w:val="22"/>
                  <w:lang w:val="fr-FR"/>
                </w:rPr>
                <w:t>https://population.un.org/wpp/</w:t>
              </w:r>
            </w:hyperlink>
          </w:p>
        </w:tc>
      </w:tr>
      <w:tr w:rsidR="0090202F" w:rsidRPr="0090202F" w14:paraId="78A408A3" w14:textId="77777777" w:rsidTr="00072855">
        <w:tc>
          <w:tcPr>
            <w:tcW w:w="5234" w:type="dxa"/>
          </w:tcPr>
          <w:p w14:paraId="11CE88DA" w14:textId="6C8E14E8" w:rsidR="00072855" w:rsidRPr="0090202F" w:rsidRDefault="00072855" w:rsidP="00695185">
            <w:pPr>
              <w:spacing w:before="120" w:after="120"/>
              <w:jc w:val="both"/>
              <w:rPr>
                <w:rStyle w:val="normaltextrun"/>
                <w:rFonts w:asciiTheme="minorHAnsi" w:hAnsiTheme="minorHAnsi" w:cstheme="minorHAnsi"/>
                <w:color w:val="4A4A4A"/>
                <w:sz w:val="22"/>
                <w:szCs w:val="22"/>
              </w:rPr>
            </w:pPr>
            <w:r w:rsidRPr="0090202F">
              <w:rPr>
                <w:rStyle w:val="normaltextrun"/>
                <w:rFonts w:asciiTheme="minorHAnsi" w:hAnsiTheme="minorHAnsi" w:cstheme="minorHAnsi"/>
                <w:color w:val="4A4A4A"/>
                <w:sz w:val="22"/>
                <w:szCs w:val="22"/>
              </w:rPr>
              <w:t xml:space="preserve">Exposure </w:t>
            </w:r>
          </w:p>
          <w:p w14:paraId="7D8093C0" w14:textId="2AC9910E" w:rsidR="00072855" w:rsidRPr="0090202F" w:rsidRDefault="00072855" w:rsidP="00695185">
            <w:pPr>
              <w:spacing w:before="120" w:after="120"/>
              <w:jc w:val="both"/>
              <w:rPr>
                <w:rStyle w:val="normaltextrun"/>
                <w:rFonts w:asciiTheme="minorHAnsi" w:hAnsiTheme="minorHAnsi" w:cstheme="minorHAnsi"/>
                <w:color w:val="4A4A4A"/>
                <w:sz w:val="22"/>
                <w:szCs w:val="22"/>
              </w:rPr>
            </w:pPr>
            <w:r w:rsidRPr="0090202F">
              <w:rPr>
                <w:rStyle w:val="normaltextrun"/>
                <w:rFonts w:asciiTheme="minorHAnsi" w:hAnsiTheme="minorHAnsi" w:cstheme="minorHAnsi"/>
                <w:color w:val="4A4A4A"/>
                <w:sz w:val="22"/>
                <w:szCs w:val="22"/>
              </w:rPr>
              <w:t xml:space="preserve">The necessary water indicators include </w:t>
            </w:r>
          </w:p>
          <w:p w14:paraId="7CAE79BE" w14:textId="77777777" w:rsidR="00072855" w:rsidRPr="00D60653" w:rsidRDefault="00072855" w:rsidP="003A52FF">
            <w:pPr>
              <w:pStyle w:val="ListParagraph"/>
              <w:numPr>
                <w:ilvl w:val="0"/>
                <w:numId w:val="8"/>
              </w:numPr>
              <w:spacing w:before="120" w:after="120"/>
              <w:ind w:left="309" w:hanging="283"/>
              <w:jc w:val="both"/>
              <w:rPr>
                <w:rStyle w:val="normaltextrun"/>
                <w:rFonts w:cstheme="minorHAnsi"/>
                <w:color w:val="4A4A4A"/>
              </w:rPr>
            </w:pPr>
            <w:r w:rsidRPr="0090202F">
              <w:rPr>
                <w:rStyle w:val="normaltextrun"/>
                <w:rFonts w:cstheme="minorHAnsi"/>
                <w:color w:val="4A4A4A"/>
              </w:rPr>
              <w:t xml:space="preserve">safely managed drinking water </w:t>
            </w:r>
            <w:proofErr w:type="gramStart"/>
            <w:r w:rsidRPr="0090202F">
              <w:rPr>
                <w:rStyle w:val="normaltextrun"/>
                <w:rFonts w:cstheme="minorHAnsi"/>
                <w:color w:val="4A4A4A"/>
              </w:rPr>
              <w:t>services;</w:t>
            </w:r>
            <w:proofErr w:type="gramEnd"/>
            <w:r w:rsidRPr="0090202F">
              <w:rPr>
                <w:rStyle w:val="normaltextrun"/>
                <w:rFonts w:cstheme="minorHAnsi"/>
                <w:color w:val="4A4A4A"/>
              </w:rPr>
              <w:t xml:space="preserve">  </w:t>
            </w:r>
          </w:p>
          <w:p w14:paraId="36B2CA20" w14:textId="77777777" w:rsidR="00072855" w:rsidRPr="00D60653" w:rsidRDefault="00072855" w:rsidP="003A52FF">
            <w:pPr>
              <w:pStyle w:val="ListParagraph"/>
              <w:numPr>
                <w:ilvl w:val="0"/>
                <w:numId w:val="8"/>
              </w:numPr>
              <w:spacing w:before="120" w:after="120"/>
              <w:ind w:left="309" w:hanging="283"/>
              <w:jc w:val="both"/>
              <w:rPr>
                <w:rStyle w:val="normaltextrun"/>
                <w:rFonts w:cstheme="minorHAnsi"/>
                <w:color w:val="4A4A4A"/>
              </w:rPr>
            </w:pPr>
            <w:r w:rsidRPr="00977027">
              <w:rPr>
                <w:rStyle w:val="normaltextrun"/>
                <w:rFonts w:cstheme="minorHAnsi"/>
                <w:color w:val="4A4A4A"/>
              </w:rPr>
              <w:t xml:space="preserve">basic drinking water </w:t>
            </w:r>
            <w:proofErr w:type="gramStart"/>
            <w:r w:rsidRPr="00977027">
              <w:rPr>
                <w:rStyle w:val="normaltextrun"/>
                <w:rFonts w:cstheme="minorHAnsi"/>
                <w:color w:val="4A4A4A"/>
              </w:rPr>
              <w:t>services;</w:t>
            </w:r>
            <w:proofErr w:type="gramEnd"/>
            <w:r w:rsidRPr="00977027">
              <w:rPr>
                <w:rStyle w:val="normaltextrun"/>
                <w:rFonts w:cstheme="minorHAnsi"/>
                <w:color w:val="4A4A4A"/>
              </w:rPr>
              <w:t xml:space="preserve"> </w:t>
            </w:r>
          </w:p>
          <w:p w14:paraId="372DF9BF" w14:textId="77777777" w:rsidR="00072855" w:rsidRPr="00D60653" w:rsidRDefault="00072855" w:rsidP="003A52FF">
            <w:pPr>
              <w:pStyle w:val="ListParagraph"/>
              <w:numPr>
                <w:ilvl w:val="0"/>
                <w:numId w:val="8"/>
              </w:numPr>
              <w:spacing w:before="120" w:after="120"/>
              <w:ind w:left="309" w:hanging="283"/>
              <w:jc w:val="both"/>
              <w:rPr>
                <w:rStyle w:val="normaltextrun"/>
                <w:rFonts w:cstheme="minorHAnsi"/>
                <w:color w:val="4A4A4A"/>
              </w:rPr>
            </w:pPr>
            <w:r w:rsidRPr="00977027">
              <w:rPr>
                <w:rStyle w:val="normaltextrun"/>
                <w:rFonts w:cstheme="minorHAnsi"/>
                <w:color w:val="4A4A4A"/>
              </w:rPr>
              <w:t xml:space="preserve">population using surface water, unimproved drinking water sources, or limited drinking water </w:t>
            </w:r>
            <w:proofErr w:type="gramStart"/>
            <w:r w:rsidRPr="00977027">
              <w:rPr>
                <w:rStyle w:val="normaltextrun"/>
                <w:rFonts w:cstheme="minorHAnsi"/>
                <w:color w:val="4A4A4A"/>
              </w:rPr>
              <w:t>services;</w:t>
            </w:r>
            <w:proofErr w:type="gramEnd"/>
            <w:r w:rsidRPr="00977027">
              <w:rPr>
                <w:rStyle w:val="normaltextrun"/>
                <w:rFonts w:cstheme="minorHAnsi"/>
                <w:color w:val="4A4A4A"/>
              </w:rPr>
              <w:t xml:space="preserve"> </w:t>
            </w:r>
          </w:p>
          <w:p w14:paraId="5F0A8A76" w14:textId="33A0B434" w:rsidR="00072855" w:rsidRPr="00D60653" w:rsidRDefault="00072855" w:rsidP="003F5222">
            <w:pPr>
              <w:pStyle w:val="ListParagraph"/>
              <w:numPr>
                <w:ilvl w:val="0"/>
                <w:numId w:val="8"/>
              </w:numPr>
              <w:spacing w:before="120" w:after="120"/>
              <w:ind w:left="309" w:hanging="283"/>
              <w:jc w:val="both"/>
              <w:rPr>
                <w:rStyle w:val="normaltextrun"/>
                <w:rFonts w:cstheme="minorHAnsi"/>
                <w:color w:val="4A4A4A"/>
              </w:rPr>
            </w:pPr>
            <w:r w:rsidRPr="00977027">
              <w:rPr>
                <w:rStyle w:val="normaltextrun"/>
                <w:rFonts w:cstheme="minorHAnsi"/>
                <w:color w:val="4A4A4A"/>
              </w:rPr>
              <w:t xml:space="preserve">population practising household water treatment with filtration, chlorination, or solar disinfection. </w:t>
            </w:r>
          </w:p>
          <w:p w14:paraId="43CA734A" w14:textId="77777777" w:rsidR="00072855" w:rsidRPr="00D60653" w:rsidRDefault="00072855" w:rsidP="00830E1B">
            <w:pPr>
              <w:spacing w:before="120" w:after="120"/>
              <w:rPr>
                <w:rStyle w:val="normaltextrun"/>
                <w:rFonts w:asciiTheme="minorHAnsi" w:hAnsiTheme="minorHAnsi" w:cstheme="minorHAnsi"/>
                <w:color w:val="4A4A4A"/>
                <w:sz w:val="22"/>
                <w:szCs w:val="22"/>
              </w:rPr>
            </w:pPr>
            <w:r w:rsidRPr="00977027">
              <w:rPr>
                <w:rStyle w:val="normaltextrun"/>
                <w:rFonts w:asciiTheme="minorHAnsi" w:hAnsiTheme="minorHAnsi" w:cstheme="minorHAnsi"/>
                <w:color w:val="4A4A4A"/>
                <w:sz w:val="22"/>
                <w:szCs w:val="22"/>
              </w:rPr>
              <w:t xml:space="preserve">The necessary sanitation indicators include </w:t>
            </w:r>
          </w:p>
          <w:p w14:paraId="1448A24D" w14:textId="77777777" w:rsidR="00072855" w:rsidRPr="00D60653" w:rsidRDefault="00072855" w:rsidP="003A52FF">
            <w:pPr>
              <w:pStyle w:val="ListParagraph"/>
              <w:numPr>
                <w:ilvl w:val="0"/>
                <w:numId w:val="8"/>
              </w:numPr>
              <w:spacing w:before="120" w:after="120"/>
              <w:ind w:left="309" w:hanging="283"/>
              <w:rPr>
                <w:rStyle w:val="normaltextrun"/>
                <w:rFonts w:cstheme="minorHAnsi"/>
                <w:color w:val="4A4A4A"/>
              </w:rPr>
            </w:pPr>
            <w:r w:rsidRPr="0090202F">
              <w:rPr>
                <w:rStyle w:val="normaltextrun"/>
                <w:rFonts w:cstheme="minorHAnsi"/>
                <w:color w:val="4A4A4A"/>
              </w:rPr>
              <w:t xml:space="preserve">basic sanitation services with sewer </w:t>
            </w:r>
            <w:proofErr w:type="gramStart"/>
            <w:r w:rsidRPr="0090202F">
              <w:rPr>
                <w:rStyle w:val="normaltextrun"/>
                <w:rFonts w:cstheme="minorHAnsi"/>
                <w:color w:val="4A4A4A"/>
              </w:rPr>
              <w:t>connections;</w:t>
            </w:r>
            <w:proofErr w:type="gramEnd"/>
            <w:r w:rsidRPr="0090202F">
              <w:rPr>
                <w:rStyle w:val="normaltextrun"/>
                <w:rFonts w:cstheme="minorHAnsi"/>
                <w:color w:val="4A4A4A"/>
              </w:rPr>
              <w:t xml:space="preserve"> </w:t>
            </w:r>
          </w:p>
          <w:p w14:paraId="187DF49C" w14:textId="77777777" w:rsidR="00072855" w:rsidRPr="00D60653" w:rsidRDefault="00072855" w:rsidP="003A52FF">
            <w:pPr>
              <w:pStyle w:val="ListParagraph"/>
              <w:numPr>
                <w:ilvl w:val="0"/>
                <w:numId w:val="8"/>
              </w:numPr>
              <w:spacing w:before="120" w:after="120"/>
              <w:ind w:left="309" w:hanging="283"/>
              <w:rPr>
                <w:rStyle w:val="normaltextrun"/>
                <w:rFonts w:cstheme="minorHAnsi"/>
                <w:color w:val="4A4A4A"/>
              </w:rPr>
            </w:pPr>
            <w:r w:rsidRPr="00977027">
              <w:rPr>
                <w:rStyle w:val="normaltextrun"/>
                <w:rFonts w:cstheme="minorHAnsi"/>
                <w:color w:val="4A4A4A"/>
              </w:rPr>
              <w:t xml:space="preserve">basic sanitation services without sewer </w:t>
            </w:r>
            <w:proofErr w:type="gramStart"/>
            <w:r w:rsidRPr="00977027">
              <w:rPr>
                <w:rStyle w:val="normaltextrun"/>
                <w:rFonts w:cstheme="minorHAnsi"/>
                <w:color w:val="4A4A4A"/>
              </w:rPr>
              <w:t>connections;</w:t>
            </w:r>
            <w:proofErr w:type="gramEnd"/>
            <w:r w:rsidRPr="00977027">
              <w:rPr>
                <w:rStyle w:val="normaltextrun"/>
                <w:rFonts w:cstheme="minorHAnsi"/>
                <w:color w:val="4A4A4A"/>
              </w:rPr>
              <w:t xml:space="preserve"> </w:t>
            </w:r>
          </w:p>
          <w:p w14:paraId="46CB304F" w14:textId="40A1C135" w:rsidR="00072855" w:rsidRPr="00D60653" w:rsidRDefault="00072855" w:rsidP="003F5222">
            <w:pPr>
              <w:pStyle w:val="ListParagraph"/>
              <w:numPr>
                <w:ilvl w:val="0"/>
                <w:numId w:val="8"/>
              </w:numPr>
              <w:spacing w:before="120" w:after="120"/>
              <w:ind w:left="309" w:hanging="283"/>
              <w:rPr>
                <w:rStyle w:val="normaltextrun"/>
                <w:rFonts w:cstheme="minorHAnsi"/>
                <w:color w:val="4A4A4A"/>
              </w:rPr>
            </w:pPr>
            <w:r w:rsidRPr="00977027">
              <w:rPr>
                <w:rStyle w:val="normaltextrun"/>
                <w:rFonts w:cstheme="minorHAnsi"/>
                <w:color w:val="4A4A4A"/>
              </w:rPr>
              <w:t>open defecation, unimproved sanitation facilities, or limited sanitation services</w:t>
            </w:r>
          </w:p>
          <w:p w14:paraId="2F42B66C" w14:textId="77777777" w:rsidR="00072855" w:rsidRPr="00D60653" w:rsidRDefault="00072855" w:rsidP="00830E1B">
            <w:pPr>
              <w:spacing w:before="120" w:after="120"/>
              <w:rPr>
                <w:rStyle w:val="normaltextrun"/>
                <w:rFonts w:asciiTheme="minorHAnsi" w:hAnsiTheme="minorHAnsi" w:cstheme="minorHAnsi"/>
                <w:color w:val="4A4A4A"/>
                <w:sz w:val="22"/>
                <w:szCs w:val="22"/>
              </w:rPr>
            </w:pPr>
            <w:r w:rsidRPr="00977027">
              <w:rPr>
                <w:rStyle w:val="normaltextrun"/>
                <w:rFonts w:asciiTheme="minorHAnsi" w:hAnsiTheme="minorHAnsi" w:cstheme="minorHAnsi"/>
                <w:color w:val="4A4A4A"/>
                <w:sz w:val="22"/>
                <w:szCs w:val="22"/>
              </w:rPr>
              <w:t>One hygiene indicator is</w:t>
            </w:r>
            <w:r w:rsidRPr="0090202F">
              <w:rPr>
                <w:rStyle w:val="normaltextrun"/>
                <w:rFonts w:asciiTheme="minorHAnsi" w:hAnsiTheme="minorHAnsi" w:cstheme="minorHAnsi"/>
                <w:color w:val="4A4A4A"/>
                <w:sz w:val="22"/>
                <w:szCs w:val="22"/>
              </w:rPr>
              <w:t xml:space="preserve"> used: </w:t>
            </w:r>
          </w:p>
          <w:p w14:paraId="3861918A" w14:textId="779C73FF" w:rsidR="00072855" w:rsidRPr="00D60653" w:rsidRDefault="00072855" w:rsidP="003F5222">
            <w:pPr>
              <w:pStyle w:val="ListParagraph"/>
              <w:numPr>
                <w:ilvl w:val="0"/>
                <w:numId w:val="8"/>
              </w:numPr>
              <w:spacing w:before="120" w:after="120"/>
              <w:ind w:left="309" w:hanging="283"/>
              <w:rPr>
                <w:rFonts w:cstheme="minorHAnsi"/>
                <w:color w:val="4A4A4A"/>
              </w:rPr>
            </w:pPr>
            <w:r w:rsidRPr="0090202F">
              <w:rPr>
                <w:rStyle w:val="normaltextrun"/>
                <w:rFonts w:cstheme="minorHAnsi"/>
                <w:color w:val="4A4A4A"/>
              </w:rPr>
              <w:t>population practising handwashing with soap and water after potential faecal contacts.</w:t>
            </w:r>
          </w:p>
        </w:tc>
        <w:tc>
          <w:tcPr>
            <w:tcW w:w="3975" w:type="dxa"/>
          </w:tcPr>
          <w:p w14:paraId="7B4A2FDB" w14:textId="15CEB03F" w:rsidR="00072855" w:rsidRPr="00977027" w:rsidRDefault="00072855" w:rsidP="00702F74">
            <w:pPr>
              <w:spacing w:before="120" w:after="120"/>
              <w:jc w:val="both"/>
              <w:rPr>
                <w:rStyle w:val="normaltextrun"/>
                <w:rFonts w:asciiTheme="minorHAnsi" w:hAnsiTheme="minorHAnsi" w:cstheme="minorHAnsi"/>
                <w:color w:val="4A4A4A"/>
                <w:sz w:val="22"/>
                <w:szCs w:val="22"/>
              </w:rPr>
            </w:pPr>
            <w:r w:rsidRPr="00977027">
              <w:rPr>
                <w:rStyle w:val="normaltextrun"/>
                <w:rFonts w:asciiTheme="minorHAnsi" w:hAnsiTheme="minorHAnsi" w:cstheme="minorHAnsi"/>
                <w:color w:val="4A4A4A"/>
                <w:sz w:val="22"/>
                <w:szCs w:val="22"/>
              </w:rPr>
              <w:t xml:space="preserve">Many of these data are available in the global database maintained by the WHO/UNICEF Joint Monitoring Programme for Water Supply, Sanitation and Hygiene, and </w:t>
            </w:r>
            <w:r w:rsidRPr="0090202F">
              <w:rPr>
                <w:rStyle w:val="normaltextrun"/>
                <w:rFonts w:asciiTheme="minorHAnsi" w:hAnsiTheme="minorHAnsi" w:cstheme="minorHAnsi"/>
                <w:color w:val="4A4A4A"/>
                <w:sz w:val="22"/>
                <w:szCs w:val="22"/>
              </w:rPr>
              <w:t>several are SDG indicators. Where countries lack data for one or more indicators, missing values are imputed using multi-level logistic modelling</w:t>
            </w:r>
            <w:r w:rsidRPr="00D60653">
              <w:rPr>
                <w:rFonts w:asciiTheme="minorHAnsi" w:hAnsiTheme="minorHAnsi" w:cstheme="minorHAnsi"/>
                <w:color w:val="4A4A4A"/>
                <w:sz w:val="22"/>
                <w:szCs w:val="22"/>
              </w:rPr>
              <w:t xml:space="preserve"> (Wolf et al, 201</w:t>
            </w:r>
            <w:r w:rsidR="00A4399E" w:rsidRPr="00D60653">
              <w:rPr>
                <w:rFonts w:asciiTheme="minorHAnsi" w:hAnsiTheme="minorHAnsi" w:cstheme="minorHAnsi"/>
                <w:color w:val="4A4A4A"/>
                <w:sz w:val="22"/>
                <w:szCs w:val="22"/>
              </w:rPr>
              <w:t>3</w:t>
            </w:r>
            <w:r w:rsidR="009F78A6" w:rsidRPr="00D60653">
              <w:rPr>
                <w:rFonts w:asciiTheme="minorHAnsi" w:hAnsiTheme="minorHAnsi" w:cstheme="minorHAnsi"/>
                <w:color w:val="4A4A4A"/>
                <w:sz w:val="22"/>
                <w:szCs w:val="22"/>
              </w:rPr>
              <w:t xml:space="preserve">; </w:t>
            </w:r>
            <w:proofErr w:type="spellStart"/>
            <w:r w:rsidR="009F78A6" w:rsidRPr="00977027">
              <w:rPr>
                <w:rStyle w:val="normaltextrun"/>
                <w:rFonts w:asciiTheme="minorHAnsi" w:hAnsiTheme="minorHAnsi" w:cstheme="minorHAnsi"/>
                <w:color w:val="4A4A4A"/>
                <w:sz w:val="22"/>
                <w:szCs w:val="22"/>
              </w:rPr>
              <w:t>Prüss-Ustün</w:t>
            </w:r>
            <w:proofErr w:type="spellEnd"/>
            <w:r w:rsidR="009F78A6" w:rsidRPr="00977027">
              <w:rPr>
                <w:rStyle w:val="normaltextrun"/>
                <w:rFonts w:asciiTheme="minorHAnsi" w:hAnsiTheme="minorHAnsi" w:cstheme="minorHAnsi"/>
                <w:color w:val="4A4A4A"/>
                <w:sz w:val="22"/>
                <w:szCs w:val="22"/>
              </w:rPr>
              <w:t xml:space="preserve"> et al., 2014; </w:t>
            </w:r>
            <w:proofErr w:type="spellStart"/>
            <w:r w:rsidR="009F78A6" w:rsidRPr="00977027">
              <w:rPr>
                <w:rStyle w:val="normaltextrun"/>
                <w:rFonts w:asciiTheme="minorHAnsi" w:hAnsiTheme="minorHAnsi" w:cstheme="minorHAnsi"/>
                <w:color w:val="4A4A4A"/>
                <w:sz w:val="22"/>
                <w:szCs w:val="22"/>
              </w:rPr>
              <w:t>Prüss-Ustün</w:t>
            </w:r>
            <w:proofErr w:type="spellEnd"/>
            <w:r w:rsidR="009F78A6" w:rsidRPr="00977027">
              <w:rPr>
                <w:rStyle w:val="normaltextrun"/>
                <w:rFonts w:asciiTheme="minorHAnsi" w:hAnsiTheme="minorHAnsi" w:cstheme="minorHAnsi"/>
                <w:color w:val="4A4A4A"/>
                <w:sz w:val="22"/>
                <w:szCs w:val="22"/>
              </w:rPr>
              <w:t xml:space="preserve"> et al., 2019</w:t>
            </w:r>
            <w:r w:rsidRPr="00D60653">
              <w:rPr>
                <w:rFonts w:asciiTheme="minorHAnsi" w:hAnsiTheme="minorHAnsi" w:cstheme="minorHAnsi"/>
                <w:color w:val="4A4A4A"/>
                <w:sz w:val="22"/>
                <w:szCs w:val="22"/>
              </w:rPr>
              <w:t>)</w:t>
            </w:r>
          </w:p>
          <w:p w14:paraId="66F6D59A" w14:textId="77777777" w:rsidR="00072855" w:rsidRPr="00977027" w:rsidRDefault="0013060F" w:rsidP="00702F74">
            <w:pPr>
              <w:spacing w:before="120" w:after="120"/>
              <w:jc w:val="both"/>
              <w:rPr>
                <w:rStyle w:val="normaltextrun"/>
                <w:rFonts w:asciiTheme="minorHAnsi" w:hAnsiTheme="minorHAnsi" w:cstheme="minorHAnsi"/>
                <w:color w:val="4A4A4A"/>
                <w:sz w:val="22"/>
                <w:szCs w:val="22"/>
              </w:rPr>
            </w:pPr>
            <w:hyperlink r:id="rId12" w:history="1">
              <w:r w:rsidR="00072855" w:rsidRPr="00D60653">
                <w:rPr>
                  <w:rStyle w:val="Hyperlink"/>
                  <w:rFonts w:asciiTheme="minorHAnsi" w:hAnsiTheme="minorHAnsi" w:cstheme="minorHAnsi"/>
                  <w:color w:val="4A4A4A"/>
                  <w:sz w:val="22"/>
                  <w:szCs w:val="22"/>
                </w:rPr>
                <w:t>www.washdata.org</w:t>
              </w:r>
            </w:hyperlink>
          </w:p>
          <w:p w14:paraId="12193E31" w14:textId="4B9D273B" w:rsidR="00072855" w:rsidRPr="00D60653" w:rsidRDefault="00072855" w:rsidP="00702F74">
            <w:pPr>
              <w:spacing w:before="120" w:after="120"/>
              <w:jc w:val="both"/>
              <w:rPr>
                <w:rFonts w:asciiTheme="minorHAnsi" w:hAnsiTheme="minorHAnsi" w:cstheme="minorHAnsi"/>
                <w:color w:val="4A4A4A"/>
                <w:sz w:val="22"/>
                <w:szCs w:val="22"/>
              </w:rPr>
            </w:pPr>
          </w:p>
        </w:tc>
      </w:tr>
      <w:tr w:rsidR="0090202F" w:rsidRPr="0090202F" w14:paraId="7D8B0DC6" w14:textId="77777777" w:rsidTr="00072855">
        <w:tc>
          <w:tcPr>
            <w:tcW w:w="5234" w:type="dxa"/>
          </w:tcPr>
          <w:p w14:paraId="4674CB58" w14:textId="5DC53918" w:rsidR="00072855" w:rsidRPr="00D60653" w:rsidRDefault="00072855" w:rsidP="00702F74">
            <w:pPr>
              <w:spacing w:before="120" w:after="120"/>
              <w:jc w:val="both"/>
              <w:rPr>
                <w:rFonts w:asciiTheme="minorHAnsi" w:hAnsiTheme="minorHAnsi" w:cstheme="minorHAnsi"/>
                <w:color w:val="4A4A4A"/>
                <w:sz w:val="22"/>
                <w:szCs w:val="22"/>
              </w:rPr>
            </w:pPr>
            <w:proofErr w:type="spellStart"/>
            <w:r w:rsidRPr="00D60653">
              <w:rPr>
                <w:rFonts w:asciiTheme="minorHAnsi" w:hAnsiTheme="minorHAnsi" w:cstheme="minorHAnsi"/>
                <w:color w:val="4A4A4A"/>
                <w:sz w:val="22"/>
                <w:szCs w:val="22"/>
              </w:rPr>
              <w:t>Diseaase</w:t>
            </w:r>
            <w:proofErr w:type="spellEnd"/>
            <w:r w:rsidRPr="00D60653">
              <w:rPr>
                <w:rFonts w:asciiTheme="minorHAnsi" w:hAnsiTheme="minorHAnsi" w:cstheme="minorHAnsi"/>
                <w:color w:val="4A4A4A"/>
                <w:sz w:val="22"/>
                <w:szCs w:val="22"/>
              </w:rPr>
              <w:t xml:space="preserve"> burden </w:t>
            </w:r>
          </w:p>
          <w:p w14:paraId="4CF35567" w14:textId="21AB5F54" w:rsidR="00072855" w:rsidRPr="00D60653" w:rsidRDefault="00072855" w:rsidP="00702F74">
            <w:pPr>
              <w:spacing w:before="120"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The total number of deaths and DALYs caused by diarrhoeal disease per year.</w:t>
            </w:r>
          </w:p>
        </w:tc>
        <w:tc>
          <w:tcPr>
            <w:tcW w:w="3975" w:type="dxa"/>
          </w:tcPr>
          <w:p w14:paraId="2E20375F" w14:textId="43C4FF24" w:rsidR="00072855" w:rsidRPr="00D60653" w:rsidRDefault="00072855" w:rsidP="003F5222">
            <w:pPr>
              <w:spacing w:before="120" w:after="120"/>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WHO Global Health Observatory (GHO) </w:t>
            </w:r>
            <w:hyperlink r:id="rId13" w:history="1">
              <w:r w:rsidRPr="00D60653">
                <w:rPr>
                  <w:rStyle w:val="Hyperlink"/>
                  <w:rFonts w:asciiTheme="minorHAnsi" w:hAnsiTheme="minorHAnsi" w:cstheme="minorHAnsi"/>
                  <w:color w:val="4A4A4A"/>
                  <w:sz w:val="22"/>
                  <w:szCs w:val="22"/>
                </w:rPr>
                <w:t>https://www</w:t>
              </w:r>
            </w:hyperlink>
            <w:r w:rsidRPr="00D60653">
              <w:rPr>
                <w:rFonts w:asciiTheme="minorHAnsi" w:hAnsiTheme="minorHAnsi" w:cstheme="minorHAnsi"/>
                <w:color w:val="4A4A4A"/>
                <w:sz w:val="22"/>
                <w:szCs w:val="22"/>
              </w:rPr>
              <w:t>.who.int/data/gho/data/themes/mortality-and-global-health-estimates/ghe-leading-causes-of-death</w:t>
            </w:r>
          </w:p>
        </w:tc>
      </w:tr>
      <w:tr w:rsidR="0090202F" w:rsidRPr="0090202F" w14:paraId="715DC0AC" w14:textId="77777777" w:rsidTr="00072855">
        <w:tc>
          <w:tcPr>
            <w:tcW w:w="5234" w:type="dxa"/>
          </w:tcPr>
          <w:p w14:paraId="3A6D6BD3" w14:textId="4E4444EC" w:rsidR="00072855" w:rsidRPr="00D60653" w:rsidRDefault="00072855" w:rsidP="00702F74">
            <w:pPr>
              <w:spacing w:before="120"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Exposure-response relationship</w:t>
            </w:r>
          </w:p>
          <w:p w14:paraId="0B627260" w14:textId="4A7660D3" w:rsidR="00072855" w:rsidRPr="00D60653" w:rsidRDefault="00072855" w:rsidP="00702F74">
            <w:pPr>
              <w:spacing w:before="120" w:after="120"/>
              <w:jc w:val="both"/>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The relative risk, which links exposure with disease. </w:t>
            </w:r>
          </w:p>
        </w:tc>
        <w:tc>
          <w:tcPr>
            <w:tcW w:w="3975" w:type="dxa"/>
          </w:tcPr>
          <w:p w14:paraId="61F66059" w14:textId="0B3F9A48" w:rsidR="00072855" w:rsidRPr="00D60653" w:rsidRDefault="00072855" w:rsidP="00830E1B">
            <w:pPr>
              <w:spacing w:before="120" w:after="120"/>
              <w:rPr>
                <w:rFonts w:asciiTheme="minorHAnsi" w:hAnsiTheme="minorHAnsi" w:cstheme="minorHAnsi"/>
                <w:color w:val="4A4A4A"/>
                <w:sz w:val="22"/>
                <w:szCs w:val="22"/>
              </w:rPr>
            </w:pPr>
            <w:r w:rsidRPr="00D60653">
              <w:rPr>
                <w:rFonts w:asciiTheme="minorHAnsi" w:hAnsiTheme="minorHAnsi" w:cstheme="minorHAnsi"/>
                <w:color w:val="4A4A4A"/>
                <w:sz w:val="22"/>
                <w:szCs w:val="22"/>
              </w:rPr>
              <w:t xml:space="preserve">The calculation uses the exposure-response relationship for drinking water and diarrhoea calculated as part of the most recent systematic review of water and sanitation intervention studies and impacts on diarrhoea </w:t>
            </w:r>
          </w:p>
          <w:p w14:paraId="5ACA963A" w14:textId="277C2DD1" w:rsidR="00072855" w:rsidRPr="00D60653" w:rsidRDefault="00072855" w:rsidP="003F5222">
            <w:pPr>
              <w:spacing w:before="120" w:after="120"/>
              <w:rPr>
                <w:rFonts w:asciiTheme="minorHAnsi" w:hAnsiTheme="minorHAnsi" w:cstheme="minorHAnsi"/>
                <w:color w:val="4A4A4A"/>
                <w:sz w:val="22"/>
                <w:szCs w:val="22"/>
              </w:rPr>
            </w:pPr>
            <w:r w:rsidRPr="00D60653">
              <w:rPr>
                <w:rFonts w:asciiTheme="minorHAnsi" w:hAnsiTheme="minorHAnsi" w:cstheme="minorHAnsi"/>
                <w:color w:val="4A4A4A"/>
                <w:sz w:val="22"/>
                <w:szCs w:val="22"/>
              </w:rPr>
              <w:t>(Wolf, J, 2022, under review).</w:t>
            </w:r>
          </w:p>
        </w:tc>
      </w:tr>
    </w:tbl>
    <w:p w14:paraId="6A89839E" w14:textId="2FB9DF50" w:rsidR="00576CFA" w:rsidRPr="00D60653" w:rsidRDefault="00702F74" w:rsidP="003F5222">
      <w:pPr>
        <w:rPr>
          <w:color w:val="4A4A4A"/>
        </w:rPr>
      </w:pPr>
      <w:r w:rsidRPr="00D60653">
        <w:rPr>
          <w:rFonts w:asciiTheme="minorHAnsi" w:hAnsiTheme="minorHAnsi" w:cstheme="minorHAnsi"/>
          <w:color w:val="4A4A4A"/>
          <w:sz w:val="22"/>
          <w:szCs w:val="22"/>
        </w:rPr>
        <w:t xml:space="preserve"> </w:t>
      </w: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08B8D170" w:rsidR="00F719A8" w:rsidRDefault="00DD5ECE" w:rsidP="00576CFA">
      <w:pPr>
        <w:pStyle w:val="MText"/>
      </w:pPr>
      <w:r>
        <w:t>Draft estimates are reviewed with Member States through a WHO country consultation process and SDG focal points</w:t>
      </w:r>
      <w:r w:rsidR="00A67945">
        <w:t xml:space="preserve"> every time new data </w:t>
      </w:r>
      <w:proofErr w:type="gramStart"/>
      <w:r w:rsidR="00A4399E">
        <w:t>are</w:t>
      </w:r>
      <w:proofErr w:type="gramEnd"/>
      <w:r w:rsidR="00A67945">
        <w:t xml:space="preserve"> generated. In addition, the </w:t>
      </w:r>
      <w:r w:rsidR="00E33388">
        <w:t xml:space="preserve">methods and </w:t>
      </w:r>
      <w:r w:rsidR="00A67945">
        <w:t xml:space="preserve">data are published in a peer-reviewed journal. </w:t>
      </w:r>
      <w:r w:rsidR="00A67945">
        <w:rPr>
          <w:rFonts w:cs="Arial"/>
          <w:sz w:val="22"/>
          <w:szCs w:val="22"/>
        </w:rPr>
        <w:t>2016 estimates were published in 2019</w:t>
      </w:r>
      <w:r w:rsidR="00E33388">
        <w:rPr>
          <w:rFonts w:cs="Arial"/>
          <w:sz w:val="22"/>
          <w:szCs w:val="22"/>
        </w:rPr>
        <w:t xml:space="preserve"> (see 4.c.)</w:t>
      </w:r>
      <w:r w:rsidR="00A67945">
        <w:rPr>
          <w:rFonts w:cs="Arial"/>
          <w:sz w:val="22"/>
          <w:szCs w:val="22"/>
        </w:rPr>
        <w:t xml:space="preserve">, and the manuscript for the 2019 estimates presently being submitted is currently under development, with plans for submission to a peer-reviewed journal by April 2022. </w:t>
      </w:r>
    </w:p>
    <w:p w14:paraId="50E2F0B7" w14:textId="77777777" w:rsidR="00A67945" w:rsidRPr="00A96255" w:rsidRDefault="00A6794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4F5CEDD0" w:rsidR="00EC2915" w:rsidRDefault="007153E8" w:rsidP="00576CFA">
      <w:pPr>
        <w:pStyle w:val="MText"/>
      </w:pPr>
      <w:r>
        <w:t>N</w:t>
      </w:r>
      <w:r w:rsidR="0090202F">
        <w:t>ot applicable</w:t>
      </w:r>
    </w:p>
    <w:p w14:paraId="44E688DA" w14:textId="77777777" w:rsidR="007153E8" w:rsidRPr="00A96255" w:rsidRDefault="007153E8"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E97B34E" w14:textId="74D5B719" w:rsidR="00A7456E" w:rsidRPr="003F5222" w:rsidRDefault="00A7456E" w:rsidP="00A7456E">
      <w:pPr>
        <w:pStyle w:val="paragraph"/>
        <w:numPr>
          <w:ilvl w:val="0"/>
          <w:numId w:val="5"/>
        </w:numPr>
        <w:shd w:val="clear" w:color="auto" w:fill="FFFFFF"/>
        <w:spacing w:before="0" w:beforeAutospacing="0" w:after="0" w:afterAutospacing="0"/>
        <w:ind w:left="135" w:firstLine="0"/>
        <w:textAlignment w:val="baseline"/>
        <w:rPr>
          <w:rStyle w:val="eop"/>
          <w:b/>
          <w:bCs/>
          <w:sz w:val="21"/>
          <w:szCs w:val="21"/>
        </w:rPr>
      </w:pPr>
      <w:r w:rsidRPr="000B2B22">
        <w:rPr>
          <w:rStyle w:val="normaltextrun"/>
          <w:rFonts w:ascii="Calibri" w:hAnsi="Calibri" w:cs="Calibri"/>
          <w:b/>
          <w:bCs/>
          <w:color w:val="1C75BC"/>
          <w:sz w:val="21"/>
          <w:szCs w:val="21"/>
          <w:lang w:val="en-GB"/>
        </w:rPr>
        <w:t>At country level</w:t>
      </w:r>
      <w:r w:rsidRPr="000B2B22">
        <w:rPr>
          <w:rStyle w:val="eop"/>
          <w:rFonts w:ascii="Calibri" w:hAnsi="Calibri" w:cs="Calibri"/>
          <w:b/>
          <w:bCs/>
          <w:color w:val="1C75BC"/>
          <w:sz w:val="21"/>
          <w:szCs w:val="21"/>
        </w:rPr>
        <w:t> </w:t>
      </w:r>
    </w:p>
    <w:p w14:paraId="0A4B1498" w14:textId="77777777" w:rsidR="009F78A6" w:rsidRDefault="009F78A6" w:rsidP="00D60653">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eastAsia="en-GB"/>
        </w:rPr>
      </w:pPr>
    </w:p>
    <w:p w14:paraId="16357A1F" w14:textId="6C7571F5" w:rsidR="00A7456E" w:rsidRPr="00D60653" w:rsidRDefault="00A4399E" w:rsidP="003F5222">
      <w:pPr>
        <w:pStyle w:val="paragraph"/>
        <w:shd w:val="clear" w:color="auto" w:fill="FFFFFF"/>
        <w:spacing w:before="0" w:beforeAutospacing="0" w:after="0" w:afterAutospacing="0"/>
        <w:ind w:left="495"/>
        <w:textAlignment w:val="baseline"/>
        <w:rPr>
          <w:rFonts w:asciiTheme="minorHAnsi" w:hAnsiTheme="minorHAnsi" w:cstheme="minorHAnsi"/>
          <w:color w:val="4A4A4A"/>
          <w:sz w:val="22"/>
          <w:szCs w:val="22"/>
        </w:rPr>
      </w:pPr>
      <w:r>
        <w:rPr>
          <w:rStyle w:val="normaltextrun"/>
          <w:rFonts w:ascii="Calibri" w:hAnsi="Calibri" w:cs="Calibri"/>
          <w:color w:val="4A4A4A"/>
          <w:sz w:val="21"/>
          <w:szCs w:val="21"/>
          <w:lang w:val="en-GB"/>
        </w:rPr>
        <w:t>For population data and disease burden envelopes, complete datasets are available, so there are no issues with missing data at the country level. For e</w:t>
      </w:r>
      <w:r w:rsidR="00E33388">
        <w:rPr>
          <w:rStyle w:val="normaltextrun"/>
          <w:rFonts w:ascii="Calibri" w:hAnsi="Calibri" w:cs="Calibri"/>
          <w:color w:val="4A4A4A"/>
          <w:sz w:val="21"/>
          <w:szCs w:val="21"/>
          <w:lang w:val="en-GB"/>
        </w:rPr>
        <w:t>xposure data</w:t>
      </w:r>
      <w:r>
        <w:rPr>
          <w:rStyle w:val="normaltextrun"/>
          <w:rFonts w:ascii="Calibri" w:hAnsi="Calibri" w:cs="Calibri"/>
          <w:color w:val="4A4A4A"/>
          <w:sz w:val="21"/>
          <w:szCs w:val="21"/>
          <w:lang w:val="en-GB"/>
        </w:rPr>
        <w:t>, ma</w:t>
      </w:r>
      <w:r w:rsidR="003A52FF">
        <w:rPr>
          <w:rStyle w:val="normaltextrun"/>
          <w:rFonts w:ascii="Calibri" w:hAnsi="Calibri" w:cs="Calibri"/>
          <w:color w:val="4A4A4A"/>
          <w:sz w:val="21"/>
          <w:szCs w:val="21"/>
          <w:lang w:val="en-GB"/>
        </w:rPr>
        <w:t>ny</w:t>
      </w:r>
      <w:r w:rsidR="00CD0CBA">
        <w:rPr>
          <w:rStyle w:val="normaltextrun"/>
          <w:rFonts w:ascii="Calibri" w:hAnsi="Calibri" w:cs="Calibri"/>
          <w:color w:val="4A4A4A"/>
          <w:sz w:val="21"/>
          <w:szCs w:val="21"/>
          <w:lang w:val="en-GB"/>
        </w:rPr>
        <w:t xml:space="preserve"> of these data are available in the global database maintained by the WHO/UNICEF Joint Monitoring Programme for Water Supply, Sanitation and Hygiene, and several are SDG indicators. Where </w:t>
      </w:r>
      <w:r w:rsidR="007C3FCB">
        <w:rPr>
          <w:rStyle w:val="normaltextrun"/>
          <w:rFonts w:ascii="Calibri" w:hAnsi="Calibri" w:cs="Calibri"/>
          <w:color w:val="4A4A4A"/>
          <w:sz w:val="21"/>
          <w:szCs w:val="21"/>
          <w:lang w:val="en-GB"/>
        </w:rPr>
        <w:t xml:space="preserve">data </w:t>
      </w:r>
      <w:r>
        <w:rPr>
          <w:rStyle w:val="normaltextrun"/>
          <w:rFonts w:ascii="Calibri" w:hAnsi="Calibri" w:cs="Calibri"/>
          <w:color w:val="4A4A4A"/>
          <w:sz w:val="21"/>
          <w:szCs w:val="21"/>
          <w:lang w:val="en-GB"/>
        </w:rPr>
        <w:t>are</w:t>
      </w:r>
      <w:r w:rsidR="007C3FCB">
        <w:rPr>
          <w:rStyle w:val="normaltextrun"/>
          <w:rFonts w:ascii="Calibri" w:hAnsi="Calibri" w:cs="Calibri"/>
          <w:color w:val="4A4A4A"/>
          <w:sz w:val="21"/>
          <w:szCs w:val="21"/>
          <w:lang w:val="en-GB"/>
        </w:rPr>
        <w:t xml:space="preserve"> lacking </w:t>
      </w:r>
      <w:r w:rsidR="00CD0CBA">
        <w:rPr>
          <w:rStyle w:val="normaltextrun"/>
          <w:rFonts w:ascii="Calibri" w:hAnsi="Calibri" w:cs="Calibri"/>
          <w:color w:val="4A4A4A"/>
          <w:sz w:val="21"/>
          <w:szCs w:val="21"/>
          <w:lang w:val="en-GB"/>
        </w:rPr>
        <w:t>for one or more</w:t>
      </w:r>
      <w:r w:rsidR="007C3FCB">
        <w:rPr>
          <w:rStyle w:val="normaltextrun"/>
          <w:rFonts w:ascii="Calibri" w:hAnsi="Calibri" w:cs="Calibri"/>
          <w:color w:val="4A4A4A"/>
          <w:sz w:val="21"/>
          <w:szCs w:val="21"/>
          <w:lang w:val="en-GB"/>
        </w:rPr>
        <w:t xml:space="preserve"> required</w:t>
      </w:r>
      <w:r w:rsidR="00CD0CBA">
        <w:rPr>
          <w:rStyle w:val="normaltextrun"/>
          <w:rFonts w:ascii="Calibri" w:hAnsi="Calibri" w:cs="Calibri"/>
          <w:color w:val="4A4A4A"/>
          <w:sz w:val="21"/>
          <w:szCs w:val="21"/>
          <w:lang w:val="en-GB"/>
        </w:rPr>
        <w:t xml:space="preserve"> indicators, missing values are imputed using multi-level logistic </w:t>
      </w:r>
      <w:r w:rsidR="00CD0CBA" w:rsidRPr="00977027">
        <w:rPr>
          <w:rStyle w:val="normaltextrun"/>
          <w:rFonts w:ascii="Calibri" w:hAnsi="Calibri" w:cs="Calibri"/>
          <w:color w:val="4A4A4A"/>
          <w:sz w:val="21"/>
          <w:szCs w:val="21"/>
          <w:lang w:val="en-GB"/>
        </w:rPr>
        <w:t>modelling</w:t>
      </w:r>
      <w:r w:rsidR="003F5222" w:rsidRPr="0090202F">
        <w:rPr>
          <w:rStyle w:val="normaltextrun"/>
          <w:rFonts w:ascii="Calibri" w:hAnsi="Calibri" w:cs="Calibri"/>
          <w:color w:val="4A4A4A"/>
          <w:sz w:val="21"/>
          <w:szCs w:val="21"/>
          <w:lang w:val="en-GB"/>
        </w:rPr>
        <w:t xml:space="preserve"> </w:t>
      </w:r>
      <w:r w:rsidR="003F5222" w:rsidRPr="00D60653">
        <w:rPr>
          <w:rFonts w:asciiTheme="minorHAnsi" w:hAnsiTheme="minorHAnsi" w:cstheme="minorHAnsi"/>
          <w:color w:val="4A4A4A"/>
          <w:sz w:val="22"/>
          <w:szCs w:val="22"/>
        </w:rPr>
        <w:t>(Wolf et al, 201</w:t>
      </w:r>
      <w:r w:rsidRPr="00D60653">
        <w:rPr>
          <w:rFonts w:asciiTheme="minorHAnsi" w:hAnsiTheme="minorHAnsi" w:cstheme="minorHAnsi"/>
          <w:color w:val="4A4A4A"/>
          <w:sz w:val="22"/>
          <w:szCs w:val="22"/>
        </w:rPr>
        <w:t>3</w:t>
      </w:r>
      <w:r w:rsidR="003F5222" w:rsidRPr="00D60653">
        <w:rPr>
          <w:rFonts w:asciiTheme="minorHAnsi" w:hAnsiTheme="minorHAnsi" w:cstheme="minorHAnsi"/>
          <w:color w:val="4A4A4A"/>
          <w:sz w:val="22"/>
          <w:szCs w:val="22"/>
        </w:rPr>
        <w:t>)</w:t>
      </w:r>
      <w:r w:rsidR="00A7456E" w:rsidRPr="00977027">
        <w:rPr>
          <w:rStyle w:val="normaltextrun"/>
          <w:rFonts w:ascii="Calibri" w:hAnsi="Calibri" w:cs="Calibri"/>
          <w:color w:val="4A4A4A"/>
          <w:sz w:val="21"/>
          <w:szCs w:val="21"/>
          <w:lang w:val="en-GB"/>
        </w:rPr>
        <w:t xml:space="preserve">. </w:t>
      </w:r>
    </w:p>
    <w:p w14:paraId="2316C69B" w14:textId="77777777" w:rsidR="007C3FCB" w:rsidRDefault="007C3FCB" w:rsidP="00A7456E">
      <w:pPr>
        <w:pStyle w:val="paragraph"/>
        <w:shd w:val="clear" w:color="auto" w:fill="FFFFFF"/>
        <w:spacing w:before="0" w:beforeAutospacing="0" w:after="0" w:afterAutospacing="0"/>
        <w:ind w:left="495"/>
        <w:textAlignment w:val="baseline"/>
        <w:rPr>
          <w:rStyle w:val="eop"/>
          <w:color w:val="4A4A4A"/>
          <w:sz w:val="21"/>
          <w:szCs w:val="21"/>
        </w:rPr>
      </w:pPr>
    </w:p>
    <w:p w14:paraId="1C9AB0E2" w14:textId="5A41DB13" w:rsidR="00A7456E" w:rsidRDefault="00A7456E" w:rsidP="009F78A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5809BB9" w14:textId="77777777" w:rsidR="00A7456E" w:rsidRPr="000B2B22" w:rsidRDefault="00A7456E" w:rsidP="00A7456E">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0B2B22">
        <w:rPr>
          <w:rStyle w:val="normaltextrun"/>
          <w:rFonts w:ascii="Calibri" w:hAnsi="Calibri" w:cs="Calibri"/>
          <w:b/>
          <w:bCs/>
          <w:color w:val="1C75BC"/>
          <w:sz w:val="21"/>
          <w:szCs w:val="21"/>
          <w:lang w:val="en-GB"/>
        </w:rPr>
        <w:t>At regional and global levels</w:t>
      </w:r>
      <w:r w:rsidRPr="000B2B22">
        <w:rPr>
          <w:rStyle w:val="eop"/>
          <w:rFonts w:ascii="Calibri" w:hAnsi="Calibri" w:cs="Calibri"/>
          <w:b/>
          <w:bCs/>
          <w:color w:val="1C75BC"/>
          <w:sz w:val="21"/>
          <w:szCs w:val="21"/>
        </w:rPr>
        <w:t> </w:t>
      </w:r>
    </w:p>
    <w:p w14:paraId="61E30F4D" w14:textId="77777777" w:rsidR="00A7456E" w:rsidRDefault="00A7456E" w:rsidP="00A7456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5ECEE9FE" w14:textId="204C8B12" w:rsidR="00A7456E" w:rsidRDefault="00A7456E" w:rsidP="00A7456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w:t>
      </w:r>
      <w:proofErr w:type="spellStart"/>
      <w:r w:rsidR="004D4626">
        <w:rPr>
          <w:rStyle w:val="eop"/>
          <w:rFonts w:ascii="Calibri" w:hAnsi="Calibri" w:cs="Calibri"/>
          <w:color w:val="4A4A4A"/>
          <w:sz w:val="21"/>
          <w:szCs w:val="21"/>
        </w:rPr>
        <w:t>ot</w:t>
      </w:r>
      <w:proofErr w:type="spellEnd"/>
      <w:r w:rsidR="004D4626">
        <w:rPr>
          <w:rStyle w:val="eop"/>
          <w:rFonts w:ascii="Calibri" w:hAnsi="Calibri" w:cs="Calibri"/>
          <w:color w:val="4A4A4A"/>
          <w:sz w:val="21"/>
          <w:szCs w:val="21"/>
        </w:rPr>
        <w:t xml:space="preserve">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35CA7E2D" w14:textId="67F8283E"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Country estimates of number of deaths by cause are summed to obtain regional and global aggregates.</w:t>
      </w:r>
      <w:r>
        <w:rPr>
          <w:rStyle w:val="eop"/>
          <w:rFonts w:ascii="Calibri" w:hAnsi="Calibri" w:cs="Calibri"/>
          <w:color w:val="4A4A4A"/>
          <w:sz w:val="21"/>
          <w:szCs w:val="21"/>
        </w:rPr>
        <w:t> </w:t>
      </w:r>
      <w:r w:rsidR="00DD5ECE">
        <w:rPr>
          <w:rStyle w:val="eop"/>
          <w:rFonts w:ascii="Calibri" w:hAnsi="Calibri" w:cs="Calibri"/>
          <w:color w:val="4A4A4A"/>
          <w:sz w:val="21"/>
          <w:szCs w:val="21"/>
        </w:rPr>
        <w:t xml:space="preserve">Populations published by the UNPD’s World Population Prospects are aggregated to regional and global levels. The mortality rate is then calculated at the regional and global levels. </w:t>
      </w:r>
    </w:p>
    <w:p w14:paraId="34574F34" w14:textId="77777777"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18A5EC5" w14:textId="65926F3A" w:rsidR="005143AE" w:rsidRPr="003F5222" w:rsidRDefault="007153E8" w:rsidP="00576CFA">
      <w:pPr>
        <w:pStyle w:val="MText"/>
        <w:rPr>
          <w:rFonts w:cs="Arial"/>
          <w:sz w:val="22"/>
          <w:szCs w:val="22"/>
        </w:rPr>
      </w:pPr>
      <w:r>
        <w:t xml:space="preserve">Data for this indicator </w:t>
      </w:r>
      <w:r w:rsidR="00A4399E">
        <w:t>are</w:t>
      </w:r>
      <w:r>
        <w:t xml:space="preserve"> not routinely collected by countries. Rather, </w:t>
      </w:r>
      <w:r w:rsidR="00A4399E">
        <w:t>they are</w:t>
      </w:r>
      <w:r>
        <w:t xml:space="preserve"> modelled using Comparative Risk Assessment methods</w:t>
      </w:r>
      <w:r>
        <w:rPr>
          <w:rStyle w:val="FootnoteReference"/>
        </w:rPr>
        <w:footnoteReference w:id="2"/>
      </w:r>
      <w:r w:rsidR="002037C0">
        <w:t xml:space="preserve"> (For further information please see section 4.c.)</w:t>
      </w:r>
      <w:r w:rsidR="00A4399E">
        <w:t>.</w:t>
      </w:r>
      <w:r w:rsidR="002037C0">
        <w:t xml:space="preserve"> However, while</w:t>
      </w:r>
      <w:r w:rsidR="005143AE">
        <w:t xml:space="preserve"> countries do not routinely collect th</w:t>
      </w:r>
      <w:r w:rsidR="00A4399E">
        <w:t>ese</w:t>
      </w:r>
      <w:r w:rsidR="005143AE">
        <w:t xml:space="preserve"> data to feed into the global figures for indicator 3.9.2, there have been a small number of requests for technical assistance from WHO country offices for support in the country-level calculation of WASH-attributable disease burden. </w:t>
      </w:r>
      <w:r w:rsidR="002037C0">
        <w:t>A country tool is in development to</w:t>
      </w:r>
      <w:r w:rsidR="005143AE">
        <w:t xml:space="preserve"> enable countries to calculate the estimated burden of disease associated with WASH for their own country, and this will be available later this year. </w:t>
      </w:r>
    </w:p>
    <w:p w14:paraId="1A2563E9" w14:textId="77777777" w:rsidR="007153E8" w:rsidRPr="00A96255" w:rsidRDefault="007153E8"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52775309" w:rsidR="00EC2915" w:rsidRDefault="007C3FCB" w:rsidP="003F5222">
      <w:pPr>
        <w:pStyle w:val="CommentText"/>
      </w:pPr>
      <w:r w:rsidRPr="00D60653">
        <w:rPr>
          <w:rStyle w:val="MTextChar"/>
          <w:rFonts w:eastAsiaTheme="minorEastAsia"/>
        </w:rPr>
        <w:t>For information on data quality management, assurance, and assessment processes at WHO, please refer to:</w:t>
      </w:r>
      <w:r>
        <w:t xml:space="preserve"> </w:t>
      </w:r>
      <w:hyperlink r:id="rId14" w:history="1">
        <w:r w:rsidRPr="008918AB">
          <w:rPr>
            <w:rStyle w:val="Hyperlink"/>
          </w:rPr>
          <w:t>https://www.who.int/data/ddi</w:t>
        </w:r>
      </w:hyperlink>
    </w:p>
    <w:p w14:paraId="48A92898" w14:textId="77777777" w:rsidR="005143AE" w:rsidRPr="00A96255" w:rsidRDefault="005143AE" w:rsidP="00576CFA">
      <w:pPr>
        <w:pStyle w:val="MText"/>
      </w:pPr>
    </w:p>
    <w:p w14:paraId="17B979CA" w14:textId="449C0153" w:rsidR="00E1050F" w:rsidRPr="00A96255" w:rsidRDefault="00E1050F" w:rsidP="00F719A8">
      <w:pPr>
        <w:pStyle w:val="MHeader2"/>
      </w:pPr>
      <w:r w:rsidRPr="003F5222">
        <w:t xml:space="preserve">4.j Quality assurance </w:t>
      </w:r>
      <w:r>
        <w:rPr>
          <w:color w:val="B4B4B4"/>
          <w:sz w:val="20"/>
        </w:rPr>
        <w:t>(QUALITY_ASSURE)</w:t>
      </w:r>
    </w:p>
    <w:p w14:paraId="748F9F66" w14:textId="77777777" w:rsidR="007C3FCB" w:rsidRDefault="007C3FCB" w:rsidP="007C3FCB">
      <w:pPr>
        <w:pStyle w:val="CommentText"/>
      </w:pPr>
      <w:r w:rsidRPr="00D60653">
        <w:rPr>
          <w:rStyle w:val="MTextChar"/>
          <w:rFonts w:eastAsiaTheme="minorEastAsia"/>
        </w:rPr>
        <w:t xml:space="preserve">For information on data quality management, assurance, and assessment processes at WHO, please refer to: </w:t>
      </w:r>
      <w:hyperlink r:id="rId15" w:history="1">
        <w:r w:rsidRPr="008918AB">
          <w:rPr>
            <w:rStyle w:val="Hyperlink"/>
          </w:rPr>
          <w:t>https://www.who.int/data/ddi</w:t>
        </w:r>
      </w:hyperlink>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3F5222">
        <w:t xml:space="preserve">4.k Quality assessment </w:t>
      </w:r>
      <w:r>
        <w:rPr>
          <w:color w:val="B4B4B4"/>
          <w:sz w:val="20"/>
        </w:rPr>
        <w:t>(QUALITY_ASSMNT)</w:t>
      </w:r>
    </w:p>
    <w:p w14:paraId="44E2F900" w14:textId="77777777" w:rsidR="007C3FCB" w:rsidRDefault="007C3FCB" w:rsidP="007C3FCB">
      <w:pPr>
        <w:pStyle w:val="CommentText"/>
      </w:pPr>
      <w:r w:rsidRPr="00D60653">
        <w:rPr>
          <w:rStyle w:val="MTextChar"/>
          <w:rFonts w:eastAsiaTheme="minorEastAsia"/>
        </w:rPr>
        <w:t>For information on data quality management, assurance, and assessment processes at WHO, please refer to:</w:t>
      </w:r>
      <w:r>
        <w:t xml:space="preserve"> </w:t>
      </w:r>
      <w:hyperlink r:id="rId16" w:history="1">
        <w:r w:rsidRPr="008918AB">
          <w:rPr>
            <w:rStyle w:val="Hyperlink"/>
          </w:rPr>
          <w:t>https://www.who.int/data/ddi</w:t>
        </w:r>
      </w:hyperlink>
    </w:p>
    <w:p w14:paraId="5B7C52CE" w14:textId="047406BD" w:rsidR="00576CFA" w:rsidRPr="00A96255" w:rsidRDefault="00576CFA" w:rsidP="00576CFA">
      <w:pPr>
        <w:pStyle w:val="MText"/>
      </w:pPr>
    </w:p>
    <w:p w14:paraId="17787B3C" w14:textId="03FE81A9" w:rsidR="00E1050F" w:rsidRPr="00A96255" w:rsidRDefault="00576CFA" w:rsidP="000412A0">
      <w:pPr>
        <w:pStyle w:val="MHeader"/>
        <w:spacing w:after="100"/>
      </w:pPr>
      <w:r w:rsidRPr="00F00490">
        <w:t xml:space="preserve">5. Data availability and disaggregation </w:t>
      </w:r>
      <w:r>
        <w:rPr>
          <w:color w:val="B4B4B4"/>
          <w:sz w:val="20"/>
        </w:rPr>
        <w:t>(COVERAGE)</w:t>
      </w:r>
    </w:p>
    <w:p w14:paraId="34691D72" w14:textId="0E3C8879" w:rsidR="00A7456E" w:rsidRPr="00977027" w:rsidRDefault="00D51E7C" w:rsidP="00405988">
      <w:pPr>
        <w:pStyle w:val="MText"/>
        <w:rPr>
          <w:b/>
          <w:bCs/>
        </w:rPr>
      </w:pPr>
      <w:r w:rsidRPr="00977027">
        <w:rPr>
          <w:b/>
          <w:bCs/>
        </w:rPr>
        <w:t>Data availability:</w:t>
      </w:r>
    </w:p>
    <w:p w14:paraId="64E99CEA" w14:textId="39128B2B" w:rsidR="00E00B0A" w:rsidRPr="00D60653" w:rsidRDefault="00A7456E" w:rsidP="00A7456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977027">
        <w:rPr>
          <w:rStyle w:val="normaltextrun"/>
          <w:rFonts w:ascii="Calibri" w:hAnsi="Calibri" w:cs="Calibri"/>
          <w:color w:val="4A4A4A"/>
          <w:sz w:val="21"/>
          <w:szCs w:val="21"/>
          <w:lang w:val="en-GB"/>
        </w:rPr>
        <w:t xml:space="preserve">Data are available for </w:t>
      </w:r>
      <w:r w:rsidR="00E00B0A" w:rsidRPr="00977027">
        <w:rPr>
          <w:rStyle w:val="normaltextrun"/>
          <w:rFonts w:ascii="Calibri" w:hAnsi="Calibri" w:cs="Calibri"/>
          <w:color w:val="4A4A4A"/>
          <w:sz w:val="21"/>
          <w:szCs w:val="21"/>
          <w:lang w:val="en-GB"/>
        </w:rPr>
        <w:t>183 UN Member States, and can be accessed through the WHO Global Health Observatory: https://apps.who.int/gho/data/view.main.INADEQUATEWSHv?lang=en</w:t>
      </w:r>
    </w:p>
    <w:p w14:paraId="34B448BF" w14:textId="77777777" w:rsidR="00E00B0A" w:rsidRPr="00977027" w:rsidRDefault="00E00B0A" w:rsidP="00A7456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50C96BE9" w14:textId="2BA0B987" w:rsidR="00A7456E" w:rsidRPr="00D60653" w:rsidRDefault="00A7456E" w:rsidP="00977027">
      <w:pPr>
        <w:pStyle w:val="paragraph"/>
        <w:shd w:val="clear" w:color="auto" w:fill="FFFFFF"/>
        <w:spacing w:before="0" w:beforeAutospacing="0" w:after="0" w:afterAutospacing="0"/>
        <w:textAlignment w:val="baseline"/>
        <w:rPr>
          <w:rFonts w:ascii="Segoe UI" w:hAnsi="Segoe UI" w:cs="Segoe UI"/>
          <w:color w:val="4A4A4A"/>
          <w:sz w:val="18"/>
          <w:szCs w:val="18"/>
        </w:rPr>
      </w:pPr>
      <w:r w:rsidRPr="00977027">
        <w:rPr>
          <w:rStyle w:val="eop"/>
          <w:color w:val="4A4A4A"/>
          <w:sz w:val="21"/>
          <w:szCs w:val="21"/>
        </w:rPr>
        <w:t> </w:t>
      </w:r>
    </w:p>
    <w:p w14:paraId="0D828E53" w14:textId="45377A37" w:rsidR="00A7456E" w:rsidRPr="00977027" w:rsidRDefault="00D51E7C" w:rsidP="00405988">
      <w:pPr>
        <w:pStyle w:val="MText"/>
        <w:rPr>
          <w:b/>
          <w:bCs/>
        </w:rPr>
      </w:pPr>
      <w:r w:rsidRPr="00977027">
        <w:rPr>
          <w:b/>
          <w:bCs/>
        </w:rPr>
        <w:t>Time series:</w:t>
      </w:r>
    </w:p>
    <w:p w14:paraId="484258AC" w14:textId="6DA1E003" w:rsidR="00CC4164" w:rsidRPr="00D60653" w:rsidRDefault="00E00B0A" w:rsidP="00CC4164">
      <w:pPr>
        <w:rPr>
          <w:rFonts w:ascii="Calibri" w:hAnsi="Calibri" w:cs="Calibri"/>
          <w:color w:val="4A4A4A"/>
          <w:sz w:val="21"/>
          <w:szCs w:val="21"/>
        </w:rPr>
      </w:pPr>
      <w:r w:rsidRPr="00D60653">
        <w:rPr>
          <w:rFonts w:ascii="Calibri" w:hAnsi="Calibri" w:cs="Calibri"/>
          <w:color w:val="4A4A4A"/>
          <w:sz w:val="21"/>
          <w:szCs w:val="21"/>
        </w:rPr>
        <w:t xml:space="preserve">Previous rounds of estimates have been published with reference years of </w:t>
      </w:r>
      <w:r w:rsidR="00CC4164" w:rsidRPr="00D60653">
        <w:rPr>
          <w:rFonts w:ascii="Calibri" w:hAnsi="Calibri" w:cs="Calibri"/>
          <w:color w:val="4A4A4A"/>
          <w:sz w:val="21"/>
          <w:szCs w:val="21"/>
        </w:rPr>
        <w:t xml:space="preserve">2012, 2015, </w:t>
      </w:r>
      <w:r w:rsidRPr="00D60653">
        <w:rPr>
          <w:rFonts w:ascii="Calibri" w:hAnsi="Calibri" w:cs="Calibri"/>
          <w:color w:val="4A4A4A"/>
          <w:sz w:val="21"/>
          <w:szCs w:val="21"/>
        </w:rPr>
        <w:t xml:space="preserve">and </w:t>
      </w:r>
      <w:r w:rsidR="00CC4164" w:rsidRPr="00D60653">
        <w:rPr>
          <w:rFonts w:ascii="Calibri" w:hAnsi="Calibri" w:cs="Calibri"/>
          <w:color w:val="4A4A4A"/>
          <w:sz w:val="21"/>
          <w:szCs w:val="21"/>
        </w:rPr>
        <w:t>2016. As there have been changes in methods for diarrhoea, they have limited comparability.</w:t>
      </w:r>
      <w:r w:rsidRPr="00D60653">
        <w:rPr>
          <w:rFonts w:ascii="Calibri" w:hAnsi="Calibri" w:cs="Calibri"/>
          <w:color w:val="4A4A4A"/>
          <w:sz w:val="21"/>
          <w:szCs w:val="21"/>
        </w:rPr>
        <w:t xml:space="preserve"> </w:t>
      </w:r>
    </w:p>
    <w:p w14:paraId="4A449B09" w14:textId="77777777" w:rsidR="006E002E" w:rsidRPr="00977027" w:rsidRDefault="006E002E" w:rsidP="00576CFA">
      <w:pPr>
        <w:pStyle w:val="MText"/>
        <w:rPr>
          <w:highlight w:val="yellow"/>
        </w:rPr>
      </w:pPr>
    </w:p>
    <w:p w14:paraId="40E6DE04" w14:textId="60B3D413" w:rsidR="00054A14" w:rsidRPr="00977027" w:rsidRDefault="00D51E7C" w:rsidP="00405988">
      <w:pPr>
        <w:pStyle w:val="MText"/>
        <w:rPr>
          <w:b/>
          <w:bCs/>
        </w:rPr>
      </w:pPr>
      <w:r w:rsidRPr="00977027">
        <w:rPr>
          <w:b/>
          <w:bCs/>
        </w:rPr>
        <w:t>Disaggregation:</w:t>
      </w:r>
    </w:p>
    <w:p w14:paraId="26865F90" w14:textId="6BAD100B" w:rsidR="00E00B0A" w:rsidRPr="00D60653" w:rsidRDefault="00E00B0A" w:rsidP="00054A14">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977027">
        <w:rPr>
          <w:rStyle w:val="normaltextrun"/>
          <w:rFonts w:ascii="Calibri" w:hAnsi="Calibri" w:cs="Calibri"/>
          <w:color w:val="4A4A4A"/>
          <w:sz w:val="21"/>
          <w:szCs w:val="21"/>
          <w:lang w:val="en-GB"/>
        </w:rPr>
        <w:t xml:space="preserve">National, </w:t>
      </w:r>
      <w:proofErr w:type="gramStart"/>
      <w:r w:rsidRPr="00977027">
        <w:rPr>
          <w:rStyle w:val="normaltextrun"/>
          <w:rFonts w:ascii="Calibri" w:hAnsi="Calibri" w:cs="Calibri"/>
          <w:color w:val="4A4A4A"/>
          <w:sz w:val="21"/>
          <w:szCs w:val="21"/>
          <w:lang w:val="en-GB"/>
        </w:rPr>
        <w:t>regional</w:t>
      </w:r>
      <w:proofErr w:type="gramEnd"/>
      <w:r w:rsidRPr="00977027">
        <w:rPr>
          <w:rStyle w:val="normaltextrun"/>
          <w:rFonts w:ascii="Calibri" w:hAnsi="Calibri" w:cs="Calibri"/>
          <w:color w:val="4A4A4A"/>
          <w:sz w:val="21"/>
          <w:szCs w:val="21"/>
          <w:lang w:val="en-GB"/>
        </w:rPr>
        <w:t xml:space="preserve"> and global data are available at the total population; disaggregated into male and female populations; and for the population under age five.</w:t>
      </w:r>
    </w:p>
    <w:p w14:paraId="73E005F5" w14:textId="4324D73E" w:rsidR="00054A14" w:rsidRPr="00D60653" w:rsidRDefault="00054A14" w:rsidP="00054A14">
      <w:pPr>
        <w:pStyle w:val="paragraph"/>
        <w:shd w:val="clear" w:color="auto" w:fill="FFFFFF"/>
        <w:spacing w:before="0" w:beforeAutospacing="0" w:after="0" w:afterAutospacing="0"/>
        <w:textAlignment w:val="baseline"/>
        <w:rPr>
          <w:rFonts w:ascii="Segoe UI" w:hAnsi="Segoe UI" w:cs="Segoe UI"/>
          <w:color w:val="4A4A4A"/>
          <w:sz w:val="18"/>
          <w:szCs w:val="18"/>
        </w:rPr>
      </w:pPr>
      <w:r w:rsidRPr="00977027">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6B68E9FB" w:rsidR="00D51E7C" w:rsidRPr="000B1983" w:rsidRDefault="00D51E7C" w:rsidP="00576CFA">
      <w:pPr>
        <w:pStyle w:val="MText"/>
        <w:rPr>
          <w:b/>
          <w:bCs/>
        </w:rPr>
      </w:pPr>
      <w:r w:rsidRPr="000B1983">
        <w:rPr>
          <w:b/>
          <w:bCs/>
        </w:rPr>
        <w:t>Sources of discrepancies:</w:t>
      </w:r>
    </w:p>
    <w:p w14:paraId="3C2D4870" w14:textId="7ED1E212" w:rsidR="00D51E7C" w:rsidRPr="00405988" w:rsidRDefault="00A7456E" w:rsidP="0040598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is required by World Health Assembly resolution to consult on all WHO statistics, and seek feedback from countries on data about countries and </w:t>
      </w:r>
      <w:proofErr w:type="gramStart"/>
      <w:r>
        <w:rPr>
          <w:rStyle w:val="normaltextrun"/>
          <w:rFonts w:ascii="Calibri" w:hAnsi="Calibri" w:cs="Calibri"/>
          <w:color w:val="4A4A4A"/>
          <w:sz w:val="21"/>
          <w:szCs w:val="21"/>
          <w:lang w:val="en-GB"/>
        </w:rPr>
        <w:t>territories.</w:t>
      </w:r>
      <w:proofErr w:type="gramEnd"/>
      <w:r>
        <w:rPr>
          <w:rStyle w:val="normaltextrun"/>
          <w:rFonts w:ascii="Calibri" w:hAnsi="Calibri" w:cs="Calibri"/>
          <w:color w:val="4A4A4A"/>
          <w:sz w:val="21"/>
          <w:szCs w:val="21"/>
          <w:lang w:val="en-GB"/>
        </w:rPr>
        <w:t xml:space="preserve"> Before publishing, all estimates undergo country consultations.</w:t>
      </w:r>
      <w:r>
        <w:rPr>
          <w:rStyle w:val="eop"/>
          <w:rFonts w:ascii="Calibri" w:hAnsi="Calibri" w:cs="Calibri"/>
          <w:color w:val="4A4A4A"/>
          <w:sz w:val="21"/>
          <w:szCs w:val="21"/>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DBA2D73" w14:textId="77777777"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4A6E8133" w14:textId="77777777"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8FF4DA9" w14:textId="0F1FE4B8" w:rsidR="003F5222" w:rsidRPr="003F5222" w:rsidRDefault="003F5222" w:rsidP="003F5222">
      <w:pPr>
        <w:pStyle w:val="paragraph"/>
        <w:shd w:val="clear" w:color="auto" w:fill="FFFFFF"/>
        <w:spacing w:before="0" w:beforeAutospacing="0" w:after="0" w:afterAutospacing="0"/>
        <w:textAlignment w:val="baseline"/>
        <w:rPr>
          <w:rStyle w:val="eop"/>
          <w:rFonts w:asciiTheme="minorHAnsi" w:hAnsiTheme="minorHAnsi" w:cstheme="minorHAnsi"/>
          <w:color w:val="4A4A4A"/>
          <w:sz w:val="22"/>
          <w:szCs w:val="22"/>
        </w:rPr>
      </w:pPr>
      <w:r w:rsidRPr="003F5222">
        <w:rPr>
          <w:rStyle w:val="normaltextrun"/>
          <w:rFonts w:asciiTheme="minorHAnsi" w:hAnsiTheme="minorHAnsi" w:cstheme="minorHAnsi"/>
          <w:color w:val="4A4A4A"/>
          <w:sz w:val="22"/>
          <w:szCs w:val="22"/>
          <w:lang w:val="en-GB"/>
        </w:rPr>
        <w:t xml:space="preserve">WHO indicator definition </w:t>
      </w:r>
      <w:hyperlink r:id="rId17" w:history="1">
        <w:r w:rsidRPr="003F5222">
          <w:rPr>
            <w:rStyle w:val="Hyperlink"/>
            <w:rFonts w:asciiTheme="minorHAnsi" w:hAnsiTheme="minorHAnsi" w:cstheme="minorHAnsi"/>
            <w:sz w:val="22"/>
            <w:szCs w:val="22"/>
            <w:lang w:val="en-GB"/>
          </w:rPr>
          <w:t>https://www.who.int/data/gho/indicator-metadata-registry/imr-details/2260</w:t>
        </w:r>
      </w:hyperlink>
      <w:r w:rsidRPr="003F5222">
        <w:rPr>
          <w:rStyle w:val="normaltextrun"/>
          <w:rFonts w:asciiTheme="minorHAnsi" w:hAnsiTheme="minorHAnsi" w:cstheme="minorHAnsi"/>
          <w:color w:val="4A4A4A"/>
          <w:sz w:val="22"/>
          <w:szCs w:val="22"/>
          <w:lang w:val="en-GB"/>
        </w:rPr>
        <w:t xml:space="preserve"> </w:t>
      </w:r>
    </w:p>
    <w:p w14:paraId="05533692" w14:textId="77777777" w:rsidR="003F5222" w:rsidRPr="003F5222" w:rsidRDefault="003F5222" w:rsidP="003F5222">
      <w:pPr>
        <w:rPr>
          <w:rStyle w:val="eop"/>
          <w:rFonts w:asciiTheme="minorHAnsi" w:hAnsiTheme="minorHAnsi" w:cstheme="minorHAnsi"/>
          <w:color w:val="4A4A4A"/>
          <w:sz w:val="22"/>
          <w:szCs w:val="22"/>
        </w:rPr>
      </w:pPr>
    </w:p>
    <w:p w14:paraId="6FFFF24C" w14:textId="64614146" w:rsidR="003F5222" w:rsidRDefault="003F5222" w:rsidP="003F5222">
      <w:pPr>
        <w:pStyle w:val="paragraph"/>
        <w:shd w:val="clear" w:color="auto" w:fill="FFFFFF"/>
        <w:spacing w:before="0" w:beforeAutospacing="0" w:after="0" w:afterAutospacing="0"/>
        <w:textAlignment w:val="baseline"/>
        <w:rPr>
          <w:rFonts w:ascii="Segoe UI" w:hAnsi="Segoe UI" w:cs="Segoe UI"/>
          <w:sz w:val="18"/>
          <w:szCs w:val="18"/>
        </w:rPr>
      </w:pPr>
      <w:r w:rsidRPr="003F5222">
        <w:rPr>
          <w:rStyle w:val="normaltextrun"/>
          <w:rFonts w:asciiTheme="minorHAnsi" w:hAnsiTheme="minorHAnsi" w:cstheme="minorHAnsi"/>
          <w:color w:val="4A4A4A"/>
          <w:sz w:val="22"/>
          <w:szCs w:val="22"/>
          <w:lang w:val="en-GB"/>
        </w:rPr>
        <w:t xml:space="preserve">WHO methods and data sources for global causes of death, 2000–2012 </w:t>
      </w:r>
      <w:hyperlink r:id="rId18" w:history="1">
        <w:r w:rsidRPr="003F5222">
          <w:rPr>
            <w:rStyle w:val="Hyperlink"/>
            <w:rFonts w:asciiTheme="minorHAnsi" w:hAnsiTheme="minorHAnsi" w:cstheme="minorHAnsi"/>
            <w:sz w:val="22"/>
            <w:szCs w:val="22"/>
          </w:rPr>
          <w:t>https://cdn.who.int/media/docs/default-source/gho-documents/global-health-estimates/ghe2019_cod_methods.pdf</w:t>
        </w:r>
      </w:hyperlink>
    </w:p>
    <w:p w14:paraId="404CA1D0" w14:textId="77777777"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E886F9" w14:textId="7EDB443B" w:rsidR="00A7456E" w:rsidRDefault="00A7456E" w:rsidP="00A7456E">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3CD5833F" w14:textId="6618CC72" w:rsidR="00160AE4" w:rsidRDefault="00160AE4" w:rsidP="00A7456E">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0A838933" w14:textId="6D67C7E4" w:rsidR="00160AE4" w:rsidRPr="003F5222" w:rsidRDefault="00160AE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proofErr w:type="spellStart"/>
      <w:r w:rsidRPr="00D60653">
        <w:rPr>
          <w:rStyle w:val="MTextChar"/>
          <w:rFonts w:cstheme="minorHAnsi"/>
        </w:rPr>
        <w:lastRenderedPageBreak/>
        <w:t>Clasen</w:t>
      </w:r>
      <w:proofErr w:type="spellEnd"/>
      <w:r w:rsidRPr="00D60653">
        <w:rPr>
          <w:rStyle w:val="MTextChar"/>
          <w:rFonts w:cstheme="minorHAnsi"/>
        </w:rPr>
        <w:t xml:space="preserve">, T., </w:t>
      </w:r>
      <w:proofErr w:type="spellStart"/>
      <w:r w:rsidRPr="00D60653">
        <w:rPr>
          <w:rStyle w:val="MTextChar"/>
          <w:rFonts w:cstheme="minorHAnsi"/>
        </w:rPr>
        <w:t>Prüss-Ustün</w:t>
      </w:r>
      <w:proofErr w:type="spellEnd"/>
      <w:r w:rsidRPr="00D60653">
        <w:rPr>
          <w:rStyle w:val="MTextChar"/>
          <w:rFonts w:cstheme="minorHAnsi"/>
        </w:rPr>
        <w:t xml:space="preserve">, A., Mathers, C. D., Cumming, O., </w:t>
      </w:r>
      <w:proofErr w:type="spellStart"/>
      <w:r w:rsidRPr="00D60653">
        <w:rPr>
          <w:rStyle w:val="MTextChar"/>
          <w:rFonts w:cstheme="minorHAnsi"/>
        </w:rPr>
        <w:t>Cairncross</w:t>
      </w:r>
      <w:proofErr w:type="spellEnd"/>
      <w:r w:rsidRPr="00D60653">
        <w:rPr>
          <w:rStyle w:val="MTextChar"/>
          <w:rFonts w:cstheme="minorHAnsi"/>
        </w:rPr>
        <w:t xml:space="preserve">, S., &amp; </w:t>
      </w:r>
      <w:proofErr w:type="spellStart"/>
      <w:r w:rsidRPr="00D60653">
        <w:rPr>
          <w:rStyle w:val="MTextChar"/>
          <w:rFonts w:cstheme="minorHAnsi"/>
        </w:rPr>
        <w:t>Colford</w:t>
      </w:r>
      <w:proofErr w:type="spellEnd"/>
      <w:r w:rsidRPr="00D60653">
        <w:rPr>
          <w:rStyle w:val="MTextChar"/>
          <w:rFonts w:cstheme="minorHAnsi"/>
        </w:rPr>
        <w:t xml:space="preserve">, J. M. (2014). Estimating the impact of unsafe water, </w:t>
      </w:r>
      <w:proofErr w:type="gramStart"/>
      <w:r w:rsidRPr="00D60653">
        <w:rPr>
          <w:rStyle w:val="MTextChar"/>
          <w:rFonts w:cstheme="minorHAnsi"/>
        </w:rPr>
        <w:t>sanitation</w:t>
      </w:r>
      <w:proofErr w:type="gramEnd"/>
      <w:r w:rsidRPr="00D60653">
        <w:rPr>
          <w:rStyle w:val="MTextChar"/>
          <w:rFonts w:cstheme="minorHAnsi"/>
        </w:rPr>
        <w:t xml:space="preserve"> and hygiene on the global burden of disease: evolving and alternative methods. Trop Med Int Health, 19(8), 884-893.</w:t>
      </w:r>
      <w:r w:rsidRPr="00D60653">
        <w:rPr>
          <w:rStyle w:val="MTextChar"/>
        </w:rPr>
        <w:t xml:space="preserve"> </w:t>
      </w:r>
      <w:hyperlink r:id="rId19" w:history="1">
        <w:r w:rsidRPr="003F5222">
          <w:rPr>
            <w:rStyle w:val="Hyperlink"/>
            <w:rFonts w:asciiTheme="minorHAnsi" w:hAnsiTheme="minorHAnsi" w:cstheme="minorHAnsi"/>
            <w:sz w:val="22"/>
            <w:szCs w:val="22"/>
          </w:rPr>
          <w:t>https://doi.org/10.1111/tmi.12330</w:t>
        </w:r>
      </w:hyperlink>
    </w:p>
    <w:p w14:paraId="7A023B04" w14:textId="77777777" w:rsidR="00160AE4" w:rsidRPr="003F5222" w:rsidRDefault="00160AE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606812F8" w14:textId="3BA4D850" w:rsidR="00160AE4" w:rsidRPr="003F5222" w:rsidRDefault="00160AE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proofErr w:type="spellStart"/>
      <w:r w:rsidRPr="00D60653">
        <w:rPr>
          <w:rStyle w:val="MTextChar"/>
          <w:rFonts w:cstheme="minorHAnsi"/>
        </w:rPr>
        <w:t>Ezzati</w:t>
      </w:r>
      <w:proofErr w:type="spellEnd"/>
      <w:r w:rsidRPr="00D60653">
        <w:rPr>
          <w:rStyle w:val="MTextChar"/>
          <w:rFonts w:cstheme="minorHAnsi"/>
        </w:rPr>
        <w:t>, M., Lopez, A. D., Rodgers, A., Vander Hoorn, S., Murray, C. J., &amp; Group, C. R. A. C. (2002). Selected major risk factors and global and regional burden of disease. Lancet, 360(9343), 1347-1360.</w:t>
      </w:r>
      <w:r w:rsidRPr="003F5222">
        <w:rPr>
          <w:rFonts w:asciiTheme="minorHAnsi" w:hAnsiTheme="minorHAnsi" w:cstheme="minorHAnsi"/>
          <w:sz w:val="22"/>
          <w:szCs w:val="22"/>
        </w:rPr>
        <w:t xml:space="preserve"> </w:t>
      </w:r>
      <w:hyperlink r:id="rId20" w:history="1">
        <w:r w:rsidRPr="003F5222">
          <w:rPr>
            <w:rStyle w:val="Hyperlink"/>
            <w:rFonts w:asciiTheme="minorHAnsi" w:hAnsiTheme="minorHAnsi" w:cstheme="minorHAnsi"/>
            <w:sz w:val="22"/>
            <w:szCs w:val="22"/>
          </w:rPr>
          <w:t>https://doi.org/10.1016/S0140-6736(02)11403-6</w:t>
        </w:r>
      </w:hyperlink>
    </w:p>
    <w:p w14:paraId="3E0B4264" w14:textId="77777777" w:rsidR="00160AE4" w:rsidRPr="003F5222" w:rsidRDefault="00160AE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74E291BA" w14:textId="5ECBA4F0" w:rsidR="00160AE4" w:rsidRPr="003F5222" w:rsidRDefault="00160AE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r w:rsidRPr="00D60653">
        <w:rPr>
          <w:rStyle w:val="MTextChar"/>
          <w:rFonts w:cstheme="minorHAnsi"/>
        </w:rPr>
        <w:t>'</w:t>
      </w:r>
      <w:proofErr w:type="spellStart"/>
      <w:r w:rsidRPr="00D60653">
        <w:rPr>
          <w:rStyle w:val="MTextChar"/>
          <w:rFonts w:cstheme="minorHAnsi"/>
        </w:rPr>
        <w:t>Prüss-Ustün</w:t>
      </w:r>
      <w:proofErr w:type="spellEnd"/>
      <w:r w:rsidRPr="00D60653">
        <w:rPr>
          <w:rStyle w:val="MTextChar"/>
          <w:rFonts w:cstheme="minorHAnsi"/>
        </w:rPr>
        <w:t xml:space="preserve">, A., Bartram, J., </w:t>
      </w:r>
      <w:proofErr w:type="spellStart"/>
      <w:r w:rsidRPr="00D60653">
        <w:rPr>
          <w:rStyle w:val="MTextChar"/>
          <w:rFonts w:cstheme="minorHAnsi"/>
        </w:rPr>
        <w:t>Clasen</w:t>
      </w:r>
      <w:proofErr w:type="spellEnd"/>
      <w:r w:rsidRPr="00D60653">
        <w:rPr>
          <w:rStyle w:val="MTextChar"/>
          <w:rFonts w:cstheme="minorHAnsi"/>
        </w:rPr>
        <w:t xml:space="preserve">, T., </w:t>
      </w:r>
      <w:proofErr w:type="spellStart"/>
      <w:r w:rsidRPr="00D60653">
        <w:rPr>
          <w:rStyle w:val="MTextChar"/>
          <w:rFonts w:cstheme="minorHAnsi"/>
        </w:rPr>
        <w:t>Colford</w:t>
      </w:r>
      <w:proofErr w:type="spellEnd"/>
      <w:r w:rsidRPr="00D60653">
        <w:rPr>
          <w:rStyle w:val="MTextChar"/>
          <w:rFonts w:cstheme="minorHAnsi"/>
        </w:rPr>
        <w:t xml:space="preserve">, J. M., Cumming, O., Curtis, V., . . . </w:t>
      </w:r>
      <w:proofErr w:type="spellStart"/>
      <w:r w:rsidRPr="00D60653">
        <w:rPr>
          <w:rStyle w:val="MTextChar"/>
          <w:rFonts w:cstheme="minorHAnsi"/>
        </w:rPr>
        <w:t>Cairncross</w:t>
      </w:r>
      <w:proofErr w:type="spellEnd"/>
      <w:r w:rsidRPr="00D60653">
        <w:rPr>
          <w:rStyle w:val="MTextChar"/>
          <w:rFonts w:cstheme="minorHAnsi"/>
        </w:rPr>
        <w:t xml:space="preserve">, S. (2014). Burden of disease from inadequate water, </w:t>
      </w:r>
      <w:proofErr w:type="gramStart"/>
      <w:r w:rsidRPr="00D60653">
        <w:rPr>
          <w:rStyle w:val="MTextChar"/>
          <w:rFonts w:cstheme="minorHAnsi"/>
        </w:rPr>
        <w:t>sanitation</w:t>
      </w:r>
      <w:proofErr w:type="gramEnd"/>
      <w:r w:rsidRPr="00D60653">
        <w:rPr>
          <w:rStyle w:val="MTextChar"/>
          <w:rFonts w:cstheme="minorHAnsi"/>
        </w:rPr>
        <w:t xml:space="preserve"> and hygiene in low- and middle-income settings: a retrospective analysis of data from 145 countries. Trop Med Int Health, 19(8), 894-905.</w:t>
      </w:r>
      <w:r w:rsidRPr="003F5222">
        <w:rPr>
          <w:rFonts w:asciiTheme="minorHAnsi" w:hAnsiTheme="minorHAnsi" w:cstheme="minorHAnsi"/>
          <w:sz w:val="22"/>
          <w:szCs w:val="22"/>
        </w:rPr>
        <w:t xml:space="preserve"> </w:t>
      </w:r>
      <w:hyperlink r:id="rId21" w:history="1">
        <w:r w:rsidR="00702F74" w:rsidRPr="003F5222">
          <w:rPr>
            <w:rStyle w:val="Hyperlink"/>
            <w:rFonts w:asciiTheme="minorHAnsi" w:hAnsiTheme="minorHAnsi" w:cstheme="minorHAnsi"/>
            <w:sz w:val="22"/>
            <w:szCs w:val="22"/>
          </w:rPr>
          <w:t>https://doi.org/10.1111/tmi.12329</w:t>
        </w:r>
      </w:hyperlink>
    </w:p>
    <w:p w14:paraId="458378A8" w14:textId="5FB8AD54" w:rsidR="00702F74" w:rsidRPr="003F5222" w:rsidRDefault="00702F7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4ADE69B9" w14:textId="51B553AA" w:rsidR="00702F74" w:rsidRDefault="00702F74" w:rsidP="00D60653">
      <w:pPr>
        <w:pStyle w:val="MText"/>
      </w:pPr>
      <w:proofErr w:type="spellStart"/>
      <w:r w:rsidRPr="003F5222">
        <w:t>Prüss-Ustün</w:t>
      </w:r>
      <w:proofErr w:type="spellEnd"/>
      <w:r w:rsidRPr="003F5222">
        <w:t xml:space="preserve"> A, Wolf J, Bartram J, </w:t>
      </w:r>
      <w:proofErr w:type="spellStart"/>
      <w:r w:rsidRPr="003F5222">
        <w:t>Clasen</w:t>
      </w:r>
      <w:proofErr w:type="spellEnd"/>
      <w:r w:rsidRPr="003F5222">
        <w:t xml:space="preserve"> T, Cumming O, Freeman MC, Gordon B, Hunter PR, </w:t>
      </w:r>
      <w:proofErr w:type="spellStart"/>
      <w:r w:rsidRPr="003F5222">
        <w:t>Medlicott</w:t>
      </w:r>
      <w:proofErr w:type="spellEnd"/>
      <w:r w:rsidRPr="003F5222">
        <w:t xml:space="preserve"> K, Johnston R. (2019) Burden of disease from inadequate water, </w:t>
      </w:r>
      <w:proofErr w:type="gramStart"/>
      <w:r w:rsidRPr="003F5222">
        <w:t>sanitation</w:t>
      </w:r>
      <w:proofErr w:type="gramEnd"/>
      <w:r w:rsidRPr="003F5222">
        <w:t xml:space="preserve"> and hygiene for selected adverse health outcomes: an updated analysis with a focus on low- and middle-income countries. International journal of hygiene and environmental health. 222(5): 765-77.</w:t>
      </w:r>
    </w:p>
    <w:p w14:paraId="1B350F30" w14:textId="77777777" w:rsidR="00EE5439" w:rsidRPr="001A60AA" w:rsidRDefault="0013060F" w:rsidP="00EE5439">
      <w:pPr>
        <w:rPr>
          <w:rFonts w:asciiTheme="minorHAnsi" w:hAnsiTheme="minorHAnsi" w:cstheme="minorHAnsi"/>
          <w:sz w:val="21"/>
          <w:szCs w:val="21"/>
        </w:rPr>
      </w:pPr>
      <w:hyperlink r:id="rId22" w:tgtFrame="_blank" w:tooltip="Persistent link using digital object identifier" w:history="1">
        <w:r w:rsidR="00EE5439" w:rsidRPr="001A60AA">
          <w:rPr>
            <w:rStyle w:val="Hyperlink"/>
            <w:rFonts w:asciiTheme="minorHAnsi" w:hAnsiTheme="minorHAnsi" w:cstheme="minorHAnsi"/>
            <w:color w:val="0C7DBB"/>
            <w:sz w:val="21"/>
            <w:szCs w:val="21"/>
          </w:rPr>
          <w:t>https://doi.org/10.1016/j.ijheh.2019.05.004</w:t>
        </w:r>
      </w:hyperlink>
    </w:p>
    <w:p w14:paraId="5A16675D" w14:textId="05486CC3" w:rsidR="00702F74" w:rsidRPr="003F5222" w:rsidRDefault="00702F74" w:rsidP="00A7456E">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7FAD4022" w14:textId="63316AB8" w:rsidR="007C3FCB" w:rsidRPr="009F78A6" w:rsidRDefault="00702F74" w:rsidP="009F78A6">
      <w:pPr>
        <w:pStyle w:val="paragraph"/>
        <w:shd w:val="clear" w:color="auto" w:fill="FFFFFF"/>
        <w:spacing w:before="0" w:beforeAutospacing="0" w:after="0" w:afterAutospacing="0"/>
        <w:textAlignment w:val="baseline"/>
        <w:rPr>
          <w:rStyle w:val="normaltextrun"/>
          <w:rFonts w:asciiTheme="minorHAnsi" w:hAnsiTheme="minorHAnsi" w:cstheme="minorHAnsi"/>
          <w:sz w:val="22"/>
          <w:szCs w:val="22"/>
        </w:rPr>
      </w:pPr>
      <w:r w:rsidRPr="00D60653">
        <w:rPr>
          <w:rStyle w:val="MTextChar"/>
          <w:rFonts w:cstheme="minorHAnsi"/>
        </w:rPr>
        <w:t xml:space="preserve">'WHO (2014). Preventing </w:t>
      </w:r>
      <w:proofErr w:type="spellStart"/>
      <w:r w:rsidRPr="00D60653">
        <w:rPr>
          <w:rStyle w:val="MTextChar"/>
          <w:rFonts w:cstheme="minorHAnsi"/>
        </w:rPr>
        <w:t>diarrhoea</w:t>
      </w:r>
      <w:proofErr w:type="spellEnd"/>
      <w:r w:rsidRPr="00D60653">
        <w:rPr>
          <w:rStyle w:val="MTextChar"/>
          <w:rFonts w:cstheme="minorHAnsi"/>
        </w:rPr>
        <w:t xml:space="preserve"> through better water, </w:t>
      </w:r>
      <w:proofErr w:type="gramStart"/>
      <w:r w:rsidRPr="00D60653">
        <w:rPr>
          <w:rStyle w:val="MTextChar"/>
          <w:rFonts w:cstheme="minorHAnsi"/>
        </w:rPr>
        <w:t>sanitation</w:t>
      </w:r>
      <w:proofErr w:type="gramEnd"/>
      <w:r w:rsidRPr="00D60653">
        <w:rPr>
          <w:rStyle w:val="MTextChar"/>
          <w:rFonts w:cstheme="minorHAnsi"/>
        </w:rPr>
        <w:t xml:space="preserve"> and hygiene: exposures and impacts in low- and middle-income countries.</w:t>
      </w:r>
      <w:r w:rsidRPr="003F5222">
        <w:rPr>
          <w:rFonts w:asciiTheme="minorHAnsi" w:hAnsiTheme="minorHAnsi" w:cstheme="minorHAnsi"/>
          <w:sz w:val="22"/>
          <w:szCs w:val="22"/>
        </w:rPr>
        <w:t xml:space="preserve"> </w:t>
      </w:r>
      <w:hyperlink r:id="rId23" w:history="1">
        <w:r w:rsidR="00695185" w:rsidRPr="003F5222">
          <w:rPr>
            <w:rStyle w:val="Hyperlink"/>
            <w:rFonts w:asciiTheme="minorHAnsi" w:hAnsiTheme="minorHAnsi" w:cstheme="minorHAnsi"/>
            <w:sz w:val="22"/>
            <w:szCs w:val="22"/>
          </w:rPr>
          <w:t>https://www.who.int/publications/i/item/9789241564823</w:t>
        </w:r>
      </w:hyperlink>
      <w:r w:rsidR="003F5222" w:rsidRPr="003F5222">
        <w:rPr>
          <w:rStyle w:val="normaltextrun"/>
          <w:rFonts w:asciiTheme="minorHAnsi" w:hAnsiTheme="minorHAnsi" w:cstheme="minorHAnsi"/>
          <w:color w:val="4A4A4A"/>
          <w:sz w:val="22"/>
          <w:szCs w:val="22"/>
        </w:rPr>
        <w:t xml:space="preserve"> </w:t>
      </w:r>
    </w:p>
    <w:p w14:paraId="0C033769" w14:textId="77777777" w:rsidR="007C3FCB" w:rsidRPr="003F5222" w:rsidRDefault="007C3FCB" w:rsidP="007C3FCB">
      <w:pPr>
        <w:rPr>
          <w:rStyle w:val="normaltextrun"/>
          <w:rFonts w:asciiTheme="minorHAnsi" w:hAnsiTheme="minorHAnsi" w:cstheme="minorHAnsi"/>
          <w:color w:val="4A4A4A"/>
          <w:sz w:val="22"/>
          <w:szCs w:val="22"/>
        </w:rPr>
      </w:pPr>
    </w:p>
    <w:p w14:paraId="69524C9D" w14:textId="4E9A2ED3" w:rsidR="00830E1B" w:rsidRPr="003F5222" w:rsidRDefault="00830E1B" w:rsidP="00D60653">
      <w:pPr>
        <w:pStyle w:val="MText"/>
      </w:pPr>
      <w:r w:rsidRPr="003F5222">
        <w:rPr>
          <w:shd w:val="clear" w:color="auto" w:fill="FFFFFF"/>
        </w:rPr>
        <w:t xml:space="preserve">Wolf, J., Bonjour, S., &amp; </w:t>
      </w:r>
      <w:proofErr w:type="spellStart"/>
      <w:r w:rsidRPr="003F5222">
        <w:rPr>
          <w:shd w:val="clear" w:color="auto" w:fill="FFFFFF"/>
        </w:rPr>
        <w:t>Prüss-Ustün</w:t>
      </w:r>
      <w:proofErr w:type="spellEnd"/>
      <w:r w:rsidRPr="003F5222">
        <w:rPr>
          <w:shd w:val="clear" w:color="auto" w:fill="FFFFFF"/>
        </w:rPr>
        <w:t xml:space="preserve">, A. (2013). An exploration of multilevel </w:t>
      </w:r>
      <w:proofErr w:type="spellStart"/>
      <w:r w:rsidRPr="003F5222">
        <w:rPr>
          <w:shd w:val="clear" w:color="auto" w:fill="FFFFFF"/>
        </w:rPr>
        <w:t>modeling</w:t>
      </w:r>
      <w:proofErr w:type="spellEnd"/>
      <w:r w:rsidRPr="003F5222">
        <w:rPr>
          <w:shd w:val="clear" w:color="auto" w:fill="FFFFFF"/>
        </w:rPr>
        <w:t xml:space="preserve"> for estimating access to drinking-water and sanitation. </w:t>
      </w:r>
      <w:r w:rsidRPr="003F5222">
        <w:rPr>
          <w:i/>
          <w:iCs/>
          <w:shd w:val="clear" w:color="auto" w:fill="FFFFFF"/>
        </w:rPr>
        <w:t>Journal of Water and Health</w:t>
      </w:r>
      <w:r w:rsidRPr="003F5222">
        <w:rPr>
          <w:shd w:val="clear" w:color="auto" w:fill="FFFFFF"/>
        </w:rPr>
        <w:t>, </w:t>
      </w:r>
      <w:r w:rsidRPr="003F5222">
        <w:rPr>
          <w:i/>
          <w:iCs/>
          <w:shd w:val="clear" w:color="auto" w:fill="FFFFFF"/>
        </w:rPr>
        <w:t>11</w:t>
      </w:r>
      <w:r w:rsidRPr="003F5222">
        <w:rPr>
          <w:shd w:val="clear" w:color="auto" w:fill="FFFFFF"/>
        </w:rPr>
        <w:t>(1), 64-77</w:t>
      </w:r>
    </w:p>
    <w:p w14:paraId="18205861" w14:textId="77777777" w:rsidR="00EE5439" w:rsidRPr="00EE5439" w:rsidRDefault="0013060F" w:rsidP="00EE5439">
      <w:pPr>
        <w:rPr>
          <w:rFonts w:asciiTheme="minorHAnsi" w:hAnsiTheme="minorHAnsi" w:cstheme="minorHAnsi"/>
          <w:sz w:val="21"/>
          <w:szCs w:val="21"/>
        </w:rPr>
      </w:pPr>
      <w:hyperlink r:id="rId24" w:tgtFrame="_blank" w:history="1">
        <w:r w:rsidR="00EE5439" w:rsidRPr="00EE5439">
          <w:rPr>
            <w:rStyle w:val="Hyperlink"/>
            <w:rFonts w:asciiTheme="minorHAnsi" w:hAnsiTheme="minorHAnsi" w:cstheme="minorHAnsi"/>
            <w:color w:val="0952AB"/>
            <w:sz w:val="21"/>
            <w:szCs w:val="21"/>
            <w:bdr w:val="none" w:sz="0" w:space="0" w:color="auto" w:frame="1"/>
          </w:rPr>
          <w:t>https://doi.org/10.2166/wh.2012.107</w:t>
        </w:r>
      </w:hyperlink>
    </w:p>
    <w:p w14:paraId="3B16F68A" w14:textId="77777777" w:rsidR="00695185" w:rsidRDefault="00695185" w:rsidP="00A7456E">
      <w:pPr>
        <w:pStyle w:val="paragraph"/>
        <w:shd w:val="clear" w:color="auto" w:fill="FFFFFF"/>
        <w:spacing w:before="0" w:beforeAutospacing="0" w:after="0" w:afterAutospacing="0"/>
        <w:textAlignment w:val="baseline"/>
        <w:rPr>
          <w:rFonts w:ascii="Segoe UI" w:hAnsi="Segoe UI" w:cs="Segoe UI"/>
          <w:sz w:val="18"/>
          <w:szCs w:val="18"/>
        </w:rPr>
      </w:pPr>
    </w:p>
    <w:p w14:paraId="318ED334" w14:textId="77777777"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6AC5BFB" w14:textId="62342314"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p>
    <w:p w14:paraId="5D51874C" w14:textId="77777777"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BC043A8" w14:textId="015EBB82" w:rsidR="00A7456E" w:rsidRDefault="00A7456E" w:rsidP="00A745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84B0992" w14:textId="36889691" w:rsidR="00186795" w:rsidRDefault="00186795"/>
    <w:sectPr w:rsidR="00186795">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3CCB" w14:textId="77777777" w:rsidR="0013060F" w:rsidRDefault="0013060F" w:rsidP="00573C0B">
      <w:r>
        <w:separator/>
      </w:r>
    </w:p>
  </w:endnote>
  <w:endnote w:type="continuationSeparator" w:id="0">
    <w:p w14:paraId="3D80E4EF" w14:textId="77777777" w:rsidR="0013060F" w:rsidRDefault="0013060F" w:rsidP="00573C0B">
      <w:r>
        <w:continuationSeparator/>
      </w:r>
    </w:p>
  </w:endnote>
  <w:endnote w:type="continuationNotice" w:id="1">
    <w:p w14:paraId="423B4114" w14:textId="77777777" w:rsidR="0013060F" w:rsidRDefault="00130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0CF3" w14:textId="77777777" w:rsidR="0013060F" w:rsidRDefault="0013060F" w:rsidP="00573C0B">
      <w:r>
        <w:separator/>
      </w:r>
    </w:p>
  </w:footnote>
  <w:footnote w:type="continuationSeparator" w:id="0">
    <w:p w14:paraId="6D77C67F" w14:textId="77777777" w:rsidR="0013060F" w:rsidRDefault="0013060F" w:rsidP="00573C0B">
      <w:r>
        <w:continuationSeparator/>
      </w:r>
    </w:p>
  </w:footnote>
  <w:footnote w:type="continuationNotice" w:id="1">
    <w:p w14:paraId="4FE627A2" w14:textId="77777777" w:rsidR="0013060F" w:rsidRDefault="0013060F"/>
  </w:footnote>
  <w:footnote w:id="2">
    <w:p w14:paraId="6C1DCFAB" w14:textId="77777777" w:rsidR="007153E8" w:rsidRDefault="007153E8" w:rsidP="007153E8">
      <w:pPr>
        <w:pStyle w:val="FootnoteText"/>
      </w:pPr>
      <w:r>
        <w:rPr>
          <w:rStyle w:val="FootnoteReference"/>
        </w:rPr>
        <w:footnoteRef/>
      </w:r>
      <w:r>
        <w:t xml:space="preserve"> </w:t>
      </w:r>
      <w:r>
        <w:rPr>
          <w:rStyle w:val="FootnoteReference"/>
        </w:rPr>
        <w:footnoteRef/>
      </w:r>
      <w:r>
        <w:t xml:space="preserve"> </w:t>
      </w:r>
      <w:r w:rsidRPr="00CC7A5D">
        <w:rPr>
          <w:rFonts w:asciiTheme="minorHAnsi" w:hAnsiTheme="minorHAnsi" w:cs="Arial"/>
          <w:sz w:val="18"/>
        </w:rPr>
        <w:t>Prüss-Ustün A,</w:t>
      </w:r>
      <w:r>
        <w:rPr>
          <w:rFonts w:asciiTheme="minorHAnsi" w:hAnsiTheme="minorHAnsi" w:cs="Arial"/>
          <w:sz w:val="18"/>
        </w:rPr>
        <w:t xml:space="preserve"> Wolf J,</w:t>
      </w:r>
      <w:r w:rsidRPr="00CC7A5D">
        <w:rPr>
          <w:rFonts w:asciiTheme="minorHAnsi" w:hAnsiTheme="minorHAnsi" w:cs="Arial"/>
          <w:sz w:val="18"/>
        </w:rPr>
        <w:t xml:space="preserve"> Bartram J, Clasen T, Cumming O, </w:t>
      </w:r>
      <w:r>
        <w:rPr>
          <w:rFonts w:asciiTheme="minorHAnsi" w:hAnsiTheme="minorHAnsi" w:cs="Arial"/>
          <w:sz w:val="18"/>
        </w:rPr>
        <w:t xml:space="preserve">Freeman MC, Gordon B, Hunter PR, Medlicott K, Johnston R. </w:t>
      </w:r>
      <w:r w:rsidRPr="00CC7A5D">
        <w:rPr>
          <w:rFonts w:asciiTheme="minorHAnsi" w:hAnsiTheme="minorHAnsi" w:cs="Arial"/>
          <w:sz w:val="18"/>
        </w:rPr>
        <w:t>Burden of disease from inadequate water, sanitation and hygiene</w:t>
      </w:r>
      <w:r>
        <w:rPr>
          <w:rFonts w:asciiTheme="minorHAnsi" w:hAnsiTheme="minorHAnsi" w:cs="Arial"/>
          <w:sz w:val="18"/>
        </w:rPr>
        <w:t xml:space="preserve"> for selected adverse health outcomes: an updated analysis with a focus on</w:t>
      </w:r>
      <w:r w:rsidRPr="00CC7A5D">
        <w:rPr>
          <w:rFonts w:asciiTheme="minorHAnsi" w:hAnsiTheme="minorHAnsi" w:cs="Arial"/>
          <w:sz w:val="18"/>
        </w:rPr>
        <w:t xml:space="preserve"> low- and middle-income </w:t>
      </w:r>
      <w:r>
        <w:rPr>
          <w:rFonts w:asciiTheme="minorHAnsi" w:hAnsiTheme="minorHAnsi" w:cs="Arial"/>
          <w:sz w:val="18"/>
        </w:rPr>
        <w:t>countries. International journal of hygiene and environmental health. 2019 Jun 1; 222(5): 765-77</w:t>
      </w:r>
      <w:r w:rsidRPr="00CC7A5D">
        <w:rPr>
          <w:rFonts w:asciiTheme="minorHAnsi" w:hAnsiTheme="minorHAnsi" w:cs="Arial"/>
          <w:sz w:val="18"/>
        </w:rPr>
        <w:t>.</w:t>
      </w:r>
    </w:p>
    <w:p w14:paraId="34DE50D9" w14:textId="4EB4C1B7" w:rsidR="007153E8" w:rsidRDefault="007153E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56FB050" w:rsidR="00077F46" w:rsidRPr="00757E8A" w:rsidRDefault="34CA46C4"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4CA46C4">
      <w:rPr>
        <w:color w:val="404040" w:themeColor="text1" w:themeTint="BF"/>
        <w:sz w:val="18"/>
        <w:szCs w:val="18"/>
      </w:rPr>
      <w:t>Last updated:</w:t>
    </w:r>
    <w:bookmarkEnd w:id="5"/>
    <w:bookmarkEnd w:id="6"/>
    <w:bookmarkEnd w:id="7"/>
    <w:bookmarkEnd w:id="8"/>
    <w:bookmarkEnd w:id="9"/>
    <w:bookmarkEnd w:id="10"/>
    <w:r w:rsidRPr="34CA46C4">
      <w:rPr>
        <w:color w:val="404040" w:themeColor="text1" w:themeTint="BF"/>
        <w:sz w:val="18"/>
        <w:szCs w:val="18"/>
      </w:rPr>
      <w:t xml:space="preserve"> 20</w:t>
    </w:r>
    <w:r w:rsidR="001D4910">
      <w:rPr>
        <w:color w:val="404040" w:themeColor="text1" w:themeTint="BF"/>
        <w:sz w:val="18"/>
        <w:szCs w:val="18"/>
      </w:rPr>
      <w:t>22</w:t>
    </w:r>
    <w:r w:rsidRPr="34CA46C4">
      <w:rPr>
        <w:color w:val="404040" w:themeColor="text1" w:themeTint="BF"/>
        <w:sz w:val="18"/>
        <w:szCs w:val="18"/>
      </w:rPr>
      <w:t>-07-0</w:t>
    </w:r>
    <w:r w:rsidR="004D4626">
      <w:rPr>
        <w:color w:val="404040" w:themeColor="text1" w:themeTint="BF"/>
        <w:sz w:val="18"/>
        <w:szCs w:val="18"/>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CDE"/>
    <w:multiLevelType w:val="hybridMultilevel"/>
    <w:tmpl w:val="6580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73D1A"/>
    <w:multiLevelType w:val="multilevel"/>
    <w:tmpl w:val="B914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76988"/>
    <w:multiLevelType w:val="multilevel"/>
    <w:tmpl w:val="ADD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31943"/>
    <w:multiLevelType w:val="hybridMultilevel"/>
    <w:tmpl w:val="87F8C196"/>
    <w:lvl w:ilvl="0" w:tplc="60E46FEE">
      <w:start w:val="4"/>
      <w:numFmt w:val="bullet"/>
      <w:lvlText w:val="-"/>
      <w:lvlJc w:val="left"/>
      <w:pPr>
        <w:ind w:left="720" w:hanging="360"/>
      </w:pPr>
      <w:rPr>
        <w:rFonts w:ascii="Calibri" w:eastAsia="Times New Roman" w:hAnsi="Calibri" w:cs="Calibri" w:hint="default"/>
        <w:color w:val="4A4A4A"/>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DF2"/>
    <w:rsid w:val="000412A0"/>
    <w:rsid w:val="00047DDA"/>
    <w:rsid w:val="00052E54"/>
    <w:rsid w:val="0005455A"/>
    <w:rsid w:val="00054A14"/>
    <w:rsid w:val="00071F07"/>
    <w:rsid w:val="00072855"/>
    <w:rsid w:val="0007759D"/>
    <w:rsid w:val="000777AB"/>
    <w:rsid w:val="00077F46"/>
    <w:rsid w:val="00090FB1"/>
    <w:rsid w:val="00096186"/>
    <w:rsid w:val="000A72E4"/>
    <w:rsid w:val="000B0E2F"/>
    <w:rsid w:val="000B1983"/>
    <w:rsid w:val="000B2430"/>
    <w:rsid w:val="000B2B22"/>
    <w:rsid w:val="000D0B30"/>
    <w:rsid w:val="000E21F1"/>
    <w:rsid w:val="000F703E"/>
    <w:rsid w:val="00120E86"/>
    <w:rsid w:val="00125DE9"/>
    <w:rsid w:val="0013060F"/>
    <w:rsid w:val="001332E0"/>
    <w:rsid w:val="00134DE7"/>
    <w:rsid w:val="00160AE4"/>
    <w:rsid w:val="0017464F"/>
    <w:rsid w:val="001815A0"/>
    <w:rsid w:val="00185354"/>
    <w:rsid w:val="001854DC"/>
    <w:rsid w:val="00186795"/>
    <w:rsid w:val="00186C67"/>
    <w:rsid w:val="00194D09"/>
    <w:rsid w:val="001A7D5C"/>
    <w:rsid w:val="001B60AA"/>
    <w:rsid w:val="001B63C8"/>
    <w:rsid w:val="001C1972"/>
    <w:rsid w:val="001C421F"/>
    <w:rsid w:val="001D360D"/>
    <w:rsid w:val="001D4910"/>
    <w:rsid w:val="001F22C4"/>
    <w:rsid w:val="002037C0"/>
    <w:rsid w:val="002169DB"/>
    <w:rsid w:val="00224166"/>
    <w:rsid w:val="00253229"/>
    <w:rsid w:val="00261A8D"/>
    <w:rsid w:val="00283C1C"/>
    <w:rsid w:val="00291A00"/>
    <w:rsid w:val="00291A11"/>
    <w:rsid w:val="002926C5"/>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76A4"/>
    <w:rsid w:val="003A52FF"/>
    <w:rsid w:val="003A7CEA"/>
    <w:rsid w:val="003D1514"/>
    <w:rsid w:val="003F0BD3"/>
    <w:rsid w:val="003F278A"/>
    <w:rsid w:val="003F5222"/>
    <w:rsid w:val="003F7A02"/>
    <w:rsid w:val="00405988"/>
    <w:rsid w:val="0041031B"/>
    <w:rsid w:val="00422EA5"/>
    <w:rsid w:val="00422EFA"/>
    <w:rsid w:val="004264CB"/>
    <w:rsid w:val="0042791F"/>
    <w:rsid w:val="004456ED"/>
    <w:rsid w:val="00471236"/>
    <w:rsid w:val="0048045A"/>
    <w:rsid w:val="00482562"/>
    <w:rsid w:val="004841B8"/>
    <w:rsid w:val="004930F2"/>
    <w:rsid w:val="004A616C"/>
    <w:rsid w:val="004B0F1C"/>
    <w:rsid w:val="004B2855"/>
    <w:rsid w:val="004B6E27"/>
    <w:rsid w:val="004C4ABA"/>
    <w:rsid w:val="004D4626"/>
    <w:rsid w:val="004F2EE6"/>
    <w:rsid w:val="00501446"/>
    <w:rsid w:val="00502DBA"/>
    <w:rsid w:val="005040C4"/>
    <w:rsid w:val="00507637"/>
    <w:rsid w:val="00507852"/>
    <w:rsid w:val="005143AE"/>
    <w:rsid w:val="00514DBF"/>
    <w:rsid w:val="00550921"/>
    <w:rsid w:val="00563712"/>
    <w:rsid w:val="00573631"/>
    <w:rsid w:val="00573C0B"/>
    <w:rsid w:val="005768D7"/>
    <w:rsid w:val="00576CFA"/>
    <w:rsid w:val="0058556D"/>
    <w:rsid w:val="00592AF2"/>
    <w:rsid w:val="005947AD"/>
    <w:rsid w:val="00597748"/>
    <w:rsid w:val="005979E8"/>
    <w:rsid w:val="005C0C63"/>
    <w:rsid w:val="005D0AF4"/>
    <w:rsid w:val="005E54BD"/>
    <w:rsid w:val="005E5B6F"/>
    <w:rsid w:val="005F6CCA"/>
    <w:rsid w:val="006074F1"/>
    <w:rsid w:val="006104AF"/>
    <w:rsid w:val="00621893"/>
    <w:rsid w:val="006351E1"/>
    <w:rsid w:val="006447B1"/>
    <w:rsid w:val="00662775"/>
    <w:rsid w:val="006852FC"/>
    <w:rsid w:val="00695185"/>
    <w:rsid w:val="006B40AB"/>
    <w:rsid w:val="006B5DC5"/>
    <w:rsid w:val="006C3B6A"/>
    <w:rsid w:val="006C4BFD"/>
    <w:rsid w:val="006C7D30"/>
    <w:rsid w:val="006D4BDD"/>
    <w:rsid w:val="006E002E"/>
    <w:rsid w:val="006E3C08"/>
    <w:rsid w:val="00700ACF"/>
    <w:rsid w:val="00702F74"/>
    <w:rsid w:val="00712487"/>
    <w:rsid w:val="007153E8"/>
    <w:rsid w:val="007530CA"/>
    <w:rsid w:val="00756D68"/>
    <w:rsid w:val="007578D9"/>
    <w:rsid w:val="00757E8A"/>
    <w:rsid w:val="00763E43"/>
    <w:rsid w:val="00764EB5"/>
    <w:rsid w:val="0077359E"/>
    <w:rsid w:val="00777A95"/>
    <w:rsid w:val="00782416"/>
    <w:rsid w:val="0079619B"/>
    <w:rsid w:val="007B0364"/>
    <w:rsid w:val="007C3FCB"/>
    <w:rsid w:val="007C47AE"/>
    <w:rsid w:val="007D0981"/>
    <w:rsid w:val="007D1929"/>
    <w:rsid w:val="00803CF1"/>
    <w:rsid w:val="008104BB"/>
    <w:rsid w:val="008249C5"/>
    <w:rsid w:val="00830E1B"/>
    <w:rsid w:val="008526F9"/>
    <w:rsid w:val="0085285E"/>
    <w:rsid w:val="00853023"/>
    <w:rsid w:val="008534D4"/>
    <w:rsid w:val="00881E28"/>
    <w:rsid w:val="00894C4B"/>
    <w:rsid w:val="008A12E3"/>
    <w:rsid w:val="008A42FA"/>
    <w:rsid w:val="008B0AC7"/>
    <w:rsid w:val="008B6F7F"/>
    <w:rsid w:val="008C2335"/>
    <w:rsid w:val="008C67C1"/>
    <w:rsid w:val="008D1D39"/>
    <w:rsid w:val="008D707C"/>
    <w:rsid w:val="008E2462"/>
    <w:rsid w:val="008F07D2"/>
    <w:rsid w:val="008F12A7"/>
    <w:rsid w:val="0090202F"/>
    <w:rsid w:val="00917851"/>
    <w:rsid w:val="00917F65"/>
    <w:rsid w:val="009311E7"/>
    <w:rsid w:val="00942694"/>
    <w:rsid w:val="00977027"/>
    <w:rsid w:val="0098749B"/>
    <w:rsid w:val="009A7E3A"/>
    <w:rsid w:val="009B1265"/>
    <w:rsid w:val="009B4A15"/>
    <w:rsid w:val="009B5693"/>
    <w:rsid w:val="009C61A2"/>
    <w:rsid w:val="009C78E4"/>
    <w:rsid w:val="009D687E"/>
    <w:rsid w:val="009F6DE7"/>
    <w:rsid w:val="009F78A6"/>
    <w:rsid w:val="00A10583"/>
    <w:rsid w:val="00A3362E"/>
    <w:rsid w:val="00A37FCB"/>
    <w:rsid w:val="00A4399E"/>
    <w:rsid w:val="00A54863"/>
    <w:rsid w:val="00A61D74"/>
    <w:rsid w:val="00A67945"/>
    <w:rsid w:val="00A7456E"/>
    <w:rsid w:val="00A8688B"/>
    <w:rsid w:val="00A91163"/>
    <w:rsid w:val="00A9286F"/>
    <w:rsid w:val="00A96255"/>
    <w:rsid w:val="00AA0FE2"/>
    <w:rsid w:val="00AB285B"/>
    <w:rsid w:val="00AF5552"/>
    <w:rsid w:val="00AF5CB4"/>
    <w:rsid w:val="00AF5ED1"/>
    <w:rsid w:val="00AF71D6"/>
    <w:rsid w:val="00B05113"/>
    <w:rsid w:val="00B216EE"/>
    <w:rsid w:val="00B3175F"/>
    <w:rsid w:val="00B31E2C"/>
    <w:rsid w:val="00B329B0"/>
    <w:rsid w:val="00B402D8"/>
    <w:rsid w:val="00B4237C"/>
    <w:rsid w:val="00B42FE8"/>
    <w:rsid w:val="00B52AFD"/>
    <w:rsid w:val="00B54077"/>
    <w:rsid w:val="00B8087E"/>
    <w:rsid w:val="00BB646E"/>
    <w:rsid w:val="00BD1BA1"/>
    <w:rsid w:val="00C019E5"/>
    <w:rsid w:val="00C10F44"/>
    <w:rsid w:val="00C35BC4"/>
    <w:rsid w:val="00C37D31"/>
    <w:rsid w:val="00C43F5B"/>
    <w:rsid w:val="00C94F1A"/>
    <w:rsid w:val="00CB4371"/>
    <w:rsid w:val="00CC4164"/>
    <w:rsid w:val="00CC516D"/>
    <w:rsid w:val="00CD0CBA"/>
    <w:rsid w:val="00D161CE"/>
    <w:rsid w:val="00D24330"/>
    <w:rsid w:val="00D40056"/>
    <w:rsid w:val="00D51282"/>
    <w:rsid w:val="00D51E7C"/>
    <w:rsid w:val="00D54F29"/>
    <w:rsid w:val="00D60653"/>
    <w:rsid w:val="00D7020C"/>
    <w:rsid w:val="00D70AD9"/>
    <w:rsid w:val="00D72152"/>
    <w:rsid w:val="00D94BA5"/>
    <w:rsid w:val="00D9510F"/>
    <w:rsid w:val="00DA4843"/>
    <w:rsid w:val="00DA615C"/>
    <w:rsid w:val="00DD1BC6"/>
    <w:rsid w:val="00DD5ECE"/>
    <w:rsid w:val="00DE5DC3"/>
    <w:rsid w:val="00E00B0A"/>
    <w:rsid w:val="00E00D8A"/>
    <w:rsid w:val="00E1050F"/>
    <w:rsid w:val="00E11604"/>
    <w:rsid w:val="00E11D92"/>
    <w:rsid w:val="00E130A0"/>
    <w:rsid w:val="00E210C4"/>
    <w:rsid w:val="00E21FDB"/>
    <w:rsid w:val="00E23DB7"/>
    <w:rsid w:val="00E33388"/>
    <w:rsid w:val="00E46D96"/>
    <w:rsid w:val="00E52CCA"/>
    <w:rsid w:val="00E66409"/>
    <w:rsid w:val="00E81D5B"/>
    <w:rsid w:val="00E82171"/>
    <w:rsid w:val="00E976B9"/>
    <w:rsid w:val="00EA05D3"/>
    <w:rsid w:val="00EB19AD"/>
    <w:rsid w:val="00EB2F31"/>
    <w:rsid w:val="00EB6493"/>
    <w:rsid w:val="00EC2915"/>
    <w:rsid w:val="00EC4752"/>
    <w:rsid w:val="00ED05A9"/>
    <w:rsid w:val="00ED1BA0"/>
    <w:rsid w:val="00EE5439"/>
    <w:rsid w:val="00EF1E04"/>
    <w:rsid w:val="00F00490"/>
    <w:rsid w:val="00F17257"/>
    <w:rsid w:val="00F21F6B"/>
    <w:rsid w:val="00F34D24"/>
    <w:rsid w:val="00F4130B"/>
    <w:rsid w:val="00F556A2"/>
    <w:rsid w:val="00F719A8"/>
    <w:rsid w:val="00F7721C"/>
    <w:rsid w:val="00F878B9"/>
    <w:rsid w:val="00FB24E8"/>
    <w:rsid w:val="00FB3B2B"/>
    <w:rsid w:val="00FC18DA"/>
    <w:rsid w:val="00FC3917"/>
    <w:rsid w:val="00FD60DA"/>
    <w:rsid w:val="00FE353F"/>
    <w:rsid w:val="00FF07B4"/>
    <w:rsid w:val="04C32A85"/>
    <w:rsid w:val="200B6CFF"/>
    <w:rsid w:val="2453F7BF"/>
    <w:rsid w:val="3226074F"/>
    <w:rsid w:val="34CA46C4"/>
    <w:rsid w:val="3F36BF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2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8556D"/>
    <w:pPr>
      <w:keepNext/>
      <w:keepLines/>
      <w:spacing w:before="480"/>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after="20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spacing w:after="200" w:line="276" w:lineRule="auto"/>
      <w:ind w:left="720"/>
      <w:contextualSpacing/>
    </w:pPr>
    <w:rPr>
      <w:rFonts w:asciiTheme="minorHAnsi" w:eastAsiaTheme="minorEastAsia" w:hAnsiTheme="minorHAnsi" w:cstheme="minorBidi"/>
      <w:sz w:val="22"/>
      <w:szCs w:val="22"/>
      <w:lang w:eastAsia="zh-CN"/>
    </w:r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line="276" w:lineRule="auto"/>
      <w:outlineLvl w:val="2"/>
    </w:pPr>
    <w:rPr>
      <w:rFonts w:asciiTheme="minorHAnsi" w:hAnsiTheme="minorHAnsi"/>
      <w:color w:val="1C75BC"/>
      <w:sz w:val="32"/>
      <w:szCs w:val="36"/>
    </w:rPr>
  </w:style>
  <w:style w:type="paragraph" w:customStyle="1" w:styleId="MText">
    <w:name w:val="M.Text"/>
    <w:basedOn w:val="Normal"/>
    <w:link w:val="MTextChar"/>
    <w:qFormat/>
    <w:rsid w:val="00573C0B"/>
    <w:pPr>
      <w:shd w:val="clear" w:color="auto" w:fill="FFFFFF"/>
      <w:spacing w:line="276" w:lineRule="auto"/>
    </w:pPr>
    <w:rPr>
      <w:rFonts w:asciiTheme="minorHAnsi" w:hAnsiTheme="minorHAnsi"/>
      <w:color w:val="4A4A4A"/>
      <w:sz w:val="21"/>
      <w:szCs w:val="21"/>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line="276" w:lineRule="auto"/>
    </w:pPr>
    <w:rPr>
      <w:rFonts w:asciiTheme="minorHAnsi" w:hAnsiTheme="minorHAnsi"/>
      <w:b/>
      <w:bCs/>
      <w:color w:val="4A4A4A"/>
      <w:sz w:val="21"/>
      <w:szCs w:val="21"/>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outlineLvl w:val="4"/>
    </w:pPr>
    <w:rPr>
      <w:rFonts w:asciiTheme="minorHAnsi" w:hAnsiTheme="minorHAnsi"/>
      <w:color w:val="333333"/>
      <w:sz w:val="21"/>
      <w:szCs w:val="21"/>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outlineLvl w:val="1"/>
    </w:pPr>
    <w:rPr>
      <w:rFonts w:asciiTheme="minorHAnsi" w:hAnsiTheme="minorHAnsi"/>
      <w:color w:val="1C75BC"/>
      <w:sz w:val="26"/>
      <w:szCs w:val="22"/>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8E2462"/>
  </w:style>
  <w:style w:type="character" w:customStyle="1" w:styleId="eop">
    <w:name w:val="eop"/>
    <w:basedOn w:val="DefaultParagraphFont"/>
    <w:rsid w:val="008E2462"/>
  </w:style>
  <w:style w:type="paragraph" w:customStyle="1" w:styleId="paragraph">
    <w:name w:val="paragraph"/>
    <w:basedOn w:val="Normal"/>
    <w:rsid w:val="00054A14"/>
    <w:pPr>
      <w:spacing w:before="100" w:beforeAutospacing="1" w:after="100" w:afterAutospacing="1"/>
    </w:pPr>
    <w:rPr>
      <w:lang w:val="en-US" w:eastAsia="en-US"/>
    </w:rPr>
  </w:style>
  <w:style w:type="paragraph" w:styleId="Revision">
    <w:name w:val="Revision"/>
    <w:hidden/>
    <w:uiPriority w:val="99"/>
    <w:semiHidden/>
    <w:rsid w:val="00EF1E04"/>
    <w:pPr>
      <w:spacing w:after="0" w:line="240" w:lineRule="auto"/>
    </w:pPr>
  </w:style>
  <w:style w:type="paragraph" w:styleId="FootnoteText">
    <w:name w:val="footnote text"/>
    <w:basedOn w:val="Normal"/>
    <w:link w:val="FootnoteTextChar"/>
    <w:uiPriority w:val="99"/>
    <w:semiHidden/>
    <w:unhideWhenUsed/>
    <w:rsid w:val="00A67945"/>
    <w:rPr>
      <w:sz w:val="20"/>
      <w:szCs w:val="20"/>
    </w:rPr>
  </w:style>
  <w:style w:type="character" w:customStyle="1" w:styleId="FootnoteTextChar">
    <w:name w:val="Footnote Text Char"/>
    <w:basedOn w:val="DefaultParagraphFont"/>
    <w:link w:val="FootnoteText"/>
    <w:uiPriority w:val="99"/>
    <w:semiHidden/>
    <w:rsid w:val="00A6794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67945"/>
    <w:rPr>
      <w:vertAlign w:val="superscript"/>
    </w:rPr>
  </w:style>
  <w:style w:type="character" w:styleId="FollowedHyperlink">
    <w:name w:val="FollowedHyperlink"/>
    <w:basedOn w:val="DefaultParagraphFont"/>
    <w:uiPriority w:val="99"/>
    <w:semiHidden/>
    <w:unhideWhenUsed/>
    <w:rsid w:val="00B05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9300">
      <w:bodyDiv w:val="1"/>
      <w:marLeft w:val="0"/>
      <w:marRight w:val="0"/>
      <w:marTop w:val="0"/>
      <w:marBottom w:val="0"/>
      <w:divBdr>
        <w:top w:val="none" w:sz="0" w:space="0" w:color="auto"/>
        <w:left w:val="none" w:sz="0" w:space="0" w:color="auto"/>
        <w:bottom w:val="none" w:sz="0" w:space="0" w:color="auto"/>
        <w:right w:val="none" w:sz="0" w:space="0" w:color="auto"/>
      </w:divBdr>
    </w:div>
    <w:div w:id="189421323">
      <w:bodyDiv w:val="1"/>
      <w:marLeft w:val="0"/>
      <w:marRight w:val="0"/>
      <w:marTop w:val="0"/>
      <w:marBottom w:val="0"/>
      <w:divBdr>
        <w:top w:val="none" w:sz="0" w:space="0" w:color="auto"/>
        <w:left w:val="none" w:sz="0" w:space="0" w:color="auto"/>
        <w:bottom w:val="none" w:sz="0" w:space="0" w:color="auto"/>
        <w:right w:val="none" w:sz="0" w:space="0" w:color="auto"/>
      </w:divBdr>
      <w:divsChild>
        <w:div w:id="391734300">
          <w:marLeft w:val="0"/>
          <w:marRight w:val="0"/>
          <w:marTop w:val="0"/>
          <w:marBottom w:val="0"/>
          <w:divBdr>
            <w:top w:val="none" w:sz="0" w:space="0" w:color="auto"/>
            <w:left w:val="none" w:sz="0" w:space="0" w:color="auto"/>
            <w:bottom w:val="none" w:sz="0" w:space="0" w:color="auto"/>
            <w:right w:val="none" w:sz="0" w:space="0" w:color="auto"/>
          </w:divBdr>
        </w:div>
        <w:div w:id="751044525">
          <w:marLeft w:val="0"/>
          <w:marRight w:val="0"/>
          <w:marTop w:val="0"/>
          <w:marBottom w:val="0"/>
          <w:divBdr>
            <w:top w:val="none" w:sz="0" w:space="0" w:color="auto"/>
            <w:left w:val="none" w:sz="0" w:space="0" w:color="auto"/>
            <w:bottom w:val="none" w:sz="0" w:space="0" w:color="auto"/>
            <w:right w:val="none" w:sz="0" w:space="0" w:color="auto"/>
          </w:divBdr>
        </w:div>
        <w:div w:id="2090731101">
          <w:marLeft w:val="0"/>
          <w:marRight w:val="0"/>
          <w:marTop w:val="0"/>
          <w:marBottom w:val="0"/>
          <w:divBdr>
            <w:top w:val="none" w:sz="0" w:space="0" w:color="auto"/>
            <w:left w:val="none" w:sz="0" w:space="0" w:color="auto"/>
            <w:bottom w:val="none" w:sz="0" w:space="0" w:color="auto"/>
            <w:right w:val="none" w:sz="0" w:space="0" w:color="auto"/>
          </w:divBdr>
        </w:div>
        <w:div w:id="435175074">
          <w:marLeft w:val="0"/>
          <w:marRight w:val="0"/>
          <w:marTop w:val="0"/>
          <w:marBottom w:val="0"/>
          <w:divBdr>
            <w:top w:val="none" w:sz="0" w:space="0" w:color="auto"/>
            <w:left w:val="none" w:sz="0" w:space="0" w:color="auto"/>
            <w:bottom w:val="none" w:sz="0" w:space="0" w:color="auto"/>
            <w:right w:val="none" w:sz="0" w:space="0" w:color="auto"/>
          </w:divBdr>
        </w:div>
        <w:div w:id="1539318173">
          <w:marLeft w:val="0"/>
          <w:marRight w:val="0"/>
          <w:marTop w:val="0"/>
          <w:marBottom w:val="0"/>
          <w:divBdr>
            <w:top w:val="none" w:sz="0" w:space="0" w:color="auto"/>
            <w:left w:val="none" w:sz="0" w:space="0" w:color="auto"/>
            <w:bottom w:val="none" w:sz="0" w:space="0" w:color="auto"/>
            <w:right w:val="none" w:sz="0" w:space="0" w:color="auto"/>
          </w:divBdr>
        </w:div>
        <w:div w:id="645823294">
          <w:marLeft w:val="0"/>
          <w:marRight w:val="0"/>
          <w:marTop w:val="0"/>
          <w:marBottom w:val="0"/>
          <w:divBdr>
            <w:top w:val="none" w:sz="0" w:space="0" w:color="auto"/>
            <w:left w:val="none" w:sz="0" w:space="0" w:color="auto"/>
            <w:bottom w:val="none" w:sz="0" w:space="0" w:color="auto"/>
            <w:right w:val="none" w:sz="0" w:space="0" w:color="auto"/>
          </w:divBdr>
        </w:div>
        <w:div w:id="954826720">
          <w:marLeft w:val="0"/>
          <w:marRight w:val="0"/>
          <w:marTop w:val="0"/>
          <w:marBottom w:val="0"/>
          <w:divBdr>
            <w:top w:val="none" w:sz="0" w:space="0" w:color="auto"/>
            <w:left w:val="none" w:sz="0" w:space="0" w:color="auto"/>
            <w:bottom w:val="none" w:sz="0" w:space="0" w:color="auto"/>
            <w:right w:val="none" w:sz="0" w:space="0" w:color="auto"/>
          </w:divBdr>
        </w:div>
        <w:div w:id="1729496427">
          <w:marLeft w:val="0"/>
          <w:marRight w:val="0"/>
          <w:marTop w:val="0"/>
          <w:marBottom w:val="0"/>
          <w:divBdr>
            <w:top w:val="none" w:sz="0" w:space="0" w:color="auto"/>
            <w:left w:val="none" w:sz="0" w:space="0" w:color="auto"/>
            <w:bottom w:val="none" w:sz="0" w:space="0" w:color="auto"/>
            <w:right w:val="none" w:sz="0" w:space="0" w:color="auto"/>
          </w:divBdr>
        </w:div>
        <w:div w:id="1847555270">
          <w:marLeft w:val="0"/>
          <w:marRight w:val="0"/>
          <w:marTop w:val="0"/>
          <w:marBottom w:val="0"/>
          <w:divBdr>
            <w:top w:val="none" w:sz="0" w:space="0" w:color="auto"/>
            <w:left w:val="none" w:sz="0" w:space="0" w:color="auto"/>
            <w:bottom w:val="none" w:sz="0" w:space="0" w:color="auto"/>
            <w:right w:val="none" w:sz="0" w:space="0" w:color="auto"/>
          </w:divBdr>
        </w:div>
        <w:div w:id="2042894048">
          <w:marLeft w:val="0"/>
          <w:marRight w:val="0"/>
          <w:marTop w:val="0"/>
          <w:marBottom w:val="0"/>
          <w:divBdr>
            <w:top w:val="none" w:sz="0" w:space="0" w:color="auto"/>
            <w:left w:val="none" w:sz="0" w:space="0" w:color="auto"/>
            <w:bottom w:val="none" w:sz="0" w:space="0" w:color="auto"/>
            <w:right w:val="none" w:sz="0" w:space="0" w:color="auto"/>
          </w:divBdr>
        </w:div>
      </w:divsChild>
    </w:div>
    <w:div w:id="352532726">
      <w:bodyDiv w:val="1"/>
      <w:marLeft w:val="0"/>
      <w:marRight w:val="0"/>
      <w:marTop w:val="0"/>
      <w:marBottom w:val="0"/>
      <w:divBdr>
        <w:top w:val="none" w:sz="0" w:space="0" w:color="auto"/>
        <w:left w:val="none" w:sz="0" w:space="0" w:color="auto"/>
        <w:bottom w:val="none" w:sz="0" w:space="0" w:color="auto"/>
        <w:right w:val="none" w:sz="0" w:space="0" w:color="auto"/>
      </w:divBdr>
      <w:divsChild>
        <w:div w:id="1905488995">
          <w:marLeft w:val="0"/>
          <w:marRight w:val="0"/>
          <w:marTop w:val="0"/>
          <w:marBottom w:val="0"/>
          <w:divBdr>
            <w:top w:val="none" w:sz="0" w:space="0" w:color="auto"/>
            <w:left w:val="none" w:sz="0" w:space="0" w:color="auto"/>
            <w:bottom w:val="none" w:sz="0" w:space="0" w:color="auto"/>
            <w:right w:val="none" w:sz="0" w:space="0" w:color="auto"/>
          </w:divBdr>
        </w:div>
        <w:div w:id="313066777">
          <w:marLeft w:val="0"/>
          <w:marRight w:val="0"/>
          <w:marTop w:val="0"/>
          <w:marBottom w:val="0"/>
          <w:divBdr>
            <w:top w:val="none" w:sz="0" w:space="0" w:color="auto"/>
            <w:left w:val="none" w:sz="0" w:space="0" w:color="auto"/>
            <w:bottom w:val="none" w:sz="0" w:space="0" w:color="auto"/>
            <w:right w:val="none" w:sz="0" w:space="0" w:color="auto"/>
          </w:divBdr>
        </w:div>
        <w:div w:id="446319485">
          <w:marLeft w:val="0"/>
          <w:marRight w:val="0"/>
          <w:marTop w:val="0"/>
          <w:marBottom w:val="0"/>
          <w:divBdr>
            <w:top w:val="none" w:sz="0" w:space="0" w:color="auto"/>
            <w:left w:val="none" w:sz="0" w:space="0" w:color="auto"/>
            <w:bottom w:val="none" w:sz="0" w:space="0" w:color="auto"/>
            <w:right w:val="none" w:sz="0" w:space="0" w:color="auto"/>
          </w:divBdr>
        </w:div>
      </w:divsChild>
    </w:div>
    <w:div w:id="403724876">
      <w:bodyDiv w:val="1"/>
      <w:marLeft w:val="0"/>
      <w:marRight w:val="0"/>
      <w:marTop w:val="0"/>
      <w:marBottom w:val="0"/>
      <w:divBdr>
        <w:top w:val="none" w:sz="0" w:space="0" w:color="auto"/>
        <w:left w:val="none" w:sz="0" w:space="0" w:color="auto"/>
        <w:bottom w:val="none" w:sz="0" w:space="0" w:color="auto"/>
        <w:right w:val="none" w:sz="0" w:space="0" w:color="auto"/>
      </w:divBdr>
      <w:divsChild>
        <w:div w:id="2014064700">
          <w:marLeft w:val="0"/>
          <w:marRight w:val="0"/>
          <w:marTop w:val="0"/>
          <w:marBottom w:val="0"/>
          <w:divBdr>
            <w:top w:val="none" w:sz="0" w:space="0" w:color="auto"/>
            <w:left w:val="none" w:sz="0" w:space="0" w:color="auto"/>
            <w:bottom w:val="none" w:sz="0" w:space="0" w:color="auto"/>
            <w:right w:val="none" w:sz="0" w:space="0" w:color="auto"/>
          </w:divBdr>
        </w:div>
        <w:div w:id="309864675">
          <w:marLeft w:val="0"/>
          <w:marRight w:val="0"/>
          <w:marTop w:val="0"/>
          <w:marBottom w:val="0"/>
          <w:divBdr>
            <w:top w:val="none" w:sz="0" w:space="0" w:color="auto"/>
            <w:left w:val="none" w:sz="0" w:space="0" w:color="auto"/>
            <w:bottom w:val="none" w:sz="0" w:space="0" w:color="auto"/>
            <w:right w:val="none" w:sz="0" w:space="0" w:color="auto"/>
          </w:divBdr>
        </w:div>
        <w:div w:id="576474280">
          <w:marLeft w:val="0"/>
          <w:marRight w:val="0"/>
          <w:marTop w:val="0"/>
          <w:marBottom w:val="0"/>
          <w:divBdr>
            <w:top w:val="none" w:sz="0" w:space="0" w:color="auto"/>
            <w:left w:val="none" w:sz="0" w:space="0" w:color="auto"/>
            <w:bottom w:val="none" w:sz="0" w:space="0" w:color="auto"/>
            <w:right w:val="none" w:sz="0" w:space="0" w:color="auto"/>
          </w:divBdr>
        </w:div>
        <w:div w:id="1543011081">
          <w:marLeft w:val="0"/>
          <w:marRight w:val="0"/>
          <w:marTop w:val="0"/>
          <w:marBottom w:val="0"/>
          <w:divBdr>
            <w:top w:val="none" w:sz="0" w:space="0" w:color="auto"/>
            <w:left w:val="none" w:sz="0" w:space="0" w:color="auto"/>
            <w:bottom w:val="none" w:sz="0" w:space="0" w:color="auto"/>
            <w:right w:val="none" w:sz="0" w:space="0" w:color="auto"/>
          </w:divBdr>
        </w:div>
        <w:div w:id="596057880">
          <w:marLeft w:val="0"/>
          <w:marRight w:val="0"/>
          <w:marTop w:val="0"/>
          <w:marBottom w:val="0"/>
          <w:divBdr>
            <w:top w:val="none" w:sz="0" w:space="0" w:color="auto"/>
            <w:left w:val="none" w:sz="0" w:space="0" w:color="auto"/>
            <w:bottom w:val="none" w:sz="0" w:space="0" w:color="auto"/>
            <w:right w:val="none" w:sz="0" w:space="0" w:color="auto"/>
          </w:divBdr>
        </w:div>
        <w:div w:id="1558585539">
          <w:marLeft w:val="0"/>
          <w:marRight w:val="0"/>
          <w:marTop w:val="0"/>
          <w:marBottom w:val="0"/>
          <w:divBdr>
            <w:top w:val="none" w:sz="0" w:space="0" w:color="auto"/>
            <w:left w:val="none" w:sz="0" w:space="0" w:color="auto"/>
            <w:bottom w:val="none" w:sz="0" w:space="0" w:color="auto"/>
            <w:right w:val="none" w:sz="0" w:space="0" w:color="auto"/>
          </w:divBdr>
        </w:div>
        <w:div w:id="1601991541">
          <w:marLeft w:val="0"/>
          <w:marRight w:val="0"/>
          <w:marTop w:val="0"/>
          <w:marBottom w:val="0"/>
          <w:divBdr>
            <w:top w:val="none" w:sz="0" w:space="0" w:color="auto"/>
            <w:left w:val="none" w:sz="0" w:space="0" w:color="auto"/>
            <w:bottom w:val="none" w:sz="0" w:space="0" w:color="auto"/>
            <w:right w:val="none" w:sz="0" w:space="0" w:color="auto"/>
          </w:divBdr>
        </w:div>
        <w:div w:id="1911042236">
          <w:marLeft w:val="0"/>
          <w:marRight w:val="0"/>
          <w:marTop w:val="0"/>
          <w:marBottom w:val="0"/>
          <w:divBdr>
            <w:top w:val="none" w:sz="0" w:space="0" w:color="auto"/>
            <w:left w:val="none" w:sz="0" w:space="0" w:color="auto"/>
            <w:bottom w:val="none" w:sz="0" w:space="0" w:color="auto"/>
            <w:right w:val="none" w:sz="0" w:space="0" w:color="auto"/>
          </w:divBdr>
        </w:div>
        <w:div w:id="824198768">
          <w:marLeft w:val="0"/>
          <w:marRight w:val="0"/>
          <w:marTop w:val="0"/>
          <w:marBottom w:val="0"/>
          <w:divBdr>
            <w:top w:val="none" w:sz="0" w:space="0" w:color="auto"/>
            <w:left w:val="none" w:sz="0" w:space="0" w:color="auto"/>
            <w:bottom w:val="none" w:sz="0" w:space="0" w:color="auto"/>
            <w:right w:val="none" w:sz="0" w:space="0" w:color="auto"/>
          </w:divBdr>
        </w:div>
        <w:div w:id="1551065480">
          <w:marLeft w:val="0"/>
          <w:marRight w:val="0"/>
          <w:marTop w:val="0"/>
          <w:marBottom w:val="0"/>
          <w:divBdr>
            <w:top w:val="none" w:sz="0" w:space="0" w:color="auto"/>
            <w:left w:val="none" w:sz="0" w:space="0" w:color="auto"/>
            <w:bottom w:val="none" w:sz="0" w:space="0" w:color="auto"/>
            <w:right w:val="none" w:sz="0" w:space="0" w:color="auto"/>
          </w:divBdr>
        </w:div>
        <w:div w:id="1158498974">
          <w:marLeft w:val="0"/>
          <w:marRight w:val="0"/>
          <w:marTop w:val="0"/>
          <w:marBottom w:val="0"/>
          <w:divBdr>
            <w:top w:val="none" w:sz="0" w:space="0" w:color="auto"/>
            <w:left w:val="none" w:sz="0" w:space="0" w:color="auto"/>
            <w:bottom w:val="none" w:sz="0" w:space="0" w:color="auto"/>
            <w:right w:val="none" w:sz="0" w:space="0" w:color="auto"/>
          </w:divBdr>
        </w:div>
        <w:div w:id="960720274">
          <w:marLeft w:val="0"/>
          <w:marRight w:val="0"/>
          <w:marTop w:val="0"/>
          <w:marBottom w:val="0"/>
          <w:divBdr>
            <w:top w:val="none" w:sz="0" w:space="0" w:color="auto"/>
            <w:left w:val="none" w:sz="0" w:space="0" w:color="auto"/>
            <w:bottom w:val="none" w:sz="0" w:space="0" w:color="auto"/>
            <w:right w:val="none" w:sz="0" w:space="0" w:color="auto"/>
          </w:divBdr>
        </w:div>
        <w:div w:id="370348261">
          <w:marLeft w:val="0"/>
          <w:marRight w:val="0"/>
          <w:marTop w:val="0"/>
          <w:marBottom w:val="0"/>
          <w:divBdr>
            <w:top w:val="none" w:sz="0" w:space="0" w:color="auto"/>
            <w:left w:val="none" w:sz="0" w:space="0" w:color="auto"/>
            <w:bottom w:val="none" w:sz="0" w:space="0" w:color="auto"/>
            <w:right w:val="none" w:sz="0" w:space="0" w:color="auto"/>
          </w:divBdr>
        </w:div>
        <w:div w:id="541093781">
          <w:marLeft w:val="0"/>
          <w:marRight w:val="0"/>
          <w:marTop w:val="0"/>
          <w:marBottom w:val="0"/>
          <w:divBdr>
            <w:top w:val="none" w:sz="0" w:space="0" w:color="auto"/>
            <w:left w:val="none" w:sz="0" w:space="0" w:color="auto"/>
            <w:bottom w:val="none" w:sz="0" w:space="0" w:color="auto"/>
            <w:right w:val="none" w:sz="0" w:space="0" w:color="auto"/>
          </w:divBdr>
        </w:div>
        <w:div w:id="1047799907">
          <w:marLeft w:val="0"/>
          <w:marRight w:val="0"/>
          <w:marTop w:val="0"/>
          <w:marBottom w:val="0"/>
          <w:divBdr>
            <w:top w:val="none" w:sz="0" w:space="0" w:color="auto"/>
            <w:left w:val="none" w:sz="0" w:space="0" w:color="auto"/>
            <w:bottom w:val="none" w:sz="0" w:space="0" w:color="auto"/>
            <w:right w:val="none" w:sz="0" w:space="0" w:color="auto"/>
          </w:divBdr>
        </w:div>
        <w:div w:id="1653102477">
          <w:marLeft w:val="0"/>
          <w:marRight w:val="0"/>
          <w:marTop w:val="0"/>
          <w:marBottom w:val="0"/>
          <w:divBdr>
            <w:top w:val="none" w:sz="0" w:space="0" w:color="auto"/>
            <w:left w:val="none" w:sz="0" w:space="0" w:color="auto"/>
            <w:bottom w:val="none" w:sz="0" w:space="0" w:color="auto"/>
            <w:right w:val="none" w:sz="0" w:space="0" w:color="auto"/>
          </w:divBdr>
        </w:div>
        <w:div w:id="1553152543">
          <w:marLeft w:val="0"/>
          <w:marRight w:val="0"/>
          <w:marTop w:val="0"/>
          <w:marBottom w:val="0"/>
          <w:divBdr>
            <w:top w:val="none" w:sz="0" w:space="0" w:color="auto"/>
            <w:left w:val="none" w:sz="0" w:space="0" w:color="auto"/>
            <w:bottom w:val="none" w:sz="0" w:space="0" w:color="auto"/>
            <w:right w:val="none" w:sz="0" w:space="0" w:color="auto"/>
          </w:divBdr>
        </w:div>
        <w:div w:id="1282809466">
          <w:marLeft w:val="0"/>
          <w:marRight w:val="0"/>
          <w:marTop w:val="0"/>
          <w:marBottom w:val="0"/>
          <w:divBdr>
            <w:top w:val="none" w:sz="0" w:space="0" w:color="auto"/>
            <w:left w:val="none" w:sz="0" w:space="0" w:color="auto"/>
            <w:bottom w:val="none" w:sz="0" w:space="0" w:color="auto"/>
            <w:right w:val="none" w:sz="0" w:space="0" w:color="auto"/>
          </w:divBdr>
        </w:div>
        <w:div w:id="1059935429">
          <w:marLeft w:val="0"/>
          <w:marRight w:val="0"/>
          <w:marTop w:val="0"/>
          <w:marBottom w:val="0"/>
          <w:divBdr>
            <w:top w:val="none" w:sz="0" w:space="0" w:color="auto"/>
            <w:left w:val="none" w:sz="0" w:space="0" w:color="auto"/>
            <w:bottom w:val="none" w:sz="0" w:space="0" w:color="auto"/>
            <w:right w:val="none" w:sz="0" w:space="0" w:color="auto"/>
          </w:divBdr>
        </w:div>
        <w:div w:id="768234720">
          <w:marLeft w:val="0"/>
          <w:marRight w:val="0"/>
          <w:marTop w:val="0"/>
          <w:marBottom w:val="0"/>
          <w:divBdr>
            <w:top w:val="none" w:sz="0" w:space="0" w:color="auto"/>
            <w:left w:val="none" w:sz="0" w:space="0" w:color="auto"/>
            <w:bottom w:val="none" w:sz="0" w:space="0" w:color="auto"/>
            <w:right w:val="none" w:sz="0" w:space="0" w:color="auto"/>
          </w:divBdr>
        </w:div>
        <w:div w:id="1048140429">
          <w:marLeft w:val="0"/>
          <w:marRight w:val="0"/>
          <w:marTop w:val="0"/>
          <w:marBottom w:val="0"/>
          <w:divBdr>
            <w:top w:val="none" w:sz="0" w:space="0" w:color="auto"/>
            <w:left w:val="none" w:sz="0" w:space="0" w:color="auto"/>
            <w:bottom w:val="none" w:sz="0" w:space="0" w:color="auto"/>
            <w:right w:val="none" w:sz="0" w:space="0" w:color="auto"/>
          </w:divBdr>
        </w:div>
        <w:div w:id="2010593455">
          <w:marLeft w:val="0"/>
          <w:marRight w:val="0"/>
          <w:marTop w:val="0"/>
          <w:marBottom w:val="0"/>
          <w:divBdr>
            <w:top w:val="none" w:sz="0" w:space="0" w:color="auto"/>
            <w:left w:val="none" w:sz="0" w:space="0" w:color="auto"/>
            <w:bottom w:val="none" w:sz="0" w:space="0" w:color="auto"/>
            <w:right w:val="none" w:sz="0" w:space="0" w:color="auto"/>
          </w:divBdr>
        </w:div>
        <w:div w:id="659819067">
          <w:marLeft w:val="0"/>
          <w:marRight w:val="0"/>
          <w:marTop w:val="0"/>
          <w:marBottom w:val="0"/>
          <w:divBdr>
            <w:top w:val="none" w:sz="0" w:space="0" w:color="auto"/>
            <w:left w:val="none" w:sz="0" w:space="0" w:color="auto"/>
            <w:bottom w:val="none" w:sz="0" w:space="0" w:color="auto"/>
            <w:right w:val="none" w:sz="0" w:space="0" w:color="auto"/>
          </w:divBdr>
        </w:div>
        <w:div w:id="187988197">
          <w:marLeft w:val="0"/>
          <w:marRight w:val="0"/>
          <w:marTop w:val="0"/>
          <w:marBottom w:val="0"/>
          <w:divBdr>
            <w:top w:val="none" w:sz="0" w:space="0" w:color="auto"/>
            <w:left w:val="none" w:sz="0" w:space="0" w:color="auto"/>
            <w:bottom w:val="none" w:sz="0" w:space="0" w:color="auto"/>
            <w:right w:val="none" w:sz="0" w:space="0" w:color="auto"/>
          </w:divBdr>
        </w:div>
        <w:div w:id="186994050">
          <w:marLeft w:val="0"/>
          <w:marRight w:val="0"/>
          <w:marTop w:val="0"/>
          <w:marBottom w:val="0"/>
          <w:divBdr>
            <w:top w:val="none" w:sz="0" w:space="0" w:color="auto"/>
            <w:left w:val="none" w:sz="0" w:space="0" w:color="auto"/>
            <w:bottom w:val="none" w:sz="0" w:space="0" w:color="auto"/>
            <w:right w:val="none" w:sz="0" w:space="0" w:color="auto"/>
          </w:divBdr>
        </w:div>
      </w:divsChild>
    </w:div>
    <w:div w:id="599140128">
      <w:bodyDiv w:val="1"/>
      <w:marLeft w:val="0"/>
      <w:marRight w:val="0"/>
      <w:marTop w:val="0"/>
      <w:marBottom w:val="0"/>
      <w:divBdr>
        <w:top w:val="none" w:sz="0" w:space="0" w:color="auto"/>
        <w:left w:val="none" w:sz="0" w:space="0" w:color="auto"/>
        <w:bottom w:val="none" w:sz="0" w:space="0" w:color="auto"/>
        <w:right w:val="none" w:sz="0" w:space="0" w:color="auto"/>
      </w:divBdr>
      <w:divsChild>
        <w:div w:id="1073090471">
          <w:marLeft w:val="0"/>
          <w:marRight w:val="0"/>
          <w:marTop w:val="0"/>
          <w:marBottom w:val="0"/>
          <w:divBdr>
            <w:top w:val="none" w:sz="0" w:space="0" w:color="auto"/>
            <w:left w:val="none" w:sz="0" w:space="0" w:color="auto"/>
            <w:bottom w:val="none" w:sz="0" w:space="0" w:color="auto"/>
            <w:right w:val="none" w:sz="0" w:space="0" w:color="auto"/>
          </w:divBdr>
        </w:div>
        <w:div w:id="1957521194">
          <w:marLeft w:val="0"/>
          <w:marRight w:val="0"/>
          <w:marTop w:val="0"/>
          <w:marBottom w:val="0"/>
          <w:divBdr>
            <w:top w:val="none" w:sz="0" w:space="0" w:color="auto"/>
            <w:left w:val="none" w:sz="0" w:space="0" w:color="auto"/>
            <w:bottom w:val="none" w:sz="0" w:space="0" w:color="auto"/>
            <w:right w:val="none" w:sz="0" w:space="0" w:color="auto"/>
          </w:divBdr>
        </w:div>
        <w:div w:id="1628585598">
          <w:marLeft w:val="0"/>
          <w:marRight w:val="0"/>
          <w:marTop w:val="0"/>
          <w:marBottom w:val="0"/>
          <w:divBdr>
            <w:top w:val="none" w:sz="0" w:space="0" w:color="auto"/>
            <w:left w:val="none" w:sz="0" w:space="0" w:color="auto"/>
            <w:bottom w:val="none" w:sz="0" w:space="0" w:color="auto"/>
            <w:right w:val="none" w:sz="0" w:space="0" w:color="auto"/>
          </w:divBdr>
        </w:div>
        <w:div w:id="1960988571">
          <w:marLeft w:val="0"/>
          <w:marRight w:val="0"/>
          <w:marTop w:val="0"/>
          <w:marBottom w:val="0"/>
          <w:divBdr>
            <w:top w:val="none" w:sz="0" w:space="0" w:color="auto"/>
            <w:left w:val="none" w:sz="0" w:space="0" w:color="auto"/>
            <w:bottom w:val="none" w:sz="0" w:space="0" w:color="auto"/>
            <w:right w:val="none" w:sz="0" w:space="0" w:color="auto"/>
          </w:divBdr>
        </w:div>
        <w:div w:id="88896250">
          <w:marLeft w:val="0"/>
          <w:marRight w:val="0"/>
          <w:marTop w:val="0"/>
          <w:marBottom w:val="0"/>
          <w:divBdr>
            <w:top w:val="none" w:sz="0" w:space="0" w:color="auto"/>
            <w:left w:val="none" w:sz="0" w:space="0" w:color="auto"/>
            <w:bottom w:val="none" w:sz="0" w:space="0" w:color="auto"/>
            <w:right w:val="none" w:sz="0" w:space="0" w:color="auto"/>
          </w:divBdr>
        </w:div>
        <w:div w:id="62216194">
          <w:marLeft w:val="0"/>
          <w:marRight w:val="0"/>
          <w:marTop w:val="0"/>
          <w:marBottom w:val="0"/>
          <w:divBdr>
            <w:top w:val="none" w:sz="0" w:space="0" w:color="auto"/>
            <w:left w:val="none" w:sz="0" w:space="0" w:color="auto"/>
            <w:bottom w:val="none" w:sz="0" w:space="0" w:color="auto"/>
            <w:right w:val="none" w:sz="0" w:space="0" w:color="auto"/>
          </w:divBdr>
        </w:div>
        <w:div w:id="1437871234">
          <w:marLeft w:val="0"/>
          <w:marRight w:val="0"/>
          <w:marTop w:val="0"/>
          <w:marBottom w:val="0"/>
          <w:divBdr>
            <w:top w:val="none" w:sz="0" w:space="0" w:color="auto"/>
            <w:left w:val="none" w:sz="0" w:space="0" w:color="auto"/>
            <w:bottom w:val="none" w:sz="0" w:space="0" w:color="auto"/>
            <w:right w:val="none" w:sz="0" w:space="0" w:color="auto"/>
          </w:divBdr>
        </w:div>
        <w:div w:id="2037268671">
          <w:marLeft w:val="0"/>
          <w:marRight w:val="0"/>
          <w:marTop w:val="0"/>
          <w:marBottom w:val="0"/>
          <w:divBdr>
            <w:top w:val="none" w:sz="0" w:space="0" w:color="auto"/>
            <w:left w:val="none" w:sz="0" w:space="0" w:color="auto"/>
            <w:bottom w:val="none" w:sz="0" w:space="0" w:color="auto"/>
            <w:right w:val="none" w:sz="0" w:space="0" w:color="auto"/>
          </w:divBdr>
        </w:div>
        <w:div w:id="2003583284">
          <w:marLeft w:val="0"/>
          <w:marRight w:val="0"/>
          <w:marTop w:val="0"/>
          <w:marBottom w:val="0"/>
          <w:divBdr>
            <w:top w:val="none" w:sz="0" w:space="0" w:color="auto"/>
            <w:left w:val="none" w:sz="0" w:space="0" w:color="auto"/>
            <w:bottom w:val="none" w:sz="0" w:space="0" w:color="auto"/>
            <w:right w:val="none" w:sz="0" w:space="0" w:color="auto"/>
          </w:divBdr>
        </w:div>
        <w:div w:id="1962221385">
          <w:marLeft w:val="0"/>
          <w:marRight w:val="0"/>
          <w:marTop w:val="0"/>
          <w:marBottom w:val="0"/>
          <w:divBdr>
            <w:top w:val="none" w:sz="0" w:space="0" w:color="auto"/>
            <w:left w:val="none" w:sz="0" w:space="0" w:color="auto"/>
            <w:bottom w:val="none" w:sz="0" w:space="0" w:color="auto"/>
            <w:right w:val="none" w:sz="0" w:space="0" w:color="auto"/>
          </w:divBdr>
        </w:div>
        <w:div w:id="1203052385">
          <w:marLeft w:val="0"/>
          <w:marRight w:val="0"/>
          <w:marTop w:val="0"/>
          <w:marBottom w:val="0"/>
          <w:divBdr>
            <w:top w:val="none" w:sz="0" w:space="0" w:color="auto"/>
            <w:left w:val="none" w:sz="0" w:space="0" w:color="auto"/>
            <w:bottom w:val="none" w:sz="0" w:space="0" w:color="auto"/>
            <w:right w:val="none" w:sz="0" w:space="0" w:color="auto"/>
          </w:divBdr>
        </w:div>
        <w:div w:id="1434283770">
          <w:marLeft w:val="0"/>
          <w:marRight w:val="0"/>
          <w:marTop w:val="0"/>
          <w:marBottom w:val="0"/>
          <w:divBdr>
            <w:top w:val="none" w:sz="0" w:space="0" w:color="auto"/>
            <w:left w:val="none" w:sz="0" w:space="0" w:color="auto"/>
            <w:bottom w:val="none" w:sz="0" w:space="0" w:color="auto"/>
            <w:right w:val="none" w:sz="0" w:space="0" w:color="auto"/>
          </w:divBdr>
        </w:div>
      </w:divsChild>
    </w:div>
    <w:div w:id="737485242">
      <w:bodyDiv w:val="1"/>
      <w:marLeft w:val="0"/>
      <w:marRight w:val="0"/>
      <w:marTop w:val="0"/>
      <w:marBottom w:val="0"/>
      <w:divBdr>
        <w:top w:val="none" w:sz="0" w:space="0" w:color="auto"/>
        <w:left w:val="none" w:sz="0" w:space="0" w:color="auto"/>
        <w:bottom w:val="none" w:sz="0" w:space="0" w:color="auto"/>
        <w:right w:val="none" w:sz="0" w:space="0" w:color="auto"/>
      </w:divBdr>
      <w:divsChild>
        <w:div w:id="1369797236">
          <w:marLeft w:val="0"/>
          <w:marRight w:val="0"/>
          <w:marTop w:val="0"/>
          <w:marBottom w:val="0"/>
          <w:divBdr>
            <w:top w:val="none" w:sz="0" w:space="0" w:color="auto"/>
            <w:left w:val="none" w:sz="0" w:space="0" w:color="auto"/>
            <w:bottom w:val="none" w:sz="0" w:space="0" w:color="auto"/>
            <w:right w:val="none" w:sz="0" w:space="0" w:color="auto"/>
          </w:divBdr>
        </w:div>
        <w:div w:id="1725327383">
          <w:marLeft w:val="0"/>
          <w:marRight w:val="0"/>
          <w:marTop w:val="0"/>
          <w:marBottom w:val="0"/>
          <w:divBdr>
            <w:top w:val="none" w:sz="0" w:space="0" w:color="auto"/>
            <w:left w:val="none" w:sz="0" w:space="0" w:color="auto"/>
            <w:bottom w:val="none" w:sz="0" w:space="0" w:color="auto"/>
            <w:right w:val="none" w:sz="0" w:space="0" w:color="auto"/>
          </w:divBdr>
        </w:div>
        <w:div w:id="1764567012">
          <w:marLeft w:val="0"/>
          <w:marRight w:val="0"/>
          <w:marTop w:val="0"/>
          <w:marBottom w:val="0"/>
          <w:divBdr>
            <w:top w:val="none" w:sz="0" w:space="0" w:color="auto"/>
            <w:left w:val="none" w:sz="0" w:space="0" w:color="auto"/>
            <w:bottom w:val="none" w:sz="0" w:space="0" w:color="auto"/>
            <w:right w:val="none" w:sz="0" w:space="0" w:color="auto"/>
          </w:divBdr>
        </w:div>
        <w:div w:id="1963730898">
          <w:marLeft w:val="0"/>
          <w:marRight w:val="0"/>
          <w:marTop w:val="0"/>
          <w:marBottom w:val="0"/>
          <w:divBdr>
            <w:top w:val="none" w:sz="0" w:space="0" w:color="auto"/>
            <w:left w:val="none" w:sz="0" w:space="0" w:color="auto"/>
            <w:bottom w:val="none" w:sz="0" w:space="0" w:color="auto"/>
            <w:right w:val="none" w:sz="0" w:space="0" w:color="auto"/>
          </w:divBdr>
        </w:div>
        <w:div w:id="722797085">
          <w:marLeft w:val="0"/>
          <w:marRight w:val="0"/>
          <w:marTop w:val="0"/>
          <w:marBottom w:val="0"/>
          <w:divBdr>
            <w:top w:val="none" w:sz="0" w:space="0" w:color="auto"/>
            <w:left w:val="none" w:sz="0" w:space="0" w:color="auto"/>
            <w:bottom w:val="none" w:sz="0" w:space="0" w:color="auto"/>
            <w:right w:val="none" w:sz="0" w:space="0" w:color="auto"/>
          </w:divBdr>
        </w:div>
        <w:div w:id="263197140">
          <w:marLeft w:val="0"/>
          <w:marRight w:val="0"/>
          <w:marTop w:val="0"/>
          <w:marBottom w:val="0"/>
          <w:divBdr>
            <w:top w:val="none" w:sz="0" w:space="0" w:color="auto"/>
            <w:left w:val="none" w:sz="0" w:space="0" w:color="auto"/>
            <w:bottom w:val="none" w:sz="0" w:space="0" w:color="auto"/>
            <w:right w:val="none" w:sz="0" w:space="0" w:color="auto"/>
          </w:divBdr>
        </w:div>
        <w:div w:id="2056813879">
          <w:marLeft w:val="0"/>
          <w:marRight w:val="0"/>
          <w:marTop w:val="0"/>
          <w:marBottom w:val="0"/>
          <w:divBdr>
            <w:top w:val="none" w:sz="0" w:space="0" w:color="auto"/>
            <w:left w:val="none" w:sz="0" w:space="0" w:color="auto"/>
            <w:bottom w:val="none" w:sz="0" w:space="0" w:color="auto"/>
            <w:right w:val="none" w:sz="0" w:space="0" w:color="auto"/>
          </w:divBdr>
        </w:div>
        <w:div w:id="1550416492">
          <w:marLeft w:val="0"/>
          <w:marRight w:val="0"/>
          <w:marTop w:val="0"/>
          <w:marBottom w:val="0"/>
          <w:divBdr>
            <w:top w:val="none" w:sz="0" w:space="0" w:color="auto"/>
            <w:left w:val="none" w:sz="0" w:space="0" w:color="auto"/>
            <w:bottom w:val="none" w:sz="0" w:space="0" w:color="auto"/>
            <w:right w:val="none" w:sz="0" w:space="0" w:color="auto"/>
          </w:divBdr>
        </w:div>
        <w:div w:id="623921805">
          <w:marLeft w:val="0"/>
          <w:marRight w:val="0"/>
          <w:marTop w:val="0"/>
          <w:marBottom w:val="0"/>
          <w:divBdr>
            <w:top w:val="none" w:sz="0" w:space="0" w:color="auto"/>
            <w:left w:val="none" w:sz="0" w:space="0" w:color="auto"/>
            <w:bottom w:val="none" w:sz="0" w:space="0" w:color="auto"/>
            <w:right w:val="none" w:sz="0" w:space="0" w:color="auto"/>
          </w:divBdr>
        </w:div>
      </w:divsChild>
    </w:div>
    <w:div w:id="959456207">
      <w:bodyDiv w:val="1"/>
      <w:marLeft w:val="0"/>
      <w:marRight w:val="0"/>
      <w:marTop w:val="0"/>
      <w:marBottom w:val="0"/>
      <w:divBdr>
        <w:top w:val="none" w:sz="0" w:space="0" w:color="auto"/>
        <w:left w:val="none" w:sz="0" w:space="0" w:color="auto"/>
        <w:bottom w:val="none" w:sz="0" w:space="0" w:color="auto"/>
        <w:right w:val="none" w:sz="0" w:space="0" w:color="auto"/>
      </w:divBdr>
    </w:div>
    <w:div w:id="1014306847">
      <w:bodyDiv w:val="1"/>
      <w:marLeft w:val="0"/>
      <w:marRight w:val="0"/>
      <w:marTop w:val="0"/>
      <w:marBottom w:val="0"/>
      <w:divBdr>
        <w:top w:val="none" w:sz="0" w:space="0" w:color="auto"/>
        <w:left w:val="none" w:sz="0" w:space="0" w:color="auto"/>
        <w:bottom w:val="none" w:sz="0" w:space="0" w:color="auto"/>
        <w:right w:val="none" w:sz="0" w:space="0" w:color="auto"/>
      </w:divBdr>
      <w:divsChild>
        <w:div w:id="758258143">
          <w:marLeft w:val="0"/>
          <w:marRight w:val="0"/>
          <w:marTop w:val="0"/>
          <w:marBottom w:val="0"/>
          <w:divBdr>
            <w:top w:val="none" w:sz="0" w:space="0" w:color="auto"/>
            <w:left w:val="none" w:sz="0" w:space="0" w:color="auto"/>
            <w:bottom w:val="none" w:sz="0" w:space="0" w:color="auto"/>
            <w:right w:val="none" w:sz="0" w:space="0" w:color="auto"/>
          </w:divBdr>
        </w:div>
        <w:div w:id="2141923241">
          <w:marLeft w:val="0"/>
          <w:marRight w:val="0"/>
          <w:marTop w:val="0"/>
          <w:marBottom w:val="0"/>
          <w:divBdr>
            <w:top w:val="none" w:sz="0" w:space="0" w:color="auto"/>
            <w:left w:val="none" w:sz="0" w:space="0" w:color="auto"/>
            <w:bottom w:val="none" w:sz="0" w:space="0" w:color="auto"/>
            <w:right w:val="none" w:sz="0" w:space="0" w:color="auto"/>
          </w:divBdr>
        </w:div>
        <w:div w:id="56310868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1194402">
      <w:bodyDiv w:val="1"/>
      <w:marLeft w:val="0"/>
      <w:marRight w:val="0"/>
      <w:marTop w:val="0"/>
      <w:marBottom w:val="0"/>
      <w:divBdr>
        <w:top w:val="none" w:sz="0" w:space="0" w:color="auto"/>
        <w:left w:val="none" w:sz="0" w:space="0" w:color="auto"/>
        <w:bottom w:val="none" w:sz="0" w:space="0" w:color="auto"/>
        <w:right w:val="none" w:sz="0" w:space="0" w:color="auto"/>
      </w:divBdr>
      <w:divsChild>
        <w:div w:id="1348093891">
          <w:marLeft w:val="0"/>
          <w:marRight w:val="0"/>
          <w:marTop w:val="0"/>
          <w:marBottom w:val="0"/>
          <w:divBdr>
            <w:top w:val="none" w:sz="0" w:space="0" w:color="auto"/>
            <w:left w:val="none" w:sz="0" w:space="0" w:color="auto"/>
            <w:bottom w:val="none" w:sz="0" w:space="0" w:color="auto"/>
            <w:right w:val="none" w:sz="0" w:space="0" w:color="auto"/>
          </w:divBdr>
        </w:div>
        <w:div w:id="878661446">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1697286">
      <w:bodyDiv w:val="1"/>
      <w:marLeft w:val="0"/>
      <w:marRight w:val="0"/>
      <w:marTop w:val="0"/>
      <w:marBottom w:val="0"/>
      <w:divBdr>
        <w:top w:val="none" w:sz="0" w:space="0" w:color="auto"/>
        <w:left w:val="none" w:sz="0" w:space="0" w:color="auto"/>
        <w:bottom w:val="none" w:sz="0" w:space="0" w:color="auto"/>
        <w:right w:val="none" w:sz="0" w:space="0" w:color="auto"/>
      </w:divBdr>
      <w:divsChild>
        <w:div w:id="1498181957">
          <w:marLeft w:val="0"/>
          <w:marRight w:val="0"/>
          <w:marTop w:val="0"/>
          <w:marBottom w:val="0"/>
          <w:divBdr>
            <w:top w:val="none" w:sz="0" w:space="0" w:color="auto"/>
            <w:left w:val="none" w:sz="0" w:space="0" w:color="auto"/>
            <w:bottom w:val="none" w:sz="0" w:space="0" w:color="auto"/>
            <w:right w:val="none" w:sz="0" w:space="0" w:color="auto"/>
          </w:divBdr>
        </w:div>
        <w:div w:id="410352222">
          <w:marLeft w:val="0"/>
          <w:marRight w:val="0"/>
          <w:marTop w:val="0"/>
          <w:marBottom w:val="0"/>
          <w:divBdr>
            <w:top w:val="none" w:sz="0" w:space="0" w:color="auto"/>
            <w:left w:val="none" w:sz="0" w:space="0" w:color="auto"/>
            <w:bottom w:val="none" w:sz="0" w:space="0" w:color="auto"/>
            <w:right w:val="none" w:sz="0" w:space="0" w:color="auto"/>
          </w:divBdr>
        </w:div>
        <w:div w:id="179320054">
          <w:marLeft w:val="0"/>
          <w:marRight w:val="0"/>
          <w:marTop w:val="0"/>
          <w:marBottom w:val="0"/>
          <w:divBdr>
            <w:top w:val="none" w:sz="0" w:space="0" w:color="auto"/>
            <w:left w:val="none" w:sz="0" w:space="0" w:color="auto"/>
            <w:bottom w:val="none" w:sz="0" w:space="0" w:color="auto"/>
            <w:right w:val="none" w:sz="0" w:space="0" w:color="auto"/>
          </w:divBdr>
        </w:div>
      </w:divsChild>
    </w:div>
    <w:div w:id="1270310538">
      <w:bodyDiv w:val="1"/>
      <w:marLeft w:val="0"/>
      <w:marRight w:val="0"/>
      <w:marTop w:val="0"/>
      <w:marBottom w:val="0"/>
      <w:divBdr>
        <w:top w:val="none" w:sz="0" w:space="0" w:color="auto"/>
        <w:left w:val="none" w:sz="0" w:space="0" w:color="auto"/>
        <w:bottom w:val="none" w:sz="0" w:space="0" w:color="auto"/>
        <w:right w:val="none" w:sz="0" w:space="0" w:color="auto"/>
      </w:divBdr>
      <w:divsChild>
        <w:div w:id="58788038">
          <w:marLeft w:val="0"/>
          <w:marRight w:val="0"/>
          <w:marTop w:val="0"/>
          <w:marBottom w:val="0"/>
          <w:divBdr>
            <w:top w:val="none" w:sz="0" w:space="0" w:color="auto"/>
            <w:left w:val="none" w:sz="0" w:space="0" w:color="auto"/>
            <w:bottom w:val="none" w:sz="0" w:space="0" w:color="auto"/>
            <w:right w:val="none" w:sz="0" w:space="0" w:color="auto"/>
          </w:divBdr>
        </w:div>
        <w:div w:id="434207366">
          <w:marLeft w:val="0"/>
          <w:marRight w:val="0"/>
          <w:marTop w:val="0"/>
          <w:marBottom w:val="0"/>
          <w:divBdr>
            <w:top w:val="none" w:sz="0" w:space="0" w:color="auto"/>
            <w:left w:val="none" w:sz="0" w:space="0" w:color="auto"/>
            <w:bottom w:val="none" w:sz="0" w:space="0" w:color="auto"/>
            <w:right w:val="none" w:sz="0" w:space="0" w:color="auto"/>
          </w:divBdr>
        </w:div>
        <w:div w:id="493452475">
          <w:marLeft w:val="0"/>
          <w:marRight w:val="0"/>
          <w:marTop w:val="0"/>
          <w:marBottom w:val="0"/>
          <w:divBdr>
            <w:top w:val="none" w:sz="0" w:space="0" w:color="auto"/>
            <w:left w:val="none" w:sz="0" w:space="0" w:color="auto"/>
            <w:bottom w:val="none" w:sz="0" w:space="0" w:color="auto"/>
            <w:right w:val="none" w:sz="0" w:space="0" w:color="auto"/>
          </w:divBdr>
        </w:div>
      </w:divsChild>
    </w:div>
    <w:div w:id="1433865560">
      <w:bodyDiv w:val="1"/>
      <w:marLeft w:val="0"/>
      <w:marRight w:val="0"/>
      <w:marTop w:val="0"/>
      <w:marBottom w:val="0"/>
      <w:divBdr>
        <w:top w:val="none" w:sz="0" w:space="0" w:color="auto"/>
        <w:left w:val="none" w:sz="0" w:space="0" w:color="auto"/>
        <w:bottom w:val="none" w:sz="0" w:space="0" w:color="auto"/>
        <w:right w:val="none" w:sz="0" w:space="0" w:color="auto"/>
      </w:divBdr>
      <w:divsChild>
        <w:div w:id="426117790">
          <w:marLeft w:val="0"/>
          <w:marRight w:val="0"/>
          <w:marTop w:val="0"/>
          <w:marBottom w:val="0"/>
          <w:divBdr>
            <w:top w:val="none" w:sz="0" w:space="0" w:color="auto"/>
            <w:left w:val="none" w:sz="0" w:space="0" w:color="auto"/>
            <w:bottom w:val="none" w:sz="0" w:space="0" w:color="auto"/>
            <w:right w:val="none" w:sz="0" w:space="0" w:color="auto"/>
          </w:divBdr>
        </w:div>
        <w:div w:id="1393120763">
          <w:marLeft w:val="0"/>
          <w:marRight w:val="0"/>
          <w:marTop w:val="0"/>
          <w:marBottom w:val="0"/>
          <w:divBdr>
            <w:top w:val="none" w:sz="0" w:space="0" w:color="auto"/>
            <w:left w:val="none" w:sz="0" w:space="0" w:color="auto"/>
            <w:bottom w:val="none" w:sz="0" w:space="0" w:color="auto"/>
            <w:right w:val="none" w:sz="0" w:space="0" w:color="auto"/>
          </w:divBdr>
        </w:div>
        <w:div w:id="239684388">
          <w:marLeft w:val="0"/>
          <w:marRight w:val="0"/>
          <w:marTop w:val="0"/>
          <w:marBottom w:val="0"/>
          <w:divBdr>
            <w:top w:val="none" w:sz="0" w:space="0" w:color="auto"/>
            <w:left w:val="none" w:sz="0" w:space="0" w:color="auto"/>
            <w:bottom w:val="none" w:sz="0" w:space="0" w:color="auto"/>
            <w:right w:val="none" w:sz="0" w:space="0" w:color="auto"/>
          </w:divBdr>
        </w:div>
      </w:divsChild>
    </w:div>
    <w:div w:id="1498839806">
      <w:bodyDiv w:val="1"/>
      <w:marLeft w:val="0"/>
      <w:marRight w:val="0"/>
      <w:marTop w:val="0"/>
      <w:marBottom w:val="0"/>
      <w:divBdr>
        <w:top w:val="none" w:sz="0" w:space="0" w:color="auto"/>
        <w:left w:val="none" w:sz="0" w:space="0" w:color="auto"/>
        <w:bottom w:val="none" w:sz="0" w:space="0" w:color="auto"/>
        <w:right w:val="none" w:sz="0" w:space="0" w:color="auto"/>
      </w:divBdr>
      <w:divsChild>
        <w:div w:id="1227302550">
          <w:marLeft w:val="0"/>
          <w:marRight w:val="0"/>
          <w:marTop w:val="0"/>
          <w:marBottom w:val="0"/>
          <w:divBdr>
            <w:top w:val="none" w:sz="0" w:space="0" w:color="auto"/>
            <w:left w:val="none" w:sz="0" w:space="0" w:color="auto"/>
            <w:bottom w:val="none" w:sz="0" w:space="0" w:color="auto"/>
            <w:right w:val="none" w:sz="0" w:space="0" w:color="auto"/>
          </w:divBdr>
        </w:div>
        <w:div w:id="1392390275">
          <w:marLeft w:val="0"/>
          <w:marRight w:val="0"/>
          <w:marTop w:val="0"/>
          <w:marBottom w:val="0"/>
          <w:divBdr>
            <w:top w:val="none" w:sz="0" w:space="0" w:color="auto"/>
            <w:left w:val="none" w:sz="0" w:space="0" w:color="auto"/>
            <w:bottom w:val="none" w:sz="0" w:space="0" w:color="auto"/>
            <w:right w:val="none" w:sz="0" w:space="0" w:color="auto"/>
          </w:divBdr>
        </w:div>
        <w:div w:id="985165277">
          <w:marLeft w:val="0"/>
          <w:marRight w:val="0"/>
          <w:marTop w:val="0"/>
          <w:marBottom w:val="0"/>
          <w:divBdr>
            <w:top w:val="none" w:sz="0" w:space="0" w:color="auto"/>
            <w:left w:val="none" w:sz="0" w:space="0" w:color="auto"/>
            <w:bottom w:val="none" w:sz="0" w:space="0" w:color="auto"/>
            <w:right w:val="none" w:sz="0" w:space="0" w:color="auto"/>
          </w:divBdr>
        </w:div>
      </w:divsChild>
    </w:div>
    <w:div w:id="1545218765">
      <w:bodyDiv w:val="1"/>
      <w:marLeft w:val="0"/>
      <w:marRight w:val="0"/>
      <w:marTop w:val="0"/>
      <w:marBottom w:val="0"/>
      <w:divBdr>
        <w:top w:val="none" w:sz="0" w:space="0" w:color="auto"/>
        <w:left w:val="none" w:sz="0" w:space="0" w:color="auto"/>
        <w:bottom w:val="none" w:sz="0" w:space="0" w:color="auto"/>
        <w:right w:val="none" w:sz="0" w:space="0" w:color="auto"/>
      </w:divBdr>
    </w:div>
    <w:div w:id="1749494888">
      <w:bodyDiv w:val="1"/>
      <w:marLeft w:val="0"/>
      <w:marRight w:val="0"/>
      <w:marTop w:val="0"/>
      <w:marBottom w:val="0"/>
      <w:divBdr>
        <w:top w:val="none" w:sz="0" w:space="0" w:color="auto"/>
        <w:left w:val="none" w:sz="0" w:space="0" w:color="auto"/>
        <w:bottom w:val="none" w:sz="0" w:space="0" w:color="auto"/>
        <w:right w:val="none" w:sz="0" w:space="0" w:color="auto"/>
      </w:divBdr>
      <w:divsChild>
        <w:div w:id="1829204946">
          <w:marLeft w:val="0"/>
          <w:marRight w:val="0"/>
          <w:marTop w:val="0"/>
          <w:marBottom w:val="0"/>
          <w:divBdr>
            <w:top w:val="none" w:sz="0" w:space="0" w:color="auto"/>
            <w:left w:val="none" w:sz="0" w:space="0" w:color="auto"/>
            <w:bottom w:val="none" w:sz="0" w:space="0" w:color="auto"/>
            <w:right w:val="none" w:sz="0" w:space="0" w:color="auto"/>
          </w:divBdr>
          <w:divsChild>
            <w:div w:id="1444380594">
              <w:marLeft w:val="0"/>
              <w:marRight w:val="0"/>
              <w:marTop w:val="0"/>
              <w:marBottom w:val="0"/>
              <w:divBdr>
                <w:top w:val="none" w:sz="0" w:space="0" w:color="auto"/>
                <w:left w:val="none" w:sz="0" w:space="0" w:color="auto"/>
                <w:bottom w:val="none" w:sz="0" w:space="0" w:color="auto"/>
                <w:right w:val="none" w:sz="0" w:space="0" w:color="auto"/>
              </w:divBdr>
            </w:div>
          </w:divsChild>
        </w:div>
        <w:div w:id="480007197">
          <w:marLeft w:val="0"/>
          <w:marRight w:val="0"/>
          <w:marTop w:val="0"/>
          <w:marBottom w:val="0"/>
          <w:divBdr>
            <w:top w:val="none" w:sz="0" w:space="0" w:color="auto"/>
            <w:left w:val="none" w:sz="0" w:space="0" w:color="auto"/>
            <w:bottom w:val="none" w:sz="0" w:space="0" w:color="auto"/>
            <w:right w:val="none" w:sz="0" w:space="0" w:color="auto"/>
          </w:divBdr>
          <w:divsChild>
            <w:div w:id="1608581719">
              <w:marLeft w:val="0"/>
              <w:marRight w:val="0"/>
              <w:marTop w:val="0"/>
              <w:marBottom w:val="0"/>
              <w:divBdr>
                <w:top w:val="none" w:sz="0" w:space="0" w:color="auto"/>
                <w:left w:val="none" w:sz="0" w:space="0" w:color="auto"/>
                <w:bottom w:val="none" w:sz="0" w:space="0" w:color="auto"/>
                <w:right w:val="none" w:sz="0" w:space="0" w:color="auto"/>
              </w:divBdr>
            </w:div>
            <w:div w:id="1039428607">
              <w:marLeft w:val="0"/>
              <w:marRight w:val="0"/>
              <w:marTop w:val="0"/>
              <w:marBottom w:val="0"/>
              <w:divBdr>
                <w:top w:val="none" w:sz="0" w:space="0" w:color="auto"/>
                <w:left w:val="none" w:sz="0" w:space="0" w:color="auto"/>
                <w:bottom w:val="none" w:sz="0" w:space="0" w:color="auto"/>
                <w:right w:val="none" w:sz="0" w:space="0" w:color="auto"/>
              </w:divBdr>
            </w:div>
            <w:div w:id="1281498386">
              <w:marLeft w:val="0"/>
              <w:marRight w:val="0"/>
              <w:marTop w:val="0"/>
              <w:marBottom w:val="0"/>
              <w:divBdr>
                <w:top w:val="none" w:sz="0" w:space="0" w:color="auto"/>
                <w:left w:val="none" w:sz="0" w:space="0" w:color="auto"/>
                <w:bottom w:val="none" w:sz="0" w:space="0" w:color="auto"/>
                <w:right w:val="none" w:sz="0" w:space="0" w:color="auto"/>
              </w:divBdr>
            </w:div>
            <w:div w:id="175003620">
              <w:marLeft w:val="0"/>
              <w:marRight w:val="0"/>
              <w:marTop w:val="0"/>
              <w:marBottom w:val="0"/>
              <w:divBdr>
                <w:top w:val="none" w:sz="0" w:space="0" w:color="auto"/>
                <w:left w:val="none" w:sz="0" w:space="0" w:color="auto"/>
                <w:bottom w:val="none" w:sz="0" w:space="0" w:color="auto"/>
                <w:right w:val="none" w:sz="0" w:space="0" w:color="auto"/>
              </w:divBdr>
            </w:div>
            <w:div w:id="1836068554">
              <w:marLeft w:val="0"/>
              <w:marRight w:val="0"/>
              <w:marTop w:val="0"/>
              <w:marBottom w:val="0"/>
              <w:divBdr>
                <w:top w:val="none" w:sz="0" w:space="0" w:color="auto"/>
                <w:left w:val="none" w:sz="0" w:space="0" w:color="auto"/>
                <w:bottom w:val="none" w:sz="0" w:space="0" w:color="auto"/>
                <w:right w:val="none" w:sz="0" w:space="0" w:color="auto"/>
              </w:divBdr>
            </w:div>
          </w:divsChild>
        </w:div>
        <w:div w:id="62879495">
          <w:marLeft w:val="0"/>
          <w:marRight w:val="0"/>
          <w:marTop w:val="0"/>
          <w:marBottom w:val="0"/>
          <w:divBdr>
            <w:top w:val="none" w:sz="0" w:space="0" w:color="auto"/>
            <w:left w:val="none" w:sz="0" w:space="0" w:color="auto"/>
            <w:bottom w:val="none" w:sz="0" w:space="0" w:color="auto"/>
            <w:right w:val="none" w:sz="0" w:space="0" w:color="auto"/>
          </w:divBdr>
        </w:div>
      </w:divsChild>
    </w:div>
    <w:div w:id="1923485692">
      <w:bodyDiv w:val="1"/>
      <w:marLeft w:val="0"/>
      <w:marRight w:val="0"/>
      <w:marTop w:val="0"/>
      <w:marBottom w:val="0"/>
      <w:divBdr>
        <w:top w:val="none" w:sz="0" w:space="0" w:color="auto"/>
        <w:left w:val="none" w:sz="0" w:space="0" w:color="auto"/>
        <w:bottom w:val="none" w:sz="0" w:space="0" w:color="auto"/>
        <w:right w:val="none" w:sz="0" w:space="0" w:color="auto"/>
      </w:divBdr>
      <w:divsChild>
        <w:div w:id="1063941419">
          <w:marLeft w:val="0"/>
          <w:marRight w:val="0"/>
          <w:marTop w:val="0"/>
          <w:marBottom w:val="0"/>
          <w:divBdr>
            <w:top w:val="none" w:sz="0" w:space="0" w:color="auto"/>
            <w:left w:val="none" w:sz="0" w:space="0" w:color="auto"/>
            <w:bottom w:val="none" w:sz="0" w:space="0" w:color="auto"/>
            <w:right w:val="none" w:sz="0" w:space="0" w:color="auto"/>
          </w:divBdr>
        </w:div>
        <w:div w:id="561521119">
          <w:marLeft w:val="0"/>
          <w:marRight w:val="0"/>
          <w:marTop w:val="0"/>
          <w:marBottom w:val="0"/>
          <w:divBdr>
            <w:top w:val="none" w:sz="0" w:space="0" w:color="auto"/>
            <w:left w:val="none" w:sz="0" w:space="0" w:color="auto"/>
            <w:bottom w:val="none" w:sz="0" w:space="0" w:color="auto"/>
            <w:right w:val="none" w:sz="0" w:space="0" w:color="auto"/>
          </w:divBdr>
        </w:div>
        <w:div w:id="214897471">
          <w:marLeft w:val="0"/>
          <w:marRight w:val="0"/>
          <w:marTop w:val="0"/>
          <w:marBottom w:val="0"/>
          <w:divBdr>
            <w:top w:val="none" w:sz="0" w:space="0" w:color="auto"/>
            <w:left w:val="none" w:sz="0" w:space="0" w:color="auto"/>
            <w:bottom w:val="none" w:sz="0" w:space="0" w:color="auto"/>
            <w:right w:val="none" w:sz="0" w:space="0" w:color="auto"/>
          </w:divBdr>
        </w:div>
        <w:div w:id="1506745823">
          <w:marLeft w:val="0"/>
          <w:marRight w:val="0"/>
          <w:marTop w:val="0"/>
          <w:marBottom w:val="0"/>
          <w:divBdr>
            <w:top w:val="none" w:sz="0" w:space="0" w:color="auto"/>
            <w:left w:val="none" w:sz="0" w:space="0" w:color="auto"/>
            <w:bottom w:val="none" w:sz="0" w:space="0" w:color="auto"/>
            <w:right w:val="none" w:sz="0" w:space="0" w:color="auto"/>
          </w:divBdr>
        </w:div>
        <w:div w:id="245043720">
          <w:marLeft w:val="0"/>
          <w:marRight w:val="0"/>
          <w:marTop w:val="0"/>
          <w:marBottom w:val="0"/>
          <w:divBdr>
            <w:top w:val="none" w:sz="0" w:space="0" w:color="auto"/>
            <w:left w:val="none" w:sz="0" w:space="0" w:color="auto"/>
            <w:bottom w:val="none" w:sz="0" w:space="0" w:color="auto"/>
            <w:right w:val="none" w:sz="0" w:space="0" w:color="auto"/>
          </w:divBdr>
        </w:div>
        <w:div w:id="1114905768">
          <w:marLeft w:val="0"/>
          <w:marRight w:val="0"/>
          <w:marTop w:val="0"/>
          <w:marBottom w:val="0"/>
          <w:divBdr>
            <w:top w:val="none" w:sz="0" w:space="0" w:color="auto"/>
            <w:left w:val="none" w:sz="0" w:space="0" w:color="auto"/>
            <w:bottom w:val="none" w:sz="0" w:space="0" w:color="auto"/>
            <w:right w:val="none" w:sz="0" w:space="0" w:color="auto"/>
          </w:divBdr>
        </w:div>
        <w:div w:id="1887329510">
          <w:marLeft w:val="0"/>
          <w:marRight w:val="0"/>
          <w:marTop w:val="0"/>
          <w:marBottom w:val="0"/>
          <w:divBdr>
            <w:top w:val="none" w:sz="0" w:space="0" w:color="auto"/>
            <w:left w:val="none" w:sz="0" w:space="0" w:color="auto"/>
            <w:bottom w:val="none" w:sz="0" w:space="0" w:color="auto"/>
            <w:right w:val="none" w:sz="0" w:space="0" w:color="auto"/>
          </w:divBdr>
        </w:div>
        <w:div w:id="1972591330">
          <w:marLeft w:val="0"/>
          <w:marRight w:val="0"/>
          <w:marTop w:val="0"/>
          <w:marBottom w:val="0"/>
          <w:divBdr>
            <w:top w:val="none" w:sz="0" w:space="0" w:color="auto"/>
            <w:left w:val="none" w:sz="0" w:space="0" w:color="auto"/>
            <w:bottom w:val="none" w:sz="0" w:space="0" w:color="auto"/>
            <w:right w:val="none" w:sz="0" w:space="0" w:color="auto"/>
          </w:divBdr>
        </w:div>
        <w:div w:id="962223868">
          <w:marLeft w:val="0"/>
          <w:marRight w:val="0"/>
          <w:marTop w:val="0"/>
          <w:marBottom w:val="0"/>
          <w:divBdr>
            <w:top w:val="none" w:sz="0" w:space="0" w:color="auto"/>
            <w:left w:val="none" w:sz="0" w:space="0" w:color="auto"/>
            <w:bottom w:val="none" w:sz="0" w:space="0" w:color="auto"/>
            <w:right w:val="none" w:sz="0" w:space="0" w:color="auto"/>
          </w:divBdr>
        </w:div>
        <w:div w:id="269778786">
          <w:marLeft w:val="0"/>
          <w:marRight w:val="0"/>
          <w:marTop w:val="0"/>
          <w:marBottom w:val="0"/>
          <w:divBdr>
            <w:top w:val="none" w:sz="0" w:space="0" w:color="auto"/>
            <w:left w:val="none" w:sz="0" w:space="0" w:color="auto"/>
            <w:bottom w:val="none" w:sz="0" w:space="0" w:color="auto"/>
            <w:right w:val="none" w:sz="0" w:space="0" w:color="auto"/>
          </w:divBdr>
        </w:div>
        <w:div w:id="1977837185">
          <w:marLeft w:val="0"/>
          <w:marRight w:val="0"/>
          <w:marTop w:val="0"/>
          <w:marBottom w:val="0"/>
          <w:divBdr>
            <w:top w:val="none" w:sz="0" w:space="0" w:color="auto"/>
            <w:left w:val="none" w:sz="0" w:space="0" w:color="auto"/>
            <w:bottom w:val="none" w:sz="0" w:space="0" w:color="auto"/>
            <w:right w:val="none" w:sz="0" w:space="0" w:color="auto"/>
          </w:divBdr>
        </w:div>
        <w:div w:id="7604805">
          <w:marLeft w:val="0"/>
          <w:marRight w:val="0"/>
          <w:marTop w:val="0"/>
          <w:marBottom w:val="0"/>
          <w:divBdr>
            <w:top w:val="none" w:sz="0" w:space="0" w:color="auto"/>
            <w:left w:val="none" w:sz="0" w:space="0" w:color="auto"/>
            <w:bottom w:val="none" w:sz="0" w:space="0" w:color="auto"/>
            <w:right w:val="none" w:sz="0" w:space="0" w:color="auto"/>
          </w:divBdr>
        </w:div>
      </w:divsChild>
    </w:div>
    <w:div w:id="2024354341">
      <w:bodyDiv w:val="1"/>
      <w:marLeft w:val="0"/>
      <w:marRight w:val="0"/>
      <w:marTop w:val="0"/>
      <w:marBottom w:val="0"/>
      <w:divBdr>
        <w:top w:val="none" w:sz="0" w:space="0" w:color="auto"/>
        <w:left w:val="none" w:sz="0" w:space="0" w:color="auto"/>
        <w:bottom w:val="none" w:sz="0" w:space="0" w:color="auto"/>
        <w:right w:val="none" w:sz="0" w:space="0" w:color="auto"/>
      </w:divBdr>
    </w:div>
    <w:div w:id="2065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 TargetMode="External"/><Relationship Id="rId18" Type="http://schemas.openxmlformats.org/officeDocument/2006/relationships/hyperlink" Target="https://cdn.who.int/media/docs/default-source/gho-documents/global-health-estimates/ghe2019_cod_methods.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111/tmi.12329" TargetMode="External"/><Relationship Id="rId7" Type="http://schemas.openxmlformats.org/officeDocument/2006/relationships/settings" Target="settings.xml"/><Relationship Id="rId12" Type="http://schemas.openxmlformats.org/officeDocument/2006/relationships/hyperlink" Target="http://www.washdata.org" TargetMode="External"/><Relationship Id="rId17" Type="http://schemas.openxmlformats.org/officeDocument/2006/relationships/hyperlink" Target="https://www.who.int/data/gho/indicator-metadata-registry/imr-details/226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ho.int/data/ddi" TargetMode="External"/><Relationship Id="rId20" Type="http://schemas.openxmlformats.org/officeDocument/2006/relationships/hyperlink" Target="https://doi.org/10.1016/S0140-6736(02)1140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ulation.un.org/wpp/" TargetMode="External"/><Relationship Id="rId24" Type="http://schemas.openxmlformats.org/officeDocument/2006/relationships/hyperlink" Target="https://doi.org/10.2166/wh.2012.107" TargetMode="External"/><Relationship Id="rId5" Type="http://schemas.openxmlformats.org/officeDocument/2006/relationships/numbering" Target="numbering.xml"/><Relationship Id="rId15" Type="http://schemas.openxmlformats.org/officeDocument/2006/relationships/hyperlink" Target="https://www.who.int/data/ddi" TargetMode="External"/><Relationship Id="rId23" Type="http://schemas.openxmlformats.org/officeDocument/2006/relationships/hyperlink" Target="https://www.who.int/publications/i/item/9789241564823"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11/tmi.123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data/ddi" TargetMode="External"/><Relationship Id="rId22" Type="http://schemas.openxmlformats.org/officeDocument/2006/relationships/hyperlink" Target="https://doi.org/10.1016/j.ijheh.2019.05.004"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428AE7E-F6EA-47CE-9674-CB2287520780}"/>
      </w:docPartPr>
      <w:docPartBody>
        <w:p w:rsidR="00000000" w:rsidRDefault="00A0086F">
          <w:r w:rsidRPr="003C06C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6F"/>
    <w:rsid w:val="00776FB6"/>
    <w:rsid w:val="00A00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08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894FB25B-583A-40E8-AD78-77B4127DAC34}">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14</cp:revision>
  <cp:lastPrinted>2016-07-16T14:25:00Z</cp:lastPrinted>
  <dcterms:created xsi:type="dcterms:W3CDTF">2022-04-12T10:28:00Z</dcterms:created>
  <dcterms:modified xsi:type="dcterms:W3CDTF">2022-12-20T20:59:00Z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