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50089AFB" w14:textId="60DACC89" w:rsidR="64337103" w:rsidRDefault="64337103" w:rsidP="0C62DC0C">
      <w:pPr>
        <w:pStyle w:val="MIndHeader"/>
        <w:rPr>
          <w:rFonts w:ascii="Calibri" w:hAnsi="Calibri"/>
          <w:sz w:val="21"/>
          <w:szCs w:val="21"/>
        </w:rPr>
      </w:pPr>
      <w:r w:rsidRPr="0C62DC0C">
        <w:rPr>
          <w:rFonts w:ascii="Calibri" w:eastAsia="Calibri" w:hAnsi="Calibri" w:cs="Calibri"/>
          <w:color w:val="444444"/>
          <w:sz w:val="21"/>
          <w:szCs w:val="21"/>
        </w:rPr>
        <w:t>Goal 3: Ensure healthy lives and promote well-being for all at all ages</w:t>
      </w:r>
    </w:p>
    <w:p w14:paraId="084142D2" w14:textId="0A65DD4B" w:rsidR="00D24330" w:rsidRPr="00A96255" w:rsidRDefault="00D24330" w:rsidP="00D24330">
      <w:pPr>
        <w:pStyle w:val="MIndHeader"/>
      </w:pPr>
      <w:r>
        <w:t xml:space="preserve">0.b. Target </w:t>
      </w:r>
      <w:r>
        <w:rPr>
          <w:color w:val="B4B4B4"/>
          <w:sz w:val="20"/>
        </w:rPr>
        <w:t>(SDG_TARGET)</w:t>
      </w:r>
    </w:p>
    <w:p w14:paraId="68AF36D1" w14:textId="6194DF8D" w:rsidR="40E613D1" w:rsidRDefault="40E613D1" w:rsidP="0C62DC0C">
      <w:pPr>
        <w:pStyle w:val="MIndHeader"/>
        <w:rPr>
          <w:rFonts w:ascii="Calibri" w:hAnsi="Calibri"/>
          <w:sz w:val="21"/>
          <w:szCs w:val="21"/>
        </w:rPr>
      </w:pPr>
      <w:r w:rsidRPr="0C62DC0C">
        <w:rPr>
          <w:rFonts w:ascii="Calibri" w:eastAsia="Calibri" w:hAnsi="Calibri" w:cs="Calibri"/>
          <w:color w:val="444444"/>
          <w:sz w:val="21"/>
          <w:szCs w:val="21"/>
        </w:rPr>
        <w:t>Target 3.b: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p w14:paraId="3E67E7E0" w14:textId="090FA6DB" w:rsidR="00D24330" w:rsidRPr="00A96255" w:rsidRDefault="00D24330" w:rsidP="00D24330">
      <w:pPr>
        <w:pStyle w:val="MIndHeader"/>
      </w:pPr>
      <w:r>
        <w:t xml:space="preserve">0.c. Indicator </w:t>
      </w:r>
      <w:r>
        <w:rPr>
          <w:color w:val="B4B4B4"/>
          <w:sz w:val="20"/>
        </w:rPr>
        <w:t>(SDG_INDICATOR)</w:t>
      </w:r>
    </w:p>
    <w:p w14:paraId="66390647" w14:textId="354ADB00" w:rsidR="00D24330" w:rsidRPr="00A96255" w:rsidRDefault="760BAF22" w:rsidP="0C62DC0C">
      <w:pPr>
        <w:pStyle w:val="MIndHeader"/>
        <w:rPr>
          <w:sz w:val="21"/>
          <w:szCs w:val="21"/>
        </w:rPr>
      </w:pPr>
      <w:r w:rsidRPr="0C62DC0C">
        <w:rPr>
          <w:rFonts w:ascii="Calibri" w:eastAsia="Calibri" w:hAnsi="Calibri" w:cs="Calibri"/>
          <w:color w:val="444444"/>
          <w:sz w:val="21"/>
          <w:szCs w:val="21"/>
        </w:rPr>
        <w:t>Indicator 3.b.2: Total net official development assistance to medical research and basic health sectors</w:t>
      </w:r>
    </w:p>
    <w:p w14:paraId="37E5E4F6" w14:textId="7B973EAE" w:rsidR="00D24330" w:rsidRPr="00A96255" w:rsidRDefault="00D24330" w:rsidP="00D24330">
      <w:pPr>
        <w:pStyle w:val="MIndHeader"/>
      </w:pPr>
      <w:r>
        <w:t xml:space="preserve">0.d. Series </w:t>
      </w:r>
      <w:r>
        <w:rPr>
          <w:color w:val="B4B4B4"/>
          <w:sz w:val="20"/>
        </w:rPr>
        <w:t>(SDG_SERIES_DESCR)</w:t>
      </w:r>
    </w:p>
    <w:p w14:paraId="4B87E63E" w14:textId="77777777" w:rsidR="00692612" w:rsidRDefault="00692612" w:rsidP="00DC5B8C">
      <w:pPr>
        <w:pStyle w:val="MGTHeader"/>
      </w:pPr>
    </w:p>
    <w:p w14:paraId="157DACE7" w14:textId="16621337" w:rsidR="00D24330" w:rsidRPr="00A96255" w:rsidRDefault="00D24330" w:rsidP="00D24330">
      <w:pPr>
        <w:pStyle w:val="MIndHeader"/>
      </w:pPr>
      <w:r w:rsidRPr="00A96255">
        <w:t xml:space="preserve">0.e. Metadata update </w:t>
      </w:r>
      <w:r>
        <w:rPr>
          <w:color w:val="B4B4B4"/>
          <w:sz w:val="20"/>
        </w:rPr>
        <w:t>(META_LAST_UPDATE)</w:t>
      </w:r>
    </w:p>
    <w:sdt>
      <w:sdtPr>
        <w:id w:val="626506410"/>
        <w:placeholder>
          <w:docPart w:val="DefaultPlaceholder_-1854013437"/>
        </w:placeholder>
        <w:date w:fullDate="2017-07-09T00:00:00Z">
          <w:dateFormat w:val="yyyy-MM-dd"/>
          <w:lid w:val="en-US"/>
          <w:storeMappedDataAs w:val="dateTime"/>
          <w:calendar w:val="gregorian"/>
        </w:date>
      </w:sdtPr>
      <w:sdtContent>
        <w:p w14:paraId="03424B60" w14:textId="0D19BB5F" w:rsidR="00D24330" w:rsidRPr="00A96255" w:rsidRDefault="00DC5B8C" w:rsidP="00D24330">
          <w:pPr>
            <w:pStyle w:val="MGTHeader"/>
          </w:pPr>
          <w:r>
            <w:rPr>
              <w:lang w:val="en-US"/>
            </w:rPr>
            <w:t>2017-07-09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F0184C2" w14:textId="77777777" w:rsidR="00C11BBD" w:rsidRPr="00692612" w:rsidRDefault="00C11BBD" w:rsidP="00A1657B">
      <w:pPr>
        <w:pStyle w:val="MGTHeader"/>
      </w:pPr>
      <w:r w:rsidRPr="00692612">
        <w:t>Other ODA indicators </w:t>
      </w:r>
    </w:p>
    <w:p w14:paraId="077BC49E" w14:textId="2AF75EED"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6F121372" w:rsidR="008D1D39" w:rsidRDefault="00C11BBD" w:rsidP="00A1657B">
      <w:pPr>
        <w:pStyle w:val="MGTHeader"/>
        <w:rPr>
          <w:rStyle w:val="eop"/>
          <w:rFonts w:ascii="Calibri" w:hAnsi="Calibri" w:cs="Calibri"/>
          <w:color w:val="4A4A4A"/>
        </w:rPr>
      </w:pPr>
      <w:r>
        <w:rPr>
          <w:rStyle w:val="normaltextrun"/>
          <w:rFonts w:ascii="Calibri" w:hAnsi="Calibri" w:cs="Calibri"/>
          <w:color w:val="4A4A4A"/>
        </w:rPr>
        <w:t>Organisation for Economic Co-operation and Development (OECD)</w:t>
      </w:r>
      <w:r>
        <w:rPr>
          <w:rStyle w:val="eop"/>
          <w:rFonts w:ascii="Calibri" w:hAnsi="Calibri" w:cs="Calibri"/>
          <w:color w:val="4A4A4A"/>
        </w:rPr>
        <w:t> </w:t>
      </w:r>
    </w:p>
    <w:p w14:paraId="2380E876" w14:textId="77777777" w:rsidR="00A1657B" w:rsidRPr="00A96255" w:rsidRDefault="00A1657B"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2362CE03" w:rsidR="00F719A8" w:rsidRDefault="00C11BBD" w:rsidP="00576CFA">
      <w:pPr>
        <w:pStyle w:val="MText"/>
        <w:rPr>
          <w:rStyle w:val="eop"/>
          <w:rFonts w:ascii="Calibri" w:hAnsi="Calibri" w:cs="Calibri"/>
        </w:rPr>
      </w:pPr>
      <w:r>
        <w:rPr>
          <w:rStyle w:val="normaltextrun"/>
          <w:rFonts w:ascii="Calibri" w:hAnsi="Calibri" w:cs="Calibri"/>
        </w:rPr>
        <w:t>Organisation for Economic Co-operation and Development (OECD)</w:t>
      </w:r>
      <w:r>
        <w:rPr>
          <w:rStyle w:val="eop"/>
          <w:rFonts w:ascii="Calibri" w:hAnsi="Calibri" w:cs="Calibri"/>
        </w:rPr>
        <w:t> </w:t>
      </w:r>
    </w:p>
    <w:p w14:paraId="20860615" w14:textId="77777777" w:rsidR="00A1657B" w:rsidRDefault="00A1657B"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914371F"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1D1C8783" w14:textId="747931F4" w:rsidR="00C11BBD" w:rsidRDefault="00C11BBD" w:rsidP="0069261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Gross disbursements of total ODA from all donors to medical research and basic health sectors.</w:t>
      </w:r>
      <w:r>
        <w:rPr>
          <w:rStyle w:val="eop"/>
          <w:rFonts w:ascii="Calibri" w:hAnsi="Calibri" w:cs="Calibri"/>
          <w:color w:val="4A4A4A"/>
          <w:sz w:val="21"/>
          <w:szCs w:val="21"/>
        </w:rPr>
        <w:t> </w:t>
      </w:r>
    </w:p>
    <w:p w14:paraId="47E4B07D"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B537A9C"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0379AFA7"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ODA: The DAC defines ODA as “those flows to countries and territories on the DAC List of ODA Recipients and to multilateral institutions which are </w:t>
      </w:r>
      <w:r>
        <w:rPr>
          <w:rStyle w:val="eop"/>
          <w:rFonts w:ascii="Calibri" w:hAnsi="Calibri" w:cs="Calibri"/>
          <w:color w:val="4A4A4A"/>
          <w:sz w:val="21"/>
          <w:szCs w:val="21"/>
        </w:rPr>
        <w:t> </w:t>
      </w:r>
    </w:p>
    <w:p w14:paraId="6E54590E" w14:textId="77777777" w:rsidR="00C11BBD" w:rsidRPr="00762729" w:rsidRDefault="00C11BBD" w:rsidP="00C11BBD">
      <w:pPr>
        <w:pStyle w:val="paragraph"/>
        <w:numPr>
          <w:ilvl w:val="0"/>
          <w:numId w:val="5"/>
        </w:numPr>
        <w:shd w:val="clear" w:color="auto" w:fill="FFFFFF"/>
        <w:spacing w:before="0" w:beforeAutospacing="0" w:after="0" w:afterAutospacing="0"/>
        <w:ind w:left="360" w:firstLine="0"/>
        <w:textAlignment w:val="baseline"/>
        <w:rPr>
          <w:color w:val="4A4A4A"/>
          <w:sz w:val="21"/>
          <w:szCs w:val="21"/>
        </w:rPr>
      </w:pPr>
      <w:r w:rsidRPr="00762729">
        <w:rPr>
          <w:rStyle w:val="normaltextrun"/>
          <w:rFonts w:ascii="Calibri" w:hAnsi="Calibri" w:cs="Calibri"/>
          <w:color w:val="4A4A4A"/>
          <w:sz w:val="21"/>
          <w:szCs w:val="21"/>
          <w:lang w:val="en-GB"/>
        </w:rPr>
        <w:t>provided by official agencies, including state and local governments, or by their executive agencies; and </w:t>
      </w:r>
      <w:r w:rsidRPr="00762729">
        <w:rPr>
          <w:rStyle w:val="eop"/>
          <w:rFonts w:ascii="Calibri" w:hAnsi="Calibri" w:cs="Calibri"/>
          <w:color w:val="4A4A4A"/>
          <w:sz w:val="21"/>
          <w:szCs w:val="21"/>
        </w:rPr>
        <w:t> </w:t>
      </w:r>
    </w:p>
    <w:p w14:paraId="34E9618D" w14:textId="77777777" w:rsidR="00C11BBD" w:rsidRPr="00762729" w:rsidRDefault="00C11BBD" w:rsidP="00C11BBD">
      <w:pPr>
        <w:pStyle w:val="paragraph"/>
        <w:numPr>
          <w:ilvl w:val="0"/>
          <w:numId w:val="6"/>
        </w:numPr>
        <w:shd w:val="clear" w:color="auto" w:fill="FFFFFF"/>
        <w:spacing w:before="0" w:beforeAutospacing="0" w:after="0" w:afterAutospacing="0"/>
        <w:ind w:left="360" w:firstLine="0"/>
        <w:textAlignment w:val="baseline"/>
        <w:rPr>
          <w:color w:val="4A4A4A"/>
          <w:sz w:val="21"/>
          <w:szCs w:val="21"/>
        </w:rPr>
      </w:pPr>
      <w:r w:rsidRPr="00762729">
        <w:rPr>
          <w:rStyle w:val="normaltextrun"/>
          <w:rFonts w:ascii="Calibri" w:hAnsi="Calibri" w:cs="Calibri"/>
          <w:color w:val="4A4A4A"/>
          <w:sz w:val="21"/>
          <w:szCs w:val="21"/>
          <w:lang w:val="en-GB"/>
        </w:rPr>
        <w:lastRenderedPageBreak/>
        <w:t>each transaction   is administered with the promotion of the economic development and welfare of developing countries as its main objective; and</w:t>
      </w:r>
      <w:r w:rsidRPr="00762729">
        <w:rPr>
          <w:rStyle w:val="eop"/>
          <w:rFonts w:ascii="Calibri" w:hAnsi="Calibri" w:cs="Calibri"/>
          <w:color w:val="4A4A4A"/>
          <w:sz w:val="21"/>
          <w:szCs w:val="21"/>
        </w:rPr>
        <w:t> </w:t>
      </w:r>
    </w:p>
    <w:p w14:paraId="7850349D"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is concessional in character and conveys a grant element of at least 25 per cent (calculated at a rate of discount of 10 per cent). (See </w:t>
      </w:r>
      <w:hyperlink r:id="rId11" w:tgtFrame="_blank" w:history="1">
        <w:r>
          <w:rPr>
            <w:rStyle w:val="normaltextrun"/>
            <w:rFonts w:ascii="Calibri" w:hAnsi="Calibri" w:cs="Calibri"/>
            <w:color w:val="0000FF"/>
            <w:sz w:val="21"/>
            <w:szCs w:val="21"/>
            <w:u w:val="single"/>
            <w:lang w:val="en-GB"/>
          </w:rPr>
          <w:t>http://www.oecd.org/dac/stats/officialdevelopmentassistancedefinitionandcoverage.htm</w:t>
        </w:r>
      </w:hyperlink>
      <w:r>
        <w:rPr>
          <w:rStyle w:val="normaltextrun"/>
          <w:color w:val="4A4A4A"/>
          <w:sz w:val="21"/>
          <w:szCs w:val="21"/>
          <w:lang w:val="en-GB"/>
        </w:rPr>
        <w:t>)</w:t>
      </w:r>
      <w:r>
        <w:rPr>
          <w:rStyle w:val="eop"/>
          <w:color w:val="4A4A4A"/>
          <w:sz w:val="21"/>
          <w:szCs w:val="21"/>
        </w:rPr>
        <w:t> </w:t>
      </w:r>
    </w:p>
    <w:p w14:paraId="37FF556F"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97D5A77"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Medical research and basic health sectors are as defined by the DAC.  Medical research refers to CRS sector code 12182 and basic health covers all codes in the 122 series (see here: </w:t>
      </w:r>
      <w:hyperlink r:id="rId12" w:tgtFrame="_blank" w:history="1">
        <w:r>
          <w:rPr>
            <w:rStyle w:val="normaltextrun"/>
            <w:rFonts w:ascii="Calibri" w:hAnsi="Calibri" w:cs="Calibri"/>
            <w:color w:val="0000FF"/>
            <w:sz w:val="21"/>
            <w:szCs w:val="21"/>
            <w:u w:val="single"/>
            <w:lang w:val="en-GB"/>
          </w:rPr>
          <w:t>http://www.oecd.org/dac/stats/purposecodessectorclassification.htm</w:t>
        </w:r>
      </w:hyperlink>
      <w:r>
        <w:rPr>
          <w:rStyle w:val="normaltextrun"/>
          <w:color w:val="4A4A4A"/>
          <w:sz w:val="21"/>
          <w:szCs w:val="21"/>
          <w:lang w:val="en-GB"/>
        </w:rPr>
        <w:t>)</w:t>
      </w:r>
      <w:r>
        <w:rPr>
          <w:rStyle w:val="eop"/>
          <w:color w:val="4A4A4A"/>
          <w:sz w:val="21"/>
          <w:szCs w:val="21"/>
        </w:rPr>
        <w:t> </w:t>
      </w:r>
    </w:p>
    <w:p w14:paraId="6E54D3D6" w14:textId="399833D6" w:rsidR="00EC2915" w:rsidRPr="00762729" w:rsidRDefault="00C11BBD" w:rsidP="0076272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1040D7F" w:rsidR="00B31E2C" w:rsidRDefault="00B31E2C" w:rsidP="00F719A8">
      <w:pPr>
        <w:pStyle w:val="MHeader"/>
      </w:pPr>
      <w:r w:rsidRPr="00F719A8">
        <w:t xml:space="preserve">3. Data source type and data collection method </w:t>
      </w:r>
      <w:r>
        <w:rPr>
          <w:color w:val="B4B4B4"/>
          <w:sz w:val="20"/>
        </w:rPr>
        <w:t>(SRC_TYPE_COLL_METHOD)</w:t>
      </w:r>
    </w:p>
    <w:p w14:paraId="45D93CE8" w14:textId="1F095F67" w:rsidR="00C11BBD" w:rsidRPr="00F719A8" w:rsidRDefault="00C11BBD" w:rsidP="00F719A8">
      <w:pPr>
        <w:pStyle w:val="MHeader"/>
      </w:pP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D2F82CA" w14:textId="5C87C93C" w:rsidR="00C11BBD" w:rsidRDefault="00C11BBD" w:rsidP="0069261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r>
        <w:rPr>
          <w:rStyle w:val="eop"/>
          <w:rFonts w:ascii="Calibri" w:hAnsi="Calibri" w:cs="Calibri"/>
          <w:color w:val="4A4A4A"/>
          <w:sz w:val="21"/>
          <w:szCs w:val="21"/>
        </w:rPr>
        <w:t> </w:t>
      </w:r>
    </w:p>
    <w:p w14:paraId="72B943CA"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86A965E"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data are reported by donors according to the same standards and methodologies (see here: http://www.oecd.org/dac/stats/methodology.htm).  </w:t>
      </w:r>
      <w:r>
        <w:rPr>
          <w:rStyle w:val="eop"/>
          <w:rFonts w:ascii="Calibri" w:hAnsi="Calibri" w:cs="Calibri"/>
          <w:color w:val="4A4A4A"/>
          <w:sz w:val="21"/>
          <w:szCs w:val="21"/>
        </w:rPr>
        <w:t> </w:t>
      </w:r>
    </w:p>
    <w:p w14:paraId="3C1762E6"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839E7B8"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are reported on an annual calendar year basis by statistical reporters in national administrations (aid agencies, Ministries of Foreign Affairs or Finance, etc.</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31F64892" w:rsidR="00EC2915" w:rsidRDefault="00C11BBD" w:rsidP="00576CFA">
      <w:pPr>
        <w:pStyle w:val="MText"/>
        <w:rPr>
          <w:rStyle w:val="eop"/>
          <w:rFonts w:ascii="Calibri" w:hAnsi="Calibri" w:cs="Calibri"/>
        </w:rPr>
      </w:pPr>
      <w:r>
        <w:rPr>
          <w:rStyle w:val="normaltextrun"/>
          <w:rFonts w:ascii="Calibri" w:hAnsi="Calibri" w:cs="Calibri"/>
        </w:rPr>
        <w:t>A statistical reporter is responsible for the collection of DAC statistics in each providing country/agency.  This reporter is usually located in the national aid agency, Ministry of Foreign Affairs or Finance etc.</w:t>
      </w:r>
      <w:r>
        <w:rPr>
          <w:rStyle w:val="eop"/>
          <w:rFonts w:ascii="Calibri" w:hAnsi="Calibri" w:cs="Calibri"/>
        </w:rPr>
        <w:t> </w:t>
      </w:r>
    </w:p>
    <w:p w14:paraId="504AE80C" w14:textId="77777777" w:rsidR="00C11BBD" w:rsidRPr="00A96255" w:rsidRDefault="00C11BBD"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6A299696" w:rsidR="00EC2915" w:rsidRDefault="00C11BBD" w:rsidP="00576CFA">
      <w:pPr>
        <w:pStyle w:val="MText"/>
        <w:rPr>
          <w:rStyle w:val="eop"/>
          <w:rFonts w:ascii="Calibri" w:hAnsi="Calibri" w:cs="Calibri"/>
        </w:rPr>
      </w:pPr>
      <w:r>
        <w:rPr>
          <w:rStyle w:val="normaltextrun"/>
          <w:rFonts w:ascii="Calibri" w:hAnsi="Calibri" w:cs="Calibri"/>
        </w:rPr>
        <w:t>Data are published on an annual basis in December for flows in the previous year.</w:t>
      </w:r>
      <w:r>
        <w:rPr>
          <w:rStyle w:val="eop"/>
          <w:rFonts w:ascii="Calibri" w:hAnsi="Calibri" w:cs="Calibri"/>
        </w:rPr>
        <w:t> </w:t>
      </w:r>
    </w:p>
    <w:p w14:paraId="5882EE21" w14:textId="77777777" w:rsidR="00C11BBD" w:rsidRPr="00A96255" w:rsidRDefault="00C11BBD"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00AE7C4D" w:rsidR="00EC2915" w:rsidRDefault="00C11BBD" w:rsidP="00576CFA">
      <w:pPr>
        <w:pStyle w:val="MText"/>
        <w:rPr>
          <w:rStyle w:val="eop"/>
          <w:rFonts w:ascii="Calibri" w:hAnsi="Calibri" w:cs="Calibri"/>
        </w:rPr>
      </w:pPr>
      <w:r>
        <w:rPr>
          <w:rStyle w:val="normaltextrun"/>
          <w:rFonts w:ascii="Calibri" w:hAnsi="Calibri" w:cs="Calibri"/>
        </w:rPr>
        <w:t>Detailed 2015 flows will be published in December 2016.</w:t>
      </w:r>
      <w:r>
        <w:rPr>
          <w:rStyle w:val="eop"/>
          <w:rFonts w:ascii="Calibri" w:hAnsi="Calibri" w:cs="Calibri"/>
        </w:rPr>
        <w:t> </w:t>
      </w:r>
    </w:p>
    <w:p w14:paraId="40E3470D" w14:textId="77777777" w:rsidR="00C11BBD" w:rsidRPr="00A96255" w:rsidRDefault="00C11BBD"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1A549B4A" w:rsidR="00EC2915" w:rsidRDefault="00C11BBD" w:rsidP="00576CFA">
      <w:pPr>
        <w:pStyle w:val="MText"/>
        <w:rPr>
          <w:rStyle w:val="eop"/>
          <w:rFonts w:ascii="Calibri" w:hAnsi="Calibri" w:cs="Calibri"/>
        </w:rPr>
      </w:pPr>
      <w:r>
        <w:rPr>
          <w:rStyle w:val="normaltextrun"/>
          <w:rFonts w:ascii="Calibri" w:hAnsi="Calibri" w:cs="Calibri"/>
        </w:rPr>
        <w:t>Data are reported on an annual calendar year basis by statistical reporters in national administrations (aid agencies, Ministries of Foreign Affairs or Finance, etc.</w:t>
      </w:r>
      <w:r>
        <w:rPr>
          <w:rStyle w:val="eop"/>
          <w:rFonts w:ascii="Calibri" w:hAnsi="Calibri" w:cs="Calibri"/>
        </w:rPr>
        <w:t> </w:t>
      </w:r>
    </w:p>
    <w:p w14:paraId="3AD61696" w14:textId="77777777" w:rsidR="00C11BBD" w:rsidRPr="00A96255" w:rsidRDefault="00C11BBD"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186AE27" w:rsidR="00EC2915" w:rsidRDefault="00C11BBD" w:rsidP="00576CFA">
      <w:pPr>
        <w:pStyle w:val="MText"/>
        <w:rPr>
          <w:rStyle w:val="eop"/>
          <w:rFonts w:ascii="Calibri" w:hAnsi="Calibri" w:cs="Calibri"/>
        </w:rPr>
      </w:pPr>
      <w:r>
        <w:rPr>
          <w:rStyle w:val="normaltextrun"/>
          <w:rFonts w:ascii="Calibri" w:hAnsi="Calibri" w:cs="Calibri"/>
        </w:rPr>
        <w:t>OECD</w:t>
      </w:r>
      <w:r>
        <w:rPr>
          <w:rStyle w:val="eop"/>
          <w:rFonts w:ascii="Calibri" w:hAnsi="Calibri" w:cs="Calibri"/>
        </w:rPr>
        <w:t> </w:t>
      </w:r>
    </w:p>
    <w:p w14:paraId="56D4115E" w14:textId="77777777" w:rsidR="00C11BBD" w:rsidRPr="00A96255" w:rsidRDefault="00C11BBD"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F0B0111"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Total ODA flows to developing countries quantify the public effort that donors provide to developing countries for medical research and basic health.</w:t>
      </w:r>
      <w:r>
        <w:rPr>
          <w:rStyle w:val="eop"/>
          <w:rFonts w:ascii="Calibri" w:hAnsi="Calibri" w:cs="Calibri"/>
          <w:color w:val="4A4A4A"/>
          <w:sz w:val="21"/>
          <w:szCs w:val="21"/>
        </w:rPr>
        <w:t> </w:t>
      </w:r>
    </w:p>
    <w:p w14:paraId="55368AFA" w14:textId="77777777" w:rsidR="00C11BBD" w:rsidRPr="00A96255" w:rsidRDefault="00C11BBD"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0B2F1AB"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in the Creditor Reporting System are available from 1973.  However, the data coverage is considered complete from 1995 for commitments at an activity level and 2002 for disbursements.</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A89839E" w14:textId="59438CF9" w:rsidR="00576CFA" w:rsidRDefault="00C11BBD" w:rsidP="00576CFA">
      <w:pPr>
        <w:pStyle w:val="MText"/>
        <w:rPr>
          <w:rStyle w:val="eop"/>
          <w:rFonts w:ascii="Calibri" w:hAnsi="Calibri" w:cs="Calibri"/>
        </w:rPr>
      </w:pPr>
      <w:r>
        <w:rPr>
          <w:rStyle w:val="normaltextrun"/>
          <w:rFonts w:ascii="Calibri" w:hAnsi="Calibri" w:cs="Calibri"/>
        </w:rPr>
        <w:t>The sum of ODA flows from all donors to developing countries for medical research and basic health.</w:t>
      </w:r>
    </w:p>
    <w:p w14:paraId="0F840121" w14:textId="77777777" w:rsidR="00762729" w:rsidRPr="00A96255" w:rsidRDefault="00762729"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2FCBFA5C"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0B8F8AC" w14:textId="77777777" w:rsidR="00C11BBD" w:rsidRPr="00692612" w:rsidRDefault="00C11BBD" w:rsidP="00C11BBD">
      <w:pPr>
        <w:pStyle w:val="paragraph"/>
        <w:numPr>
          <w:ilvl w:val="0"/>
          <w:numId w:val="7"/>
        </w:numPr>
        <w:shd w:val="clear" w:color="auto" w:fill="FFFFFF"/>
        <w:spacing w:before="0" w:beforeAutospacing="0" w:after="0" w:afterAutospacing="0"/>
        <w:ind w:left="135" w:firstLine="0"/>
        <w:textAlignment w:val="baseline"/>
        <w:rPr>
          <w:b/>
          <w:bCs/>
          <w:sz w:val="21"/>
          <w:szCs w:val="21"/>
        </w:rPr>
      </w:pPr>
      <w:r w:rsidRPr="00692612">
        <w:rPr>
          <w:rStyle w:val="normaltextrun"/>
          <w:rFonts w:ascii="Calibri" w:hAnsi="Calibri" w:cs="Calibri"/>
          <w:b/>
          <w:bCs/>
          <w:color w:val="1C75BC"/>
          <w:sz w:val="21"/>
          <w:szCs w:val="21"/>
          <w:lang w:val="en-GB"/>
        </w:rPr>
        <w:t>At country level</w:t>
      </w:r>
      <w:r w:rsidRPr="00692612">
        <w:rPr>
          <w:rStyle w:val="eop"/>
          <w:rFonts w:ascii="Calibri" w:hAnsi="Calibri" w:cs="Calibri"/>
          <w:b/>
          <w:bCs/>
          <w:color w:val="1C75BC"/>
          <w:sz w:val="21"/>
          <w:szCs w:val="21"/>
        </w:rPr>
        <w:t> </w:t>
      </w:r>
    </w:p>
    <w:p w14:paraId="3328CFED" w14:textId="77777777" w:rsidR="00C11BBD" w:rsidRDefault="00C11BBD" w:rsidP="00C11BB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3FBD9116" w14:textId="77777777" w:rsidR="00C11BBD" w:rsidRDefault="00C11BBD" w:rsidP="00C11BB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Due to high quality of reporting, no estimates are produced for missing data.</w:t>
      </w:r>
      <w:r>
        <w:rPr>
          <w:rStyle w:val="eop"/>
          <w:rFonts w:ascii="Calibri" w:hAnsi="Calibri" w:cs="Calibri"/>
          <w:color w:val="4A4A4A"/>
          <w:sz w:val="21"/>
          <w:szCs w:val="21"/>
        </w:rPr>
        <w:t> </w:t>
      </w:r>
    </w:p>
    <w:p w14:paraId="6673D899" w14:textId="77777777" w:rsidR="00C11BBD" w:rsidRDefault="00C11BBD" w:rsidP="00C11BB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05495D19" w14:textId="77777777" w:rsidR="00C11BBD" w:rsidRPr="00692612" w:rsidRDefault="00C11BBD" w:rsidP="00C11BBD">
      <w:pPr>
        <w:pStyle w:val="paragraph"/>
        <w:numPr>
          <w:ilvl w:val="0"/>
          <w:numId w:val="8"/>
        </w:numPr>
        <w:shd w:val="clear" w:color="auto" w:fill="FFFFFF"/>
        <w:spacing w:before="0" w:beforeAutospacing="0" w:after="0" w:afterAutospacing="0"/>
        <w:ind w:left="135" w:firstLine="0"/>
        <w:textAlignment w:val="baseline"/>
        <w:rPr>
          <w:b/>
          <w:bCs/>
          <w:sz w:val="21"/>
          <w:szCs w:val="21"/>
        </w:rPr>
      </w:pPr>
      <w:r w:rsidRPr="00692612">
        <w:rPr>
          <w:rStyle w:val="normaltextrun"/>
          <w:rFonts w:ascii="Calibri" w:hAnsi="Calibri" w:cs="Calibri"/>
          <w:b/>
          <w:bCs/>
          <w:color w:val="1C75BC"/>
          <w:sz w:val="21"/>
          <w:szCs w:val="21"/>
          <w:lang w:val="en-GB"/>
        </w:rPr>
        <w:t>At regional and global levels</w:t>
      </w:r>
      <w:r w:rsidRPr="00692612">
        <w:rPr>
          <w:rStyle w:val="eop"/>
          <w:rFonts w:ascii="Calibri" w:hAnsi="Calibri" w:cs="Calibri"/>
          <w:b/>
          <w:bCs/>
          <w:color w:val="1C75BC"/>
          <w:sz w:val="21"/>
          <w:szCs w:val="21"/>
        </w:rPr>
        <w:t> </w:t>
      </w:r>
    </w:p>
    <w:p w14:paraId="6A8530B1" w14:textId="77777777" w:rsidR="00C11BBD" w:rsidRDefault="00C11BBD" w:rsidP="00C11BB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12A9E160" w14:textId="77777777" w:rsidR="00C11BBD" w:rsidRDefault="00C11BBD" w:rsidP="00C11BBD">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Not applicable.</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3A326B9F" w:rsidR="00EC2915" w:rsidRDefault="00C11BBD" w:rsidP="00576CFA">
      <w:pPr>
        <w:pStyle w:val="MText"/>
        <w:rPr>
          <w:rStyle w:val="eop"/>
          <w:rFonts w:ascii="Calibri" w:hAnsi="Calibri" w:cs="Calibri"/>
        </w:rPr>
      </w:pPr>
      <w:r>
        <w:rPr>
          <w:rStyle w:val="normaltextrun"/>
          <w:rFonts w:ascii="Calibri" w:hAnsi="Calibri" w:cs="Calibri"/>
        </w:rPr>
        <w:t>Global and regional figures are based on the sum of ODA flows to medical research and basic health.</w:t>
      </w:r>
      <w:r>
        <w:rPr>
          <w:rStyle w:val="eop"/>
          <w:rFonts w:ascii="Calibri" w:hAnsi="Calibri" w:cs="Calibri"/>
        </w:rPr>
        <w:t> </w:t>
      </w:r>
    </w:p>
    <w:p w14:paraId="3B578C00" w14:textId="77777777" w:rsidR="00C11BBD" w:rsidRPr="00A96255" w:rsidRDefault="00C11BBD"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144665C1" w:rsidR="00576CFA" w:rsidRPr="00A96255" w:rsidRDefault="00576CFA"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00BF6656" w:rsidR="00576CFA" w:rsidRPr="00692612" w:rsidRDefault="00D51E7C" w:rsidP="00576CFA">
      <w:pPr>
        <w:pStyle w:val="MText"/>
        <w:rPr>
          <w:b/>
          <w:bCs/>
        </w:rPr>
      </w:pPr>
      <w:r w:rsidRPr="00692612">
        <w:rPr>
          <w:b/>
          <w:bCs/>
        </w:rPr>
        <w:t>Data availability:</w:t>
      </w:r>
    </w:p>
    <w:p w14:paraId="7F4102C4"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On a recipient basis for all developing countries eligible for ODA.</w:t>
      </w:r>
      <w:r>
        <w:rPr>
          <w:rStyle w:val="eop"/>
          <w:rFonts w:ascii="Calibri" w:hAnsi="Calibri" w:cs="Calibri"/>
          <w:color w:val="4A4A4A"/>
          <w:sz w:val="21"/>
          <w:szCs w:val="21"/>
        </w:rPr>
        <w:t> </w:t>
      </w:r>
    </w:p>
    <w:p w14:paraId="2D0542F7" w14:textId="241B6C21" w:rsidR="00D51E7C" w:rsidRPr="00C019E5" w:rsidRDefault="00D51E7C" w:rsidP="00576CFA">
      <w:pPr>
        <w:pStyle w:val="MText"/>
        <w:rPr>
          <w:highlight w:val="cyan"/>
        </w:rPr>
      </w:pPr>
    </w:p>
    <w:p w14:paraId="5853D6F7" w14:textId="40845861" w:rsidR="00D51E7C" w:rsidRPr="00692612" w:rsidRDefault="00D51E7C" w:rsidP="00576CFA">
      <w:pPr>
        <w:pStyle w:val="MText"/>
        <w:rPr>
          <w:b/>
          <w:bCs/>
        </w:rPr>
      </w:pPr>
      <w:r w:rsidRPr="00692612">
        <w:rPr>
          <w:b/>
          <w:bCs/>
        </w:rPr>
        <w:t>Time series:</w:t>
      </w:r>
    </w:p>
    <w:p w14:paraId="303F4C78" w14:textId="5C98CF14" w:rsidR="00C11BBD" w:rsidRPr="00C019E5" w:rsidRDefault="00C11BBD" w:rsidP="00576CFA">
      <w:pPr>
        <w:pStyle w:val="MText"/>
        <w:rPr>
          <w:highlight w:val="cyan"/>
        </w:rPr>
      </w:pPr>
      <w:r>
        <w:rPr>
          <w:rStyle w:val="normaltextrun"/>
          <w:rFonts w:ascii="Calibri" w:hAnsi="Calibri" w:cs="Calibri"/>
        </w:rPr>
        <w:t>Data available since 1973 on an annual (calendar) basis</w:t>
      </w:r>
      <w:r>
        <w:rPr>
          <w:rStyle w:val="eop"/>
          <w:rFonts w:ascii="Calibri" w:hAnsi="Calibri" w:cs="Calibri"/>
        </w:rPr>
        <w:t> </w:t>
      </w:r>
    </w:p>
    <w:p w14:paraId="760C013A" w14:textId="4597FCBD" w:rsidR="00D51E7C" w:rsidRPr="00C019E5" w:rsidRDefault="00D51E7C" w:rsidP="00576CFA">
      <w:pPr>
        <w:pStyle w:val="MText"/>
        <w:rPr>
          <w:highlight w:val="cyan"/>
        </w:rPr>
      </w:pPr>
    </w:p>
    <w:p w14:paraId="72C7C370" w14:textId="6C8935C1" w:rsidR="00D51E7C" w:rsidRPr="00692612" w:rsidRDefault="00D51E7C" w:rsidP="00576CFA">
      <w:pPr>
        <w:pStyle w:val="MText"/>
        <w:rPr>
          <w:b/>
          <w:bCs/>
        </w:rPr>
      </w:pPr>
      <w:r w:rsidRPr="00692612">
        <w:rPr>
          <w:b/>
          <w:bCs/>
        </w:rPr>
        <w:t>Disaggregation:</w:t>
      </w:r>
    </w:p>
    <w:p w14:paraId="66E023B9" w14:textId="0792FEB7" w:rsidR="00C11BBD" w:rsidRDefault="00C11BBD" w:rsidP="00576CFA">
      <w:pPr>
        <w:pStyle w:val="MText"/>
      </w:pPr>
      <w:r>
        <w:rPr>
          <w:rStyle w:val="normaltextrun"/>
          <w:rFonts w:ascii="Calibri" w:hAnsi="Calibri" w:cs="Calibri"/>
        </w:rPr>
        <w:t>This indicator can be disaggregated by donor, recipient country, type of finance, type of aid, health sub-sector, etc.</w:t>
      </w:r>
      <w:r>
        <w:rPr>
          <w:rStyle w:val="eop"/>
          <w:rFonts w:ascii="Calibri" w:hAnsi="Calibri" w:cs="Calibri"/>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7995378" w14:textId="464F01AF" w:rsidR="00C11BBD" w:rsidRPr="00692612" w:rsidRDefault="00D51E7C" w:rsidP="00762729">
      <w:pPr>
        <w:pStyle w:val="MText"/>
        <w:rPr>
          <w:b/>
          <w:bCs/>
        </w:rPr>
      </w:pPr>
      <w:r w:rsidRPr="00692612">
        <w:rPr>
          <w:b/>
          <w:bCs/>
        </w:rPr>
        <w:t>Sources of discrepancies:</w:t>
      </w:r>
    </w:p>
    <w:p w14:paraId="3C2D4870" w14:textId="42CC0F4A" w:rsidR="00D51E7C" w:rsidRDefault="00C11BBD" w:rsidP="00576CFA">
      <w:pPr>
        <w:pStyle w:val="MText"/>
      </w:pPr>
      <w:r>
        <w:rPr>
          <w:rStyle w:val="normaltextrun"/>
          <w:rFonts w:ascii="Calibri" w:hAnsi="Calibri" w:cs="Calibri"/>
        </w:rPr>
        <w:t>DAC statistics are standardized on a calendar year basis for all donors and may differ from fiscal year data available in budget documents for some countries.</w:t>
      </w:r>
      <w:r>
        <w:rPr>
          <w:rStyle w:val="eop"/>
          <w:rFonts w:ascii="Calibri" w:hAnsi="Calibri" w:cs="Calibri"/>
        </w:rPr>
        <w:t>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F9FFFDC"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78277116"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C2A54DA" w14:textId="77777777" w:rsidR="00C11BBD" w:rsidRDefault="00EE3987" w:rsidP="00C11BBD">
      <w:pPr>
        <w:pStyle w:val="paragraph"/>
        <w:shd w:val="clear" w:color="auto" w:fill="FFFFFF"/>
        <w:spacing w:before="0" w:beforeAutospacing="0" w:after="0" w:afterAutospacing="0"/>
        <w:textAlignment w:val="baseline"/>
        <w:rPr>
          <w:rFonts w:ascii="Segoe UI" w:hAnsi="Segoe UI" w:cs="Segoe UI"/>
          <w:sz w:val="18"/>
          <w:szCs w:val="18"/>
        </w:rPr>
      </w:pPr>
      <w:hyperlink r:id="rId13" w:tgtFrame="_blank" w:history="1">
        <w:r w:rsidR="00C11BBD">
          <w:rPr>
            <w:rStyle w:val="normaltextrun"/>
            <w:rFonts w:ascii="Calibri" w:hAnsi="Calibri" w:cs="Calibri"/>
            <w:color w:val="0000FF"/>
            <w:sz w:val="21"/>
            <w:szCs w:val="21"/>
            <w:u w:val="single"/>
            <w:lang w:val="en-GB"/>
          </w:rPr>
          <w:t>www.oecd.org/dac/stats</w:t>
        </w:r>
      </w:hyperlink>
      <w:r w:rsidR="00C11BBD">
        <w:rPr>
          <w:rStyle w:val="eop"/>
          <w:color w:val="4A4A4A"/>
          <w:sz w:val="21"/>
          <w:szCs w:val="21"/>
        </w:rPr>
        <w:t> </w:t>
      </w:r>
    </w:p>
    <w:p w14:paraId="1F05EC6A"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14B6158"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03E247B6"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AE5C352" w14:textId="77777777" w:rsidR="00C11BBD" w:rsidRDefault="00C11BBD" w:rsidP="00C11BB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See all links here: </w:t>
      </w:r>
      <w:hyperlink r:id="rId14" w:tgtFrame="_blank" w:history="1">
        <w:r>
          <w:rPr>
            <w:rStyle w:val="normaltextrun"/>
            <w:rFonts w:ascii="Calibri" w:hAnsi="Calibri" w:cs="Calibri"/>
            <w:color w:val="0000FF"/>
            <w:sz w:val="21"/>
            <w:szCs w:val="21"/>
            <w:u w:val="single"/>
            <w:lang w:val="en-GB"/>
          </w:rPr>
          <w:t>http://www.oecd.org/dac/stats/methodology.htm</w:t>
        </w:r>
      </w:hyperlink>
      <w:r>
        <w:rPr>
          <w:rStyle w:val="eop"/>
          <w:color w:val="4A4A4A"/>
          <w:sz w:val="21"/>
          <w:szCs w:val="21"/>
        </w:rPr>
        <w:t> </w:t>
      </w:r>
    </w:p>
    <w:p w14:paraId="384B0992" w14:textId="36889691" w:rsidR="00186795" w:rsidRDefault="00186795"/>
    <w:sectPr w:rsidR="00186795">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F38A" w14:textId="77777777" w:rsidR="00C84409" w:rsidRDefault="00C84409" w:rsidP="00573C0B">
      <w:pPr>
        <w:spacing w:after="0" w:line="240" w:lineRule="auto"/>
      </w:pPr>
      <w:r>
        <w:separator/>
      </w:r>
    </w:p>
  </w:endnote>
  <w:endnote w:type="continuationSeparator" w:id="0">
    <w:p w14:paraId="72F15672" w14:textId="77777777" w:rsidR="00C84409" w:rsidRDefault="00C84409" w:rsidP="00573C0B">
      <w:pPr>
        <w:spacing w:after="0" w:line="240" w:lineRule="auto"/>
      </w:pPr>
      <w:r>
        <w:continuationSeparator/>
      </w:r>
    </w:p>
  </w:endnote>
  <w:endnote w:type="continuationNotice" w:id="1">
    <w:p w14:paraId="7FD1E13F" w14:textId="77777777" w:rsidR="00C84409" w:rsidRDefault="00C844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F14043C" w14:paraId="5FB1C0B0" w14:textId="77777777" w:rsidTr="7F14043C">
      <w:tc>
        <w:tcPr>
          <w:tcW w:w="3005" w:type="dxa"/>
        </w:tcPr>
        <w:p w14:paraId="795F95B1" w14:textId="7A1902B9" w:rsidR="7F14043C" w:rsidRDefault="7F14043C" w:rsidP="7F14043C">
          <w:pPr>
            <w:pStyle w:val="Header"/>
            <w:ind w:left="-115"/>
          </w:pPr>
        </w:p>
      </w:tc>
      <w:tc>
        <w:tcPr>
          <w:tcW w:w="3005" w:type="dxa"/>
        </w:tcPr>
        <w:p w14:paraId="5E5EEEA0" w14:textId="6C06888C" w:rsidR="7F14043C" w:rsidRDefault="7F14043C" w:rsidP="7F14043C">
          <w:pPr>
            <w:pStyle w:val="Header"/>
            <w:jc w:val="center"/>
          </w:pPr>
        </w:p>
      </w:tc>
      <w:tc>
        <w:tcPr>
          <w:tcW w:w="3005" w:type="dxa"/>
        </w:tcPr>
        <w:p w14:paraId="07008065" w14:textId="74E38A55" w:rsidR="7F14043C" w:rsidRDefault="7F14043C" w:rsidP="7F14043C">
          <w:pPr>
            <w:pStyle w:val="Header"/>
            <w:ind w:right="-115"/>
            <w:jc w:val="right"/>
          </w:pPr>
        </w:p>
      </w:tc>
    </w:tr>
  </w:tbl>
  <w:p w14:paraId="1D908AB6" w14:textId="05247757" w:rsidR="7F14043C" w:rsidRDefault="7F14043C" w:rsidP="7F140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3202" w14:textId="77777777" w:rsidR="00C84409" w:rsidRDefault="00C84409" w:rsidP="00573C0B">
      <w:pPr>
        <w:spacing w:after="0" w:line="240" w:lineRule="auto"/>
      </w:pPr>
      <w:r>
        <w:separator/>
      </w:r>
    </w:p>
  </w:footnote>
  <w:footnote w:type="continuationSeparator" w:id="0">
    <w:p w14:paraId="23B8DC8D" w14:textId="77777777" w:rsidR="00C84409" w:rsidRDefault="00C84409" w:rsidP="00573C0B">
      <w:pPr>
        <w:spacing w:after="0" w:line="240" w:lineRule="auto"/>
      </w:pPr>
      <w:r>
        <w:continuationSeparator/>
      </w:r>
    </w:p>
  </w:footnote>
  <w:footnote w:type="continuationNotice" w:id="1">
    <w:p w14:paraId="2AB613F2" w14:textId="77777777" w:rsidR="00C84409" w:rsidRDefault="00C844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A16888C" w:rsidR="00077F46" w:rsidRPr="00757E8A" w:rsidRDefault="7F14043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7F14043C">
      <w:rPr>
        <w:color w:val="404040" w:themeColor="text1" w:themeTint="BF"/>
        <w:sz w:val="18"/>
        <w:szCs w:val="18"/>
      </w:rPr>
      <w:t>Last updated:</w:t>
    </w:r>
    <w:bookmarkEnd w:id="5"/>
    <w:bookmarkEnd w:id="6"/>
    <w:bookmarkEnd w:id="7"/>
    <w:bookmarkEnd w:id="8"/>
    <w:bookmarkEnd w:id="9"/>
    <w:bookmarkEnd w:id="10"/>
    <w:r w:rsidRPr="7F14043C">
      <w:rPr>
        <w:color w:val="404040" w:themeColor="text1" w:themeTint="BF"/>
        <w:sz w:val="18"/>
        <w:szCs w:val="18"/>
      </w:rPr>
      <w:t xml:space="preserve"> 2017-07-09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A3"/>
    <w:multiLevelType w:val="multilevel"/>
    <w:tmpl w:val="520E602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D1408"/>
    <w:multiLevelType w:val="multilevel"/>
    <w:tmpl w:val="434C43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161EB0"/>
    <w:multiLevelType w:val="multilevel"/>
    <w:tmpl w:val="DDFE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237E50"/>
    <w:multiLevelType w:val="multilevel"/>
    <w:tmpl w:val="194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681A"/>
    <w:rsid w:val="000F703E"/>
    <w:rsid w:val="00106A6A"/>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E6E4D"/>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63B63"/>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92612"/>
    <w:rsid w:val="006B40AB"/>
    <w:rsid w:val="006B5DC5"/>
    <w:rsid w:val="006C4BFD"/>
    <w:rsid w:val="006C7D30"/>
    <w:rsid w:val="006E3C08"/>
    <w:rsid w:val="00700ACF"/>
    <w:rsid w:val="007100A2"/>
    <w:rsid w:val="00712487"/>
    <w:rsid w:val="007530CA"/>
    <w:rsid w:val="00756D68"/>
    <w:rsid w:val="007578D9"/>
    <w:rsid w:val="00757E8A"/>
    <w:rsid w:val="00762729"/>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1657B"/>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70FA3"/>
    <w:rsid w:val="00B8087E"/>
    <w:rsid w:val="00BB646E"/>
    <w:rsid w:val="00BD1BA1"/>
    <w:rsid w:val="00C019E5"/>
    <w:rsid w:val="00C11BBD"/>
    <w:rsid w:val="00C35BC4"/>
    <w:rsid w:val="00C43F5B"/>
    <w:rsid w:val="00C84409"/>
    <w:rsid w:val="00CB4371"/>
    <w:rsid w:val="00CC516D"/>
    <w:rsid w:val="00D24330"/>
    <w:rsid w:val="00D40056"/>
    <w:rsid w:val="00D51E7C"/>
    <w:rsid w:val="00D54F29"/>
    <w:rsid w:val="00D7020C"/>
    <w:rsid w:val="00D70AD9"/>
    <w:rsid w:val="00D72152"/>
    <w:rsid w:val="00D94BA5"/>
    <w:rsid w:val="00D9510F"/>
    <w:rsid w:val="00DA615C"/>
    <w:rsid w:val="00DC5B8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C62DC0C"/>
    <w:rsid w:val="28FAC56F"/>
    <w:rsid w:val="40E613D1"/>
    <w:rsid w:val="43DDE8AD"/>
    <w:rsid w:val="64337103"/>
    <w:rsid w:val="760BAF22"/>
    <w:rsid w:val="7F14043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C11BBD"/>
  </w:style>
  <w:style w:type="character" w:customStyle="1" w:styleId="eop">
    <w:name w:val="eop"/>
    <w:basedOn w:val="DefaultParagraphFont"/>
    <w:rsid w:val="00C11BBD"/>
  </w:style>
  <w:style w:type="paragraph" w:customStyle="1" w:styleId="paragraph">
    <w:name w:val="paragraph"/>
    <w:basedOn w:val="Normal"/>
    <w:rsid w:val="00C11BB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7196">
      <w:bodyDiv w:val="1"/>
      <w:marLeft w:val="0"/>
      <w:marRight w:val="0"/>
      <w:marTop w:val="0"/>
      <w:marBottom w:val="0"/>
      <w:divBdr>
        <w:top w:val="none" w:sz="0" w:space="0" w:color="auto"/>
        <w:left w:val="none" w:sz="0" w:space="0" w:color="auto"/>
        <w:bottom w:val="none" w:sz="0" w:space="0" w:color="auto"/>
        <w:right w:val="none" w:sz="0" w:space="0" w:color="auto"/>
      </w:divBdr>
      <w:divsChild>
        <w:div w:id="259339622">
          <w:marLeft w:val="0"/>
          <w:marRight w:val="0"/>
          <w:marTop w:val="0"/>
          <w:marBottom w:val="0"/>
          <w:divBdr>
            <w:top w:val="none" w:sz="0" w:space="0" w:color="auto"/>
            <w:left w:val="none" w:sz="0" w:space="0" w:color="auto"/>
            <w:bottom w:val="none" w:sz="0" w:space="0" w:color="auto"/>
            <w:right w:val="none" w:sz="0" w:space="0" w:color="auto"/>
          </w:divBdr>
        </w:div>
        <w:div w:id="312296324">
          <w:marLeft w:val="0"/>
          <w:marRight w:val="0"/>
          <w:marTop w:val="0"/>
          <w:marBottom w:val="0"/>
          <w:divBdr>
            <w:top w:val="none" w:sz="0" w:space="0" w:color="auto"/>
            <w:left w:val="none" w:sz="0" w:space="0" w:color="auto"/>
            <w:bottom w:val="none" w:sz="0" w:space="0" w:color="auto"/>
            <w:right w:val="none" w:sz="0" w:space="0" w:color="auto"/>
          </w:divBdr>
        </w:div>
        <w:div w:id="1082875026">
          <w:marLeft w:val="0"/>
          <w:marRight w:val="0"/>
          <w:marTop w:val="0"/>
          <w:marBottom w:val="0"/>
          <w:divBdr>
            <w:top w:val="none" w:sz="0" w:space="0" w:color="auto"/>
            <w:left w:val="none" w:sz="0" w:space="0" w:color="auto"/>
            <w:bottom w:val="none" w:sz="0" w:space="0" w:color="auto"/>
            <w:right w:val="none" w:sz="0" w:space="0" w:color="auto"/>
          </w:divBdr>
        </w:div>
        <w:div w:id="1598947502">
          <w:marLeft w:val="0"/>
          <w:marRight w:val="0"/>
          <w:marTop w:val="0"/>
          <w:marBottom w:val="0"/>
          <w:divBdr>
            <w:top w:val="none" w:sz="0" w:space="0" w:color="auto"/>
            <w:left w:val="none" w:sz="0" w:space="0" w:color="auto"/>
            <w:bottom w:val="none" w:sz="0" w:space="0" w:color="auto"/>
            <w:right w:val="none" w:sz="0" w:space="0" w:color="auto"/>
          </w:divBdr>
        </w:div>
        <w:div w:id="366638707">
          <w:marLeft w:val="0"/>
          <w:marRight w:val="0"/>
          <w:marTop w:val="0"/>
          <w:marBottom w:val="0"/>
          <w:divBdr>
            <w:top w:val="none" w:sz="0" w:space="0" w:color="auto"/>
            <w:left w:val="none" w:sz="0" w:space="0" w:color="auto"/>
            <w:bottom w:val="none" w:sz="0" w:space="0" w:color="auto"/>
            <w:right w:val="none" w:sz="0" w:space="0" w:color="auto"/>
          </w:divBdr>
        </w:div>
        <w:div w:id="1319731143">
          <w:marLeft w:val="0"/>
          <w:marRight w:val="0"/>
          <w:marTop w:val="0"/>
          <w:marBottom w:val="0"/>
          <w:divBdr>
            <w:top w:val="none" w:sz="0" w:space="0" w:color="auto"/>
            <w:left w:val="none" w:sz="0" w:space="0" w:color="auto"/>
            <w:bottom w:val="none" w:sz="0" w:space="0" w:color="auto"/>
            <w:right w:val="none" w:sz="0" w:space="0" w:color="auto"/>
          </w:divBdr>
        </w:div>
        <w:div w:id="273825106">
          <w:marLeft w:val="0"/>
          <w:marRight w:val="0"/>
          <w:marTop w:val="0"/>
          <w:marBottom w:val="0"/>
          <w:divBdr>
            <w:top w:val="none" w:sz="0" w:space="0" w:color="auto"/>
            <w:left w:val="none" w:sz="0" w:space="0" w:color="auto"/>
            <w:bottom w:val="none" w:sz="0" w:space="0" w:color="auto"/>
            <w:right w:val="none" w:sz="0" w:space="0" w:color="auto"/>
          </w:divBdr>
        </w:div>
      </w:divsChild>
    </w:div>
    <w:div w:id="307710262">
      <w:bodyDiv w:val="1"/>
      <w:marLeft w:val="0"/>
      <w:marRight w:val="0"/>
      <w:marTop w:val="0"/>
      <w:marBottom w:val="0"/>
      <w:divBdr>
        <w:top w:val="none" w:sz="0" w:space="0" w:color="auto"/>
        <w:left w:val="none" w:sz="0" w:space="0" w:color="auto"/>
        <w:bottom w:val="none" w:sz="0" w:space="0" w:color="auto"/>
        <w:right w:val="none" w:sz="0" w:space="0" w:color="auto"/>
      </w:divBdr>
      <w:divsChild>
        <w:div w:id="1747724182">
          <w:marLeft w:val="0"/>
          <w:marRight w:val="0"/>
          <w:marTop w:val="0"/>
          <w:marBottom w:val="0"/>
          <w:divBdr>
            <w:top w:val="none" w:sz="0" w:space="0" w:color="auto"/>
            <w:left w:val="none" w:sz="0" w:space="0" w:color="auto"/>
            <w:bottom w:val="none" w:sz="0" w:space="0" w:color="auto"/>
            <w:right w:val="none" w:sz="0" w:space="0" w:color="auto"/>
          </w:divBdr>
          <w:divsChild>
            <w:div w:id="983659644">
              <w:marLeft w:val="0"/>
              <w:marRight w:val="0"/>
              <w:marTop w:val="0"/>
              <w:marBottom w:val="0"/>
              <w:divBdr>
                <w:top w:val="none" w:sz="0" w:space="0" w:color="auto"/>
                <w:left w:val="none" w:sz="0" w:space="0" w:color="auto"/>
                <w:bottom w:val="none" w:sz="0" w:space="0" w:color="auto"/>
                <w:right w:val="none" w:sz="0" w:space="0" w:color="auto"/>
              </w:divBdr>
            </w:div>
          </w:divsChild>
        </w:div>
        <w:div w:id="1971013798">
          <w:marLeft w:val="0"/>
          <w:marRight w:val="0"/>
          <w:marTop w:val="0"/>
          <w:marBottom w:val="0"/>
          <w:divBdr>
            <w:top w:val="none" w:sz="0" w:space="0" w:color="auto"/>
            <w:left w:val="none" w:sz="0" w:space="0" w:color="auto"/>
            <w:bottom w:val="none" w:sz="0" w:space="0" w:color="auto"/>
            <w:right w:val="none" w:sz="0" w:space="0" w:color="auto"/>
          </w:divBdr>
          <w:divsChild>
            <w:div w:id="741025657">
              <w:marLeft w:val="0"/>
              <w:marRight w:val="0"/>
              <w:marTop w:val="0"/>
              <w:marBottom w:val="0"/>
              <w:divBdr>
                <w:top w:val="none" w:sz="0" w:space="0" w:color="auto"/>
                <w:left w:val="none" w:sz="0" w:space="0" w:color="auto"/>
                <w:bottom w:val="none" w:sz="0" w:space="0" w:color="auto"/>
                <w:right w:val="none" w:sz="0" w:space="0" w:color="auto"/>
              </w:divBdr>
            </w:div>
            <w:div w:id="1676495082">
              <w:marLeft w:val="0"/>
              <w:marRight w:val="0"/>
              <w:marTop w:val="0"/>
              <w:marBottom w:val="0"/>
              <w:divBdr>
                <w:top w:val="none" w:sz="0" w:space="0" w:color="auto"/>
                <w:left w:val="none" w:sz="0" w:space="0" w:color="auto"/>
                <w:bottom w:val="none" w:sz="0" w:space="0" w:color="auto"/>
                <w:right w:val="none" w:sz="0" w:space="0" w:color="auto"/>
              </w:divBdr>
            </w:div>
            <w:div w:id="1165050086">
              <w:marLeft w:val="0"/>
              <w:marRight w:val="0"/>
              <w:marTop w:val="0"/>
              <w:marBottom w:val="0"/>
              <w:divBdr>
                <w:top w:val="none" w:sz="0" w:space="0" w:color="auto"/>
                <w:left w:val="none" w:sz="0" w:space="0" w:color="auto"/>
                <w:bottom w:val="none" w:sz="0" w:space="0" w:color="auto"/>
                <w:right w:val="none" w:sz="0" w:space="0" w:color="auto"/>
              </w:divBdr>
            </w:div>
            <w:div w:id="1483040926">
              <w:marLeft w:val="0"/>
              <w:marRight w:val="0"/>
              <w:marTop w:val="0"/>
              <w:marBottom w:val="0"/>
              <w:divBdr>
                <w:top w:val="none" w:sz="0" w:space="0" w:color="auto"/>
                <w:left w:val="none" w:sz="0" w:space="0" w:color="auto"/>
                <w:bottom w:val="none" w:sz="0" w:space="0" w:color="auto"/>
                <w:right w:val="none" w:sz="0" w:space="0" w:color="auto"/>
              </w:divBdr>
            </w:div>
            <w:div w:id="481235422">
              <w:marLeft w:val="0"/>
              <w:marRight w:val="0"/>
              <w:marTop w:val="0"/>
              <w:marBottom w:val="0"/>
              <w:divBdr>
                <w:top w:val="none" w:sz="0" w:space="0" w:color="auto"/>
                <w:left w:val="none" w:sz="0" w:space="0" w:color="auto"/>
                <w:bottom w:val="none" w:sz="0" w:space="0" w:color="auto"/>
                <w:right w:val="none" w:sz="0" w:space="0" w:color="auto"/>
              </w:divBdr>
            </w:div>
          </w:divsChild>
        </w:div>
        <w:div w:id="765921554">
          <w:marLeft w:val="0"/>
          <w:marRight w:val="0"/>
          <w:marTop w:val="0"/>
          <w:marBottom w:val="0"/>
          <w:divBdr>
            <w:top w:val="none" w:sz="0" w:space="0" w:color="auto"/>
            <w:left w:val="none" w:sz="0" w:space="0" w:color="auto"/>
            <w:bottom w:val="none" w:sz="0" w:space="0" w:color="auto"/>
            <w:right w:val="none" w:sz="0" w:space="0" w:color="auto"/>
          </w:divBdr>
        </w:div>
      </w:divsChild>
    </w:div>
    <w:div w:id="353194305">
      <w:bodyDiv w:val="1"/>
      <w:marLeft w:val="0"/>
      <w:marRight w:val="0"/>
      <w:marTop w:val="0"/>
      <w:marBottom w:val="0"/>
      <w:divBdr>
        <w:top w:val="none" w:sz="0" w:space="0" w:color="auto"/>
        <w:left w:val="none" w:sz="0" w:space="0" w:color="auto"/>
        <w:bottom w:val="none" w:sz="0" w:space="0" w:color="auto"/>
        <w:right w:val="none" w:sz="0" w:space="0" w:color="auto"/>
      </w:divBdr>
      <w:divsChild>
        <w:div w:id="807088787">
          <w:marLeft w:val="0"/>
          <w:marRight w:val="0"/>
          <w:marTop w:val="0"/>
          <w:marBottom w:val="0"/>
          <w:divBdr>
            <w:top w:val="none" w:sz="0" w:space="0" w:color="auto"/>
            <w:left w:val="none" w:sz="0" w:space="0" w:color="auto"/>
            <w:bottom w:val="none" w:sz="0" w:space="0" w:color="auto"/>
            <w:right w:val="none" w:sz="0" w:space="0" w:color="auto"/>
          </w:divBdr>
        </w:div>
        <w:div w:id="1052653694">
          <w:marLeft w:val="0"/>
          <w:marRight w:val="0"/>
          <w:marTop w:val="0"/>
          <w:marBottom w:val="0"/>
          <w:divBdr>
            <w:top w:val="none" w:sz="0" w:space="0" w:color="auto"/>
            <w:left w:val="none" w:sz="0" w:space="0" w:color="auto"/>
            <w:bottom w:val="none" w:sz="0" w:space="0" w:color="auto"/>
            <w:right w:val="none" w:sz="0" w:space="0" w:color="auto"/>
          </w:divBdr>
        </w:div>
        <w:div w:id="1173957312">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7676394">
      <w:bodyDiv w:val="1"/>
      <w:marLeft w:val="0"/>
      <w:marRight w:val="0"/>
      <w:marTop w:val="0"/>
      <w:marBottom w:val="0"/>
      <w:divBdr>
        <w:top w:val="none" w:sz="0" w:space="0" w:color="auto"/>
        <w:left w:val="none" w:sz="0" w:space="0" w:color="auto"/>
        <w:bottom w:val="none" w:sz="0" w:space="0" w:color="auto"/>
        <w:right w:val="none" w:sz="0" w:space="0" w:color="auto"/>
      </w:divBdr>
      <w:divsChild>
        <w:div w:id="1091704369">
          <w:marLeft w:val="0"/>
          <w:marRight w:val="0"/>
          <w:marTop w:val="0"/>
          <w:marBottom w:val="0"/>
          <w:divBdr>
            <w:top w:val="none" w:sz="0" w:space="0" w:color="auto"/>
            <w:left w:val="none" w:sz="0" w:space="0" w:color="auto"/>
            <w:bottom w:val="none" w:sz="0" w:space="0" w:color="auto"/>
            <w:right w:val="none" w:sz="0" w:space="0" w:color="auto"/>
          </w:divBdr>
        </w:div>
        <w:div w:id="1704086576">
          <w:marLeft w:val="0"/>
          <w:marRight w:val="0"/>
          <w:marTop w:val="0"/>
          <w:marBottom w:val="0"/>
          <w:divBdr>
            <w:top w:val="none" w:sz="0" w:space="0" w:color="auto"/>
            <w:left w:val="none" w:sz="0" w:space="0" w:color="auto"/>
            <w:bottom w:val="none" w:sz="0" w:space="0" w:color="auto"/>
            <w:right w:val="none" w:sz="0" w:space="0" w:color="auto"/>
          </w:divBdr>
        </w:div>
        <w:div w:id="1600602658">
          <w:marLeft w:val="0"/>
          <w:marRight w:val="0"/>
          <w:marTop w:val="0"/>
          <w:marBottom w:val="0"/>
          <w:divBdr>
            <w:top w:val="none" w:sz="0" w:space="0" w:color="auto"/>
            <w:left w:val="none" w:sz="0" w:space="0" w:color="auto"/>
            <w:bottom w:val="none" w:sz="0" w:space="0" w:color="auto"/>
            <w:right w:val="none" w:sz="0" w:space="0" w:color="auto"/>
          </w:divBdr>
        </w:div>
        <w:div w:id="461575964">
          <w:marLeft w:val="0"/>
          <w:marRight w:val="0"/>
          <w:marTop w:val="0"/>
          <w:marBottom w:val="0"/>
          <w:divBdr>
            <w:top w:val="none" w:sz="0" w:space="0" w:color="auto"/>
            <w:left w:val="none" w:sz="0" w:space="0" w:color="auto"/>
            <w:bottom w:val="none" w:sz="0" w:space="0" w:color="auto"/>
            <w:right w:val="none" w:sz="0" w:space="0" w:color="auto"/>
          </w:divBdr>
        </w:div>
        <w:div w:id="372654093">
          <w:marLeft w:val="0"/>
          <w:marRight w:val="0"/>
          <w:marTop w:val="0"/>
          <w:marBottom w:val="0"/>
          <w:divBdr>
            <w:top w:val="none" w:sz="0" w:space="0" w:color="auto"/>
            <w:left w:val="none" w:sz="0" w:space="0" w:color="auto"/>
            <w:bottom w:val="none" w:sz="0" w:space="0" w:color="auto"/>
            <w:right w:val="none" w:sz="0" w:space="0" w:color="auto"/>
          </w:divBdr>
        </w:div>
        <w:div w:id="1053961998">
          <w:marLeft w:val="0"/>
          <w:marRight w:val="0"/>
          <w:marTop w:val="0"/>
          <w:marBottom w:val="0"/>
          <w:divBdr>
            <w:top w:val="none" w:sz="0" w:space="0" w:color="auto"/>
            <w:left w:val="none" w:sz="0" w:space="0" w:color="auto"/>
            <w:bottom w:val="none" w:sz="0" w:space="0" w:color="auto"/>
            <w:right w:val="none" w:sz="0" w:space="0" w:color="auto"/>
          </w:divBdr>
        </w:div>
        <w:div w:id="949580349">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0650275">
      <w:bodyDiv w:val="1"/>
      <w:marLeft w:val="0"/>
      <w:marRight w:val="0"/>
      <w:marTop w:val="0"/>
      <w:marBottom w:val="0"/>
      <w:divBdr>
        <w:top w:val="none" w:sz="0" w:space="0" w:color="auto"/>
        <w:left w:val="none" w:sz="0" w:space="0" w:color="auto"/>
        <w:bottom w:val="none" w:sz="0" w:space="0" w:color="auto"/>
        <w:right w:val="none" w:sz="0" w:space="0" w:color="auto"/>
      </w:divBdr>
      <w:divsChild>
        <w:div w:id="1643925335">
          <w:marLeft w:val="0"/>
          <w:marRight w:val="0"/>
          <w:marTop w:val="0"/>
          <w:marBottom w:val="0"/>
          <w:divBdr>
            <w:top w:val="none" w:sz="0" w:space="0" w:color="auto"/>
            <w:left w:val="none" w:sz="0" w:space="0" w:color="auto"/>
            <w:bottom w:val="none" w:sz="0" w:space="0" w:color="auto"/>
            <w:right w:val="none" w:sz="0" w:space="0" w:color="auto"/>
          </w:divBdr>
        </w:div>
        <w:div w:id="1603103083">
          <w:marLeft w:val="0"/>
          <w:marRight w:val="0"/>
          <w:marTop w:val="0"/>
          <w:marBottom w:val="0"/>
          <w:divBdr>
            <w:top w:val="none" w:sz="0" w:space="0" w:color="auto"/>
            <w:left w:val="none" w:sz="0" w:space="0" w:color="auto"/>
            <w:bottom w:val="none" w:sz="0" w:space="0" w:color="auto"/>
            <w:right w:val="none" w:sz="0" w:space="0" w:color="auto"/>
          </w:divBdr>
        </w:div>
      </w:divsChild>
    </w:div>
    <w:div w:id="2098017684">
      <w:bodyDiv w:val="1"/>
      <w:marLeft w:val="0"/>
      <w:marRight w:val="0"/>
      <w:marTop w:val="0"/>
      <w:marBottom w:val="0"/>
      <w:divBdr>
        <w:top w:val="none" w:sz="0" w:space="0" w:color="auto"/>
        <w:left w:val="none" w:sz="0" w:space="0" w:color="auto"/>
        <w:bottom w:val="none" w:sz="0" w:space="0" w:color="auto"/>
        <w:right w:val="none" w:sz="0" w:space="0" w:color="auto"/>
      </w:divBdr>
      <w:divsChild>
        <w:div w:id="629021328">
          <w:marLeft w:val="0"/>
          <w:marRight w:val="0"/>
          <w:marTop w:val="0"/>
          <w:marBottom w:val="0"/>
          <w:divBdr>
            <w:top w:val="none" w:sz="0" w:space="0" w:color="auto"/>
            <w:left w:val="none" w:sz="0" w:space="0" w:color="auto"/>
            <w:bottom w:val="none" w:sz="0" w:space="0" w:color="auto"/>
            <w:right w:val="none" w:sz="0" w:space="0" w:color="auto"/>
          </w:divBdr>
        </w:div>
        <w:div w:id="469251816">
          <w:marLeft w:val="0"/>
          <w:marRight w:val="0"/>
          <w:marTop w:val="0"/>
          <w:marBottom w:val="0"/>
          <w:divBdr>
            <w:top w:val="none" w:sz="0" w:space="0" w:color="auto"/>
            <w:left w:val="none" w:sz="0" w:space="0" w:color="auto"/>
            <w:bottom w:val="none" w:sz="0" w:space="0" w:color="auto"/>
            <w:right w:val="none" w:sz="0" w:space="0" w:color="auto"/>
          </w:divBdr>
        </w:div>
        <w:div w:id="1876458246">
          <w:marLeft w:val="0"/>
          <w:marRight w:val="0"/>
          <w:marTop w:val="0"/>
          <w:marBottom w:val="0"/>
          <w:divBdr>
            <w:top w:val="none" w:sz="0" w:space="0" w:color="auto"/>
            <w:left w:val="none" w:sz="0" w:space="0" w:color="auto"/>
            <w:bottom w:val="none" w:sz="0" w:space="0" w:color="auto"/>
            <w:right w:val="none" w:sz="0" w:space="0" w:color="auto"/>
          </w:divBdr>
        </w:div>
        <w:div w:id="894390494">
          <w:marLeft w:val="0"/>
          <w:marRight w:val="0"/>
          <w:marTop w:val="0"/>
          <w:marBottom w:val="0"/>
          <w:divBdr>
            <w:top w:val="none" w:sz="0" w:space="0" w:color="auto"/>
            <w:left w:val="none" w:sz="0" w:space="0" w:color="auto"/>
            <w:bottom w:val="none" w:sz="0" w:space="0" w:color="auto"/>
            <w:right w:val="none" w:sz="0" w:space="0" w:color="auto"/>
          </w:divBdr>
        </w:div>
        <w:div w:id="1850945839">
          <w:marLeft w:val="0"/>
          <w:marRight w:val="0"/>
          <w:marTop w:val="0"/>
          <w:marBottom w:val="0"/>
          <w:divBdr>
            <w:top w:val="none" w:sz="0" w:space="0" w:color="auto"/>
            <w:left w:val="none" w:sz="0" w:space="0" w:color="auto"/>
            <w:bottom w:val="none" w:sz="0" w:space="0" w:color="auto"/>
            <w:right w:val="none" w:sz="0" w:space="0" w:color="auto"/>
          </w:divBdr>
        </w:div>
        <w:div w:id="1692997415">
          <w:marLeft w:val="0"/>
          <w:marRight w:val="0"/>
          <w:marTop w:val="0"/>
          <w:marBottom w:val="0"/>
          <w:divBdr>
            <w:top w:val="none" w:sz="0" w:space="0" w:color="auto"/>
            <w:left w:val="none" w:sz="0" w:space="0" w:color="auto"/>
            <w:bottom w:val="none" w:sz="0" w:space="0" w:color="auto"/>
            <w:right w:val="none" w:sz="0" w:space="0" w:color="auto"/>
          </w:divBdr>
        </w:div>
        <w:div w:id="1308901553">
          <w:marLeft w:val="0"/>
          <w:marRight w:val="0"/>
          <w:marTop w:val="0"/>
          <w:marBottom w:val="0"/>
          <w:divBdr>
            <w:top w:val="none" w:sz="0" w:space="0" w:color="auto"/>
            <w:left w:val="none" w:sz="0" w:space="0" w:color="auto"/>
            <w:bottom w:val="none" w:sz="0" w:space="0" w:color="auto"/>
            <w:right w:val="none" w:sz="0" w:space="0" w:color="auto"/>
          </w:divBdr>
        </w:div>
        <w:div w:id="1586068708">
          <w:marLeft w:val="0"/>
          <w:marRight w:val="0"/>
          <w:marTop w:val="0"/>
          <w:marBottom w:val="0"/>
          <w:divBdr>
            <w:top w:val="none" w:sz="0" w:space="0" w:color="auto"/>
            <w:left w:val="none" w:sz="0" w:space="0" w:color="auto"/>
            <w:bottom w:val="none" w:sz="0" w:space="0" w:color="auto"/>
            <w:right w:val="none" w:sz="0" w:space="0" w:color="auto"/>
          </w:divBdr>
        </w:div>
        <w:div w:id="300500382">
          <w:marLeft w:val="0"/>
          <w:marRight w:val="0"/>
          <w:marTop w:val="0"/>
          <w:marBottom w:val="0"/>
          <w:divBdr>
            <w:top w:val="none" w:sz="0" w:space="0" w:color="auto"/>
            <w:left w:val="none" w:sz="0" w:space="0" w:color="auto"/>
            <w:bottom w:val="none" w:sz="0" w:space="0" w:color="auto"/>
            <w:right w:val="none" w:sz="0" w:space="0" w:color="auto"/>
          </w:divBdr>
          <w:divsChild>
            <w:div w:id="1671449678">
              <w:marLeft w:val="0"/>
              <w:marRight w:val="0"/>
              <w:marTop w:val="0"/>
              <w:marBottom w:val="0"/>
              <w:divBdr>
                <w:top w:val="none" w:sz="0" w:space="0" w:color="auto"/>
                <w:left w:val="none" w:sz="0" w:space="0" w:color="auto"/>
                <w:bottom w:val="none" w:sz="0" w:space="0" w:color="auto"/>
                <w:right w:val="none" w:sz="0" w:space="0" w:color="auto"/>
              </w:divBdr>
            </w:div>
            <w:div w:id="1754618232">
              <w:marLeft w:val="0"/>
              <w:marRight w:val="0"/>
              <w:marTop w:val="0"/>
              <w:marBottom w:val="0"/>
              <w:divBdr>
                <w:top w:val="none" w:sz="0" w:space="0" w:color="auto"/>
                <w:left w:val="none" w:sz="0" w:space="0" w:color="auto"/>
                <w:bottom w:val="none" w:sz="0" w:space="0" w:color="auto"/>
                <w:right w:val="none" w:sz="0" w:space="0" w:color="auto"/>
              </w:divBdr>
            </w:div>
            <w:div w:id="6372597">
              <w:marLeft w:val="0"/>
              <w:marRight w:val="0"/>
              <w:marTop w:val="0"/>
              <w:marBottom w:val="0"/>
              <w:divBdr>
                <w:top w:val="none" w:sz="0" w:space="0" w:color="auto"/>
                <w:left w:val="none" w:sz="0" w:space="0" w:color="auto"/>
                <w:bottom w:val="none" w:sz="0" w:space="0" w:color="auto"/>
                <w:right w:val="none" w:sz="0" w:space="0" w:color="auto"/>
              </w:divBdr>
            </w:div>
            <w:div w:id="1731731818">
              <w:marLeft w:val="0"/>
              <w:marRight w:val="0"/>
              <w:marTop w:val="0"/>
              <w:marBottom w:val="0"/>
              <w:divBdr>
                <w:top w:val="none" w:sz="0" w:space="0" w:color="auto"/>
                <w:left w:val="none" w:sz="0" w:space="0" w:color="auto"/>
                <w:bottom w:val="none" w:sz="0" w:space="0" w:color="auto"/>
                <w:right w:val="none" w:sz="0" w:space="0" w:color="auto"/>
              </w:divBdr>
            </w:div>
            <w:div w:id="1888879660">
              <w:marLeft w:val="0"/>
              <w:marRight w:val="0"/>
              <w:marTop w:val="0"/>
              <w:marBottom w:val="0"/>
              <w:divBdr>
                <w:top w:val="none" w:sz="0" w:space="0" w:color="auto"/>
                <w:left w:val="none" w:sz="0" w:space="0" w:color="auto"/>
                <w:bottom w:val="none" w:sz="0" w:space="0" w:color="auto"/>
                <w:right w:val="none" w:sz="0" w:space="0" w:color="auto"/>
              </w:divBdr>
            </w:div>
          </w:divsChild>
        </w:div>
        <w:div w:id="1786536460">
          <w:marLeft w:val="0"/>
          <w:marRight w:val="0"/>
          <w:marTop w:val="0"/>
          <w:marBottom w:val="0"/>
          <w:divBdr>
            <w:top w:val="none" w:sz="0" w:space="0" w:color="auto"/>
            <w:left w:val="none" w:sz="0" w:space="0" w:color="auto"/>
            <w:bottom w:val="none" w:sz="0" w:space="0" w:color="auto"/>
            <w:right w:val="none" w:sz="0" w:space="0" w:color="auto"/>
          </w:divBdr>
        </w:div>
        <w:div w:id="435488102">
          <w:marLeft w:val="0"/>
          <w:marRight w:val="0"/>
          <w:marTop w:val="0"/>
          <w:marBottom w:val="0"/>
          <w:divBdr>
            <w:top w:val="none" w:sz="0" w:space="0" w:color="auto"/>
            <w:left w:val="none" w:sz="0" w:space="0" w:color="auto"/>
            <w:bottom w:val="none" w:sz="0" w:space="0" w:color="auto"/>
            <w:right w:val="none" w:sz="0" w:space="0" w:color="auto"/>
          </w:divBdr>
        </w:div>
        <w:div w:id="307394878">
          <w:marLeft w:val="0"/>
          <w:marRight w:val="0"/>
          <w:marTop w:val="0"/>
          <w:marBottom w:val="0"/>
          <w:divBdr>
            <w:top w:val="none" w:sz="0" w:space="0" w:color="auto"/>
            <w:left w:val="none" w:sz="0" w:space="0" w:color="auto"/>
            <w:bottom w:val="none" w:sz="0" w:space="0" w:color="auto"/>
            <w:right w:val="none" w:sz="0" w:space="0" w:color="auto"/>
          </w:divBdr>
        </w:div>
        <w:div w:id="208787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ecd.org/dac/stat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ecd.org/dac/stats/purposecodessectorclassification.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dac/stats/methodology.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B475EDD-03CA-4C47-A1D3-B9FE525A3E33}"/>
      </w:docPartPr>
      <w:docPartBody>
        <w:p w:rsidR="00000000" w:rsidRDefault="00CA0DA1">
          <w:r w:rsidRPr="004E7D7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A1"/>
    <w:rsid w:val="00CA0D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D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82C47A-D113-45A7-A083-32EFCD1EB61F}">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purl.org/dc/elements/1.1/"/>
    <ds:schemaRef ds:uri="http://purl.org/dc/terms/"/>
    <ds:schemaRef ds:uri="http://purl.org/dc/dcmitype/"/>
    <ds:schemaRef ds:uri="f2d2d782-0088-4826-96df-71eba56e6d2e"/>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d114b01d-ae01-4749-b845-9d88e7ef5c0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10</cp:revision>
  <cp:lastPrinted>2016-07-16T14:25:00Z</cp:lastPrinted>
  <dcterms:created xsi:type="dcterms:W3CDTF">2020-12-08T15:48:00Z</dcterms:created>
  <dcterms:modified xsi:type="dcterms:W3CDTF">2022-12-20T20:57:00Z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