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486970" w:rsidRDefault="006C4BFD" w:rsidP="006C4BFD">
      <w:pPr>
        <w:spacing w:after="0"/>
        <w:jc w:val="center"/>
        <w:rPr>
          <w:rFonts w:cstheme="minorHAnsi"/>
        </w:rPr>
      </w:pPr>
      <w:r w:rsidRPr="00486970">
        <w:rPr>
          <w:rFonts w:eastAsia="Times New Roman" w:cstheme="minorHAnsi"/>
          <w:color w:val="1C75BC"/>
          <w:sz w:val="36"/>
          <w:szCs w:val="36"/>
          <w:lang w:eastAsia="en-GB"/>
        </w:rPr>
        <w:t>SDG indicator metadata</w:t>
      </w:r>
    </w:p>
    <w:p w14:paraId="129054E9" w14:textId="2E583254" w:rsidR="006C4BFD" w:rsidRPr="00486970" w:rsidRDefault="002C2510" w:rsidP="006C4BFD">
      <w:pPr>
        <w:spacing w:after="0"/>
        <w:jc w:val="center"/>
        <w:rPr>
          <w:rFonts w:eastAsia="Times New Roman" w:cstheme="minorHAnsi"/>
          <w:b/>
          <w:bCs/>
          <w:color w:val="4A4A4A"/>
          <w:sz w:val="21"/>
          <w:szCs w:val="21"/>
          <w:lang w:eastAsia="en-GB"/>
        </w:rPr>
      </w:pPr>
      <w:r w:rsidRPr="00486970">
        <w:rPr>
          <w:rFonts w:eastAsia="Times New Roman" w:cstheme="minorHAnsi"/>
          <w:b/>
          <w:bCs/>
          <w:color w:val="4A4A4A"/>
          <w:sz w:val="21"/>
          <w:szCs w:val="21"/>
          <w:lang w:eastAsia="en-GB"/>
        </w:rPr>
        <w:t>(Harmonized metadata template - format version 1.1)</w:t>
      </w:r>
    </w:p>
    <w:p w14:paraId="773F63CF" w14:textId="77777777" w:rsidR="006C4BFD" w:rsidRPr="00486970" w:rsidRDefault="006C4BFD" w:rsidP="006C4BFD">
      <w:pPr>
        <w:spacing w:after="0"/>
        <w:rPr>
          <w:rFonts w:eastAsia="Times New Roman" w:cstheme="minorHAnsi"/>
          <w:b/>
          <w:bCs/>
          <w:color w:val="4A4A4A"/>
          <w:sz w:val="21"/>
          <w:szCs w:val="21"/>
          <w:lang w:eastAsia="en-GB"/>
        </w:rPr>
      </w:pPr>
    </w:p>
    <w:p w14:paraId="6AEAC6DA" w14:textId="6C7C2D3A" w:rsidR="00B31E2C" w:rsidRPr="00486970" w:rsidRDefault="00B31E2C" w:rsidP="00EA05D3">
      <w:pPr>
        <w:pStyle w:val="MIndHeader2"/>
        <w:rPr>
          <w:rFonts w:cstheme="minorHAnsi"/>
        </w:rPr>
      </w:pPr>
      <w:r w:rsidRPr="00486970">
        <w:rPr>
          <w:rFonts w:cstheme="minorHAnsi"/>
        </w:rPr>
        <w:t xml:space="preserve">0. Indicator information </w:t>
      </w:r>
      <w:r>
        <w:rPr>
          <w:color w:val="B4B4B4"/>
          <w:sz w:val="20"/>
        </w:rPr>
        <w:t>(SDG_INDICATOR_INFO)</w:t>
      </w:r>
    </w:p>
    <w:p w14:paraId="043ED752" w14:textId="28D7692E" w:rsidR="00D24330" w:rsidRPr="00486970" w:rsidRDefault="00D24330" w:rsidP="00EA05D3">
      <w:pPr>
        <w:pStyle w:val="MIndHeader"/>
        <w:rPr>
          <w:rFonts w:cstheme="minorHAnsi"/>
        </w:rPr>
      </w:pPr>
      <w:r w:rsidRPr="031B9AC8">
        <w:rPr>
          <w:rFonts w:cstheme="minorBidi"/>
        </w:rPr>
        <w:t xml:space="preserve">0.a. Goal </w:t>
      </w:r>
      <w:r>
        <w:rPr>
          <w:color w:val="B4B4B4"/>
          <w:sz w:val="20"/>
        </w:rPr>
        <w:t>(SDG_GOAL)</w:t>
      </w:r>
    </w:p>
    <w:p w14:paraId="070A2368" w14:textId="30E8C45E" w:rsidR="01FE9CB3" w:rsidRDefault="01FE9CB3" w:rsidP="031B9AC8">
      <w:pPr>
        <w:pStyle w:val="MGTHeader"/>
        <w:rPr>
          <w:rFonts w:ascii="Calibri" w:hAnsi="Calibri"/>
        </w:rPr>
      </w:pPr>
      <w:r w:rsidRPr="031B9AC8">
        <w:rPr>
          <w:rFonts w:ascii="Calibri" w:eastAsia="Calibri" w:hAnsi="Calibri" w:cs="Calibri"/>
          <w:color w:val="444444"/>
        </w:rPr>
        <w:t>Goal 3: Ensure healthy lives and promote well-being for all at all ages</w:t>
      </w:r>
    </w:p>
    <w:p w14:paraId="084142D2" w14:textId="4C6E98EE" w:rsidR="00D24330" w:rsidRPr="00486970" w:rsidRDefault="00D24330" w:rsidP="00D24330">
      <w:pPr>
        <w:pStyle w:val="MIndHeader"/>
        <w:rPr>
          <w:rFonts w:cstheme="minorHAnsi"/>
        </w:rPr>
      </w:pPr>
      <w:r w:rsidRPr="031B9AC8">
        <w:rPr>
          <w:rFonts w:cstheme="minorBidi"/>
        </w:rPr>
        <w:t xml:space="preserve">0.b. Target </w:t>
      </w:r>
      <w:r>
        <w:rPr>
          <w:color w:val="B4B4B4"/>
          <w:sz w:val="20"/>
        </w:rPr>
        <w:t>(SDG_TARGET)</w:t>
      </w:r>
    </w:p>
    <w:p w14:paraId="1603E632" w14:textId="36082C9A" w:rsidR="75C3850F" w:rsidRDefault="75C3850F" w:rsidP="031B9AC8">
      <w:pPr>
        <w:pStyle w:val="MGTHeader"/>
        <w:rPr>
          <w:rFonts w:ascii="Calibri" w:hAnsi="Calibri"/>
        </w:rPr>
      </w:pPr>
      <w:r w:rsidRPr="031B9AC8">
        <w:rPr>
          <w:rFonts w:ascii="Calibri" w:eastAsia="Calibri" w:hAnsi="Calibri" w:cs="Calibri"/>
          <w:color w:val="444444"/>
        </w:rPr>
        <w:t>Target 3.b: Support the research and development of vaccines and medicines for the communicable and non‑communicable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w:t>
      </w:r>
    </w:p>
    <w:p w14:paraId="3E67E7E0" w14:textId="3A8D8181" w:rsidR="00D24330" w:rsidRPr="00486970" w:rsidRDefault="00D24330" w:rsidP="00D24330">
      <w:pPr>
        <w:pStyle w:val="MIndHeader"/>
        <w:rPr>
          <w:rFonts w:cstheme="minorHAnsi"/>
        </w:rPr>
      </w:pPr>
      <w:r w:rsidRPr="00486970">
        <w:rPr>
          <w:rFonts w:cstheme="minorHAnsi"/>
        </w:rPr>
        <w:t xml:space="preserve">0.c. Indicator </w:t>
      </w:r>
      <w:r>
        <w:rPr>
          <w:color w:val="B4B4B4"/>
          <w:sz w:val="20"/>
        </w:rPr>
        <w:t>(SDG_INDICATOR)</w:t>
      </w:r>
    </w:p>
    <w:p w14:paraId="0BA08C79" w14:textId="77777777" w:rsidR="00F70A66" w:rsidRPr="00486970" w:rsidRDefault="00F70A66" w:rsidP="00D24330">
      <w:pPr>
        <w:pStyle w:val="MIndHeader"/>
        <w:rPr>
          <w:rFonts w:cstheme="minorHAnsi"/>
          <w:color w:val="333333"/>
          <w:sz w:val="21"/>
          <w:szCs w:val="21"/>
        </w:rPr>
      </w:pPr>
      <w:r w:rsidRPr="00486970">
        <w:rPr>
          <w:rFonts w:cstheme="minorHAnsi"/>
          <w:color w:val="333333"/>
          <w:sz w:val="21"/>
          <w:szCs w:val="21"/>
        </w:rPr>
        <w:t xml:space="preserve">Indicator 3.b.3: Proportion of health facilities that have a core set of relevant essential medicines available and affordable on a sustainable basis </w:t>
      </w:r>
    </w:p>
    <w:p w14:paraId="37E5E4F6" w14:textId="0FE2D20A" w:rsidR="00D24330" w:rsidRPr="00D645CD" w:rsidRDefault="00D24330" w:rsidP="00D24330">
      <w:pPr>
        <w:pStyle w:val="MIndHeader"/>
        <w:rPr>
          <w:rFonts w:cstheme="minorHAnsi"/>
          <w:lang w:val="en-US"/>
        </w:rPr>
      </w:pPr>
      <w:r w:rsidRPr="00D645CD">
        <w:rPr>
          <w:rFonts w:cstheme="minorHAnsi"/>
          <w:lang w:val="en-US"/>
        </w:rPr>
        <w:t xml:space="preserve">0.d. Series </w:t>
      </w:r>
      <w:r>
        <w:rPr>
          <w:color w:val="B4B4B4"/>
          <w:sz w:val="20"/>
        </w:rPr>
        <w:t>(SDG_SERIES_DESCR)</w:t>
      </w:r>
    </w:p>
    <w:p w14:paraId="5B6DCD74" w14:textId="77777777" w:rsidR="003B6F65" w:rsidRPr="00D645CD" w:rsidRDefault="003B6F65" w:rsidP="00D645CD">
      <w:pPr>
        <w:pStyle w:val="MGTHeader"/>
        <w:rPr>
          <w:lang w:val="en-US"/>
        </w:rPr>
      </w:pPr>
    </w:p>
    <w:p w14:paraId="157DACE7" w14:textId="10D1CB38" w:rsidR="00D24330" w:rsidRPr="00D645CD" w:rsidRDefault="00D24330" w:rsidP="00D24330">
      <w:pPr>
        <w:pStyle w:val="MIndHeader"/>
        <w:rPr>
          <w:rFonts w:cstheme="minorHAnsi"/>
          <w:lang w:val="en-US"/>
        </w:rPr>
      </w:pPr>
      <w:r w:rsidRPr="00D645CD">
        <w:rPr>
          <w:rFonts w:cstheme="minorHAnsi"/>
          <w:lang w:val="en-US"/>
        </w:rPr>
        <w:t xml:space="preserve">0.e. Metadata update </w:t>
      </w:r>
      <w:r>
        <w:rPr>
          <w:color w:val="B4B4B4"/>
          <w:sz w:val="20"/>
        </w:rPr>
        <w:t>(META_LAST_UPDATE)</w:t>
      </w:r>
    </w:p>
    <w:sdt>
      <w:sdtPr>
        <w:rPr>
          <w:rFonts w:cstheme="minorBidi"/>
          <w:lang w:val="en-US"/>
        </w:rPr>
        <w:id w:val="1291707956"/>
        <w:placeholder>
          <w:docPart w:val="DefaultPlaceholder_-1854013437"/>
        </w:placeholder>
        <w:date w:fullDate="2019-01-01T00:00:00Z">
          <w:dateFormat w:val="yyyy-MM-dd"/>
          <w:lid w:val="en-US"/>
          <w:storeMappedDataAs w:val="dateTime"/>
          <w:calendar w:val="gregorian"/>
        </w:date>
      </w:sdtPr>
      <w:sdtContent>
        <w:p w14:paraId="03424B60" w14:textId="62A1FB01" w:rsidR="00D24330" w:rsidRPr="00D645CD" w:rsidRDefault="00D645CD" w:rsidP="39DF3A99">
          <w:pPr>
            <w:pStyle w:val="MGTHeader"/>
            <w:rPr>
              <w:rFonts w:cstheme="minorBidi"/>
              <w:lang w:val="en-US"/>
            </w:rPr>
          </w:pPr>
          <w:r>
            <w:rPr>
              <w:rFonts w:cstheme="minorBidi"/>
              <w:lang w:val="en-US"/>
            </w:rPr>
            <w:t>2019-01-01</w:t>
          </w:r>
        </w:p>
      </w:sdtContent>
    </w:sdt>
    <w:p w14:paraId="415C9FF1" w14:textId="77777777" w:rsidR="00D24330" w:rsidRPr="00486970" w:rsidRDefault="00D24330" w:rsidP="00D24330">
      <w:pPr>
        <w:pStyle w:val="MIndHeader"/>
        <w:rPr>
          <w:rFonts w:cstheme="minorHAnsi"/>
        </w:rPr>
      </w:pPr>
      <w:r w:rsidRPr="00486970">
        <w:rPr>
          <w:rFonts w:cstheme="minorHAnsi"/>
        </w:rPr>
        <w:t xml:space="preserve">0.f. Related indicators </w:t>
      </w:r>
      <w:r>
        <w:rPr>
          <w:color w:val="B4B4B4"/>
          <w:sz w:val="20"/>
        </w:rPr>
        <w:t>(SDG_RELATED_INDICATORS)</w:t>
      </w:r>
    </w:p>
    <w:p w14:paraId="4F5E5D57" w14:textId="684E79E9" w:rsidR="005012B9" w:rsidRPr="00486970" w:rsidRDefault="005012B9" w:rsidP="00486970">
      <w:pPr>
        <w:pStyle w:val="MGTHeader"/>
        <w:rPr>
          <w:rFonts w:cstheme="minorHAnsi"/>
        </w:rPr>
      </w:pPr>
      <w:r w:rsidRPr="00486970">
        <w:rPr>
          <w:rFonts w:cstheme="minorHAnsi"/>
        </w:rPr>
        <w:t>3.b.1- Proportion of the target population covered by all vaccines included in their national programme</w:t>
      </w:r>
    </w:p>
    <w:p w14:paraId="722FABC4" w14:textId="35015757" w:rsidR="005012B9" w:rsidRPr="00486970" w:rsidRDefault="005012B9" w:rsidP="00486970">
      <w:pPr>
        <w:pStyle w:val="MGTHeader"/>
        <w:rPr>
          <w:rFonts w:cstheme="minorHAnsi"/>
        </w:rPr>
      </w:pPr>
      <w:r w:rsidRPr="00486970">
        <w:rPr>
          <w:rFonts w:cstheme="minorHAnsi"/>
        </w:rPr>
        <w:t>3.b.2- Total net official development assistance to medical research and basic health sectors</w:t>
      </w:r>
    </w:p>
    <w:p w14:paraId="29DD8440" w14:textId="1DDDC0F0" w:rsidR="005012B9" w:rsidRPr="00486970" w:rsidRDefault="005012B9" w:rsidP="00486970">
      <w:pPr>
        <w:pStyle w:val="MGTHeader"/>
        <w:rPr>
          <w:rFonts w:cstheme="minorHAnsi"/>
        </w:rPr>
      </w:pPr>
      <w:r w:rsidRPr="00486970">
        <w:rPr>
          <w:rFonts w:cstheme="minorHAnsi"/>
        </w:rPr>
        <w:t xml:space="preserve">3.8.1-Coverage of essential health services (defined as the average coverage of essential services based on tracer interventions that include reproductive, maternal, </w:t>
      </w:r>
      <w:r w:rsidR="003B6F65" w:rsidRPr="00486970">
        <w:rPr>
          <w:rFonts w:cstheme="minorHAnsi"/>
        </w:rPr>
        <w:t>new born</w:t>
      </w:r>
      <w:r w:rsidRPr="00486970">
        <w:rPr>
          <w:rFonts w:cstheme="minorHAnsi"/>
        </w:rPr>
        <w:t xml:space="preserve"> and child health,</w:t>
      </w:r>
      <w:r w:rsidR="005B2719">
        <w:rPr>
          <w:rFonts w:cstheme="minorHAnsi"/>
        </w:rPr>
        <w:t xml:space="preserve"> </w:t>
      </w:r>
      <w:r w:rsidRPr="00486970">
        <w:rPr>
          <w:rFonts w:cstheme="minorHAnsi"/>
        </w:rPr>
        <w:t>infectious diseases, non-communicable diseases and service capacity and access, among the general and the most disadvantaged population)</w:t>
      </w:r>
    </w:p>
    <w:p w14:paraId="30B7955C" w14:textId="0F80802C" w:rsidR="005012B9" w:rsidRPr="00486970" w:rsidRDefault="005012B9" w:rsidP="00486970">
      <w:pPr>
        <w:pStyle w:val="MGTHeader"/>
        <w:rPr>
          <w:rFonts w:cstheme="minorHAnsi"/>
        </w:rPr>
      </w:pPr>
      <w:r w:rsidRPr="00486970">
        <w:rPr>
          <w:rFonts w:cstheme="minorHAnsi"/>
        </w:rPr>
        <w:t>3.8.2-Proportion of population with large household expenditures on health as a share of total household expenditure or income</w:t>
      </w:r>
    </w:p>
    <w:p w14:paraId="077BC49E" w14:textId="77777777" w:rsidR="00D24330" w:rsidRPr="00486970" w:rsidRDefault="00D24330" w:rsidP="00D24330">
      <w:pPr>
        <w:pStyle w:val="MIndHeader"/>
        <w:rPr>
          <w:rFonts w:cstheme="minorHAnsi"/>
        </w:rPr>
      </w:pPr>
      <w:r w:rsidRPr="00486970">
        <w:rPr>
          <w:rFonts w:cstheme="minorHAnsi"/>
        </w:rPr>
        <w:t xml:space="preserve">0.g. International organisations(s) responsible for global monitoring </w:t>
      </w:r>
      <w:r>
        <w:rPr>
          <w:color w:val="B4B4B4"/>
          <w:sz w:val="20"/>
        </w:rPr>
        <w:t>(SDG_CUSTODIAN_AGENCIES)</w:t>
      </w:r>
    </w:p>
    <w:p w14:paraId="19F29921" w14:textId="582B1AB1" w:rsidR="008D1D39" w:rsidRPr="00486970" w:rsidRDefault="00F70A66" w:rsidP="00486970">
      <w:pPr>
        <w:pStyle w:val="MGTHeader"/>
        <w:rPr>
          <w:rStyle w:val="eop"/>
          <w:rFonts w:cstheme="minorHAnsi"/>
        </w:rPr>
      </w:pPr>
      <w:r w:rsidRPr="00486970">
        <w:rPr>
          <w:rStyle w:val="normaltextrun"/>
          <w:rFonts w:cstheme="minorHAnsi"/>
        </w:rPr>
        <w:t>World Health Organization (WHO)</w:t>
      </w:r>
    </w:p>
    <w:p w14:paraId="6FDB091F" w14:textId="77777777" w:rsidR="00486970" w:rsidRPr="00486970" w:rsidRDefault="00486970" w:rsidP="00573631">
      <w:pPr>
        <w:shd w:val="clear" w:color="auto" w:fill="FFFFFF"/>
        <w:spacing w:after="0"/>
        <w:rPr>
          <w:rFonts w:eastAsia="Times New Roman" w:cstheme="minorHAnsi"/>
          <w:color w:val="4A4A4A"/>
          <w:sz w:val="21"/>
          <w:szCs w:val="21"/>
          <w:lang w:eastAsia="en-GB"/>
        </w:rPr>
      </w:pPr>
    </w:p>
    <w:p w14:paraId="12E0D73A" w14:textId="48126E58" w:rsidR="00B31E2C" w:rsidRPr="00486970" w:rsidRDefault="00B31E2C" w:rsidP="00EA05D3">
      <w:pPr>
        <w:pStyle w:val="MHeader"/>
        <w:rPr>
          <w:rFonts w:cstheme="minorHAnsi"/>
        </w:rPr>
      </w:pPr>
      <w:bookmarkStart w:id="0" w:name="_Toc37932744"/>
      <w:bookmarkStart w:id="1" w:name="_Toc36813072"/>
      <w:bookmarkStart w:id="2" w:name="_Toc36812685"/>
      <w:bookmarkStart w:id="3" w:name="_Toc36812572"/>
      <w:bookmarkStart w:id="4" w:name="_Toc36655609"/>
      <w:r w:rsidRPr="00486970">
        <w:rPr>
          <w:rFonts w:cstheme="minorHAnsi"/>
        </w:rPr>
        <w:t xml:space="preserve">1. Data reporter </w:t>
      </w:r>
      <w:bookmarkEnd w:id="0"/>
      <w:bookmarkEnd w:id="1"/>
      <w:bookmarkEnd w:id="2"/>
      <w:bookmarkEnd w:id="3"/>
      <w:bookmarkEnd w:id="4"/>
      <w:r>
        <w:rPr>
          <w:color w:val="B4B4B4"/>
          <w:sz w:val="20"/>
        </w:rPr>
        <w:t>(CONTACT)</w:t>
      </w:r>
    </w:p>
    <w:p w14:paraId="0BD77982" w14:textId="72DFE854" w:rsidR="00576CFA" w:rsidRPr="00486970" w:rsidRDefault="00576CFA" w:rsidP="00F719A8">
      <w:pPr>
        <w:pStyle w:val="MHeader2"/>
        <w:rPr>
          <w:rFonts w:cstheme="minorHAnsi"/>
        </w:rPr>
      </w:pPr>
      <w:r w:rsidRPr="00486970">
        <w:rPr>
          <w:rFonts w:cstheme="minorHAnsi"/>
        </w:rPr>
        <w:t xml:space="preserve">1.a. Organisation </w:t>
      </w:r>
      <w:r>
        <w:rPr>
          <w:color w:val="B4B4B4"/>
          <w:sz w:val="20"/>
        </w:rPr>
        <w:t>(CONTACT_ORGANISATION)</w:t>
      </w:r>
    </w:p>
    <w:p w14:paraId="6E829FD0" w14:textId="08ABCACD" w:rsidR="00F719A8" w:rsidRPr="00486970" w:rsidRDefault="00F70A66" w:rsidP="00486970">
      <w:pPr>
        <w:pStyle w:val="MText"/>
        <w:rPr>
          <w:rStyle w:val="normaltextrun"/>
          <w:rFonts w:cstheme="minorHAnsi"/>
        </w:rPr>
      </w:pPr>
      <w:r w:rsidRPr="00486970">
        <w:rPr>
          <w:rStyle w:val="normaltextrun"/>
          <w:rFonts w:cstheme="minorHAnsi"/>
        </w:rPr>
        <w:t>World Health Organization (WHO)</w:t>
      </w:r>
    </w:p>
    <w:p w14:paraId="0964CCC7" w14:textId="77777777" w:rsidR="00486970" w:rsidRPr="00486970" w:rsidRDefault="00486970" w:rsidP="00576CFA">
      <w:pPr>
        <w:pStyle w:val="MText"/>
        <w:rPr>
          <w:rFonts w:cstheme="minorHAnsi"/>
        </w:rPr>
      </w:pPr>
    </w:p>
    <w:p w14:paraId="14915AC8" w14:textId="7D506133" w:rsidR="00B31E2C" w:rsidRPr="00486970" w:rsidRDefault="00B31E2C" w:rsidP="008B0AC7">
      <w:pPr>
        <w:pStyle w:val="MHeader"/>
        <w:rPr>
          <w:rFonts w:cstheme="minorHAnsi"/>
        </w:rPr>
      </w:pPr>
      <w:r w:rsidRPr="00486970">
        <w:rPr>
          <w:rFonts w:cstheme="minorHAnsi"/>
        </w:rPr>
        <w:t xml:space="preserve">2. Definition, concepts, and classifications </w:t>
      </w:r>
      <w:r>
        <w:rPr>
          <w:color w:val="B4B4B4"/>
          <w:sz w:val="20"/>
        </w:rPr>
        <w:t>(IND_DEF_CON_CLASS)</w:t>
      </w:r>
    </w:p>
    <w:p w14:paraId="2AC373EA" w14:textId="44236363" w:rsidR="008B0AC7" w:rsidRPr="00486970" w:rsidRDefault="008B0AC7" w:rsidP="00F719A8">
      <w:pPr>
        <w:pStyle w:val="MHeader2"/>
        <w:rPr>
          <w:rFonts w:cstheme="minorHAnsi"/>
        </w:rPr>
      </w:pPr>
      <w:r w:rsidRPr="00486970">
        <w:rPr>
          <w:rFonts w:cstheme="minorHAnsi"/>
        </w:rPr>
        <w:t xml:space="preserve">2.a. Definition and concepts </w:t>
      </w:r>
      <w:r>
        <w:rPr>
          <w:color w:val="B4B4B4"/>
          <w:sz w:val="20"/>
        </w:rPr>
        <w:t>(STAT_CONC_DEF)</w:t>
      </w:r>
    </w:p>
    <w:p w14:paraId="6745A66F" w14:textId="418FCD6D" w:rsidR="00F70A66" w:rsidRPr="00486970" w:rsidRDefault="00F70A66" w:rsidP="00F70A66">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b/>
          <w:bCs/>
          <w:color w:val="4A4A4A"/>
          <w:lang w:val="en-GB"/>
        </w:rPr>
        <w:t>Definition:</w:t>
      </w:r>
    </w:p>
    <w:p w14:paraId="760EEF8D" w14:textId="0314E7EE" w:rsidR="00F70A66" w:rsidRPr="00486970" w:rsidRDefault="00F70A66" w:rsidP="00F70A66">
      <w:pPr>
        <w:pStyle w:val="paragraph"/>
        <w:shd w:val="clear" w:color="auto" w:fill="FFFFFF"/>
        <w:spacing w:before="0" w:beforeAutospacing="0" w:after="0" w:afterAutospacing="0"/>
        <w:jc w:val="both"/>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color w:val="4A4A4A"/>
          <w:sz w:val="22"/>
          <w:szCs w:val="22"/>
          <w:lang w:val="en-GB"/>
        </w:rPr>
        <w:lastRenderedPageBreak/>
        <w:t>Proportion of health facilities that have a core set of relevant essential medicines available and affordable on a sustainable basis.</w:t>
      </w:r>
    </w:p>
    <w:p w14:paraId="3608DE66" w14:textId="1D7854B9" w:rsidR="00F70A66" w:rsidRPr="00486970" w:rsidRDefault="00F70A66" w:rsidP="00F70A66">
      <w:pPr>
        <w:pStyle w:val="paragraph"/>
        <w:shd w:val="clear" w:color="auto" w:fill="FFFFFF"/>
        <w:spacing w:before="0" w:beforeAutospacing="0" w:after="0" w:afterAutospacing="0"/>
        <w:jc w:val="both"/>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color w:val="4A4A4A"/>
          <w:sz w:val="22"/>
          <w:szCs w:val="22"/>
          <w:lang w:val="en-GB"/>
        </w:rPr>
        <w:t>The indicator is a multidimensional index reported as a proportion (%) of health facilities that have a defined core set of quality-assured medicines that are available and affordable relative to the total number of surveyed health facilities</w:t>
      </w:r>
      <w:r w:rsidR="005B271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at national level.</w:t>
      </w:r>
    </w:p>
    <w:p w14:paraId="0D48B15F" w14:textId="5E1A3EA0" w:rsidR="00F70A66" w:rsidRPr="00486970" w:rsidRDefault="00F70A66" w:rsidP="00F70A66">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p>
    <w:p w14:paraId="752D3956" w14:textId="2FE16AE6" w:rsidR="00F70A66" w:rsidRPr="00486970" w:rsidRDefault="00F70A66" w:rsidP="00F70A66">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p>
    <w:p w14:paraId="62FD8376" w14:textId="733FDA4A" w:rsidR="00F70A66" w:rsidRPr="00486970" w:rsidRDefault="00F70A66" w:rsidP="00F70A66">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b/>
          <w:bCs/>
          <w:color w:val="4A4A4A"/>
          <w:lang w:val="en-GB"/>
        </w:rPr>
        <w:t>Concepts:</w:t>
      </w:r>
    </w:p>
    <w:p w14:paraId="32A94360" w14:textId="5C9B35C9" w:rsidR="00F70A66" w:rsidRPr="00486970" w:rsidRDefault="00F70A66" w:rsidP="00F70A66">
      <w:pPr>
        <w:pStyle w:val="paragraph"/>
        <w:shd w:val="clear" w:color="auto" w:fill="FFFFFF"/>
        <w:spacing w:before="0" w:beforeAutospacing="0" w:after="0" w:afterAutospacing="0"/>
        <w:jc w:val="both"/>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color w:val="4A4A4A"/>
          <w:sz w:val="22"/>
          <w:szCs w:val="22"/>
          <w:lang w:val="en-GB"/>
        </w:rPr>
        <w:t>Indicator 3.b.3 is defined as the “Proportion of health facilities that have a core set of relevant essential medicines available and affordable on a sustainable basis”.This indicator is based on the proportion of facilities (pharmacies, hospitals, clinics,primary care</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centers, public/private,</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etc.) where core essential medicines from the identified</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set</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are available</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for purchase</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and their</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prices are affordable, compared to the total number of facilities surveyed.</w:t>
      </w:r>
    </w:p>
    <w:p w14:paraId="228A76DE" w14:textId="5F091BFF" w:rsidR="00F70A66" w:rsidRPr="00486970" w:rsidRDefault="00F70A66" w:rsidP="00F70A66">
      <w:pPr>
        <w:pStyle w:val="paragraph"/>
        <w:shd w:val="clear" w:color="auto" w:fill="FFFFFF"/>
        <w:spacing w:before="0" w:beforeAutospacing="0" w:after="0" w:afterAutospacing="0"/>
        <w:jc w:val="both"/>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color w:val="4A4A4A"/>
          <w:sz w:val="22"/>
          <w:szCs w:val="22"/>
          <w:lang w:val="en-GB"/>
        </w:rPr>
        <w:t>There are several core concepts that</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are used for measuring</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indicator 3.b.3:</w:t>
      </w:r>
    </w:p>
    <w:p w14:paraId="34FEF6F2" w14:textId="647D1D91" w:rsidR="00F70A66" w:rsidRPr="00486970" w:rsidRDefault="00F70A66" w:rsidP="00397ADD">
      <w:pPr>
        <w:pStyle w:val="paragraph"/>
        <w:numPr>
          <w:ilvl w:val="0"/>
          <w:numId w:val="1"/>
        </w:numPr>
        <w:shd w:val="clear" w:color="auto" w:fill="FFFFFF"/>
        <w:spacing w:before="0" w:beforeAutospacing="0" w:after="0" w:afterAutospacing="0"/>
        <w:ind w:left="360" w:firstLine="0"/>
        <w:textAlignment w:val="baseline"/>
        <w:rPr>
          <w:rFonts w:asciiTheme="minorHAnsi" w:hAnsiTheme="minorHAnsi" w:cstheme="minorHAnsi"/>
          <w:color w:val="4A4A4A"/>
          <w:sz w:val="22"/>
          <w:szCs w:val="22"/>
        </w:rPr>
      </w:pPr>
      <w:r w:rsidRPr="00486970">
        <w:rPr>
          <w:rStyle w:val="normaltextrun"/>
          <w:rFonts w:asciiTheme="minorHAnsi" w:hAnsiTheme="minorHAnsi" w:cstheme="minorHAnsi"/>
          <w:color w:val="4A4A4A"/>
          <w:sz w:val="22"/>
          <w:szCs w:val="22"/>
          <w:lang w:val="en-GB"/>
        </w:rPr>
        <w:t>Availability of medicine</w:t>
      </w:r>
    </w:p>
    <w:p w14:paraId="345462A7" w14:textId="7B83EB89" w:rsidR="00F70A66" w:rsidRPr="00486970" w:rsidRDefault="00F70A66" w:rsidP="00397ADD">
      <w:pPr>
        <w:pStyle w:val="paragraph"/>
        <w:numPr>
          <w:ilvl w:val="0"/>
          <w:numId w:val="2"/>
        </w:numPr>
        <w:shd w:val="clear" w:color="auto" w:fill="FFFFFF"/>
        <w:spacing w:before="0" w:beforeAutospacing="0" w:after="0" w:afterAutospacing="0"/>
        <w:ind w:left="360" w:firstLine="0"/>
        <w:textAlignment w:val="baseline"/>
        <w:rPr>
          <w:rFonts w:asciiTheme="minorHAnsi" w:hAnsiTheme="minorHAnsi" w:cstheme="minorHAnsi"/>
          <w:color w:val="4A4A4A"/>
          <w:sz w:val="22"/>
          <w:szCs w:val="22"/>
        </w:rPr>
      </w:pPr>
      <w:r w:rsidRPr="00486970">
        <w:rPr>
          <w:rStyle w:val="normaltextrun"/>
          <w:rFonts w:asciiTheme="minorHAnsi" w:hAnsiTheme="minorHAnsi" w:cstheme="minorHAnsi"/>
          <w:color w:val="4A4A4A"/>
          <w:sz w:val="22"/>
          <w:szCs w:val="22"/>
          <w:lang w:val="en-GB"/>
        </w:rPr>
        <w:t>Affordability of medicine</w:t>
      </w:r>
    </w:p>
    <w:p w14:paraId="2459781C" w14:textId="3B56022D" w:rsidR="00F70A66" w:rsidRPr="00486970" w:rsidRDefault="00F70A66" w:rsidP="00F70A66">
      <w:pPr>
        <w:pStyle w:val="paragraph"/>
        <w:shd w:val="clear" w:color="auto" w:fill="FFFFFF"/>
        <w:spacing w:before="0" w:beforeAutospacing="0" w:after="0" w:afterAutospacing="0"/>
        <w:ind w:left="720"/>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b/>
          <w:bCs/>
          <w:color w:val="4A4A4A"/>
          <w:sz w:val="22"/>
          <w:szCs w:val="22"/>
          <w:lang w:val="en-GB"/>
        </w:rPr>
        <w:t>→</w:t>
      </w:r>
      <w:r w:rsidRPr="00486970">
        <w:rPr>
          <w:rStyle w:val="normaltextrun"/>
          <w:rFonts w:asciiTheme="minorHAnsi" w:hAnsiTheme="minorHAnsi" w:cstheme="minorHAnsi"/>
          <w:color w:val="4A4A4A"/>
          <w:sz w:val="22"/>
          <w:szCs w:val="22"/>
          <w:lang w:val="en-GB"/>
        </w:rPr>
        <w:t>to define affordability,</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additional concepts</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are used:</w:t>
      </w:r>
    </w:p>
    <w:p w14:paraId="1761A30A" w14:textId="5C44B19B" w:rsidR="00F70A66" w:rsidRPr="00486970" w:rsidRDefault="00F70A66" w:rsidP="00397ADD">
      <w:pPr>
        <w:pStyle w:val="paragraph"/>
        <w:numPr>
          <w:ilvl w:val="0"/>
          <w:numId w:val="3"/>
        </w:numPr>
        <w:shd w:val="clear" w:color="auto" w:fill="FFFFFF"/>
        <w:spacing w:before="0" w:beforeAutospacing="0" w:after="0" w:afterAutospacing="0"/>
        <w:ind w:left="1080" w:firstLine="0"/>
        <w:textAlignment w:val="baseline"/>
        <w:rPr>
          <w:rFonts w:asciiTheme="minorHAnsi" w:hAnsiTheme="minorHAnsi" w:cstheme="minorHAnsi"/>
          <w:color w:val="4A4A4A"/>
          <w:sz w:val="22"/>
          <w:szCs w:val="22"/>
        </w:rPr>
      </w:pPr>
      <w:r w:rsidRPr="00486970">
        <w:rPr>
          <w:rStyle w:val="normaltextrun"/>
          <w:rFonts w:asciiTheme="minorHAnsi" w:hAnsiTheme="minorHAnsi" w:cstheme="minorHAnsi"/>
          <w:color w:val="4A4A4A"/>
          <w:sz w:val="22"/>
          <w:szCs w:val="22"/>
          <w:lang w:val="en-GB"/>
        </w:rPr>
        <w:t>Daily dose treatment of the medicine</w:t>
      </w:r>
    </w:p>
    <w:p w14:paraId="17B87A72" w14:textId="0B0F317A" w:rsidR="00F70A66" w:rsidRPr="00486970" w:rsidRDefault="00F70A66" w:rsidP="00397ADD">
      <w:pPr>
        <w:pStyle w:val="paragraph"/>
        <w:numPr>
          <w:ilvl w:val="0"/>
          <w:numId w:val="3"/>
        </w:numPr>
        <w:shd w:val="clear" w:color="auto" w:fill="FFFFFF"/>
        <w:spacing w:before="0" w:beforeAutospacing="0" w:after="0" w:afterAutospacing="0"/>
        <w:ind w:left="1080" w:firstLine="0"/>
        <w:textAlignment w:val="baseline"/>
        <w:rPr>
          <w:rFonts w:asciiTheme="minorHAnsi" w:hAnsiTheme="minorHAnsi" w:cstheme="minorHAnsi"/>
          <w:color w:val="4A4A4A"/>
          <w:sz w:val="22"/>
          <w:szCs w:val="22"/>
        </w:rPr>
      </w:pPr>
      <w:r w:rsidRPr="00486970">
        <w:rPr>
          <w:rStyle w:val="normaltextrun"/>
          <w:rFonts w:asciiTheme="minorHAnsi" w:hAnsiTheme="minorHAnsi" w:cstheme="minorHAnsi"/>
          <w:color w:val="4A4A4A"/>
          <w:sz w:val="22"/>
          <w:szCs w:val="22"/>
          <w:lang w:val="en-GB"/>
        </w:rPr>
        <w:t>National poverty line</w:t>
      </w:r>
    </w:p>
    <w:p w14:paraId="1B3E29A7" w14:textId="06D128DE" w:rsidR="00F70A66" w:rsidRPr="00486970" w:rsidRDefault="00F70A66" w:rsidP="00397ADD">
      <w:pPr>
        <w:pStyle w:val="paragraph"/>
        <w:numPr>
          <w:ilvl w:val="0"/>
          <w:numId w:val="3"/>
        </w:numPr>
        <w:shd w:val="clear" w:color="auto" w:fill="FFFFFF"/>
        <w:spacing w:before="0" w:beforeAutospacing="0" w:after="0" w:afterAutospacing="0"/>
        <w:ind w:left="1080" w:firstLine="0"/>
        <w:textAlignment w:val="baseline"/>
        <w:rPr>
          <w:rFonts w:asciiTheme="minorHAnsi" w:hAnsiTheme="minorHAnsi" w:cstheme="minorHAnsi"/>
          <w:color w:val="4A4A4A"/>
          <w:sz w:val="22"/>
          <w:szCs w:val="22"/>
        </w:rPr>
      </w:pPr>
      <w:r w:rsidRPr="00486970">
        <w:rPr>
          <w:rStyle w:val="normaltextrun"/>
          <w:rFonts w:asciiTheme="minorHAnsi" w:hAnsiTheme="minorHAnsi" w:cstheme="minorHAnsi"/>
          <w:color w:val="4A4A4A"/>
          <w:sz w:val="22"/>
          <w:szCs w:val="22"/>
          <w:lang w:val="en-GB"/>
        </w:rPr>
        <w:t>Wage of the lowest paid unskilled government worker</w:t>
      </w:r>
    </w:p>
    <w:p w14:paraId="3AD0B506" w14:textId="21197F87" w:rsidR="00F70A66" w:rsidRPr="00486970" w:rsidRDefault="00F70A66" w:rsidP="00397ADD">
      <w:pPr>
        <w:pStyle w:val="paragraph"/>
        <w:numPr>
          <w:ilvl w:val="0"/>
          <w:numId w:val="4"/>
        </w:numPr>
        <w:shd w:val="clear" w:color="auto" w:fill="FFFFFF"/>
        <w:spacing w:before="0" w:beforeAutospacing="0" w:after="0" w:afterAutospacing="0"/>
        <w:ind w:left="360" w:firstLine="0"/>
        <w:textAlignment w:val="baseline"/>
        <w:rPr>
          <w:rFonts w:asciiTheme="minorHAnsi" w:hAnsiTheme="minorHAnsi" w:cstheme="minorHAnsi"/>
          <w:color w:val="4A4A4A"/>
          <w:sz w:val="22"/>
          <w:szCs w:val="22"/>
        </w:rPr>
      </w:pPr>
      <w:r w:rsidRPr="00486970">
        <w:rPr>
          <w:rStyle w:val="normaltextrun"/>
          <w:rFonts w:asciiTheme="minorHAnsi" w:hAnsiTheme="minorHAnsi" w:cstheme="minorHAnsi"/>
          <w:color w:val="4A4A4A"/>
          <w:sz w:val="22"/>
          <w:szCs w:val="22"/>
          <w:lang w:val="en-GB"/>
        </w:rPr>
        <w:t>Core set of relevant essential medicines (defined on a global level)</w:t>
      </w:r>
    </w:p>
    <w:p w14:paraId="73BD7A59" w14:textId="58700FB9" w:rsidR="00F70A66" w:rsidRPr="00486970" w:rsidRDefault="00F70A66" w:rsidP="00F70A66">
      <w:pPr>
        <w:pStyle w:val="paragraph"/>
        <w:shd w:val="clear" w:color="auto" w:fill="FFFFFF"/>
        <w:spacing w:before="0" w:beforeAutospacing="0" w:after="0" w:afterAutospacing="0"/>
        <w:ind w:left="720"/>
        <w:jc w:val="both"/>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b/>
          <w:bCs/>
          <w:color w:val="4A4A4A"/>
          <w:sz w:val="22"/>
          <w:szCs w:val="22"/>
          <w:lang w:val="en-GB"/>
        </w:rPr>
        <w:t>→</w:t>
      </w:r>
      <w:r w:rsidRPr="00486970">
        <w:rPr>
          <w:rStyle w:val="normaltextrun"/>
          <w:rFonts w:asciiTheme="minorHAnsi" w:hAnsiTheme="minorHAnsi" w:cstheme="minorHAnsi"/>
          <w:color w:val="4A4A4A"/>
          <w:sz w:val="22"/>
          <w:szCs w:val="22"/>
          <w:lang w:val="en-GB"/>
        </w:rPr>
        <w:t>to apply</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core set of relevant essential medicines</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defined on a global level</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to all</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countries,</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an</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additional concept</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is used:</w:t>
      </w:r>
    </w:p>
    <w:p w14:paraId="470B9A00" w14:textId="34889CB6" w:rsidR="00F70A66" w:rsidRPr="00AC1F56" w:rsidRDefault="00F70A66" w:rsidP="00397ADD">
      <w:pPr>
        <w:pStyle w:val="paragraph"/>
        <w:numPr>
          <w:ilvl w:val="0"/>
          <w:numId w:val="5"/>
        </w:numPr>
        <w:shd w:val="clear" w:color="auto" w:fill="FFFFFF"/>
        <w:spacing w:before="0" w:beforeAutospacing="0" w:after="0" w:afterAutospacing="0"/>
        <w:ind w:left="1080" w:firstLine="0"/>
        <w:jc w:val="both"/>
        <w:textAlignment w:val="baseline"/>
        <w:rPr>
          <w:rStyle w:val="normaltextrun"/>
          <w:rFonts w:asciiTheme="minorHAnsi" w:hAnsiTheme="minorHAnsi" w:cstheme="minorHAnsi"/>
          <w:color w:val="4A4A4A"/>
          <w:sz w:val="22"/>
          <w:szCs w:val="22"/>
        </w:rPr>
      </w:pPr>
      <w:r w:rsidRPr="00486970">
        <w:rPr>
          <w:rStyle w:val="normaltextrun"/>
          <w:rFonts w:asciiTheme="minorHAnsi" w:hAnsiTheme="minorHAnsi" w:cstheme="minorHAnsi"/>
          <w:color w:val="4A4A4A"/>
          <w:sz w:val="22"/>
          <w:szCs w:val="22"/>
          <w:lang w:val="en-GB"/>
        </w:rPr>
        <w:t>global burden of disease</w:t>
      </w:r>
    </w:p>
    <w:p w14:paraId="77F0C5F5" w14:textId="77777777" w:rsidR="00AC1F56" w:rsidRPr="00486970" w:rsidRDefault="00AC1F56" w:rsidP="005B2719">
      <w:pPr>
        <w:pStyle w:val="paragraph"/>
        <w:shd w:val="clear" w:color="auto" w:fill="FFFFFF"/>
        <w:spacing w:before="0" w:beforeAutospacing="0" w:after="0" w:afterAutospacing="0"/>
        <w:ind w:left="1080"/>
        <w:jc w:val="both"/>
        <w:textAlignment w:val="baseline"/>
        <w:rPr>
          <w:rFonts w:asciiTheme="minorHAnsi" w:hAnsiTheme="minorHAnsi" w:cstheme="minorHAnsi"/>
          <w:color w:val="4A4A4A"/>
          <w:sz w:val="22"/>
          <w:szCs w:val="22"/>
        </w:rPr>
      </w:pPr>
    </w:p>
    <w:p w14:paraId="1346A686" w14:textId="4ACEC141" w:rsidR="00F70A66" w:rsidRPr="00486970" w:rsidRDefault="00F70A66" w:rsidP="00F70A66">
      <w:pPr>
        <w:pStyle w:val="paragraph"/>
        <w:shd w:val="clear" w:color="auto" w:fill="FFFFFF"/>
        <w:spacing w:before="0" w:beforeAutospacing="0" w:after="0" w:afterAutospacing="0"/>
        <w:jc w:val="both"/>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color w:val="4A4A4A"/>
          <w:sz w:val="22"/>
          <w:szCs w:val="22"/>
          <w:lang w:val="en-GB"/>
        </w:rPr>
        <w:t>1)A medicine is</w:t>
      </w:r>
      <w:r w:rsidR="00AC1F56">
        <w:rPr>
          <w:rStyle w:val="normaltextrun"/>
          <w:rFonts w:asciiTheme="minorHAnsi" w:hAnsiTheme="minorHAnsi" w:cstheme="minorHAnsi"/>
          <w:color w:val="4A4A4A"/>
          <w:sz w:val="22"/>
          <w:szCs w:val="22"/>
          <w:lang w:val="en-GB"/>
        </w:rPr>
        <w:t xml:space="preserve"> </w:t>
      </w:r>
      <w:r w:rsidRPr="003B6F65">
        <w:rPr>
          <w:rStyle w:val="normaltextrun"/>
          <w:rFonts w:asciiTheme="minorHAnsi" w:hAnsiTheme="minorHAnsi" w:cstheme="minorHAnsi"/>
          <w:color w:val="4A4A4A"/>
          <w:sz w:val="22"/>
          <w:szCs w:val="22"/>
          <w:u w:val="single"/>
          <w:lang w:val="en-GB"/>
        </w:rPr>
        <w:t>available</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in a facility</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when it is</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found in this facility by the interviewer</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on the day of</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data collection.</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Availability is measured as a binary variable with 1=medicine is available and 0=otherwise.</w:t>
      </w:r>
    </w:p>
    <w:p w14:paraId="186F30D5" w14:textId="7E1DD0E1" w:rsidR="00F70A66" w:rsidRPr="00486970" w:rsidRDefault="00F70A66" w:rsidP="00F70A66">
      <w:pPr>
        <w:pStyle w:val="paragraph"/>
        <w:shd w:val="clear" w:color="auto" w:fill="FFFFFF"/>
        <w:spacing w:before="0" w:beforeAutospacing="0" w:after="0" w:afterAutospacing="0"/>
        <w:jc w:val="both"/>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color w:val="4A4A4A"/>
          <w:sz w:val="22"/>
          <w:szCs w:val="22"/>
          <w:lang w:val="en-GB"/>
        </w:rPr>
        <w:t>2) A medicine is</w:t>
      </w:r>
      <w:r w:rsidR="00AC1F56">
        <w:rPr>
          <w:rStyle w:val="normaltextrun"/>
          <w:rFonts w:asciiTheme="minorHAnsi" w:hAnsiTheme="minorHAnsi" w:cstheme="minorHAnsi"/>
          <w:color w:val="4A4A4A"/>
          <w:sz w:val="22"/>
          <w:szCs w:val="22"/>
          <w:lang w:val="en-GB"/>
        </w:rPr>
        <w:t xml:space="preserve"> </w:t>
      </w:r>
      <w:r w:rsidRPr="003B6F65">
        <w:rPr>
          <w:rStyle w:val="normaltextrun"/>
          <w:rFonts w:asciiTheme="minorHAnsi" w:hAnsiTheme="minorHAnsi" w:cstheme="minorHAnsi"/>
          <w:color w:val="4A4A4A"/>
          <w:sz w:val="22"/>
          <w:szCs w:val="22"/>
          <w:u w:val="single"/>
          <w:lang w:val="en-GB"/>
        </w:rPr>
        <w:t>affordable</w:t>
      </w:r>
      <w:r w:rsidR="00AC1F56">
        <w:rPr>
          <w:rStyle w:val="normaltextrun"/>
          <w:rFonts w:asciiTheme="minorHAnsi" w:hAnsiTheme="minorHAnsi" w:cstheme="minorHAnsi"/>
          <w:color w:val="4A4A4A"/>
          <w:sz w:val="22"/>
          <w:szCs w:val="22"/>
          <w:u w:val="single"/>
          <w:lang w:val="en-GB"/>
        </w:rPr>
        <w:t xml:space="preserve"> </w:t>
      </w:r>
      <w:r w:rsidRPr="00486970">
        <w:rPr>
          <w:rStyle w:val="normaltextrun"/>
          <w:rFonts w:asciiTheme="minorHAnsi" w:hAnsiTheme="minorHAnsi" w:cstheme="minorHAnsi"/>
          <w:color w:val="4A4A4A"/>
          <w:sz w:val="22"/>
          <w:szCs w:val="22"/>
          <w:lang w:val="en-GB"/>
        </w:rPr>
        <w:t>when no extra daily wages (EDW) are needed for the lowest paid unskilled government sector worker (LPGW wage) to purchase a monthly dose treatment of this medicine after fulfilling basic needs represented by the national poverty line (NPL). Affordability is measured as a ratio</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of 1) the</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sum of the NPL and</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the</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price per daily</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dose of</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treatment of the medicine (DDD), over</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2)</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the LPGW salary. This</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measures the</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number of extra daily wages</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needed to cover the cost of the medicines in the core set and that can</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vary</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between 0 and infinity.</w:t>
      </w:r>
    </w:p>
    <w:p w14:paraId="7CB12029" w14:textId="2FC43AF3" w:rsidR="00F70A66" w:rsidRPr="00486970" w:rsidRDefault="00F70A66" w:rsidP="00F70A66">
      <w:pPr>
        <w:pStyle w:val="paragraph"/>
        <w:shd w:val="clear" w:color="auto" w:fill="FFFFFF"/>
        <w:spacing w:before="0" w:beforeAutospacing="0" w:after="0" w:afterAutospacing="0"/>
        <w:ind w:left="720"/>
        <w:jc w:val="both"/>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i/>
          <w:iCs/>
          <w:color w:val="4A4A4A"/>
          <w:sz w:val="22"/>
          <w:szCs w:val="22"/>
          <w:lang w:val="en-GB"/>
        </w:rPr>
        <w:t>2.a)</w:t>
      </w:r>
      <w:r w:rsidR="00AC1F56">
        <w:rPr>
          <w:rStyle w:val="normaltextrun"/>
          <w:rFonts w:asciiTheme="minorHAnsi" w:hAnsiTheme="minorHAnsi" w:cstheme="minorHAnsi"/>
          <w:i/>
          <w:iCs/>
          <w:color w:val="4A4A4A"/>
          <w:sz w:val="22"/>
          <w:szCs w:val="22"/>
          <w:lang w:val="en-GB"/>
        </w:rPr>
        <w:t xml:space="preserve"> </w:t>
      </w:r>
      <w:r w:rsidRPr="00486970">
        <w:rPr>
          <w:rStyle w:val="normaltextrun"/>
          <w:rFonts w:asciiTheme="minorHAnsi" w:hAnsiTheme="minorHAnsi" w:cstheme="minorHAnsi"/>
          <w:i/>
          <w:iCs/>
          <w:color w:val="4A4A4A"/>
          <w:sz w:val="22"/>
          <w:szCs w:val="22"/>
          <w:lang w:val="en-GB"/>
        </w:rPr>
        <w:t>Daily</w:t>
      </w:r>
      <w:r w:rsidR="00AC1F56">
        <w:rPr>
          <w:rStyle w:val="normaltextrun"/>
          <w:rFonts w:asciiTheme="minorHAnsi" w:hAnsiTheme="minorHAnsi" w:cstheme="minorHAnsi"/>
          <w:i/>
          <w:iCs/>
          <w:color w:val="4A4A4A"/>
          <w:sz w:val="22"/>
          <w:szCs w:val="22"/>
          <w:lang w:val="en-GB"/>
        </w:rPr>
        <w:t xml:space="preserve"> </w:t>
      </w:r>
      <w:r w:rsidRPr="00486970">
        <w:rPr>
          <w:rStyle w:val="normaltextrun"/>
          <w:rFonts w:asciiTheme="minorHAnsi" w:hAnsiTheme="minorHAnsi" w:cstheme="minorHAnsi"/>
          <w:i/>
          <w:iCs/>
          <w:color w:val="4A4A4A"/>
          <w:sz w:val="22"/>
          <w:szCs w:val="22"/>
          <w:lang w:val="en-GB"/>
        </w:rPr>
        <w:t>dose of</w:t>
      </w:r>
      <w:r w:rsidR="00AC1F56">
        <w:rPr>
          <w:rStyle w:val="normaltextrun"/>
          <w:rFonts w:asciiTheme="minorHAnsi" w:hAnsiTheme="minorHAnsi" w:cstheme="minorHAnsi"/>
          <w:i/>
          <w:iCs/>
          <w:color w:val="4A4A4A"/>
          <w:sz w:val="22"/>
          <w:szCs w:val="22"/>
          <w:lang w:val="en-GB"/>
        </w:rPr>
        <w:t xml:space="preserve"> </w:t>
      </w:r>
      <w:r w:rsidRPr="00486970">
        <w:rPr>
          <w:rStyle w:val="normaltextrun"/>
          <w:rFonts w:asciiTheme="minorHAnsi" w:hAnsiTheme="minorHAnsi" w:cstheme="minorHAnsi"/>
          <w:i/>
          <w:iCs/>
          <w:color w:val="4A4A4A"/>
          <w:sz w:val="22"/>
          <w:szCs w:val="22"/>
          <w:lang w:val="en-GB"/>
        </w:rPr>
        <w:t>treatment (DDD)</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is an average maintenance dose per day for a medicine used for its main indication in adults.</w:t>
      </w:r>
      <w:r w:rsidRPr="00486970">
        <w:rPr>
          <w:rStyle w:val="superscript"/>
          <w:rFonts w:asciiTheme="minorHAnsi" w:hAnsiTheme="minorHAnsi" w:cstheme="minorHAnsi"/>
          <w:color w:val="4A4A4A"/>
          <w:sz w:val="17"/>
          <w:szCs w:val="17"/>
          <w:vertAlign w:val="superscript"/>
          <w:lang w:val="en-GB"/>
        </w:rPr>
        <w:t>2</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DDDs</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allow</w:t>
      </w:r>
      <w:r w:rsidR="00AC1F5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comparisons of medicine use despite differences in strength, quantity or pack size.</w:t>
      </w:r>
    </w:p>
    <w:p w14:paraId="322BBB5B" w14:textId="44345D29" w:rsidR="00F70A66" w:rsidRPr="00486970" w:rsidRDefault="00F70A66" w:rsidP="00F70A66">
      <w:pPr>
        <w:pStyle w:val="paragraph"/>
        <w:shd w:val="clear" w:color="auto" w:fill="FFFFFF"/>
        <w:spacing w:before="0" w:beforeAutospacing="0" w:after="0" w:afterAutospacing="0"/>
        <w:ind w:left="720"/>
        <w:jc w:val="both"/>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i/>
          <w:iCs/>
          <w:color w:val="4A4A4A"/>
          <w:sz w:val="22"/>
          <w:szCs w:val="22"/>
          <w:lang w:val="en-GB"/>
        </w:rPr>
        <w:t>2.b) National poverty line (NLP)</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is the benchmark for estimating poverty indicators that are consistent with the country's specific economic and social circumstances. NPLs reflect local perceptions of the level and composition of consumption or income needed to be non-poor.</w:t>
      </w:r>
    </w:p>
    <w:p w14:paraId="52BF72A4" w14:textId="587381DE" w:rsidR="00F70A66" w:rsidRPr="00486970" w:rsidRDefault="00F70A66" w:rsidP="00F70A66">
      <w:pPr>
        <w:pStyle w:val="paragraph"/>
        <w:spacing w:before="0" w:beforeAutospacing="0" w:after="0" w:afterAutospacing="0"/>
        <w:ind w:left="720"/>
        <w:jc w:val="both"/>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color w:val="4A4A4A"/>
          <w:sz w:val="22"/>
          <w:szCs w:val="22"/>
          <w:lang w:val="en-GB"/>
        </w:rPr>
        <w:t>2.c)</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W</w:t>
      </w:r>
      <w:r w:rsidRPr="00486970">
        <w:rPr>
          <w:rStyle w:val="normaltextrun"/>
          <w:rFonts w:asciiTheme="minorHAnsi" w:hAnsiTheme="minorHAnsi" w:cstheme="minorHAnsi"/>
          <w:i/>
          <w:iCs/>
          <w:color w:val="4A4A4A"/>
          <w:sz w:val="22"/>
          <w:szCs w:val="22"/>
          <w:lang w:val="en-GB"/>
        </w:rPr>
        <w:t>age</w:t>
      </w:r>
      <w:r w:rsidR="00694499">
        <w:rPr>
          <w:rStyle w:val="normaltextrun"/>
          <w:rFonts w:asciiTheme="minorHAnsi" w:hAnsiTheme="minorHAnsi" w:cstheme="minorHAnsi"/>
          <w:i/>
          <w:iCs/>
          <w:color w:val="4A4A4A"/>
          <w:sz w:val="22"/>
          <w:szCs w:val="22"/>
          <w:lang w:val="en-GB"/>
        </w:rPr>
        <w:t xml:space="preserve"> </w:t>
      </w:r>
      <w:r w:rsidRPr="00486970">
        <w:rPr>
          <w:rStyle w:val="normaltextrun"/>
          <w:rFonts w:asciiTheme="minorHAnsi" w:hAnsiTheme="minorHAnsi" w:cstheme="minorHAnsi"/>
          <w:i/>
          <w:iCs/>
          <w:color w:val="4A4A4A"/>
          <w:sz w:val="22"/>
          <w:szCs w:val="22"/>
          <w:lang w:val="en-GB"/>
        </w:rPr>
        <w:t>of the lowest paid unskilled government worker (LPGW</w:t>
      </w:r>
      <w:r w:rsidR="00694499">
        <w:rPr>
          <w:rStyle w:val="normaltextrun"/>
          <w:rFonts w:asciiTheme="minorHAnsi" w:hAnsiTheme="minorHAnsi" w:cstheme="minorHAnsi"/>
          <w:i/>
          <w:iCs/>
          <w:color w:val="4A4A4A"/>
          <w:sz w:val="22"/>
          <w:szCs w:val="22"/>
          <w:lang w:val="en-GB"/>
        </w:rPr>
        <w:t xml:space="preserve"> </w:t>
      </w:r>
      <w:r w:rsidRPr="00486970">
        <w:rPr>
          <w:rStyle w:val="normaltextrun"/>
          <w:rFonts w:asciiTheme="minorHAnsi" w:hAnsiTheme="minorHAnsi" w:cstheme="minorHAnsi"/>
          <w:color w:val="4A4A4A"/>
          <w:sz w:val="22"/>
          <w:szCs w:val="22"/>
          <w:lang w:val="en-GB"/>
        </w:rPr>
        <w:t>is</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minimum living wage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that employees are entitled to receive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to</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ensure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overcome of poverty</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and</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reduction of</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inequalities.</w:t>
      </w:r>
    </w:p>
    <w:p w14:paraId="64244C9E" w14:textId="5F3F8616" w:rsidR="00F70A66" w:rsidRDefault="00F70A66" w:rsidP="006D207C">
      <w:pPr>
        <w:pStyle w:val="paragraph"/>
        <w:spacing w:before="0" w:beforeAutospacing="0" w:after="0" w:afterAutospacing="0"/>
        <w:jc w:val="both"/>
        <w:textAlignment w:val="baseline"/>
        <w:rPr>
          <w:rStyle w:val="eop"/>
          <w:rFonts w:asciiTheme="minorHAnsi" w:hAnsiTheme="minorHAnsi" w:cstheme="minorHAnsi"/>
          <w:color w:val="4A4A4A"/>
          <w:sz w:val="10"/>
          <w:szCs w:val="10"/>
        </w:rPr>
      </w:pPr>
      <w:r w:rsidRPr="00486970">
        <w:rPr>
          <w:rStyle w:val="normaltextrun"/>
          <w:rFonts w:asciiTheme="minorHAnsi" w:hAnsiTheme="minorHAnsi" w:cstheme="minorHAnsi"/>
          <w:color w:val="4A4A4A"/>
          <w:sz w:val="22"/>
          <w:szCs w:val="22"/>
          <w:lang w:val="en-GB"/>
        </w:rPr>
        <w:t>In other words, affordability of a medicine identifies how many (if any) extra daily wages are needed for an individual who earns</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the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LPGW wage to be able to purchase a medicine. The computed EDW ratio aims to indicate whether the LPGW wage is enough for the individual who earns the lowest possible income to cover</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1) the daily expenditures for food and non-food items used to define (relative or absolute) poverty using national standards (NPL) and 2)</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the daily needs for a medicine (DDD). This ratio then requires transformation into a binary variable where medicine is affordable when zero extra daily wages are required to purchase it and not affordable otherwise.</w:t>
      </w:r>
      <w:r w:rsidRPr="00486970">
        <w:rPr>
          <w:rStyle w:val="eop"/>
          <w:rFonts w:asciiTheme="minorHAnsi" w:hAnsiTheme="minorHAnsi" w:cstheme="minorHAnsi"/>
          <w:color w:val="4A4A4A"/>
          <w:sz w:val="10"/>
          <w:szCs w:val="10"/>
        </w:rPr>
        <w:t> </w:t>
      </w:r>
    </w:p>
    <w:p w14:paraId="2307DE19" w14:textId="77777777" w:rsidR="005B2719" w:rsidRPr="00486970" w:rsidRDefault="005B2719" w:rsidP="006D207C">
      <w:pPr>
        <w:pStyle w:val="paragraph"/>
        <w:spacing w:before="0" w:beforeAutospacing="0" w:after="0" w:afterAutospacing="0"/>
        <w:jc w:val="both"/>
        <w:textAlignment w:val="baseline"/>
        <w:rPr>
          <w:rFonts w:asciiTheme="minorHAnsi" w:hAnsiTheme="minorHAnsi" w:cstheme="minorHAnsi"/>
          <w:color w:val="4A4A4A"/>
          <w:sz w:val="18"/>
          <w:szCs w:val="18"/>
        </w:rPr>
      </w:pPr>
    </w:p>
    <w:p w14:paraId="5F9C3957" w14:textId="3C11DE2D" w:rsidR="00F70A66" w:rsidRPr="00486970" w:rsidRDefault="00F70A66" w:rsidP="00F70A66">
      <w:pPr>
        <w:pStyle w:val="paragraph"/>
        <w:shd w:val="clear" w:color="auto" w:fill="FFFFFF"/>
        <w:spacing w:before="0" w:beforeAutospacing="0" w:after="0" w:afterAutospacing="0"/>
        <w:jc w:val="both"/>
        <w:textAlignment w:val="baseline"/>
        <w:rPr>
          <w:rFonts w:asciiTheme="minorHAnsi" w:hAnsiTheme="minorHAnsi" w:cstheme="minorHAnsi"/>
          <w:color w:val="4A4A4A"/>
          <w:sz w:val="18"/>
          <w:szCs w:val="18"/>
        </w:rPr>
      </w:pPr>
      <w:r w:rsidRPr="003B6F65">
        <w:rPr>
          <w:rStyle w:val="normaltextrun"/>
          <w:rFonts w:asciiTheme="minorHAnsi" w:hAnsiTheme="minorHAnsi" w:cstheme="minorHAnsi"/>
          <w:color w:val="4A4A4A"/>
          <w:sz w:val="22"/>
          <w:szCs w:val="22"/>
          <w:lang w:val="en-GB"/>
        </w:rPr>
        <w:t>3)The</w:t>
      </w:r>
      <w:r w:rsidR="00694499">
        <w:rPr>
          <w:rStyle w:val="normaltextrun"/>
          <w:rFonts w:asciiTheme="minorHAnsi" w:hAnsiTheme="minorHAnsi" w:cstheme="minorHAnsi"/>
          <w:color w:val="4A4A4A"/>
          <w:sz w:val="22"/>
          <w:szCs w:val="22"/>
          <w:lang w:val="en-GB"/>
        </w:rPr>
        <w:t xml:space="preserve"> </w:t>
      </w:r>
      <w:r w:rsidRPr="003B6F65">
        <w:rPr>
          <w:rStyle w:val="normaltextrun"/>
          <w:rFonts w:asciiTheme="minorHAnsi" w:hAnsiTheme="minorHAnsi" w:cstheme="minorHAnsi"/>
          <w:color w:val="4A4A4A"/>
          <w:sz w:val="22"/>
          <w:szCs w:val="22"/>
          <w:u w:val="single"/>
          <w:lang w:val="en-GB"/>
        </w:rPr>
        <w:t>core set of relevant essential medicines</w:t>
      </w:r>
      <w:r w:rsidR="00694499">
        <w:rPr>
          <w:rStyle w:val="normaltextrun"/>
          <w:rFonts w:asciiTheme="minorHAnsi" w:hAnsiTheme="minorHAnsi" w:cstheme="minorHAnsi"/>
          <w:color w:val="4A4A4A"/>
          <w:sz w:val="22"/>
          <w:szCs w:val="22"/>
          <w:u w:val="single"/>
          <w:lang w:val="en-GB"/>
        </w:rPr>
        <w:t xml:space="preserve"> </w:t>
      </w:r>
      <w:r w:rsidRPr="00486970">
        <w:rPr>
          <w:rStyle w:val="normaltextrun"/>
          <w:rFonts w:asciiTheme="minorHAnsi" w:hAnsiTheme="minorHAnsi" w:cstheme="minorHAnsi"/>
          <w:color w:val="4A4A4A"/>
          <w:sz w:val="22"/>
          <w:szCs w:val="22"/>
          <w:lang w:val="en-GB"/>
        </w:rPr>
        <w:t>is a</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list of</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32</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tracer</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essential</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medicines for</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acute and chronic, communicable and non-communicable diseases in the primary health care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setting.</w:t>
      </w:r>
    </w:p>
    <w:p w14:paraId="0750A6AF" w14:textId="48CC0D32" w:rsidR="00F70A66" w:rsidRPr="00486970" w:rsidRDefault="00F70A66" w:rsidP="00F70A66">
      <w:pPr>
        <w:pStyle w:val="paragraph"/>
        <w:shd w:val="clear" w:color="auto" w:fill="FFFFFF"/>
        <w:spacing w:before="0" w:beforeAutospacing="0" w:after="0" w:afterAutospacing="0"/>
        <w:jc w:val="both"/>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color w:val="4A4A4A"/>
          <w:sz w:val="22"/>
          <w:szCs w:val="22"/>
          <w:lang w:val="en-GB"/>
        </w:rPr>
        <w:lastRenderedPageBreak/>
        <w:t>This basket of medicines has been selected from the 2017 WHO Model List of Essential Medicines and used in primary health care.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By definition, essential</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medicines are those that satisfy the priority health care needs of the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population and</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are selected for inclusion on the Model List based on due consideration of disease prevalence, evidence of efficacy and safety, and consideration of cost and cost-effectiveness.</w:t>
      </w:r>
    </w:p>
    <w:p w14:paraId="3C174684" w14:textId="6613C4F4" w:rsidR="00F70A66" w:rsidRPr="00486970" w:rsidRDefault="00F70A66" w:rsidP="00F70A66">
      <w:pPr>
        <w:pStyle w:val="paragraph"/>
        <w:shd w:val="clear" w:color="auto" w:fill="FFFFFF"/>
        <w:spacing w:before="0" w:beforeAutospacing="0" w:after="0" w:afterAutospacing="0"/>
        <w:jc w:val="both"/>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color w:val="4A4A4A"/>
          <w:sz w:val="22"/>
          <w:szCs w:val="22"/>
          <w:lang w:val="en-GB"/>
        </w:rPr>
        <w:t>These medicines</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are listed in</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i/>
          <w:iCs/>
          <w:color w:val="4A4A4A"/>
          <w:sz w:val="22"/>
          <w:szCs w:val="22"/>
          <w:lang w:val="en-GB"/>
        </w:rPr>
        <w:t>table 1</w:t>
      </w:r>
      <w:r w:rsidR="00694499">
        <w:rPr>
          <w:rStyle w:val="normaltextrun"/>
          <w:rFonts w:asciiTheme="minorHAnsi" w:hAnsiTheme="minorHAnsi" w:cstheme="minorHAnsi"/>
          <w:i/>
          <w:iCs/>
          <w:color w:val="4A4A4A"/>
          <w:sz w:val="22"/>
          <w:szCs w:val="22"/>
          <w:lang w:val="en-GB"/>
        </w:rPr>
        <w:t xml:space="preserve"> </w:t>
      </w:r>
      <w:r w:rsidRPr="00486970">
        <w:rPr>
          <w:rStyle w:val="normaltextrun"/>
          <w:rFonts w:asciiTheme="minorHAnsi" w:hAnsiTheme="minorHAnsi" w:cstheme="minorHAnsi"/>
          <w:color w:val="4A4A4A"/>
          <w:sz w:val="22"/>
          <w:szCs w:val="22"/>
          <w:lang w:val="en-GB"/>
        </w:rPr>
        <w:t>of</w:t>
      </w:r>
      <w:r w:rsidR="00694499">
        <w:rPr>
          <w:rStyle w:val="normaltextrun"/>
          <w:rFonts w:asciiTheme="minorHAnsi" w:hAnsiTheme="minorHAnsi" w:cstheme="minorHAnsi"/>
          <w:color w:val="4A4A4A"/>
          <w:sz w:val="22"/>
          <w:szCs w:val="22"/>
          <w:lang w:val="en-GB"/>
        </w:rPr>
        <w:t xml:space="preserve"> </w:t>
      </w:r>
      <w:r w:rsidRPr="003B6F65">
        <w:rPr>
          <w:rStyle w:val="normaltextrun"/>
          <w:rFonts w:asciiTheme="minorHAnsi" w:hAnsiTheme="minorHAnsi" w:cstheme="minorHAnsi"/>
          <w:color w:val="4A4A4A"/>
          <w:sz w:val="22"/>
          <w:szCs w:val="22"/>
          <w:u w:val="single"/>
          <w:lang w:val="en-GB"/>
        </w:rPr>
        <w:t>Annex 1</w:t>
      </w:r>
      <w:r w:rsidRPr="00486970">
        <w:rPr>
          <w:rStyle w:val="normaltextrun"/>
          <w:rFonts w:asciiTheme="minorHAnsi" w:hAnsiTheme="minorHAnsi" w:cstheme="minorHAnsi"/>
          <w:color w:val="4A4A4A"/>
          <w:sz w:val="22"/>
          <w:szCs w:val="22"/>
          <w:lang w:val="en-GB"/>
        </w:rPr>
        <w:t>, where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detailed justification for including each medicine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is also provided,</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as well as online references</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for</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the relevant treatment guidelines and sections in the WHO List of Essential Medicines.</w:t>
      </w:r>
    </w:p>
    <w:p w14:paraId="63F8FF9B" w14:textId="7A04B531" w:rsidR="00F70A66" w:rsidRPr="00486970" w:rsidRDefault="00F70A66" w:rsidP="00F70A66">
      <w:pPr>
        <w:pStyle w:val="paragraph"/>
        <w:shd w:val="clear" w:color="auto" w:fill="FFFFFF"/>
        <w:spacing w:before="0" w:beforeAutospacing="0" w:after="0" w:afterAutospacing="0"/>
        <w:jc w:val="both"/>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color w:val="4A4A4A"/>
          <w:sz w:val="22"/>
          <w:szCs w:val="22"/>
          <w:lang w:val="en-GB"/>
        </w:rPr>
        <w:t>This list of medicines is</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intended as a</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global</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reference.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However, to address regional and country specificities in terms of medicine needs, the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medicines</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in this basket</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are weighted according to the regional burden of disease.</w:t>
      </w:r>
    </w:p>
    <w:p w14:paraId="6272CC5A" w14:textId="7FE03254" w:rsidR="00F70A66" w:rsidRPr="00486970" w:rsidRDefault="00F70A66" w:rsidP="00F70A66">
      <w:pPr>
        <w:pStyle w:val="paragraph"/>
        <w:shd w:val="clear" w:color="auto" w:fill="FFFFFF"/>
        <w:spacing w:before="0" w:beforeAutospacing="0" w:after="0" w:afterAutospacing="0"/>
        <w:ind w:left="720"/>
        <w:jc w:val="both"/>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color w:val="4A4A4A"/>
          <w:sz w:val="22"/>
          <w:szCs w:val="22"/>
          <w:lang w:val="en-GB"/>
        </w:rPr>
        <w:t>3.a)</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The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i/>
          <w:iCs/>
          <w:color w:val="4A4A4A"/>
          <w:sz w:val="22"/>
          <w:szCs w:val="22"/>
          <w:lang w:val="en-GB"/>
        </w:rPr>
        <w:t>global burden of disease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is an assessment of the health of the world's population. More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specifically,</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disease burden</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provides</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information on the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global and regional estimates of premature mortality, disability and loss of health for causes. The summary measure used to give an indication of the burden of disease is the disability adjusted life years (DALYs),</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which represent</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 person’s loss of the equivalent of one year of full health. This metric incorporates years of life lost due to death and years of life lost through living in states of less than full health (or disability).</w:t>
      </w:r>
    </w:p>
    <w:p w14:paraId="153B09C3" w14:textId="77777777" w:rsidR="00D51E7C" w:rsidRPr="00486970" w:rsidRDefault="00D51E7C" w:rsidP="00576CFA">
      <w:pPr>
        <w:pStyle w:val="MText"/>
        <w:rPr>
          <w:rFonts w:cstheme="minorHAnsi"/>
        </w:rPr>
      </w:pPr>
    </w:p>
    <w:p w14:paraId="7932F8BD" w14:textId="3869C451" w:rsidR="008B0AC7" w:rsidRPr="00486970" w:rsidRDefault="00576CFA" w:rsidP="00F719A8">
      <w:pPr>
        <w:pStyle w:val="MHeader2"/>
        <w:rPr>
          <w:rFonts w:cstheme="minorHAnsi"/>
        </w:rPr>
      </w:pPr>
      <w:r w:rsidRPr="00486970">
        <w:rPr>
          <w:rFonts w:cstheme="minorHAnsi"/>
        </w:rPr>
        <w:t xml:space="preserve">2.b. Unit of measure </w:t>
      </w:r>
      <w:r>
        <w:rPr>
          <w:color w:val="B4B4B4"/>
          <w:sz w:val="20"/>
        </w:rPr>
        <w:t>(UNIT_MEASURE)</w:t>
      </w:r>
    </w:p>
    <w:p w14:paraId="548E9AAA" w14:textId="77777777" w:rsidR="00EC2915" w:rsidRPr="00486970" w:rsidRDefault="00EC2915" w:rsidP="00576CFA">
      <w:pPr>
        <w:pStyle w:val="MText"/>
        <w:rPr>
          <w:rFonts w:cstheme="minorHAnsi"/>
        </w:rPr>
      </w:pPr>
    </w:p>
    <w:p w14:paraId="651AA7AC" w14:textId="5144B8C4" w:rsidR="00DA615C" w:rsidRPr="00486970" w:rsidRDefault="008B0AC7" w:rsidP="00F719A8">
      <w:pPr>
        <w:pStyle w:val="MHeader2"/>
        <w:rPr>
          <w:rFonts w:cstheme="minorHAnsi"/>
        </w:rPr>
      </w:pPr>
      <w:r w:rsidRPr="00486970">
        <w:rPr>
          <w:rFonts w:cstheme="minorHAnsi"/>
        </w:rPr>
        <w:t xml:space="preserve">2.c. Classifications </w:t>
      </w:r>
      <w:r>
        <w:rPr>
          <w:color w:val="B4B4B4"/>
          <w:sz w:val="20"/>
        </w:rPr>
        <w:t>(CLASS_SYSTEM)</w:t>
      </w:r>
    </w:p>
    <w:p w14:paraId="39179B73" w14:textId="499EC3F4" w:rsidR="005012B9" w:rsidRDefault="005012B9" w:rsidP="00576CFA">
      <w:pPr>
        <w:pStyle w:val="MText"/>
        <w:rPr>
          <w:rFonts w:cstheme="minorHAnsi"/>
        </w:rPr>
      </w:pPr>
    </w:p>
    <w:p w14:paraId="6AD04320" w14:textId="77777777" w:rsidR="003B6F65" w:rsidRPr="00486970" w:rsidRDefault="003B6F65" w:rsidP="00576CFA">
      <w:pPr>
        <w:pStyle w:val="MText"/>
        <w:rPr>
          <w:rFonts w:cstheme="minorHAnsi"/>
        </w:rPr>
      </w:pPr>
    </w:p>
    <w:p w14:paraId="1D3AEECA" w14:textId="4C5EC949" w:rsidR="00B31E2C" w:rsidRPr="00486970" w:rsidRDefault="00B31E2C" w:rsidP="00F719A8">
      <w:pPr>
        <w:pStyle w:val="MHeader"/>
        <w:rPr>
          <w:rFonts w:cstheme="minorHAnsi"/>
        </w:rPr>
      </w:pPr>
      <w:r w:rsidRPr="00486970">
        <w:rPr>
          <w:rFonts w:cstheme="minorHAnsi"/>
        </w:rPr>
        <w:t xml:space="preserve">3. Data source type and data collection method </w:t>
      </w:r>
      <w:r>
        <w:rPr>
          <w:color w:val="B4B4B4"/>
          <w:sz w:val="20"/>
        </w:rPr>
        <w:t>(SRC_TYPE_COLL_METHOD)</w:t>
      </w:r>
    </w:p>
    <w:p w14:paraId="340B050E" w14:textId="31C09E5F" w:rsidR="008B0AC7" w:rsidRPr="00486970" w:rsidRDefault="008B0AC7" w:rsidP="00F719A8">
      <w:pPr>
        <w:pStyle w:val="MHeader2"/>
        <w:rPr>
          <w:rFonts w:cstheme="minorHAnsi"/>
        </w:rPr>
      </w:pPr>
      <w:r w:rsidRPr="00486970">
        <w:rPr>
          <w:rFonts w:cstheme="minorHAnsi"/>
        </w:rPr>
        <w:t xml:space="preserve">3.a. Data sources </w:t>
      </w:r>
      <w:r>
        <w:rPr>
          <w:color w:val="B4B4B4"/>
          <w:sz w:val="20"/>
        </w:rPr>
        <w:t>(SOURCE_TYPE)</w:t>
      </w:r>
    </w:p>
    <w:p w14:paraId="0CD974B7" w14:textId="77777777" w:rsidR="005012B9" w:rsidRPr="00486970" w:rsidRDefault="005012B9" w:rsidP="005012B9">
      <w:pPr>
        <w:shd w:val="clear" w:color="auto" w:fill="FFFFFF" w:themeFill="background1"/>
        <w:spacing w:after="120" w:line="240" w:lineRule="auto"/>
        <w:jc w:val="both"/>
        <w:rPr>
          <w:rFonts w:eastAsia="Times New Roman" w:cstheme="minorHAnsi"/>
          <w:color w:val="4A4A4A"/>
          <w:lang w:eastAsia="en-GB"/>
        </w:rPr>
      </w:pPr>
      <w:r w:rsidRPr="00486970">
        <w:rPr>
          <w:rFonts w:eastAsia="Times New Roman" w:cstheme="minorHAnsi"/>
          <w:color w:val="4A4A4A"/>
          <w:lang w:eastAsia="en-GB"/>
        </w:rPr>
        <w:t>The indicator relies on three data sources that have been used by countries to collect information on medicine prices and availability:</w:t>
      </w:r>
    </w:p>
    <w:p w14:paraId="0D5F3559" w14:textId="77777777" w:rsidR="005012B9" w:rsidRPr="00486970" w:rsidRDefault="005012B9" w:rsidP="00397ADD">
      <w:pPr>
        <w:numPr>
          <w:ilvl w:val="0"/>
          <w:numId w:val="32"/>
        </w:numPr>
        <w:shd w:val="clear" w:color="auto" w:fill="FFFFFF" w:themeFill="background1"/>
        <w:spacing w:after="120" w:line="240" w:lineRule="auto"/>
        <w:contextualSpacing/>
        <w:rPr>
          <w:rFonts w:cstheme="minorHAnsi"/>
          <w:color w:val="4A4A4A"/>
          <w:lang w:eastAsia="en-GB"/>
        </w:rPr>
      </w:pPr>
      <w:r w:rsidRPr="00486970">
        <w:rPr>
          <w:rFonts w:eastAsia="Times New Roman" w:cstheme="minorHAnsi"/>
          <w:color w:val="4A4A4A"/>
          <w:lang w:eastAsia="en-GB"/>
        </w:rPr>
        <w:t xml:space="preserve">Health Action International Project supported by the WHO </w:t>
      </w:r>
      <w:r w:rsidRPr="00486970">
        <w:rPr>
          <w:rFonts w:eastAsia="Times New Roman" w:cstheme="minorHAnsi"/>
          <w:b/>
          <w:bCs/>
          <w:color w:val="4A4A4A"/>
          <w:lang w:eastAsia="en-GB"/>
        </w:rPr>
        <w:t>[HAI/WHO]</w:t>
      </w:r>
    </w:p>
    <w:p w14:paraId="188E58E6" w14:textId="77777777" w:rsidR="005012B9" w:rsidRPr="00486970" w:rsidRDefault="005012B9" w:rsidP="00397ADD">
      <w:pPr>
        <w:numPr>
          <w:ilvl w:val="0"/>
          <w:numId w:val="32"/>
        </w:numPr>
        <w:shd w:val="clear" w:color="auto" w:fill="FFFFFF" w:themeFill="background1"/>
        <w:spacing w:after="120" w:line="240" w:lineRule="auto"/>
        <w:contextualSpacing/>
        <w:rPr>
          <w:rFonts w:cstheme="minorHAnsi"/>
          <w:color w:val="4A4A4A"/>
          <w:lang w:eastAsia="en-GB"/>
        </w:rPr>
      </w:pPr>
      <w:r w:rsidRPr="00486970">
        <w:rPr>
          <w:rFonts w:eastAsia="Times New Roman" w:cstheme="minorHAnsi"/>
          <w:color w:val="4A4A4A"/>
          <w:lang w:eastAsia="en-GB"/>
        </w:rPr>
        <w:t xml:space="preserve">The Service Availability and Readiness Assessment survey </w:t>
      </w:r>
      <w:r w:rsidRPr="00486970">
        <w:rPr>
          <w:rFonts w:eastAsia="Times New Roman" w:cstheme="minorHAnsi"/>
          <w:b/>
          <w:bCs/>
          <w:color w:val="4A4A4A"/>
          <w:lang w:eastAsia="en-GB"/>
        </w:rPr>
        <w:t>[SARA]</w:t>
      </w:r>
    </w:p>
    <w:p w14:paraId="27F5208F" w14:textId="77777777" w:rsidR="005012B9" w:rsidRPr="00486970" w:rsidRDefault="005012B9" w:rsidP="00397ADD">
      <w:pPr>
        <w:numPr>
          <w:ilvl w:val="0"/>
          <w:numId w:val="32"/>
        </w:numPr>
        <w:shd w:val="clear" w:color="auto" w:fill="FFFFFF" w:themeFill="background1"/>
        <w:spacing w:after="120" w:line="240" w:lineRule="auto"/>
        <w:contextualSpacing/>
        <w:rPr>
          <w:rFonts w:eastAsia="Times New Roman" w:cstheme="minorHAnsi"/>
          <w:color w:val="4A4A4A"/>
          <w:lang w:eastAsia="en-GB"/>
        </w:rPr>
      </w:pPr>
      <w:r w:rsidRPr="00486970">
        <w:rPr>
          <w:rFonts w:eastAsia="Times New Roman" w:cstheme="minorHAnsi"/>
          <w:color w:val="4A4A4A"/>
          <w:lang w:eastAsia="en-GB"/>
        </w:rPr>
        <w:t xml:space="preserve">The WHO Medicines Price and Availability Monitoring mobile application </w:t>
      </w:r>
      <w:r w:rsidRPr="00486970">
        <w:rPr>
          <w:rFonts w:eastAsia="Times New Roman" w:cstheme="minorHAnsi"/>
          <w:b/>
          <w:bCs/>
          <w:color w:val="4A4A4A"/>
          <w:lang w:eastAsia="en-GB"/>
        </w:rPr>
        <w:t>[EMP MedMon]</w:t>
      </w:r>
    </w:p>
    <w:p w14:paraId="01EEDFDA" w14:textId="77777777" w:rsidR="005012B9" w:rsidRPr="00486970" w:rsidRDefault="005012B9" w:rsidP="005012B9">
      <w:pPr>
        <w:shd w:val="clear" w:color="auto" w:fill="FFFFFF" w:themeFill="background1"/>
        <w:spacing w:after="120" w:line="240" w:lineRule="auto"/>
        <w:rPr>
          <w:rFonts w:eastAsia="Times New Roman" w:cstheme="minorHAnsi"/>
          <w:color w:val="4A4A4A"/>
          <w:lang w:eastAsia="en-GB"/>
        </w:rPr>
      </w:pPr>
      <w:r w:rsidRPr="00486970">
        <w:rPr>
          <w:rFonts w:eastAsia="Times New Roman" w:cstheme="minorHAnsi"/>
          <w:color w:val="4A4A4A"/>
          <w:lang w:eastAsia="en-GB"/>
        </w:rPr>
        <w:t xml:space="preserve">Health Action International Project supported by WHO </w:t>
      </w:r>
      <w:r w:rsidRPr="00486970">
        <w:rPr>
          <w:rFonts w:eastAsia="Times New Roman" w:cstheme="minorHAnsi"/>
          <w:b/>
          <w:bCs/>
          <w:color w:val="4A4A4A"/>
          <w:lang w:eastAsia="en-GB"/>
        </w:rPr>
        <w:t>[HAI/WHO]</w:t>
      </w:r>
      <w:r w:rsidRPr="00486970">
        <w:rPr>
          <w:rFonts w:cstheme="minorHAnsi"/>
          <w:color w:val="4A4A4A"/>
        </w:rPr>
        <w:t xml:space="preserve"> </w:t>
      </w:r>
      <w:r w:rsidRPr="00486970">
        <w:rPr>
          <w:rFonts w:eastAsia="Times New Roman" w:cstheme="minorHAnsi"/>
          <w:color w:val="4A4A4A"/>
          <w:lang w:eastAsia="en-GB"/>
        </w:rPr>
        <w:t>provides</w:t>
      </w:r>
      <w:r w:rsidRPr="00486970">
        <w:rPr>
          <w:rFonts w:cstheme="minorHAnsi"/>
          <w:color w:val="4A4A4A"/>
        </w:rPr>
        <w:t xml:space="preserve"> </w:t>
      </w:r>
      <w:r w:rsidRPr="00486970">
        <w:rPr>
          <w:rFonts w:eastAsia="Times New Roman" w:cstheme="minorHAnsi"/>
          <w:color w:val="4A4A4A"/>
          <w:lang w:eastAsia="en-GB"/>
        </w:rPr>
        <w:t xml:space="preserve">data from national and sub-national surveys that have used the WHO/HAI methodology, Measuring Medicine Prices, Availability and Affordability and Price Components. The database is available at the following link: </w:t>
      </w:r>
      <w:hyperlink r:id="rId11">
        <w:r w:rsidRPr="00486970">
          <w:rPr>
            <w:rFonts w:eastAsia="Times New Roman" w:cstheme="minorHAnsi"/>
            <w:color w:val="4A4A4A"/>
            <w:u w:val="single"/>
            <w:lang w:eastAsia="en-GB"/>
          </w:rPr>
          <w:t>http://haiweb.org/what-we-do/price-availability-affordability/price-availability-data/</w:t>
        </w:r>
      </w:hyperlink>
      <w:r w:rsidRPr="00486970">
        <w:rPr>
          <w:rFonts w:eastAsia="Times New Roman" w:cstheme="minorHAnsi"/>
          <w:color w:val="4A4A4A"/>
          <w:lang w:eastAsia="en-GB"/>
        </w:rPr>
        <w:t xml:space="preserve"> </w:t>
      </w:r>
    </w:p>
    <w:p w14:paraId="440E4FC3" w14:textId="77777777" w:rsidR="005012B9" w:rsidRPr="00486970" w:rsidRDefault="005012B9" w:rsidP="005012B9">
      <w:pPr>
        <w:shd w:val="clear" w:color="auto" w:fill="FFFFFF" w:themeFill="background1"/>
        <w:spacing w:after="120" w:line="240" w:lineRule="auto"/>
        <w:jc w:val="both"/>
        <w:rPr>
          <w:rFonts w:eastAsia="Times New Roman" w:cstheme="minorHAnsi"/>
          <w:color w:val="4A4A4A"/>
          <w:lang w:eastAsia="en-GB"/>
        </w:rPr>
      </w:pPr>
      <w:r w:rsidRPr="00486970">
        <w:rPr>
          <w:rFonts w:eastAsia="Times New Roman" w:cstheme="minorHAnsi"/>
          <w:color w:val="4A4A4A"/>
          <w:lang w:eastAsia="en-GB"/>
        </w:rPr>
        <w:t xml:space="preserve">The Service Availability and Readiness Assessment </w:t>
      </w:r>
      <w:r w:rsidRPr="00486970">
        <w:rPr>
          <w:rFonts w:eastAsia="Times New Roman" w:cstheme="minorHAnsi"/>
          <w:b/>
          <w:bCs/>
          <w:color w:val="4A4A4A"/>
          <w:lang w:eastAsia="en-GB"/>
        </w:rPr>
        <w:t xml:space="preserve">[SARA] </w:t>
      </w:r>
      <w:r w:rsidRPr="00486970">
        <w:rPr>
          <w:rFonts w:eastAsia="Times New Roman" w:cstheme="minorHAnsi"/>
          <w:color w:val="4A4A4A"/>
          <w:lang w:eastAsia="en-GB"/>
        </w:rPr>
        <w:t xml:space="preserve">is a health facility assessment tool designed to assess and monitor availability and readiness of the services provided in the health sector and to generate evidence to support the planning and managing of a health system. </w:t>
      </w:r>
    </w:p>
    <w:p w14:paraId="7416D411" w14:textId="77777777" w:rsidR="005012B9" w:rsidRPr="00486970" w:rsidRDefault="005012B9" w:rsidP="005012B9">
      <w:pPr>
        <w:shd w:val="clear" w:color="auto" w:fill="FFFFFF" w:themeFill="background1"/>
        <w:spacing w:after="120" w:line="240" w:lineRule="auto"/>
        <w:jc w:val="both"/>
        <w:rPr>
          <w:rFonts w:eastAsia="Times New Roman" w:cstheme="minorHAnsi"/>
          <w:color w:val="4A4A4A"/>
          <w:lang w:eastAsia="en-GB"/>
        </w:rPr>
      </w:pPr>
      <w:r w:rsidRPr="00486970">
        <w:rPr>
          <w:rFonts w:eastAsia="Times New Roman" w:cstheme="minorHAnsi"/>
          <w:color w:val="4A4A4A"/>
          <w:lang w:eastAsia="en-GB"/>
        </w:rPr>
        <w:t xml:space="preserve">The WHO Medicines Price and Availability Monitoring mobile application </w:t>
      </w:r>
      <w:r w:rsidRPr="00486970">
        <w:rPr>
          <w:rFonts w:eastAsia="Times New Roman" w:cstheme="minorHAnsi"/>
          <w:b/>
          <w:bCs/>
          <w:color w:val="4A4A4A"/>
          <w:lang w:eastAsia="en-GB"/>
        </w:rPr>
        <w:t xml:space="preserve">[EMP MedMon] </w:t>
      </w:r>
      <w:r w:rsidRPr="00486970">
        <w:rPr>
          <w:rFonts w:eastAsia="Times New Roman" w:cstheme="minorHAnsi"/>
          <w:color w:val="4A4A4A"/>
          <w:lang w:eastAsia="en-GB"/>
        </w:rPr>
        <w:t>can be</w:t>
      </w:r>
      <w:r w:rsidRPr="00486970">
        <w:rPr>
          <w:rFonts w:eastAsia="Times New Roman" w:cstheme="minorHAnsi"/>
          <w:b/>
          <w:bCs/>
          <w:color w:val="4A4A4A"/>
          <w:lang w:eastAsia="en-GB"/>
        </w:rPr>
        <w:t xml:space="preserve"> </w:t>
      </w:r>
      <w:r w:rsidRPr="00486970">
        <w:rPr>
          <w:rFonts w:eastAsia="Times New Roman" w:cstheme="minorHAnsi"/>
          <w:color w:val="4A4A4A"/>
          <w:lang w:eastAsia="en-GB"/>
        </w:rPr>
        <w:t xml:space="preserve">considered as an updated version of the HAI/WHO tool for collecting data on medicine prices and availability. This data collection tool was created based on the two previously mentioned existing and well-established methodologies. This application is used at facility level to collect information on availability and price of the agreed-upon core basket of medicines. </w:t>
      </w:r>
    </w:p>
    <w:p w14:paraId="2AD2740F" w14:textId="77777777" w:rsidR="005012B9" w:rsidRPr="00486970" w:rsidRDefault="005012B9" w:rsidP="005012B9">
      <w:pPr>
        <w:shd w:val="clear" w:color="auto" w:fill="FFFFFF" w:themeFill="background1"/>
        <w:spacing w:after="120" w:line="240" w:lineRule="auto"/>
        <w:jc w:val="both"/>
        <w:rPr>
          <w:rFonts w:eastAsia="Times New Roman" w:cstheme="minorHAnsi"/>
          <w:color w:val="4A4A4A"/>
          <w:lang w:eastAsia="en-GB"/>
        </w:rPr>
      </w:pPr>
      <w:r w:rsidRPr="00486970">
        <w:rPr>
          <w:rFonts w:eastAsia="Times New Roman" w:cstheme="minorHAnsi"/>
          <w:color w:val="4A4A4A"/>
          <w:lang w:eastAsia="en-GB"/>
        </w:rPr>
        <w:lastRenderedPageBreak/>
        <w:t>The EMP MedMon is easier to use, faster to conduct and consumes much fewer resources for collecting data. It also allows for a modular approach to defining the basket, which is highly useful and convenient for the purposes of this indicator.</w:t>
      </w:r>
    </w:p>
    <w:p w14:paraId="06E2E78B" w14:textId="77777777" w:rsidR="005012B9" w:rsidRPr="00486970" w:rsidRDefault="005012B9" w:rsidP="005012B9">
      <w:pPr>
        <w:pStyle w:val="MHeader2"/>
        <w:rPr>
          <w:rFonts w:cstheme="minorHAnsi"/>
          <w:color w:val="4A4A4A"/>
          <w:sz w:val="22"/>
          <w:szCs w:val="22"/>
        </w:rPr>
      </w:pPr>
      <w:r w:rsidRPr="00486970">
        <w:rPr>
          <w:rFonts w:cstheme="minorHAnsi"/>
          <w:color w:val="4A4A4A"/>
          <w:sz w:val="22"/>
          <w:szCs w:val="22"/>
        </w:rPr>
        <w:t>In order to compute historical data points prior to 2018, data from HAI/WHO is used. To compute current and future data points, SARA and EMP MedMon are recommended</w:t>
      </w:r>
    </w:p>
    <w:p w14:paraId="37335F96" w14:textId="77777777" w:rsidR="005012B9" w:rsidRPr="00486970" w:rsidRDefault="005012B9" w:rsidP="005012B9">
      <w:pPr>
        <w:pStyle w:val="MHeader2"/>
        <w:rPr>
          <w:rFonts w:cstheme="minorHAnsi"/>
          <w:color w:val="4A4A4A"/>
          <w:sz w:val="22"/>
          <w:szCs w:val="22"/>
        </w:rPr>
      </w:pPr>
    </w:p>
    <w:p w14:paraId="79368080" w14:textId="49D97A3D" w:rsidR="008B0AC7" w:rsidRPr="00486970" w:rsidRDefault="00576CFA" w:rsidP="005012B9">
      <w:pPr>
        <w:pStyle w:val="MHeader2"/>
        <w:rPr>
          <w:rFonts w:cstheme="minorHAnsi"/>
        </w:rPr>
      </w:pPr>
      <w:r w:rsidRPr="00486970">
        <w:rPr>
          <w:rFonts w:cstheme="minorHAnsi"/>
        </w:rPr>
        <w:t xml:space="preserve">3.b. Data collection method </w:t>
      </w:r>
      <w:r>
        <w:rPr>
          <w:color w:val="B4B4B4"/>
          <w:sz w:val="20"/>
        </w:rPr>
        <w:t>(COLL_METHOD)</w:t>
      </w:r>
    </w:p>
    <w:p w14:paraId="7755BAA9" w14:textId="48E26C63" w:rsidR="005012B9" w:rsidRPr="00486970" w:rsidRDefault="005012B9" w:rsidP="005012B9">
      <w:pPr>
        <w:shd w:val="clear" w:color="auto" w:fill="FFFFFF"/>
        <w:spacing w:after="0" w:line="240" w:lineRule="auto"/>
        <w:textAlignment w:val="baseline"/>
        <w:rPr>
          <w:rFonts w:eastAsia="Times New Roman" w:cstheme="minorHAnsi"/>
          <w:color w:val="4A4A4A"/>
          <w:sz w:val="18"/>
          <w:szCs w:val="18"/>
          <w:lang w:val="en-US" w:eastAsia="en-US"/>
        </w:rPr>
      </w:pPr>
      <w:r w:rsidRPr="00486970">
        <w:rPr>
          <w:rFonts w:eastAsia="Times New Roman" w:cstheme="minorHAnsi"/>
          <w:color w:val="4A4A4A"/>
          <w:u w:val="single"/>
          <w:lang w:eastAsia="en-US"/>
        </w:rPr>
        <w:t>Availability and affordability of medicines</w:t>
      </w:r>
    </w:p>
    <w:p w14:paraId="2EE6D291" w14:textId="1DB22C95" w:rsidR="005012B9" w:rsidRPr="00486970" w:rsidRDefault="005012B9" w:rsidP="005012B9">
      <w:pPr>
        <w:shd w:val="clear" w:color="auto" w:fill="FFFFFF"/>
        <w:spacing w:after="0" w:line="240" w:lineRule="auto"/>
        <w:jc w:val="both"/>
        <w:textAlignment w:val="baseline"/>
        <w:rPr>
          <w:rFonts w:eastAsia="Times New Roman" w:cstheme="minorHAnsi"/>
          <w:color w:val="4A4A4A"/>
          <w:sz w:val="18"/>
          <w:szCs w:val="18"/>
          <w:lang w:val="en-US" w:eastAsia="en-US"/>
        </w:rPr>
      </w:pPr>
      <w:r w:rsidRPr="00486970">
        <w:rPr>
          <w:rFonts w:eastAsia="Times New Roman" w:cstheme="minorHAnsi"/>
          <w:color w:val="4A4A4A"/>
          <w:lang w:eastAsia="en-US"/>
        </w:rPr>
        <w:t>WHO obtains SARA survey data on availability and affordability from the</w:t>
      </w:r>
      <w:r w:rsidR="00694499">
        <w:rPr>
          <w:rFonts w:eastAsia="Times New Roman" w:cstheme="minorHAnsi"/>
          <w:color w:val="4A4A4A"/>
          <w:lang w:eastAsia="en-US"/>
        </w:rPr>
        <w:t xml:space="preserve"> </w:t>
      </w:r>
      <w:r w:rsidRPr="00486970">
        <w:rPr>
          <w:rFonts w:eastAsia="Times New Roman" w:cstheme="minorHAnsi"/>
          <w:color w:val="4A4A4A"/>
          <w:lang w:eastAsia="en-US"/>
        </w:rPr>
        <w:t>countries’</w:t>
      </w:r>
      <w:r w:rsidR="00694499">
        <w:rPr>
          <w:rFonts w:eastAsia="Times New Roman" w:cstheme="minorHAnsi"/>
          <w:color w:val="4A4A4A"/>
          <w:lang w:eastAsia="en-US"/>
        </w:rPr>
        <w:t xml:space="preserve"> </w:t>
      </w:r>
      <w:r w:rsidRPr="00486970">
        <w:rPr>
          <w:rFonts w:eastAsia="Times New Roman" w:cstheme="minorHAnsi"/>
          <w:color w:val="4A4A4A"/>
          <w:lang w:eastAsia="en-US"/>
        </w:rPr>
        <w:t>Ministries of Health (MoH).</w:t>
      </w:r>
      <w:r w:rsidR="00694499">
        <w:rPr>
          <w:rFonts w:eastAsia="Times New Roman" w:cstheme="minorHAnsi"/>
          <w:color w:val="4A4A4A"/>
          <w:lang w:eastAsia="en-US"/>
        </w:rPr>
        <w:t xml:space="preserve"> </w:t>
      </w:r>
      <w:r w:rsidRPr="00486970">
        <w:rPr>
          <w:rFonts w:eastAsia="Times New Roman" w:cstheme="minorHAnsi"/>
          <w:color w:val="4A4A4A"/>
          <w:lang w:eastAsia="en-US"/>
        </w:rPr>
        <w:t>HAI/WHO historical data collected at</w:t>
      </w:r>
      <w:r w:rsidR="00694499">
        <w:rPr>
          <w:rFonts w:eastAsia="Times New Roman" w:cstheme="minorHAnsi"/>
          <w:color w:val="4A4A4A"/>
          <w:lang w:eastAsia="en-US"/>
        </w:rPr>
        <w:t xml:space="preserve"> </w:t>
      </w:r>
      <w:r w:rsidRPr="00486970">
        <w:rPr>
          <w:rFonts w:eastAsia="Times New Roman" w:cstheme="minorHAnsi"/>
          <w:color w:val="4A4A4A"/>
          <w:lang w:eastAsia="en-US"/>
        </w:rPr>
        <w:t>the</w:t>
      </w:r>
      <w:r w:rsidR="00694499">
        <w:rPr>
          <w:rFonts w:eastAsia="Times New Roman" w:cstheme="minorHAnsi"/>
          <w:color w:val="4A4A4A"/>
          <w:lang w:eastAsia="en-US"/>
        </w:rPr>
        <w:t xml:space="preserve"> </w:t>
      </w:r>
      <w:r w:rsidRPr="00486970">
        <w:rPr>
          <w:rFonts w:eastAsia="Times New Roman" w:cstheme="minorHAnsi"/>
          <w:color w:val="4A4A4A"/>
          <w:lang w:eastAsia="en-US"/>
        </w:rPr>
        <w:t>facility level</w:t>
      </w:r>
      <w:r w:rsidR="00694499">
        <w:rPr>
          <w:rFonts w:eastAsia="Times New Roman" w:cstheme="minorHAnsi"/>
          <w:color w:val="4A4A4A"/>
          <w:lang w:eastAsia="en-US"/>
        </w:rPr>
        <w:t xml:space="preserve"> </w:t>
      </w:r>
      <w:r w:rsidRPr="00486970">
        <w:rPr>
          <w:rFonts w:eastAsia="Times New Roman" w:cstheme="minorHAnsi"/>
          <w:color w:val="4A4A4A"/>
          <w:lang w:eastAsia="en-US"/>
        </w:rPr>
        <w:t>is available from HAI</w:t>
      </w:r>
      <w:r w:rsidR="00694499">
        <w:rPr>
          <w:rFonts w:eastAsia="Times New Roman" w:cstheme="minorHAnsi"/>
          <w:color w:val="4A4A4A"/>
          <w:lang w:eastAsia="en-US"/>
        </w:rPr>
        <w:t xml:space="preserve"> </w:t>
      </w:r>
      <w:r w:rsidRPr="00486970">
        <w:rPr>
          <w:rFonts w:eastAsia="Times New Roman" w:cstheme="minorHAnsi"/>
          <w:color w:val="4A4A4A"/>
          <w:lang w:eastAsia="en-US"/>
        </w:rPr>
        <w:t>by request,</w:t>
      </w:r>
      <w:r w:rsidR="00694499">
        <w:rPr>
          <w:rFonts w:eastAsia="Times New Roman" w:cstheme="minorHAnsi"/>
          <w:color w:val="4A4A4A"/>
          <w:lang w:eastAsia="en-US"/>
        </w:rPr>
        <w:t xml:space="preserve"> </w:t>
      </w:r>
      <w:r w:rsidRPr="00486970">
        <w:rPr>
          <w:rFonts w:eastAsia="Times New Roman" w:cstheme="minorHAnsi"/>
          <w:color w:val="4A4A4A"/>
          <w:lang w:eastAsia="en-US"/>
        </w:rPr>
        <w:t>as</w:t>
      </w:r>
      <w:r w:rsidR="00694499">
        <w:rPr>
          <w:rFonts w:eastAsia="Times New Roman" w:cstheme="minorHAnsi"/>
          <w:color w:val="4A4A4A"/>
          <w:lang w:eastAsia="en-US"/>
        </w:rPr>
        <w:t xml:space="preserve"> </w:t>
      </w:r>
      <w:r w:rsidRPr="00486970">
        <w:rPr>
          <w:rFonts w:eastAsia="Times New Roman" w:cstheme="minorHAnsi"/>
          <w:color w:val="4A4A4A"/>
          <w:lang w:eastAsia="en-US"/>
        </w:rPr>
        <w:t>publicly available HAI/WHO data on the HAI website</w:t>
      </w:r>
      <w:r w:rsidR="00694499">
        <w:rPr>
          <w:rFonts w:eastAsia="Times New Roman" w:cstheme="minorHAnsi"/>
          <w:color w:val="4A4A4A"/>
          <w:lang w:eastAsia="en-US"/>
        </w:rPr>
        <w:t xml:space="preserve"> </w:t>
      </w:r>
      <w:r w:rsidRPr="00486970">
        <w:rPr>
          <w:rFonts w:eastAsia="Times New Roman" w:cstheme="minorHAnsi"/>
          <w:color w:val="4A4A4A"/>
          <w:lang w:eastAsia="en-US"/>
        </w:rPr>
        <w:t>has</w:t>
      </w:r>
      <w:r w:rsidR="00694499">
        <w:rPr>
          <w:rFonts w:eastAsia="Times New Roman" w:cstheme="minorHAnsi"/>
          <w:color w:val="4A4A4A"/>
          <w:lang w:eastAsia="en-US"/>
        </w:rPr>
        <w:t xml:space="preserve"> </w:t>
      </w:r>
      <w:r w:rsidRPr="00486970">
        <w:rPr>
          <w:rFonts w:eastAsia="Times New Roman" w:cstheme="minorHAnsi"/>
          <w:color w:val="4A4A4A"/>
          <w:lang w:eastAsia="en-US"/>
        </w:rPr>
        <w:t>already aggregated at</w:t>
      </w:r>
      <w:r w:rsidR="00694499">
        <w:rPr>
          <w:rFonts w:eastAsia="Times New Roman" w:cstheme="minorHAnsi"/>
          <w:color w:val="4A4A4A"/>
          <w:lang w:eastAsia="en-US"/>
        </w:rPr>
        <w:t xml:space="preserve"> </w:t>
      </w:r>
      <w:r w:rsidRPr="00486970">
        <w:rPr>
          <w:rFonts w:eastAsia="Times New Roman" w:cstheme="minorHAnsi"/>
          <w:color w:val="4A4A4A"/>
          <w:lang w:eastAsia="en-US"/>
        </w:rPr>
        <w:t>the</w:t>
      </w:r>
      <w:r w:rsidR="00694499">
        <w:rPr>
          <w:rFonts w:eastAsia="Times New Roman" w:cstheme="minorHAnsi"/>
          <w:color w:val="4A4A4A"/>
          <w:lang w:eastAsia="en-US"/>
        </w:rPr>
        <w:t xml:space="preserve"> </w:t>
      </w:r>
      <w:r w:rsidRPr="00486970">
        <w:rPr>
          <w:rFonts w:eastAsia="Times New Roman" w:cstheme="minorHAnsi"/>
          <w:color w:val="4A4A4A"/>
          <w:lang w:eastAsia="en-US"/>
        </w:rPr>
        <w:t>country level. The EMP</w:t>
      </w:r>
      <w:r w:rsidR="00694499">
        <w:rPr>
          <w:rFonts w:eastAsia="Times New Roman" w:cstheme="minorHAnsi"/>
          <w:color w:val="4A4A4A"/>
          <w:lang w:eastAsia="en-US"/>
        </w:rPr>
        <w:t xml:space="preserve"> </w:t>
      </w:r>
      <w:r w:rsidRPr="00486970">
        <w:rPr>
          <w:rFonts w:eastAsia="Times New Roman" w:cstheme="minorHAnsi"/>
          <w:color w:val="4A4A4A"/>
          <w:lang w:eastAsia="en-US"/>
        </w:rPr>
        <w:t>MedMon</w:t>
      </w:r>
      <w:r w:rsidR="00694499">
        <w:rPr>
          <w:rFonts w:eastAsia="Times New Roman" w:cstheme="minorHAnsi"/>
          <w:color w:val="4A4A4A"/>
          <w:lang w:eastAsia="en-US"/>
        </w:rPr>
        <w:t xml:space="preserve"> </w:t>
      </w:r>
      <w:r w:rsidRPr="00486970">
        <w:rPr>
          <w:rFonts w:eastAsia="Times New Roman" w:cstheme="minorHAnsi"/>
          <w:color w:val="4A4A4A"/>
          <w:lang w:eastAsia="en-US"/>
        </w:rPr>
        <w:t>data on availability and medicine prices</w:t>
      </w:r>
      <w:r w:rsidR="00694499">
        <w:rPr>
          <w:rFonts w:eastAsia="Times New Roman" w:cstheme="minorHAnsi"/>
          <w:color w:val="4A4A4A"/>
          <w:lang w:eastAsia="en-US"/>
        </w:rPr>
        <w:t xml:space="preserve"> </w:t>
      </w:r>
      <w:r w:rsidRPr="00486970">
        <w:rPr>
          <w:rFonts w:eastAsia="Times New Roman" w:cstheme="minorHAnsi"/>
          <w:color w:val="4A4A4A"/>
          <w:lang w:eastAsia="en-US"/>
        </w:rPr>
        <w:t>is</w:t>
      </w:r>
      <w:r w:rsidR="00694499">
        <w:rPr>
          <w:rFonts w:eastAsia="Times New Roman" w:cstheme="minorHAnsi"/>
          <w:color w:val="4A4A4A"/>
          <w:lang w:eastAsia="en-US"/>
        </w:rPr>
        <w:t xml:space="preserve"> </w:t>
      </w:r>
      <w:r w:rsidRPr="00486970">
        <w:rPr>
          <w:rFonts w:eastAsia="Times New Roman" w:cstheme="minorHAnsi"/>
          <w:color w:val="4A4A4A"/>
          <w:lang w:eastAsia="en-US"/>
        </w:rPr>
        <w:t>collected in collaboration between WHO and</w:t>
      </w:r>
      <w:r w:rsidR="00694499">
        <w:rPr>
          <w:rFonts w:eastAsia="Times New Roman" w:cstheme="minorHAnsi"/>
          <w:color w:val="4A4A4A"/>
          <w:lang w:eastAsia="en-US"/>
        </w:rPr>
        <w:t xml:space="preserve"> </w:t>
      </w:r>
      <w:r w:rsidRPr="00486970">
        <w:rPr>
          <w:rFonts w:eastAsia="Times New Roman" w:cstheme="minorHAnsi"/>
          <w:color w:val="4A4A4A"/>
          <w:lang w:eastAsia="en-US"/>
        </w:rPr>
        <w:t>Ministries of Health of the</w:t>
      </w:r>
      <w:r w:rsidR="00694499">
        <w:rPr>
          <w:rFonts w:eastAsia="Times New Roman" w:cstheme="minorHAnsi"/>
          <w:color w:val="4A4A4A"/>
          <w:lang w:eastAsia="en-US"/>
        </w:rPr>
        <w:t xml:space="preserve"> </w:t>
      </w:r>
      <w:r w:rsidRPr="00486970">
        <w:rPr>
          <w:rFonts w:eastAsia="Times New Roman" w:cstheme="minorHAnsi"/>
          <w:color w:val="4A4A4A"/>
          <w:lang w:eastAsia="en-US"/>
        </w:rPr>
        <w:t>countries.</w:t>
      </w:r>
    </w:p>
    <w:p w14:paraId="6828D12D" w14:textId="5A61B3AE" w:rsidR="005012B9" w:rsidRPr="00486970" w:rsidRDefault="005012B9" w:rsidP="005012B9">
      <w:pPr>
        <w:shd w:val="clear" w:color="auto" w:fill="FFFFFF"/>
        <w:spacing w:after="0" w:line="240" w:lineRule="auto"/>
        <w:textAlignment w:val="baseline"/>
        <w:rPr>
          <w:rFonts w:eastAsia="Times New Roman" w:cstheme="minorHAnsi"/>
          <w:color w:val="4A4A4A"/>
          <w:sz w:val="18"/>
          <w:szCs w:val="18"/>
          <w:lang w:val="en-US" w:eastAsia="en-US"/>
        </w:rPr>
      </w:pPr>
      <w:r w:rsidRPr="00486970">
        <w:rPr>
          <w:rFonts w:eastAsia="Times New Roman" w:cstheme="minorHAnsi"/>
          <w:color w:val="4A4A4A"/>
          <w:u w:val="single"/>
          <w:lang w:eastAsia="en-US"/>
        </w:rPr>
        <w:t>NPLs,</w:t>
      </w:r>
      <w:r w:rsidR="00694499">
        <w:rPr>
          <w:rFonts w:eastAsia="Times New Roman" w:cstheme="minorHAnsi"/>
          <w:color w:val="4A4A4A"/>
          <w:u w:val="single"/>
          <w:lang w:eastAsia="en-US"/>
        </w:rPr>
        <w:t xml:space="preserve"> </w:t>
      </w:r>
      <w:r w:rsidRPr="00486970">
        <w:rPr>
          <w:rFonts w:eastAsia="Times New Roman" w:cstheme="minorHAnsi"/>
          <w:color w:val="4A4A4A"/>
          <w:u w:val="single"/>
          <w:lang w:eastAsia="en-US"/>
        </w:rPr>
        <w:t>LPGW wages, DALYs:</w:t>
      </w:r>
    </w:p>
    <w:p w14:paraId="00ED96A6" w14:textId="34775739" w:rsidR="005012B9" w:rsidRPr="00486970" w:rsidRDefault="005012B9" w:rsidP="005012B9">
      <w:pPr>
        <w:spacing w:after="0" w:line="240" w:lineRule="auto"/>
        <w:jc w:val="both"/>
        <w:textAlignment w:val="baseline"/>
        <w:rPr>
          <w:rFonts w:eastAsia="Times New Roman" w:cstheme="minorHAnsi"/>
          <w:color w:val="4A4A4A"/>
          <w:sz w:val="18"/>
          <w:szCs w:val="18"/>
          <w:lang w:val="en-US" w:eastAsia="en-US"/>
        </w:rPr>
      </w:pPr>
      <w:r w:rsidRPr="00486970">
        <w:rPr>
          <w:rFonts w:eastAsia="Times New Roman" w:cstheme="minorHAnsi"/>
          <w:color w:val="4A4A4A"/>
          <w:lang w:eastAsia="en-US"/>
        </w:rPr>
        <w:t>National poverty reports consistently provide information on the</w:t>
      </w:r>
      <w:r w:rsidR="00694499">
        <w:rPr>
          <w:rFonts w:eastAsia="Times New Roman" w:cstheme="minorHAnsi"/>
          <w:color w:val="4A4A4A"/>
          <w:lang w:eastAsia="en-US"/>
        </w:rPr>
        <w:t xml:space="preserve"> </w:t>
      </w:r>
      <w:r w:rsidRPr="00486970">
        <w:rPr>
          <w:rFonts w:eastAsia="Times New Roman" w:cstheme="minorHAnsi"/>
          <w:i/>
          <w:iCs/>
          <w:color w:val="4A4A4A"/>
          <w:lang w:eastAsia="en-US"/>
        </w:rPr>
        <w:t>NPLs</w:t>
      </w:r>
      <w:r w:rsidR="00694499">
        <w:rPr>
          <w:rFonts w:eastAsia="Times New Roman" w:cstheme="minorHAnsi"/>
          <w:i/>
          <w:iCs/>
          <w:color w:val="4A4A4A"/>
          <w:lang w:eastAsia="en-US"/>
        </w:rPr>
        <w:t xml:space="preserve"> </w:t>
      </w:r>
      <w:r w:rsidRPr="00486970">
        <w:rPr>
          <w:rFonts w:eastAsia="Times New Roman" w:cstheme="minorHAnsi"/>
          <w:color w:val="4A4A4A"/>
          <w:lang w:eastAsia="en-US"/>
        </w:rPr>
        <w:t>in local currency units. The</w:t>
      </w:r>
      <w:r w:rsidR="00694499">
        <w:rPr>
          <w:rFonts w:eastAsia="Times New Roman" w:cstheme="minorHAnsi"/>
          <w:color w:val="4A4A4A"/>
          <w:lang w:eastAsia="en-US"/>
        </w:rPr>
        <w:t xml:space="preserve"> </w:t>
      </w:r>
      <w:r w:rsidRPr="00486970">
        <w:rPr>
          <w:rFonts w:eastAsia="Times New Roman" w:cstheme="minorHAnsi"/>
          <w:color w:val="4A4A4A"/>
          <w:lang w:eastAsia="en-US"/>
        </w:rPr>
        <w:t>updated and recalculated</w:t>
      </w:r>
      <w:r w:rsidR="00694499">
        <w:rPr>
          <w:rFonts w:eastAsia="Times New Roman" w:cstheme="minorHAnsi"/>
          <w:color w:val="4A4A4A"/>
          <w:lang w:eastAsia="en-US"/>
        </w:rPr>
        <w:t xml:space="preserve"> </w:t>
      </w:r>
      <w:r w:rsidRPr="00486970">
        <w:rPr>
          <w:rFonts w:eastAsia="Times New Roman" w:cstheme="minorHAnsi"/>
          <w:color w:val="4A4A4A"/>
          <w:lang w:eastAsia="en-US"/>
        </w:rPr>
        <w:t>NPLs are</w:t>
      </w:r>
      <w:r w:rsidR="00694499">
        <w:rPr>
          <w:rFonts w:eastAsia="Times New Roman" w:cstheme="minorHAnsi"/>
          <w:color w:val="4A4A4A"/>
          <w:lang w:eastAsia="en-US"/>
        </w:rPr>
        <w:t xml:space="preserve"> </w:t>
      </w:r>
      <w:r w:rsidRPr="00486970">
        <w:rPr>
          <w:rFonts w:eastAsia="Times New Roman" w:cstheme="minorHAnsi"/>
          <w:color w:val="4A4A4A"/>
          <w:lang w:eastAsia="en-US"/>
        </w:rPr>
        <w:t>also published by the</w:t>
      </w:r>
      <w:r w:rsidR="00694499">
        <w:rPr>
          <w:rFonts w:eastAsia="Times New Roman" w:cstheme="minorHAnsi"/>
          <w:color w:val="4A4A4A"/>
          <w:lang w:eastAsia="en-US"/>
        </w:rPr>
        <w:t xml:space="preserve"> </w:t>
      </w:r>
      <w:r w:rsidRPr="00486970">
        <w:rPr>
          <w:rFonts w:eastAsia="Times New Roman" w:cstheme="minorHAnsi"/>
          <w:color w:val="4A4A4A"/>
          <w:lang w:eastAsia="en-US"/>
        </w:rPr>
        <w:t>countries</w:t>
      </w:r>
      <w:r w:rsidR="00694499">
        <w:rPr>
          <w:rFonts w:eastAsia="Times New Roman" w:cstheme="minorHAnsi"/>
          <w:color w:val="4A4A4A"/>
          <w:lang w:eastAsia="en-US"/>
        </w:rPr>
        <w:t xml:space="preserve"> </w:t>
      </w:r>
      <w:r w:rsidRPr="00486970">
        <w:rPr>
          <w:rFonts w:eastAsia="Times New Roman" w:cstheme="minorHAnsi"/>
          <w:color w:val="4A4A4A"/>
          <w:lang w:eastAsia="en-US"/>
        </w:rPr>
        <w:t>in these poverty reports.</w:t>
      </w:r>
      <w:r w:rsidR="00694499">
        <w:rPr>
          <w:rFonts w:eastAsia="Times New Roman" w:cstheme="minorHAnsi"/>
          <w:color w:val="4A4A4A"/>
          <w:lang w:eastAsia="en-US"/>
        </w:rPr>
        <w:t xml:space="preserve"> </w:t>
      </w:r>
      <w:r w:rsidRPr="00486970">
        <w:rPr>
          <w:rFonts w:eastAsia="Times New Roman" w:cstheme="minorHAnsi"/>
          <w:color w:val="4A4A4A"/>
          <w:lang w:eastAsia="en-US"/>
        </w:rPr>
        <w:t>The</w:t>
      </w:r>
      <w:r w:rsidR="00694499">
        <w:rPr>
          <w:rFonts w:eastAsia="Times New Roman" w:cstheme="minorHAnsi"/>
          <w:color w:val="4A4A4A"/>
          <w:lang w:eastAsia="en-US"/>
        </w:rPr>
        <w:t xml:space="preserve"> </w:t>
      </w:r>
      <w:r w:rsidRPr="00486970">
        <w:rPr>
          <w:rFonts w:eastAsia="Times New Roman" w:cstheme="minorHAnsi"/>
          <w:i/>
          <w:iCs/>
          <w:color w:val="4A4A4A"/>
          <w:lang w:eastAsia="en-US"/>
        </w:rPr>
        <w:t>wage</w:t>
      </w:r>
      <w:r w:rsidR="00694499">
        <w:rPr>
          <w:rFonts w:eastAsia="Times New Roman" w:cstheme="minorHAnsi"/>
          <w:i/>
          <w:iCs/>
          <w:color w:val="4A4A4A"/>
          <w:lang w:eastAsia="en-US"/>
        </w:rPr>
        <w:t xml:space="preserve"> </w:t>
      </w:r>
      <w:r w:rsidRPr="00486970">
        <w:rPr>
          <w:rFonts w:eastAsia="Times New Roman" w:cstheme="minorHAnsi"/>
          <w:i/>
          <w:iCs/>
          <w:color w:val="4A4A4A"/>
          <w:lang w:eastAsia="en-US"/>
        </w:rPr>
        <w:t>of the</w:t>
      </w:r>
      <w:r w:rsidR="00694499">
        <w:rPr>
          <w:rFonts w:eastAsia="Times New Roman" w:cstheme="minorHAnsi"/>
          <w:i/>
          <w:iCs/>
          <w:color w:val="4A4A4A"/>
          <w:lang w:eastAsia="en-US"/>
        </w:rPr>
        <w:t xml:space="preserve"> </w:t>
      </w:r>
      <w:r w:rsidRPr="00486970">
        <w:rPr>
          <w:rFonts w:eastAsia="Times New Roman" w:cstheme="minorHAnsi"/>
          <w:i/>
          <w:iCs/>
          <w:color w:val="4A4A4A"/>
          <w:lang w:eastAsia="en-US"/>
        </w:rPr>
        <w:t>LPGW</w:t>
      </w:r>
      <w:r w:rsidR="00694499">
        <w:rPr>
          <w:rFonts w:eastAsia="Times New Roman" w:cstheme="minorHAnsi"/>
          <w:i/>
          <w:iCs/>
          <w:color w:val="4A4A4A"/>
          <w:lang w:eastAsia="en-US"/>
        </w:rPr>
        <w:t xml:space="preserve"> </w:t>
      </w:r>
      <w:r w:rsidRPr="00486970">
        <w:rPr>
          <w:rFonts w:eastAsia="Times New Roman" w:cstheme="minorHAnsi"/>
          <w:color w:val="4A4A4A"/>
          <w:lang w:eastAsia="en-US"/>
        </w:rPr>
        <w:t>is published in the ILOSTAT database.</w:t>
      </w:r>
      <w:r w:rsidR="00694499">
        <w:rPr>
          <w:rFonts w:eastAsia="Times New Roman" w:cstheme="minorHAnsi"/>
          <w:color w:val="4A4A4A"/>
          <w:lang w:eastAsia="en-US"/>
        </w:rPr>
        <w:t xml:space="preserve"> </w:t>
      </w:r>
      <w:r w:rsidRPr="00486970">
        <w:rPr>
          <w:rFonts w:eastAsia="Times New Roman" w:cstheme="minorHAnsi"/>
          <w:color w:val="4A4A4A"/>
          <w:lang w:eastAsia="en-US"/>
        </w:rPr>
        <w:t>Information</w:t>
      </w:r>
      <w:r w:rsidR="00694499">
        <w:rPr>
          <w:rFonts w:eastAsia="Times New Roman" w:cstheme="minorHAnsi"/>
          <w:color w:val="4A4A4A"/>
          <w:lang w:eastAsia="en-US"/>
        </w:rPr>
        <w:t xml:space="preserve"> </w:t>
      </w:r>
      <w:r w:rsidRPr="00486970">
        <w:rPr>
          <w:rFonts w:eastAsia="Times New Roman" w:cstheme="minorHAnsi"/>
          <w:color w:val="4A4A4A"/>
          <w:lang w:eastAsia="en-US"/>
        </w:rPr>
        <w:t>regarding the</w:t>
      </w:r>
      <w:r w:rsidR="00694499">
        <w:rPr>
          <w:rFonts w:eastAsia="Times New Roman" w:cstheme="minorHAnsi"/>
          <w:color w:val="4A4A4A"/>
          <w:lang w:eastAsia="en-US"/>
        </w:rPr>
        <w:t xml:space="preserve"> </w:t>
      </w:r>
      <w:r w:rsidRPr="00486970">
        <w:rPr>
          <w:rFonts w:eastAsia="Times New Roman" w:cstheme="minorHAnsi"/>
          <w:i/>
          <w:iCs/>
          <w:color w:val="4A4A4A"/>
          <w:lang w:eastAsia="en-US"/>
        </w:rPr>
        <w:t>regional burden of diseases (DALYs)</w:t>
      </w:r>
      <w:r w:rsidR="00694499">
        <w:rPr>
          <w:rFonts w:eastAsia="Times New Roman" w:cstheme="minorHAnsi"/>
          <w:i/>
          <w:iCs/>
          <w:color w:val="4A4A4A"/>
          <w:lang w:eastAsia="en-US"/>
        </w:rPr>
        <w:t xml:space="preserve"> </w:t>
      </w:r>
      <w:r w:rsidRPr="00486970">
        <w:rPr>
          <w:rFonts w:eastAsia="Times New Roman" w:cstheme="minorHAnsi"/>
          <w:color w:val="4A4A4A"/>
          <w:lang w:eastAsia="en-US"/>
        </w:rPr>
        <w:t>is publicly available</w:t>
      </w:r>
      <w:r w:rsidR="00694499">
        <w:rPr>
          <w:rFonts w:eastAsia="Times New Roman" w:cstheme="minorHAnsi"/>
          <w:color w:val="4A4A4A"/>
          <w:lang w:eastAsia="en-US"/>
        </w:rPr>
        <w:t xml:space="preserve"> </w:t>
      </w:r>
      <w:r w:rsidRPr="00486970">
        <w:rPr>
          <w:rFonts w:eastAsia="Times New Roman" w:cstheme="minorHAnsi"/>
          <w:color w:val="4A4A4A"/>
          <w:lang w:eastAsia="en-US"/>
        </w:rPr>
        <w:t>and</w:t>
      </w:r>
      <w:r w:rsidR="00694499">
        <w:rPr>
          <w:rFonts w:eastAsia="Times New Roman" w:cstheme="minorHAnsi"/>
          <w:color w:val="4A4A4A"/>
          <w:lang w:eastAsia="en-US"/>
        </w:rPr>
        <w:t xml:space="preserve"> </w:t>
      </w:r>
      <w:r w:rsidRPr="00486970">
        <w:rPr>
          <w:rFonts w:eastAsia="Times New Roman" w:cstheme="minorHAnsi"/>
          <w:color w:val="4A4A4A"/>
          <w:lang w:eastAsia="en-US"/>
        </w:rPr>
        <w:t>published</w:t>
      </w:r>
      <w:r w:rsidR="00694499">
        <w:rPr>
          <w:rFonts w:eastAsia="Times New Roman" w:cstheme="minorHAnsi"/>
          <w:color w:val="4A4A4A"/>
          <w:lang w:eastAsia="en-US"/>
        </w:rPr>
        <w:t xml:space="preserve"> </w:t>
      </w:r>
      <w:r w:rsidRPr="00486970">
        <w:rPr>
          <w:rFonts w:eastAsia="Times New Roman" w:cstheme="minorHAnsi"/>
          <w:color w:val="4A4A4A"/>
          <w:lang w:eastAsia="en-US"/>
        </w:rPr>
        <w:t>by WHO.</w:t>
      </w:r>
    </w:p>
    <w:p w14:paraId="35B915FA" w14:textId="6159FC8C" w:rsidR="005012B9" w:rsidRPr="00486970" w:rsidRDefault="005012B9" w:rsidP="005012B9">
      <w:pPr>
        <w:shd w:val="clear" w:color="auto" w:fill="FFFFFF"/>
        <w:spacing w:after="0" w:line="240" w:lineRule="auto"/>
        <w:textAlignment w:val="baseline"/>
        <w:rPr>
          <w:rFonts w:eastAsia="Times New Roman" w:cstheme="minorHAnsi"/>
          <w:color w:val="4A4A4A"/>
          <w:sz w:val="18"/>
          <w:szCs w:val="18"/>
          <w:lang w:val="en-US" w:eastAsia="en-US"/>
        </w:rPr>
      </w:pPr>
    </w:p>
    <w:p w14:paraId="170A2C05" w14:textId="34873ECA" w:rsidR="00E46D96" w:rsidRPr="00486970" w:rsidRDefault="00E46D96" w:rsidP="00F719A8">
      <w:pPr>
        <w:pStyle w:val="MHeader2"/>
        <w:rPr>
          <w:rFonts w:cstheme="minorHAnsi"/>
        </w:rPr>
      </w:pPr>
      <w:r w:rsidRPr="00486970">
        <w:rPr>
          <w:rFonts w:cstheme="minorHAnsi"/>
        </w:rPr>
        <w:t xml:space="preserve">3.c. Data collection calendar </w:t>
      </w:r>
      <w:r>
        <w:rPr>
          <w:color w:val="B4B4B4"/>
          <w:sz w:val="20"/>
        </w:rPr>
        <w:t>(FREQ_COLL)</w:t>
      </w:r>
    </w:p>
    <w:p w14:paraId="02AA6825" w14:textId="146ACA90" w:rsidR="005012B9" w:rsidRPr="00486970" w:rsidRDefault="005012B9" w:rsidP="005012B9">
      <w:pPr>
        <w:shd w:val="clear" w:color="auto" w:fill="FFFFFF"/>
        <w:spacing w:after="0" w:line="240" w:lineRule="auto"/>
        <w:jc w:val="both"/>
        <w:textAlignment w:val="baseline"/>
        <w:rPr>
          <w:rFonts w:eastAsia="Times New Roman" w:cstheme="minorHAnsi"/>
          <w:color w:val="4A4A4A"/>
          <w:sz w:val="18"/>
          <w:szCs w:val="18"/>
          <w:lang w:val="en-US" w:eastAsia="en-US"/>
        </w:rPr>
      </w:pPr>
      <w:r w:rsidRPr="003B6F65">
        <w:rPr>
          <w:rFonts w:eastAsia="Times New Roman" w:cstheme="minorHAnsi"/>
          <w:color w:val="4A4A4A"/>
          <w:lang w:eastAsia="en-US"/>
        </w:rPr>
        <w:t>SARA</w:t>
      </w:r>
      <w:r w:rsidR="00694499">
        <w:rPr>
          <w:rFonts w:eastAsia="Times New Roman" w:cstheme="minorHAnsi"/>
          <w:color w:val="4A4A4A"/>
          <w:lang w:eastAsia="en-US"/>
        </w:rPr>
        <w:t xml:space="preserve"> </w:t>
      </w:r>
      <w:r w:rsidRPr="003B6F65">
        <w:rPr>
          <w:rFonts w:eastAsia="Times New Roman" w:cstheme="minorHAnsi"/>
          <w:color w:val="4A4A4A"/>
          <w:lang w:eastAsia="en-US"/>
        </w:rPr>
        <w:t>&amp; HAI/WHO:</w:t>
      </w:r>
      <w:r w:rsidR="00694499">
        <w:rPr>
          <w:rFonts w:eastAsia="Times New Roman" w:cstheme="minorHAnsi"/>
          <w:color w:val="4A4A4A"/>
          <w:lang w:eastAsia="en-US"/>
        </w:rPr>
        <w:t xml:space="preserve"> </w:t>
      </w:r>
      <w:r w:rsidRPr="00486970">
        <w:rPr>
          <w:rFonts w:eastAsia="Times New Roman" w:cstheme="minorHAnsi"/>
          <w:color w:val="4A4A4A"/>
          <w:lang w:eastAsia="en-US"/>
        </w:rPr>
        <w:t>Data collection activities have often been conducted using funds from international donors.</w:t>
      </w:r>
    </w:p>
    <w:p w14:paraId="5E6A0F9B" w14:textId="05600991" w:rsidR="005012B9" w:rsidRPr="00486970" w:rsidRDefault="005012B9" w:rsidP="005012B9">
      <w:pPr>
        <w:shd w:val="clear" w:color="auto" w:fill="FFFFFF"/>
        <w:spacing w:after="0" w:line="240" w:lineRule="auto"/>
        <w:jc w:val="both"/>
        <w:textAlignment w:val="baseline"/>
        <w:rPr>
          <w:rFonts w:eastAsia="Times New Roman" w:cstheme="minorHAnsi"/>
          <w:color w:val="4A4A4A"/>
          <w:sz w:val="18"/>
          <w:szCs w:val="18"/>
          <w:lang w:val="en-US" w:eastAsia="en-US"/>
        </w:rPr>
      </w:pPr>
      <w:r w:rsidRPr="003B6F65">
        <w:rPr>
          <w:rFonts w:eastAsia="Times New Roman" w:cstheme="minorHAnsi"/>
          <w:color w:val="4A4A4A"/>
          <w:lang w:eastAsia="en-US"/>
        </w:rPr>
        <w:t>EMP</w:t>
      </w:r>
      <w:r w:rsidR="00694499">
        <w:rPr>
          <w:rFonts w:eastAsia="Times New Roman" w:cstheme="minorHAnsi"/>
          <w:color w:val="4A4A4A"/>
          <w:lang w:eastAsia="en-US"/>
        </w:rPr>
        <w:t xml:space="preserve"> </w:t>
      </w:r>
      <w:r w:rsidRPr="003B6F65">
        <w:rPr>
          <w:rFonts w:eastAsia="Times New Roman" w:cstheme="minorHAnsi"/>
          <w:color w:val="4A4A4A"/>
          <w:lang w:eastAsia="en-US"/>
        </w:rPr>
        <w:t>MedMon:</w:t>
      </w:r>
      <w:r w:rsidR="00694499">
        <w:rPr>
          <w:rFonts w:eastAsia="Times New Roman" w:cstheme="minorHAnsi"/>
          <w:color w:val="4A4A4A"/>
          <w:lang w:eastAsia="en-US"/>
        </w:rPr>
        <w:t xml:space="preserve"> </w:t>
      </w:r>
      <w:r w:rsidRPr="00486970">
        <w:rPr>
          <w:rFonts w:eastAsia="Times New Roman" w:cstheme="minorHAnsi"/>
          <w:color w:val="4A4A4A"/>
          <w:lang w:eastAsia="en-US"/>
        </w:rPr>
        <w:t>Data collection activities</w:t>
      </w:r>
      <w:r w:rsidR="00694499">
        <w:rPr>
          <w:rFonts w:eastAsia="Times New Roman" w:cstheme="minorHAnsi"/>
          <w:color w:val="4A4A4A"/>
          <w:lang w:eastAsia="en-US"/>
        </w:rPr>
        <w:t xml:space="preserve"> </w:t>
      </w:r>
      <w:r w:rsidRPr="00486970">
        <w:rPr>
          <w:rFonts w:eastAsia="Times New Roman" w:cstheme="minorHAnsi"/>
          <w:color w:val="4A4A4A"/>
          <w:lang w:eastAsia="en-US"/>
        </w:rPr>
        <w:t>have been conducted using funds from international donors, but WHO is currently testing a sustainable regular monitoring mechanism through the integration of</w:t>
      </w:r>
      <w:r w:rsidR="00694499">
        <w:rPr>
          <w:rFonts w:eastAsia="Times New Roman" w:cstheme="minorHAnsi"/>
          <w:color w:val="4A4A4A"/>
          <w:lang w:eastAsia="en-US"/>
        </w:rPr>
        <w:t xml:space="preserve"> </w:t>
      </w:r>
      <w:r w:rsidRPr="00486970">
        <w:rPr>
          <w:rFonts w:eastAsia="Times New Roman" w:cstheme="minorHAnsi"/>
          <w:color w:val="4A4A4A"/>
          <w:lang w:eastAsia="en-US"/>
        </w:rPr>
        <w:t>similar</w:t>
      </w:r>
      <w:r w:rsidR="00694499">
        <w:rPr>
          <w:rFonts w:eastAsia="Times New Roman" w:cstheme="minorHAnsi"/>
          <w:color w:val="4A4A4A"/>
          <w:lang w:eastAsia="en-US"/>
        </w:rPr>
        <w:t xml:space="preserve"> </w:t>
      </w:r>
      <w:r w:rsidRPr="00486970">
        <w:rPr>
          <w:rFonts w:eastAsia="Times New Roman" w:cstheme="minorHAnsi"/>
          <w:color w:val="4A4A4A"/>
          <w:lang w:eastAsia="en-US"/>
        </w:rPr>
        <w:t>data collection</w:t>
      </w:r>
      <w:r w:rsidR="00694499">
        <w:rPr>
          <w:rFonts w:eastAsia="Times New Roman" w:cstheme="minorHAnsi"/>
          <w:color w:val="4A4A4A"/>
          <w:lang w:eastAsia="en-US"/>
        </w:rPr>
        <w:t xml:space="preserve"> </w:t>
      </w:r>
      <w:r w:rsidRPr="00486970">
        <w:rPr>
          <w:rFonts w:eastAsia="Times New Roman" w:cstheme="minorHAnsi"/>
          <w:color w:val="4A4A4A"/>
          <w:lang w:eastAsia="en-US"/>
        </w:rPr>
        <w:t>during</w:t>
      </w:r>
      <w:r w:rsidR="00694499">
        <w:rPr>
          <w:rFonts w:eastAsia="Times New Roman" w:cstheme="minorHAnsi"/>
          <w:color w:val="4A4A4A"/>
          <w:lang w:eastAsia="en-US"/>
        </w:rPr>
        <w:t xml:space="preserve"> </w:t>
      </w:r>
      <w:r w:rsidRPr="00486970">
        <w:rPr>
          <w:rFonts w:eastAsia="Times New Roman" w:cstheme="minorHAnsi"/>
          <w:color w:val="4A4A4A"/>
          <w:lang w:eastAsia="en-US"/>
        </w:rPr>
        <w:t>government inspection of</w:t>
      </w:r>
      <w:r w:rsidR="00694499">
        <w:rPr>
          <w:rFonts w:eastAsia="Times New Roman" w:cstheme="minorHAnsi"/>
          <w:color w:val="4A4A4A"/>
          <w:lang w:eastAsia="en-US"/>
        </w:rPr>
        <w:t xml:space="preserve"> </w:t>
      </w:r>
      <w:r w:rsidRPr="00486970">
        <w:rPr>
          <w:rFonts w:eastAsia="Times New Roman" w:cstheme="minorHAnsi"/>
          <w:color w:val="4A4A4A"/>
          <w:lang w:eastAsia="en-US"/>
        </w:rPr>
        <w:t>health</w:t>
      </w:r>
      <w:r w:rsidR="00694499">
        <w:rPr>
          <w:rFonts w:eastAsia="Times New Roman" w:cstheme="minorHAnsi"/>
          <w:color w:val="4A4A4A"/>
          <w:lang w:eastAsia="en-US"/>
        </w:rPr>
        <w:t xml:space="preserve"> </w:t>
      </w:r>
      <w:r w:rsidRPr="00486970">
        <w:rPr>
          <w:rFonts w:eastAsia="Times New Roman" w:cstheme="minorHAnsi"/>
          <w:color w:val="4A4A4A"/>
          <w:lang w:eastAsia="en-US"/>
        </w:rPr>
        <w:t>facilities</w:t>
      </w:r>
      <w:r w:rsidR="00694499">
        <w:rPr>
          <w:rFonts w:eastAsia="Times New Roman" w:cstheme="minorHAnsi"/>
          <w:color w:val="4A4A4A"/>
          <w:lang w:eastAsia="en-US"/>
        </w:rPr>
        <w:t xml:space="preserve"> </w:t>
      </w:r>
      <w:r w:rsidRPr="00486970">
        <w:rPr>
          <w:rFonts w:eastAsia="Times New Roman" w:cstheme="minorHAnsi"/>
          <w:color w:val="4A4A4A"/>
          <w:lang w:eastAsia="en-US"/>
        </w:rPr>
        <w:t>or using country-determined sentinel monitoring sites.</w:t>
      </w:r>
    </w:p>
    <w:p w14:paraId="01BA862E" w14:textId="77777777" w:rsidR="00EC2915" w:rsidRPr="00486970" w:rsidRDefault="00EC2915" w:rsidP="00576CFA">
      <w:pPr>
        <w:pStyle w:val="MText"/>
        <w:rPr>
          <w:rFonts w:cstheme="minorHAnsi"/>
        </w:rPr>
      </w:pPr>
    </w:p>
    <w:p w14:paraId="7D466604" w14:textId="674844F0" w:rsidR="00E46D96" w:rsidRPr="00486970" w:rsidRDefault="00E46D96" w:rsidP="00F719A8">
      <w:pPr>
        <w:pStyle w:val="MHeader2"/>
        <w:rPr>
          <w:rFonts w:cstheme="minorHAnsi"/>
        </w:rPr>
      </w:pPr>
      <w:r w:rsidRPr="00486970">
        <w:rPr>
          <w:rFonts w:cstheme="minorHAnsi"/>
        </w:rPr>
        <w:t xml:space="preserve">3.d. Data release calendar </w:t>
      </w:r>
      <w:r>
        <w:rPr>
          <w:color w:val="B4B4B4"/>
          <w:sz w:val="20"/>
        </w:rPr>
        <w:t>(REL_CAL_POLICY)</w:t>
      </w:r>
    </w:p>
    <w:p w14:paraId="64C749BD" w14:textId="5DC0227C" w:rsidR="00EC2915" w:rsidRDefault="005012B9" w:rsidP="00576CFA">
      <w:pPr>
        <w:pStyle w:val="MText"/>
        <w:rPr>
          <w:rStyle w:val="eop"/>
          <w:rFonts w:cstheme="minorHAnsi"/>
          <w:sz w:val="22"/>
          <w:szCs w:val="22"/>
        </w:rPr>
      </w:pPr>
      <w:r w:rsidRPr="00486970">
        <w:rPr>
          <w:rStyle w:val="normaltextrun"/>
          <w:rFonts w:cstheme="minorHAnsi"/>
          <w:sz w:val="22"/>
          <w:szCs w:val="22"/>
        </w:rPr>
        <w:t>Based on historical data points, the first release of the SDG indicator 3.b.3</w:t>
      </w:r>
      <w:r w:rsidR="00694499">
        <w:rPr>
          <w:rStyle w:val="normaltextrun"/>
          <w:rFonts w:cstheme="minorHAnsi"/>
          <w:sz w:val="22"/>
          <w:szCs w:val="22"/>
        </w:rPr>
        <w:t xml:space="preserve"> </w:t>
      </w:r>
      <w:r w:rsidRPr="00486970">
        <w:rPr>
          <w:rStyle w:val="normaltextrun"/>
          <w:rFonts w:cstheme="minorHAnsi"/>
          <w:sz w:val="22"/>
          <w:szCs w:val="22"/>
        </w:rPr>
        <w:t>results</w:t>
      </w:r>
      <w:r w:rsidR="00694499">
        <w:rPr>
          <w:rStyle w:val="normaltextrun"/>
          <w:rFonts w:cstheme="minorHAnsi"/>
          <w:sz w:val="22"/>
          <w:szCs w:val="22"/>
        </w:rPr>
        <w:t xml:space="preserve"> </w:t>
      </w:r>
      <w:r w:rsidRPr="00486970">
        <w:rPr>
          <w:rStyle w:val="normaltextrun"/>
          <w:rFonts w:cstheme="minorHAnsi"/>
          <w:sz w:val="22"/>
          <w:szCs w:val="22"/>
        </w:rPr>
        <w:t>is planned for</w:t>
      </w:r>
      <w:r w:rsidR="00694499">
        <w:rPr>
          <w:rStyle w:val="normaltextrun"/>
          <w:rFonts w:cstheme="minorHAnsi"/>
          <w:sz w:val="22"/>
          <w:szCs w:val="22"/>
        </w:rPr>
        <w:t xml:space="preserve"> </w:t>
      </w:r>
      <w:r w:rsidRPr="00486970">
        <w:rPr>
          <w:rStyle w:val="normaltextrun"/>
          <w:rFonts w:cstheme="minorHAnsi"/>
          <w:sz w:val="22"/>
          <w:szCs w:val="22"/>
        </w:rPr>
        <w:t>the</w:t>
      </w:r>
      <w:r w:rsidR="00694499">
        <w:rPr>
          <w:rStyle w:val="normaltextrun"/>
          <w:rFonts w:cstheme="minorHAnsi"/>
          <w:sz w:val="22"/>
          <w:szCs w:val="22"/>
        </w:rPr>
        <w:t xml:space="preserve"> </w:t>
      </w:r>
      <w:r w:rsidRPr="00486970">
        <w:rPr>
          <w:rStyle w:val="normaltextrun"/>
          <w:rFonts w:cstheme="minorHAnsi"/>
          <w:sz w:val="22"/>
          <w:szCs w:val="22"/>
        </w:rPr>
        <w:t>summer</w:t>
      </w:r>
      <w:r w:rsidR="00694499">
        <w:rPr>
          <w:rStyle w:val="normaltextrun"/>
          <w:rFonts w:cstheme="minorHAnsi"/>
          <w:sz w:val="22"/>
          <w:szCs w:val="22"/>
        </w:rPr>
        <w:t xml:space="preserve"> </w:t>
      </w:r>
      <w:r w:rsidRPr="00486970">
        <w:rPr>
          <w:rStyle w:val="normaltextrun"/>
          <w:rFonts w:cstheme="minorHAnsi"/>
          <w:sz w:val="22"/>
          <w:szCs w:val="22"/>
        </w:rPr>
        <w:t>of</w:t>
      </w:r>
      <w:r w:rsidR="00694499">
        <w:rPr>
          <w:rStyle w:val="normaltextrun"/>
          <w:rFonts w:cstheme="minorHAnsi"/>
          <w:sz w:val="22"/>
          <w:szCs w:val="22"/>
        </w:rPr>
        <w:t xml:space="preserve"> </w:t>
      </w:r>
      <w:r w:rsidRPr="00486970">
        <w:rPr>
          <w:rStyle w:val="normaltextrun"/>
          <w:rFonts w:cstheme="minorHAnsi"/>
          <w:sz w:val="22"/>
          <w:szCs w:val="22"/>
        </w:rPr>
        <w:t>2019.</w:t>
      </w:r>
      <w:r w:rsidR="00694499">
        <w:rPr>
          <w:rStyle w:val="normaltextrun"/>
          <w:rFonts w:cstheme="minorHAnsi"/>
          <w:sz w:val="22"/>
          <w:szCs w:val="22"/>
        </w:rPr>
        <w:t xml:space="preserve"> </w:t>
      </w:r>
      <w:r w:rsidRPr="00486970">
        <w:rPr>
          <w:rStyle w:val="normaltextrun"/>
          <w:rFonts w:cstheme="minorHAnsi"/>
          <w:sz w:val="22"/>
          <w:szCs w:val="22"/>
        </w:rPr>
        <w:t>Subsequently,</w:t>
      </w:r>
      <w:r w:rsidR="00694499">
        <w:rPr>
          <w:rStyle w:val="normaltextrun"/>
          <w:rFonts w:cstheme="minorHAnsi"/>
          <w:sz w:val="22"/>
          <w:szCs w:val="22"/>
        </w:rPr>
        <w:t xml:space="preserve"> </w:t>
      </w:r>
      <w:r w:rsidRPr="00486970">
        <w:rPr>
          <w:rStyle w:val="normaltextrun"/>
          <w:rFonts w:cstheme="minorHAnsi"/>
          <w:sz w:val="22"/>
          <w:szCs w:val="22"/>
        </w:rPr>
        <w:t>updated values will be calculated and published on an annual basis.</w:t>
      </w:r>
    </w:p>
    <w:p w14:paraId="396D1995" w14:textId="77777777" w:rsidR="00486970" w:rsidRPr="00486970" w:rsidRDefault="00486970" w:rsidP="00576CFA">
      <w:pPr>
        <w:pStyle w:val="MText"/>
        <w:rPr>
          <w:rFonts w:cstheme="minorHAnsi"/>
        </w:rPr>
      </w:pPr>
    </w:p>
    <w:p w14:paraId="3A4F3065" w14:textId="3AD52F9D" w:rsidR="00E46D96" w:rsidRPr="00486970" w:rsidRDefault="00E46D96" w:rsidP="00F719A8">
      <w:pPr>
        <w:pStyle w:val="MHeader2"/>
        <w:rPr>
          <w:rFonts w:cstheme="minorHAnsi"/>
        </w:rPr>
      </w:pPr>
      <w:r w:rsidRPr="00486970">
        <w:rPr>
          <w:rFonts w:cstheme="minorHAnsi"/>
        </w:rPr>
        <w:t xml:space="preserve">3.e. Data providers </w:t>
      </w:r>
      <w:r>
        <w:rPr>
          <w:color w:val="B4B4B4"/>
          <w:sz w:val="20"/>
        </w:rPr>
        <w:t>(DATA_SOURCE)</w:t>
      </w:r>
    </w:p>
    <w:p w14:paraId="50A66E64" w14:textId="797AC9B1" w:rsidR="00EC2915" w:rsidRPr="00486970" w:rsidRDefault="005012B9" w:rsidP="00576CFA">
      <w:pPr>
        <w:pStyle w:val="MText"/>
        <w:rPr>
          <w:rStyle w:val="eop"/>
          <w:rFonts w:cstheme="minorHAnsi"/>
          <w:sz w:val="22"/>
          <w:szCs w:val="22"/>
        </w:rPr>
      </w:pPr>
      <w:r w:rsidRPr="003B6F65">
        <w:rPr>
          <w:rStyle w:val="normaltextrun"/>
          <w:rFonts w:cstheme="minorHAnsi"/>
          <w:sz w:val="22"/>
          <w:szCs w:val="22"/>
        </w:rPr>
        <w:t>SARA, HAI/WHO, EMP</w:t>
      </w:r>
      <w:r w:rsidR="00694499">
        <w:rPr>
          <w:rStyle w:val="normaltextrun"/>
          <w:rFonts w:cstheme="minorHAnsi"/>
          <w:sz w:val="22"/>
          <w:szCs w:val="22"/>
        </w:rPr>
        <w:t xml:space="preserve"> </w:t>
      </w:r>
      <w:r w:rsidRPr="003B6F65">
        <w:rPr>
          <w:rStyle w:val="normaltextrun"/>
          <w:rFonts w:cstheme="minorHAnsi"/>
          <w:sz w:val="22"/>
          <w:szCs w:val="22"/>
        </w:rPr>
        <w:t>MedMon</w:t>
      </w:r>
      <w:r w:rsidRPr="00486970">
        <w:rPr>
          <w:rStyle w:val="normaltextrun"/>
          <w:rFonts w:cstheme="minorHAnsi"/>
          <w:b/>
          <w:bCs/>
          <w:sz w:val="22"/>
          <w:szCs w:val="22"/>
        </w:rPr>
        <w:t>:</w:t>
      </w:r>
      <w:r w:rsidR="00694499">
        <w:rPr>
          <w:rStyle w:val="normaltextrun"/>
          <w:rFonts w:cstheme="minorHAnsi"/>
          <w:b/>
          <w:bCs/>
          <w:sz w:val="22"/>
          <w:szCs w:val="22"/>
        </w:rPr>
        <w:t xml:space="preserve"> </w:t>
      </w:r>
      <w:r w:rsidRPr="00486970">
        <w:rPr>
          <w:rStyle w:val="normaltextrun"/>
          <w:rFonts w:cstheme="minorHAnsi"/>
          <w:sz w:val="22"/>
          <w:szCs w:val="22"/>
        </w:rPr>
        <w:t>Data is collected by the</w:t>
      </w:r>
      <w:r w:rsidR="00694499">
        <w:rPr>
          <w:rStyle w:val="normaltextrun"/>
          <w:rFonts w:cstheme="minorHAnsi"/>
          <w:sz w:val="22"/>
          <w:szCs w:val="22"/>
        </w:rPr>
        <w:t xml:space="preserve"> </w:t>
      </w:r>
      <w:r w:rsidRPr="00486970">
        <w:rPr>
          <w:rStyle w:val="normaltextrun"/>
          <w:rFonts w:cstheme="minorHAnsi"/>
          <w:sz w:val="22"/>
          <w:szCs w:val="22"/>
        </w:rPr>
        <w:t>countries’</w:t>
      </w:r>
      <w:r w:rsidR="00694499">
        <w:rPr>
          <w:rStyle w:val="normaltextrun"/>
          <w:rFonts w:cstheme="minorHAnsi"/>
          <w:sz w:val="22"/>
          <w:szCs w:val="22"/>
        </w:rPr>
        <w:t xml:space="preserve"> </w:t>
      </w:r>
      <w:r w:rsidRPr="00486970">
        <w:rPr>
          <w:rStyle w:val="normaltextrun"/>
          <w:rFonts w:cstheme="minorHAnsi"/>
          <w:sz w:val="22"/>
          <w:szCs w:val="22"/>
        </w:rPr>
        <w:t>Ministries of Health (MOH),</w:t>
      </w:r>
      <w:r w:rsidR="00694499">
        <w:rPr>
          <w:rStyle w:val="normaltextrun"/>
          <w:rFonts w:cstheme="minorHAnsi"/>
          <w:sz w:val="22"/>
          <w:szCs w:val="22"/>
        </w:rPr>
        <w:t xml:space="preserve"> </w:t>
      </w:r>
      <w:r w:rsidRPr="00486970">
        <w:rPr>
          <w:rStyle w:val="normaltextrun"/>
          <w:rFonts w:cstheme="minorHAnsi"/>
          <w:sz w:val="22"/>
          <w:szCs w:val="22"/>
        </w:rPr>
        <w:t>often with the support of the WHO country office.</w:t>
      </w:r>
      <w:r w:rsidR="00694499">
        <w:rPr>
          <w:rStyle w:val="normaltextrun"/>
          <w:rFonts w:cstheme="minorHAnsi"/>
          <w:sz w:val="22"/>
          <w:szCs w:val="22"/>
        </w:rPr>
        <w:t xml:space="preserve"> </w:t>
      </w:r>
      <w:r w:rsidRPr="00486970">
        <w:rPr>
          <w:rStyle w:val="normaltextrun"/>
          <w:rFonts w:cstheme="minorHAnsi"/>
          <w:sz w:val="22"/>
          <w:szCs w:val="22"/>
        </w:rPr>
        <w:t>Data</w:t>
      </w:r>
      <w:r w:rsidR="00694499">
        <w:rPr>
          <w:rStyle w:val="normaltextrun"/>
          <w:rFonts w:cstheme="minorHAnsi"/>
          <w:sz w:val="22"/>
          <w:szCs w:val="22"/>
        </w:rPr>
        <w:t xml:space="preserve"> </w:t>
      </w:r>
      <w:r w:rsidRPr="00486970">
        <w:rPr>
          <w:rStyle w:val="normaltextrun"/>
          <w:rFonts w:cstheme="minorHAnsi"/>
          <w:sz w:val="22"/>
          <w:szCs w:val="22"/>
        </w:rPr>
        <w:t>is</w:t>
      </w:r>
      <w:r w:rsidR="00694499">
        <w:rPr>
          <w:rStyle w:val="normaltextrun"/>
          <w:rFonts w:cstheme="minorHAnsi"/>
          <w:sz w:val="22"/>
          <w:szCs w:val="22"/>
        </w:rPr>
        <w:t xml:space="preserve"> </w:t>
      </w:r>
      <w:r w:rsidRPr="00486970">
        <w:rPr>
          <w:rStyle w:val="normaltextrun"/>
          <w:rFonts w:cstheme="minorHAnsi"/>
          <w:sz w:val="22"/>
          <w:szCs w:val="22"/>
        </w:rPr>
        <w:t>then</w:t>
      </w:r>
      <w:r w:rsidR="00694499">
        <w:rPr>
          <w:rStyle w:val="normaltextrun"/>
          <w:rFonts w:cstheme="minorHAnsi"/>
          <w:sz w:val="22"/>
          <w:szCs w:val="22"/>
        </w:rPr>
        <w:t xml:space="preserve"> </w:t>
      </w:r>
      <w:r w:rsidRPr="00486970">
        <w:rPr>
          <w:rStyle w:val="normaltextrun"/>
          <w:rFonts w:cstheme="minorHAnsi"/>
          <w:sz w:val="22"/>
          <w:szCs w:val="22"/>
        </w:rPr>
        <w:t>validated by</w:t>
      </w:r>
      <w:r w:rsidR="00694499">
        <w:rPr>
          <w:rStyle w:val="normaltextrun"/>
          <w:rFonts w:cstheme="minorHAnsi"/>
          <w:sz w:val="22"/>
          <w:szCs w:val="22"/>
        </w:rPr>
        <w:t xml:space="preserve"> </w:t>
      </w:r>
      <w:r w:rsidRPr="00486970">
        <w:rPr>
          <w:rStyle w:val="normaltextrun"/>
          <w:rFonts w:cstheme="minorHAnsi"/>
          <w:sz w:val="22"/>
          <w:szCs w:val="22"/>
        </w:rPr>
        <w:t>MoH-based</w:t>
      </w:r>
      <w:r w:rsidR="00694499">
        <w:rPr>
          <w:rStyle w:val="normaltextrun"/>
          <w:rFonts w:cstheme="minorHAnsi"/>
          <w:sz w:val="22"/>
          <w:szCs w:val="22"/>
        </w:rPr>
        <w:t xml:space="preserve"> </w:t>
      </w:r>
      <w:r w:rsidRPr="00486970">
        <w:rPr>
          <w:rStyle w:val="normaltextrun"/>
          <w:rFonts w:cstheme="minorHAnsi"/>
          <w:sz w:val="22"/>
          <w:szCs w:val="22"/>
        </w:rPr>
        <w:t>statisticians and shared with WHO by request.</w:t>
      </w:r>
    </w:p>
    <w:p w14:paraId="77D3DDF2" w14:textId="77777777" w:rsidR="00486970" w:rsidRPr="00486970" w:rsidRDefault="00486970" w:rsidP="00576CFA">
      <w:pPr>
        <w:pStyle w:val="MText"/>
        <w:rPr>
          <w:rFonts w:cstheme="minorHAnsi"/>
        </w:rPr>
      </w:pPr>
    </w:p>
    <w:p w14:paraId="30DC8E05" w14:textId="484D6EC2" w:rsidR="00E46D96" w:rsidRPr="00486970" w:rsidRDefault="00E46D96" w:rsidP="00F719A8">
      <w:pPr>
        <w:pStyle w:val="MHeader2"/>
        <w:rPr>
          <w:rFonts w:cstheme="minorHAnsi"/>
        </w:rPr>
      </w:pPr>
      <w:r w:rsidRPr="00486970">
        <w:rPr>
          <w:rFonts w:cstheme="minorHAnsi"/>
        </w:rPr>
        <w:t xml:space="preserve">3.f. Data compilers </w:t>
      </w:r>
      <w:r>
        <w:rPr>
          <w:color w:val="B4B4B4"/>
          <w:sz w:val="20"/>
        </w:rPr>
        <w:t>(COMPILING_ORG)</w:t>
      </w:r>
    </w:p>
    <w:p w14:paraId="5C43435B" w14:textId="527224F6" w:rsidR="00EC2915" w:rsidRPr="00486970" w:rsidRDefault="005012B9" w:rsidP="00576CFA">
      <w:pPr>
        <w:pStyle w:val="MText"/>
        <w:rPr>
          <w:rStyle w:val="eop"/>
          <w:rFonts w:cstheme="minorHAnsi"/>
          <w:sz w:val="22"/>
          <w:szCs w:val="22"/>
        </w:rPr>
      </w:pPr>
      <w:r w:rsidRPr="00486970">
        <w:rPr>
          <w:rStyle w:val="normaltextrun"/>
          <w:rFonts w:cstheme="minorHAnsi"/>
          <w:sz w:val="22"/>
          <w:szCs w:val="22"/>
        </w:rPr>
        <w:t>The World Health Organization</w:t>
      </w:r>
    </w:p>
    <w:p w14:paraId="5304BBA4" w14:textId="77777777" w:rsidR="005012B9" w:rsidRPr="00486970" w:rsidRDefault="005012B9" w:rsidP="00576CFA">
      <w:pPr>
        <w:pStyle w:val="MText"/>
        <w:rPr>
          <w:rFonts w:cstheme="minorHAnsi"/>
        </w:rPr>
      </w:pPr>
    </w:p>
    <w:p w14:paraId="5655E768" w14:textId="5429F32E" w:rsidR="00E46D96" w:rsidRPr="00486970" w:rsidRDefault="00E46D96" w:rsidP="00F719A8">
      <w:pPr>
        <w:pStyle w:val="MHeader2"/>
        <w:rPr>
          <w:rFonts w:cstheme="minorHAnsi"/>
        </w:rPr>
      </w:pPr>
      <w:r w:rsidRPr="00486970">
        <w:rPr>
          <w:rFonts w:cstheme="minorHAnsi"/>
        </w:rPr>
        <w:t xml:space="preserve">3.g. Institutional mandate </w:t>
      </w:r>
      <w:r>
        <w:rPr>
          <w:color w:val="B4B4B4"/>
          <w:sz w:val="20"/>
        </w:rPr>
        <w:t>(INST_MANDATE)</w:t>
      </w:r>
    </w:p>
    <w:p w14:paraId="7D007C3C" w14:textId="68631AC1" w:rsidR="00EC2915" w:rsidRPr="00486970" w:rsidRDefault="00EC2915" w:rsidP="00576CFA">
      <w:pPr>
        <w:pStyle w:val="MText"/>
        <w:rPr>
          <w:rFonts w:cstheme="minorHAnsi"/>
        </w:rPr>
      </w:pPr>
    </w:p>
    <w:p w14:paraId="3D063F4C" w14:textId="77777777" w:rsidR="00F719A8" w:rsidRPr="00486970" w:rsidRDefault="00F719A8" w:rsidP="00576CFA">
      <w:pPr>
        <w:pStyle w:val="MText"/>
        <w:rPr>
          <w:rFonts w:cstheme="minorHAnsi"/>
        </w:rPr>
      </w:pPr>
    </w:p>
    <w:p w14:paraId="6149DC94" w14:textId="05781947" w:rsidR="00B31E2C" w:rsidRPr="00486970" w:rsidRDefault="00B31E2C" w:rsidP="00AF5ED1">
      <w:pPr>
        <w:pStyle w:val="MHeader"/>
        <w:rPr>
          <w:rFonts w:cstheme="minorHAnsi"/>
        </w:rPr>
      </w:pPr>
      <w:r w:rsidRPr="00486970">
        <w:rPr>
          <w:rFonts w:cstheme="minorHAnsi"/>
        </w:rPr>
        <w:t xml:space="preserve">4. Other methodological considerations </w:t>
      </w:r>
      <w:r>
        <w:rPr>
          <w:color w:val="B4B4B4"/>
          <w:sz w:val="20"/>
        </w:rPr>
        <w:t>(OTHER_METHOD)</w:t>
      </w:r>
    </w:p>
    <w:p w14:paraId="1AFA5517" w14:textId="54FD9B10" w:rsidR="00AF5ED1" w:rsidRPr="00486970" w:rsidRDefault="00576CFA" w:rsidP="00F719A8">
      <w:pPr>
        <w:pStyle w:val="MHeader2"/>
        <w:rPr>
          <w:rFonts w:cstheme="minorHAnsi"/>
        </w:rPr>
      </w:pPr>
      <w:r w:rsidRPr="00486970">
        <w:rPr>
          <w:rFonts w:cstheme="minorHAnsi"/>
        </w:rPr>
        <w:t xml:space="preserve">4.a. Rationale </w:t>
      </w:r>
      <w:r>
        <w:rPr>
          <w:color w:val="B4B4B4"/>
          <w:sz w:val="20"/>
        </w:rPr>
        <w:t>(RATIONALE)</w:t>
      </w:r>
    </w:p>
    <w:p w14:paraId="5B156459" w14:textId="05C8CFE0" w:rsidR="00F70A66" w:rsidRDefault="00F70A66" w:rsidP="00F70A66">
      <w:pPr>
        <w:pStyle w:val="paragraph"/>
        <w:shd w:val="clear" w:color="auto" w:fill="FFFFFF"/>
        <w:spacing w:before="0" w:beforeAutospacing="0" w:after="0" w:afterAutospacing="0"/>
        <w:jc w:val="both"/>
        <w:textAlignment w:val="baseline"/>
        <w:rPr>
          <w:rStyle w:val="normaltextrun"/>
          <w:rFonts w:asciiTheme="minorHAnsi" w:hAnsiTheme="minorHAnsi" w:cstheme="minorHAnsi"/>
          <w:color w:val="4A4A4A"/>
          <w:sz w:val="22"/>
          <w:szCs w:val="22"/>
          <w:lang w:val="en-GB"/>
        </w:rPr>
      </w:pPr>
      <w:r w:rsidRPr="00486970">
        <w:rPr>
          <w:rStyle w:val="normaltextrun"/>
          <w:rFonts w:asciiTheme="minorHAnsi" w:hAnsiTheme="minorHAnsi" w:cstheme="minorHAnsi"/>
          <w:color w:val="4A4A4A"/>
          <w:sz w:val="22"/>
          <w:szCs w:val="22"/>
          <w:lang w:val="en-GB"/>
        </w:rPr>
        <w:t>Measurement and monitoring of access to essential medicines are of high priority for the global development agenda given access is an integral part of the Universal Health Coverage movement and an indispensable element of the delivery of quality health care. Access to medicines is a composite multidimensional concept that is composed of the availability of medicines and the affordability of their prices. Information on these two dimensions has been collected and analysed since the 54</w:t>
      </w:r>
      <w:r w:rsidR="00B84B96" w:rsidRPr="00B84B96">
        <w:rPr>
          <w:rStyle w:val="normaltextrun"/>
          <w:rFonts w:asciiTheme="minorHAnsi" w:hAnsiTheme="minorHAnsi" w:cstheme="minorHAnsi"/>
          <w:color w:val="4A4A4A"/>
          <w:sz w:val="22"/>
          <w:szCs w:val="22"/>
          <w:vertAlign w:val="superscript"/>
          <w:lang w:val="en-GB"/>
        </w:rPr>
        <w:t>th</w:t>
      </w:r>
      <w:r w:rsidR="00B84B9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World Health Assembly in 2001, when Member States adopted the WHO Medicines Strategy (resolution WHA54.11). This resolution led to the launch of the joint project on Medicine Prices and Availability by WHO and the international non-governmental organization Health Action International (HAI/WHO), as well as a proposed HAI/WHO methodology for collecting data and measuring components of access to medicines. To this day, this methodology has been widely implemented to produce useful analyses of availability and affordability of medicines, however the two dimensions have been evaluated separately.</w:t>
      </w:r>
    </w:p>
    <w:p w14:paraId="2E3344EF" w14:textId="77777777" w:rsidR="006D207C" w:rsidRPr="00486970" w:rsidRDefault="006D207C" w:rsidP="00F70A66">
      <w:pPr>
        <w:pStyle w:val="paragraph"/>
        <w:shd w:val="clear" w:color="auto" w:fill="FFFFFF"/>
        <w:spacing w:before="0" w:beforeAutospacing="0" w:after="0" w:afterAutospacing="0"/>
        <w:jc w:val="both"/>
        <w:textAlignment w:val="baseline"/>
        <w:rPr>
          <w:rFonts w:asciiTheme="minorHAnsi" w:hAnsiTheme="minorHAnsi" w:cstheme="minorHAnsi"/>
          <w:color w:val="4A4A4A"/>
          <w:sz w:val="18"/>
          <w:szCs w:val="18"/>
        </w:rPr>
      </w:pPr>
    </w:p>
    <w:p w14:paraId="5EB7A30A" w14:textId="7FE843FC" w:rsidR="00F70A66" w:rsidRDefault="00F70A66" w:rsidP="00F70A66">
      <w:pPr>
        <w:pStyle w:val="paragraph"/>
        <w:shd w:val="clear" w:color="auto" w:fill="FFFFFF"/>
        <w:spacing w:before="0" w:beforeAutospacing="0" w:after="0" w:afterAutospacing="0"/>
        <w:jc w:val="both"/>
        <w:textAlignment w:val="baseline"/>
        <w:rPr>
          <w:rStyle w:val="normaltextrun"/>
          <w:rFonts w:asciiTheme="minorHAnsi" w:hAnsiTheme="minorHAnsi" w:cstheme="minorHAnsi"/>
          <w:color w:val="4A4A4A"/>
          <w:sz w:val="22"/>
          <w:szCs w:val="22"/>
          <w:lang w:val="en-GB"/>
        </w:rPr>
      </w:pPr>
      <w:r w:rsidRPr="00486970">
        <w:rPr>
          <w:rStyle w:val="normaltextrun"/>
          <w:rFonts w:asciiTheme="minorHAnsi" w:hAnsiTheme="minorHAnsi" w:cstheme="minorHAnsi"/>
          <w:color w:val="4A4A4A"/>
          <w:sz w:val="22"/>
          <w:szCs w:val="22"/>
          <w:lang w:val="en-GB"/>
        </w:rPr>
        <w:t>While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the above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approach has provided an overview of the countries’ performance and progress on improving the affordability and availability of medicines, it has not allowed evaluation of overall access to medicines.</w:t>
      </w:r>
    </w:p>
    <w:p w14:paraId="0C851F79" w14:textId="77777777" w:rsidR="006D207C" w:rsidRPr="00486970" w:rsidRDefault="006D207C" w:rsidP="00F70A66">
      <w:pPr>
        <w:pStyle w:val="paragraph"/>
        <w:shd w:val="clear" w:color="auto" w:fill="FFFFFF"/>
        <w:spacing w:before="0" w:beforeAutospacing="0" w:after="0" w:afterAutospacing="0"/>
        <w:jc w:val="both"/>
        <w:textAlignment w:val="baseline"/>
        <w:rPr>
          <w:rFonts w:asciiTheme="minorHAnsi" w:hAnsiTheme="minorHAnsi" w:cstheme="minorHAnsi"/>
          <w:color w:val="4A4A4A"/>
          <w:sz w:val="18"/>
          <w:szCs w:val="18"/>
        </w:rPr>
      </w:pPr>
    </w:p>
    <w:p w14:paraId="45F6A860" w14:textId="6A15216C" w:rsidR="00F70A66" w:rsidRDefault="00F70A66" w:rsidP="00F70A66">
      <w:pPr>
        <w:pStyle w:val="paragraph"/>
        <w:shd w:val="clear" w:color="auto" w:fill="FFFFFF"/>
        <w:spacing w:before="0" w:beforeAutospacing="0" w:after="0" w:afterAutospacing="0"/>
        <w:jc w:val="both"/>
        <w:textAlignment w:val="baseline"/>
        <w:rPr>
          <w:rStyle w:val="normaltextrun"/>
          <w:rFonts w:asciiTheme="minorHAnsi" w:hAnsiTheme="minorHAnsi" w:cstheme="minorHAnsi"/>
          <w:color w:val="4A4A4A"/>
          <w:sz w:val="22"/>
          <w:szCs w:val="22"/>
          <w:lang w:val="en-GB"/>
        </w:rPr>
      </w:pPr>
      <w:r w:rsidRPr="00486970">
        <w:rPr>
          <w:rStyle w:val="normaltextrun"/>
          <w:rFonts w:asciiTheme="minorHAnsi" w:hAnsiTheme="minorHAnsi" w:cstheme="minorHAnsi"/>
          <w:color w:val="4A4A4A"/>
          <w:sz w:val="22"/>
          <w:szCs w:val="22"/>
          <w:lang w:val="en-GB"/>
        </w:rPr>
        <w:t>This</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evaluation is in turn essential as</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country’s</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success in ensuring</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one of the dimensions (e.g.</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availability) does not necessarily indicate the realization of the other (e.g.</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affordability) and vice versa. For example, a</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country</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may focus its policy efforts on ensuring the availability of a core set of essential medicines in the event of low capacity of local production and/or challenges associated with geographic location. As a result of the proposed policies, medicines may become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available</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but</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their prices may not be affordable. The opposite situation is also possible, as lowering prices of medicines to increase affordability may be too restrictive for some pharmaceutical producers and lead to a decreased supply. Therefore, given the multidimensionality of access to medicines, it is necessary to evaluate both affordability and availability of medicines</w:t>
      </w:r>
      <w:r w:rsidR="0069449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at the same time.</w:t>
      </w:r>
    </w:p>
    <w:p w14:paraId="47B01C7A" w14:textId="77777777" w:rsidR="006D207C" w:rsidRPr="00486970" w:rsidRDefault="006D207C" w:rsidP="00F70A66">
      <w:pPr>
        <w:pStyle w:val="paragraph"/>
        <w:shd w:val="clear" w:color="auto" w:fill="FFFFFF"/>
        <w:spacing w:before="0" w:beforeAutospacing="0" w:after="0" w:afterAutospacing="0"/>
        <w:jc w:val="both"/>
        <w:textAlignment w:val="baseline"/>
        <w:rPr>
          <w:rFonts w:asciiTheme="minorHAnsi" w:hAnsiTheme="minorHAnsi" w:cstheme="minorHAnsi"/>
          <w:color w:val="4A4A4A"/>
          <w:sz w:val="18"/>
          <w:szCs w:val="18"/>
        </w:rPr>
      </w:pPr>
    </w:p>
    <w:p w14:paraId="22A63A60" w14:textId="4A4151E8" w:rsidR="00F70A66" w:rsidRDefault="00F70A66" w:rsidP="00F70A66">
      <w:pPr>
        <w:pStyle w:val="paragraph"/>
        <w:shd w:val="clear" w:color="auto" w:fill="FFFFFF"/>
        <w:spacing w:before="0" w:beforeAutospacing="0" w:after="0" w:afterAutospacing="0"/>
        <w:jc w:val="both"/>
        <w:textAlignment w:val="baseline"/>
        <w:rPr>
          <w:rStyle w:val="normaltextrun"/>
          <w:rFonts w:asciiTheme="minorHAnsi" w:hAnsiTheme="minorHAnsi" w:cstheme="minorHAnsi"/>
          <w:color w:val="4A4A4A"/>
          <w:sz w:val="22"/>
          <w:szCs w:val="22"/>
          <w:lang w:val="en-GB"/>
        </w:rPr>
      </w:pPr>
      <w:r w:rsidRPr="00486970">
        <w:rPr>
          <w:rStyle w:val="normaltextrun"/>
          <w:rFonts w:asciiTheme="minorHAnsi" w:hAnsiTheme="minorHAnsi" w:cstheme="minorHAnsi"/>
          <w:color w:val="4A4A4A"/>
          <w:sz w:val="22"/>
          <w:szCs w:val="22"/>
          <w:lang w:val="en-GB"/>
        </w:rPr>
        <w:t>The</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proposed</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methodology</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for indicator 3.b.3</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allows the combination of both dimensions into a single indicator</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to</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evaluate the availability and affordability of medicines simultaneously. This methodology also allows for disaggregation so that each dimension can be analysed separately and the main driver of</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poor performance</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of the overall index can be properly identified.</w:t>
      </w:r>
    </w:p>
    <w:p w14:paraId="46F0061A" w14:textId="77777777" w:rsidR="006D207C" w:rsidRPr="00486970" w:rsidRDefault="006D207C" w:rsidP="00F70A66">
      <w:pPr>
        <w:pStyle w:val="paragraph"/>
        <w:shd w:val="clear" w:color="auto" w:fill="FFFFFF"/>
        <w:spacing w:before="0" w:beforeAutospacing="0" w:after="0" w:afterAutospacing="0"/>
        <w:jc w:val="both"/>
        <w:textAlignment w:val="baseline"/>
        <w:rPr>
          <w:rFonts w:asciiTheme="minorHAnsi" w:hAnsiTheme="minorHAnsi" w:cstheme="minorHAnsi"/>
          <w:color w:val="4A4A4A"/>
          <w:sz w:val="18"/>
          <w:szCs w:val="18"/>
        </w:rPr>
      </w:pPr>
    </w:p>
    <w:p w14:paraId="5E1A43FF" w14:textId="7405C351" w:rsidR="00F70A66" w:rsidRPr="00486970" w:rsidRDefault="00F70A66" w:rsidP="00F70A66">
      <w:pPr>
        <w:pStyle w:val="paragraph"/>
        <w:shd w:val="clear" w:color="auto" w:fill="FFFFFF"/>
        <w:spacing w:before="0" w:beforeAutospacing="0" w:after="0" w:afterAutospacing="0"/>
        <w:jc w:val="both"/>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color w:val="4A4A4A"/>
          <w:sz w:val="22"/>
          <w:szCs w:val="22"/>
          <w:lang w:val="en-GB"/>
        </w:rPr>
        <w:t>Monitoring the core set of relevant essential medicines is based on the WHO</w:t>
      </w:r>
      <w:r w:rsidR="00B84B9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Model List of</w:t>
      </w:r>
      <w:r w:rsidR="00B84B96">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Essential Medicines</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(EML). The 2017 WHO EML contains 433 medications deemed essential for addressing the most important public health needs globally. The current index is computed based on a subset of</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32</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tracer essential medicines for the treatment, prevention and management of acute and chronic, communicable and non-communicable diseases in</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primary health care setting.</w:t>
      </w:r>
    </w:p>
    <w:p w14:paraId="18EA7892" w14:textId="77777777" w:rsidR="00576CFA" w:rsidRPr="00486970" w:rsidRDefault="00576CFA" w:rsidP="00576CFA">
      <w:pPr>
        <w:pStyle w:val="MText"/>
        <w:rPr>
          <w:rFonts w:cstheme="minorHAnsi"/>
        </w:rPr>
      </w:pPr>
    </w:p>
    <w:p w14:paraId="2529B069" w14:textId="618DCD10" w:rsidR="00E1050F" w:rsidRPr="00486970" w:rsidRDefault="00E1050F" w:rsidP="00F719A8">
      <w:pPr>
        <w:pStyle w:val="MHeader2"/>
        <w:rPr>
          <w:rFonts w:cstheme="minorHAnsi"/>
        </w:rPr>
      </w:pPr>
      <w:r w:rsidRPr="00486970">
        <w:rPr>
          <w:rFonts w:cstheme="minorHAnsi"/>
        </w:rPr>
        <w:t xml:space="preserve">4.b. Comment and limitations </w:t>
      </w:r>
      <w:r>
        <w:rPr>
          <w:color w:val="B4B4B4"/>
          <w:sz w:val="20"/>
        </w:rPr>
        <w:t>(REC_USE_LIM)</w:t>
      </w:r>
    </w:p>
    <w:p w14:paraId="2E69C227" w14:textId="745E1917" w:rsidR="00F70A66" w:rsidRPr="003B6F65" w:rsidRDefault="00F70A66" w:rsidP="00021E78">
      <w:pPr>
        <w:pStyle w:val="paragraph"/>
        <w:numPr>
          <w:ilvl w:val="0"/>
          <w:numId w:val="48"/>
        </w:numPr>
        <w:spacing w:before="0" w:beforeAutospacing="0" w:after="0" w:afterAutospacing="0"/>
        <w:jc w:val="both"/>
        <w:textAlignment w:val="baseline"/>
        <w:rPr>
          <w:rFonts w:asciiTheme="minorHAnsi" w:hAnsiTheme="minorHAnsi" w:cstheme="minorHAnsi"/>
          <w:color w:val="4A4A4A"/>
          <w:sz w:val="22"/>
          <w:szCs w:val="22"/>
        </w:rPr>
      </w:pPr>
      <w:r w:rsidRPr="00021E78">
        <w:rPr>
          <w:rStyle w:val="normaltextrun"/>
          <w:rFonts w:asciiTheme="minorHAnsi" w:hAnsiTheme="minorHAnsi" w:cstheme="minorHAnsi"/>
          <w:color w:val="4A4A4A"/>
          <w:sz w:val="22"/>
          <w:szCs w:val="22"/>
          <w:lang w:val="en-GB"/>
        </w:rPr>
        <w:t>On basket of tracer essential medicines:</w:t>
      </w:r>
    </w:p>
    <w:p w14:paraId="2A4A0D96" w14:textId="0126DE9A" w:rsidR="00F70A66" w:rsidRPr="006D207C" w:rsidRDefault="00F70A66" w:rsidP="003B6F65">
      <w:pPr>
        <w:pStyle w:val="paragraph"/>
        <w:numPr>
          <w:ilvl w:val="1"/>
          <w:numId w:val="48"/>
        </w:numPr>
        <w:spacing w:before="0" w:beforeAutospacing="0" w:after="0" w:afterAutospacing="0"/>
        <w:jc w:val="both"/>
        <w:textAlignment w:val="baseline"/>
        <w:rPr>
          <w:rStyle w:val="normaltextrun"/>
          <w:rFonts w:asciiTheme="minorHAnsi" w:hAnsiTheme="minorHAnsi" w:cstheme="minorHAnsi"/>
          <w:color w:val="4A4A4A"/>
          <w:sz w:val="22"/>
          <w:szCs w:val="22"/>
        </w:rPr>
      </w:pPr>
      <w:r w:rsidRPr="00486970">
        <w:rPr>
          <w:rStyle w:val="normaltextrun"/>
          <w:rFonts w:asciiTheme="minorHAnsi" w:hAnsiTheme="minorHAnsi" w:cstheme="minorHAnsi"/>
          <w:color w:val="4A4A4A"/>
          <w:sz w:val="22"/>
          <w:szCs w:val="22"/>
          <w:lang w:val="en-GB"/>
        </w:rPr>
        <w:t>Although it is possible to regularly monitor all 400+ medicines on the current</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WHO</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Model List of Essential Medicines, indicator 3.b.3 requires a specific subset of this list. Over the years, several baskets of medicines have been defined for different purposes and used to conduct data collection and monitor price and availability. This</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core set of medicines</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does not replace the other existing baskets, and WHO teams and partners are encouraged and committed to continue ad hoc monitoring through other existing channels.</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Throughout the process of identifying the core set of medicines, one area of focus has been to balance the selection of the tracer</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medicines for primary health care with the size of the basket itself. The</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proposed</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basket</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represents a balanced approach to allow that relevant tracer medicines for primary health care are</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monitored yet</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ensuring a practical and feasible data collection and analysis.</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lastRenderedPageBreak/>
        <w:t>The</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32</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medicines listed in the basket are meant to be indicative of the access to medicines for primary health care but</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do not serve as a</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complete or exhaustive list.</w:t>
      </w:r>
    </w:p>
    <w:p w14:paraId="4B36748A" w14:textId="77777777" w:rsidR="006D207C" w:rsidRPr="00486970" w:rsidRDefault="006D207C" w:rsidP="006D207C">
      <w:pPr>
        <w:pStyle w:val="paragraph"/>
        <w:spacing w:before="0" w:beforeAutospacing="0" w:after="0" w:afterAutospacing="0"/>
        <w:ind w:left="360"/>
        <w:jc w:val="both"/>
        <w:textAlignment w:val="baseline"/>
        <w:rPr>
          <w:rFonts w:asciiTheme="minorHAnsi" w:hAnsiTheme="minorHAnsi" w:cstheme="minorHAnsi"/>
          <w:color w:val="4A4A4A"/>
          <w:sz w:val="22"/>
          <w:szCs w:val="22"/>
        </w:rPr>
      </w:pPr>
    </w:p>
    <w:p w14:paraId="75F80EE7" w14:textId="0321ADA0" w:rsidR="00F70A66" w:rsidRPr="006D207C" w:rsidRDefault="00F70A66" w:rsidP="003B6F65">
      <w:pPr>
        <w:pStyle w:val="paragraph"/>
        <w:numPr>
          <w:ilvl w:val="1"/>
          <w:numId w:val="48"/>
        </w:numPr>
        <w:spacing w:before="0" w:beforeAutospacing="0" w:after="0" w:afterAutospacing="0"/>
        <w:jc w:val="both"/>
        <w:textAlignment w:val="baseline"/>
        <w:rPr>
          <w:rStyle w:val="normaltextrun"/>
          <w:rFonts w:asciiTheme="minorHAnsi" w:hAnsiTheme="minorHAnsi" w:cstheme="minorHAnsi"/>
          <w:color w:val="4A4A4A"/>
          <w:sz w:val="22"/>
          <w:szCs w:val="22"/>
        </w:rPr>
      </w:pPr>
      <w:r w:rsidRPr="00486970">
        <w:rPr>
          <w:rStyle w:val="normaltextrun"/>
          <w:rFonts w:asciiTheme="minorHAnsi" w:hAnsiTheme="minorHAnsi" w:cstheme="minorHAnsi"/>
          <w:color w:val="4A4A4A"/>
          <w:sz w:val="22"/>
          <w:szCs w:val="22"/>
          <w:lang w:val="en-GB"/>
        </w:rPr>
        <w:t>As mentioned above,</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each medicine in the basket is weighted according to the regional Disability Adjusted Life Years (DALYs)</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for relevant disease</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from the WHO</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Global health estimates.</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Regional estimates are less sensitive to country-by-country variability of data quality,</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they</w:t>
      </w:r>
      <w:r w:rsidR="00244AC9">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sufficiently illustrate the disease distribution across countries in the region and work well due simplicity and comparability. Hence, regional weights for medicines are used to establish the associated country weights. However, this diminishes the specificity of the basket to the national context.</w:t>
      </w:r>
    </w:p>
    <w:p w14:paraId="4EC74E30" w14:textId="77777777" w:rsidR="006D207C" w:rsidRDefault="006D207C" w:rsidP="006D207C">
      <w:pPr>
        <w:pStyle w:val="ListParagraph"/>
        <w:spacing w:after="0"/>
        <w:rPr>
          <w:rStyle w:val="eop"/>
          <w:rFonts w:cstheme="minorHAnsi"/>
          <w:color w:val="4A4A4A"/>
        </w:rPr>
      </w:pPr>
    </w:p>
    <w:p w14:paraId="3E0E89C0" w14:textId="77777777" w:rsidR="006D207C" w:rsidRDefault="006D207C" w:rsidP="006D207C">
      <w:pPr>
        <w:pStyle w:val="paragraph"/>
        <w:spacing w:before="0" w:beforeAutospacing="0" w:after="0" w:afterAutospacing="0"/>
        <w:ind w:left="360"/>
        <w:jc w:val="both"/>
        <w:textAlignment w:val="baseline"/>
        <w:rPr>
          <w:rStyle w:val="eop"/>
          <w:rFonts w:asciiTheme="minorHAnsi" w:hAnsiTheme="minorHAnsi" w:cstheme="minorHAnsi"/>
          <w:color w:val="4A4A4A"/>
          <w:sz w:val="22"/>
          <w:szCs w:val="22"/>
        </w:rPr>
      </w:pPr>
    </w:p>
    <w:p w14:paraId="7DDD313E" w14:textId="3FA20A10" w:rsidR="003B6F65" w:rsidRDefault="003B6F65" w:rsidP="003B6F65">
      <w:pPr>
        <w:pStyle w:val="paragraph"/>
        <w:numPr>
          <w:ilvl w:val="0"/>
          <w:numId w:val="48"/>
        </w:numPr>
        <w:spacing w:before="0" w:beforeAutospacing="0" w:after="0" w:afterAutospacing="0"/>
        <w:jc w:val="both"/>
        <w:textAlignment w:val="baseline"/>
        <w:rPr>
          <w:rFonts w:asciiTheme="minorHAnsi" w:hAnsiTheme="minorHAnsi" w:cstheme="minorHAnsi"/>
          <w:color w:val="4A4A4A"/>
          <w:sz w:val="22"/>
          <w:szCs w:val="22"/>
        </w:rPr>
      </w:pPr>
      <w:r>
        <w:rPr>
          <w:rFonts w:asciiTheme="minorHAnsi" w:hAnsiTheme="minorHAnsi" w:cstheme="minorHAnsi"/>
          <w:color w:val="4A4A4A"/>
          <w:sz w:val="22"/>
          <w:szCs w:val="22"/>
        </w:rPr>
        <w:t>On the measurement of medicines’ availability:</w:t>
      </w:r>
    </w:p>
    <w:p w14:paraId="2B1DFB05" w14:textId="52E71A0D" w:rsidR="00021E78" w:rsidRPr="006D207C" w:rsidRDefault="00F70A66" w:rsidP="00AC1F56">
      <w:pPr>
        <w:pStyle w:val="paragraph"/>
        <w:numPr>
          <w:ilvl w:val="1"/>
          <w:numId w:val="48"/>
        </w:numPr>
        <w:spacing w:before="0" w:beforeAutospacing="0" w:after="0" w:afterAutospacing="0"/>
        <w:jc w:val="both"/>
        <w:textAlignment w:val="baseline"/>
        <w:rPr>
          <w:rStyle w:val="normaltextrun"/>
          <w:rFonts w:asciiTheme="minorHAnsi" w:hAnsiTheme="minorHAnsi" w:cstheme="minorHAnsi"/>
          <w:color w:val="4A4A4A"/>
          <w:sz w:val="22"/>
          <w:szCs w:val="22"/>
          <w:lang w:val="en-GB"/>
        </w:rPr>
      </w:pPr>
      <w:r w:rsidRPr="00021E78">
        <w:rPr>
          <w:rStyle w:val="normaltextrun"/>
          <w:rFonts w:asciiTheme="minorHAnsi" w:hAnsiTheme="minorHAnsi" w:cstheme="minorHAnsi"/>
          <w:color w:val="4A4A4A"/>
          <w:sz w:val="22"/>
          <w:szCs w:val="22"/>
          <w:lang w:val="en-GB"/>
        </w:rPr>
        <w:t>The proposed approach for measuring the availability of medicines is based on the presence of the medicine on the day that the interviewer visits the facility and does not account for temporary</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and/or planned</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stock outs. The</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32</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medicines identified for the analysis should always be available in the facilities considering that in some (mainly rural) areas, the facility may be very difficult to reach and individuals may not have resources to travel on a daily basis.</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Moreover,</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in this proposed methodology</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the price of the medicine does not take into consideration the so-called indirect costs, which normally include transportation and other costs to reach the facility. Thus, the proposed measure for availability presents some limitations.</w:t>
      </w:r>
    </w:p>
    <w:p w14:paraId="06DF5917" w14:textId="77777777" w:rsidR="006D207C" w:rsidRPr="006D207C" w:rsidRDefault="006D207C" w:rsidP="006D207C">
      <w:pPr>
        <w:pStyle w:val="paragraph"/>
        <w:numPr>
          <w:ilvl w:val="1"/>
          <w:numId w:val="48"/>
        </w:numPr>
        <w:spacing w:before="0" w:beforeAutospacing="0" w:after="0" w:afterAutospacing="0"/>
        <w:jc w:val="both"/>
        <w:textAlignment w:val="baseline"/>
        <w:rPr>
          <w:rStyle w:val="normaltextrun"/>
          <w:rFonts w:asciiTheme="minorHAnsi" w:hAnsiTheme="minorHAnsi" w:cstheme="minorHAnsi"/>
          <w:color w:val="4A4A4A"/>
          <w:sz w:val="22"/>
          <w:szCs w:val="22"/>
          <w:lang w:val="en-GB"/>
        </w:rPr>
      </w:pPr>
    </w:p>
    <w:p w14:paraId="03CC78BC" w14:textId="41697E34" w:rsidR="00F70A66" w:rsidRDefault="00F70A66" w:rsidP="00021E78">
      <w:pPr>
        <w:pStyle w:val="paragraph"/>
        <w:spacing w:before="0" w:beforeAutospacing="0" w:after="0" w:afterAutospacing="0"/>
        <w:ind w:left="720"/>
        <w:jc w:val="both"/>
        <w:textAlignment w:val="baseline"/>
        <w:rPr>
          <w:rStyle w:val="normaltextrun"/>
          <w:rFonts w:asciiTheme="minorHAnsi" w:hAnsiTheme="minorHAnsi" w:cstheme="minorHAnsi"/>
          <w:color w:val="4A4A4A"/>
          <w:sz w:val="22"/>
          <w:szCs w:val="22"/>
          <w:lang w:val="en-GB"/>
        </w:rPr>
      </w:pPr>
      <w:r w:rsidRPr="00021E78">
        <w:rPr>
          <w:rStyle w:val="normaltextrun"/>
          <w:rFonts w:asciiTheme="minorHAnsi" w:hAnsiTheme="minorHAnsi" w:cstheme="minorHAnsi"/>
          <w:color w:val="4A4A4A"/>
          <w:sz w:val="22"/>
          <w:szCs w:val="22"/>
          <w:lang w:val="en-GB"/>
        </w:rPr>
        <w:t>Furthermore, given the data collection occurs at the facility level and does not monitor quantities of any given medicine, an overall analysis of the available medicines compared to the national needs is not possible.</w:t>
      </w:r>
    </w:p>
    <w:p w14:paraId="071B693C" w14:textId="77777777" w:rsidR="006D207C" w:rsidRPr="00021E78" w:rsidRDefault="006D207C" w:rsidP="00021E78">
      <w:pPr>
        <w:pStyle w:val="paragraph"/>
        <w:spacing w:before="0" w:beforeAutospacing="0" w:after="0" w:afterAutospacing="0"/>
        <w:ind w:left="720"/>
        <w:jc w:val="both"/>
        <w:textAlignment w:val="baseline"/>
        <w:rPr>
          <w:rFonts w:asciiTheme="minorHAnsi" w:hAnsiTheme="minorHAnsi" w:cstheme="minorHAnsi"/>
          <w:color w:val="4A4A4A"/>
          <w:sz w:val="18"/>
          <w:szCs w:val="18"/>
        </w:rPr>
      </w:pPr>
    </w:p>
    <w:p w14:paraId="5E6FAD47" w14:textId="415BAE91" w:rsidR="00021E78" w:rsidRPr="006D207C" w:rsidRDefault="00F70A66" w:rsidP="00AC1F56">
      <w:pPr>
        <w:pStyle w:val="paragraph"/>
        <w:numPr>
          <w:ilvl w:val="0"/>
          <w:numId w:val="48"/>
        </w:numPr>
        <w:spacing w:before="0" w:beforeAutospacing="0" w:after="0" w:afterAutospacing="0"/>
        <w:jc w:val="both"/>
        <w:textAlignment w:val="baseline"/>
        <w:rPr>
          <w:rFonts w:asciiTheme="minorHAnsi" w:hAnsiTheme="minorHAnsi" w:cstheme="minorHAnsi"/>
          <w:color w:val="4A4A4A"/>
          <w:sz w:val="22"/>
          <w:szCs w:val="22"/>
        </w:rPr>
      </w:pPr>
      <w:r w:rsidRPr="00021E78">
        <w:rPr>
          <w:rFonts w:asciiTheme="minorHAnsi" w:hAnsiTheme="minorHAnsi" w:cstheme="minorHAnsi"/>
          <w:color w:val="4A4A4A"/>
          <w:sz w:val="22"/>
          <w:szCs w:val="22"/>
        </w:rPr>
        <w:t>On the measurement of</w:t>
      </w:r>
      <w:r w:rsidR="00244AC9">
        <w:rPr>
          <w:rFonts w:asciiTheme="minorHAnsi" w:hAnsiTheme="minorHAnsi" w:cstheme="minorHAnsi"/>
          <w:color w:val="4A4A4A"/>
          <w:sz w:val="22"/>
          <w:szCs w:val="22"/>
        </w:rPr>
        <w:t xml:space="preserve"> </w:t>
      </w:r>
      <w:r w:rsidRPr="00021E78">
        <w:rPr>
          <w:rFonts w:asciiTheme="minorHAnsi" w:hAnsiTheme="minorHAnsi" w:cstheme="minorHAnsi"/>
          <w:color w:val="4A4A4A"/>
          <w:sz w:val="22"/>
          <w:szCs w:val="22"/>
        </w:rPr>
        <w:t>medicines’</w:t>
      </w:r>
      <w:r w:rsidR="00244AC9">
        <w:rPr>
          <w:rFonts w:asciiTheme="minorHAnsi" w:hAnsiTheme="minorHAnsi" w:cstheme="minorHAnsi"/>
          <w:color w:val="4A4A4A"/>
          <w:sz w:val="22"/>
          <w:szCs w:val="22"/>
        </w:rPr>
        <w:t xml:space="preserve"> </w:t>
      </w:r>
      <w:r w:rsidRPr="00021E78">
        <w:rPr>
          <w:rFonts w:asciiTheme="minorHAnsi" w:hAnsiTheme="minorHAnsi" w:cstheme="minorHAnsi"/>
          <w:color w:val="4A4A4A"/>
          <w:sz w:val="22"/>
          <w:szCs w:val="22"/>
        </w:rPr>
        <w:t>affordability:</w:t>
      </w:r>
    </w:p>
    <w:p w14:paraId="41B793AE" w14:textId="180BDC4B" w:rsidR="00021E78" w:rsidRPr="00021E78" w:rsidRDefault="00F70A66" w:rsidP="00AC1F56">
      <w:pPr>
        <w:pStyle w:val="paragraph"/>
        <w:numPr>
          <w:ilvl w:val="1"/>
          <w:numId w:val="48"/>
        </w:numPr>
        <w:spacing w:before="0" w:beforeAutospacing="0" w:after="0" w:afterAutospacing="0"/>
        <w:jc w:val="both"/>
        <w:textAlignment w:val="baseline"/>
        <w:rPr>
          <w:rStyle w:val="eop"/>
          <w:rFonts w:asciiTheme="minorHAnsi" w:hAnsiTheme="minorHAnsi" w:cstheme="minorHAnsi"/>
          <w:color w:val="4A4A4A"/>
          <w:sz w:val="18"/>
          <w:szCs w:val="18"/>
        </w:rPr>
      </w:pPr>
      <w:r w:rsidRPr="00021E78">
        <w:rPr>
          <w:rStyle w:val="normaltextrun"/>
          <w:rFonts w:asciiTheme="minorHAnsi" w:hAnsiTheme="minorHAnsi" w:cstheme="minorHAnsi"/>
          <w:color w:val="4A4A4A"/>
          <w:sz w:val="22"/>
          <w:szCs w:val="22"/>
          <w:lang w:val="en-GB"/>
        </w:rPr>
        <w:t>Affordability of a medicine is often measured as the capacity of the population of a given country to pay for this medicine either ex-ante (usually based on income) or ex-post (usually based on reported expenditures). The latter would mainly require data collected at the individual level and from household surveys. However, information on medicine expenditures in these surveys is not always collected and when collected, is not done so consistently and regularly across the</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countries. In addition, there is usually a large amount of</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missing</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data.</w:t>
      </w:r>
    </w:p>
    <w:p w14:paraId="0D0488A8" w14:textId="77777777" w:rsidR="00021E78" w:rsidRDefault="00021E78" w:rsidP="00021E78">
      <w:pPr>
        <w:pStyle w:val="paragraph"/>
        <w:spacing w:before="0" w:beforeAutospacing="0" w:after="0" w:afterAutospacing="0"/>
        <w:ind w:left="360"/>
        <w:jc w:val="both"/>
        <w:textAlignment w:val="baseline"/>
        <w:rPr>
          <w:rStyle w:val="normaltextrun"/>
          <w:rFonts w:asciiTheme="minorHAnsi" w:hAnsiTheme="minorHAnsi" w:cstheme="minorHAnsi"/>
          <w:color w:val="4A4A4A"/>
          <w:sz w:val="22"/>
          <w:szCs w:val="22"/>
          <w:lang w:val="en-GB"/>
        </w:rPr>
      </w:pPr>
    </w:p>
    <w:p w14:paraId="6FC301CC" w14:textId="47D1AFE5" w:rsidR="00021E78" w:rsidRPr="00021E78" w:rsidRDefault="00F70A66" w:rsidP="00021E78">
      <w:pPr>
        <w:pStyle w:val="paragraph"/>
        <w:tabs>
          <w:tab w:val="left" w:pos="900"/>
        </w:tabs>
        <w:spacing w:before="0" w:beforeAutospacing="0" w:after="0" w:afterAutospacing="0"/>
        <w:ind w:left="720"/>
        <w:jc w:val="both"/>
        <w:textAlignment w:val="baseline"/>
        <w:rPr>
          <w:rStyle w:val="eop"/>
          <w:rFonts w:asciiTheme="minorHAnsi" w:hAnsiTheme="minorHAnsi" w:cstheme="minorHAnsi"/>
          <w:color w:val="4A4A4A"/>
          <w:sz w:val="18"/>
          <w:szCs w:val="18"/>
        </w:rPr>
      </w:pPr>
      <w:r w:rsidRPr="00021E78">
        <w:rPr>
          <w:rStyle w:val="normaltextrun"/>
          <w:rFonts w:asciiTheme="minorHAnsi" w:hAnsiTheme="minorHAnsi" w:cstheme="minorHAnsi"/>
          <w:color w:val="4A4A4A"/>
          <w:sz w:val="22"/>
          <w:szCs w:val="22"/>
          <w:lang w:val="en-GB"/>
        </w:rPr>
        <w:t>The ex-ante approach is suggested for the purposes of this indicator as it is measured at the facility level. Ex-ante analysis requires identifying a reference person or group of people for the measurement. The lowest paid unskilled government worker is suggested to serve as the reference for this indicator. In other words, if a medicine is identified as being affordable for the individual who receives the LPGW wage, it will most likely be affordable for all other individuals affiliated with that economic group and higher. This obviously does not account for people employed in the unofficial labour market.</w:t>
      </w:r>
    </w:p>
    <w:p w14:paraId="2EFFAB08" w14:textId="77777777" w:rsidR="00021E78" w:rsidRDefault="00021E78" w:rsidP="00021E78">
      <w:pPr>
        <w:pStyle w:val="paragraph"/>
        <w:spacing w:before="0" w:beforeAutospacing="0" w:after="0" w:afterAutospacing="0"/>
        <w:ind w:left="720"/>
        <w:jc w:val="both"/>
        <w:textAlignment w:val="baseline"/>
        <w:rPr>
          <w:rStyle w:val="normaltextrun"/>
          <w:rFonts w:asciiTheme="minorHAnsi" w:hAnsiTheme="minorHAnsi" w:cstheme="minorHAnsi"/>
          <w:color w:val="4A4A4A"/>
          <w:sz w:val="22"/>
          <w:szCs w:val="22"/>
          <w:lang w:val="en-GB"/>
        </w:rPr>
      </w:pPr>
    </w:p>
    <w:p w14:paraId="2058C6B0" w14:textId="59F94F0C" w:rsidR="00021E78" w:rsidRDefault="00F70A66" w:rsidP="00021E78">
      <w:pPr>
        <w:pStyle w:val="paragraph"/>
        <w:spacing w:before="0" w:beforeAutospacing="0" w:after="0" w:afterAutospacing="0"/>
        <w:ind w:left="720"/>
        <w:jc w:val="both"/>
        <w:textAlignment w:val="baseline"/>
        <w:rPr>
          <w:rStyle w:val="normaltextrun"/>
          <w:rFonts w:asciiTheme="minorHAnsi" w:hAnsiTheme="minorHAnsi" w:cstheme="minorHAnsi"/>
          <w:color w:val="4A4A4A"/>
          <w:sz w:val="22"/>
          <w:szCs w:val="22"/>
          <w:lang w:val="en-GB"/>
        </w:rPr>
      </w:pPr>
      <w:r w:rsidRPr="00021E78">
        <w:rPr>
          <w:rStyle w:val="normaltextrun"/>
          <w:rFonts w:asciiTheme="minorHAnsi" w:hAnsiTheme="minorHAnsi" w:cstheme="minorHAnsi"/>
          <w:color w:val="4A4A4A"/>
          <w:sz w:val="22"/>
          <w:szCs w:val="22"/>
          <w:lang w:val="en-GB"/>
        </w:rPr>
        <w:t>The proposed methodology is an adjusted HAI/WHO methodology.</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The HAI/WHO approach suggests computing the affordability of medicine prices as the number of daily wages that are required for the lowest paid unskilled government worker (LPGW) to purchase a daily dose of a medicine (DDD). This approach is straightforward</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and also</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refers to the capacity of the reference individual to pay for the medicines. However, no threshold was identified to distinguish the maximum number of daily wages that an individual must spend on a medicine in order to still be able to afford it.</w:t>
      </w:r>
    </w:p>
    <w:p w14:paraId="4C5A6E41" w14:textId="77777777" w:rsidR="006D207C" w:rsidRPr="00021E78" w:rsidRDefault="006D207C" w:rsidP="00021E78">
      <w:pPr>
        <w:pStyle w:val="paragraph"/>
        <w:spacing w:before="0" w:beforeAutospacing="0" w:after="0" w:afterAutospacing="0"/>
        <w:ind w:left="720"/>
        <w:jc w:val="both"/>
        <w:textAlignment w:val="baseline"/>
        <w:rPr>
          <w:rStyle w:val="eop"/>
          <w:rFonts w:asciiTheme="minorHAnsi" w:hAnsiTheme="minorHAnsi" w:cstheme="minorHAnsi"/>
          <w:color w:val="4A4A4A"/>
          <w:sz w:val="18"/>
          <w:szCs w:val="18"/>
        </w:rPr>
      </w:pPr>
    </w:p>
    <w:p w14:paraId="4645317A" w14:textId="444486DC" w:rsidR="00021E78" w:rsidRPr="006D207C" w:rsidRDefault="00F70A66" w:rsidP="00AC1F56">
      <w:pPr>
        <w:pStyle w:val="paragraph"/>
        <w:numPr>
          <w:ilvl w:val="1"/>
          <w:numId w:val="48"/>
        </w:numPr>
        <w:spacing w:before="0" w:beforeAutospacing="0" w:after="0" w:afterAutospacing="0"/>
        <w:jc w:val="both"/>
        <w:textAlignment w:val="baseline"/>
        <w:rPr>
          <w:rStyle w:val="normaltextrun"/>
          <w:rFonts w:asciiTheme="minorHAnsi" w:hAnsiTheme="minorHAnsi" w:cstheme="minorHAnsi"/>
          <w:color w:val="4A4A4A"/>
          <w:sz w:val="18"/>
          <w:szCs w:val="18"/>
        </w:rPr>
      </w:pPr>
      <w:r w:rsidRPr="00021E78">
        <w:rPr>
          <w:rStyle w:val="normaltextrun"/>
          <w:rFonts w:asciiTheme="minorHAnsi" w:hAnsiTheme="minorHAnsi" w:cstheme="minorHAnsi"/>
          <w:color w:val="4A4A4A"/>
          <w:sz w:val="22"/>
          <w:szCs w:val="22"/>
          <w:lang w:val="en-GB"/>
        </w:rPr>
        <w:t>Information on minimum LPGW wage is available by the International Labour Organization (ILO) for 155</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 xml:space="preserve">countries. When information is missing or when information has not been </w:t>
      </w:r>
      <w:r w:rsidRPr="00021E78">
        <w:rPr>
          <w:rStyle w:val="normaltextrun"/>
          <w:rFonts w:asciiTheme="minorHAnsi" w:hAnsiTheme="minorHAnsi" w:cstheme="minorHAnsi"/>
          <w:color w:val="4A4A4A"/>
          <w:sz w:val="22"/>
          <w:szCs w:val="22"/>
          <w:lang w:val="en-GB"/>
        </w:rPr>
        <w:lastRenderedPageBreak/>
        <w:t>updated recently, the alternative measure suggested is to be taken from the World Development Indicators data on</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“minimum wage for a</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19-year old</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worker or an apprentice”, which is often used as an alternative in ILO reports.</w:t>
      </w:r>
    </w:p>
    <w:p w14:paraId="13F67832" w14:textId="77777777" w:rsidR="006D207C" w:rsidRPr="00021E78" w:rsidRDefault="006D207C" w:rsidP="006D207C">
      <w:pPr>
        <w:pStyle w:val="paragraph"/>
        <w:spacing w:before="0" w:beforeAutospacing="0" w:after="0" w:afterAutospacing="0"/>
        <w:ind w:left="360"/>
        <w:jc w:val="both"/>
        <w:textAlignment w:val="baseline"/>
        <w:rPr>
          <w:rStyle w:val="eop"/>
          <w:rFonts w:asciiTheme="minorHAnsi" w:hAnsiTheme="minorHAnsi" w:cstheme="minorHAnsi"/>
          <w:color w:val="4A4A4A"/>
          <w:sz w:val="18"/>
          <w:szCs w:val="18"/>
        </w:rPr>
      </w:pPr>
    </w:p>
    <w:p w14:paraId="71EB484F" w14:textId="11F35143" w:rsidR="00021E78" w:rsidRPr="00021E78" w:rsidRDefault="00F70A66" w:rsidP="00AC1F56">
      <w:pPr>
        <w:pStyle w:val="paragraph"/>
        <w:numPr>
          <w:ilvl w:val="1"/>
          <w:numId w:val="48"/>
        </w:numPr>
        <w:spacing w:before="0" w:beforeAutospacing="0" w:after="0" w:afterAutospacing="0"/>
        <w:jc w:val="both"/>
        <w:textAlignment w:val="baseline"/>
        <w:rPr>
          <w:rStyle w:val="superscript"/>
          <w:rFonts w:asciiTheme="minorHAnsi" w:hAnsiTheme="minorHAnsi" w:cstheme="minorHAnsi"/>
          <w:color w:val="4A4A4A"/>
          <w:sz w:val="18"/>
          <w:szCs w:val="18"/>
        </w:rPr>
      </w:pPr>
      <w:r w:rsidRPr="00021E78">
        <w:rPr>
          <w:rStyle w:val="normaltextrun"/>
          <w:rFonts w:asciiTheme="minorHAnsi" w:hAnsiTheme="minorHAnsi" w:cstheme="minorHAnsi"/>
          <w:color w:val="4A4A4A"/>
          <w:sz w:val="22"/>
          <w:szCs w:val="22"/>
          <w:lang w:val="en-GB"/>
        </w:rPr>
        <w:t>The proposed indicator, being measured at the facility level, does not account for potential reimbursement schemes/insurance coverage present at the national level. Information about insurance or other forms of cost-coverage schemes at the national level is not readily available and would require standardization to allow for comparison across countries and income levels of the population.</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However,</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as demonstrated by the OECD in its Health</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at a Glance</w:t>
      </w:r>
      <w:r w:rsidR="00FA714A">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report in 2015, in 31 high- and middle-income countries the out-of-pocket (OOP) expenditures on pharmaceuticals as a share of all OOP on health varies from 64 to 16%.</w:t>
      </w:r>
    </w:p>
    <w:p w14:paraId="47F5AD49" w14:textId="77777777" w:rsidR="00021E78" w:rsidRDefault="00021E78" w:rsidP="00021E78">
      <w:pPr>
        <w:pStyle w:val="paragraph"/>
        <w:tabs>
          <w:tab w:val="left" w:pos="720"/>
        </w:tabs>
        <w:spacing w:before="0" w:beforeAutospacing="0" w:after="0" w:afterAutospacing="0"/>
        <w:ind w:left="720"/>
        <w:jc w:val="both"/>
        <w:textAlignment w:val="baseline"/>
        <w:rPr>
          <w:rStyle w:val="normaltextrun"/>
          <w:rFonts w:asciiTheme="minorHAnsi" w:hAnsiTheme="minorHAnsi" w:cstheme="minorHAnsi"/>
          <w:color w:val="4A4A4A"/>
          <w:sz w:val="22"/>
          <w:szCs w:val="22"/>
          <w:lang w:val="en-GB"/>
        </w:rPr>
      </w:pPr>
    </w:p>
    <w:p w14:paraId="599F77C6" w14:textId="62BD4766" w:rsidR="00F70A66" w:rsidRPr="00021E78" w:rsidRDefault="00F70A66" w:rsidP="00021E78">
      <w:pPr>
        <w:pStyle w:val="paragraph"/>
        <w:tabs>
          <w:tab w:val="left" w:pos="720"/>
        </w:tabs>
        <w:spacing w:before="0" w:beforeAutospacing="0" w:after="0" w:afterAutospacing="0"/>
        <w:ind w:left="720"/>
        <w:jc w:val="both"/>
        <w:textAlignment w:val="baseline"/>
        <w:rPr>
          <w:rFonts w:asciiTheme="minorHAnsi" w:hAnsiTheme="minorHAnsi" w:cstheme="minorHAnsi"/>
          <w:color w:val="4A4A4A"/>
          <w:sz w:val="18"/>
          <w:szCs w:val="18"/>
        </w:rPr>
      </w:pPr>
      <w:r w:rsidRPr="00021E78">
        <w:rPr>
          <w:rStyle w:val="normaltextrun"/>
          <w:rFonts w:asciiTheme="minorHAnsi" w:hAnsiTheme="minorHAnsi" w:cstheme="minorHAnsi"/>
          <w:color w:val="4A4A4A"/>
          <w:sz w:val="22"/>
          <w:szCs w:val="22"/>
          <w:lang w:val="en-GB"/>
        </w:rPr>
        <w:t>Moreover,</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there are other</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SDG</w:t>
      </w:r>
      <w:r w:rsidR="00244AC9">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indicators, such as 3.8.1 and 3.8.2 that capture coverage of essential health services as well as financial protection from health expenditures net of reimbursement, including expenditures for medicines.</w:t>
      </w:r>
    </w:p>
    <w:p w14:paraId="76B85F0D" w14:textId="12690892" w:rsidR="00021E78" w:rsidRPr="00021E78" w:rsidRDefault="00F70A66" w:rsidP="00AC1F56">
      <w:pPr>
        <w:pStyle w:val="paragraph"/>
        <w:numPr>
          <w:ilvl w:val="0"/>
          <w:numId w:val="48"/>
        </w:numPr>
        <w:spacing w:before="0" w:beforeAutospacing="0" w:after="0" w:afterAutospacing="0"/>
        <w:jc w:val="both"/>
        <w:textAlignment w:val="baseline"/>
        <w:rPr>
          <w:rFonts w:asciiTheme="minorHAnsi" w:hAnsiTheme="minorHAnsi" w:cstheme="minorHAnsi"/>
          <w:color w:val="4A4A4A"/>
          <w:sz w:val="18"/>
          <w:szCs w:val="18"/>
        </w:rPr>
      </w:pPr>
      <w:r w:rsidRPr="00021E78">
        <w:rPr>
          <w:rStyle w:val="normaltextrun"/>
          <w:rFonts w:asciiTheme="minorHAnsi" w:hAnsiTheme="minorHAnsi" w:cstheme="minorHAnsi"/>
          <w:color w:val="4A4A4A"/>
          <w:sz w:val="22"/>
          <w:szCs w:val="22"/>
          <w:lang w:val="en-GB"/>
        </w:rPr>
        <w:t>Other dimensions on access to medicines (quality)</w:t>
      </w:r>
    </w:p>
    <w:p w14:paraId="1E670D06" w14:textId="0332789E" w:rsidR="006D207C" w:rsidRPr="006D207C" w:rsidRDefault="00F70A66" w:rsidP="00021E78">
      <w:pPr>
        <w:pStyle w:val="paragraph"/>
        <w:numPr>
          <w:ilvl w:val="1"/>
          <w:numId w:val="48"/>
        </w:numPr>
        <w:spacing w:before="0" w:beforeAutospacing="0" w:after="0" w:afterAutospacing="0"/>
        <w:jc w:val="both"/>
        <w:textAlignment w:val="baseline"/>
        <w:rPr>
          <w:rStyle w:val="normaltextrun"/>
          <w:rFonts w:asciiTheme="minorHAnsi" w:hAnsiTheme="minorHAnsi" w:cstheme="minorHAnsi"/>
          <w:color w:val="4A4A4A"/>
          <w:sz w:val="18"/>
          <w:szCs w:val="18"/>
        </w:rPr>
      </w:pPr>
      <w:r w:rsidRPr="00021E78">
        <w:rPr>
          <w:rStyle w:val="normaltextrun"/>
          <w:rFonts w:asciiTheme="minorHAnsi" w:hAnsiTheme="minorHAnsi" w:cstheme="minorHAnsi"/>
          <w:color w:val="4A4A4A"/>
          <w:sz w:val="22"/>
          <w:szCs w:val="22"/>
          <w:lang w:val="en-GB"/>
        </w:rPr>
        <w:t>The quality of the product is another equally important dimension of access to medicines. Currently, there is no systematic and publicly available data collection on quality of a single medicine or in a single country.</w:t>
      </w:r>
      <w:r w:rsidR="00B84B96">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WHO has, however, contributed to enhanced access to quality health products through different programmes such as regulatory systems strengthening and prequalification.</w:t>
      </w:r>
    </w:p>
    <w:p w14:paraId="2C10CFBD" w14:textId="726B6DED" w:rsidR="00F70A66" w:rsidRPr="00021E78" w:rsidRDefault="00F70A66" w:rsidP="00021E78">
      <w:pPr>
        <w:pStyle w:val="paragraph"/>
        <w:numPr>
          <w:ilvl w:val="1"/>
          <w:numId w:val="48"/>
        </w:numPr>
        <w:spacing w:before="0" w:beforeAutospacing="0" w:after="0" w:afterAutospacing="0"/>
        <w:jc w:val="both"/>
        <w:textAlignment w:val="baseline"/>
        <w:rPr>
          <w:rFonts w:asciiTheme="minorHAnsi" w:hAnsiTheme="minorHAnsi" w:cstheme="minorHAnsi"/>
          <w:color w:val="4A4A4A"/>
          <w:sz w:val="18"/>
          <w:szCs w:val="18"/>
        </w:rPr>
      </w:pPr>
    </w:p>
    <w:p w14:paraId="27950B22" w14:textId="5FA1C915" w:rsidR="006D207C" w:rsidRDefault="00F70A66" w:rsidP="00021E78">
      <w:pPr>
        <w:pStyle w:val="paragraph"/>
        <w:spacing w:before="0" w:beforeAutospacing="0" w:after="0" w:afterAutospacing="0"/>
        <w:ind w:left="720"/>
        <w:jc w:val="both"/>
        <w:textAlignment w:val="baseline"/>
        <w:rPr>
          <w:rStyle w:val="normaltextrun"/>
          <w:rFonts w:asciiTheme="minorHAnsi" w:hAnsiTheme="minorHAnsi" w:cstheme="minorHAnsi"/>
          <w:color w:val="4A4A4A"/>
          <w:sz w:val="22"/>
          <w:szCs w:val="22"/>
          <w:lang w:val="en-GB"/>
        </w:rPr>
      </w:pPr>
      <w:r w:rsidRPr="00486970">
        <w:rPr>
          <w:rStyle w:val="normaltextrun"/>
          <w:rFonts w:asciiTheme="minorHAnsi" w:hAnsiTheme="minorHAnsi" w:cstheme="minorHAnsi"/>
          <w:color w:val="4A4A4A"/>
          <w:sz w:val="22"/>
          <w:szCs w:val="22"/>
          <w:lang w:val="en-GB"/>
        </w:rPr>
        <w:t>A national regulatory authority (NRA) plays a key role in</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assuring the quality, safety, and efficacy of medical products until they reach the patient/consumer, as well as ensuring the relevance and accuracy of product information. Hence, stable, well-functioning and integrated regulatory systems are an essential component of a health system and contribute to better public health outcomes.</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NRA maturity</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and WHO prequalification of</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medicines</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can be considered as a proxy for</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ensuring that medicines</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in</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country are of assured quality. The NRA maturity level is assessed using the WHO National Regulatory Authority</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Global Benchmarking Tool (WHO NRA</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GBT). After the</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evaluations, countries are assigned one of five levels of maturity, with a score of</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maturity level</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three representing the minimum acceptable regulatory capacity and</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maturity level</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five representing the highest level of functioning.</w:t>
      </w:r>
    </w:p>
    <w:p w14:paraId="1BFE5636" w14:textId="1BD8E26F" w:rsidR="00F70A66" w:rsidRPr="00486970" w:rsidRDefault="00F70A66" w:rsidP="00021E78">
      <w:pPr>
        <w:pStyle w:val="paragraph"/>
        <w:spacing w:before="0" w:beforeAutospacing="0" w:after="0" w:afterAutospacing="0"/>
        <w:ind w:left="720"/>
        <w:jc w:val="both"/>
        <w:textAlignment w:val="baseline"/>
        <w:rPr>
          <w:rFonts w:asciiTheme="minorHAnsi" w:hAnsiTheme="minorHAnsi" w:cstheme="minorHAnsi"/>
          <w:color w:val="4A4A4A"/>
          <w:sz w:val="18"/>
          <w:szCs w:val="18"/>
        </w:rPr>
      </w:pPr>
    </w:p>
    <w:p w14:paraId="073E1336" w14:textId="3355A79B" w:rsidR="00F70A66" w:rsidRPr="00486970" w:rsidRDefault="00F70A66" w:rsidP="00021E78">
      <w:pPr>
        <w:pStyle w:val="paragraph"/>
        <w:spacing w:before="0" w:beforeAutospacing="0" w:after="0" w:afterAutospacing="0"/>
        <w:ind w:left="720"/>
        <w:jc w:val="both"/>
        <w:textAlignment w:val="baseline"/>
        <w:rPr>
          <w:rFonts w:asciiTheme="minorHAnsi" w:hAnsiTheme="minorHAnsi" w:cstheme="minorHAnsi"/>
          <w:color w:val="4A4A4A"/>
          <w:sz w:val="18"/>
          <w:szCs w:val="18"/>
        </w:rPr>
      </w:pPr>
      <w:r w:rsidRPr="00486970">
        <w:rPr>
          <w:rStyle w:val="normaltextrun"/>
          <w:rFonts w:asciiTheme="minorHAnsi" w:hAnsiTheme="minorHAnsi" w:cstheme="minorHAnsi"/>
          <w:color w:val="4A4A4A"/>
          <w:sz w:val="22"/>
          <w:szCs w:val="22"/>
          <w:lang w:val="en-GB"/>
        </w:rPr>
        <w:t>The importance of transparency and the disclosure of the results of assessments amongst regulators (from ML 3 up) are taken into consideration.</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However, the information on country-specific NRA maturity</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level</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is not currently</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publicly</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available and WHO is working to address this limitation</w:t>
      </w:r>
      <w:r w:rsidR="006D207C">
        <w:rPr>
          <w:rStyle w:val="normaltextrun"/>
          <w:rFonts w:asciiTheme="minorHAnsi" w:hAnsiTheme="minorHAnsi" w:cstheme="minorHAnsi"/>
          <w:color w:val="4A4A4A"/>
          <w:sz w:val="22"/>
          <w:szCs w:val="22"/>
          <w:lang w:val="en-GB"/>
        </w:rPr>
        <w:t xml:space="preserve"> </w:t>
      </w:r>
      <w:r w:rsidRPr="00486970">
        <w:rPr>
          <w:rStyle w:val="normaltextrun"/>
          <w:rFonts w:asciiTheme="minorHAnsi" w:hAnsiTheme="minorHAnsi" w:cstheme="minorHAnsi"/>
          <w:color w:val="4A4A4A"/>
          <w:sz w:val="22"/>
          <w:szCs w:val="22"/>
          <w:lang w:val="en-GB"/>
        </w:rPr>
        <w:t>through recent discussions on WHO Listed Authorities (WLA).</w:t>
      </w:r>
    </w:p>
    <w:p w14:paraId="720D6096" w14:textId="6A736FF3" w:rsidR="00021E78" w:rsidRPr="00021E78" w:rsidRDefault="00F70A66" w:rsidP="00AC1F56">
      <w:pPr>
        <w:pStyle w:val="paragraph"/>
        <w:numPr>
          <w:ilvl w:val="0"/>
          <w:numId w:val="48"/>
        </w:numPr>
        <w:spacing w:before="0" w:beforeAutospacing="0" w:after="0" w:afterAutospacing="0"/>
        <w:jc w:val="both"/>
        <w:textAlignment w:val="baseline"/>
        <w:rPr>
          <w:rStyle w:val="normaltextrun"/>
          <w:rFonts w:asciiTheme="minorHAnsi" w:hAnsiTheme="minorHAnsi" w:cstheme="minorHAnsi"/>
          <w:color w:val="4A4A4A"/>
          <w:sz w:val="18"/>
          <w:szCs w:val="18"/>
        </w:rPr>
      </w:pPr>
      <w:r w:rsidRPr="00021E78">
        <w:rPr>
          <w:rStyle w:val="normaltextrun"/>
          <w:rFonts w:asciiTheme="minorHAnsi" w:hAnsiTheme="minorHAnsi" w:cstheme="minorHAnsi"/>
          <w:color w:val="4A4A4A"/>
          <w:sz w:val="22"/>
          <w:szCs w:val="22"/>
          <w:lang w:val="en-GB"/>
        </w:rPr>
        <w:t>Other comments:</w:t>
      </w:r>
    </w:p>
    <w:p w14:paraId="3B3F4C33" w14:textId="614B5B62" w:rsidR="00021E78" w:rsidRPr="00021E78" w:rsidRDefault="00F70A66" w:rsidP="00AC1F56">
      <w:pPr>
        <w:pStyle w:val="paragraph"/>
        <w:numPr>
          <w:ilvl w:val="1"/>
          <w:numId w:val="48"/>
        </w:numPr>
        <w:spacing w:before="0" w:beforeAutospacing="0" w:after="0" w:afterAutospacing="0"/>
        <w:jc w:val="both"/>
        <w:textAlignment w:val="baseline"/>
        <w:rPr>
          <w:rStyle w:val="eop"/>
          <w:rFonts w:asciiTheme="minorHAnsi" w:hAnsiTheme="minorHAnsi" w:cstheme="minorHAnsi"/>
          <w:color w:val="4A4A4A"/>
          <w:sz w:val="18"/>
          <w:szCs w:val="18"/>
        </w:rPr>
      </w:pPr>
      <w:r w:rsidRPr="00021E78">
        <w:rPr>
          <w:rStyle w:val="normaltextrun"/>
          <w:rFonts w:asciiTheme="minorHAnsi" w:hAnsiTheme="minorHAnsi" w:cstheme="minorHAnsi"/>
          <w:color w:val="4A4A4A"/>
          <w:sz w:val="22"/>
          <w:szCs w:val="22"/>
          <w:lang w:val="en-GB"/>
        </w:rPr>
        <w:t>The “sustainability”</w:t>
      </w:r>
      <w:r w:rsidR="006D207C">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dimension in</w:t>
      </w:r>
      <w:r w:rsidR="006D207C">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this indicator</w:t>
      </w:r>
      <w:r w:rsidR="006D207C">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can be measured only when more than</w:t>
      </w:r>
      <w:r w:rsidR="006D207C">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one-time</w:t>
      </w:r>
      <w:r w:rsidR="006D207C">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series of</w:t>
      </w:r>
      <w:r w:rsidR="006D207C">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computations</w:t>
      </w:r>
      <w:r w:rsidR="006D207C">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is available for</w:t>
      </w:r>
      <w:r w:rsidR="006D207C">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a specific</w:t>
      </w:r>
      <w:r w:rsidR="006D207C">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country so that a trend</w:t>
      </w:r>
      <w:r w:rsidR="006D207C">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(tendency of a series of data points to move in a certain direction over time)</w:t>
      </w:r>
      <w:r w:rsidR="006D207C">
        <w:rPr>
          <w:rStyle w:val="normaltextrun"/>
          <w:rFonts w:asciiTheme="minorHAnsi" w:hAnsiTheme="minorHAnsi" w:cstheme="minorHAnsi"/>
          <w:color w:val="4A4A4A"/>
          <w:sz w:val="22"/>
          <w:szCs w:val="22"/>
          <w:lang w:val="en-GB"/>
        </w:rPr>
        <w:t xml:space="preserve"> </w:t>
      </w:r>
      <w:r w:rsidRPr="00021E78">
        <w:rPr>
          <w:rStyle w:val="normaltextrun"/>
          <w:rFonts w:asciiTheme="minorHAnsi" w:hAnsiTheme="minorHAnsi" w:cstheme="minorHAnsi"/>
          <w:color w:val="4A4A4A"/>
          <w:sz w:val="22"/>
          <w:szCs w:val="22"/>
          <w:lang w:val="en-GB"/>
        </w:rPr>
        <w:t>can be identified.</w:t>
      </w:r>
    </w:p>
    <w:p w14:paraId="3A0D4564" w14:textId="77777777" w:rsidR="00021E78" w:rsidRDefault="00021E78" w:rsidP="00021E78">
      <w:pPr>
        <w:pStyle w:val="paragraph"/>
        <w:spacing w:before="0" w:beforeAutospacing="0" w:after="0" w:afterAutospacing="0"/>
        <w:ind w:left="720"/>
        <w:jc w:val="both"/>
        <w:textAlignment w:val="baseline"/>
        <w:rPr>
          <w:rStyle w:val="normaltextrun"/>
          <w:rFonts w:asciiTheme="minorHAnsi" w:hAnsiTheme="minorHAnsi" w:cstheme="minorHAnsi"/>
          <w:color w:val="4A4A4A"/>
          <w:sz w:val="22"/>
          <w:szCs w:val="22"/>
          <w:lang w:val="en-GB"/>
        </w:rPr>
      </w:pPr>
    </w:p>
    <w:p w14:paraId="4D847471" w14:textId="22FDA99A" w:rsidR="00F70A66" w:rsidRPr="00021E78" w:rsidRDefault="00F70A66" w:rsidP="00021E78">
      <w:pPr>
        <w:pStyle w:val="paragraph"/>
        <w:spacing w:before="0" w:beforeAutospacing="0" w:after="0" w:afterAutospacing="0"/>
        <w:ind w:left="720"/>
        <w:jc w:val="both"/>
        <w:textAlignment w:val="baseline"/>
        <w:rPr>
          <w:rFonts w:asciiTheme="minorHAnsi" w:hAnsiTheme="minorHAnsi" w:cstheme="minorHAnsi"/>
          <w:color w:val="4A4A4A"/>
          <w:sz w:val="18"/>
          <w:szCs w:val="18"/>
        </w:rPr>
      </w:pPr>
      <w:r w:rsidRPr="00021E78">
        <w:rPr>
          <w:rStyle w:val="normaltextrun"/>
          <w:rFonts w:asciiTheme="minorHAnsi" w:hAnsiTheme="minorHAnsi" w:cstheme="minorHAnsi"/>
          <w:color w:val="4A4A4A"/>
          <w:sz w:val="22"/>
          <w:szCs w:val="22"/>
          <w:lang w:val="en-GB"/>
        </w:rPr>
        <w:t>The proposed methodology takes advantage of recognized standards and data collection methods, proposing a recombination of dimensions to allow measurement of affordability of a core set of relevant essential medicines for communicable and non-communicable diseases.</w:t>
      </w:r>
    </w:p>
    <w:p w14:paraId="398C00AE" w14:textId="424A0131" w:rsidR="00EC2915" w:rsidRPr="00486970" w:rsidRDefault="00EC2915" w:rsidP="00486970">
      <w:pPr>
        <w:pStyle w:val="paragraph"/>
        <w:spacing w:before="0" w:beforeAutospacing="0" w:after="0" w:afterAutospacing="0"/>
        <w:jc w:val="both"/>
        <w:textAlignment w:val="baseline"/>
        <w:rPr>
          <w:rFonts w:asciiTheme="minorHAnsi" w:hAnsiTheme="minorHAnsi" w:cstheme="minorHAnsi"/>
          <w:color w:val="4A4A4A"/>
          <w:sz w:val="18"/>
          <w:szCs w:val="18"/>
        </w:rPr>
      </w:pPr>
    </w:p>
    <w:p w14:paraId="79EEEE38" w14:textId="75AB172D" w:rsidR="00E1050F" w:rsidRPr="00486970" w:rsidRDefault="00E1050F" w:rsidP="00F719A8">
      <w:pPr>
        <w:pStyle w:val="MHeader2"/>
        <w:rPr>
          <w:rFonts w:cstheme="minorHAnsi"/>
        </w:rPr>
      </w:pPr>
      <w:r w:rsidRPr="00486970">
        <w:rPr>
          <w:rFonts w:cstheme="minorHAnsi"/>
        </w:rPr>
        <w:t xml:space="preserve">4.c. Method of computation </w:t>
      </w:r>
      <w:r>
        <w:rPr>
          <w:color w:val="B4B4B4"/>
          <w:sz w:val="20"/>
        </w:rPr>
        <w:t>(DATA_COMP)</w:t>
      </w:r>
    </w:p>
    <w:p w14:paraId="083F01D4" w14:textId="77777777" w:rsidR="00F70A66" w:rsidRPr="00486970" w:rsidRDefault="00F70A66" w:rsidP="00F70A66">
      <w:pPr>
        <w:shd w:val="clear" w:color="auto" w:fill="FFFFFF" w:themeFill="background1"/>
        <w:spacing w:after="120" w:line="240" w:lineRule="auto"/>
        <w:jc w:val="both"/>
        <w:rPr>
          <w:rFonts w:eastAsia="Times New Roman" w:cstheme="minorHAnsi"/>
          <w:color w:val="4A4A4A"/>
          <w:lang w:eastAsia="en-GB"/>
        </w:rPr>
      </w:pPr>
      <w:r w:rsidRPr="00486970">
        <w:rPr>
          <w:rFonts w:eastAsia="Times New Roman" w:cstheme="minorHAnsi"/>
          <w:color w:val="4A4A4A"/>
          <w:lang w:eastAsia="en-GB"/>
        </w:rPr>
        <w:t>The index is computed as a ratio of the health facilities with available and affordable medicines for primary health care over the total number of the surveyed health facilities:</w:t>
      </w:r>
    </w:p>
    <w:p w14:paraId="7435DFD4" w14:textId="77777777" w:rsidR="00F70A66" w:rsidRPr="00486970" w:rsidRDefault="00F70A66" w:rsidP="00F70A66">
      <w:pPr>
        <w:shd w:val="clear" w:color="auto" w:fill="FFFFFF" w:themeFill="background1"/>
        <w:spacing w:after="120" w:line="240" w:lineRule="auto"/>
        <w:jc w:val="both"/>
        <w:rPr>
          <w:rFonts w:eastAsia="Times New Roman" w:cstheme="minorHAnsi"/>
          <w:color w:val="4A4A4A"/>
          <w:lang w:eastAsia="en-GB"/>
        </w:rPr>
      </w:pPr>
    </w:p>
    <w:p w14:paraId="51D8C299" w14:textId="77777777" w:rsidR="00F70A66" w:rsidRPr="00486970" w:rsidRDefault="003A249F" w:rsidP="00F70A66">
      <w:pPr>
        <w:shd w:val="clear" w:color="auto" w:fill="FFFFFF" w:themeFill="background1"/>
        <w:spacing w:after="120" w:line="240" w:lineRule="auto"/>
        <w:jc w:val="both"/>
        <w:rPr>
          <w:rFonts w:eastAsia="Times New Roman" w:cstheme="minorHAnsi"/>
          <w:color w:val="4A4A4A"/>
        </w:rPr>
      </w:pPr>
      <m:oMathPara>
        <m:oMath>
          <m:sSub>
            <m:sSubPr>
              <m:ctrlPr>
                <w:rPr>
                  <w:rFonts w:ascii="Cambria Math" w:eastAsia="Cambria Math" w:hAnsi="Cambria Math" w:cstheme="minorHAnsi"/>
                  <w:i/>
                  <w:color w:val="4A4A4A"/>
                </w:rPr>
              </m:ctrlPr>
            </m:sSubPr>
            <m:e>
              <m:r>
                <w:rPr>
                  <w:rFonts w:ascii="Cambria Math" w:eastAsia="Cambria Math" w:hAnsi="Cambria Math" w:cstheme="minorHAnsi"/>
                  <w:color w:val="4A4A4A"/>
                </w:rPr>
                <m:t>SDG</m:t>
              </m:r>
            </m:e>
            <m:sub>
              <m:r>
                <w:rPr>
                  <w:rFonts w:ascii="Cambria Math" w:eastAsia="Cambria Math" w:hAnsi="Cambria Math" w:cstheme="minorHAnsi"/>
                  <w:color w:val="4A4A4A"/>
                </w:rPr>
                <m:t>3.b.3</m:t>
              </m:r>
            </m:sub>
          </m:sSub>
          <m:r>
            <w:rPr>
              <w:rFonts w:ascii="Cambria Math" w:eastAsia="Cambria Math" w:hAnsi="Cambria Math" w:cstheme="minorHAnsi"/>
              <w:color w:val="4A4A4A"/>
            </w:rPr>
            <m:t>=</m:t>
          </m:r>
          <m:f>
            <m:fPr>
              <m:ctrlPr>
                <w:rPr>
                  <w:rFonts w:ascii="Cambria Math" w:eastAsia="Cambria Math" w:hAnsi="Cambria Math" w:cstheme="minorHAnsi"/>
                  <w:color w:val="4A4A4A"/>
                </w:rPr>
              </m:ctrlPr>
            </m:fPr>
            <m:num>
              <m:r>
                <w:rPr>
                  <w:rFonts w:ascii="Cambria Math" w:eastAsia="Cambria Math" w:hAnsi="Cambria Math" w:cstheme="minorHAnsi"/>
                  <w:color w:val="4A4A4A"/>
                </w:rPr>
                <m:t>Facilities with available and affordable basket of medicines (n)</m:t>
              </m:r>
            </m:num>
            <m:den>
              <m:r>
                <w:rPr>
                  <w:rFonts w:ascii="Cambria Math" w:eastAsia="Cambria Math" w:hAnsi="Cambria Math" w:cstheme="minorHAnsi"/>
                  <w:color w:val="4A4A4A"/>
                </w:rPr>
                <m:t>Surveyed Facilities (n)</m:t>
              </m:r>
            </m:den>
          </m:f>
        </m:oMath>
      </m:oMathPara>
    </w:p>
    <w:p w14:paraId="03AE47B8" w14:textId="77777777" w:rsidR="00F70A66" w:rsidRPr="00486970" w:rsidRDefault="00F70A66" w:rsidP="00F70A66">
      <w:pPr>
        <w:shd w:val="clear" w:color="auto" w:fill="FFFFFF" w:themeFill="background1"/>
        <w:spacing w:after="120" w:line="240" w:lineRule="auto"/>
        <w:jc w:val="both"/>
        <w:rPr>
          <w:rFonts w:eastAsia="Times New Roman" w:cstheme="minorHAnsi"/>
          <w:color w:val="4A4A4A"/>
          <w:lang w:eastAsia="en-GB"/>
        </w:rPr>
      </w:pPr>
    </w:p>
    <w:p w14:paraId="5002130B" w14:textId="5E4E559D" w:rsidR="00F70A66" w:rsidRPr="00486970" w:rsidRDefault="00F70A66" w:rsidP="00F70A66">
      <w:pPr>
        <w:spacing w:after="120" w:line="240" w:lineRule="auto"/>
        <w:jc w:val="both"/>
        <w:rPr>
          <w:rFonts w:eastAsia="Times New Roman" w:cstheme="minorHAnsi"/>
          <w:color w:val="4A4A4A"/>
          <w:lang w:eastAsia="en-GB"/>
        </w:rPr>
      </w:pPr>
      <w:r w:rsidRPr="00486970">
        <w:rPr>
          <w:rFonts w:eastAsia="Times New Roman" w:cstheme="minorHAnsi"/>
          <w:color w:val="4A4A4A"/>
          <w:lang w:eastAsia="en-GB"/>
        </w:rPr>
        <w:t>For this indicator, the following variables are considered for a multidimensional understanding of the components of access to medicines:</w:t>
      </w:r>
    </w:p>
    <w:p w14:paraId="7AA1657C" w14:textId="77777777" w:rsidR="00F70A66" w:rsidRPr="00486970" w:rsidRDefault="00F70A66" w:rsidP="00397ADD">
      <w:pPr>
        <w:numPr>
          <w:ilvl w:val="0"/>
          <w:numId w:val="16"/>
        </w:numPr>
        <w:spacing w:after="120" w:line="240" w:lineRule="auto"/>
        <w:contextualSpacing/>
        <w:jc w:val="both"/>
        <w:rPr>
          <w:rFonts w:eastAsia="Times New Roman" w:cstheme="minorHAnsi"/>
          <w:color w:val="4A4A4A"/>
          <w:lang w:eastAsia="en-GB"/>
        </w:rPr>
      </w:pPr>
      <w:r w:rsidRPr="00486970">
        <w:rPr>
          <w:rFonts w:eastAsia="Times New Roman" w:cstheme="minorHAnsi"/>
          <w:color w:val="4A4A4A"/>
          <w:lang w:eastAsia="en-GB"/>
        </w:rPr>
        <w:t xml:space="preserve">A core set of relevant essential medicines for primary healthcare </w:t>
      </w:r>
    </w:p>
    <w:p w14:paraId="1CBF33BF" w14:textId="77777777" w:rsidR="00F70A66" w:rsidRPr="00486970" w:rsidRDefault="00F70A66" w:rsidP="00397ADD">
      <w:pPr>
        <w:numPr>
          <w:ilvl w:val="0"/>
          <w:numId w:val="16"/>
        </w:numPr>
        <w:spacing w:after="120" w:line="240" w:lineRule="auto"/>
        <w:contextualSpacing/>
        <w:jc w:val="both"/>
        <w:rPr>
          <w:rFonts w:eastAsia="Times New Roman" w:cstheme="minorHAnsi"/>
          <w:color w:val="4A4A4A"/>
          <w:lang w:eastAsia="en-GB"/>
        </w:rPr>
      </w:pPr>
      <w:r w:rsidRPr="00486970">
        <w:rPr>
          <w:rFonts w:eastAsia="Times New Roman" w:cstheme="minorHAnsi"/>
          <w:color w:val="4A4A4A"/>
          <w:lang w:eastAsia="en-GB"/>
        </w:rPr>
        <w:t>Regional burden of disease</w:t>
      </w:r>
    </w:p>
    <w:p w14:paraId="6E30D6DD" w14:textId="77777777" w:rsidR="00F70A66" w:rsidRPr="00486970" w:rsidRDefault="00F70A66" w:rsidP="00397ADD">
      <w:pPr>
        <w:numPr>
          <w:ilvl w:val="0"/>
          <w:numId w:val="16"/>
        </w:numPr>
        <w:spacing w:after="120" w:line="240" w:lineRule="auto"/>
        <w:contextualSpacing/>
        <w:jc w:val="both"/>
        <w:rPr>
          <w:rFonts w:eastAsia="Times New Roman" w:cstheme="minorHAnsi"/>
          <w:color w:val="4A4A4A"/>
          <w:lang w:eastAsia="en-GB"/>
        </w:rPr>
      </w:pPr>
      <w:r w:rsidRPr="00486970">
        <w:rPr>
          <w:rFonts w:eastAsia="Times New Roman" w:cstheme="minorHAnsi"/>
          <w:color w:val="4A4A4A"/>
          <w:lang w:eastAsia="en-GB"/>
        </w:rPr>
        <w:t>Availability of a medicine</w:t>
      </w:r>
    </w:p>
    <w:p w14:paraId="62AFCA21" w14:textId="77777777" w:rsidR="00F70A66" w:rsidRPr="00486970" w:rsidRDefault="00F70A66" w:rsidP="00397ADD">
      <w:pPr>
        <w:numPr>
          <w:ilvl w:val="0"/>
          <w:numId w:val="16"/>
        </w:numPr>
        <w:spacing w:after="120" w:line="240" w:lineRule="auto"/>
        <w:contextualSpacing/>
        <w:jc w:val="both"/>
        <w:rPr>
          <w:rFonts w:eastAsia="Times New Roman" w:cstheme="minorHAnsi"/>
          <w:color w:val="4A4A4A"/>
          <w:lang w:eastAsia="en-GB"/>
        </w:rPr>
      </w:pPr>
      <w:r w:rsidRPr="00486970">
        <w:rPr>
          <w:rFonts w:eastAsia="Times New Roman" w:cstheme="minorHAnsi"/>
          <w:color w:val="4A4A4A"/>
          <w:lang w:eastAsia="en-GB"/>
        </w:rPr>
        <w:t>Price of a medicine</w:t>
      </w:r>
    </w:p>
    <w:p w14:paraId="0CEA38EC" w14:textId="77777777" w:rsidR="00F70A66" w:rsidRPr="00486970" w:rsidRDefault="00F70A66" w:rsidP="00397ADD">
      <w:pPr>
        <w:numPr>
          <w:ilvl w:val="0"/>
          <w:numId w:val="16"/>
        </w:numPr>
        <w:spacing w:after="120" w:line="240" w:lineRule="auto"/>
        <w:contextualSpacing/>
        <w:jc w:val="both"/>
        <w:rPr>
          <w:rFonts w:eastAsia="Times New Roman" w:cstheme="minorHAnsi"/>
          <w:color w:val="4A4A4A"/>
          <w:lang w:eastAsia="en-GB"/>
        </w:rPr>
      </w:pPr>
      <w:r w:rsidRPr="00486970">
        <w:rPr>
          <w:rFonts w:eastAsia="Times New Roman" w:cstheme="minorHAnsi"/>
          <w:color w:val="4A4A4A"/>
          <w:lang w:eastAsia="en-GB"/>
        </w:rPr>
        <w:t>Treatment courses for each medicine (number of units per treatment &amp; duration of treatment)</w:t>
      </w:r>
    </w:p>
    <w:p w14:paraId="10965C8D" w14:textId="77777777" w:rsidR="00F70A66" w:rsidRPr="00486970" w:rsidRDefault="00F70A66" w:rsidP="00397ADD">
      <w:pPr>
        <w:numPr>
          <w:ilvl w:val="0"/>
          <w:numId w:val="16"/>
        </w:numPr>
        <w:spacing w:after="120" w:line="240" w:lineRule="auto"/>
        <w:contextualSpacing/>
        <w:jc w:val="both"/>
        <w:rPr>
          <w:rFonts w:eastAsia="Times New Roman" w:cstheme="minorHAnsi"/>
          <w:color w:val="4A4A4A"/>
          <w:lang w:eastAsia="en-GB"/>
        </w:rPr>
      </w:pPr>
      <w:r w:rsidRPr="00486970">
        <w:rPr>
          <w:rFonts w:eastAsia="Times New Roman" w:cstheme="minorHAnsi"/>
          <w:color w:val="4A4A4A"/>
          <w:lang w:eastAsia="en-GB"/>
        </w:rPr>
        <w:t>National poverty line and lowest-paid unskilled government worker (LPGW) wage</w:t>
      </w:r>
    </w:p>
    <w:p w14:paraId="73694424" w14:textId="77777777" w:rsidR="00F70A66" w:rsidRPr="00486970" w:rsidRDefault="00F70A66" w:rsidP="00397ADD">
      <w:pPr>
        <w:numPr>
          <w:ilvl w:val="0"/>
          <w:numId w:val="16"/>
        </w:numPr>
        <w:spacing w:after="120" w:line="240" w:lineRule="auto"/>
        <w:contextualSpacing/>
        <w:jc w:val="both"/>
        <w:rPr>
          <w:rFonts w:eastAsia="Times New Roman" w:cstheme="minorHAnsi"/>
          <w:color w:val="4A4A4A"/>
          <w:lang w:eastAsia="en-GB"/>
        </w:rPr>
      </w:pPr>
      <w:r w:rsidRPr="00486970">
        <w:rPr>
          <w:rFonts w:eastAsia="Times New Roman" w:cstheme="minorHAnsi"/>
          <w:color w:val="4A4A4A"/>
          <w:lang w:eastAsia="en-GB"/>
        </w:rPr>
        <w:t>Proxy for quality of the core set of relevant essential medicines.</w:t>
      </w:r>
    </w:p>
    <w:p w14:paraId="28681EC1" w14:textId="77777777" w:rsidR="00F70A66" w:rsidRPr="00486970" w:rsidRDefault="00F70A66" w:rsidP="00F70A66">
      <w:pPr>
        <w:pBdr>
          <w:top w:val="nil"/>
          <w:left w:val="nil"/>
          <w:bottom w:val="nil"/>
          <w:right w:val="nil"/>
          <w:between w:val="nil"/>
        </w:pBdr>
        <w:spacing w:after="120" w:line="240" w:lineRule="auto"/>
        <w:jc w:val="both"/>
        <w:rPr>
          <w:rFonts w:eastAsia="Cambria Math" w:cstheme="minorHAnsi"/>
          <w:color w:val="4A4A4A"/>
        </w:rPr>
      </w:pPr>
      <w:r w:rsidRPr="00486970">
        <w:rPr>
          <w:rFonts w:eastAsia="Cambria Math" w:cstheme="minorHAnsi"/>
          <w:color w:val="4A4A4A"/>
        </w:rPr>
        <w:t xml:space="preserve">The index is measured for each facility separately. Then a proportion of facilities that have accessible medicines is computed. The following </w:t>
      </w:r>
      <w:r w:rsidRPr="00486970">
        <w:rPr>
          <w:rFonts w:eastAsia="Cambria Math" w:cstheme="minorHAnsi"/>
          <w:b/>
          <w:bCs/>
          <w:color w:val="4A4A4A"/>
        </w:rPr>
        <w:t>steps</w:t>
      </w:r>
      <w:r w:rsidRPr="00486970">
        <w:rPr>
          <w:rFonts w:eastAsia="Cambria Math" w:cstheme="minorHAnsi"/>
          <w:color w:val="4A4A4A"/>
        </w:rPr>
        <w:t xml:space="preserve"> must be taken to compute the index at the </w:t>
      </w:r>
      <w:r w:rsidRPr="00486970">
        <w:rPr>
          <w:rFonts w:eastAsia="Cambria Math" w:cstheme="minorHAnsi"/>
          <w:color w:val="4A4A4A"/>
          <w:u w:val="single"/>
        </w:rPr>
        <w:t>facility level</w:t>
      </w:r>
      <w:r w:rsidRPr="00486970">
        <w:rPr>
          <w:rFonts w:eastAsia="Cambria Math" w:cstheme="minorHAnsi"/>
          <w:color w:val="4A4A4A"/>
        </w:rPr>
        <w:t>:</w:t>
      </w:r>
    </w:p>
    <w:p w14:paraId="3D708763" w14:textId="77777777" w:rsidR="00F70A66" w:rsidRPr="00486970" w:rsidRDefault="00F70A66" w:rsidP="00397ADD">
      <w:pPr>
        <w:numPr>
          <w:ilvl w:val="0"/>
          <w:numId w:val="19"/>
        </w:numPr>
        <w:pBdr>
          <w:top w:val="nil"/>
          <w:left w:val="nil"/>
          <w:bottom w:val="nil"/>
          <w:right w:val="nil"/>
          <w:between w:val="nil"/>
        </w:pBdr>
        <w:spacing w:after="120" w:line="240" w:lineRule="auto"/>
        <w:contextualSpacing/>
        <w:jc w:val="both"/>
        <w:rPr>
          <w:rFonts w:eastAsia="Cambria Math" w:cstheme="minorHAnsi"/>
          <w:color w:val="4A4A4A"/>
        </w:rPr>
      </w:pPr>
      <w:r w:rsidRPr="00486970">
        <w:rPr>
          <w:rFonts w:eastAsia="Cambria Math" w:cstheme="minorHAnsi"/>
          <w:color w:val="4A4A4A"/>
        </w:rPr>
        <w:t>Review and selection of the core basket of medicines for primary health care</w:t>
      </w:r>
    </w:p>
    <w:p w14:paraId="2106C06D" w14:textId="77777777" w:rsidR="00F70A66" w:rsidRPr="00486970" w:rsidRDefault="00F70A66" w:rsidP="00397ADD">
      <w:pPr>
        <w:numPr>
          <w:ilvl w:val="0"/>
          <w:numId w:val="19"/>
        </w:numPr>
        <w:pBdr>
          <w:top w:val="nil"/>
          <w:left w:val="nil"/>
          <w:bottom w:val="nil"/>
          <w:right w:val="nil"/>
          <w:between w:val="nil"/>
        </w:pBdr>
        <w:spacing w:after="120" w:line="240" w:lineRule="auto"/>
        <w:contextualSpacing/>
        <w:jc w:val="both"/>
        <w:rPr>
          <w:rFonts w:eastAsia="Cambria Math" w:cstheme="minorHAnsi"/>
          <w:color w:val="4A4A4A"/>
        </w:rPr>
      </w:pPr>
      <w:r w:rsidRPr="00486970">
        <w:rPr>
          <w:rFonts w:eastAsia="Cambria Math" w:cstheme="minorHAnsi"/>
          <w:color w:val="4A4A4A"/>
        </w:rPr>
        <w:t>Estimate weights for the defined medicines based on regional burden of disease</w:t>
      </w:r>
    </w:p>
    <w:p w14:paraId="1B10D8D0" w14:textId="77777777" w:rsidR="00F70A66" w:rsidRPr="00486970" w:rsidRDefault="00F70A66" w:rsidP="00397ADD">
      <w:pPr>
        <w:numPr>
          <w:ilvl w:val="0"/>
          <w:numId w:val="19"/>
        </w:numPr>
        <w:pBdr>
          <w:top w:val="nil"/>
          <w:left w:val="nil"/>
          <w:bottom w:val="nil"/>
          <w:right w:val="nil"/>
          <w:between w:val="nil"/>
        </w:pBdr>
        <w:spacing w:after="120" w:line="240" w:lineRule="auto"/>
        <w:contextualSpacing/>
        <w:jc w:val="both"/>
        <w:rPr>
          <w:rFonts w:eastAsia="Cambria Math" w:cstheme="minorHAnsi"/>
          <w:color w:val="4A4A4A"/>
        </w:rPr>
      </w:pPr>
      <w:r w:rsidRPr="00486970">
        <w:rPr>
          <w:rFonts w:eastAsia="Cambria Math" w:cstheme="minorHAnsi"/>
          <w:color w:val="4A4A4A"/>
        </w:rPr>
        <w:t>Measure the two dimensions of the access to medicine</w:t>
      </w:r>
    </w:p>
    <w:p w14:paraId="705A546A" w14:textId="77777777" w:rsidR="00F70A66" w:rsidRPr="00486970" w:rsidRDefault="00F70A66" w:rsidP="00397ADD">
      <w:pPr>
        <w:numPr>
          <w:ilvl w:val="4"/>
          <w:numId w:val="13"/>
        </w:numPr>
        <w:pBdr>
          <w:top w:val="nil"/>
          <w:left w:val="nil"/>
          <w:bottom w:val="nil"/>
          <w:right w:val="nil"/>
          <w:between w:val="nil"/>
        </w:pBdr>
        <w:spacing w:after="120" w:line="240" w:lineRule="auto"/>
        <w:ind w:left="1418"/>
        <w:contextualSpacing/>
        <w:jc w:val="both"/>
        <w:rPr>
          <w:rFonts w:eastAsia="Cambria Math" w:cstheme="minorHAnsi"/>
          <w:color w:val="4A4A4A"/>
        </w:rPr>
      </w:pPr>
      <w:r w:rsidRPr="00486970">
        <w:rPr>
          <w:rFonts w:eastAsia="Cambria Math" w:cstheme="minorHAnsi"/>
          <w:color w:val="4A4A4A"/>
        </w:rPr>
        <w:t>Availability</w:t>
      </w:r>
    </w:p>
    <w:p w14:paraId="546550D5" w14:textId="77777777" w:rsidR="00F70A66" w:rsidRPr="00486970" w:rsidRDefault="00F70A66" w:rsidP="00397ADD">
      <w:pPr>
        <w:numPr>
          <w:ilvl w:val="4"/>
          <w:numId w:val="13"/>
        </w:numPr>
        <w:pBdr>
          <w:top w:val="nil"/>
          <w:left w:val="nil"/>
          <w:bottom w:val="nil"/>
          <w:right w:val="nil"/>
          <w:between w:val="nil"/>
        </w:pBdr>
        <w:spacing w:after="120" w:line="240" w:lineRule="auto"/>
        <w:ind w:left="1418"/>
        <w:contextualSpacing/>
        <w:jc w:val="both"/>
        <w:rPr>
          <w:rFonts w:eastAsia="Cambria Math" w:cstheme="minorHAnsi"/>
          <w:color w:val="4A4A4A"/>
        </w:rPr>
      </w:pPr>
      <w:r w:rsidRPr="00486970">
        <w:rPr>
          <w:rFonts w:eastAsia="Cambria Math" w:cstheme="minorHAnsi"/>
          <w:color w:val="4A4A4A"/>
        </w:rPr>
        <w:t>Affordability</w:t>
      </w:r>
    </w:p>
    <w:p w14:paraId="4DDACBA0" w14:textId="77777777" w:rsidR="00F70A66" w:rsidRPr="00486970" w:rsidRDefault="00F70A66" w:rsidP="00397ADD">
      <w:pPr>
        <w:numPr>
          <w:ilvl w:val="0"/>
          <w:numId w:val="19"/>
        </w:numPr>
        <w:pBdr>
          <w:top w:val="nil"/>
          <w:left w:val="nil"/>
          <w:bottom w:val="nil"/>
          <w:right w:val="nil"/>
          <w:between w:val="nil"/>
        </w:pBdr>
        <w:spacing w:after="120" w:line="240" w:lineRule="auto"/>
        <w:contextualSpacing/>
        <w:jc w:val="both"/>
        <w:rPr>
          <w:rFonts w:eastAsia="Cambria Math" w:cstheme="minorHAnsi"/>
          <w:color w:val="4A4A4A"/>
        </w:rPr>
      </w:pPr>
      <w:r w:rsidRPr="00486970">
        <w:rPr>
          <w:rFonts w:eastAsia="Cambria Math" w:cstheme="minorHAnsi"/>
          <w:color w:val="4A4A4A"/>
        </w:rPr>
        <w:t>Combine the two dimensions on availability and affordability (access to medicines)</w:t>
      </w:r>
    </w:p>
    <w:p w14:paraId="5DC2A791" w14:textId="77777777" w:rsidR="00F70A66" w:rsidRPr="00486970" w:rsidRDefault="00F70A66" w:rsidP="00397ADD">
      <w:pPr>
        <w:numPr>
          <w:ilvl w:val="0"/>
          <w:numId w:val="19"/>
        </w:numPr>
        <w:pBdr>
          <w:top w:val="nil"/>
          <w:left w:val="nil"/>
          <w:bottom w:val="nil"/>
          <w:right w:val="nil"/>
          <w:between w:val="nil"/>
        </w:pBdr>
        <w:spacing w:after="120" w:line="240" w:lineRule="auto"/>
        <w:contextualSpacing/>
        <w:jc w:val="both"/>
        <w:rPr>
          <w:rFonts w:eastAsia="Cambria Math" w:cstheme="minorHAnsi"/>
          <w:color w:val="4A4A4A"/>
        </w:rPr>
      </w:pPr>
      <w:r w:rsidRPr="00486970">
        <w:rPr>
          <w:rFonts w:eastAsia="Cambria Math" w:cstheme="minorHAnsi"/>
          <w:color w:val="4A4A4A"/>
        </w:rPr>
        <w:t>Apply weights to the medicine in the basket according to the regional prevalence of the diseases that are cured, treated, and controlled by these medicines</w:t>
      </w:r>
    </w:p>
    <w:p w14:paraId="0FA35BD7" w14:textId="77777777" w:rsidR="00F70A66" w:rsidRPr="00486970" w:rsidRDefault="00F70A66" w:rsidP="00397ADD">
      <w:pPr>
        <w:numPr>
          <w:ilvl w:val="0"/>
          <w:numId w:val="19"/>
        </w:numPr>
        <w:pBdr>
          <w:top w:val="nil"/>
          <w:left w:val="nil"/>
          <w:bottom w:val="nil"/>
          <w:right w:val="nil"/>
          <w:between w:val="nil"/>
        </w:pBdr>
        <w:spacing w:after="120" w:line="240" w:lineRule="auto"/>
        <w:contextualSpacing/>
        <w:jc w:val="both"/>
        <w:rPr>
          <w:rFonts w:eastAsia="Cambria Math" w:cstheme="minorHAnsi"/>
          <w:color w:val="4A4A4A"/>
        </w:rPr>
      </w:pPr>
      <w:r w:rsidRPr="00486970">
        <w:rPr>
          <w:rFonts w:eastAsia="Cambria Math" w:cstheme="minorHAnsi"/>
          <w:color w:val="4A4A4A"/>
        </w:rPr>
        <w:t xml:space="preserve">Identify whether a facility has a core set of relevant essential medicines available and affordable </w:t>
      </w:r>
    </w:p>
    <w:p w14:paraId="09070BBE" w14:textId="77777777" w:rsidR="00F70A66" w:rsidRPr="00486970" w:rsidRDefault="00F70A66" w:rsidP="00F70A66">
      <w:pPr>
        <w:pBdr>
          <w:top w:val="nil"/>
          <w:left w:val="nil"/>
          <w:bottom w:val="nil"/>
          <w:right w:val="nil"/>
          <w:between w:val="nil"/>
        </w:pBdr>
        <w:spacing w:after="120" w:line="240" w:lineRule="auto"/>
        <w:jc w:val="both"/>
        <w:rPr>
          <w:rFonts w:eastAsia="Cambria Math" w:cstheme="minorHAnsi"/>
          <w:color w:val="4A4A4A"/>
        </w:rPr>
      </w:pPr>
      <w:r w:rsidRPr="00486970">
        <w:rPr>
          <w:rFonts w:eastAsia="Cambria Math" w:cstheme="minorHAnsi"/>
          <w:color w:val="4A4A4A"/>
        </w:rPr>
        <w:t xml:space="preserve">The next two steps are calculated at the </w:t>
      </w:r>
      <w:r w:rsidRPr="00486970">
        <w:rPr>
          <w:rFonts w:eastAsia="Cambria Math" w:cstheme="minorHAnsi"/>
          <w:color w:val="4A4A4A"/>
          <w:u w:val="single"/>
        </w:rPr>
        <w:t>country level</w:t>
      </w:r>
      <w:r w:rsidRPr="00486970">
        <w:rPr>
          <w:rFonts w:eastAsia="Cambria Math" w:cstheme="minorHAnsi"/>
          <w:color w:val="4A4A4A"/>
        </w:rPr>
        <w:t xml:space="preserve"> across all the surveyed facilities:</w:t>
      </w:r>
    </w:p>
    <w:p w14:paraId="6E5A3A2F" w14:textId="77777777" w:rsidR="00F70A66" w:rsidRPr="00486970" w:rsidRDefault="00F70A66" w:rsidP="00397ADD">
      <w:pPr>
        <w:numPr>
          <w:ilvl w:val="0"/>
          <w:numId w:val="19"/>
        </w:numPr>
        <w:pBdr>
          <w:top w:val="nil"/>
          <w:left w:val="nil"/>
          <w:bottom w:val="nil"/>
          <w:right w:val="nil"/>
          <w:between w:val="nil"/>
        </w:pBdr>
        <w:spacing w:after="120" w:line="240" w:lineRule="auto"/>
        <w:contextualSpacing/>
        <w:jc w:val="both"/>
        <w:rPr>
          <w:rFonts w:eastAsia="Cambria Math" w:cstheme="minorHAnsi"/>
          <w:color w:val="4A4A4A"/>
        </w:rPr>
      </w:pPr>
      <w:r w:rsidRPr="00486970">
        <w:rPr>
          <w:rFonts w:eastAsia="Cambria Math" w:cstheme="minorHAnsi"/>
          <w:color w:val="4A4A4A"/>
        </w:rPr>
        <w:t>Calculate the indicator as the proportion of facilities with accessible medicines in the country</w:t>
      </w:r>
    </w:p>
    <w:p w14:paraId="167705D4" w14:textId="77777777" w:rsidR="00F70A66" w:rsidRPr="00486970" w:rsidRDefault="00F70A66" w:rsidP="00397ADD">
      <w:pPr>
        <w:numPr>
          <w:ilvl w:val="0"/>
          <w:numId w:val="19"/>
        </w:numPr>
        <w:pBdr>
          <w:top w:val="nil"/>
          <w:left w:val="nil"/>
          <w:bottom w:val="nil"/>
          <w:right w:val="nil"/>
          <w:between w:val="nil"/>
        </w:pBdr>
        <w:spacing w:after="120" w:line="240" w:lineRule="auto"/>
        <w:contextualSpacing/>
        <w:jc w:val="both"/>
        <w:rPr>
          <w:rFonts w:eastAsia="Cambria Math" w:cstheme="minorHAnsi"/>
          <w:color w:val="4A4A4A"/>
        </w:rPr>
      </w:pPr>
      <w:r w:rsidRPr="00486970">
        <w:rPr>
          <w:rFonts w:eastAsia="Cambria Math" w:cstheme="minorHAnsi"/>
          <w:color w:val="4A4A4A"/>
        </w:rPr>
        <w:t>Consideration of the quality of the accessible medicines in the country using a proxy</w:t>
      </w:r>
    </w:p>
    <w:p w14:paraId="6F274717" w14:textId="77777777" w:rsidR="00F70A66" w:rsidRPr="00486970" w:rsidRDefault="00F70A66" w:rsidP="00F70A66">
      <w:pPr>
        <w:pBdr>
          <w:top w:val="nil"/>
          <w:left w:val="nil"/>
          <w:bottom w:val="nil"/>
          <w:right w:val="nil"/>
          <w:between w:val="nil"/>
        </w:pBdr>
        <w:spacing w:after="120" w:line="240" w:lineRule="auto"/>
        <w:jc w:val="both"/>
        <w:rPr>
          <w:rFonts w:eastAsia="Cambria Math" w:cstheme="minorHAnsi"/>
          <w:color w:val="4A4A4A"/>
        </w:rPr>
      </w:pPr>
      <w:r w:rsidRPr="00486970">
        <w:rPr>
          <w:rFonts w:eastAsia="Cambria Math" w:cstheme="minorHAnsi"/>
          <w:color w:val="4A4A4A"/>
        </w:rPr>
        <w:t>Below is a more detailed procedure of the index computation.</w:t>
      </w:r>
    </w:p>
    <w:p w14:paraId="50DF3C95" w14:textId="77777777" w:rsidR="00F70A66" w:rsidRPr="00021E78" w:rsidRDefault="00F70A66" w:rsidP="00F70A66">
      <w:pPr>
        <w:spacing w:after="120" w:line="240" w:lineRule="auto"/>
        <w:jc w:val="both"/>
        <w:rPr>
          <w:rFonts w:eastAsia="Times New Roman" w:cstheme="minorHAnsi"/>
          <w:color w:val="4A4A4A"/>
          <w:lang w:eastAsia="en-GB"/>
        </w:rPr>
      </w:pPr>
      <w:r w:rsidRPr="00021E78">
        <w:rPr>
          <w:rFonts w:eastAsia="Times New Roman" w:cstheme="minorHAnsi"/>
          <w:color w:val="4A4A4A"/>
          <w:lang w:eastAsia="en-GB"/>
        </w:rPr>
        <w:t xml:space="preserve">Step 1: Review and selection of the core basket of medicines for primary health care </w:t>
      </w:r>
    </w:p>
    <w:p w14:paraId="1F240A74" w14:textId="77777777" w:rsidR="00F70A66" w:rsidRPr="00486970" w:rsidRDefault="00F70A66" w:rsidP="00F70A66">
      <w:pPr>
        <w:pBdr>
          <w:top w:val="nil"/>
          <w:left w:val="nil"/>
          <w:bottom w:val="nil"/>
          <w:right w:val="nil"/>
          <w:between w:val="nil"/>
        </w:pBdr>
        <w:spacing w:after="120" w:line="240" w:lineRule="auto"/>
        <w:jc w:val="both"/>
        <w:rPr>
          <w:rFonts w:cstheme="minorHAnsi"/>
          <w:color w:val="4A4A4A"/>
        </w:rPr>
      </w:pPr>
      <w:r w:rsidRPr="00486970">
        <w:rPr>
          <w:rFonts w:eastAsia="SimSun" w:cstheme="minorHAnsi"/>
          <w:color w:val="4A4A4A"/>
        </w:rPr>
        <w:t>For some of the disease categories captured by the proposed basket of medicines, a therapeutic category of medicine has been specified (e.g. statins, beta blockers, corticosteroids, etc.) and a specific medicine must be identified for monitoring. For example, beclomethasone is used to treat non-communicable respiratory disease and if it is not supplied in a particular country for some policy or market reason, an alternative corticosteroid inhaler must be included in the analysis. In other cases, more than one medicine should be included in the basket per disease category. This will require a preliminary review of the basket before starting the data collection process.</w:t>
      </w:r>
    </w:p>
    <w:p w14:paraId="44B1D450" w14:textId="77777777" w:rsidR="00F70A66" w:rsidRPr="00021E78" w:rsidRDefault="00F70A66" w:rsidP="00F70A66">
      <w:pPr>
        <w:spacing w:after="120" w:line="240" w:lineRule="auto"/>
        <w:jc w:val="both"/>
        <w:rPr>
          <w:rFonts w:eastAsia="Times New Roman" w:cstheme="minorHAnsi"/>
          <w:color w:val="4A4A4A"/>
          <w:lang w:eastAsia="en-GB"/>
        </w:rPr>
      </w:pPr>
      <w:r w:rsidRPr="00021E78">
        <w:rPr>
          <w:rFonts w:eastAsia="Times New Roman" w:cstheme="minorHAnsi"/>
          <w:color w:val="4A4A4A"/>
          <w:lang w:eastAsia="en-GB"/>
        </w:rPr>
        <w:t>Step 2: Estimate weights for the defined medicines based on regional burden of disease</w:t>
      </w:r>
    </w:p>
    <w:p w14:paraId="752AE889" w14:textId="77777777" w:rsidR="00F70A66" w:rsidRPr="00486970" w:rsidRDefault="00F70A66" w:rsidP="00F70A66">
      <w:pPr>
        <w:pBdr>
          <w:top w:val="nil"/>
          <w:left w:val="nil"/>
          <w:bottom w:val="nil"/>
          <w:right w:val="nil"/>
          <w:between w:val="nil"/>
        </w:pBdr>
        <w:spacing w:after="120" w:line="240" w:lineRule="auto"/>
        <w:jc w:val="both"/>
        <w:rPr>
          <w:rFonts w:eastAsia="Cambria Math" w:cstheme="minorHAnsi"/>
          <w:color w:val="4A4A4A"/>
        </w:rPr>
      </w:pPr>
      <w:r w:rsidRPr="00486970">
        <w:rPr>
          <w:rFonts w:eastAsia="Cambria Math" w:cstheme="minorHAnsi"/>
          <w:color w:val="4A4A4A"/>
        </w:rPr>
        <w:t>The following points must be considered when computing medicines’ weights:</w:t>
      </w:r>
    </w:p>
    <w:p w14:paraId="0A27CA0E" w14:textId="77777777" w:rsidR="00F70A66" w:rsidRPr="00486970" w:rsidRDefault="00F70A66" w:rsidP="00397ADD">
      <w:pPr>
        <w:numPr>
          <w:ilvl w:val="0"/>
          <w:numId w:val="17"/>
        </w:numPr>
        <w:pBdr>
          <w:top w:val="nil"/>
          <w:left w:val="nil"/>
          <w:bottom w:val="nil"/>
          <w:right w:val="nil"/>
          <w:between w:val="nil"/>
        </w:pBdr>
        <w:spacing w:after="120" w:line="240" w:lineRule="auto"/>
        <w:contextualSpacing/>
        <w:jc w:val="both"/>
        <w:rPr>
          <w:rFonts w:eastAsia="Cambria Math" w:cstheme="minorHAnsi"/>
          <w:color w:val="4A4A4A"/>
        </w:rPr>
      </w:pPr>
      <w:r w:rsidRPr="00486970">
        <w:rPr>
          <w:rFonts w:eastAsia="Cambria Math" w:cstheme="minorHAnsi"/>
          <w:color w:val="4A4A4A"/>
        </w:rPr>
        <w:t>Equal weights are assigned to medicines that are used to treat, cure, and control the same disease(s) (e.g. gliclazide (or other sulfonylurea), metformin and insulin regular are assigned equal weights according to the diabetes disease burden).</w:t>
      </w:r>
    </w:p>
    <w:p w14:paraId="337F3F59" w14:textId="77777777" w:rsidR="00F70A66" w:rsidRPr="00486970" w:rsidRDefault="00F70A66" w:rsidP="00397ADD">
      <w:pPr>
        <w:numPr>
          <w:ilvl w:val="0"/>
          <w:numId w:val="17"/>
        </w:numPr>
        <w:pBdr>
          <w:top w:val="nil"/>
          <w:left w:val="nil"/>
          <w:bottom w:val="nil"/>
          <w:right w:val="nil"/>
          <w:between w:val="nil"/>
        </w:pBdr>
        <w:spacing w:after="120" w:line="240" w:lineRule="auto"/>
        <w:contextualSpacing/>
        <w:jc w:val="both"/>
        <w:rPr>
          <w:rFonts w:eastAsia="Cambria Math" w:cstheme="minorHAnsi"/>
          <w:color w:val="4A4A4A"/>
        </w:rPr>
      </w:pPr>
      <w:r w:rsidRPr="00486970">
        <w:rPr>
          <w:rFonts w:eastAsia="Cambria Math" w:cstheme="minorHAnsi"/>
          <w:color w:val="4A4A4A"/>
        </w:rPr>
        <w:t>For a medicine indicated for multiple diseases, DALYs values for each disease are summed.</w:t>
      </w:r>
    </w:p>
    <w:p w14:paraId="33ADFF04" w14:textId="77777777" w:rsidR="00F70A66" w:rsidRPr="00486970" w:rsidRDefault="00F70A66" w:rsidP="00397ADD">
      <w:pPr>
        <w:numPr>
          <w:ilvl w:val="0"/>
          <w:numId w:val="17"/>
        </w:numPr>
        <w:pBdr>
          <w:top w:val="nil"/>
          <w:left w:val="nil"/>
          <w:bottom w:val="nil"/>
          <w:right w:val="nil"/>
          <w:between w:val="nil"/>
        </w:pBdr>
        <w:spacing w:after="120" w:line="240" w:lineRule="auto"/>
        <w:contextualSpacing/>
        <w:jc w:val="both"/>
        <w:rPr>
          <w:rFonts w:eastAsia="Cambria Math" w:cstheme="minorHAnsi"/>
          <w:color w:val="4A4A4A"/>
        </w:rPr>
      </w:pPr>
      <w:r w:rsidRPr="00486970">
        <w:rPr>
          <w:rFonts w:eastAsia="Cambria Math" w:cstheme="minorHAnsi"/>
          <w:color w:val="4A4A4A"/>
        </w:rPr>
        <w:t xml:space="preserve">For a medicine used for treating conditions for children (four medicines from the list) sum of DALYs is computed for males and females at the age between 0 and 14 years. </w:t>
      </w:r>
    </w:p>
    <w:p w14:paraId="351D1372" w14:textId="1EC86390" w:rsidR="00F70A66" w:rsidRPr="00486970" w:rsidRDefault="00F70A66" w:rsidP="00397ADD">
      <w:pPr>
        <w:numPr>
          <w:ilvl w:val="0"/>
          <w:numId w:val="17"/>
        </w:numPr>
        <w:pBdr>
          <w:top w:val="nil"/>
          <w:left w:val="nil"/>
          <w:bottom w:val="nil"/>
          <w:right w:val="nil"/>
          <w:between w:val="nil"/>
        </w:pBdr>
        <w:spacing w:after="120" w:line="240" w:lineRule="auto"/>
        <w:contextualSpacing/>
        <w:jc w:val="both"/>
        <w:rPr>
          <w:rFonts w:eastAsia="Cambria Math" w:cstheme="minorHAnsi"/>
          <w:color w:val="4A4A4A"/>
        </w:rPr>
      </w:pPr>
      <w:r w:rsidRPr="00486970">
        <w:rPr>
          <w:rFonts w:eastAsia="Cambria Math" w:cstheme="minorHAnsi"/>
          <w:color w:val="4A4A4A"/>
        </w:rPr>
        <w:t xml:space="preserve">For some of the medicines which cannot be assigned to a specific disease (e.g. paracetamol) the weight is computed as  </w:t>
      </w:r>
      <m:oMath>
        <m:f>
          <m:fPr>
            <m:ctrlPr>
              <w:rPr>
                <w:rFonts w:ascii="Cambria Math" w:eastAsia="Cambria Math" w:hAnsi="Cambria Math" w:cstheme="minorHAnsi"/>
                <w:i/>
                <w:color w:val="4A4A4A"/>
              </w:rPr>
            </m:ctrlPr>
          </m:fPr>
          <m:num>
            <m:r>
              <w:rPr>
                <w:rFonts w:ascii="Cambria Math" w:eastAsia="Cambria Math" w:hAnsi="Cambria Math" w:cstheme="minorHAnsi"/>
                <w:color w:val="4A4A4A"/>
              </w:rPr>
              <m:t>1</m:t>
            </m:r>
          </m:num>
          <m:den>
            <m:r>
              <w:rPr>
                <w:rFonts w:ascii="Cambria Math" w:eastAsia="Cambria Math" w:hAnsi="Cambria Math" w:cstheme="minorHAnsi"/>
                <w:color w:val="4A4A4A"/>
              </w:rPr>
              <m:t>T</m:t>
            </m:r>
          </m:den>
        </m:f>
      </m:oMath>
      <w:r w:rsidRPr="00486970">
        <w:rPr>
          <w:rFonts w:eastAsia="Cambria Math" w:cstheme="minorHAnsi"/>
          <w:color w:val="4A4A4A"/>
        </w:rPr>
        <w:t xml:space="preserve">  (where T is a total number of medicines in the </w:t>
      </w:r>
      <w:r w:rsidRPr="00486970">
        <w:rPr>
          <w:rFonts w:eastAsia="Cambria Math" w:cstheme="minorHAnsi"/>
          <w:color w:val="4A4A4A"/>
        </w:rPr>
        <w:lastRenderedPageBreak/>
        <w:t xml:space="preserve">surveyed basket) assuming equal use of the medicine relative to other medicines in the core list. </w:t>
      </w:r>
    </w:p>
    <w:p w14:paraId="377FD1D5" w14:textId="77777777" w:rsidR="00F70A66" w:rsidRPr="00486970" w:rsidRDefault="00F70A66" w:rsidP="00397ADD">
      <w:pPr>
        <w:numPr>
          <w:ilvl w:val="0"/>
          <w:numId w:val="17"/>
        </w:numPr>
        <w:pBdr>
          <w:top w:val="nil"/>
          <w:left w:val="nil"/>
          <w:bottom w:val="nil"/>
          <w:right w:val="nil"/>
          <w:between w:val="nil"/>
        </w:pBdr>
        <w:spacing w:after="120" w:line="240" w:lineRule="auto"/>
        <w:contextualSpacing/>
        <w:jc w:val="both"/>
        <w:rPr>
          <w:rFonts w:eastAsia="Cambria Math" w:cstheme="minorHAnsi"/>
          <w:color w:val="4A4A4A"/>
        </w:rPr>
      </w:pPr>
      <w:r w:rsidRPr="00486970">
        <w:rPr>
          <w:rFonts w:eastAsia="Cambria Math" w:cstheme="minorHAnsi"/>
          <w:color w:val="4A4A4A"/>
        </w:rPr>
        <w:t xml:space="preserve">For medicines not in the list but “suggested for monitoring” by the country, weight is computed as </w:t>
      </w:r>
      <m:oMath>
        <m:r>
          <w:rPr>
            <w:rFonts w:ascii="Cambria Math" w:eastAsia="Cambria Math" w:hAnsi="Cambria Math" w:cstheme="minorHAnsi"/>
            <w:color w:val="4A4A4A"/>
          </w:rPr>
          <m:t>0.5*</m:t>
        </m:r>
        <m:f>
          <m:fPr>
            <m:ctrlPr>
              <w:rPr>
                <w:rFonts w:ascii="Cambria Math" w:eastAsia="Cambria Math" w:hAnsi="Cambria Math" w:cstheme="minorHAnsi"/>
                <w:i/>
                <w:color w:val="4A4A4A"/>
              </w:rPr>
            </m:ctrlPr>
          </m:fPr>
          <m:num>
            <m:r>
              <w:rPr>
                <w:rFonts w:ascii="Cambria Math" w:eastAsia="Cambria Math" w:hAnsi="Cambria Math" w:cstheme="minorHAnsi"/>
                <w:color w:val="4A4A4A"/>
              </w:rPr>
              <m:t>1</m:t>
            </m:r>
          </m:num>
          <m:den>
            <m:r>
              <w:rPr>
                <w:rFonts w:ascii="Cambria Math" w:eastAsia="Cambria Math" w:hAnsi="Cambria Math" w:cstheme="minorHAnsi"/>
                <w:color w:val="4A4A4A"/>
              </w:rPr>
              <m:t>T</m:t>
            </m:r>
          </m:den>
        </m:f>
        <m:r>
          <w:rPr>
            <w:rFonts w:ascii="Cambria Math" w:eastAsia="Cambria Math" w:hAnsi="Cambria Math" w:cstheme="minorHAnsi"/>
            <w:color w:val="4A4A4A"/>
          </w:rPr>
          <m:t xml:space="preserve"> </m:t>
        </m:r>
      </m:oMath>
      <w:r w:rsidRPr="00486970">
        <w:rPr>
          <w:rFonts w:eastAsia="Cambria Math" w:cstheme="minorHAnsi"/>
          <w:color w:val="4A4A4A"/>
        </w:rPr>
        <w:t xml:space="preserve"> assuming a minor relevance of these medicines for this indicator and to avoid major issues in inter-country comparison. </w:t>
      </w:r>
    </w:p>
    <w:p w14:paraId="3DA1B4EA" w14:textId="77777777" w:rsidR="00F70A66" w:rsidRPr="00486970" w:rsidRDefault="00F70A66" w:rsidP="00F70A66">
      <w:pPr>
        <w:pBdr>
          <w:top w:val="nil"/>
          <w:left w:val="nil"/>
          <w:bottom w:val="nil"/>
          <w:right w:val="nil"/>
          <w:between w:val="nil"/>
        </w:pBdr>
        <w:spacing w:after="120" w:line="240" w:lineRule="auto"/>
        <w:jc w:val="both"/>
        <w:rPr>
          <w:rFonts w:eastAsia="Cambria Math" w:cstheme="minorHAnsi"/>
          <w:color w:val="4A4A4A"/>
        </w:rPr>
      </w:pPr>
      <w:r w:rsidRPr="00486970">
        <w:rPr>
          <w:rFonts w:eastAsia="Cambria Math" w:cstheme="minorHAnsi"/>
          <w:color w:val="4A4A4A"/>
        </w:rPr>
        <w:t xml:space="preserve">To estimate the weight for each medicine, the following </w:t>
      </w:r>
      <w:r w:rsidRPr="00486970">
        <w:rPr>
          <w:rFonts w:eastAsia="Cambria Math" w:cstheme="minorHAnsi"/>
          <w:color w:val="4A4A4A"/>
          <w:u w:val="single"/>
        </w:rPr>
        <w:t>steps</w:t>
      </w:r>
      <w:r w:rsidRPr="00486970">
        <w:rPr>
          <w:rFonts w:eastAsia="Cambria Math" w:cstheme="minorHAnsi"/>
          <w:color w:val="4A4A4A"/>
        </w:rPr>
        <w:t xml:space="preserve"> have to be undertaken:</w:t>
      </w:r>
    </w:p>
    <w:p w14:paraId="2C0BB6E8" w14:textId="77777777" w:rsidR="00F70A66" w:rsidRPr="00486970" w:rsidRDefault="00F70A66" w:rsidP="006D207C">
      <w:pPr>
        <w:pBdr>
          <w:top w:val="nil"/>
          <w:left w:val="nil"/>
          <w:bottom w:val="nil"/>
          <w:right w:val="nil"/>
          <w:between w:val="nil"/>
        </w:pBdr>
        <w:spacing w:after="120" w:line="240" w:lineRule="auto"/>
        <w:ind w:left="643"/>
        <w:contextualSpacing/>
        <w:jc w:val="both"/>
        <w:rPr>
          <w:rFonts w:eastAsia="Cambria Math" w:cstheme="minorHAnsi"/>
          <w:vanish/>
          <w:color w:val="4A4A4A"/>
        </w:rPr>
      </w:pPr>
    </w:p>
    <w:p w14:paraId="5874BE11" w14:textId="77777777" w:rsidR="00F70A66" w:rsidRPr="00486970" w:rsidRDefault="00F70A66" w:rsidP="00021E78">
      <w:pPr>
        <w:numPr>
          <w:ilvl w:val="1"/>
          <w:numId w:val="49"/>
        </w:numPr>
        <w:pBdr>
          <w:top w:val="nil"/>
          <w:left w:val="nil"/>
          <w:bottom w:val="nil"/>
          <w:right w:val="nil"/>
          <w:between w:val="nil"/>
        </w:pBdr>
        <w:spacing w:before="120" w:after="240"/>
        <w:contextualSpacing/>
        <w:jc w:val="both"/>
        <w:rPr>
          <w:rFonts w:eastAsia="Cambria Math" w:cstheme="minorHAnsi"/>
          <w:color w:val="4A4A4A"/>
        </w:rPr>
      </w:pPr>
      <w:r w:rsidRPr="00486970">
        <w:rPr>
          <w:rFonts w:eastAsia="Cambria Math" w:cstheme="minorHAnsi"/>
          <w:color w:val="4A4A4A"/>
        </w:rPr>
        <w:t>Assign each medicine in the basket to one or several disease(s) that are treated/cured/controlled by that medicine (</w:t>
      </w:r>
      <w:r w:rsidRPr="00486970">
        <w:rPr>
          <w:rFonts w:eastAsia="Cambria Math" w:cstheme="minorHAnsi"/>
          <w:i/>
          <w:iCs/>
          <w:color w:val="4A4A4A"/>
        </w:rPr>
        <w:t>Annex 1 table 2</w:t>
      </w:r>
      <w:r w:rsidRPr="00486970">
        <w:rPr>
          <w:rFonts w:eastAsia="Cambria Math" w:cstheme="minorHAnsi"/>
          <w:color w:val="4A4A4A"/>
        </w:rPr>
        <w:t xml:space="preserve">) </w:t>
      </w:r>
    </w:p>
    <w:p w14:paraId="11AC7F93" w14:textId="77777777" w:rsidR="00F70A66" w:rsidRPr="00486970" w:rsidRDefault="00F70A66" w:rsidP="00021E78">
      <w:pPr>
        <w:numPr>
          <w:ilvl w:val="1"/>
          <w:numId w:val="49"/>
        </w:numPr>
        <w:pBdr>
          <w:top w:val="nil"/>
          <w:left w:val="nil"/>
          <w:bottom w:val="nil"/>
          <w:right w:val="nil"/>
          <w:between w:val="nil"/>
        </w:pBdr>
        <w:spacing w:before="120" w:after="240"/>
        <w:contextualSpacing/>
        <w:jc w:val="both"/>
        <w:rPr>
          <w:rFonts w:eastAsia="Cambria Math" w:cstheme="minorHAnsi"/>
          <w:color w:val="4A4A4A"/>
        </w:rPr>
      </w:pPr>
      <w:r w:rsidRPr="00486970">
        <w:rPr>
          <w:rFonts w:eastAsia="Cambria Math" w:cstheme="minorHAnsi"/>
          <w:color w:val="4A4A4A"/>
        </w:rPr>
        <w:t>Assign to each disease the corresponding DALYs</w:t>
      </w:r>
      <w:r w:rsidRPr="00486970">
        <w:rPr>
          <w:rFonts w:eastAsia="Cambria Math" w:cstheme="minorHAnsi"/>
          <w:color w:val="4A4A4A"/>
          <w:vertAlign w:val="superscript"/>
        </w:rPr>
        <w:footnoteReference w:id="2"/>
      </w:r>
      <w:r w:rsidRPr="00486970">
        <w:rPr>
          <w:rFonts w:eastAsia="Cambria Math" w:cstheme="minorHAnsi"/>
          <w:color w:val="4A4A4A"/>
        </w:rPr>
        <w:t xml:space="preserve"> (if several diseases are treated with the same medicine, compute sum of these DALYs accordingly) [</w:t>
      </w:r>
      <m:oMath>
        <m:sSub>
          <m:sSubPr>
            <m:ctrlPr>
              <w:rPr>
                <w:rFonts w:ascii="Cambria Math" w:eastAsia="Cambria Math" w:hAnsi="Cambria Math" w:cstheme="minorHAnsi"/>
                <w:i/>
                <w:color w:val="4A4A4A"/>
                <w:sz w:val="18"/>
              </w:rPr>
            </m:ctrlPr>
          </m:sSubPr>
          <m:e>
            <m:r>
              <w:rPr>
                <w:rFonts w:ascii="Cambria Math" w:eastAsia="Cambria Math" w:hAnsi="Cambria Math" w:cstheme="minorHAnsi"/>
                <w:color w:val="4A4A4A"/>
                <w:sz w:val="18"/>
              </w:rPr>
              <m:t xml:space="preserve"> DALYs</m:t>
            </m:r>
          </m:e>
          <m:sub>
            <m:r>
              <w:rPr>
                <w:rFonts w:ascii="Cambria Math" w:eastAsia="Cambria Math" w:hAnsi="Cambria Math" w:cstheme="minorHAnsi"/>
                <w:color w:val="4A4A4A"/>
                <w:sz w:val="18"/>
              </w:rPr>
              <m:t>Mi</m:t>
            </m:r>
          </m:sub>
        </m:sSub>
      </m:oMath>
      <w:r w:rsidRPr="00486970">
        <w:rPr>
          <w:rFonts w:eastAsia="Cambria Math" w:cstheme="minorHAnsi"/>
          <w:color w:val="4A4A4A"/>
        </w:rPr>
        <w:t xml:space="preserve"> ]</w:t>
      </w:r>
    </w:p>
    <w:p w14:paraId="21A6E560" w14:textId="77777777" w:rsidR="00F70A66" w:rsidRPr="00486970" w:rsidRDefault="00F70A66" w:rsidP="00021E78">
      <w:pPr>
        <w:numPr>
          <w:ilvl w:val="1"/>
          <w:numId w:val="49"/>
        </w:numPr>
        <w:pBdr>
          <w:top w:val="nil"/>
          <w:left w:val="nil"/>
          <w:bottom w:val="nil"/>
          <w:right w:val="nil"/>
          <w:between w:val="nil"/>
        </w:pBdr>
        <w:spacing w:before="120" w:after="240"/>
        <w:contextualSpacing/>
        <w:jc w:val="both"/>
        <w:rPr>
          <w:rFonts w:eastAsia="Cambria Math" w:cstheme="minorHAnsi"/>
          <w:color w:val="4A4A4A"/>
        </w:rPr>
      </w:pPr>
      <w:r w:rsidRPr="00486970">
        <w:rPr>
          <w:rFonts w:eastAsia="Cambria Math" w:cstheme="minorHAnsi"/>
          <w:color w:val="4A4A4A"/>
        </w:rPr>
        <w:t xml:space="preserve">Compute total sum of the DALYs per medicine [ </w:t>
      </w:r>
      <m:oMath>
        <m:sSub>
          <m:sSubPr>
            <m:ctrlPr>
              <w:rPr>
                <w:rFonts w:ascii="Cambria Math" w:eastAsia="Cambria Math" w:hAnsi="Cambria Math" w:cstheme="minorHAnsi"/>
                <w:i/>
                <w:color w:val="4A4A4A"/>
                <w:sz w:val="18"/>
              </w:rPr>
            </m:ctrlPr>
          </m:sSubPr>
          <m:e>
            <m:nary>
              <m:naryPr>
                <m:chr m:val="∑"/>
                <m:limLoc m:val="undOvr"/>
                <m:ctrlPr>
                  <w:rPr>
                    <w:rFonts w:ascii="Cambria Math" w:eastAsia="Cambria Math" w:hAnsi="Cambria Math" w:cstheme="minorHAnsi"/>
                    <w:i/>
                    <w:color w:val="4A4A4A"/>
                    <w:sz w:val="18"/>
                  </w:rPr>
                </m:ctrlPr>
              </m:naryPr>
              <m:sub>
                <m:r>
                  <w:rPr>
                    <w:rFonts w:ascii="Cambria Math" w:eastAsia="Cambria Math" w:hAnsi="Cambria Math" w:cstheme="minorHAnsi"/>
                    <w:color w:val="4A4A4A"/>
                    <w:sz w:val="18"/>
                  </w:rPr>
                  <m:t>i=1</m:t>
                </m:r>
              </m:sub>
              <m:sup>
                <m:r>
                  <w:rPr>
                    <w:rFonts w:ascii="Cambria Math" w:eastAsia="Cambria Math" w:hAnsi="Cambria Math" w:cstheme="minorHAnsi"/>
                    <w:color w:val="4A4A4A"/>
                    <w:sz w:val="18"/>
                  </w:rPr>
                  <m:t>32</m:t>
                </m:r>
              </m:sup>
              <m:e>
                <m:r>
                  <w:rPr>
                    <w:rFonts w:ascii="Cambria Math" w:eastAsia="Cambria Math" w:hAnsi="Cambria Math" w:cstheme="minorHAnsi"/>
                    <w:color w:val="4A4A4A"/>
                    <w:sz w:val="18"/>
                  </w:rPr>
                  <m:t>DALYs</m:t>
                </m:r>
              </m:e>
            </m:nary>
          </m:e>
          <m:sub>
            <m:r>
              <w:rPr>
                <w:rFonts w:ascii="Cambria Math" w:eastAsia="Cambria Math" w:hAnsi="Cambria Math" w:cstheme="minorHAnsi"/>
                <w:color w:val="4A4A4A"/>
                <w:sz w:val="18"/>
              </w:rPr>
              <m:t>Mi</m:t>
            </m:r>
          </m:sub>
        </m:sSub>
      </m:oMath>
      <w:r w:rsidRPr="00486970">
        <w:rPr>
          <w:rFonts w:eastAsia="Cambria Math" w:cstheme="minorHAnsi"/>
          <w:color w:val="4A4A4A"/>
        </w:rPr>
        <w:t xml:space="preserve"> ]</w:t>
      </w:r>
    </w:p>
    <w:p w14:paraId="1ABA457B" w14:textId="77777777" w:rsidR="00F70A66" w:rsidRPr="00486970" w:rsidRDefault="00F70A66" w:rsidP="00021E78">
      <w:pPr>
        <w:numPr>
          <w:ilvl w:val="1"/>
          <w:numId w:val="49"/>
        </w:numPr>
        <w:pBdr>
          <w:top w:val="nil"/>
          <w:left w:val="nil"/>
          <w:bottom w:val="nil"/>
          <w:right w:val="nil"/>
          <w:between w:val="nil"/>
        </w:pBdr>
        <w:spacing w:before="120" w:after="240"/>
        <w:contextualSpacing/>
        <w:jc w:val="both"/>
        <w:rPr>
          <w:rFonts w:eastAsia="Cambria Math" w:cstheme="minorHAnsi"/>
          <w:color w:val="4A4A4A"/>
        </w:rPr>
      </w:pPr>
      <w:r w:rsidRPr="00486970">
        <w:rPr>
          <w:rFonts w:eastAsia="Cambria Math" w:cstheme="minorHAnsi"/>
          <w:color w:val="4A4A4A"/>
        </w:rPr>
        <w:t>Compute weight of each medicine as a proportion of the medicine specific DALYs to the total sum of DALYs in the basket [</w:t>
      </w:r>
      <m:oMath>
        <m:r>
          <w:rPr>
            <w:rFonts w:ascii="Cambria Math" w:eastAsia="Cambria Math" w:hAnsi="Cambria Math" w:cstheme="minorHAnsi"/>
            <w:color w:val="4A4A4A"/>
          </w:rPr>
          <m:t xml:space="preserve"> </m:t>
        </m:r>
        <m:sSub>
          <m:sSubPr>
            <m:ctrlPr>
              <w:rPr>
                <w:rFonts w:ascii="Cambria Math" w:eastAsia="Cambria Math" w:hAnsi="Cambria Math" w:cstheme="minorHAnsi"/>
                <w:i/>
                <w:color w:val="4A4A4A"/>
              </w:rPr>
            </m:ctrlPr>
          </m:sSubPr>
          <m:e>
            <m:r>
              <w:rPr>
                <w:rFonts w:ascii="Cambria Math" w:eastAsia="Cambria Math" w:hAnsi="Cambria Math" w:cstheme="minorHAnsi"/>
                <w:color w:val="4A4A4A"/>
              </w:rPr>
              <m:t>W</m:t>
            </m:r>
          </m:e>
          <m:sub>
            <m:r>
              <w:rPr>
                <w:rFonts w:ascii="Cambria Math" w:eastAsia="Cambria Math" w:hAnsi="Cambria Math" w:cstheme="minorHAnsi"/>
                <w:color w:val="4A4A4A"/>
              </w:rPr>
              <m:t>Mi</m:t>
            </m:r>
          </m:sub>
        </m:sSub>
      </m:oMath>
      <w:r w:rsidRPr="00486970">
        <w:rPr>
          <w:rFonts w:eastAsia="Cambria Math" w:cstheme="minorHAnsi"/>
          <w:color w:val="4A4A4A"/>
        </w:rPr>
        <w:t xml:space="preserve"> ]:</w:t>
      </w:r>
    </w:p>
    <w:p w14:paraId="77083C99" w14:textId="77777777" w:rsidR="00F70A66" w:rsidRPr="00486970" w:rsidRDefault="003A249F" w:rsidP="00F70A66">
      <w:pPr>
        <w:pBdr>
          <w:top w:val="nil"/>
          <w:left w:val="nil"/>
          <w:bottom w:val="nil"/>
          <w:right w:val="nil"/>
          <w:between w:val="nil"/>
        </w:pBdr>
        <w:spacing w:after="120"/>
        <w:ind w:left="1440"/>
        <w:contextualSpacing/>
        <w:jc w:val="both"/>
        <w:rPr>
          <w:rFonts w:eastAsia="Cambria Math" w:cstheme="minorHAnsi"/>
          <w:color w:val="4A4A4A"/>
        </w:rPr>
      </w:pPr>
      <m:oMathPara>
        <m:oMathParaPr>
          <m:jc m:val="center"/>
        </m:oMathParaPr>
        <m:oMath>
          <m:sSub>
            <m:sSubPr>
              <m:ctrlPr>
                <w:rPr>
                  <w:rFonts w:ascii="Cambria Math" w:eastAsia="Cambria Math" w:hAnsi="Cambria Math" w:cstheme="minorHAnsi"/>
                  <w:i/>
                  <w:color w:val="4A4A4A"/>
                  <w:sz w:val="18"/>
                </w:rPr>
              </m:ctrlPr>
            </m:sSubPr>
            <m:e>
              <m:r>
                <w:rPr>
                  <w:rFonts w:ascii="Cambria Math" w:eastAsia="Cambria Math" w:hAnsi="Cambria Math" w:cstheme="minorHAnsi"/>
                  <w:color w:val="4A4A4A"/>
                  <w:sz w:val="18"/>
                </w:rPr>
                <m:t>W</m:t>
              </m:r>
            </m:e>
            <m:sub>
              <m:r>
                <w:rPr>
                  <w:rFonts w:ascii="Cambria Math" w:eastAsia="Cambria Math" w:hAnsi="Cambria Math" w:cstheme="minorHAnsi"/>
                  <w:color w:val="4A4A4A"/>
                  <w:sz w:val="18"/>
                </w:rPr>
                <m:t>Mi</m:t>
              </m:r>
            </m:sub>
          </m:sSub>
          <m:r>
            <w:rPr>
              <w:rFonts w:ascii="Cambria Math" w:eastAsia="Cambria Math" w:hAnsi="Cambria Math" w:cstheme="minorHAnsi"/>
              <w:color w:val="4A4A4A"/>
              <w:sz w:val="18"/>
            </w:rPr>
            <m:t>=</m:t>
          </m:r>
          <m:f>
            <m:fPr>
              <m:ctrlPr>
                <w:rPr>
                  <w:rFonts w:ascii="Cambria Math" w:eastAsia="Cambria Math" w:hAnsi="Cambria Math" w:cstheme="minorHAnsi"/>
                  <w:i/>
                  <w:color w:val="4A4A4A"/>
                  <w:sz w:val="18"/>
                </w:rPr>
              </m:ctrlPr>
            </m:fPr>
            <m:num>
              <m:sSub>
                <m:sSubPr>
                  <m:ctrlPr>
                    <w:rPr>
                      <w:rFonts w:ascii="Cambria Math" w:eastAsia="Cambria Math" w:hAnsi="Cambria Math" w:cstheme="minorHAnsi"/>
                      <w:i/>
                      <w:color w:val="4A4A4A"/>
                      <w:sz w:val="18"/>
                    </w:rPr>
                  </m:ctrlPr>
                </m:sSubPr>
                <m:e>
                  <m:r>
                    <w:rPr>
                      <w:rFonts w:ascii="Cambria Math" w:eastAsia="Cambria Math" w:hAnsi="Cambria Math" w:cstheme="minorHAnsi"/>
                      <w:color w:val="4A4A4A"/>
                      <w:sz w:val="18"/>
                    </w:rPr>
                    <m:t>DALYs</m:t>
                  </m:r>
                </m:e>
                <m:sub>
                  <m:r>
                    <w:rPr>
                      <w:rFonts w:ascii="Cambria Math" w:eastAsia="Cambria Math" w:hAnsi="Cambria Math" w:cstheme="minorHAnsi"/>
                      <w:color w:val="4A4A4A"/>
                      <w:sz w:val="18"/>
                    </w:rPr>
                    <m:t>Mi</m:t>
                  </m:r>
                </m:sub>
              </m:sSub>
            </m:num>
            <m:den>
              <m:sSub>
                <m:sSubPr>
                  <m:ctrlPr>
                    <w:rPr>
                      <w:rFonts w:ascii="Cambria Math" w:eastAsia="Cambria Math" w:hAnsi="Cambria Math" w:cstheme="minorHAnsi"/>
                      <w:i/>
                      <w:color w:val="4A4A4A"/>
                      <w:sz w:val="18"/>
                    </w:rPr>
                  </m:ctrlPr>
                </m:sSubPr>
                <m:e>
                  <m:nary>
                    <m:naryPr>
                      <m:chr m:val="∑"/>
                      <m:limLoc m:val="undOvr"/>
                      <m:ctrlPr>
                        <w:rPr>
                          <w:rFonts w:ascii="Cambria Math" w:eastAsia="Cambria Math" w:hAnsi="Cambria Math" w:cstheme="minorHAnsi"/>
                          <w:i/>
                          <w:color w:val="4A4A4A"/>
                          <w:sz w:val="18"/>
                        </w:rPr>
                      </m:ctrlPr>
                    </m:naryPr>
                    <m:sub>
                      <m:r>
                        <w:rPr>
                          <w:rFonts w:ascii="Cambria Math" w:eastAsia="Cambria Math" w:hAnsi="Cambria Math" w:cstheme="minorHAnsi"/>
                          <w:color w:val="4A4A4A"/>
                          <w:sz w:val="18"/>
                        </w:rPr>
                        <m:t>i=1</m:t>
                      </m:r>
                    </m:sub>
                    <m:sup>
                      <m:r>
                        <w:rPr>
                          <w:rFonts w:ascii="Cambria Math" w:eastAsia="Cambria Math" w:hAnsi="Cambria Math" w:cstheme="minorHAnsi"/>
                          <w:color w:val="4A4A4A"/>
                          <w:sz w:val="18"/>
                        </w:rPr>
                        <m:t>32</m:t>
                      </m:r>
                    </m:sup>
                    <m:e>
                      <m:r>
                        <w:rPr>
                          <w:rFonts w:ascii="Cambria Math" w:eastAsia="Cambria Math" w:hAnsi="Cambria Math" w:cstheme="minorHAnsi"/>
                          <w:color w:val="4A4A4A"/>
                          <w:sz w:val="18"/>
                        </w:rPr>
                        <m:t>DALYs</m:t>
                      </m:r>
                    </m:e>
                  </m:nary>
                </m:e>
                <m:sub>
                  <m:r>
                    <w:rPr>
                      <w:rFonts w:ascii="Cambria Math" w:eastAsia="Cambria Math" w:hAnsi="Cambria Math" w:cstheme="minorHAnsi"/>
                      <w:color w:val="4A4A4A"/>
                      <w:sz w:val="18"/>
                    </w:rPr>
                    <m:t>Mi</m:t>
                  </m:r>
                </m:sub>
              </m:sSub>
            </m:den>
          </m:f>
        </m:oMath>
      </m:oMathPara>
    </w:p>
    <w:p w14:paraId="1209AD46" w14:textId="77777777" w:rsidR="00F70A66" w:rsidRPr="00021E78" w:rsidRDefault="00F70A66" w:rsidP="00F70A66">
      <w:pPr>
        <w:pBdr>
          <w:top w:val="nil"/>
          <w:left w:val="nil"/>
          <w:bottom w:val="nil"/>
          <w:right w:val="nil"/>
          <w:between w:val="nil"/>
        </w:pBdr>
        <w:spacing w:after="120" w:line="240" w:lineRule="auto"/>
        <w:jc w:val="both"/>
        <w:rPr>
          <w:rFonts w:eastAsia="Cambria Math" w:cstheme="minorHAnsi"/>
          <w:color w:val="4A4A4A"/>
        </w:rPr>
      </w:pPr>
      <w:r w:rsidRPr="00486970">
        <w:rPr>
          <w:rFonts w:eastAsia="Cambria Math" w:cstheme="minorHAnsi"/>
          <w:color w:val="4A4A4A"/>
        </w:rPr>
        <w:t>As an example, the weights computed across regions for year 2015 are represented in</w:t>
      </w:r>
      <w:r w:rsidRPr="00486970">
        <w:rPr>
          <w:rFonts w:eastAsia="Cambria Math" w:cstheme="minorHAnsi"/>
          <w:color w:val="4A4A4A"/>
          <w:u w:val="single"/>
        </w:rPr>
        <w:t xml:space="preserve"> </w:t>
      </w:r>
      <w:r w:rsidRPr="00021E78">
        <w:rPr>
          <w:rFonts w:eastAsia="Cambria Math" w:cstheme="minorHAnsi"/>
          <w:color w:val="4A4A4A"/>
          <w:u w:val="single"/>
        </w:rPr>
        <w:t>Annex 2 table 2.1 and 2.2</w:t>
      </w:r>
      <w:r w:rsidRPr="00021E78">
        <w:rPr>
          <w:rFonts w:eastAsia="Cambria Math" w:cstheme="minorHAnsi"/>
          <w:color w:val="4A4A4A"/>
        </w:rPr>
        <w:t xml:space="preserve">. </w:t>
      </w:r>
    </w:p>
    <w:p w14:paraId="18491B4B" w14:textId="77777777" w:rsidR="00F70A66" w:rsidRPr="00021E78" w:rsidRDefault="00F70A66" w:rsidP="00F70A66">
      <w:pPr>
        <w:spacing w:after="120" w:line="240" w:lineRule="auto"/>
        <w:jc w:val="both"/>
        <w:rPr>
          <w:rFonts w:eastAsia="Times New Roman" w:cstheme="minorHAnsi"/>
          <w:color w:val="4A4A4A"/>
          <w:lang w:eastAsia="en-GB"/>
        </w:rPr>
      </w:pPr>
      <w:r w:rsidRPr="00021E78">
        <w:rPr>
          <w:rFonts w:eastAsia="Times New Roman" w:cstheme="minorHAnsi"/>
          <w:color w:val="4A4A4A"/>
          <w:lang w:eastAsia="en-GB"/>
        </w:rPr>
        <w:t>Step 3: Measure the two dimensions of access to medicine</w:t>
      </w:r>
    </w:p>
    <w:p w14:paraId="47A8BCF3" w14:textId="77777777" w:rsidR="00F70A66" w:rsidRPr="00021E78" w:rsidRDefault="00F70A66" w:rsidP="00F70A66">
      <w:pPr>
        <w:pBdr>
          <w:top w:val="nil"/>
          <w:left w:val="nil"/>
          <w:bottom w:val="nil"/>
          <w:right w:val="nil"/>
          <w:between w:val="nil"/>
        </w:pBdr>
        <w:spacing w:after="120" w:line="240" w:lineRule="auto"/>
        <w:jc w:val="both"/>
        <w:rPr>
          <w:rFonts w:eastAsia="Cambria Math" w:cstheme="minorHAnsi"/>
          <w:color w:val="4A4A4A"/>
        </w:rPr>
      </w:pPr>
      <w:r w:rsidRPr="00021E78">
        <w:rPr>
          <w:rFonts w:eastAsia="Cambria Math" w:cstheme="minorHAnsi"/>
          <w:i/>
          <w:iCs/>
          <w:color w:val="4A4A4A"/>
        </w:rPr>
        <w:t>Availability</w:t>
      </w:r>
      <w:r w:rsidRPr="00021E78">
        <w:rPr>
          <w:rFonts w:eastAsia="Cambria Math" w:cstheme="minorHAnsi"/>
          <w:color w:val="4A4A4A"/>
        </w:rPr>
        <w:t xml:space="preserve"> and </w:t>
      </w:r>
      <w:r w:rsidRPr="00021E78">
        <w:rPr>
          <w:rFonts w:eastAsia="Cambria Math" w:cstheme="minorHAnsi"/>
          <w:i/>
          <w:iCs/>
          <w:color w:val="4A4A4A"/>
        </w:rPr>
        <w:t>affordability</w:t>
      </w:r>
      <w:r w:rsidRPr="00021E78">
        <w:rPr>
          <w:rFonts w:eastAsia="Cambria Math" w:cstheme="minorHAnsi"/>
          <w:color w:val="4A4A4A"/>
        </w:rPr>
        <w:t xml:space="preserve"> of medicines must be measured and transformed (when necessary) into the format of a binary variable. </w:t>
      </w:r>
    </w:p>
    <w:p w14:paraId="2F6592AA" w14:textId="77777777" w:rsidR="00F70A66" w:rsidRPr="00021E78" w:rsidRDefault="00F70A66" w:rsidP="00397ADD">
      <w:pPr>
        <w:numPr>
          <w:ilvl w:val="0"/>
          <w:numId w:val="14"/>
        </w:numPr>
        <w:pBdr>
          <w:top w:val="nil"/>
          <w:left w:val="nil"/>
          <w:bottom w:val="nil"/>
          <w:right w:val="nil"/>
          <w:between w:val="nil"/>
        </w:pBdr>
        <w:spacing w:after="120" w:line="240" w:lineRule="auto"/>
        <w:contextualSpacing/>
        <w:jc w:val="both"/>
        <w:rPr>
          <w:rFonts w:eastAsia="Cambria Math" w:cstheme="minorHAnsi"/>
          <w:color w:val="4A4A4A"/>
        </w:rPr>
      </w:pPr>
      <w:r w:rsidRPr="00021E78">
        <w:rPr>
          <w:rFonts w:eastAsia="Cambria Math" w:cstheme="minorHAnsi"/>
          <w:i/>
          <w:iCs/>
          <w:color w:val="4A4A4A"/>
        </w:rPr>
        <w:t>Availability</w:t>
      </w:r>
      <w:r w:rsidRPr="00021E78">
        <w:rPr>
          <w:rFonts w:eastAsia="Cambria Math" w:cstheme="minorHAnsi"/>
          <w:color w:val="4A4A4A"/>
        </w:rPr>
        <w:t xml:space="preserve"> is measured as a binary variable coded as “1” when the medicine is in the facility on the day of the survey and coded as “0” otherwise. This approach is currently used in the HAI/WHO methodology.</w:t>
      </w:r>
      <w:r w:rsidRPr="00021E78">
        <w:rPr>
          <w:rFonts w:eastAsia="Cambria Math" w:cstheme="minorHAnsi"/>
          <w:color w:val="4A4A4A"/>
          <w:vertAlign w:val="superscript"/>
        </w:rPr>
        <w:footnoteReference w:id="3"/>
      </w:r>
    </w:p>
    <w:p w14:paraId="66B85C2C" w14:textId="77777777" w:rsidR="00F70A66" w:rsidRPr="00021E78" w:rsidRDefault="00F70A66" w:rsidP="00397ADD">
      <w:pPr>
        <w:numPr>
          <w:ilvl w:val="0"/>
          <w:numId w:val="14"/>
        </w:numPr>
        <w:pBdr>
          <w:top w:val="nil"/>
          <w:left w:val="nil"/>
          <w:bottom w:val="nil"/>
          <w:right w:val="nil"/>
          <w:between w:val="nil"/>
        </w:pBdr>
        <w:spacing w:after="120" w:line="240" w:lineRule="auto"/>
        <w:contextualSpacing/>
        <w:jc w:val="both"/>
        <w:rPr>
          <w:rFonts w:eastAsia="Cambria Math" w:cstheme="minorHAnsi"/>
          <w:color w:val="4A4A4A"/>
        </w:rPr>
      </w:pPr>
      <w:r w:rsidRPr="00021E78">
        <w:rPr>
          <w:rFonts w:eastAsia="Cambria Math" w:cstheme="minorHAnsi"/>
          <w:i/>
          <w:iCs/>
          <w:color w:val="4A4A4A"/>
        </w:rPr>
        <w:t>Affordability</w:t>
      </w:r>
      <w:r w:rsidRPr="00021E78">
        <w:rPr>
          <w:rFonts w:eastAsia="Cambria Math" w:cstheme="minorHAnsi"/>
          <w:color w:val="4A4A4A"/>
        </w:rPr>
        <w:t xml:space="preserve"> is computed following these </w:t>
      </w:r>
      <w:r w:rsidRPr="00021E78">
        <w:rPr>
          <w:rFonts w:eastAsia="Cambria Math" w:cstheme="minorHAnsi"/>
          <w:color w:val="4A4A4A"/>
          <w:u w:val="single"/>
        </w:rPr>
        <w:t>steps</w:t>
      </w:r>
      <w:r w:rsidRPr="00021E78">
        <w:rPr>
          <w:rFonts w:eastAsia="Cambria Math" w:cstheme="minorHAnsi"/>
          <w:color w:val="4A4A4A"/>
        </w:rPr>
        <w:t>:</w:t>
      </w:r>
    </w:p>
    <w:p w14:paraId="49B4EAB6" w14:textId="77777777" w:rsidR="00F70A66" w:rsidRPr="00021E78"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021E78">
        <w:rPr>
          <w:rFonts w:eastAsia="Cambria Math" w:cstheme="minorHAnsi"/>
          <w:color w:val="4A4A4A"/>
        </w:rPr>
        <w:t xml:space="preserve">3.1 Compute daily price per dose of treatment for each medicine (price per DDD) in the selected basket of medicines </w:t>
      </w:r>
    </w:p>
    <w:p w14:paraId="3C9D2315" w14:textId="77777777" w:rsidR="00F70A66" w:rsidRPr="00486970"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486970">
        <w:rPr>
          <w:rFonts w:eastAsia="Cambria Math" w:cstheme="minorHAnsi"/>
          <w:color w:val="4A4A4A"/>
        </w:rPr>
        <w:t xml:space="preserve">WHO treatment guidelines provide the needed information to compute DDD. </w:t>
      </w:r>
    </w:p>
    <w:p w14:paraId="7357A3BC" w14:textId="77777777" w:rsidR="00F70A66" w:rsidRPr="00486970"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486970">
        <w:rPr>
          <w:rFonts w:eastAsia="Cambria Math" w:cstheme="minorHAnsi"/>
          <w:color w:val="4A4A4A"/>
        </w:rPr>
        <w:t>DDD of a medicine is defined using the following formula:</w:t>
      </w:r>
    </w:p>
    <w:p w14:paraId="04314B9A" w14:textId="77777777" w:rsidR="00F70A66" w:rsidRPr="00486970"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m:oMathPara>
        <m:oMath>
          <m:r>
            <w:rPr>
              <w:rFonts w:ascii="Cambria Math" w:eastAsia="Cambria Math" w:hAnsi="Cambria Math" w:cstheme="minorHAnsi"/>
              <w:color w:val="4A4A4A"/>
              <w:sz w:val="18"/>
            </w:rPr>
            <m:t>price per DDD=</m:t>
          </m:r>
          <m:f>
            <m:fPr>
              <m:ctrlPr>
                <w:rPr>
                  <w:rFonts w:ascii="Cambria Math" w:eastAsia="Cambria Math" w:hAnsi="Cambria Math" w:cstheme="minorHAnsi"/>
                  <w:i/>
                  <w:color w:val="4A4A4A"/>
                  <w:sz w:val="18"/>
                </w:rPr>
              </m:ctrlPr>
            </m:fPr>
            <m:num>
              <m:r>
                <w:rPr>
                  <w:rFonts w:ascii="Cambria Math" w:eastAsia="Cambria Math" w:hAnsi="Cambria Math" w:cstheme="minorHAnsi"/>
                  <w:color w:val="4A4A4A"/>
                  <w:sz w:val="18"/>
                </w:rPr>
                <m:t xml:space="preserve">Medicine price </m:t>
              </m:r>
              <m:d>
                <m:dPr>
                  <m:ctrlPr>
                    <w:rPr>
                      <w:rFonts w:ascii="Cambria Math" w:eastAsia="Cambria Math" w:hAnsi="Cambria Math" w:cstheme="minorHAnsi"/>
                      <w:i/>
                      <w:color w:val="4A4A4A"/>
                      <w:sz w:val="18"/>
                    </w:rPr>
                  </m:ctrlPr>
                </m:dPr>
                <m:e>
                  <m:r>
                    <w:rPr>
                      <w:rFonts w:ascii="Cambria Math" w:eastAsia="Cambria Math" w:hAnsi="Cambria Math" w:cstheme="minorHAnsi"/>
                      <w:color w:val="4A4A4A"/>
                      <w:sz w:val="18"/>
                    </w:rPr>
                    <m:t>month</m:t>
                  </m:r>
                </m:e>
              </m:d>
              <m:r>
                <w:rPr>
                  <w:rFonts w:ascii="Cambria Math" w:eastAsia="Cambria Math" w:hAnsi="Cambria Math" w:cstheme="minorHAnsi"/>
                  <w:color w:val="4A4A4A"/>
                  <w:sz w:val="18"/>
                </w:rPr>
                <m:t>*Units per treatment(month)</m:t>
              </m:r>
            </m:num>
            <m:den>
              <m:r>
                <w:rPr>
                  <w:rFonts w:ascii="Cambria Math" w:eastAsia="Cambria Math" w:hAnsi="Cambria Math" w:cstheme="minorHAnsi"/>
                  <w:color w:val="4A4A4A"/>
                  <w:sz w:val="18"/>
                </w:rPr>
                <m:t>365/12</m:t>
              </m:r>
            </m:den>
          </m:f>
        </m:oMath>
      </m:oMathPara>
    </w:p>
    <w:p w14:paraId="722E006D" w14:textId="77777777" w:rsidR="00F70A66" w:rsidRPr="00486970"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486970">
        <w:rPr>
          <w:rFonts w:eastAsia="Cambria Math" w:cstheme="minorHAnsi"/>
          <w:color w:val="4A4A4A"/>
        </w:rPr>
        <w:t>where:</w:t>
      </w:r>
    </w:p>
    <w:p w14:paraId="69D33940" w14:textId="77777777" w:rsidR="00F70A66" w:rsidRPr="00486970" w:rsidRDefault="00F70A66" w:rsidP="00397ADD">
      <w:pPr>
        <w:numPr>
          <w:ilvl w:val="0"/>
          <w:numId w:val="18"/>
        </w:numPr>
        <w:pBdr>
          <w:top w:val="nil"/>
          <w:left w:val="nil"/>
          <w:bottom w:val="nil"/>
          <w:right w:val="nil"/>
          <w:between w:val="nil"/>
        </w:pBdr>
        <w:spacing w:after="120" w:line="240" w:lineRule="auto"/>
        <w:contextualSpacing/>
        <w:jc w:val="both"/>
        <w:rPr>
          <w:rFonts w:eastAsia="Cambria Math" w:cstheme="minorHAnsi"/>
          <w:color w:val="4A4A4A"/>
        </w:rPr>
      </w:pPr>
      <w:r w:rsidRPr="00486970">
        <w:rPr>
          <w:rFonts w:eastAsia="Cambria Math" w:cstheme="minorHAnsi"/>
          <w:color w:val="4A4A4A"/>
        </w:rPr>
        <w:t>Units per treatments are tablets/vials or other forms that are needed for an individual with the average severity of the disease per one course of treatment of a duration of one month (365 days per year / 12 months per year = 30.42 days given 30 or 31 day per month), and</w:t>
      </w:r>
    </w:p>
    <w:p w14:paraId="67483C91" w14:textId="77777777" w:rsidR="00F70A66" w:rsidRPr="00486970" w:rsidRDefault="00F70A66" w:rsidP="00397ADD">
      <w:pPr>
        <w:numPr>
          <w:ilvl w:val="0"/>
          <w:numId w:val="18"/>
        </w:numPr>
        <w:pBdr>
          <w:top w:val="nil"/>
          <w:left w:val="nil"/>
          <w:bottom w:val="nil"/>
          <w:right w:val="nil"/>
          <w:between w:val="nil"/>
        </w:pBdr>
        <w:spacing w:after="120" w:line="240" w:lineRule="auto"/>
        <w:contextualSpacing/>
        <w:jc w:val="both"/>
        <w:rPr>
          <w:rFonts w:eastAsia="Cambria Math" w:cstheme="minorHAnsi"/>
          <w:color w:val="4A4A4A"/>
        </w:rPr>
      </w:pPr>
      <w:r w:rsidRPr="00486970">
        <w:rPr>
          <w:rFonts w:eastAsia="Cambria Math" w:cstheme="minorHAnsi"/>
          <w:color w:val="4A4A4A"/>
        </w:rPr>
        <w:t xml:space="preserve">Medicine prices are calculated per unit (per tablet/vial/other form) requiring adjustments for gram or milligram according to the potency. </w:t>
      </w:r>
    </w:p>
    <w:p w14:paraId="59486B3A" w14:textId="77777777" w:rsidR="00F70A66" w:rsidRPr="00486970"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486970">
        <w:rPr>
          <w:rFonts w:eastAsia="Cambria Math" w:cstheme="minorHAnsi"/>
          <w:color w:val="4A4A4A"/>
        </w:rPr>
        <w:t>This ratio varies between “0” and infinity and is measured in local currency units per day [LCU/d].</w:t>
      </w:r>
    </w:p>
    <w:p w14:paraId="4A468722" w14:textId="77777777" w:rsidR="00F70A66" w:rsidRPr="00021E78"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486970">
        <w:rPr>
          <w:rFonts w:eastAsia="Cambria Math" w:cstheme="minorHAnsi"/>
          <w:color w:val="4A4A4A"/>
        </w:rPr>
        <w:lastRenderedPageBreak/>
        <w:t xml:space="preserve">Information on the number of units per treatment is specified in </w:t>
      </w:r>
      <w:r w:rsidRPr="00021E78">
        <w:rPr>
          <w:rFonts w:eastAsia="Cambria Math" w:cstheme="minorHAnsi"/>
          <w:color w:val="4A4A4A"/>
          <w:u w:val="single"/>
        </w:rPr>
        <w:t>Annex 3</w:t>
      </w:r>
      <w:r w:rsidRPr="00021E78">
        <w:rPr>
          <w:rFonts w:eastAsia="Cambria Math" w:cstheme="minorHAnsi"/>
          <w:color w:val="4A4A4A"/>
        </w:rPr>
        <w:t xml:space="preserve">. The price per DDD can be measured in per day or per month. </w:t>
      </w:r>
    </w:p>
    <w:p w14:paraId="0EBAEEE2" w14:textId="77777777" w:rsidR="00F70A66" w:rsidRPr="00021E78"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021E78">
        <w:rPr>
          <w:rFonts w:eastAsia="Cambria Math" w:cstheme="minorHAnsi"/>
          <w:color w:val="4A4A4A"/>
        </w:rPr>
        <w:t>3.2 Define National poverty line (NPL) and minimum wage of the LPGW for the analysed country</w:t>
      </w:r>
    </w:p>
    <w:p w14:paraId="346B0B2D" w14:textId="77777777" w:rsidR="00F70A66" w:rsidRPr="00486970"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486970">
        <w:rPr>
          <w:rFonts w:eastAsia="Cambria Math" w:cstheme="minorHAnsi"/>
          <w:color w:val="4A4A4A"/>
          <w:u w:val="single"/>
        </w:rPr>
        <w:t>National poverty line (NLP):</w:t>
      </w:r>
      <w:r w:rsidRPr="00486970">
        <w:rPr>
          <w:rFonts w:eastAsia="Cambria Math" w:cstheme="minorHAnsi"/>
          <w:color w:val="4A4A4A"/>
        </w:rPr>
        <w:t xml:space="preserve"> countries periodically recalculate and update their poverty lines based on new survey data and publish this information in their national reports on poverty. To adjust the latest available NPLs to the relevant year of analysis (when needed) information on the Consumer Price Index (CPI) in the analysed country has to be used to account for deflation/inflation. </w:t>
      </w:r>
    </w:p>
    <w:p w14:paraId="0998843C" w14:textId="77777777" w:rsidR="00F70A66" w:rsidRPr="00486970"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486970">
        <w:rPr>
          <w:rFonts w:eastAsia="Cambria Math" w:cstheme="minorHAnsi"/>
          <w:color w:val="4A4A4A"/>
        </w:rPr>
        <w:t>National poverty reports consistently provide information on the NPLs in local currency units but often refer to different recall periods from country to country (NPL can be measured per day, per month or per year). For consistency, NPL has to be adjusted to be measured per day [LCU/d].</w:t>
      </w:r>
    </w:p>
    <w:p w14:paraId="3B159ED4" w14:textId="77777777" w:rsidR="00F70A66" w:rsidRPr="00486970"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486970">
        <w:rPr>
          <w:rFonts w:eastAsia="Cambria Math" w:cstheme="minorHAnsi"/>
          <w:color w:val="4A4A4A"/>
          <w:u w:val="single"/>
        </w:rPr>
        <w:t>The wage of the lowest paid unskilled government worker (LPGW):</w:t>
      </w:r>
      <w:r w:rsidRPr="00486970">
        <w:rPr>
          <w:rFonts w:eastAsia="Cambria Math" w:cstheme="minorHAnsi"/>
          <w:color w:val="4A4A4A"/>
        </w:rPr>
        <w:t xml:space="preserve"> is estimated and published in the ILOSTAT database. For countries with the latest available data collected in a year different from the year of analysis, LPGW wage is actualised using the CPI conversion factor. </w:t>
      </w:r>
    </w:p>
    <w:p w14:paraId="477B0B39" w14:textId="77777777" w:rsidR="00F70A66" w:rsidRPr="00486970"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486970">
        <w:rPr>
          <w:rFonts w:eastAsia="Cambria Math" w:cstheme="minorHAnsi"/>
          <w:color w:val="4A4A4A"/>
        </w:rPr>
        <w:t>ILO provides information on the minimum LPGW wages in local currency units per month. LPGW wage has to be adjusted to be measured per day as well [LCU/d].</w:t>
      </w:r>
    </w:p>
    <w:p w14:paraId="566A6C3D" w14:textId="77777777" w:rsidR="00F70A66" w:rsidRPr="00486970"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486970">
        <w:rPr>
          <w:rFonts w:eastAsia="Cambria Math" w:cstheme="minorHAnsi"/>
          <w:color w:val="4A4A4A"/>
        </w:rPr>
        <w:t>The NPL and LPGW wage can be measured in per day or per month.</w:t>
      </w:r>
    </w:p>
    <w:p w14:paraId="4BC73487" w14:textId="77777777" w:rsidR="00F70A66" w:rsidRPr="00486970"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p>
    <w:p w14:paraId="34370D1D" w14:textId="77777777" w:rsidR="00F70A66" w:rsidRPr="00021E78"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021E78">
        <w:rPr>
          <w:rFonts w:eastAsia="Cambria Math" w:cstheme="minorHAnsi"/>
          <w:color w:val="4A4A4A"/>
        </w:rPr>
        <w:t xml:space="preserve">3.3 Compute extra daily wages (EDW) </w:t>
      </w:r>
    </w:p>
    <w:p w14:paraId="3EFEE4DB" w14:textId="77777777" w:rsidR="00F70A66" w:rsidRPr="00486970"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486970">
        <w:rPr>
          <w:rFonts w:eastAsia="Cambria Math" w:cstheme="minorHAnsi"/>
          <w:color w:val="4A4A4A"/>
        </w:rPr>
        <w:t xml:space="preserve">First, the LPGW wage is compared to the NPL and if it is lower, medicine is considered unaffordable. In this case, only medicines with a price equal to zero will be considered affordable. </w:t>
      </w:r>
    </w:p>
    <w:p w14:paraId="539E7ECC" w14:textId="77777777" w:rsidR="00F70A66" w:rsidRPr="00486970"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486970">
        <w:rPr>
          <w:rFonts w:eastAsia="Cambria Math" w:cstheme="minorHAnsi"/>
          <w:color w:val="4A4A4A"/>
        </w:rPr>
        <w:t>Next, the affordability is measured via the number of extra daily wages (EDW) that are needed for the LPGW to pay for one-month course of treatment using the formula below. In particular, the number of extra daily wages can be computed using the following formula:</w:t>
      </w:r>
    </w:p>
    <w:p w14:paraId="02733EC4" w14:textId="7D3E87EB" w:rsidR="00F70A66" w:rsidRPr="00486970"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m:oMathPara>
        <m:oMath>
          <m:r>
            <w:rPr>
              <w:rFonts w:ascii="Cambria Math" w:eastAsia="Cambria Math" w:hAnsi="Cambria Math" w:cstheme="minorHAnsi"/>
              <w:color w:val="4A4A4A"/>
              <w:sz w:val="18"/>
              <w:lang w:val="ru-RU"/>
            </w:rPr>
            <m:t xml:space="preserve">Extra daily wages </m:t>
          </m:r>
          <m:d>
            <m:dPr>
              <m:ctrlPr>
                <w:rPr>
                  <w:rFonts w:ascii="Cambria Math" w:eastAsia="Cambria Math" w:hAnsi="Cambria Math" w:cstheme="minorHAnsi"/>
                  <w:i/>
                  <w:iCs/>
                  <w:color w:val="4A4A4A"/>
                  <w:sz w:val="18"/>
                  <w:lang w:val="en-US"/>
                </w:rPr>
              </m:ctrlPr>
            </m:dPr>
            <m:e>
              <m:r>
                <w:rPr>
                  <w:rFonts w:ascii="Cambria Math" w:eastAsia="Cambria Math" w:hAnsi="Cambria Math" w:cstheme="minorHAnsi"/>
                  <w:color w:val="4A4A4A"/>
                  <w:sz w:val="18"/>
                  <w:lang w:val="en-US"/>
                </w:rPr>
                <m:t>EDW</m:t>
              </m:r>
            </m:e>
          </m:d>
          <m:r>
            <m:rPr>
              <m:sty m:val="p"/>
            </m:rPr>
            <w:rPr>
              <w:rFonts w:ascii="Cambria Math" w:eastAsia="Cambria Math" w:hAnsi="Cambria Math" w:cstheme="minorHAnsi"/>
              <w:color w:val="4A4A4A"/>
              <w:sz w:val="18"/>
              <w:lang w:val="en-US"/>
            </w:rPr>
            <m:t xml:space="preserve">= </m:t>
          </m:r>
          <m:f>
            <m:fPr>
              <m:ctrlPr>
                <w:rPr>
                  <w:rFonts w:ascii="Cambria Math" w:eastAsia="Cambria Math" w:hAnsi="Cambria Math" w:cstheme="minorHAnsi"/>
                  <w:i/>
                  <w:iCs/>
                  <w:color w:val="4A4A4A"/>
                  <w:sz w:val="18"/>
                  <w:lang w:val="ru-RU"/>
                </w:rPr>
              </m:ctrlPr>
            </m:fPr>
            <m:num>
              <m:r>
                <w:rPr>
                  <w:rFonts w:ascii="Cambria Math" w:eastAsia="Cambria Math" w:hAnsi="Cambria Math" w:cstheme="minorHAnsi"/>
                  <w:color w:val="4A4A4A"/>
                  <w:sz w:val="18"/>
                  <w:lang w:val="ru-RU"/>
                </w:rPr>
                <m:t>NPL+price per DDD</m:t>
              </m:r>
            </m:num>
            <m:den>
              <m:r>
                <w:rPr>
                  <w:rFonts w:ascii="Cambria Math" w:eastAsia="Cambria Math" w:hAnsi="Cambria Math" w:cstheme="minorHAnsi"/>
                  <w:color w:val="4A4A4A"/>
                  <w:sz w:val="18"/>
                  <w:lang w:val="ru-RU"/>
                </w:rPr>
                <m:t>daily wage of LPGW</m:t>
              </m:r>
            </m:den>
          </m:f>
        </m:oMath>
      </m:oMathPara>
    </w:p>
    <w:p w14:paraId="1A3B92D6" w14:textId="77777777" w:rsidR="00F70A66" w:rsidRPr="00021E78"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021E78">
        <w:rPr>
          <w:rFonts w:eastAsia="Cambria Math" w:cstheme="minorHAnsi"/>
          <w:color w:val="4A4A4A"/>
        </w:rPr>
        <w:t>3.4 Transform EDW variable into a binary format</w:t>
      </w:r>
    </w:p>
    <w:p w14:paraId="7A7CE6F8" w14:textId="77777777" w:rsidR="00F70A66" w:rsidRPr="00021E78"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021E78">
        <w:rPr>
          <w:rFonts w:eastAsia="Cambria Math" w:cstheme="minorHAnsi"/>
          <w:color w:val="4A4A4A"/>
        </w:rPr>
        <w:t xml:space="preserve">Following the definition, medicine is considered to be affordable when the sum of NPL and price of a daily dose of the treatment </w:t>
      </w:r>
      <w:r w:rsidRPr="00021E78">
        <w:rPr>
          <w:rFonts w:eastAsia="Cambria Math" w:cstheme="minorHAnsi"/>
          <w:color w:val="4A4A4A"/>
          <w:u w:val="single"/>
        </w:rPr>
        <w:t>is equal to or less</w:t>
      </w:r>
      <w:r w:rsidRPr="00021E78">
        <w:rPr>
          <w:rFonts w:eastAsia="Cambria Math" w:cstheme="minorHAnsi"/>
          <w:color w:val="4A4A4A"/>
        </w:rPr>
        <w:t xml:space="preserve"> than the minimum daily wage of the LPGW:</w:t>
      </w:r>
    </w:p>
    <w:p w14:paraId="24B5B706" w14:textId="01F1AC33" w:rsidR="00F70A66" w:rsidRPr="00021E78" w:rsidRDefault="003A249F" w:rsidP="00F70A66">
      <w:pPr>
        <w:pBdr>
          <w:top w:val="nil"/>
          <w:left w:val="nil"/>
          <w:bottom w:val="nil"/>
          <w:right w:val="nil"/>
          <w:between w:val="nil"/>
        </w:pBdr>
        <w:spacing w:after="120" w:line="240" w:lineRule="auto"/>
        <w:ind w:left="720"/>
        <w:jc w:val="both"/>
        <w:rPr>
          <w:rFonts w:eastAsia="Cambria Math" w:cstheme="minorHAnsi"/>
          <w:color w:val="4A4A4A"/>
        </w:rPr>
      </w:pPr>
      <m:oMathPara>
        <m:oMath>
          <m:d>
            <m:dPr>
              <m:begChr m:val="{"/>
              <m:endChr m:val=""/>
              <m:ctrlPr>
                <w:rPr>
                  <w:rFonts w:ascii="Cambria Math" w:eastAsia="Cambria Math" w:hAnsi="Cambria Math" w:cstheme="minorHAnsi"/>
                  <w:i/>
                  <w:color w:val="4A4A4A"/>
                  <w:sz w:val="18"/>
                </w:rPr>
              </m:ctrlPr>
            </m:dPr>
            <m:e>
              <m:r>
                <w:rPr>
                  <w:rFonts w:ascii="Cambria Math" w:eastAsia="Cambria Math" w:hAnsi="Cambria Math" w:cstheme="minorHAnsi"/>
                  <w:color w:val="4A4A4A"/>
                  <w:sz w:val="18"/>
                </w:rPr>
                <m:t xml:space="preserve"> </m:t>
              </m:r>
              <m:eqArr>
                <m:eqArrPr>
                  <m:ctrlPr>
                    <w:rPr>
                      <w:rFonts w:ascii="Cambria Math" w:eastAsia="Cambria Math" w:hAnsi="Cambria Math" w:cstheme="minorHAnsi"/>
                      <w:i/>
                      <w:color w:val="4A4A4A"/>
                      <w:sz w:val="18"/>
                    </w:rPr>
                  </m:ctrlPr>
                </m:eqArrPr>
                <m:e>
                  <m:r>
                    <w:rPr>
                      <w:rFonts w:ascii="Cambria Math" w:eastAsia="Cambria Math" w:hAnsi="Cambria Math" w:cstheme="minorHAnsi"/>
                      <w:color w:val="4A4A4A"/>
                      <w:sz w:val="18"/>
                    </w:rPr>
                    <m:t>if EDW ≤1,  affordability=1,</m:t>
                  </m:r>
                </m:e>
                <m:e>
                  <m:r>
                    <w:rPr>
                      <w:rFonts w:ascii="Cambria Math" w:eastAsia="Cambria Math" w:hAnsi="Cambria Math" w:cstheme="minorHAnsi"/>
                      <w:color w:val="4A4A4A"/>
                      <w:sz w:val="18"/>
                    </w:rPr>
                    <m:t>otherwise,  affordability=0</m:t>
                  </m:r>
                </m:e>
              </m:eqArr>
            </m:e>
          </m:d>
        </m:oMath>
      </m:oMathPara>
    </w:p>
    <w:p w14:paraId="6A3B2FA1" w14:textId="77777777" w:rsidR="00F70A66" w:rsidRPr="00021E78"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021E78">
        <w:rPr>
          <w:rFonts w:eastAsia="Cambria Math" w:cstheme="minorHAnsi"/>
          <w:color w:val="4A4A4A"/>
        </w:rPr>
        <w:t>Hence, the affordability of medicines is also measured as a binary variable that is coded as “1” when the medicine is affordable and “0” otherwise.</w:t>
      </w:r>
    </w:p>
    <w:p w14:paraId="7B9F1424" w14:textId="77777777" w:rsidR="00F70A66" w:rsidRPr="00021E78"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021E78">
        <w:rPr>
          <w:rFonts w:eastAsia="Cambria Math" w:cstheme="minorHAnsi"/>
          <w:color w:val="4A4A4A"/>
          <w:u w:val="single"/>
        </w:rPr>
        <w:t>When the price of the medicine is 0</w:t>
      </w:r>
      <w:r w:rsidRPr="00021E78">
        <w:rPr>
          <w:rFonts w:eastAsia="Cambria Math" w:cstheme="minorHAnsi"/>
          <w:color w:val="4A4A4A"/>
        </w:rPr>
        <w:t>, there is no need for the above-mentioned computations and the medicine is considered affordable (i.e. “1”). If all medicines in the country are provided free of charge, all medicines are directly marked as affordable and further computation of the index depends on the availability of these medicines.</w:t>
      </w:r>
    </w:p>
    <w:p w14:paraId="20D4B56C" w14:textId="77777777" w:rsidR="00F70A66" w:rsidRPr="00021E78" w:rsidRDefault="00F70A66" w:rsidP="00F70A66">
      <w:pPr>
        <w:pBdr>
          <w:top w:val="nil"/>
          <w:left w:val="nil"/>
          <w:bottom w:val="nil"/>
          <w:right w:val="nil"/>
          <w:between w:val="nil"/>
        </w:pBdr>
        <w:spacing w:after="120" w:line="240" w:lineRule="auto"/>
        <w:ind w:left="720"/>
        <w:jc w:val="both"/>
        <w:rPr>
          <w:rFonts w:eastAsia="Cambria Math" w:cstheme="minorHAnsi"/>
          <w:color w:val="4A4A4A"/>
          <w:sz w:val="4"/>
        </w:rPr>
      </w:pPr>
    </w:p>
    <w:p w14:paraId="1B40ABF4" w14:textId="77777777" w:rsidR="00F70A66" w:rsidRPr="00486970" w:rsidRDefault="00F70A66" w:rsidP="00F70A66">
      <w:pPr>
        <w:spacing w:after="120" w:line="240" w:lineRule="auto"/>
        <w:jc w:val="both"/>
        <w:rPr>
          <w:rFonts w:eastAsia="Times New Roman" w:cstheme="minorHAnsi"/>
          <w:b/>
          <w:bCs/>
          <w:color w:val="4A4A4A"/>
          <w:lang w:eastAsia="en-GB"/>
        </w:rPr>
      </w:pPr>
      <w:r w:rsidRPr="00021E78">
        <w:rPr>
          <w:rFonts w:eastAsia="Times New Roman" w:cstheme="minorHAnsi"/>
          <w:color w:val="4A4A4A"/>
          <w:lang w:eastAsia="en-GB"/>
        </w:rPr>
        <w:t>Step 4: Combine the two dimensions on availability and affordability</w:t>
      </w:r>
      <w:r w:rsidRPr="00486970">
        <w:rPr>
          <w:rFonts w:eastAsia="Times New Roman" w:cstheme="minorHAnsi"/>
          <w:b/>
          <w:bCs/>
          <w:color w:val="4A4A4A"/>
          <w:lang w:eastAsia="en-GB"/>
        </w:rPr>
        <w:t xml:space="preserve"> (access to medicines)</w:t>
      </w:r>
    </w:p>
    <w:p w14:paraId="1B118091" w14:textId="77777777" w:rsidR="00F70A66" w:rsidRPr="00486970" w:rsidRDefault="00F70A66" w:rsidP="00F70A66">
      <w:pPr>
        <w:pBdr>
          <w:top w:val="nil"/>
          <w:left w:val="nil"/>
          <w:bottom w:val="nil"/>
          <w:right w:val="nil"/>
          <w:between w:val="nil"/>
        </w:pBdr>
        <w:spacing w:after="120" w:line="240" w:lineRule="auto"/>
        <w:jc w:val="both"/>
        <w:rPr>
          <w:rFonts w:eastAsia="Cambria Math" w:cstheme="minorHAnsi"/>
          <w:color w:val="4A4A4A"/>
        </w:rPr>
      </w:pPr>
      <w:r w:rsidRPr="00486970">
        <w:rPr>
          <w:rFonts w:eastAsia="Cambria Math" w:cstheme="minorHAnsi"/>
          <w:color w:val="4A4A4A"/>
        </w:rPr>
        <w:t xml:space="preserve">In this step, the two dimensions of access to medicines (availability and affordability) are combined into a multidimensional index. </w:t>
      </w:r>
    </w:p>
    <w:p w14:paraId="097DF4C0" w14:textId="77777777" w:rsidR="00F70A66" w:rsidRPr="00486970" w:rsidRDefault="00F70A66" w:rsidP="00F70A66">
      <w:pPr>
        <w:pBdr>
          <w:top w:val="nil"/>
          <w:left w:val="nil"/>
          <w:bottom w:val="nil"/>
          <w:right w:val="nil"/>
          <w:between w:val="nil"/>
        </w:pBdr>
        <w:spacing w:after="120" w:line="240" w:lineRule="auto"/>
        <w:jc w:val="both"/>
        <w:rPr>
          <w:rFonts w:eastAsia="Cambria Math" w:cstheme="minorHAnsi"/>
          <w:color w:val="4A4A4A"/>
        </w:rPr>
      </w:pPr>
      <w:r w:rsidRPr="00486970">
        <w:rPr>
          <w:rFonts w:eastAsia="Cambria Math" w:cstheme="minorHAnsi"/>
          <w:color w:val="4A4A4A"/>
        </w:rPr>
        <w:lastRenderedPageBreak/>
        <w:t>The construction of a multidimensional index is based on the union identification approach</w:t>
      </w:r>
      <w:r w:rsidRPr="00486970">
        <w:rPr>
          <w:rFonts w:eastAsia="Cambria Math" w:cstheme="minorHAnsi"/>
          <w:color w:val="4A4A4A"/>
          <w:vertAlign w:val="superscript"/>
        </w:rPr>
        <w:footnoteReference w:id="4"/>
      </w:r>
      <w:r w:rsidRPr="00486970">
        <w:rPr>
          <w:rFonts w:eastAsia="Cambria Math" w:cstheme="minorHAnsi"/>
          <w:color w:val="4A4A4A"/>
        </w:rPr>
        <w:t xml:space="preserve"> proposed by S. Alkire and G. Robles.</w:t>
      </w:r>
    </w:p>
    <w:p w14:paraId="40231476" w14:textId="77777777" w:rsidR="00F70A66" w:rsidRPr="00486970" w:rsidRDefault="00F70A66" w:rsidP="00F70A66">
      <w:pPr>
        <w:spacing w:after="120" w:line="240" w:lineRule="auto"/>
        <w:jc w:val="both"/>
        <w:rPr>
          <w:rFonts w:eastAsia="Cambria Math" w:cstheme="minorHAnsi"/>
          <w:color w:val="4A4A4A"/>
        </w:rPr>
      </w:pPr>
      <w:r w:rsidRPr="00486970">
        <w:rPr>
          <w:rFonts w:eastAsia="Cambria Math" w:cstheme="minorHAnsi"/>
          <w:color w:val="4A4A4A"/>
        </w:rPr>
        <w:t xml:space="preserve">The combination of the dimensions of medicines can be built in matrix form: </w:t>
      </w:r>
    </w:p>
    <w:p w14:paraId="1CD4BAE0" w14:textId="77777777" w:rsidR="00F70A66" w:rsidRPr="00486970" w:rsidRDefault="003A249F" w:rsidP="00F70A66">
      <w:pPr>
        <w:spacing w:after="120" w:line="240" w:lineRule="auto"/>
        <w:ind w:firstLine="397"/>
        <w:jc w:val="center"/>
        <w:rPr>
          <w:rFonts w:cstheme="minorHAnsi"/>
          <w:color w:val="4A4A4A"/>
          <w:sz w:val="21"/>
          <w:szCs w:val="21"/>
          <w:lang w:val="en-US"/>
        </w:rPr>
      </w:pPr>
      <m:oMathPara>
        <m:oMath>
          <m:sSubSup>
            <m:sSubSupPr>
              <m:ctrlPr>
                <w:rPr>
                  <w:rFonts w:ascii="Cambria Math" w:hAnsi="Cambria Math" w:cstheme="minorHAnsi"/>
                  <w:i/>
                  <w:color w:val="4A4A4A"/>
                  <w:sz w:val="18"/>
                  <w:szCs w:val="21"/>
                  <w:lang w:val="en-US"/>
                </w:rPr>
              </m:ctrlPr>
            </m:sSubSupPr>
            <m:e>
              <m:r>
                <w:rPr>
                  <w:rFonts w:ascii="Cambria Math" w:hAnsi="Cambria Math" w:cstheme="minorHAnsi"/>
                  <w:color w:val="4A4A4A"/>
                  <w:sz w:val="18"/>
                  <w:szCs w:val="21"/>
                  <w:lang w:val="en-US"/>
                </w:rPr>
                <m:t>g</m:t>
              </m:r>
            </m:e>
            <m:sub>
              <m:r>
                <w:rPr>
                  <w:rFonts w:ascii="Cambria Math" w:hAnsi="Cambria Math" w:cstheme="minorHAnsi"/>
                  <w:color w:val="4A4A4A"/>
                  <w:sz w:val="18"/>
                  <w:szCs w:val="21"/>
                  <w:lang w:val="en-US"/>
                </w:rPr>
                <m:t>ij</m:t>
              </m:r>
            </m:sub>
            <m:sup>
              <m:r>
                <w:rPr>
                  <w:rFonts w:ascii="Cambria Math" w:hAnsi="Cambria Math" w:cstheme="minorHAnsi"/>
                  <w:color w:val="4A4A4A"/>
                  <w:sz w:val="18"/>
                  <w:szCs w:val="21"/>
                  <w:lang w:val="en-US"/>
                </w:rPr>
                <m:t>o</m:t>
              </m:r>
            </m:sup>
          </m:sSubSup>
          <m:r>
            <w:rPr>
              <w:rFonts w:ascii="Cambria Math" w:hAnsi="Cambria Math" w:cstheme="minorHAnsi"/>
              <w:color w:val="4A4A4A"/>
              <w:sz w:val="18"/>
              <w:szCs w:val="21"/>
              <w:lang w:val="en-US"/>
            </w:rPr>
            <m:t xml:space="preserve">= </m:t>
          </m:r>
          <m:d>
            <m:dPr>
              <m:begChr m:val="["/>
              <m:endChr m:val="]"/>
              <m:ctrlPr>
                <w:rPr>
                  <w:rFonts w:ascii="Cambria Math" w:hAnsi="Cambria Math" w:cstheme="minorHAnsi"/>
                  <w:i/>
                  <w:color w:val="4A4A4A"/>
                  <w:sz w:val="18"/>
                  <w:szCs w:val="21"/>
                  <w:lang w:val="en-US"/>
                </w:rPr>
              </m:ctrlPr>
            </m:dPr>
            <m:e>
              <m:m>
                <m:mPr>
                  <m:mcs>
                    <m:mc>
                      <m:mcPr>
                        <m:count m:val="3"/>
                        <m:mcJc m:val="center"/>
                      </m:mcPr>
                    </m:mc>
                  </m:mcs>
                  <m:ctrlPr>
                    <w:rPr>
                      <w:rFonts w:ascii="Cambria Math" w:hAnsi="Cambria Math" w:cstheme="minorHAnsi"/>
                      <w:i/>
                      <w:color w:val="4A4A4A"/>
                      <w:sz w:val="18"/>
                      <w:szCs w:val="21"/>
                      <w:lang w:val="en-US"/>
                    </w:rPr>
                  </m:ctrlPr>
                </m:mPr>
                <m:mr>
                  <m:e>
                    <m:sSub>
                      <m:sSubPr>
                        <m:ctrlPr>
                          <w:rPr>
                            <w:rFonts w:ascii="Cambria Math" w:hAnsi="Cambria Math" w:cstheme="minorHAnsi"/>
                            <w:i/>
                            <w:color w:val="4A4A4A"/>
                            <w:sz w:val="18"/>
                            <w:szCs w:val="21"/>
                            <w:lang w:val="en-US"/>
                          </w:rPr>
                        </m:ctrlPr>
                      </m:sSubPr>
                      <m:e>
                        <m:r>
                          <w:rPr>
                            <w:rFonts w:ascii="Cambria Math" w:hAnsi="Cambria Math" w:cstheme="minorHAnsi"/>
                            <w:color w:val="4A4A4A"/>
                            <w:sz w:val="18"/>
                            <w:szCs w:val="21"/>
                            <w:lang w:val="en-US"/>
                          </w:rPr>
                          <m:t>x</m:t>
                        </m:r>
                      </m:e>
                      <m:sub>
                        <m:r>
                          <w:rPr>
                            <w:rFonts w:ascii="Cambria Math" w:hAnsi="Cambria Math" w:cstheme="minorHAnsi"/>
                            <w:color w:val="4A4A4A"/>
                            <w:sz w:val="18"/>
                            <w:szCs w:val="21"/>
                            <w:lang w:val="en-US"/>
                          </w:rPr>
                          <m:t>11</m:t>
                        </m:r>
                      </m:sub>
                    </m:sSub>
                  </m:e>
                  <m:e>
                    <m:r>
                      <w:rPr>
                        <w:rFonts w:ascii="Cambria Math" w:hAnsi="Cambria Math" w:cstheme="minorHAnsi"/>
                        <w:color w:val="4A4A4A"/>
                        <w:sz w:val="18"/>
                        <w:szCs w:val="21"/>
                        <w:lang w:val="en-US"/>
                      </w:rPr>
                      <m:t>…</m:t>
                    </m:r>
                  </m:e>
                  <m:e>
                    <m:sSub>
                      <m:sSubPr>
                        <m:ctrlPr>
                          <w:rPr>
                            <w:rFonts w:ascii="Cambria Math" w:hAnsi="Cambria Math" w:cstheme="minorHAnsi"/>
                            <w:i/>
                            <w:color w:val="4A4A4A"/>
                            <w:sz w:val="18"/>
                            <w:szCs w:val="21"/>
                            <w:lang w:val="en-US"/>
                          </w:rPr>
                        </m:ctrlPr>
                      </m:sSubPr>
                      <m:e>
                        <m:r>
                          <w:rPr>
                            <w:rFonts w:ascii="Cambria Math" w:hAnsi="Cambria Math" w:cstheme="minorHAnsi"/>
                            <w:color w:val="4A4A4A"/>
                            <w:sz w:val="18"/>
                            <w:szCs w:val="21"/>
                            <w:lang w:val="en-US"/>
                          </w:rPr>
                          <m:t>x</m:t>
                        </m:r>
                      </m:e>
                      <m:sub>
                        <m:r>
                          <w:rPr>
                            <w:rFonts w:ascii="Cambria Math" w:hAnsi="Cambria Math" w:cstheme="minorHAnsi"/>
                            <w:color w:val="4A4A4A"/>
                            <w:sz w:val="18"/>
                            <w:szCs w:val="21"/>
                            <w:lang w:val="en-US"/>
                          </w:rPr>
                          <m:t>1d</m:t>
                        </m:r>
                      </m:sub>
                    </m:sSub>
                  </m:e>
                </m:mr>
                <m:mr>
                  <m:e>
                    <m:r>
                      <w:rPr>
                        <w:rFonts w:ascii="Cambria Math" w:hAnsi="Cambria Math" w:cstheme="minorHAnsi"/>
                        <w:color w:val="4A4A4A"/>
                        <w:sz w:val="18"/>
                        <w:szCs w:val="21"/>
                        <w:lang w:val="en-US"/>
                      </w:rPr>
                      <m:t>…</m:t>
                    </m:r>
                  </m:e>
                  <m:e>
                    <m:r>
                      <w:rPr>
                        <w:rFonts w:ascii="Cambria Math" w:hAnsi="Cambria Math" w:cstheme="minorHAnsi"/>
                        <w:color w:val="4A4A4A"/>
                        <w:sz w:val="18"/>
                        <w:szCs w:val="21"/>
                        <w:lang w:val="en-US"/>
                      </w:rPr>
                      <m:t>…</m:t>
                    </m:r>
                  </m:e>
                  <m:e>
                    <m:r>
                      <w:rPr>
                        <w:rFonts w:ascii="Cambria Math" w:hAnsi="Cambria Math" w:cstheme="minorHAnsi"/>
                        <w:color w:val="4A4A4A"/>
                        <w:sz w:val="18"/>
                        <w:szCs w:val="21"/>
                        <w:lang w:val="en-US"/>
                      </w:rPr>
                      <m:t>…</m:t>
                    </m:r>
                  </m:e>
                </m:mr>
                <m:mr>
                  <m:e>
                    <m:sSub>
                      <m:sSubPr>
                        <m:ctrlPr>
                          <w:rPr>
                            <w:rFonts w:ascii="Cambria Math" w:hAnsi="Cambria Math" w:cstheme="minorHAnsi"/>
                            <w:i/>
                            <w:color w:val="4A4A4A"/>
                            <w:sz w:val="18"/>
                            <w:szCs w:val="21"/>
                            <w:lang w:val="en-US"/>
                          </w:rPr>
                        </m:ctrlPr>
                      </m:sSubPr>
                      <m:e>
                        <m:r>
                          <w:rPr>
                            <w:rFonts w:ascii="Cambria Math" w:hAnsi="Cambria Math" w:cstheme="minorHAnsi"/>
                            <w:color w:val="4A4A4A"/>
                            <w:sz w:val="18"/>
                            <w:szCs w:val="21"/>
                            <w:lang w:val="en-US"/>
                          </w:rPr>
                          <m:t>x</m:t>
                        </m:r>
                      </m:e>
                      <m:sub>
                        <m:r>
                          <w:rPr>
                            <w:rFonts w:ascii="Cambria Math" w:hAnsi="Cambria Math" w:cstheme="minorHAnsi"/>
                            <w:color w:val="4A4A4A"/>
                            <w:sz w:val="18"/>
                            <w:szCs w:val="21"/>
                            <w:lang w:val="en-US"/>
                          </w:rPr>
                          <m:t>n1</m:t>
                        </m:r>
                      </m:sub>
                    </m:sSub>
                  </m:e>
                  <m:e>
                    <m:r>
                      <w:rPr>
                        <w:rFonts w:ascii="Cambria Math" w:hAnsi="Cambria Math" w:cstheme="minorHAnsi"/>
                        <w:color w:val="4A4A4A"/>
                        <w:sz w:val="18"/>
                        <w:szCs w:val="21"/>
                        <w:lang w:val="en-US"/>
                      </w:rPr>
                      <m:t>…</m:t>
                    </m:r>
                  </m:e>
                  <m:e>
                    <m:sSub>
                      <m:sSubPr>
                        <m:ctrlPr>
                          <w:rPr>
                            <w:rFonts w:ascii="Cambria Math" w:hAnsi="Cambria Math" w:cstheme="minorHAnsi"/>
                            <w:i/>
                            <w:color w:val="4A4A4A"/>
                            <w:sz w:val="18"/>
                            <w:szCs w:val="21"/>
                            <w:lang w:val="en-US"/>
                          </w:rPr>
                        </m:ctrlPr>
                      </m:sSubPr>
                      <m:e>
                        <m:r>
                          <w:rPr>
                            <w:rFonts w:ascii="Cambria Math" w:hAnsi="Cambria Math" w:cstheme="minorHAnsi"/>
                            <w:color w:val="4A4A4A"/>
                            <w:sz w:val="18"/>
                            <w:szCs w:val="21"/>
                            <w:lang w:val="en-US"/>
                          </w:rPr>
                          <m:t>x</m:t>
                        </m:r>
                      </m:e>
                      <m:sub>
                        <m:r>
                          <w:rPr>
                            <w:rFonts w:ascii="Cambria Math" w:hAnsi="Cambria Math" w:cstheme="minorHAnsi"/>
                            <w:color w:val="4A4A4A"/>
                            <w:sz w:val="18"/>
                            <w:szCs w:val="21"/>
                            <w:lang w:val="en-US"/>
                          </w:rPr>
                          <m:t>nd</m:t>
                        </m:r>
                      </m:sub>
                    </m:sSub>
                  </m:e>
                </m:mr>
              </m:m>
            </m:e>
          </m:d>
        </m:oMath>
      </m:oMathPara>
    </w:p>
    <w:p w14:paraId="2811EC35" w14:textId="77777777" w:rsidR="00F70A66" w:rsidRPr="00021E78" w:rsidRDefault="00F70A66" w:rsidP="00F70A66">
      <w:pPr>
        <w:spacing w:after="120" w:line="240" w:lineRule="auto"/>
        <w:jc w:val="both"/>
        <w:rPr>
          <w:rFonts w:eastAsia="Cambria Math" w:cstheme="minorHAnsi"/>
          <w:bCs/>
          <w:color w:val="4A4A4A"/>
        </w:rPr>
      </w:pPr>
      <w:r w:rsidRPr="00486970">
        <w:rPr>
          <w:rFonts w:eastAsia="Cambria Math" w:cstheme="minorHAnsi"/>
          <w:color w:val="4A4A4A"/>
        </w:rPr>
        <w:t xml:space="preserve">This matrix contains performance for n objects of analysis (specified in rows) in d dimensions (specified in columns). The performance of any object </w:t>
      </w:r>
      <m:oMath>
        <m:r>
          <m:rPr>
            <m:sty m:val="p"/>
          </m:rPr>
          <w:rPr>
            <w:rFonts w:ascii="Cambria Math" w:eastAsia="Cambria Math" w:hAnsi="Cambria Math" w:cstheme="minorHAnsi"/>
            <w:color w:val="4A4A4A"/>
          </w:rPr>
          <m:t>i</m:t>
        </m:r>
      </m:oMath>
      <w:r w:rsidRPr="00486970">
        <w:rPr>
          <w:rFonts w:eastAsia="Cambria Math" w:cstheme="minorHAnsi"/>
          <w:color w:val="4A4A4A"/>
        </w:rPr>
        <w:t xml:space="preserve"> in all </w:t>
      </w:r>
      <m:oMath>
        <m:r>
          <m:rPr>
            <m:sty m:val="p"/>
          </m:rPr>
          <w:rPr>
            <w:rFonts w:ascii="Cambria Math" w:eastAsia="Cambria Math" w:hAnsi="Cambria Math" w:cstheme="minorHAnsi"/>
            <w:color w:val="4A4A4A"/>
          </w:rPr>
          <m:t>d</m:t>
        </m:r>
      </m:oMath>
      <w:r w:rsidRPr="00486970">
        <w:rPr>
          <w:rFonts w:eastAsia="Cambria Math" w:cstheme="minorHAnsi"/>
          <w:color w:val="4A4A4A"/>
        </w:rPr>
        <w:t xml:space="preserve"> dimensions is represented by the d-dimensional vector </w:t>
      </w:r>
      <m:oMath>
        <m:sSub>
          <m:sSubPr>
            <m:ctrlPr>
              <w:rPr>
                <w:rFonts w:ascii="Cambria Math" w:eastAsia="Cambria Math" w:hAnsi="Cambria Math" w:cstheme="minorHAnsi"/>
                <w:color w:val="4A4A4A"/>
              </w:rPr>
            </m:ctrlPr>
          </m:sSubPr>
          <m:e>
            <m:r>
              <m:rPr>
                <m:sty m:val="p"/>
              </m:rPr>
              <w:rPr>
                <w:rFonts w:ascii="Cambria Math" w:eastAsia="Cambria Math" w:hAnsi="Cambria Math" w:cstheme="minorHAnsi"/>
                <w:color w:val="4A4A4A"/>
              </w:rPr>
              <m:t>x</m:t>
            </m:r>
          </m:e>
          <m:sub>
            <m:r>
              <m:rPr>
                <m:sty m:val="p"/>
              </m:rPr>
              <w:rPr>
                <w:rFonts w:ascii="Cambria Math" w:eastAsia="Cambria Math" w:hAnsi="Cambria Math" w:cstheme="minorHAnsi"/>
                <w:color w:val="4A4A4A"/>
              </w:rPr>
              <m:t>i.</m:t>
            </m:r>
          </m:sub>
        </m:sSub>
      </m:oMath>
      <w:r w:rsidRPr="00486970">
        <w:rPr>
          <w:rFonts w:eastAsia="Cambria Math" w:cstheme="minorHAnsi"/>
          <w:color w:val="4A4A4A"/>
        </w:rPr>
        <w:t xml:space="preserve"> for all  </w:t>
      </w:r>
      <m:oMath>
        <m:r>
          <m:rPr>
            <m:sty m:val="p"/>
          </m:rPr>
          <w:rPr>
            <w:rFonts w:ascii="Cambria Math" w:eastAsia="Cambria Math" w:hAnsi="Cambria Math" w:cstheme="minorHAnsi"/>
            <w:color w:val="4A4A4A"/>
          </w:rPr>
          <m:t>i=1,…, n</m:t>
        </m:r>
      </m:oMath>
      <w:r w:rsidRPr="00486970">
        <w:rPr>
          <w:rFonts w:eastAsia="Cambria Math" w:cstheme="minorHAnsi"/>
          <w:color w:val="4A4A4A"/>
        </w:rPr>
        <w:t xml:space="preserve">. The performance in any dimension </w:t>
      </w:r>
      <m:oMath>
        <m:r>
          <m:rPr>
            <m:sty m:val="p"/>
          </m:rPr>
          <w:rPr>
            <w:rFonts w:ascii="Cambria Math" w:eastAsia="Cambria Math" w:hAnsi="Cambria Math" w:cstheme="minorHAnsi"/>
            <w:color w:val="4A4A4A"/>
          </w:rPr>
          <m:t>j</m:t>
        </m:r>
      </m:oMath>
      <w:r w:rsidRPr="00486970">
        <w:rPr>
          <w:rFonts w:eastAsia="Cambria Math" w:cstheme="minorHAnsi"/>
          <w:color w:val="4A4A4A"/>
        </w:rPr>
        <w:t xml:space="preserve"> for all </w:t>
      </w:r>
      <m:oMath>
        <m:r>
          <m:rPr>
            <m:sty m:val="p"/>
          </m:rPr>
          <w:rPr>
            <w:rFonts w:ascii="Cambria Math" w:eastAsia="Cambria Math" w:hAnsi="Cambria Math" w:cstheme="minorHAnsi"/>
            <w:color w:val="4A4A4A"/>
          </w:rPr>
          <m:t>n</m:t>
        </m:r>
      </m:oMath>
      <w:r w:rsidRPr="00486970">
        <w:rPr>
          <w:rFonts w:eastAsia="Cambria Math" w:cstheme="minorHAnsi"/>
          <w:color w:val="4A4A4A"/>
        </w:rPr>
        <w:t xml:space="preserve"> objects are represented by the n-dimensional vector </w:t>
      </w:r>
      <m:oMath>
        <m:sSub>
          <m:sSubPr>
            <m:ctrlPr>
              <w:rPr>
                <w:rFonts w:ascii="Cambria Math" w:eastAsia="Cambria Math" w:hAnsi="Cambria Math" w:cstheme="minorHAnsi"/>
                <w:color w:val="4A4A4A"/>
              </w:rPr>
            </m:ctrlPr>
          </m:sSubPr>
          <m:e>
            <m:r>
              <m:rPr>
                <m:sty m:val="p"/>
              </m:rPr>
              <w:rPr>
                <w:rFonts w:ascii="Cambria Math" w:eastAsia="Cambria Math" w:hAnsi="Cambria Math" w:cstheme="minorHAnsi"/>
                <w:color w:val="4A4A4A"/>
              </w:rPr>
              <m:t>x</m:t>
            </m:r>
          </m:e>
          <m:sub>
            <m:r>
              <m:rPr>
                <m:sty m:val="p"/>
              </m:rPr>
              <w:rPr>
                <w:rFonts w:ascii="Cambria Math" w:eastAsia="Cambria Math" w:hAnsi="Cambria Math" w:cstheme="minorHAnsi"/>
                <w:color w:val="4A4A4A"/>
              </w:rPr>
              <m:t>.j</m:t>
            </m:r>
          </m:sub>
        </m:sSub>
      </m:oMath>
      <w:r w:rsidRPr="00486970">
        <w:rPr>
          <w:rFonts w:eastAsia="Cambria Math" w:cstheme="minorHAnsi"/>
          <w:color w:val="4A4A4A"/>
        </w:rPr>
        <w:t xml:space="preserve"> for all </w:t>
      </w:r>
      <m:oMath>
        <m:r>
          <m:rPr>
            <m:sty m:val="p"/>
          </m:rPr>
          <w:rPr>
            <w:rFonts w:ascii="Cambria Math" w:eastAsia="Cambria Math" w:hAnsi="Cambria Math" w:cstheme="minorHAnsi"/>
            <w:color w:val="4A4A4A"/>
          </w:rPr>
          <m:t>j=1,…,d</m:t>
        </m:r>
      </m:oMath>
      <w:r w:rsidRPr="00486970">
        <w:rPr>
          <w:rFonts w:eastAsia="Cambria Math" w:cstheme="minorHAnsi"/>
          <w:color w:val="4A4A4A"/>
        </w:rPr>
        <w:t xml:space="preserve">. Overall, an index should be computed via two main steps: identification and aggregation. An example of how to combine the 2 dimensions can be found in </w:t>
      </w:r>
      <w:r w:rsidRPr="00021E78">
        <w:rPr>
          <w:rFonts w:eastAsia="Cambria Math" w:cstheme="minorHAnsi"/>
          <w:bCs/>
          <w:color w:val="4A4A4A"/>
        </w:rPr>
        <w:t>Annex 4.</w:t>
      </w:r>
    </w:p>
    <w:p w14:paraId="529F7602" w14:textId="77777777" w:rsidR="00F70A66" w:rsidRPr="00021E78" w:rsidRDefault="00F70A66" w:rsidP="00F70A66">
      <w:pPr>
        <w:spacing w:after="120" w:line="240" w:lineRule="auto"/>
        <w:jc w:val="both"/>
        <w:rPr>
          <w:rFonts w:eastAsia="Times New Roman" w:cstheme="minorHAnsi"/>
          <w:bCs/>
          <w:color w:val="4A4A4A"/>
          <w:lang w:eastAsia="en-GB"/>
        </w:rPr>
      </w:pPr>
      <w:r w:rsidRPr="00021E78">
        <w:rPr>
          <w:rFonts w:eastAsia="Times New Roman" w:cstheme="minorHAnsi"/>
          <w:bCs/>
          <w:color w:val="4A4A4A"/>
          <w:lang w:eastAsia="en-GB"/>
        </w:rPr>
        <w:t>Step 5: Apply weights to the medicine in the basket according to the regional prevalence of the diseases that are cured/treated/controlled by these medicines</w:t>
      </w:r>
    </w:p>
    <w:p w14:paraId="4A7F12E0" w14:textId="77777777" w:rsidR="00F70A66" w:rsidRPr="00486970" w:rsidRDefault="00F70A66" w:rsidP="00F70A66">
      <w:pPr>
        <w:pBdr>
          <w:top w:val="nil"/>
          <w:left w:val="nil"/>
          <w:bottom w:val="nil"/>
          <w:right w:val="nil"/>
          <w:between w:val="nil"/>
        </w:pBdr>
        <w:spacing w:after="120" w:line="240" w:lineRule="auto"/>
        <w:jc w:val="both"/>
        <w:rPr>
          <w:rFonts w:eastAsia="Cambria Math" w:cstheme="minorHAnsi"/>
          <w:color w:val="4A4A4A"/>
        </w:rPr>
      </w:pPr>
      <w:r w:rsidRPr="00021E78">
        <w:rPr>
          <w:rFonts w:eastAsia="Cambria Math" w:cstheme="minorHAnsi"/>
          <w:bCs/>
          <w:color w:val="4A4A4A"/>
        </w:rPr>
        <w:t>After identifying the access variable, medicines in the basket have to be weighted according to the prevalence of the disease(s) that these medicines are used to cure/treat/control using the weights identified in step 2 and provided in Annex 2, tables 2.1 and 2.2.</w:t>
      </w:r>
      <w:r w:rsidRPr="00486970">
        <w:rPr>
          <w:rFonts w:eastAsia="Cambria Math" w:cstheme="minorHAnsi"/>
          <w:b/>
          <w:bCs/>
          <w:color w:val="4A4A4A"/>
        </w:rPr>
        <w:t xml:space="preserve"> </w:t>
      </w:r>
      <w:r w:rsidRPr="00486970">
        <w:rPr>
          <w:rFonts w:eastAsia="Cambria Math" w:cstheme="minorHAnsi"/>
          <w:color w:val="4A4A4A"/>
        </w:rPr>
        <w:t xml:space="preserve">This is performed by multiplying the access variable with the medicine weights: </w:t>
      </w:r>
    </w:p>
    <w:p w14:paraId="1DA630D7" w14:textId="1B85F7D5" w:rsidR="00F70A66" w:rsidRDefault="00F70A66" w:rsidP="00F70A66">
      <w:pPr>
        <w:spacing w:after="120" w:line="240" w:lineRule="auto"/>
        <w:jc w:val="center"/>
        <w:rPr>
          <w:rFonts w:eastAsia="Cambria Math" w:cstheme="minorHAnsi"/>
          <w:color w:val="4A4A4A"/>
          <w:sz w:val="20"/>
          <w:szCs w:val="20"/>
        </w:rPr>
      </w:pPr>
      <w:r w:rsidRPr="00486970">
        <w:rPr>
          <w:rFonts w:eastAsia="Cambria Math" w:cstheme="minorHAnsi"/>
          <w:b/>
          <w:bCs/>
          <w:color w:val="4A4A4A"/>
          <w:sz w:val="20"/>
          <w:szCs w:val="20"/>
        </w:rPr>
        <w:t>Figure 1.</w:t>
      </w:r>
      <w:r w:rsidRPr="00486970">
        <w:rPr>
          <w:rFonts w:eastAsia="Cambria Math" w:cstheme="minorHAnsi"/>
          <w:color w:val="4A4A4A"/>
          <w:sz w:val="20"/>
          <w:szCs w:val="20"/>
        </w:rPr>
        <w:t xml:space="preserve"> Achievement matrix of weighted access to medicine</w:t>
      </w:r>
    </w:p>
    <w:p w14:paraId="7D81787F" w14:textId="465FB326" w:rsidR="00BD0A68" w:rsidRDefault="00BD0A68" w:rsidP="00F70A66">
      <w:pPr>
        <w:spacing w:after="120" w:line="240" w:lineRule="auto"/>
        <w:jc w:val="center"/>
        <w:rPr>
          <w:rFonts w:eastAsia="Cambria Math" w:cstheme="minorHAnsi"/>
          <w:noProof/>
          <w:color w:val="4A4A4A"/>
          <w:lang w:val="en-US"/>
        </w:rPr>
      </w:pPr>
      <w:r>
        <w:rPr>
          <w:noProof/>
        </w:rPr>
        <w:drawing>
          <wp:inline distT="0" distB="0" distL="0" distR="0" wp14:anchorId="64DA06DE" wp14:editId="1B4652C9">
            <wp:extent cx="3686175" cy="1609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175" cy="1609725"/>
                    </a:xfrm>
                    <a:prstGeom prst="rect">
                      <a:avLst/>
                    </a:prstGeom>
                  </pic:spPr>
                </pic:pic>
              </a:graphicData>
            </a:graphic>
          </wp:inline>
        </w:drawing>
      </w:r>
    </w:p>
    <w:p w14:paraId="717E0F8D" w14:textId="77777777" w:rsidR="00F70A66" w:rsidRPr="00021E78" w:rsidRDefault="00F70A66" w:rsidP="00F70A66">
      <w:pPr>
        <w:spacing w:after="120" w:line="240" w:lineRule="auto"/>
        <w:jc w:val="both"/>
        <w:rPr>
          <w:rFonts w:eastAsia="Times New Roman" w:cstheme="minorHAnsi"/>
          <w:color w:val="4A4A4A"/>
          <w:lang w:eastAsia="en-GB"/>
        </w:rPr>
      </w:pPr>
      <w:r w:rsidRPr="00021E78">
        <w:rPr>
          <w:rFonts w:eastAsia="Times New Roman" w:cstheme="minorHAnsi"/>
          <w:color w:val="4A4A4A"/>
          <w:lang w:eastAsia="en-GB"/>
        </w:rPr>
        <w:t>Step 6: Identify whether a facility has a core set of relevant essential medicines available and affordable</w:t>
      </w:r>
    </w:p>
    <w:p w14:paraId="0C279660" w14:textId="77777777" w:rsidR="00F70A66" w:rsidRPr="00021E78" w:rsidRDefault="00F70A66" w:rsidP="00F70A66">
      <w:pPr>
        <w:pBdr>
          <w:top w:val="nil"/>
          <w:left w:val="nil"/>
          <w:bottom w:val="nil"/>
          <w:right w:val="nil"/>
          <w:between w:val="nil"/>
        </w:pBdr>
        <w:spacing w:after="120" w:line="240" w:lineRule="auto"/>
        <w:jc w:val="both"/>
        <w:rPr>
          <w:rFonts w:eastAsia="Cambria Math" w:cstheme="minorHAnsi"/>
          <w:color w:val="4A4A4A"/>
        </w:rPr>
      </w:pPr>
      <w:r w:rsidRPr="00021E78">
        <w:rPr>
          <w:rFonts w:eastAsia="Cambria Math" w:cstheme="minorHAnsi"/>
          <w:color w:val="4A4A4A"/>
        </w:rPr>
        <w:t xml:space="preserve">The following computations must be undertaken in this step: </w:t>
      </w:r>
    </w:p>
    <w:p w14:paraId="65C0A7FB" w14:textId="77777777" w:rsidR="00F70A66" w:rsidRPr="00021E78"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021E78">
        <w:rPr>
          <w:rFonts w:eastAsia="Cambria Math" w:cstheme="minorHAnsi"/>
          <w:color w:val="4A4A4A"/>
        </w:rPr>
        <w:t>6.1 Calculate proportion of medicines that are accessible (both available and affordable) in each facility</w:t>
      </w:r>
    </w:p>
    <w:p w14:paraId="2AF9307C" w14:textId="77777777" w:rsidR="00F70A66" w:rsidRPr="00021E78"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021E78">
        <w:rPr>
          <w:rFonts w:eastAsia="Cambria Math" w:cstheme="minorHAnsi"/>
          <w:color w:val="4A4A4A"/>
        </w:rPr>
        <w:t xml:space="preserve">Because medicines are weighted, the proportion is computed as a weighted sum of medicines that are both available and affordable (accessible) in each facility using the following formula: </w:t>
      </w:r>
    </w:p>
    <w:p w14:paraId="34C5D8E5" w14:textId="75B0CB11" w:rsidR="00F70A66" w:rsidRPr="00021E78" w:rsidRDefault="00021E78" w:rsidP="00F70A66">
      <w:pPr>
        <w:pBdr>
          <w:top w:val="nil"/>
          <w:left w:val="nil"/>
          <w:bottom w:val="nil"/>
          <w:right w:val="nil"/>
          <w:between w:val="nil"/>
        </w:pBdr>
        <w:spacing w:after="120" w:line="240" w:lineRule="auto"/>
        <w:ind w:left="720"/>
        <w:jc w:val="both"/>
        <w:rPr>
          <w:rFonts w:eastAsia="Cambria Math" w:cstheme="minorHAnsi"/>
          <w:i/>
          <w:color w:val="4A4A4A"/>
          <w:sz w:val="21"/>
          <w:szCs w:val="21"/>
        </w:rPr>
      </w:pPr>
      <m:oMathPara>
        <m:oMath>
          <m:r>
            <w:rPr>
              <w:rFonts w:ascii="Cambria Math" w:eastAsia="Cambria Math" w:hAnsi="Cambria Math" w:cstheme="minorHAnsi"/>
              <w:color w:val="4A4A4A"/>
              <w:sz w:val="18"/>
              <w:szCs w:val="21"/>
            </w:rPr>
            <m:t xml:space="preserve">Access= </m:t>
          </m:r>
          <m:nary>
            <m:naryPr>
              <m:chr m:val="∑"/>
              <m:limLoc m:val="undOvr"/>
              <m:ctrlPr>
                <w:rPr>
                  <w:rFonts w:ascii="Cambria Math" w:eastAsia="Cambria Math" w:hAnsi="Cambria Math" w:cstheme="minorHAnsi"/>
                  <w:i/>
                  <w:color w:val="4A4A4A"/>
                  <w:sz w:val="18"/>
                  <w:szCs w:val="21"/>
                </w:rPr>
              </m:ctrlPr>
            </m:naryPr>
            <m:sub>
              <m:r>
                <w:rPr>
                  <w:rFonts w:ascii="Cambria Math" w:eastAsia="Cambria Math" w:hAnsi="Cambria Math" w:cstheme="minorHAnsi"/>
                  <w:color w:val="4A4A4A"/>
                  <w:sz w:val="18"/>
                  <w:szCs w:val="21"/>
                </w:rPr>
                <m:t>i=1</m:t>
              </m:r>
            </m:sub>
            <m:sup>
              <m:r>
                <w:rPr>
                  <w:rFonts w:ascii="Cambria Math" w:eastAsia="Cambria Math" w:hAnsi="Cambria Math" w:cstheme="minorHAnsi"/>
                  <w:color w:val="4A4A4A"/>
                  <w:sz w:val="18"/>
                  <w:szCs w:val="21"/>
                </w:rPr>
                <m:t>n</m:t>
              </m:r>
            </m:sup>
            <m:e>
              <m:sSub>
                <m:sSubPr>
                  <m:ctrlPr>
                    <w:rPr>
                      <w:rFonts w:ascii="Cambria Math" w:eastAsia="Cambria Math" w:hAnsi="Cambria Math" w:cstheme="minorHAnsi"/>
                      <w:i/>
                      <w:color w:val="4A4A4A"/>
                      <w:sz w:val="18"/>
                      <w:szCs w:val="21"/>
                    </w:rPr>
                  </m:ctrlPr>
                </m:sSubPr>
                <m:e>
                  <m:r>
                    <w:rPr>
                      <w:rFonts w:ascii="Cambria Math" w:eastAsia="Cambria Math" w:hAnsi="Cambria Math" w:cstheme="minorHAnsi"/>
                      <w:color w:val="4A4A4A"/>
                      <w:sz w:val="18"/>
                      <w:szCs w:val="21"/>
                    </w:rPr>
                    <m:t>w</m:t>
                  </m:r>
                </m:e>
                <m:sub>
                  <m:r>
                    <w:rPr>
                      <w:rFonts w:ascii="Cambria Math" w:eastAsia="Cambria Math" w:hAnsi="Cambria Math" w:cstheme="minorHAnsi"/>
                      <w:color w:val="4A4A4A"/>
                      <w:sz w:val="18"/>
                      <w:szCs w:val="21"/>
                    </w:rPr>
                    <m:t>mi</m:t>
                  </m:r>
                </m:sub>
              </m:sSub>
            </m:e>
          </m:nary>
        </m:oMath>
      </m:oMathPara>
    </w:p>
    <w:p w14:paraId="251E867C" w14:textId="77777777" w:rsidR="00F70A66" w:rsidRPr="00021E78"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021E78">
        <w:rPr>
          <w:rFonts w:eastAsia="Cambria Math" w:cstheme="minorHAnsi"/>
          <w:color w:val="4A4A4A"/>
        </w:rPr>
        <w:t xml:space="preserve">This variable is then transformed into a percentage and varies from 0 to 100. </w:t>
      </w:r>
    </w:p>
    <w:p w14:paraId="1F1A0CDB" w14:textId="77777777" w:rsidR="00F70A66" w:rsidRPr="00021E78"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021E78">
        <w:rPr>
          <w:rFonts w:eastAsia="Cambria Math" w:cstheme="minorHAnsi"/>
          <w:color w:val="4A4A4A"/>
        </w:rPr>
        <w:t xml:space="preserve">The computed number of accessible medicines accounts for the importance of the analysed medicines in the country. In particular, if a medicine with a higher weight (for example hypertension) is not accessible, the index will be sensitive to this and will demonstrate the lack of access. On the contrary, if a medicine has a low weight (i.e. approaching zero, such as antimalarial medication in a non-endemic country) and is not accessible, the index will not be affected. </w:t>
      </w:r>
    </w:p>
    <w:p w14:paraId="456BDDD0" w14:textId="6FB70D51" w:rsidR="00F70A66" w:rsidRPr="00021E78"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021E78">
        <w:rPr>
          <w:rFonts w:eastAsia="Cambria Math" w:cstheme="minorHAnsi"/>
          <w:color w:val="4A4A4A"/>
        </w:rPr>
        <w:lastRenderedPageBreak/>
        <w:t>6.2 Mark facilities that have 80% or more of available and affordable medicines</w:t>
      </w:r>
    </w:p>
    <w:p w14:paraId="56294D80" w14:textId="77777777" w:rsidR="00F70A66" w:rsidRPr="00021E78"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021E78">
        <w:rPr>
          <w:rFonts w:eastAsia="Cambria Math" w:cstheme="minorHAnsi"/>
          <w:color w:val="4A4A4A"/>
        </w:rPr>
        <w:t>The computed variable “access” is then transformed into the binary format identifying facilities that have the core basket of essential medicines available and affordable versus facilities that do not. A threshold of 80% is applied in order to transform the “access” variable into a binary format. In particular, at least 80% of all the medicines surveyed in a facility have to be both available and affordable. The transformation is made using the following formula:</w:t>
      </w:r>
    </w:p>
    <w:p w14:paraId="098F18A5" w14:textId="1C8C7C1D" w:rsidR="00F70A66" w:rsidRPr="00021E78" w:rsidRDefault="003A249F" w:rsidP="00F70A66">
      <w:pPr>
        <w:pBdr>
          <w:top w:val="nil"/>
          <w:left w:val="nil"/>
          <w:bottom w:val="nil"/>
          <w:right w:val="nil"/>
          <w:between w:val="nil"/>
        </w:pBdr>
        <w:spacing w:after="120" w:line="240" w:lineRule="auto"/>
        <w:ind w:left="720"/>
        <w:jc w:val="center"/>
        <w:rPr>
          <w:rFonts w:eastAsia="Cambria Math" w:cstheme="minorHAnsi"/>
          <w:color w:val="4A4A4A"/>
        </w:rPr>
      </w:pPr>
      <m:oMathPara>
        <m:oMath>
          <m:d>
            <m:dPr>
              <m:begChr m:val="{"/>
              <m:endChr m:val=""/>
              <m:ctrlPr>
                <w:rPr>
                  <w:rFonts w:ascii="Cambria Math" w:eastAsia="Cambria Math" w:hAnsi="Cambria Math" w:cstheme="minorHAnsi"/>
                  <w:i/>
                  <w:color w:val="4A4A4A"/>
                  <w:sz w:val="18"/>
                </w:rPr>
              </m:ctrlPr>
            </m:dPr>
            <m:e>
              <m:eqArr>
                <m:eqArrPr>
                  <m:ctrlPr>
                    <w:rPr>
                      <w:rFonts w:ascii="Cambria Math" w:eastAsia="Cambria Math" w:hAnsi="Cambria Math" w:cstheme="minorHAnsi"/>
                      <w:i/>
                      <w:color w:val="4A4A4A"/>
                      <w:sz w:val="18"/>
                    </w:rPr>
                  </m:ctrlPr>
                </m:eqArrPr>
                <m:e>
                  <m:r>
                    <w:rPr>
                      <w:rFonts w:ascii="Cambria Math" w:eastAsia="Cambria Math" w:hAnsi="Cambria Math" w:cstheme="minorHAnsi"/>
                      <w:color w:val="4A4A4A"/>
                      <w:sz w:val="18"/>
                    </w:rPr>
                    <m:t xml:space="preserve">if </m:t>
                  </m:r>
                  <m:sSub>
                    <m:sSubPr>
                      <m:ctrlPr>
                        <w:rPr>
                          <w:rFonts w:ascii="Cambria Math" w:eastAsia="Cambria Math" w:hAnsi="Cambria Math" w:cstheme="minorHAnsi"/>
                          <w:i/>
                          <w:color w:val="4A4A4A"/>
                          <w:sz w:val="18"/>
                        </w:rPr>
                      </m:ctrlPr>
                    </m:sSubPr>
                    <m:e>
                      <m:r>
                        <w:rPr>
                          <w:rFonts w:ascii="Cambria Math" w:eastAsia="Cambria Math" w:hAnsi="Cambria Math" w:cstheme="minorHAnsi"/>
                          <w:color w:val="4A4A4A"/>
                          <w:sz w:val="18"/>
                        </w:rPr>
                        <m:t>Access</m:t>
                      </m:r>
                    </m:e>
                    <m:sub>
                      <m:sSub>
                        <m:sSubPr>
                          <m:ctrlPr>
                            <w:rPr>
                              <w:rFonts w:ascii="Cambria Math" w:eastAsia="Cambria Math" w:hAnsi="Cambria Math" w:cstheme="minorHAnsi"/>
                              <w:i/>
                              <w:color w:val="4A4A4A"/>
                              <w:sz w:val="18"/>
                            </w:rPr>
                          </m:ctrlPr>
                        </m:sSubPr>
                        <m:e>
                          <m:r>
                            <w:rPr>
                              <w:rFonts w:ascii="Cambria Math" w:eastAsia="Cambria Math" w:hAnsi="Cambria Math" w:cstheme="minorHAnsi"/>
                              <w:color w:val="4A4A4A"/>
                              <w:sz w:val="18"/>
                            </w:rPr>
                            <m:t>facility</m:t>
                          </m:r>
                        </m:e>
                        <m:sub>
                          <m:r>
                            <w:rPr>
                              <w:rFonts w:ascii="Cambria Math" w:eastAsia="Cambria Math" w:hAnsi="Cambria Math" w:cstheme="minorHAnsi"/>
                              <w:color w:val="4A4A4A"/>
                              <w:sz w:val="18"/>
                            </w:rPr>
                            <m:t>i</m:t>
                          </m:r>
                        </m:sub>
                      </m:sSub>
                    </m:sub>
                  </m:sSub>
                  <m:r>
                    <w:rPr>
                      <w:rFonts w:ascii="Cambria Math" w:eastAsia="Cambria Math" w:hAnsi="Cambria Math" w:cstheme="minorHAnsi"/>
                      <w:color w:val="4A4A4A"/>
                      <w:sz w:val="18"/>
                    </w:rPr>
                    <m:t>≥80% Facility=1,</m:t>
                  </m:r>
                </m:e>
                <m:e>
                  <m:r>
                    <w:rPr>
                      <w:rFonts w:ascii="Cambria Math" w:eastAsia="Cambria Math" w:hAnsi="Cambria Math" w:cstheme="minorHAnsi"/>
                      <w:color w:val="4A4A4A"/>
                      <w:sz w:val="18"/>
                    </w:rPr>
                    <m:t>0</m:t>
                  </m:r>
                </m:e>
                <m:e>
                  <m:r>
                    <w:rPr>
                      <w:rFonts w:ascii="Cambria Math" w:eastAsia="Cambria Math" w:hAnsi="Cambria Math" w:cstheme="minorHAnsi"/>
                      <w:color w:val="4A4A4A"/>
                      <w:sz w:val="18"/>
                    </w:rPr>
                    <m:t>otherwise, Facility=0</m:t>
                  </m:r>
                </m:e>
              </m:eqArr>
            </m:e>
          </m:d>
        </m:oMath>
      </m:oMathPara>
    </w:p>
    <w:p w14:paraId="51B1300E" w14:textId="77777777" w:rsidR="00F70A66" w:rsidRPr="00021E78" w:rsidRDefault="00F70A66" w:rsidP="00F70A66">
      <w:pPr>
        <w:pBdr>
          <w:top w:val="nil"/>
          <w:left w:val="nil"/>
          <w:bottom w:val="nil"/>
          <w:right w:val="nil"/>
          <w:between w:val="nil"/>
        </w:pBdr>
        <w:spacing w:after="120" w:line="240" w:lineRule="auto"/>
        <w:ind w:left="720"/>
        <w:jc w:val="both"/>
        <w:rPr>
          <w:rFonts w:eastAsia="Cambria Math" w:cstheme="minorHAnsi"/>
          <w:color w:val="4A4A4A"/>
        </w:rPr>
      </w:pPr>
      <w:r w:rsidRPr="00021E78">
        <w:rPr>
          <w:rFonts w:eastAsia="Cambria Math" w:cstheme="minorHAnsi"/>
          <w:color w:val="4A4A4A"/>
        </w:rPr>
        <w:t xml:space="preserve">This threshold is agreed upon and adopted by the WHO Global Action Plan on Non-Communicable Diseases and used as a reference in this proposed methodology.  </w:t>
      </w:r>
    </w:p>
    <w:p w14:paraId="158D792E" w14:textId="77777777" w:rsidR="00F70A66" w:rsidRPr="00021E78" w:rsidRDefault="00F70A66" w:rsidP="00F70A66">
      <w:pPr>
        <w:pBdr>
          <w:top w:val="nil"/>
          <w:left w:val="nil"/>
          <w:bottom w:val="nil"/>
          <w:right w:val="nil"/>
          <w:between w:val="nil"/>
        </w:pBdr>
        <w:spacing w:after="120" w:line="240" w:lineRule="auto"/>
        <w:ind w:left="720"/>
        <w:jc w:val="both"/>
        <w:rPr>
          <w:rFonts w:eastAsia="Cambria Math" w:cstheme="minorHAnsi"/>
          <w:color w:val="4A4A4A"/>
          <w:sz w:val="2"/>
        </w:rPr>
      </w:pPr>
    </w:p>
    <w:p w14:paraId="6F6EA95B" w14:textId="77777777" w:rsidR="00F70A66" w:rsidRPr="00021E78" w:rsidRDefault="00F70A66" w:rsidP="00F70A66">
      <w:pPr>
        <w:spacing w:after="120" w:line="240" w:lineRule="auto"/>
        <w:jc w:val="both"/>
        <w:rPr>
          <w:rFonts w:eastAsia="Times New Roman" w:cstheme="minorHAnsi"/>
          <w:color w:val="4A4A4A"/>
          <w:lang w:eastAsia="en-GB"/>
        </w:rPr>
      </w:pPr>
      <w:r w:rsidRPr="00021E78">
        <w:rPr>
          <w:rFonts w:eastAsia="Times New Roman" w:cstheme="minorHAnsi"/>
          <w:color w:val="4A4A4A"/>
          <w:lang w:eastAsia="en-GB"/>
        </w:rPr>
        <w:t>Step 7: Calculate the indicator as the proportion of facilities with accessible medicines in the country</w:t>
      </w:r>
    </w:p>
    <w:p w14:paraId="03640B7D" w14:textId="77777777" w:rsidR="00F70A66" w:rsidRPr="00021E78" w:rsidRDefault="00F70A66" w:rsidP="00F70A66">
      <w:pPr>
        <w:spacing w:after="120" w:line="240" w:lineRule="auto"/>
        <w:jc w:val="both"/>
        <w:rPr>
          <w:rFonts w:eastAsia="Cambria Math" w:cstheme="minorHAnsi"/>
          <w:color w:val="4A4A4A"/>
        </w:rPr>
      </w:pPr>
      <w:r w:rsidRPr="00021E78">
        <w:rPr>
          <w:rFonts w:eastAsia="Cambria Math" w:cstheme="minorHAnsi"/>
          <w:color w:val="4A4A4A"/>
        </w:rPr>
        <w:t>The proportion of facilities that have reached the 80% threshold is calculated out of the total number of surveyed facilities in a selected country using the following formula:</w:t>
      </w:r>
    </w:p>
    <w:p w14:paraId="30195E9A" w14:textId="17C50D06" w:rsidR="00F70A66" w:rsidRPr="00021E78" w:rsidRDefault="003A249F" w:rsidP="00F70A66">
      <w:pPr>
        <w:pBdr>
          <w:top w:val="nil"/>
          <w:left w:val="nil"/>
          <w:bottom w:val="nil"/>
          <w:right w:val="nil"/>
          <w:between w:val="nil"/>
        </w:pBdr>
        <w:spacing w:after="120" w:line="240" w:lineRule="auto"/>
        <w:jc w:val="both"/>
        <w:rPr>
          <w:rFonts w:eastAsia="Cambria Math" w:cstheme="minorHAnsi"/>
          <w:color w:val="4A4A4A"/>
        </w:rPr>
      </w:pPr>
      <m:oMathPara>
        <m:oMath>
          <m:sSub>
            <m:sSubPr>
              <m:ctrlPr>
                <w:rPr>
                  <w:rFonts w:ascii="Cambria Math" w:eastAsia="Cambria Math" w:hAnsi="Cambria Math" w:cstheme="minorHAnsi"/>
                  <w:i/>
                  <w:color w:val="4A4A4A"/>
                  <w:sz w:val="18"/>
                </w:rPr>
              </m:ctrlPr>
            </m:sSubPr>
            <m:e>
              <m:r>
                <w:rPr>
                  <w:rFonts w:ascii="Cambria Math" w:eastAsia="Cambria Math" w:hAnsi="Cambria Math" w:cstheme="minorHAnsi"/>
                  <w:color w:val="4A4A4A"/>
                  <w:sz w:val="18"/>
                </w:rPr>
                <m:t>SDG</m:t>
              </m:r>
            </m:e>
            <m:sub>
              <m:r>
                <w:rPr>
                  <w:rFonts w:ascii="Cambria Math" w:eastAsia="Cambria Math" w:hAnsi="Cambria Math" w:cstheme="minorHAnsi"/>
                  <w:color w:val="4A4A4A"/>
                  <w:sz w:val="18"/>
                </w:rPr>
                <m:t>3.b.3</m:t>
              </m:r>
            </m:sub>
          </m:sSub>
          <m:r>
            <w:rPr>
              <w:rFonts w:ascii="Cambria Math" w:eastAsia="Cambria Math" w:hAnsi="Cambria Math" w:cstheme="minorHAnsi"/>
              <w:color w:val="4A4A4A"/>
              <w:sz w:val="18"/>
            </w:rPr>
            <m:t>=</m:t>
          </m:r>
          <m:f>
            <m:fPr>
              <m:ctrlPr>
                <w:rPr>
                  <w:rFonts w:ascii="Cambria Math" w:eastAsia="Cambria Math" w:hAnsi="Cambria Math" w:cstheme="minorHAnsi"/>
                  <w:color w:val="4A4A4A"/>
                  <w:sz w:val="18"/>
                </w:rPr>
              </m:ctrlPr>
            </m:fPr>
            <m:num>
              <m:r>
                <w:rPr>
                  <w:rFonts w:ascii="Cambria Math" w:eastAsia="Cambria Math" w:hAnsi="Cambria Math" w:cstheme="minorHAnsi"/>
                  <w:color w:val="4A4A4A"/>
                  <w:sz w:val="18"/>
                </w:rPr>
                <m:t>Facilities with available and affordable basket of medicines (n)</m:t>
              </m:r>
            </m:num>
            <m:den>
              <m:r>
                <w:rPr>
                  <w:rFonts w:ascii="Cambria Math" w:eastAsia="Cambria Math" w:hAnsi="Cambria Math" w:cstheme="minorHAnsi"/>
                  <w:color w:val="4A4A4A"/>
                  <w:sz w:val="18"/>
                </w:rPr>
                <m:t>Surveyed Facilities (n)</m:t>
              </m:r>
            </m:den>
          </m:f>
        </m:oMath>
      </m:oMathPara>
    </w:p>
    <w:p w14:paraId="584F0985" w14:textId="77777777" w:rsidR="00F70A66" w:rsidRPr="00021E78" w:rsidRDefault="00F70A66" w:rsidP="00F70A66">
      <w:pPr>
        <w:pBdr>
          <w:top w:val="nil"/>
          <w:left w:val="nil"/>
          <w:bottom w:val="nil"/>
          <w:right w:val="nil"/>
          <w:between w:val="nil"/>
        </w:pBdr>
        <w:spacing w:after="120" w:line="240" w:lineRule="auto"/>
        <w:jc w:val="both"/>
        <w:rPr>
          <w:rFonts w:eastAsia="Cambria Math" w:cstheme="minorHAnsi"/>
          <w:color w:val="4A4A4A"/>
        </w:rPr>
      </w:pPr>
      <w:r w:rsidRPr="00021E78">
        <w:rPr>
          <w:rFonts w:eastAsia="Cambria Math" w:cstheme="minorHAnsi"/>
          <w:color w:val="4A4A4A"/>
        </w:rPr>
        <w:t>The computed indicator is a proportion that will then be converted into a percentage between 0-100%.</w:t>
      </w:r>
    </w:p>
    <w:p w14:paraId="6B2D0968" w14:textId="77777777" w:rsidR="00F70A66" w:rsidRPr="00021E78" w:rsidRDefault="00F70A66" w:rsidP="00F70A66">
      <w:pPr>
        <w:spacing w:after="120" w:line="240" w:lineRule="auto"/>
        <w:jc w:val="both"/>
        <w:rPr>
          <w:rFonts w:eastAsia="Times New Roman" w:cstheme="minorHAnsi"/>
          <w:color w:val="4A4A4A"/>
          <w:lang w:eastAsia="en-GB"/>
        </w:rPr>
      </w:pPr>
      <w:r w:rsidRPr="00021E78">
        <w:rPr>
          <w:rFonts w:eastAsia="Times New Roman" w:cstheme="minorHAnsi"/>
          <w:color w:val="4A4A4A"/>
          <w:lang w:eastAsia="en-GB"/>
        </w:rPr>
        <w:t xml:space="preserve">Step 8: Consideration of quality of the accessible medicines in the country using a proxy </w:t>
      </w:r>
    </w:p>
    <w:p w14:paraId="39CECFAC" w14:textId="648283B6" w:rsidR="00F70A66" w:rsidRDefault="00F70A66" w:rsidP="00BD0A68">
      <w:pPr>
        <w:shd w:val="clear" w:color="auto" w:fill="FFFFFF" w:themeFill="background1"/>
        <w:spacing w:after="0" w:line="240" w:lineRule="auto"/>
        <w:jc w:val="both"/>
        <w:rPr>
          <w:rFonts w:eastAsia="Cambria Math" w:cstheme="minorHAnsi"/>
          <w:color w:val="4A4A4A"/>
        </w:rPr>
      </w:pPr>
      <w:r w:rsidRPr="00021E78">
        <w:rPr>
          <w:rFonts w:eastAsia="Cambria Math" w:cstheme="minorHAnsi"/>
          <w:color w:val="4A4A4A"/>
        </w:rPr>
        <w:t>The country level of medicine regulatory capacity assessed using the WHO NRA GBT is used as a proxy of the quality of the accessible</w:t>
      </w:r>
      <w:r w:rsidRPr="00486970">
        <w:rPr>
          <w:rFonts w:eastAsia="Cambria Math" w:cstheme="minorHAnsi"/>
          <w:color w:val="4A4A4A"/>
        </w:rPr>
        <w:t xml:space="preserve"> medicines. The countries with a WHO Listed Authority (WLA corresponding to maturity level 3 and above) will be flagged to indicate the assured quality component.</w:t>
      </w:r>
    </w:p>
    <w:p w14:paraId="7E03C0B2" w14:textId="77777777" w:rsidR="00564F67" w:rsidRPr="00486970" w:rsidRDefault="00564F67" w:rsidP="00F70A66">
      <w:pPr>
        <w:shd w:val="clear" w:color="auto" w:fill="FFFFFF" w:themeFill="background1"/>
        <w:spacing w:after="120" w:line="240" w:lineRule="auto"/>
        <w:jc w:val="both"/>
        <w:rPr>
          <w:rFonts w:eastAsia="Cambria Math" w:cstheme="minorHAnsi"/>
          <w:color w:val="4A4A4A"/>
        </w:rPr>
      </w:pPr>
    </w:p>
    <w:p w14:paraId="514CE3C0" w14:textId="3F3F7A53" w:rsidR="00E1050F" w:rsidRPr="00486970" w:rsidRDefault="00576CFA" w:rsidP="00F719A8">
      <w:pPr>
        <w:pStyle w:val="MHeader2"/>
        <w:rPr>
          <w:rFonts w:cstheme="minorHAnsi"/>
        </w:rPr>
      </w:pPr>
      <w:r w:rsidRPr="00486970">
        <w:rPr>
          <w:rFonts w:cstheme="minorHAnsi"/>
        </w:rPr>
        <w:t xml:space="preserve">4.d. Validation </w:t>
      </w:r>
      <w:r>
        <w:rPr>
          <w:color w:val="B4B4B4"/>
          <w:sz w:val="20"/>
        </w:rPr>
        <w:t>(DATA_VALIDATION)</w:t>
      </w:r>
    </w:p>
    <w:p w14:paraId="4C30BC4A" w14:textId="77777777" w:rsidR="00021E78" w:rsidRPr="00486970" w:rsidRDefault="00021E78" w:rsidP="00576CFA">
      <w:pPr>
        <w:pStyle w:val="MText"/>
        <w:rPr>
          <w:rFonts w:cstheme="minorHAnsi"/>
        </w:rPr>
      </w:pPr>
    </w:p>
    <w:p w14:paraId="2CF2A343" w14:textId="0A7F0CBE" w:rsidR="00E1050F" w:rsidRPr="00486970" w:rsidRDefault="00E1050F" w:rsidP="00F719A8">
      <w:pPr>
        <w:pStyle w:val="MHeader2"/>
        <w:rPr>
          <w:rFonts w:cstheme="minorHAnsi"/>
        </w:rPr>
      </w:pPr>
      <w:r w:rsidRPr="00486970">
        <w:rPr>
          <w:rFonts w:cstheme="minorHAnsi"/>
        </w:rPr>
        <w:t xml:space="preserve">4.e. Adjustments </w:t>
      </w:r>
      <w:r>
        <w:rPr>
          <w:color w:val="B4B4B4"/>
          <w:sz w:val="20"/>
        </w:rPr>
        <w:t>(ADJUSTMENT)</w:t>
      </w:r>
    </w:p>
    <w:p w14:paraId="0FB2EC17" w14:textId="77777777" w:rsidR="00021E78" w:rsidRPr="00486970" w:rsidRDefault="00021E78" w:rsidP="00576CFA">
      <w:pPr>
        <w:pStyle w:val="MText"/>
        <w:rPr>
          <w:rFonts w:cstheme="minorHAnsi"/>
        </w:rPr>
      </w:pPr>
    </w:p>
    <w:p w14:paraId="17735630" w14:textId="3387C27D" w:rsidR="00E1050F" w:rsidRPr="00486970" w:rsidRDefault="00576CFA" w:rsidP="00F719A8">
      <w:pPr>
        <w:pStyle w:val="MHeader2"/>
        <w:rPr>
          <w:rFonts w:cstheme="minorHAnsi"/>
        </w:rPr>
      </w:pPr>
      <w:r w:rsidRPr="00486970">
        <w:rPr>
          <w:rFonts w:cstheme="minorHAnsi"/>
        </w:rPr>
        <w:t xml:space="preserve">4.f. Treatment of missing values (i) at country level and (ii) at regional level </w:t>
      </w:r>
      <w:r>
        <w:rPr>
          <w:color w:val="B4B4B4"/>
          <w:sz w:val="20"/>
        </w:rPr>
        <w:t>(IMPUTATION)</w:t>
      </w:r>
    </w:p>
    <w:p w14:paraId="2723B856" w14:textId="0B816B55" w:rsidR="005012B9" w:rsidRPr="00021E78" w:rsidRDefault="005012B9" w:rsidP="00397ADD">
      <w:pPr>
        <w:numPr>
          <w:ilvl w:val="0"/>
          <w:numId w:val="25"/>
        </w:numPr>
        <w:shd w:val="clear" w:color="auto" w:fill="FFFFFF"/>
        <w:spacing w:after="0" w:line="240" w:lineRule="auto"/>
        <w:ind w:left="135" w:firstLine="0"/>
        <w:jc w:val="both"/>
        <w:textAlignment w:val="baseline"/>
        <w:rPr>
          <w:rFonts w:eastAsia="Times New Roman" w:cstheme="minorHAnsi"/>
          <w:b/>
          <w:bCs/>
          <w:sz w:val="21"/>
          <w:szCs w:val="21"/>
          <w:lang w:val="en-US" w:eastAsia="en-US"/>
        </w:rPr>
      </w:pPr>
      <w:r w:rsidRPr="00021E78">
        <w:rPr>
          <w:rFonts w:eastAsia="Times New Roman" w:cstheme="minorHAnsi"/>
          <w:b/>
          <w:bCs/>
          <w:color w:val="1C75BC"/>
          <w:sz w:val="21"/>
          <w:szCs w:val="21"/>
          <w:lang w:eastAsia="en-US"/>
        </w:rPr>
        <w:t>At country level</w:t>
      </w:r>
      <w:r w:rsidR="005B2719">
        <w:rPr>
          <w:rFonts w:eastAsia="Times New Roman" w:cstheme="minorHAnsi"/>
          <w:b/>
          <w:bCs/>
          <w:color w:val="1C75BC"/>
          <w:sz w:val="21"/>
          <w:szCs w:val="21"/>
          <w:lang w:eastAsia="en-US"/>
        </w:rPr>
        <w:t xml:space="preserve"> </w:t>
      </w:r>
    </w:p>
    <w:p w14:paraId="20637F21" w14:textId="3932707D" w:rsidR="005012B9" w:rsidRPr="00486970" w:rsidRDefault="005012B9" w:rsidP="005012B9">
      <w:pPr>
        <w:shd w:val="clear" w:color="auto" w:fill="FFFFFF"/>
        <w:spacing w:after="0" w:line="240" w:lineRule="auto"/>
        <w:jc w:val="both"/>
        <w:textAlignment w:val="baseline"/>
        <w:rPr>
          <w:rFonts w:eastAsia="Times New Roman" w:cstheme="minorHAnsi"/>
          <w:color w:val="4A4A4A"/>
          <w:sz w:val="18"/>
          <w:szCs w:val="18"/>
          <w:lang w:val="en-US" w:eastAsia="en-US"/>
        </w:rPr>
      </w:pPr>
      <w:r w:rsidRPr="00486970">
        <w:rPr>
          <w:rFonts w:eastAsia="Times New Roman" w:cstheme="minorHAnsi"/>
          <w:color w:val="4A4A4A"/>
          <w:lang w:eastAsia="en-US"/>
        </w:rPr>
        <w:t>Treatment of missing values has already been partially addressed.</w:t>
      </w:r>
      <w:r w:rsidR="005B2719">
        <w:rPr>
          <w:rFonts w:eastAsia="Times New Roman" w:cstheme="minorHAnsi"/>
          <w:color w:val="4A4A4A"/>
          <w:lang w:eastAsia="en-US"/>
        </w:rPr>
        <w:t xml:space="preserve"> </w:t>
      </w:r>
      <w:r w:rsidRPr="00486970">
        <w:rPr>
          <w:rFonts w:eastAsia="Times New Roman" w:cstheme="minorHAnsi"/>
          <w:color w:val="4A4A4A"/>
          <w:lang w:eastAsia="en-US"/>
        </w:rPr>
        <w:t>In particular, when</w:t>
      </w:r>
      <w:r w:rsidR="005B2719">
        <w:rPr>
          <w:rFonts w:eastAsia="Times New Roman" w:cstheme="minorHAnsi"/>
          <w:color w:val="4A4A4A"/>
          <w:lang w:eastAsia="en-US"/>
        </w:rPr>
        <w:t xml:space="preserve"> </w:t>
      </w:r>
      <w:r w:rsidRPr="00486970">
        <w:rPr>
          <w:rFonts w:eastAsia="Times New Roman" w:cstheme="minorHAnsi"/>
          <w:color w:val="4A4A4A"/>
          <w:lang w:eastAsia="en-US"/>
        </w:rPr>
        <w:t>a medicine is not available, its price cannot be collected.</w:t>
      </w:r>
      <w:r w:rsidR="005B2719">
        <w:rPr>
          <w:rFonts w:eastAsia="Times New Roman" w:cstheme="minorHAnsi"/>
          <w:color w:val="4A4A4A"/>
          <w:lang w:eastAsia="en-US"/>
        </w:rPr>
        <w:t xml:space="preserve"> </w:t>
      </w:r>
      <w:r w:rsidRPr="00486970">
        <w:rPr>
          <w:rFonts w:eastAsia="Times New Roman" w:cstheme="minorHAnsi"/>
          <w:color w:val="4A4A4A"/>
          <w:lang w:eastAsia="en-US"/>
        </w:rPr>
        <w:t>For this reason, missing price values are considered as the medicine not being available and therefore not accessible (access = 0).</w:t>
      </w:r>
    </w:p>
    <w:p w14:paraId="2410DE32" w14:textId="0CA4148E" w:rsidR="005012B9" w:rsidRPr="00486970" w:rsidRDefault="005012B9" w:rsidP="005012B9">
      <w:pPr>
        <w:shd w:val="clear" w:color="auto" w:fill="FFFFFF"/>
        <w:spacing w:after="0" w:line="240" w:lineRule="auto"/>
        <w:jc w:val="both"/>
        <w:textAlignment w:val="baseline"/>
        <w:rPr>
          <w:rFonts w:eastAsia="Times New Roman" w:cstheme="minorHAnsi"/>
          <w:color w:val="4A4A4A"/>
          <w:sz w:val="18"/>
          <w:szCs w:val="18"/>
          <w:lang w:val="en-US" w:eastAsia="en-US"/>
        </w:rPr>
      </w:pPr>
      <w:r w:rsidRPr="00486970">
        <w:rPr>
          <w:rFonts w:eastAsia="Times New Roman" w:cstheme="minorHAnsi"/>
          <w:color w:val="4A4A4A"/>
          <w:lang w:eastAsia="en-US"/>
        </w:rPr>
        <w:t>Observing missing values for availability and affordability simultaneously</w:t>
      </w:r>
      <w:r w:rsidR="005B2719">
        <w:rPr>
          <w:rFonts w:eastAsia="Times New Roman" w:cstheme="minorHAnsi"/>
          <w:color w:val="4A4A4A"/>
          <w:lang w:eastAsia="en-US"/>
        </w:rPr>
        <w:t xml:space="preserve"> </w:t>
      </w:r>
      <w:r w:rsidRPr="00486970">
        <w:rPr>
          <w:rFonts w:eastAsia="Times New Roman" w:cstheme="minorHAnsi"/>
          <w:color w:val="4A4A4A"/>
          <w:lang w:eastAsia="en-US"/>
        </w:rPr>
        <w:t>indicates</w:t>
      </w:r>
      <w:r w:rsidR="005B2719">
        <w:rPr>
          <w:rFonts w:eastAsia="Times New Roman" w:cstheme="minorHAnsi"/>
          <w:color w:val="4A4A4A"/>
          <w:lang w:eastAsia="en-US"/>
        </w:rPr>
        <w:t xml:space="preserve"> </w:t>
      </w:r>
      <w:r w:rsidRPr="00486970">
        <w:rPr>
          <w:rFonts w:eastAsia="Times New Roman" w:cstheme="minorHAnsi"/>
          <w:color w:val="4A4A4A"/>
          <w:lang w:eastAsia="en-US"/>
        </w:rPr>
        <w:t>that these medicines are not provided at all in the surveyed facility.</w:t>
      </w:r>
      <w:r w:rsidR="005B2719">
        <w:rPr>
          <w:rFonts w:eastAsia="Times New Roman" w:cstheme="minorHAnsi"/>
          <w:color w:val="4A4A4A"/>
          <w:lang w:eastAsia="en-US"/>
        </w:rPr>
        <w:t xml:space="preserve"> </w:t>
      </w:r>
      <w:r w:rsidRPr="00486970">
        <w:rPr>
          <w:rFonts w:eastAsia="Times New Roman" w:cstheme="minorHAnsi"/>
          <w:color w:val="4A4A4A"/>
          <w:lang w:eastAsia="en-US"/>
        </w:rPr>
        <w:t>For example, in</w:t>
      </w:r>
      <w:r w:rsidR="005B2719">
        <w:rPr>
          <w:rFonts w:eastAsia="Times New Roman" w:cstheme="minorHAnsi"/>
          <w:color w:val="4A4A4A"/>
          <w:lang w:eastAsia="en-US"/>
        </w:rPr>
        <w:t xml:space="preserve"> </w:t>
      </w:r>
      <w:r w:rsidRPr="00486970">
        <w:rPr>
          <w:rFonts w:eastAsia="Times New Roman" w:cstheme="minorHAnsi"/>
          <w:color w:val="4A4A4A"/>
          <w:lang w:eastAsia="en-US"/>
        </w:rPr>
        <w:t>some</w:t>
      </w:r>
      <w:r w:rsidR="005B2719">
        <w:rPr>
          <w:rFonts w:eastAsia="Times New Roman" w:cstheme="minorHAnsi"/>
          <w:color w:val="4A4A4A"/>
          <w:lang w:eastAsia="en-US"/>
        </w:rPr>
        <w:t xml:space="preserve"> </w:t>
      </w:r>
      <w:r w:rsidRPr="00486970">
        <w:rPr>
          <w:rFonts w:eastAsia="Times New Roman" w:cstheme="minorHAnsi"/>
          <w:color w:val="4A4A4A"/>
          <w:lang w:eastAsia="en-US"/>
        </w:rPr>
        <w:t>countries</w:t>
      </w:r>
      <w:r w:rsidR="005B2719">
        <w:rPr>
          <w:rFonts w:eastAsia="Times New Roman" w:cstheme="minorHAnsi"/>
          <w:color w:val="4A4A4A"/>
          <w:lang w:eastAsia="en-US"/>
        </w:rPr>
        <w:t xml:space="preserve"> </w:t>
      </w:r>
      <w:r w:rsidRPr="00486970">
        <w:rPr>
          <w:rFonts w:eastAsia="Times New Roman" w:cstheme="minorHAnsi"/>
          <w:color w:val="4A4A4A"/>
          <w:lang w:eastAsia="en-US"/>
        </w:rPr>
        <w:t>medicines for in-patient care (mostly in injectable forms) are provided only in hospitals. In this case, the procedure</w:t>
      </w:r>
      <w:r w:rsidR="005B2719">
        <w:rPr>
          <w:rFonts w:eastAsia="Times New Roman" w:cstheme="minorHAnsi"/>
          <w:color w:val="4A4A4A"/>
          <w:lang w:eastAsia="en-US"/>
        </w:rPr>
        <w:t xml:space="preserve"> </w:t>
      </w:r>
      <w:r w:rsidRPr="00486970">
        <w:rPr>
          <w:rFonts w:eastAsia="Times New Roman" w:cstheme="minorHAnsi"/>
          <w:color w:val="4A4A4A"/>
          <w:lang w:eastAsia="en-US"/>
        </w:rPr>
        <w:t>for computing the</w:t>
      </w:r>
      <w:r w:rsidR="005B2719">
        <w:rPr>
          <w:rFonts w:eastAsia="Times New Roman" w:cstheme="minorHAnsi"/>
          <w:color w:val="4A4A4A"/>
          <w:lang w:eastAsia="en-US"/>
        </w:rPr>
        <w:t xml:space="preserve"> </w:t>
      </w:r>
      <w:r w:rsidRPr="00486970">
        <w:rPr>
          <w:rFonts w:eastAsia="Times New Roman" w:cstheme="minorHAnsi"/>
          <w:color w:val="4A4A4A"/>
          <w:lang w:eastAsia="en-US"/>
        </w:rPr>
        <w:t>indicator is the same except that:</w:t>
      </w:r>
    </w:p>
    <w:p w14:paraId="3628E966" w14:textId="5240F01B" w:rsidR="005012B9" w:rsidRPr="00486970" w:rsidRDefault="005012B9" w:rsidP="00397ADD">
      <w:pPr>
        <w:numPr>
          <w:ilvl w:val="0"/>
          <w:numId w:val="26"/>
        </w:numPr>
        <w:shd w:val="clear" w:color="auto" w:fill="FFFFFF"/>
        <w:spacing w:after="0" w:line="240" w:lineRule="auto"/>
        <w:ind w:left="360" w:firstLine="0"/>
        <w:jc w:val="both"/>
        <w:textAlignment w:val="baseline"/>
        <w:rPr>
          <w:rFonts w:eastAsia="Times New Roman" w:cstheme="minorHAnsi"/>
          <w:color w:val="4A4A4A"/>
          <w:sz w:val="21"/>
          <w:szCs w:val="21"/>
          <w:lang w:val="en-US" w:eastAsia="en-US"/>
        </w:rPr>
      </w:pPr>
      <w:r w:rsidRPr="00486970">
        <w:rPr>
          <w:rFonts w:eastAsia="Times New Roman" w:cstheme="minorHAnsi"/>
          <w:color w:val="4A4A4A"/>
          <w:lang w:eastAsia="en-US"/>
        </w:rPr>
        <w:t>Medicines that are used for inpatient care are excluded from the analysis of the data collected in pharmacies</w:t>
      </w:r>
      <w:r w:rsidR="005B2719">
        <w:rPr>
          <w:rFonts w:eastAsia="Times New Roman" w:cstheme="minorHAnsi"/>
          <w:color w:val="4A4A4A"/>
          <w:lang w:eastAsia="en-US"/>
        </w:rPr>
        <w:t xml:space="preserve"> </w:t>
      </w:r>
      <w:r w:rsidRPr="00486970">
        <w:rPr>
          <w:rFonts w:eastAsia="Times New Roman" w:cstheme="minorHAnsi"/>
          <w:color w:val="4A4A4A"/>
          <w:lang w:eastAsia="en-US"/>
        </w:rPr>
        <w:t>and other non-tertiary health care facilities, and</w:t>
      </w:r>
    </w:p>
    <w:p w14:paraId="5F7E0A9D" w14:textId="39644D07" w:rsidR="002F66E3" w:rsidRPr="002F66E3" w:rsidRDefault="005012B9" w:rsidP="00397ADD">
      <w:pPr>
        <w:numPr>
          <w:ilvl w:val="0"/>
          <w:numId w:val="27"/>
        </w:numPr>
        <w:shd w:val="clear" w:color="auto" w:fill="FFFFFF"/>
        <w:spacing w:after="0" w:line="240" w:lineRule="auto"/>
        <w:ind w:left="360" w:firstLine="0"/>
        <w:jc w:val="both"/>
        <w:textAlignment w:val="baseline"/>
        <w:rPr>
          <w:rFonts w:eastAsia="Times New Roman" w:cstheme="minorHAnsi"/>
          <w:color w:val="4A4A4A"/>
          <w:sz w:val="21"/>
          <w:szCs w:val="21"/>
          <w:lang w:val="en-US" w:eastAsia="en-US"/>
        </w:rPr>
      </w:pPr>
      <w:r w:rsidRPr="00486970">
        <w:rPr>
          <w:rFonts w:eastAsia="Times New Roman" w:cstheme="minorHAnsi"/>
          <w:color w:val="4A4A4A"/>
          <w:lang w:eastAsia="en-US"/>
        </w:rPr>
        <w:t>Two</w:t>
      </w:r>
      <w:r w:rsidR="005B2719">
        <w:rPr>
          <w:rFonts w:eastAsia="Times New Roman" w:cstheme="minorHAnsi"/>
          <w:color w:val="4A4A4A"/>
          <w:lang w:eastAsia="en-US"/>
        </w:rPr>
        <w:t xml:space="preserve"> </w:t>
      </w:r>
      <w:r w:rsidRPr="00486970">
        <w:rPr>
          <w:rFonts w:eastAsia="Times New Roman" w:cstheme="minorHAnsi"/>
          <w:color w:val="4A4A4A"/>
          <w:lang w:eastAsia="en-US"/>
        </w:rPr>
        <w:t>different</w:t>
      </w:r>
      <w:r w:rsidR="005B2719">
        <w:rPr>
          <w:rFonts w:eastAsia="Times New Roman" w:cstheme="minorHAnsi"/>
          <w:color w:val="4A4A4A"/>
          <w:lang w:eastAsia="en-US"/>
        </w:rPr>
        <w:t xml:space="preserve"> </w:t>
      </w:r>
      <w:r w:rsidRPr="00486970">
        <w:rPr>
          <w:rFonts w:eastAsia="Times New Roman" w:cstheme="minorHAnsi"/>
          <w:color w:val="4A4A4A"/>
          <w:lang w:eastAsia="en-US"/>
        </w:rPr>
        <w:t>versions of weights are applied to the list of medicines for hospitals and for pharmacies.</w:t>
      </w:r>
    </w:p>
    <w:p w14:paraId="5A8EC199" w14:textId="750D1433" w:rsidR="005012B9" w:rsidRPr="00486970" w:rsidRDefault="005012B9" w:rsidP="002F66E3">
      <w:pPr>
        <w:shd w:val="clear" w:color="auto" w:fill="FFFFFF"/>
        <w:spacing w:after="0" w:line="240" w:lineRule="auto"/>
        <w:ind w:left="360"/>
        <w:jc w:val="both"/>
        <w:textAlignment w:val="baseline"/>
        <w:rPr>
          <w:rFonts w:eastAsia="Times New Roman" w:cstheme="minorHAnsi"/>
          <w:color w:val="4A4A4A"/>
          <w:sz w:val="21"/>
          <w:szCs w:val="21"/>
          <w:lang w:val="en-US" w:eastAsia="en-US"/>
        </w:rPr>
      </w:pPr>
    </w:p>
    <w:p w14:paraId="31A5F8BA" w14:textId="7B65728F" w:rsidR="005012B9" w:rsidRPr="00021E78" w:rsidRDefault="005012B9" w:rsidP="00397ADD">
      <w:pPr>
        <w:numPr>
          <w:ilvl w:val="0"/>
          <w:numId w:val="28"/>
        </w:numPr>
        <w:shd w:val="clear" w:color="auto" w:fill="FFFFFF"/>
        <w:spacing w:after="0" w:line="240" w:lineRule="auto"/>
        <w:ind w:left="135" w:firstLine="0"/>
        <w:jc w:val="both"/>
        <w:textAlignment w:val="baseline"/>
        <w:rPr>
          <w:rFonts w:eastAsia="Times New Roman" w:cstheme="minorHAnsi"/>
          <w:b/>
          <w:bCs/>
          <w:sz w:val="21"/>
          <w:szCs w:val="21"/>
          <w:lang w:val="en-US" w:eastAsia="en-US"/>
        </w:rPr>
      </w:pPr>
      <w:r w:rsidRPr="00021E78">
        <w:rPr>
          <w:rFonts w:eastAsia="Times New Roman" w:cstheme="minorHAnsi"/>
          <w:b/>
          <w:bCs/>
          <w:color w:val="1C75BC"/>
          <w:sz w:val="21"/>
          <w:szCs w:val="21"/>
          <w:lang w:eastAsia="en-US"/>
        </w:rPr>
        <w:t>At regional and global levels</w:t>
      </w:r>
    </w:p>
    <w:p w14:paraId="4743D1DC" w14:textId="32475177" w:rsidR="005012B9" w:rsidRPr="00486970" w:rsidRDefault="005012B9" w:rsidP="005012B9">
      <w:pPr>
        <w:shd w:val="clear" w:color="auto" w:fill="FFFFFF"/>
        <w:spacing w:after="0" w:line="240" w:lineRule="auto"/>
        <w:jc w:val="both"/>
        <w:textAlignment w:val="baseline"/>
        <w:rPr>
          <w:rFonts w:eastAsia="Times New Roman" w:cstheme="minorHAnsi"/>
          <w:color w:val="4A4A4A"/>
          <w:sz w:val="18"/>
          <w:szCs w:val="18"/>
          <w:lang w:val="en-US" w:eastAsia="en-US"/>
        </w:rPr>
      </w:pPr>
      <w:r w:rsidRPr="00486970">
        <w:rPr>
          <w:rFonts w:eastAsia="Times New Roman" w:cstheme="minorHAnsi"/>
          <w:color w:val="4A4A4A"/>
          <w:lang w:eastAsia="en-US"/>
        </w:rPr>
        <w:t>When computing regional or global aggregates</w:t>
      </w:r>
      <w:r w:rsidR="005B2719">
        <w:rPr>
          <w:rFonts w:eastAsia="Times New Roman" w:cstheme="minorHAnsi"/>
          <w:color w:val="4A4A4A"/>
          <w:lang w:eastAsia="en-US"/>
        </w:rPr>
        <w:t xml:space="preserve"> </w:t>
      </w:r>
      <w:r w:rsidRPr="00486970">
        <w:rPr>
          <w:rFonts w:eastAsia="Times New Roman" w:cstheme="minorHAnsi"/>
          <w:color w:val="4A4A4A"/>
          <w:lang w:eastAsia="en-US"/>
        </w:rPr>
        <w:t>of indicator 3.b.3, it is possible to</w:t>
      </w:r>
      <w:r w:rsidR="005B2719">
        <w:rPr>
          <w:rFonts w:eastAsia="Times New Roman" w:cstheme="minorHAnsi"/>
          <w:color w:val="4A4A4A"/>
          <w:lang w:eastAsia="en-US"/>
        </w:rPr>
        <w:t xml:space="preserve"> </w:t>
      </w:r>
      <w:r w:rsidRPr="00486970">
        <w:rPr>
          <w:rFonts w:eastAsia="Times New Roman" w:cstheme="minorHAnsi"/>
          <w:color w:val="4A4A4A"/>
          <w:lang w:eastAsia="en-US"/>
        </w:rPr>
        <w:t>accommodate missing values</w:t>
      </w:r>
      <w:r w:rsidR="005B2719">
        <w:rPr>
          <w:rFonts w:eastAsia="Times New Roman" w:cstheme="minorHAnsi"/>
          <w:color w:val="4A4A4A"/>
          <w:lang w:eastAsia="en-US"/>
        </w:rPr>
        <w:t xml:space="preserve"> </w:t>
      </w:r>
      <w:r w:rsidRPr="00486970">
        <w:rPr>
          <w:rFonts w:eastAsia="Times New Roman" w:cstheme="minorHAnsi"/>
          <w:color w:val="4A4A4A"/>
          <w:lang w:eastAsia="en-US"/>
        </w:rPr>
        <w:t>from countries</w:t>
      </w:r>
      <w:r w:rsidR="005B2719">
        <w:rPr>
          <w:rFonts w:eastAsia="Times New Roman" w:cstheme="minorHAnsi"/>
          <w:color w:val="4A4A4A"/>
          <w:lang w:eastAsia="en-US"/>
        </w:rPr>
        <w:t xml:space="preserve"> </w:t>
      </w:r>
      <w:r w:rsidRPr="00486970">
        <w:rPr>
          <w:rFonts w:eastAsia="Times New Roman" w:cstheme="minorHAnsi"/>
          <w:color w:val="4A4A4A"/>
          <w:lang w:eastAsia="en-US"/>
        </w:rPr>
        <w:t>resulting from</w:t>
      </w:r>
      <w:r w:rsidR="005B2719">
        <w:rPr>
          <w:rFonts w:eastAsia="Times New Roman" w:cstheme="minorHAnsi"/>
          <w:color w:val="4A4A4A"/>
          <w:lang w:eastAsia="en-US"/>
        </w:rPr>
        <w:t xml:space="preserve"> </w:t>
      </w:r>
      <w:r w:rsidRPr="00486970">
        <w:rPr>
          <w:rFonts w:eastAsia="Times New Roman" w:cstheme="minorHAnsi"/>
          <w:color w:val="4A4A4A"/>
          <w:lang w:eastAsia="en-US"/>
        </w:rPr>
        <w:t>a lack of data collection for a given country</w:t>
      </w:r>
      <w:r w:rsidR="005B2719">
        <w:rPr>
          <w:rFonts w:eastAsia="Times New Roman" w:cstheme="minorHAnsi"/>
          <w:color w:val="4A4A4A"/>
          <w:lang w:eastAsia="en-US"/>
        </w:rPr>
        <w:t xml:space="preserve"> </w:t>
      </w:r>
      <w:r w:rsidRPr="00486970">
        <w:rPr>
          <w:rFonts w:eastAsia="Times New Roman" w:cstheme="minorHAnsi"/>
          <w:color w:val="4A4A4A"/>
          <w:lang w:eastAsia="en-US"/>
        </w:rPr>
        <w:t xml:space="preserve">in a given </w:t>
      </w:r>
      <w:r w:rsidRPr="00486970">
        <w:rPr>
          <w:rFonts w:eastAsia="Times New Roman" w:cstheme="minorHAnsi"/>
          <w:color w:val="4A4A4A"/>
          <w:lang w:eastAsia="en-US"/>
        </w:rPr>
        <w:lastRenderedPageBreak/>
        <w:t>year. In order to calculate a regionally aggregated</w:t>
      </w:r>
      <w:r w:rsidR="005B2719">
        <w:rPr>
          <w:rFonts w:eastAsia="Times New Roman" w:cstheme="minorHAnsi"/>
          <w:color w:val="4A4A4A"/>
          <w:lang w:eastAsia="en-US"/>
        </w:rPr>
        <w:t xml:space="preserve"> </w:t>
      </w:r>
      <w:r w:rsidRPr="00486970">
        <w:rPr>
          <w:rFonts w:eastAsia="Times New Roman" w:cstheme="minorHAnsi"/>
          <w:color w:val="4A4A4A"/>
          <w:lang w:eastAsia="en-US"/>
        </w:rPr>
        <w:t>3.b.3</w:t>
      </w:r>
      <w:r w:rsidR="005B2719">
        <w:rPr>
          <w:rFonts w:eastAsia="Times New Roman" w:cstheme="minorHAnsi"/>
          <w:color w:val="4A4A4A"/>
          <w:lang w:eastAsia="en-US"/>
        </w:rPr>
        <w:t xml:space="preserve"> </w:t>
      </w:r>
      <w:r w:rsidRPr="00486970">
        <w:rPr>
          <w:rFonts w:eastAsia="Times New Roman" w:cstheme="minorHAnsi"/>
          <w:color w:val="4A4A4A"/>
          <w:lang w:eastAsia="en-US"/>
        </w:rPr>
        <w:t>indicator, a 5-year period of data collection will be used as a reference to identify the available indicators for all the countries in the region. If during the defined 5-year period, one country of the region</w:t>
      </w:r>
      <w:r w:rsidR="005B2719">
        <w:rPr>
          <w:rFonts w:eastAsia="Times New Roman" w:cstheme="minorHAnsi"/>
          <w:color w:val="4A4A4A"/>
          <w:lang w:eastAsia="en-US"/>
        </w:rPr>
        <w:t xml:space="preserve"> </w:t>
      </w:r>
      <w:r w:rsidRPr="00486970">
        <w:rPr>
          <w:rFonts w:eastAsia="Times New Roman" w:cstheme="minorHAnsi"/>
          <w:color w:val="4A4A4A"/>
          <w:lang w:eastAsia="en-US"/>
        </w:rPr>
        <w:t>does not have even one</w:t>
      </w:r>
      <w:r w:rsidR="005B2719">
        <w:rPr>
          <w:rFonts w:eastAsia="Times New Roman" w:cstheme="minorHAnsi"/>
          <w:color w:val="4A4A4A"/>
          <w:lang w:eastAsia="en-US"/>
        </w:rPr>
        <w:t xml:space="preserve"> </w:t>
      </w:r>
      <w:r w:rsidRPr="00486970">
        <w:rPr>
          <w:rFonts w:eastAsia="Times New Roman" w:cstheme="minorHAnsi"/>
          <w:color w:val="4A4A4A"/>
          <w:lang w:eastAsia="en-US"/>
        </w:rPr>
        <w:t>indicator</w:t>
      </w:r>
      <w:r w:rsidR="005B2719">
        <w:rPr>
          <w:rFonts w:eastAsia="Times New Roman" w:cstheme="minorHAnsi"/>
          <w:color w:val="4A4A4A"/>
          <w:lang w:eastAsia="en-US"/>
        </w:rPr>
        <w:t xml:space="preserve"> </w:t>
      </w:r>
      <w:r w:rsidRPr="00486970">
        <w:rPr>
          <w:rFonts w:eastAsia="Times New Roman" w:cstheme="minorHAnsi"/>
          <w:color w:val="4A4A4A"/>
          <w:lang w:eastAsia="en-US"/>
        </w:rPr>
        <w:t>result,</w:t>
      </w:r>
      <w:r w:rsidR="005B2719">
        <w:rPr>
          <w:rFonts w:eastAsia="Times New Roman" w:cstheme="minorHAnsi"/>
          <w:color w:val="4A4A4A"/>
          <w:lang w:eastAsia="en-US"/>
        </w:rPr>
        <w:t xml:space="preserve"> </w:t>
      </w:r>
      <w:r w:rsidRPr="00486970">
        <w:rPr>
          <w:rFonts w:eastAsia="Times New Roman" w:cstheme="minorHAnsi"/>
          <w:color w:val="4A4A4A"/>
          <w:lang w:eastAsia="en-US"/>
        </w:rPr>
        <w:t>this country will not be included in</w:t>
      </w:r>
      <w:r w:rsidR="005B2719">
        <w:rPr>
          <w:rFonts w:eastAsia="Times New Roman" w:cstheme="minorHAnsi"/>
          <w:color w:val="4A4A4A"/>
          <w:lang w:eastAsia="en-US"/>
        </w:rPr>
        <w:t xml:space="preserve"> </w:t>
      </w:r>
      <w:r w:rsidRPr="00486970">
        <w:rPr>
          <w:rFonts w:eastAsia="Times New Roman" w:cstheme="minorHAnsi"/>
          <w:color w:val="4A4A4A"/>
          <w:lang w:eastAsia="en-US"/>
        </w:rPr>
        <w:t>the regional aggregate. The missing values from the countries can</w:t>
      </w:r>
      <w:r w:rsidR="005B2719">
        <w:rPr>
          <w:rFonts w:eastAsia="Times New Roman" w:cstheme="minorHAnsi"/>
          <w:color w:val="4A4A4A"/>
          <w:lang w:eastAsia="en-US"/>
        </w:rPr>
        <w:t xml:space="preserve"> </w:t>
      </w:r>
      <w:r w:rsidRPr="00486970">
        <w:rPr>
          <w:rFonts w:eastAsia="Times New Roman" w:cstheme="minorHAnsi"/>
          <w:color w:val="4A4A4A"/>
          <w:lang w:eastAsia="en-US"/>
        </w:rPr>
        <w:t>only</w:t>
      </w:r>
      <w:r w:rsidR="005B2719">
        <w:rPr>
          <w:rFonts w:eastAsia="Times New Roman" w:cstheme="minorHAnsi"/>
          <w:color w:val="4A4A4A"/>
          <w:lang w:eastAsia="en-US"/>
        </w:rPr>
        <w:t xml:space="preserve"> </w:t>
      </w:r>
      <w:r w:rsidRPr="00486970">
        <w:rPr>
          <w:rFonts w:eastAsia="Times New Roman" w:cstheme="minorHAnsi"/>
          <w:color w:val="4A4A4A"/>
          <w:lang w:eastAsia="en-US"/>
        </w:rPr>
        <w:t>be imputed when at least one data point exists for the given country in such a 5-year period.</w:t>
      </w:r>
    </w:p>
    <w:p w14:paraId="04748E1F" w14:textId="20A874F3" w:rsidR="00D51E7C" w:rsidRPr="00486970" w:rsidRDefault="00D51E7C" w:rsidP="00D51E7C">
      <w:pPr>
        <w:pStyle w:val="MText"/>
        <w:rPr>
          <w:rFonts w:cstheme="minorHAnsi"/>
        </w:rPr>
      </w:pPr>
    </w:p>
    <w:p w14:paraId="51FCD280" w14:textId="0DAB30E3" w:rsidR="00E1050F" w:rsidRPr="00486970" w:rsidRDefault="00E1050F" w:rsidP="00F719A8">
      <w:pPr>
        <w:pStyle w:val="MHeader2"/>
        <w:rPr>
          <w:rFonts w:cstheme="minorHAnsi"/>
        </w:rPr>
      </w:pPr>
      <w:r w:rsidRPr="00486970">
        <w:rPr>
          <w:rFonts w:cstheme="minorHAnsi"/>
        </w:rPr>
        <w:t xml:space="preserve">4.g. Regional aggregations </w:t>
      </w:r>
      <w:r>
        <w:rPr>
          <w:color w:val="B4B4B4"/>
          <w:sz w:val="20"/>
        </w:rPr>
        <w:t>(REG_AGG)</w:t>
      </w:r>
    </w:p>
    <w:p w14:paraId="6B8C2EAD" w14:textId="7C556516" w:rsidR="005012B9" w:rsidRDefault="005012B9" w:rsidP="005012B9">
      <w:pPr>
        <w:shd w:val="clear" w:color="auto" w:fill="FFFFFF"/>
        <w:spacing w:after="0" w:line="240" w:lineRule="auto"/>
        <w:jc w:val="both"/>
        <w:textAlignment w:val="baseline"/>
        <w:rPr>
          <w:rFonts w:eastAsia="Times New Roman" w:cstheme="minorHAnsi"/>
          <w:color w:val="4A4A4A"/>
          <w:lang w:val="en-US" w:eastAsia="en-US"/>
        </w:rPr>
      </w:pPr>
      <w:r w:rsidRPr="00486970">
        <w:rPr>
          <w:rFonts w:eastAsia="Times New Roman" w:cstheme="minorHAnsi"/>
          <w:color w:val="4A4A4A"/>
          <w:lang w:eastAsia="en-US"/>
        </w:rPr>
        <w:t>Regional and global aggregates can be computed using national population size of a country as a proxy for the country weights in the region or globally. This is justified because medicines must be available and affordable for every individual in the population.</w:t>
      </w:r>
    </w:p>
    <w:p w14:paraId="4E5EDA06" w14:textId="77777777" w:rsidR="00564F67" w:rsidRPr="00486970" w:rsidRDefault="00564F67" w:rsidP="005012B9">
      <w:pPr>
        <w:shd w:val="clear" w:color="auto" w:fill="FFFFFF"/>
        <w:spacing w:after="0" w:line="240" w:lineRule="auto"/>
        <w:jc w:val="both"/>
        <w:textAlignment w:val="baseline"/>
        <w:rPr>
          <w:rFonts w:eastAsia="Times New Roman" w:cstheme="minorHAnsi"/>
          <w:color w:val="4A4A4A"/>
          <w:sz w:val="18"/>
          <w:szCs w:val="18"/>
          <w:lang w:val="en-US" w:eastAsia="en-US"/>
        </w:rPr>
      </w:pPr>
    </w:p>
    <w:p w14:paraId="7BE7945C" w14:textId="7313F566" w:rsidR="005012B9" w:rsidRPr="00486970" w:rsidRDefault="005012B9" w:rsidP="005012B9">
      <w:pPr>
        <w:shd w:val="clear" w:color="auto" w:fill="FFFFFF"/>
        <w:spacing w:after="0" w:line="240" w:lineRule="auto"/>
        <w:jc w:val="both"/>
        <w:textAlignment w:val="baseline"/>
        <w:rPr>
          <w:rFonts w:eastAsia="Times New Roman" w:cstheme="minorHAnsi"/>
          <w:color w:val="4A4A4A"/>
          <w:sz w:val="18"/>
          <w:szCs w:val="18"/>
          <w:lang w:val="en-US" w:eastAsia="en-US"/>
        </w:rPr>
      </w:pPr>
      <w:r w:rsidRPr="00486970">
        <w:rPr>
          <w:rFonts w:eastAsia="Times New Roman" w:cstheme="minorHAnsi"/>
          <w:color w:val="4A4A4A"/>
          <w:lang w:eastAsia="en-US"/>
        </w:rPr>
        <w:t>To compute the regional indicator, the weighted average of the country indicators (using either the actual national indicator when available for the specific year of calculation, or the imputed value that corresponds to the year closest to the year of calculation) is used.</w:t>
      </w:r>
    </w:p>
    <w:p w14:paraId="2EA010B7" w14:textId="77777777" w:rsidR="00EC2915" w:rsidRPr="00486970" w:rsidRDefault="00EC2915" w:rsidP="00576CFA">
      <w:pPr>
        <w:pStyle w:val="MText"/>
        <w:rPr>
          <w:rFonts w:cstheme="minorHAnsi"/>
        </w:rPr>
      </w:pPr>
    </w:p>
    <w:p w14:paraId="71213FF2" w14:textId="52980C15" w:rsidR="00E1050F" w:rsidRPr="00486970" w:rsidRDefault="00576CFA" w:rsidP="00F719A8">
      <w:pPr>
        <w:pStyle w:val="MHeader2"/>
        <w:rPr>
          <w:rFonts w:cstheme="minorHAnsi"/>
        </w:rPr>
      </w:pPr>
      <w:r w:rsidRPr="00486970">
        <w:rPr>
          <w:rFonts w:cstheme="minorHAnsi"/>
        </w:rPr>
        <w:t xml:space="preserve">4.h. Methods and guidance available to countries for the compilation of the data at the national level </w:t>
      </w:r>
      <w:r>
        <w:rPr>
          <w:color w:val="B4B4B4"/>
          <w:sz w:val="20"/>
        </w:rPr>
        <w:t>(DOC_METHOD)</w:t>
      </w:r>
    </w:p>
    <w:p w14:paraId="230FC3EB" w14:textId="66449142" w:rsidR="005012B9" w:rsidRPr="00486970" w:rsidRDefault="005012B9" w:rsidP="005012B9">
      <w:pPr>
        <w:shd w:val="clear" w:color="auto" w:fill="FFFFFF"/>
        <w:spacing w:after="0" w:line="240" w:lineRule="auto"/>
        <w:jc w:val="both"/>
        <w:textAlignment w:val="baseline"/>
        <w:rPr>
          <w:rFonts w:eastAsia="Times New Roman" w:cstheme="minorHAnsi"/>
          <w:color w:val="4A4A4A"/>
          <w:sz w:val="18"/>
          <w:szCs w:val="18"/>
          <w:lang w:val="en-US" w:eastAsia="en-US"/>
        </w:rPr>
      </w:pPr>
      <w:r w:rsidRPr="00486970">
        <w:rPr>
          <w:rFonts w:eastAsia="Times New Roman" w:cstheme="minorHAnsi"/>
          <w:color w:val="4A4A4A"/>
          <w:lang w:eastAsia="en-US"/>
        </w:rPr>
        <w:t>The HAI/WHO manual on measuring medicine prices, availability, affordability and price components describes the methodology as well as the guidelines</w:t>
      </w:r>
      <w:r w:rsidR="005B2719">
        <w:rPr>
          <w:rFonts w:eastAsia="Times New Roman" w:cstheme="minorHAnsi"/>
          <w:color w:val="4A4A4A"/>
          <w:lang w:eastAsia="en-US"/>
        </w:rPr>
        <w:t xml:space="preserve"> </w:t>
      </w:r>
      <w:r w:rsidRPr="00486970">
        <w:rPr>
          <w:rFonts w:eastAsia="Times New Roman" w:cstheme="minorHAnsi"/>
          <w:color w:val="4A4A4A"/>
          <w:lang w:eastAsia="en-US"/>
        </w:rPr>
        <w:t>for the</w:t>
      </w:r>
      <w:r w:rsidR="005B2719">
        <w:rPr>
          <w:rFonts w:eastAsia="Times New Roman" w:cstheme="minorHAnsi"/>
          <w:color w:val="4A4A4A"/>
          <w:lang w:eastAsia="en-US"/>
        </w:rPr>
        <w:t xml:space="preserve"> </w:t>
      </w:r>
      <w:r w:rsidRPr="00486970">
        <w:rPr>
          <w:rFonts w:eastAsia="Times New Roman" w:cstheme="minorHAnsi"/>
          <w:color w:val="4A4A4A"/>
          <w:lang w:eastAsia="en-US"/>
        </w:rPr>
        <w:t>data collection</w:t>
      </w:r>
      <w:r w:rsidR="005B2719">
        <w:rPr>
          <w:rFonts w:eastAsia="Times New Roman" w:cstheme="minorHAnsi"/>
          <w:color w:val="4A4A4A"/>
          <w:lang w:eastAsia="en-US"/>
        </w:rPr>
        <w:t xml:space="preserve"> </w:t>
      </w:r>
      <w:r w:rsidRPr="00486970">
        <w:rPr>
          <w:rFonts w:eastAsia="Times New Roman" w:cstheme="minorHAnsi"/>
          <w:color w:val="4A4A4A"/>
          <w:lang w:eastAsia="en-US"/>
        </w:rPr>
        <w:t>procedure</w:t>
      </w:r>
      <w:r w:rsidR="005B2719">
        <w:rPr>
          <w:rFonts w:eastAsia="Times New Roman" w:cstheme="minorHAnsi"/>
          <w:color w:val="4A4A4A"/>
          <w:lang w:eastAsia="en-US"/>
        </w:rPr>
        <w:t xml:space="preserve"> </w:t>
      </w:r>
      <w:r w:rsidRPr="00486970">
        <w:rPr>
          <w:rFonts w:eastAsia="Times New Roman" w:cstheme="minorHAnsi"/>
          <w:color w:val="4A4A4A"/>
          <w:lang w:eastAsia="en-US"/>
        </w:rPr>
        <w:t>and analysis of the availability and affordability of medicines on the facility and national level:</w:t>
      </w:r>
    </w:p>
    <w:p w14:paraId="2EDBD062" w14:textId="6F85742E" w:rsidR="005012B9" w:rsidRPr="00486970" w:rsidRDefault="003A249F" w:rsidP="005012B9">
      <w:pPr>
        <w:shd w:val="clear" w:color="auto" w:fill="FFFFFF"/>
        <w:spacing w:after="0" w:line="240" w:lineRule="auto"/>
        <w:jc w:val="both"/>
        <w:textAlignment w:val="baseline"/>
        <w:rPr>
          <w:rFonts w:eastAsia="Times New Roman" w:cstheme="minorHAnsi"/>
          <w:sz w:val="18"/>
          <w:szCs w:val="18"/>
          <w:lang w:val="en-US" w:eastAsia="en-US"/>
        </w:rPr>
      </w:pPr>
      <w:hyperlink r:id="rId13" w:tgtFrame="_blank" w:history="1">
        <w:r w:rsidR="005012B9" w:rsidRPr="00486970">
          <w:rPr>
            <w:rFonts w:eastAsia="Times New Roman" w:cstheme="minorHAnsi"/>
            <w:color w:val="0000FF"/>
            <w:u w:val="single"/>
            <w:lang w:eastAsia="en-US"/>
          </w:rPr>
          <w:t>http://www.who.int/medicines/areas/access/medicines_prices08/en/</w:t>
        </w:r>
      </w:hyperlink>
    </w:p>
    <w:p w14:paraId="41D61A6A" w14:textId="04C26C62" w:rsidR="005012B9" w:rsidRPr="00486970" w:rsidRDefault="003A249F" w:rsidP="005012B9">
      <w:pPr>
        <w:shd w:val="clear" w:color="auto" w:fill="FFFFFF"/>
        <w:spacing w:after="0" w:line="240" w:lineRule="auto"/>
        <w:jc w:val="both"/>
        <w:textAlignment w:val="baseline"/>
        <w:rPr>
          <w:rFonts w:eastAsia="Times New Roman" w:cstheme="minorHAnsi"/>
          <w:sz w:val="18"/>
          <w:szCs w:val="18"/>
          <w:lang w:val="en-US" w:eastAsia="en-US"/>
        </w:rPr>
      </w:pPr>
      <w:hyperlink r:id="rId14" w:tgtFrame="_blank" w:history="1">
        <w:r w:rsidR="005012B9" w:rsidRPr="00486970">
          <w:rPr>
            <w:rFonts w:eastAsia="Times New Roman" w:cstheme="minorHAnsi"/>
            <w:color w:val="0000FF"/>
            <w:u w:val="single"/>
            <w:lang w:eastAsia="en-US"/>
          </w:rPr>
          <w:t>http://www.who.int/healthinfo/systems/SARA_Reference_Manual_Full.pdf</w:t>
        </w:r>
      </w:hyperlink>
    </w:p>
    <w:p w14:paraId="6199542C" w14:textId="0CE0B9E5" w:rsidR="005012B9" w:rsidRPr="00486970" w:rsidRDefault="003A249F" w:rsidP="005B2719">
      <w:pPr>
        <w:shd w:val="clear" w:color="auto" w:fill="FFFFFF"/>
        <w:spacing w:after="0" w:line="240" w:lineRule="auto"/>
        <w:jc w:val="both"/>
        <w:textAlignment w:val="baseline"/>
        <w:rPr>
          <w:rFonts w:eastAsia="Times New Roman" w:cstheme="minorHAnsi"/>
          <w:sz w:val="18"/>
          <w:szCs w:val="18"/>
          <w:lang w:val="en-US" w:eastAsia="en-US"/>
        </w:rPr>
      </w:pPr>
      <w:hyperlink r:id="rId15" w:tgtFrame="_blank" w:history="1">
        <w:r w:rsidR="005012B9" w:rsidRPr="00486970">
          <w:rPr>
            <w:rFonts w:eastAsia="Times New Roman" w:cstheme="minorHAnsi"/>
            <w:color w:val="0000FF"/>
            <w:u w:val="single"/>
            <w:lang w:eastAsia="en-US"/>
          </w:rPr>
          <w:t>http://www.who.int/medicines/areas/policy/monitoring/empmedmon</w:t>
        </w:r>
      </w:hyperlink>
    </w:p>
    <w:p w14:paraId="2939895F" w14:textId="77777777" w:rsidR="00EC2915" w:rsidRPr="00486970" w:rsidRDefault="00EC2915" w:rsidP="00576CFA">
      <w:pPr>
        <w:pStyle w:val="MText"/>
        <w:rPr>
          <w:rFonts w:cstheme="minorHAnsi"/>
        </w:rPr>
      </w:pPr>
    </w:p>
    <w:p w14:paraId="494C36E8" w14:textId="22C3CD05" w:rsidR="00E1050F" w:rsidRPr="00486970" w:rsidRDefault="00576CFA" w:rsidP="00F719A8">
      <w:pPr>
        <w:pStyle w:val="MHeader2"/>
        <w:rPr>
          <w:rFonts w:cstheme="minorHAnsi"/>
        </w:rPr>
      </w:pPr>
      <w:r w:rsidRPr="00486970">
        <w:rPr>
          <w:rFonts w:cstheme="minorHAnsi"/>
        </w:rPr>
        <w:t xml:space="preserve">4.i. Quality management </w:t>
      </w:r>
      <w:r>
        <w:rPr>
          <w:color w:val="B4B4B4"/>
          <w:sz w:val="20"/>
        </w:rPr>
        <w:t>(QUALITY_MGMNT)</w:t>
      </w:r>
    </w:p>
    <w:p w14:paraId="5484B16D" w14:textId="16C87B23" w:rsidR="00EC2915" w:rsidRDefault="00EC2915" w:rsidP="00576CFA">
      <w:pPr>
        <w:pStyle w:val="MText"/>
        <w:rPr>
          <w:rFonts w:cstheme="minorHAnsi"/>
        </w:rPr>
      </w:pPr>
    </w:p>
    <w:p w14:paraId="17B979CA" w14:textId="449C0153" w:rsidR="00E1050F" w:rsidRPr="00486970" w:rsidRDefault="00E1050F" w:rsidP="00F719A8">
      <w:pPr>
        <w:pStyle w:val="MHeader2"/>
        <w:rPr>
          <w:rFonts w:cstheme="minorHAnsi"/>
        </w:rPr>
      </w:pPr>
      <w:r w:rsidRPr="00486970">
        <w:rPr>
          <w:rFonts w:cstheme="minorHAnsi"/>
        </w:rPr>
        <w:t xml:space="preserve">4.j Quality assurance </w:t>
      </w:r>
      <w:r>
        <w:rPr>
          <w:color w:val="B4B4B4"/>
          <w:sz w:val="20"/>
        </w:rPr>
        <w:t>(QUALITY_ASSURE)</w:t>
      </w:r>
    </w:p>
    <w:p w14:paraId="07A2DB05" w14:textId="13D25774" w:rsidR="005012B9" w:rsidRDefault="005012B9" w:rsidP="005012B9">
      <w:pPr>
        <w:shd w:val="clear" w:color="auto" w:fill="FFFFFF"/>
        <w:spacing w:after="0" w:line="240" w:lineRule="auto"/>
        <w:jc w:val="both"/>
        <w:textAlignment w:val="baseline"/>
        <w:rPr>
          <w:rFonts w:eastAsia="Times New Roman" w:cstheme="minorHAnsi"/>
          <w:color w:val="4A4A4A"/>
          <w:lang w:val="en-US" w:eastAsia="en-US"/>
        </w:rPr>
      </w:pPr>
      <w:r w:rsidRPr="00486970">
        <w:rPr>
          <w:rFonts w:eastAsia="Times New Roman" w:cstheme="minorHAnsi"/>
          <w:color w:val="4A4A4A"/>
          <w:lang w:eastAsia="en-US"/>
        </w:rPr>
        <w:t>Quality control can be performed based on the median availability and median consumer price ratio of selected generic medicines listed on the Global Health Observatory</w:t>
      </w:r>
      <w:r w:rsidR="005B2719">
        <w:rPr>
          <w:rFonts w:eastAsia="Times New Roman" w:cstheme="minorHAnsi"/>
          <w:color w:val="4A4A4A"/>
          <w:lang w:eastAsia="en-US"/>
        </w:rPr>
        <w:t xml:space="preserve"> </w:t>
      </w:r>
      <w:r w:rsidRPr="00486970">
        <w:rPr>
          <w:rFonts w:eastAsia="Times New Roman" w:cstheme="minorHAnsi"/>
          <w:color w:val="4A4A4A"/>
          <w:lang w:eastAsia="en-US"/>
        </w:rPr>
        <w:t>(GHO). The quality of the key components of this indicator (i.e.</w:t>
      </w:r>
      <w:r w:rsidR="005B2719">
        <w:rPr>
          <w:rFonts w:eastAsia="Times New Roman" w:cstheme="minorHAnsi"/>
          <w:color w:val="4A4A4A"/>
          <w:lang w:eastAsia="en-US"/>
        </w:rPr>
        <w:t xml:space="preserve"> </w:t>
      </w:r>
      <w:r w:rsidRPr="00486970">
        <w:rPr>
          <w:rFonts w:eastAsia="Times New Roman" w:cstheme="minorHAnsi"/>
          <w:color w:val="4A4A4A"/>
          <w:lang w:eastAsia="en-US"/>
        </w:rPr>
        <w:t>availability, prices, etc.) can be assured for data collected using any of the three mechanisms listed above when cross-referenced with the GHO values.</w:t>
      </w:r>
    </w:p>
    <w:p w14:paraId="4BF5DA74" w14:textId="77777777" w:rsidR="00564F67" w:rsidRPr="00486970" w:rsidRDefault="00564F67" w:rsidP="005012B9">
      <w:pPr>
        <w:shd w:val="clear" w:color="auto" w:fill="FFFFFF"/>
        <w:spacing w:after="0" w:line="240" w:lineRule="auto"/>
        <w:jc w:val="both"/>
        <w:textAlignment w:val="baseline"/>
        <w:rPr>
          <w:rFonts w:eastAsia="Times New Roman" w:cstheme="minorHAnsi"/>
          <w:color w:val="4A4A4A"/>
          <w:sz w:val="18"/>
          <w:szCs w:val="18"/>
          <w:lang w:val="en-US" w:eastAsia="en-US"/>
        </w:rPr>
      </w:pPr>
    </w:p>
    <w:p w14:paraId="0DB91361" w14:textId="30EA6B0E" w:rsidR="005012B9" w:rsidRDefault="005012B9" w:rsidP="005012B9">
      <w:pPr>
        <w:shd w:val="clear" w:color="auto" w:fill="FFFFFF"/>
        <w:spacing w:after="0" w:line="240" w:lineRule="auto"/>
        <w:jc w:val="both"/>
        <w:textAlignment w:val="baseline"/>
        <w:rPr>
          <w:rFonts w:eastAsia="Times New Roman" w:cstheme="minorHAnsi"/>
          <w:color w:val="4A4A4A"/>
          <w:lang w:val="en-US" w:eastAsia="en-US"/>
        </w:rPr>
      </w:pPr>
      <w:r w:rsidRPr="00486970">
        <w:rPr>
          <w:rFonts w:eastAsia="Times New Roman" w:cstheme="minorHAnsi"/>
          <w:color w:val="4A4A4A"/>
          <w:lang w:eastAsia="en-US"/>
        </w:rPr>
        <w:t>For future data collection, quality will be based on the analysis of the sample size and the number of medicines captured in the basket.</w:t>
      </w:r>
    </w:p>
    <w:p w14:paraId="2EC97D8F" w14:textId="77777777" w:rsidR="00564F67" w:rsidRPr="00486970" w:rsidRDefault="00564F67" w:rsidP="005012B9">
      <w:pPr>
        <w:shd w:val="clear" w:color="auto" w:fill="FFFFFF"/>
        <w:spacing w:after="0" w:line="240" w:lineRule="auto"/>
        <w:jc w:val="both"/>
        <w:textAlignment w:val="baseline"/>
        <w:rPr>
          <w:rFonts w:eastAsia="Times New Roman" w:cstheme="minorHAnsi"/>
          <w:color w:val="4A4A4A"/>
          <w:sz w:val="18"/>
          <w:szCs w:val="18"/>
          <w:lang w:val="en-US" w:eastAsia="en-US"/>
        </w:rPr>
      </w:pPr>
    </w:p>
    <w:p w14:paraId="10292B6F" w14:textId="7A9C1D17" w:rsidR="005012B9" w:rsidRPr="00486970" w:rsidRDefault="005012B9" w:rsidP="005012B9">
      <w:pPr>
        <w:spacing w:after="0" w:line="240" w:lineRule="auto"/>
        <w:jc w:val="both"/>
        <w:textAlignment w:val="baseline"/>
        <w:rPr>
          <w:rFonts w:eastAsia="Times New Roman" w:cstheme="minorHAnsi"/>
          <w:color w:val="4A4A4A"/>
          <w:sz w:val="18"/>
          <w:szCs w:val="18"/>
          <w:lang w:val="en-US" w:eastAsia="en-US"/>
        </w:rPr>
      </w:pPr>
      <w:r w:rsidRPr="00486970">
        <w:rPr>
          <w:rFonts w:eastAsia="Times New Roman" w:cstheme="minorHAnsi"/>
          <w:color w:val="4A4A4A"/>
          <w:lang w:eastAsia="en-US"/>
        </w:rPr>
        <w:t>Countries</w:t>
      </w:r>
      <w:r w:rsidR="005B2719">
        <w:rPr>
          <w:rFonts w:eastAsia="Times New Roman" w:cstheme="minorHAnsi"/>
          <w:color w:val="4A4A4A"/>
          <w:lang w:eastAsia="en-US"/>
        </w:rPr>
        <w:t xml:space="preserve"> </w:t>
      </w:r>
      <w:r w:rsidRPr="00486970">
        <w:rPr>
          <w:rFonts w:eastAsia="Times New Roman" w:cstheme="minorHAnsi"/>
          <w:color w:val="4A4A4A"/>
          <w:lang w:eastAsia="en-US"/>
        </w:rPr>
        <w:t>will collect and share data with the WHO Secretariat. WHO will subsequently compute the indicator and return to the</w:t>
      </w:r>
      <w:r w:rsidR="005B2719">
        <w:rPr>
          <w:rFonts w:eastAsia="Times New Roman" w:cstheme="minorHAnsi"/>
          <w:color w:val="4A4A4A"/>
          <w:lang w:eastAsia="en-US"/>
        </w:rPr>
        <w:t xml:space="preserve"> </w:t>
      </w:r>
      <w:r w:rsidRPr="00486970">
        <w:rPr>
          <w:rFonts w:eastAsia="Times New Roman" w:cstheme="minorHAnsi"/>
          <w:color w:val="4A4A4A"/>
          <w:lang w:eastAsia="en-US"/>
        </w:rPr>
        <w:t>countries</w:t>
      </w:r>
      <w:r w:rsidR="005B2719">
        <w:rPr>
          <w:rFonts w:eastAsia="Times New Roman" w:cstheme="minorHAnsi"/>
          <w:color w:val="4A4A4A"/>
          <w:lang w:eastAsia="en-US"/>
        </w:rPr>
        <w:t xml:space="preserve"> </w:t>
      </w:r>
      <w:r w:rsidRPr="00486970">
        <w:rPr>
          <w:rFonts w:eastAsia="Times New Roman" w:cstheme="minorHAnsi"/>
          <w:color w:val="4A4A4A"/>
          <w:lang w:eastAsia="en-US"/>
        </w:rPr>
        <w:t>for</w:t>
      </w:r>
      <w:r w:rsidR="005B2719">
        <w:rPr>
          <w:rFonts w:eastAsia="Times New Roman" w:cstheme="minorHAnsi"/>
          <w:color w:val="4A4A4A"/>
          <w:lang w:eastAsia="en-US"/>
        </w:rPr>
        <w:t xml:space="preserve"> </w:t>
      </w:r>
      <w:r w:rsidRPr="00486970">
        <w:rPr>
          <w:rFonts w:eastAsia="Times New Roman" w:cstheme="minorHAnsi"/>
          <w:color w:val="4A4A4A"/>
          <w:lang w:eastAsia="en-US"/>
        </w:rPr>
        <w:t>validation.</w:t>
      </w:r>
      <w:r w:rsidR="005B2719">
        <w:rPr>
          <w:rFonts w:eastAsia="Times New Roman" w:cstheme="minorHAnsi"/>
          <w:color w:val="4A4A4A"/>
          <w:lang w:eastAsia="en-US"/>
        </w:rPr>
        <w:t xml:space="preserve"> </w:t>
      </w:r>
      <w:r w:rsidRPr="00486970">
        <w:rPr>
          <w:rFonts w:eastAsia="Times New Roman" w:cstheme="minorHAnsi"/>
          <w:color w:val="4A4A4A"/>
          <w:lang w:eastAsia="en-US"/>
        </w:rPr>
        <w:t>By request, WHO will also provide all background materials and training for data collection and indicator computation.</w:t>
      </w:r>
    </w:p>
    <w:p w14:paraId="03EF3244" w14:textId="77777777" w:rsidR="00EC2915" w:rsidRPr="00486970" w:rsidRDefault="00EC2915" w:rsidP="00576CFA">
      <w:pPr>
        <w:pStyle w:val="MText"/>
        <w:rPr>
          <w:rFonts w:cstheme="minorHAnsi"/>
        </w:rPr>
      </w:pPr>
    </w:p>
    <w:p w14:paraId="34ADD322" w14:textId="1A21C057" w:rsidR="00E1050F" w:rsidRPr="00486970" w:rsidRDefault="00576CFA" w:rsidP="00F719A8">
      <w:pPr>
        <w:pStyle w:val="MHeader2"/>
        <w:rPr>
          <w:rFonts w:cstheme="minorHAnsi"/>
        </w:rPr>
      </w:pPr>
      <w:r w:rsidRPr="00486970">
        <w:rPr>
          <w:rFonts w:cstheme="minorHAnsi"/>
        </w:rPr>
        <w:t xml:space="preserve">4.k Quality assessment </w:t>
      </w:r>
      <w:r>
        <w:rPr>
          <w:color w:val="B4B4B4"/>
          <w:sz w:val="20"/>
        </w:rPr>
        <w:t>(QUALITY_ASSMNT)</w:t>
      </w:r>
    </w:p>
    <w:p w14:paraId="326EB0AB" w14:textId="77777777" w:rsidR="00576CFA" w:rsidRPr="00486970" w:rsidRDefault="00576CFA" w:rsidP="00576CFA">
      <w:pPr>
        <w:pStyle w:val="MText"/>
        <w:rPr>
          <w:rFonts w:cstheme="minorHAnsi"/>
        </w:rPr>
      </w:pPr>
    </w:p>
    <w:p w14:paraId="5B7C52CE" w14:textId="77777777" w:rsidR="00576CFA" w:rsidRPr="00486970" w:rsidRDefault="00576CFA" w:rsidP="00576CFA">
      <w:pPr>
        <w:pStyle w:val="MText"/>
        <w:rPr>
          <w:rFonts w:cstheme="minorHAnsi"/>
        </w:rPr>
      </w:pPr>
    </w:p>
    <w:p w14:paraId="17787B3C" w14:textId="03FE81A9" w:rsidR="00E1050F" w:rsidRPr="00486970" w:rsidRDefault="00576CFA" w:rsidP="000412A0">
      <w:pPr>
        <w:pStyle w:val="MHeader"/>
        <w:spacing w:after="100"/>
        <w:rPr>
          <w:rFonts w:cstheme="minorHAnsi"/>
        </w:rPr>
      </w:pPr>
      <w:r w:rsidRPr="00486970">
        <w:rPr>
          <w:rFonts w:cstheme="minorHAnsi"/>
        </w:rPr>
        <w:t xml:space="preserve">5. Data availability and disaggregation </w:t>
      </w:r>
      <w:r>
        <w:rPr>
          <w:color w:val="B4B4B4"/>
          <w:sz w:val="20"/>
        </w:rPr>
        <w:t>(COVERAGE)</w:t>
      </w:r>
    </w:p>
    <w:p w14:paraId="464A8CCF" w14:textId="67858A1B" w:rsidR="00576CFA" w:rsidRPr="00E31F2F" w:rsidRDefault="00D51E7C" w:rsidP="00576CFA">
      <w:pPr>
        <w:pStyle w:val="MText"/>
        <w:rPr>
          <w:rFonts w:cstheme="minorHAnsi"/>
          <w:b/>
          <w:bCs/>
        </w:rPr>
      </w:pPr>
      <w:r w:rsidRPr="00E31F2F">
        <w:rPr>
          <w:rFonts w:cstheme="minorHAnsi"/>
          <w:b/>
          <w:bCs/>
        </w:rPr>
        <w:t>Data availability:</w:t>
      </w:r>
    </w:p>
    <w:p w14:paraId="3986C3B8" w14:textId="77777777" w:rsidR="005012B9" w:rsidRPr="00486970" w:rsidRDefault="005012B9" w:rsidP="005012B9">
      <w:pPr>
        <w:shd w:val="clear" w:color="auto" w:fill="FFFFFF" w:themeFill="background1"/>
        <w:spacing w:after="120" w:line="240" w:lineRule="auto"/>
        <w:rPr>
          <w:rFonts w:eastAsia="Times New Roman" w:cstheme="minorHAnsi"/>
          <w:color w:val="4A4A4A"/>
          <w:lang w:eastAsia="en-GB"/>
        </w:rPr>
      </w:pPr>
      <w:r w:rsidRPr="00E31F2F">
        <w:rPr>
          <w:rFonts w:eastAsia="Times New Roman" w:cstheme="minorHAnsi"/>
          <w:color w:val="4A4A4A"/>
          <w:lang w:eastAsia="en-GB"/>
        </w:rPr>
        <w:t>SARA</w:t>
      </w:r>
      <w:r w:rsidRPr="00486970">
        <w:rPr>
          <w:rFonts w:eastAsia="Times New Roman" w:cstheme="minorHAnsi"/>
          <w:b/>
          <w:bCs/>
          <w:color w:val="4A4A4A"/>
          <w:lang w:eastAsia="en-GB"/>
        </w:rPr>
        <w:t xml:space="preserve">: </w:t>
      </w:r>
      <w:r w:rsidRPr="00486970">
        <w:rPr>
          <w:rFonts w:eastAsia="Times New Roman" w:cstheme="minorHAnsi"/>
          <w:color w:val="4A4A4A"/>
          <w:lang w:eastAsia="en-GB"/>
        </w:rPr>
        <w:t xml:space="preserve">21 national surveys are currently available from 2010 to 2017 for a total of 13 countries. Two- and three-year trends are available for six countries; the other seven countries only have one data </w:t>
      </w:r>
      <w:r w:rsidRPr="00486970">
        <w:rPr>
          <w:rFonts w:eastAsia="Times New Roman" w:cstheme="minorHAnsi"/>
          <w:color w:val="4A4A4A"/>
          <w:lang w:eastAsia="en-GB"/>
        </w:rPr>
        <w:lastRenderedPageBreak/>
        <w:t>point. 67% of the SDG basket of relevant essential medicines is covered by such surveys. These data will be used to test quality on the availability dimension only.</w:t>
      </w:r>
    </w:p>
    <w:p w14:paraId="020F3F44" w14:textId="77777777" w:rsidR="005012B9" w:rsidRPr="00486970" w:rsidRDefault="005012B9" w:rsidP="005012B9">
      <w:pPr>
        <w:shd w:val="clear" w:color="auto" w:fill="FFFFFF" w:themeFill="background1"/>
        <w:spacing w:after="120" w:line="240" w:lineRule="auto"/>
        <w:rPr>
          <w:rFonts w:eastAsia="Times New Roman" w:cstheme="minorHAnsi"/>
          <w:color w:val="4A4A4A"/>
          <w:lang w:eastAsia="en-GB"/>
        </w:rPr>
      </w:pPr>
      <w:r w:rsidRPr="00E31F2F">
        <w:rPr>
          <w:rFonts w:eastAsia="Times New Roman" w:cstheme="minorHAnsi"/>
          <w:color w:val="4A4A4A"/>
          <w:lang w:eastAsia="en-GB"/>
        </w:rPr>
        <w:t>HAI/WHO:</w:t>
      </w:r>
      <w:r w:rsidRPr="00486970">
        <w:rPr>
          <w:rFonts w:eastAsia="Times New Roman" w:cstheme="minorHAnsi"/>
          <w:b/>
          <w:bCs/>
          <w:color w:val="4A4A4A"/>
          <w:lang w:eastAsia="en-GB"/>
        </w:rPr>
        <w:t xml:space="preserve"> </w:t>
      </w:r>
      <w:r w:rsidRPr="00486970">
        <w:rPr>
          <w:rFonts w:eastAsia="Times New Roman" w:cstheme="minorHAnsi"/>
          <w:color w:val="4A4A4A"/>
          <w:lang w:eastAsia="en-GB"/>
        </w:rPr>
        <w:t>Historical data points are available for 55 countries (28%) of all WHO Member States. The highest number of countries captured by the surveys is in the SEARO region (59%) and the smallest is in EURO region (15%). More than 60% of the medicines from the defined SDG indicator basket are captured in the HAI/WHO historical data surveys.</w:t>
      </w:r>
    </w:p>
    <w:p w14:paraId="1DFAC9E1" w14:textId="77777777" w:rsidR="005012B9" w:rsidRPr="00486970" w:rsidRDefault="005012B9" w:rsidP="005012B9">
      <w:pPr>
        <w:shd w:val="clear" w:color="auto" w:fill="FFFFFF" w:themeFill="background1"/>
        <w:spacing w:after="120" w:line="240" w:lineRule="auto"/>
        <w:rPr>
          <w:rFonts w:eastAsia="Times New Roman" w:cstheme="minorHAnsi"/>
          <w:color w:val="4A4A4A"/>
          <w:lang w:eastAsia="en-GB"/>
        </w:rPr>
      </w:pPr>
    </w:p>
    <w:p w14:paraId="391F7CBB" w14:textId="77777777" w:rsidR="005012B9" w:rsidRPr="00486970" w:rsidRDefault="005012B9" w:rsidP="005012B9">
      <w:pPr>
        <w:shd w:val="clear" w:color="auto" w:fill="FFFFFF" w:themeFill="background1"/>
        <w:spacing w:after="120" w:line="240" w:lineRule="auto"/>
        <w:jc w:val="center"/>
        <w:rPr>
          <w:rFonts w:eastAsia="Times New Roman" w:cstheme="minorHAnsi"/>
          <w:color w:val="4A4A4A"/>
          <w:lang w:eastAsia="en-GB"/>
        </w:rPr>
      </w:pPr>
      <w:r w:rsidRPr="00486970">
        <w:rPr>
          <w:rFonts w:eastAsia="Times New Roman" w:cstheme="minorHAnsi"/>
          <w:b/>
          <w:bCs/>
          <w:color w:val="4A4A4A"/>
          <w:lang w:eastAsia="en-GB"/>
        </w:rPr>
        <w:t xml:space="preserve">Table 1. </w:t>
      </w:r>
      <w:r w:rsidRPr="00486970">
        <w:rPr>
          <w:rFonts w:eastAsia="Times New Roman" w:cstheme="minorHAnsi"/>
          <w:color w:val="4A4A4A"/>
          <w:lang w:eastAsia="en-GB"/>
        </w:rPr>
        <w:t>Number of countries captured by the surveys across regions</w:t>
      </w:r>
    </w:p>
    <w:tbl>
      <w:tblPr>
        <w:tblW w:w="6376" w:type="dxa"/>
        <w:jc w:val="center"/>
        <w:tblLook w:val="04A0" w:firstRow="1" w:lastRow="0" w:firstColumn="1" w:lastColumn="0" w:noHBand="0" w:noVBand="1"/>
      </w:tblPr>
      <w:tblGrid>
        <w:gridCol w:w="2514"/>
        <w:gridCol w:w="1023"/>
        <w:gridCol w:w="1022"/>
        <w:gridCol w:w="1023"/>
        <w:gridCol w:w="794"/>
      </w:tblGrid>
      <w:tr w:rsidR="005012B9" w:rsidRPr="00486970" w14:paraId="08D323A3" w14:textId="77777777" w:rsidTr="004D1906">
        <w:trPr>
          <w:trHeight w:val="198"/>
          <w:jc w:val="center"/>
        </w:trPr>
        <w:tc>
          <w:tcPr>
            <w:tcW w:w="2514" w:type="dxa"/>
            <w:tcBorders>
              <w:top w:val="single" w:sz="8" w:space="0" w:color="808080"/>
              <w:left w:val="single" w:sz="4" w:space="0" w:color="FFFFFF"/>
              <w:bottom w:val="single" w:sz="4" w:space="0" w:color="808080"/>
              <w:right w:val="single" w:sz="4" w:space="0" w:color="FFFFFF"/>
            </w:tcBorders>
            <w:shd w:val="clear" w:color="auto" w:fill="auto"/>
            <w:noWrap/>
            <w:vAlign w:val="bottom"/>
            <w:hideMark/>
          </w:tcPr>
          <w:p w14:paraId="0800E110" w14:textId="77777777" w:rsidR="005012B9" w:rsidRPr="00486970" w:rsidRDefault="005012B9" w:rsidP="005012B9">
            <w:pPr>
              <w:shd w:val="clear" w:color="auto" w:fill="FFFFFF" w:themeFill="background1"/>
              <w:spacing w:after="120" w:line="240" w:lineRule="auto"/>
              <w:rPr>
                <w:rFonts w:cstheme="minorHAnsi"/>
                <w:b/>
                <w:bCs/>
                <w:noProof/>
                <w:color w:val="4A4A4A"/>
                <w:sz w:val="18"/>
                <w:u w:val="single"/>
                <w:lang w:val="en-US"/>
              </w:rPr>
            </w:pPr>
            <w:r w:rsidRPr="00486970">
              <w:rPr>
                <w:rFonts w:cstheme="minorHAnsi"/>
                <w:b/>
                <w:bCs/>
                <w:noProof/>
                <w:color w:val="4A4A4A"/>
                <w:sz w:val="18"/>
                <w:u w:val="single"/>
                <w:lang w:val="en-US"/>
              </w:rPr>
              <w:t>WHO Region</w:t>
            </w:r>
          </w:p>
        </w:tc>
        <w:tc>
          <w:tcPr>
            <w:tcW w:w="1023" w:type="dxa"/>
            <w:tcBorders>
              <w:top w:val="single" w:sz="8" w:space="0" w:color="808080"/>
              <w:left w:val="nil"/>
              <w:bottom w:val="single" w:sz="4" w:space="0" w:color="808080"/>
              <w:right w:val="single" w:sz="4" w:space="0" w:color="FFFFFF"/>
            </w:tcBorders>
            <w:shd w:val="clear" w:color="auto" w:fill="auto"/>
            <w:vAlign w:val="center"/>
            <w:hideMark/>
          </w:tcPr>
          <w:p w14:paraId="24C6CF19" w14:textId="77777777" w:rsidR="005012B9" w:rsidRPr="00486970" w:rsidRDefault="005012B9" w:rsidP="005012B9">
            <w:pPr>
              <w:shd w:val="clear" w:color="auto" w:fill="FFFFFF" w:themeFill="background1"/>
              <w:spacing w:after="120" w:line="240" w:lineRule="auto"/>
              <w:jc w:val="center"/>
              <w:rPr>
                <w:rFonts w:cstheme="minorHAnsi"/>
                <w:b/>
                <w:bCs/>
                <w:noProof/>
                <w:color w:val="4A4A4A"/>
                <w:sz w:val="18"/>
                <w:u w:val="single"/>
                <w:lang w:val="en-US"/>
              </w:rPr>
            </w:pPr>
            <w:r w:rsidRPr="00486970">
              <w:rPr>
                <w:rFonts w:cstheme="minorHAnsi"/>
                <w:b/>
                <w:bCs/>
                <w:noProof/>
                <w:color w:val="4A4A4A"/>
                <w:sz w:val="18"/>
                <w:u w:val="single"/>
                <w:lang w:val="en-US"/>
              </w:rPr>
              <w:t>2001-2005</w:t>
            </w:r>
          </w:p>
        </w:tc>
        <w:tc>
          <w:tcPr>
            <w:tcW w:w="1022" w:type="dxa"/>
            <w:tcBorders>
              <w:top w:val="single" w:sz="8" w:space="0" w:color="808080"/>
              <w:left w:val="nil"/>
              <w:bottom w:val="single" w:sz="4" w:space="0" w:color="808080"/>
              <w:right w:val="single" w:sz="4" w:space="0" w:color="FFFFFF"/>
            </w:tcBorders>
            <w:shd w:val="clear" w:color="auto" w:fill="auto"/>
            <w:vAlign w:val="center"/>
            <w:hideMark/>
          </w:tcPr>
          <w:p w14:paraId="7A03B2F7" w14:textId="77777777" w:rsidR="005012B9" w:rsidRPr="00486970" w:rsidRDefault="005012B9" w:rsidP="005012B9">
            <w:pPr>
              <w:shd w:val="clear" w:color="auto" w:fill="FFFFFF" w:themeFill="background1"/>
              <w:spacing w:after="120" w:line="240" w:lineRule="auto"/>
              <w:jc w:val="center"/>
              <w:rPr>
                <w:rFonts w:cstheme="minorHAnsi"/>
                <w:b/>
                <w:bCs/>
                <w:noProof/>
                <w:color w:val="4A4A4A"/>
                <w:sz w:val="18"/>
                <w:u w:val="single"/>
                <w:lang w:val="en-US"/>
              </w:rPr>
            </w:pPr>
            <w:r w:rsidRPr="00486970">
              <w:rPr>
                <w:rFonts w:cstheme="minorHAnsi"/>
                <w:b/>
                <w:bCs/>
                <w:noProof/>
                <w:color w:val="4A4A4A"/>
                <w:sz w:val="18"/>
                <w:u w:val="single"/>
                <w:lang w:val="en-US"/>
              </w:rPr>
              <w:t>2005-2010</w:t>
            </w:r>
          </w:p>
        </w:tc>
        <w:tc>
          <w:tcPr>
            <w:tcW w:w="1023" w:type="dxa"/>
            <w:tcBorders>
              <w:top w:val="single" w:sz="8" w:space="0" w:color="808080"/>
              <w:left w:val="nil"/>
              <w:bottom w:val="single" w:sz="4" w:space="0" w:color="808080"/>
              <w:right w:val="single" w:sz="4" w:space="0" w:color="FFFFFF"/>
            </w:tcBorders>
            <w:shd w:val="clear" w:color="auto" w:fill="auto"/>
            <w:vAlign w:val="center"/>
            <w:hideMark/>
          </w:tcPr>
          <w:p w14:paraId="7AF5B978" w14:textId="77777777" w:rsidR="005012B9" w:rsidRPr="00486970" w:rsidRDefault="005012B9" w:rsidP="005012B9">
            <w:pPr>
              <w:shd w:val="clear" w:color="auto" w:fill="FFFFFF" w:themeFill="background1"/>
              <w:spacing w:after="120" w:line="240" w:lineRule="auto"/>
              <w:jc w:val="center"/>
              <w:rPr>
                <w:rFonts w:cstheme="minorHAnsi"/>
                <w:b/>
                <w:bCs/>
                <w:noProof/>
                <w:color w:val="4A4A4A"/>
                <w:sz w:val="18"/>
                <w:u w:val="single"/>
                <w:lang w:val="en-US"/>
              </w:rPr>
            </w:pPr>
            <w:r w:rsidRPr="00486970">
              <w:rPr>
                <w:rFonts w:cstheme="minorHAnsi"/>
                <w:b/>
                <w:bCs/>
                <w:noProof/>
                <w:color w:val="4A4A4A"/>
                <w:sz w:val="18"/>
                <w:u w:val="single"/>
                <w:lang w:val="en-US"/>
              </w:rPr>
              <w:t>2010-2015</w:t>
            </w:r>
          </w:p>
        </w:tc>
        <w:tc>
          <w:tcPr>
            <w:tcW w:w="794" w:type="dxa"/>
            <w:tcBorders>
              <w:top w:val="single" w:sz="8" w:space="0" w:color="808080"/>
              <w:left w:val="nil"/>
              <w:bottom w:val="single" w:sz="4" w:space="0" w:color="808080"/>
              <w:right w:val="single" w:sz="4" w:space="0" w:color="FFFFFF"/>
            </w:tcBorders>
            <w:shd w:val="clear" w:color="auto" w:fill="auto"/>
            <w:vAlign w:val="center"/>
            <w:hideMark/>
          </w:tcPr>
          <w:p w14:paraId="3FD927A8" w14:textId="77777777" w:rsidR="005012B9" w:rsidRPr="00486970" w:rsidRDefault="005012B9" w:rsidP="005012B9">
            <w:pPr>
              <w:shd w:val="clear" w:color="auto" w:fill="FFFFFF" w:themeFill="background1"/>
              <w:spacing w:after="120" w:line="240" w:lineRule="auto"/>
              <w:jc w:val="center"/>
              <w:rPr>
                <w:rFonts w:cstheme="minorHAnsi"/>
                <w:b/>
                <w:bCs/>
                <w:noProof/>
                <w:color w:val="4A4A4A"/>
                <w:sz w:val="18"/>
                <w:u w:val="single"/>
                <w:lang w:val="en-US"/>
              </w:rPr>
            </w:pPr>
            <w:r w:rsidRPr="00486970">
              <w:rPr>
                <w:rFonts w:cstheme="minorHAnsi"/>
                <w:b/>
                <w:bCs/>
                <w:noProof/>
                <w:color w:val="4A4A4A"/>
                <w:sz w:val="18"/>
                <w:u w:val="single"/>
                <w:lang w:val="en-US"/>
              </w:rPr>
              <w:t>Total</w:t>
            </w:r>
          </w:p>
        </w:tc>
      </w:tr>
      <w:tr w:rsidR="005012B9" w:rsidRPr="00486970" w14:paraId="646C79AD" w14:textId="77777777" w:rsidTr="004D1906">
        <w:trPr>
          <w:trHeight w:val="198"/>
          <w:jc w:val="center"/>
        </w:trPr>
        <w:tc>
          <w:tcPr>
            <w:tcW w:w="2514" w:type="dxa"/>
            <w:tcBorders>
              <w:top w:val="nil"/>
              <w:left w:val="single" w:sz="4" w:space="0" w:color="FFFFFF"/>
              <w:bottom w:val="single" w:sz="4" w:space="0" w:color="FFFFFF"/>
              <w:right w:val="single" w:sz="4" w:space="0" w:color="FFFFFF"/>
            </w:tcBorders>
            <w:shd w:val="clear" w:color="auto" w:fill="auto"/>
            <w:noWrap/>
            <w:vAlign w:val="bottom"/>
            <w:hideMark/>
          </w:tcPr>
          <w:p w14:paraId="270AE242" w14:textId="77777777" w:rsidR="005012B9" w:rsidRPr="00486970" w:rsidRDefault="005012B9" w:rsidP="005012B9">
            <w:pPr>
              <w:shd w:val="clear" w:color="auto" w:fill="FFFFFF" w:themeFill="background1"/>
              <w:spacing w:after="120" w:line="240" w:lineRule="auto"/>
              <w:rPr>
                <w:rFonts w:cstheme="minorHAnsi"/>
                <w:i/>
                <w:iCs/>
                <w:noProof/>
                <w:color w:val="4A4A4A"/>
                <w:sz w:val="18"/>
                <w:lang w:val="en-US"/>
              </w:rPr>
            </w:pPr>
            <w:r w:rsidRPr="00486970">
              <w:rPr>
                <w:rFonts w:cstheme="minorHAnsi"/>
                <w:i/>
                <w:iCs/>
                <w:noProof/>
                <w:color w:val="4A4A4A"/>
                <w:sz w:val="18"/>
                <w:lang w:val="en-US"/>
              </w:rPr>
              <w:t>African Region</w:t>
            </w:r>
          </w:p>
        </w:tc>
        <w:tc>
          <w:tcPr>
            <w:tcW w:w="1023" w:type="dxa"/>
            <w:tcBorders>
              <w:top w:val="nil"/>
              <w:left w:val="nil"/>
              <w:bottom w:val="single" w:sz="4" w:space="0" w:color="FFFFFF"/>
              <w:right w:val="single" w:sz="4" w:space="0" w:color="FFFFFF"/>
            </w:tcBorders>
            <w:shd w:val="clear" w:color="auto" w:fill="auto"/>
            <w:noWrap/>
            <w:vAlign w:val="bottom"/>
            <w:hideMark/>
          </w:tcPr>
          <w:p w14:paraId="6796C0BC"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14</w:t>
            </w:r>
          </w:p>
        </w:tc>
        <w:tc>
          <w:tcPr>
            <w:tcW w:w="1022" w:type="dxa"/>
            <w:tcBorders>
              <w:top w:val="nil"/>
              <w:left w:val="nil"/>
              <w:bottom w:val="single" w:sz="4" w:space="0" w:color="FFFFFF"/>
              <w:right w:val="single" w:sz="4" w:space="0" w:color="FFFFFF"/>
            </w:tcBorders>
            <w:shd w:val="clear" w:color="auto" w:fill="auto"/>
            <w:noWrap/>
            <w:vAlign w:val="bottom"/>
            <w:hideMark/>
          </w:tcPr>
          <w:p w14:paraId="1D6CE66F"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5</w:t>
            </w:r>
          </w:p>
        </w:tc>
        <w:tc>
          <w:tcPr>
            <w:tcW w:w="1023" w:type="dxa"/>
            <w:tcBorders>
              <w:top w:val="nil"/>
              <w:left w:val="nil"/>
              <w:bottom w:val="single" w:sz="4" w:space="0" w:color="FFFFFF"/>
              <w:right w:val="single" w:sz="4" w:space="0" w:color="FFFFFF"/>
            </w:tcBorders>
            <w:shd w:val="clear" w:color="auto" w:fill="auto"/>
            <w:noWrap/>
            <w:vAlign w:val="bottom"/>
            <w:hideMark/>
          </w:tcPr>
          <w:p w14:paraId="75D0E6A5"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2</w:t>
            </w:r>
          </w:p>
        </w:tc>
        <w:tc>
          <w:tcPr>
            <w:tcW w:w="794" w:type="dxa"/>
            <w:tcBorders>
              <w:top w:val="nil"/>
              <w:left w:val="nil"/>
              <w:bottom w:val="single" w:sz="4" w:space="0" w:color="FFFFFF"/>
              <w:right w:val="single" w:sz="4" w:space="0" w:color="FFFFFF"/>
            </w:tcBorders>
            <w:shd w:val="clear" w:color="auto" w:fill="auto"/>
            <w:noWrap/>
            <w:vAlign w:val="bottom"/>
            <w:hideMark/>
          </w:tcPr>
          <w:p w14:paraId="6A2D3C3A" w14:textId="77777777" w:rsidR="005012B9" w:rsidRPr="00486970" w:rsidRDefault="005012B9" w:rsidP="005012B9">
            <w:pPr>
              <w:shd w:val="clear" w:color="auto" w:fill="FFFFFF" w:themeFill="background1"/>
              <w:spacing w:after="120" w:line="240" w:lineRule="auto"/>
              <w:jc w:val="center"/>
              <w:rPr>
                <w:rFonts w:cstheme="minorHAnsi"/>
                <w:b/>
                <w:bCs/>
                <w:noProof/>
                <w:color w:val="4A4A4A"/>
                <w:sz w:val="18"/>
                <w:lang w:val="en-US"/>
              </w:rPr>
            </w:pPr>
            <w:r w:rsidRPr="00486970">
              <w:rPr>
                <w:rFonts w:cstheme="minorHAnsi"/>
                <w:b/>
                <w:bCs/>
                <w:noProof/>
                <w:color w:val="4A4A4A"/>
                <w:sz w:val="18"/>
                <w:lang w:val="en-US"/>
              </w:rPr>
              <w:t>21</w:t>
            </w:r>
          </w:p>
        </w:tc>
      </w:tr>
      <w:tr w:rsidR="005012B9" w:rsidRPr="00486970" w14:paraId="69B0FC89" w14:textId="77777777" w:rsidTr="004D1906">
        <w:trPr>
          <w:trHeight w:val="198"/>
          <w:jc w:val="center"/>
        </w:trPr>
        <w:tc>
          <w:tcPr>
            <w:tcW w:w="2514" w:type="dxa"/>
            <w:tcBorders>
              <w:top w:val="nil"/>
              <w:left w:val="single" w:sz="4" w:space="0" w:color="FFFFFF"/>
              <w:bottom w:val="single" w:sz="4" w:space="0" w:color="FFFFFF"/>
              <w:right w:val="single" w:sz="4" w:space="0" w:color="FFFFFF"/>
            </w:tcBorders>
            <w:shd w:val="clear" w:color="auto" w:fill="auto"/>
            <w:noWrap/>
            <w:vAlign w:val="bottom"/>
            <w:hideMark/>
          </w:tcPr>
          <w:p w14:paraId="3084BE4F" w14:textId="77777777" w:rsidR="005012B9" w:rsidRPr="00486970" w:rsidRDefault="005012B9" w:rsidP="005012B9">
            <w:pPr>
              <w:shd w:val="clear" w:color="auto" w:fill="FFFFFF" w:themeFill="background1"/>
              <w:spacing w:after="120" w:line="240" w:lineRule="auto"/>
              <w:rPr>
                <w:rFonts w:cstheme="minorHAnsi"/>
                <w:i/>
                <w:iCs/>
                <w:noProof/>
                <w:color w:val="4A4A4A"/>
                <w:sz w:val="18"/>
                <w:lang w:val="en-US"/>
              </w:rPr>
            </w:pPr>
            <w:r w:rsidRPr="00486970">
              <w:rPr>
                <w:rFonts w:cstheme="minorHAnsi"/>
                <w:i/>
                <w:iCs/>
                <w:noProof/>
                <w:color w:val="4A4A4A"/>
                <w:sz w:val="18"/>
                <w:lang w:val="en-US"/>
              </w:rPr>
              <w:t>Region of the Americas</w:t>
            </w:r>
          </w:p>
        </w:tc>
        <w:tc>
          <w:tcPr>
            <w:tcW w:w="1023" w:type="dxa"/>
            <w:tcBorders>
              <w:top w:val="nil"/>
              <w:left w:val="nil"/>
              <w:bottom w:val="single" w:sz="4" w:space="0" w:color="FFFFFF"/>
              <w:right w:val="single" w:sz="4" w:space="0" w:color="FFFFFF"/>
            </w:tcBorders>
            <w:shd w:val="clear" w:color="auto" w:fill="auto"/>
            <w:noWrap/>
            <w:vAlign w:val="bottom"/>
            <w:hideMark/>
          </w:tcPr>
          <w:p w14:paraId="6F85BC15"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3</w:t>
            </w:r>
          </w:p>
        </w:tc>
        <w:tc>
          <w:tcPr>
            <w:tcW w:w="1022" w:type="dxa"/>
            <w:tcBorders>
              <w:top w:val="nil"/>
              <w:left w:val="nil"/>
              <w:bottom w:val="single" w:sz="4" w:space="0" w:color="FFFFFF"/>
              <w:right w:val="single" w:sz="4" w:space="0" w:color="FFFFFF"/>
            </w:tcBorders>
            <w:shd w:val="clear" w:color="auto" w:fill="auto"/>
            <w:noWrap/>
            <w:vAlign w:val="bottom"/>
            <w:hideMark/>
          </w:tcPr>
          <w:p w14:paraId="788D543B"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7</w:t>
            </w:r>
          </w:p>
        </w:tc>
        <w:tc>
          <w:tcPr>
            <w:tcW w:w="1023" w:type="dxa"/>
            <w:tcBorders>
              <w:top w:val="nil"/>
              <w:left w:val="nil"/>
              <w:bottom w:val="single" w:sz="4" w:space="0" w:color="FFFFFF"/>
              <w:right w:val="single" w:sz="4" w:space="0" w:color="FFFFFF"/>
            </w:tcBorders>
            <w:shd w:val="clear" w:color="auto" w:fill="auto"/>
            <w:noWrap/>
            <w:vAlign w:val="bottom"/>
            <w:hideMark/>
          </w:tcPr>
          <w:p w14:paraId="60E55D22"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1</w:t>
            </w:r>
          </w:p>
        </w:tc>
        <w:tc>
          <w:tcPr>
            <w:tcW w:w="794" w:type="dxa"/>
            <w:tcBorders>
              <w:top w:val="nil"/>
              <w:left w:val="nil"/>
              <w:bottom w:val="single" w:sz="4" w:space="0" w:color="FFFFFF"/>
              <w:right w:val="single" w:sz="4" w:space="0" w:color="FFFFFF"/>
            </w:tcBorders>
            <w:shd w:val="clear" w:color="auto" w:fill="auto"/>
            <w:noWrap/>
            <w:vAlign w:val="bottom"/>
            <w:hideMark/>
          </w:tcPr>
          <w:p w14:paraId="5A32CB60" w14:textId="77777777" w:rsidR="005012B9" w:rsidRPr="00486970" w:rsidRDefault="005012B9" w:rsidP="005012B9">
            <w:pPr>
              <w:shd w:val="clear" w:color="auto" w:fill="FFFFFF" w:themeFill="background1"/>
              <w:spacing w:after="120" w:line="240" w:lineRule="auto"/>
              <w:jc w:val="center"/>
              <w:rPr>
                <w:rFonts w:cstheme="minorHAnsi"/>
                <w:b/>
                <w:bCs/>
                <w:noProof/>
                <w:color w:val="4A4A4A"/>
                <w:sz w:val="18"/>
                <w:lang w:val="en-US"/>
              </w:rPr>
            </w:pPr>
            <w:r w:rsidRPr="00486970">
              <w:rPr>
                <w:rFonts w:cstheme="minorHAnsi"/>
                <w:b/>
                <w:bCs/>
                <w:noProof/>
                <w:color w:val="4A4A4A"/>
                <w:sz w:val="18"/>
                <w:lang w:val="en-US"/>
              </w:rPr>
              <w:t>11</w:t>
            </w:r>
          </w:p>
        </w:tc>
      </w:tr>
      <w:tr w:rsidR="005012B9" w:rsidRPr="00486970" w14:paraId="2E978ED1" w14:textId="77777777" w:rsidTr="004D1906">
        <w:trPr>
          <w:trHeight w:val="198"/>
          <w:jc w:val="center"/>
        </w:trPr>
        <w:tc>
          <w:tcPr>
            <w:tcW w:w="2514" w:type="dxa"/>
            <w:tcBorders>
              <w:top w:val="nil"/>
              <w:left w:val="single" w:sz="4" w:space="0" w:color="FFFFFF"/>
              <w:bottom w:val="single" w:sz="4" w:space="0" w:color="FFFFFF"/>
              <w:right w:val="single" w:sz="4" w:space="0" w:color="FFFFFF"/>
            </w:tcBorders>
            <w:shd w:val="clear" w:color="auto" w:fill="auto"/>
            <w:noWrap/>
            <w:vAlign w:val="bottom"/>
            <w:hideMark/>
          </w:tcPr>
          <w:p w14:paraId="45D50BBB" w14:textId="77777777" w:rsidR="005012B9" w:rsidRPr="00486970" w:rsidRDefault="005012B9" w:rsidP="005012B9">
            <w:pPr>
              <w:shd w:val="clear" w:color="auto" w:fill="FFFFFF" w:themeFill="background1"/>
              <w:spacing w:after="120" w:line="240" w:lineRule="auto"/>
              <w:rPr>
                <w:rFonts w:cstheme="minorHAnsi"/>
                <w:i/>
                <w:iCs/>
                <w:noProof/>
                <w:color w:val="4A4A4A"/>
                <w:sz w:val="18"/>
                <w:lang w:val="en-US"/>
              </w:rPr>
            </w:pPr>
            <w:r w:rsidRPr="00486970">
              <w:rPr>
                <w:rFonts w:cstheme="minorHAnsi"/>
                <w:i/>
                <w:iCs/>
                <w:noProof/>
                <w:color w:val="4A4A4A"/>
                <w:sz w:val="18"/>
                <w:lang w:val="en-US"/>
              </w:rPr>
              <w:t>Eastern Mediterranean Region</w:t>
            </w:r>
          </w:p>
        </w:tc>
        <w:tc>
          <w:tcPr>
            <w:tcW w:w="1023" w:type="dxa"/>
            <w:tcBorders>
              <w:top w:val="nil"/>
              <w:left w:val="nil"/>
              <w:bottom w:val="single" w:sz="4" w:space="0" w:color="FFFFFF"/>
              <w:right w:val="single" w:sz="4" w:space="0" w:color="FFFFFF"/>
            </w:tcBorders>
            <w:shd w:val="clear" w:color="auto" w:fill="auto"/>
            <w:noWrap/>
            <w:vAlign w:val="bottom"/>
            <w:hideMark/>
          </w:tcPr>
          <w:p w14:paraId="192FD75B"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8</w:t>
            </w:r>
          </w:p>
        </w:tc>
        <w:tc>
          <w:tcPr>
            <w:tcW w:w="1022" w:type="dxa"/>
            <w:tcBorders>
              <w:top w:val="nil"/>
              <w:left w:val="nil"/>
              <w:bottom w:val="single" w:sz="4" w:space="0" w:color="FFFFFF"/>
              <w:right w:val="single" w:sz="4" w:space="0" w:color="FFFFFF"/>
            </w:tcBorders>
            <w:shd w:val="clear" w:color="auto" w:fill="auto"/>
            <w:noWrap/>
            <w:vAlign w:val="bottom"/>
            <w:hideMark/>
          </w:tcPr>
          <w:p w14:paraId="5B659067"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5</w:t>
            </w:r>
          </w:p>
        </w:tc>
        <w:tc>
          <w:tcPr>
            <w:tcW w:w="1023" w:type="dxa"/>
            <w:tcBorders>
              <w:top w:val="nil"/>
              <w:left w:val="nil"/>
              <w:bottom w:val="single" w:sz="4" w:space="0" w:color="FFFFFF"/>
              <w:right w:val="single" w:sz="4" w:space="0" w:color="FFFFFF"/>
            </w:tcBorders>
            <w:shd w:val="clear" w:color="auto" w:fill="auto"/>
            <w:noWrap/>
            <w:vAlign w:val="bottom"/>
            <w:hideMark/>
          </w:tcPr>
          <w:p w14:paraId="6261B128"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3</w:t>
            </w:r>
          </w:p>
        </w:tc>
        <w:tc>
          <w:tcPr>
            <w:tcW w:w="794" w:type="dxa"/>
            <w:tcBorders>
              <w:top w:val="nil"/>
              <w:left w:val="nil"/>
              <w:bottom w:val="single" w:sz="4" w:space="0" w:color="FFFFFF"/>
              <w:right w:val="single" w:sz="4" w:space="0" w:color="FFFFFF"/>
            </w:tcBorders>
            <w:shd w:val="clear" w:color="auto" w:fill="auto"/>
            <w:noWrap/>
            <w:vAlign w:val="bottom"/>
            <w:hideMark/>
          </w:tcPr>
          <w:p w14:paraId="58D64164" w14:textId="77777777" w:rsidR="005012B9" w:rsidRPr="00486970" w:rsidRDefault="005012B9" w:rsidP="005012B9">
            <w:pPr>
              <w:shd w:val="clear" w:color="auto" w:fill="FFFFFF" w:themeFill="background1"/>
              <w:spacing w:after="120" w:line="240" w:lineRule="auto"/>
              <w:jc w:val="center"/>
              <w:rPr>
                <w:rFonts w:cstheme="minorHAnsi"/>
                <w:b/>
                <w:bCs/>
                <w:noProof/>
                <w:color w:val="4A4A4A"/>
                <w:sz w:val="18"/>
                <w:lang w:val="en-US"/>
              </w:rPr>
            </w:pPr>
            <w:r w:rsidRPr="00486970">
              <w:rPr>
                <w:rFonts w:cstheme="minorHAnsi"/>
                <w:b/>
                <w:bCs/>
                <w:noProof/>
                <w:color w:val="4A4A4A"/>
                <w:sz w:val="18"/>
                <w:lang w:val="en-US"/>
              </w:rPr>
              <w:t>16</w:t>
            </w:r>
          </w:p>
        </w:tc>
      </w:tr>
      <w:tr w:rsidR="005012B9" w:rsidRPr="00486970" w14:paraId="36B69A55" w14:textId="77777777" w:rsidTr="004D1906">
        <w:trPr>
          <w:trHeight w:val="198"/>
          <w:jc w:val="center"/>
        </w:trPr>
        <w:tc>
          <w:tcPr>
            <w:tcW w:w="2514" w:type="dxa"/>
            <w:tcBorders>
              <w:top w:val="nil"/>
              <w:left w:val="single" w:sz="4" w:space="0" w:color="FFFFFF"/>
              <w:bottom w:val="single" w:sz="4" w:space="0" w:color="FFFFFF"/>
              <w:right w:val="single" w:sz="4" w:space="0" w:color="FFFFFF"/>
            </w:tcBorders>
            <w:shd w:val="clear" w:color="auto" w:fill="auto"/>
            <w:noWrap/>
            <w:vAlign w:val="bottom"/>
            <w:hideMark/>
          </w:tcPr>
          <w:p w14:paraId="074EBA93" w14:textId="77777777" w:rsidR="005012B9" w:rsidRPr="00486970" w:rsidRDefault="005012B9" w:rsidP="005012B9">
            <w:pPr>
              <w:shd w:val="clear" w:color="auto" w:fill="FFFFFF" w:themeFill="background1"/>
              <w:spacing w:after="120" w:line="240" w:lineRule="auto"/>
              <w:rPr>
                <w:rFonts w:cstheme="minorHAnsi"/>
                <w:i/>
                <w:iCs/>
                <w:noProof/>
                <w:color w:val="4A4A4A"/>
                <w:sz w:val="18"/>
                <w:lang w:val="en-US"/>
              </w:rPr>
            </w:pPr>
            <w:r w:rsidRPr="00486970">
              <w:rPr>
                <w:rFonts w:cstheme="minorHAnsi"/>
                <w:i/>
                <w:iCs/>
                <w:noProof/>
                <w:color w:val="4A4A4A"/>
                <w:sz w:val="18"/>
                <w:lang w:val="en-US"/>
              </w:rPr>
              <w:t>European Region</w:t>
            </w:r>
          </w:p>
        </w:tc>
        <w:tc>
          <w:tcPr>
            <w:tcW w:w="1023" w:type="dxa"/>
            <w:tcBorders>
              <w:top w:val="nil"/>
              <w:left w:val="nil"/>
              <w:bottom w:val="single" w:sz="4" w:space="0" w:color="FFFFFF"/>
              <w:right w:val="single" w:sz="4" w:space="0" w:color="FFFFFF"/>
            </w:tcBorders>
            <w:shd w:val="clear" w:color="auto" w:fill="auto"/>
            <w:noWrap/>
            <w:vAlign w:val="bottom"/>
            <w:hideMark/>
          </w:tcPr>
          <w:p w14:paraId="72585A4A"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5</w:t>
            </w:r>
          </w:p>
        </w:tc>
        <w:tc>
          <w:tcPr>
            <w:tcW w:w="1022" w:type="dxa"/>
            <w:tcBorders>
              <w:top w:val="nil"/>
              <w:left w:val="nil"/>
              <w:bottom w:val="single" w:sz="4" w:space="0" w:color="FFFFFF"/>
              <w:right w:val="single" w:sz="4" w:space="0" w:color="FFFFFF"/>
            </w:tcBorders>
            <w:shd w:val="clear" w:color="auto" w:fill="auto"/>
            <w:noWrap/>
            <w:vAlign w:val="bottom"/>
            <w:hideMark/>
          </w:tcPr>
          <w:p w14:paraId="428CAE43"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2</w:t>
            </w:r>
          </w:p>
        </w:tc>
        <w:tc>
          <w:tcPr>
            <w:tcW w:w="1023" w:type="dxa"/>
            <w:tcBorders>
              <w:top w:val="nil"/>
              <w:left w:val="nil"/>
              <w:bottom w:val="single" w:sz="4" w:space="0" w:color="FFFFFF"/>
              <w:right w:val="single" w:sz="4" w:space="0" w:color="FFFFFF"/>
            </w:tcBorders>
            <w:shd w:val="clear" w:color="auto" w:fill="auto"/>
            <w:noWrap/>
            <w:vAlign w:val="bottom"/>
            <w:hideMark/>
          </w:tcPr>
          <w:p w14:paraId="2A06110A"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3</w:t>
            </w:r>
          </w:p>
        </w:tc>
        <w:tc>
          <w:tcPr>
            <w:tcW w:w="794" w:type="dxa"/>
            <w:tcBorders>
              <w:top w:val="nil"/>
              <w:left w:val="nil"/>
              <w:bottom w:val="single" w:sz="4" w:space="0" w:color="FFFFFF"/>
              <w:right w:val="single" w:sz="4" w:space="0" w:color="FFFFFF"/>
            </w:tcBorders>
            <w:shd w:val="clear" w:color="auto" w:fill="auto"/>
            <w:noWrap/>
            <w:vAlign w:val="bottom"/>
            <w:hideMark/>
          </w:tcPr>
          <w:p w14:paraId="45C87829" w14:textId="77777777" w:rsidR="005012B9" w:rsidRPr="00486970" w:rsidRDefault="005012B9" w:rsidP="005012B9">
            <w:pPr>
              <w:shd w:val="clear" w:color="auto" w:fill="FFFFFF" w:themeFill="background1"/>
              <w:spacing w:after="120" w:line="240" w:lineRule="auto"/>
              <w:jc w:val="center"/>
              <w:rPr>
                <w:rFonts w:cstheme="minorHAnsi"/>
                <w:b/>
                <w:bCs/>
                <w:noProof/>
                <w:color w:val="4A4A4A"/>
                <w:sz w:val="18"/>
                <w:lang w:val="en-US"/>
              </w:rPr>
            </w:pPr>
            <w:r w:rsidRPr="00486970">
              <w:rPr>
                <w:rFonts w:cstheme="minorHAnsi"/>
                <w:b/>
                <w:bCs/>
                <w:noProof/>
                <w:color w:val="4A4A4A"/>
                <w:sz w:val="18"/>
                <w:lang w:val="en-US"/>
              </w:rPr>
              <w:t>10</w:t>
            </w:r>
          </w:p>
        </w:tc>
      </w:tr>
      <w:tr w:rsidR="005012B9" w:rsidRPr="00486970" w14:paraId="11B08806" w14:textId="77777777" w:rsidTr="004D1906">
        <w:trPr>
          <w:trHeight w:val="198"/>
          <w:jc w:val="center"/>
        </w:trPr>
        <w:tc>
          <w:tcPr>
            <w:tcW w:w="2514" w:type="dxa"/>
            <w:tcBorders>
              <w:top w:val="nil"/>
              <w:left w:val="single" w:sz="4" w:space="0" w:color="FFFFFF"/>
              <w:bottom w:val="single" w:sz="4" w:space="0" w:color="FFFFFF"/>
              <w:right w:val="single" w:sz="4" w:space="0" w:color="FFFFFF"/>
            </w:tcBorders>
            <w:shd w:val="clear" w:color="auto" w:fill="auto"/>
            <w:noWrap/>
            <w:vAlign w:val="bottom"/>
            <w:hideMark/>
          </w:tcPr>
          <w:p w14:paraId="164B75C4" w14:textId="77777777" w:rsidR="005012B9" w:rsidRPr="00486970" w:rsidRDefault="005012B9" w:rsidP="005012B9">
            <w:pPr>
              <w:shd w:val="clear" w:color="auto" w:fill="FFFFFF" w:themeFill="background1"/>
              <w:spacing w:after="120" w:line="240" w:lineRule="auto"/>
              <w:rPr>
                <w:rFonts w:cstheme="minorHAnsi"/>
                <w:i/>
                <w:iCs/>
                <w:noProof/>
                <w:color w:val="4A4A4A"/>
                <w:sz w:val="18"/>
                <w:lang w:val="en-US"/>
              </w:rPr>
            </w:pPr>
            <w:r w:rsidRPr="00486970">
              <w:rPr>
                <w:rFonts w:cstheme="minorHAnsi"/>
                <w:i/>
                <w:iCs/>
                <w:noProof/>
                <w:color w:val="4A4A4A"/>
                <w:sz w:val="18"/>
                <w:lang w:val="en-US"/>
              </w:rPr>
              <w:t>South-East Asia Region</w:t>
            </w:r>
          </w:p>
        </w:tc>
        <w:tc>
          <w:tcPr>
            <w:tcW w:w="1023" w:type="dxa"/>
            <w:tcBorders>
              <w:top w:val="nil"/>
              <w:left w:val="nil"/>
              <w:bottom w:val="single" w:sz="4" w:space="0" w:color="FFFFFF"/>
              <w:right w:val="single" w:sz="4" w:space="0" w:color="FFFFFF"/>
            </w:tcBorders>
            <w:shd w:val="clear" w:color="auto" w:fill="auto"/>
            <w:noWrap/>
            <w:vAlign w:val="bottom"/>
            <w:hideMark/>
          </w:tcPr>
          <w:p w14:paraId="67F18D3C"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5</w:t>
            </w:r>
          </w:p>
        </w:tc>
        <w:tc>
          <w:tcPr>
            <w:tcW w:w="1022" w:type="dxa"/>
            <w:tcBorders>
              <w:top w:val="nil"/>
              <w:left w:val="nil"/>
              <w:bottom w:val="single" w:sz="4" w:space="0" w:color="FFFFFF"/>
              <w:right w:val="single" w:sz="4" w:space="0" w:color="FFFFFF"/>
            </w:tcBorders>
            <w:shd w:val="clear" w:color="auto" w:fill="auto"/>
            <w:noWrap/>
            <w:vAlign w:val="bottom"/>
            <w:hideMark/>
          </w:tcPr>
          <w:p w14:paraId="38C41701"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2</w:t>
            </w:r>
          </w:p>
        </w:tc>
        <w:tc>
          <w:tcPr>
            <w:tcW w:w="1023" w:type="dxa"/>
            <w:tcBorders>
              <w:top w:val="nil"/>
              <w:left w:val="nil"/>
              <w:bottom w:val="single" w:sz="4" w:space="0" w:color="FFFFFF"/>
              <w:right w:val="single" w:sz="4" w:space="0" w:color="FFFFFF"/>
            </w:tcBorders>
            <w:shd w:val="clear" w:color="auto" w:fill="auto"/>
            <w:noWrap/>
            <w:vAlign w:val="bottom"/>
            <w:hideMark/>
          </w:tcPr>
          <w:p w14:paraId="55B363E5"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1</w:t>
            </w:r>
          </w:p>
        </w:tc>
        <w:tc>
          <w:tcPr>
            <w:tcW w:w="794" w:type="dxa"/>
            <w:tcBorders>
              <w:top w:val="nil"/>
              <w:left w:val="nil"/>
              <w:bottom w:val="single" w:sz="4" w:space="0" w:color="FFFFFF"/>
              <w:right w:val="single" w:sz="4" w:space="0" w:color="FFFFFF"/>
            </w:tcBorders>
            <w:shd w:val="clear" w:color="auto" w:fill="auto"/>
            <w:noWrap/>
            <w:vAlign w:val="bottom"/>
            <w:hideMark/>
          </w:tcPr>
          <w:p w14:paraId="5E0C1C8F" w14:textId="77777777" w:rsidR="005012B9" w:rsidRPr="00486970" w:rsidRDefault="005012B9" w:rsidP="005012B9">
            <w:pPr>
              <w:shd w:val="clear" w:color="auto" w:fill="FFFFFF" w:themeFill="background1"/>
              <w:spacing w:after="120" w:line="240" w:lineRule="auto"/>
              <w:jc w:val="center"/>
              <w:rPr>
                <w:rFonts w:cstheme="minorHAnsi"/>
                <w:b/>
                <w:bCs/>
                <w:noProof/>
                <w:color w:val="4A4A4A"/>
                <w:sz w:val="18"/>
                <w:lang w:val="en-US"/>
              </w:rPr>
            </w:pPr>
            <w:r w:rsidRPr="00486970">
              <w:rPr>
                <w:rFonts w:cstheme="minorHAnsi"/>
                <w:b/>
                <w:bCs/>
                <w:noProof/>
                <w:color w:val="4A4A4A"/>
                <w:sz w:val="18"/>
                <w:lang w:val="en-US"/>
              </w:rPr>
              <w:t>8</w:t>
            </w:r>
          </w:p>
        </w:tc>
      </w:tr>
      <w:tr w:rsidR="005012B9" w:rsidRPr="00486970" w14:paraId="33FA008C" w14:textId="77777777" w:rsidTr="004D1906">
        <w:trPr>
          <w:trHeight w:val="198"/>
          <w:jc w:val="center"/>
        </w:trPr>
        <w:tc>
          <w:tcPr>
            <w:tcW w:w="2514" w:type="dxa"/>
            <w:tcBorders>
              <w:top w:val="nil"/>
              <w:left w:val="single" w:sz="4" w:space="0" w:color="FFFFFF"/>
              <w:bottom w:val="nil"/>
              <w:right w:val="single" w:sz="4" w:space="0" w:color="FFFFFF"/>
            </w:tcBorders>
            <w:shd w:val="clear" w:color="auto" w:fill="auto"/>
            <w:noWrap/>
            <w:vAlign w:val="bottom"/>
            <w:hideMark/>
          </w:tcPr>
          <w:p w14:paraId="3C5EFB23" w14:textId="77777777" w:rsidR="005012B9" w:rsidRPr="00486970" w:rsidRDefault="005012B9" w:rsidP="005012B9">
            <w:pPr>
              <w:shd w:val="clear" w:color="auto" w:fill="FFFFFF" w:themeFill="background1"/>
              <w:spacing w:after="120" w:line="240" w:lineRule="auto"/>
              <w:rPr>
                <w:rFonts w:cstheme="minorHAnsi"/>
                <w:i/>
                <w:iCs/>
                <w:noProof/>
                <w:color w:val="4A4A4A"/>
                <w:sz w:val="18"/>
                <w:lang w:val="en-US"/>
              </w:rPr>
            </w:pPr>
            <w:r w:rsidRPr="00486970">
              <w:rPr>
                <w:rFonts w:cstheme="minorHAnsi"/>
                <w:i/>
                <w:iCs/>
                <w:noProof/>
                <w:color w:val="4A4A4A"/>
                <w:sz w:val="18"/>
                <w:lang w:val="en-US"/>
              </w:rPr>
              <w:t>Western Pacific Region</w:t>
            </w:r>
          </w:p>
        </w:tc>
        <w:tc>
          <w:tcPr>
            <w:tcW w:w="1023" w:type="dxa"/>
            <w:tcBorders>
              <w:top w:val="nil"/>
              <w:left w:val="nil"/>
              <w:bottom w:val="nil"/>
              <w:right w:val="single" w:sz="4" w:space="0" w:color="FFFFFF"/>
            </w:tcBorders>
            <w:shd w:val="clear" w:color="auto" w:fill="auto"/>
            <w:noWrap/>
            <w:vAlign w:val="bottom"/>
            <w:hideMark/>
          </w:tcPr>
          <w:p w14:paraId="22D546F5"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6</w:t>
            </w:r>
          </w:p>
        </w:tc>
        <w:tc>
          <w:tcPr>
            <w:tcW w:w="1022" w:type="dxa"/>
            <w:tcBorders>
              <w:top w:val="nil"/>
              <w:left w:val="nil"/>
              <w:bottom w:val="nil"/>
              <w:right w:val="single" w:sz="4" w:space="0" w:color="FFFFFF"/>
            </w:tcBorders>
            <w:shd w:val="clear" w:color="auto" w:fill="auto"/>
            <w:noWrap/>
            <w:vAlign w:val="bottom"/>
            <w:hideMark/>
          </w:tcPr>
          <w:p w14:paraId="6B0FE54A"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2</w:t>
            </w:r>
          </w:p>
        </w:tc>
        <w:tc>
          <w:tcPr>
            <w:tcW w:w="1023" w:type="dxa"/>
            <w:tcBorders>
              <w:top w:val="nil"/>
              <w:left w:val="nil"/>
              <w:bottom w:val="nil"/>
              <w:right w:val="single" w:sz="4" w:space="0" w:color="FFFFFF"/>
            </w:tcBorders>
            <w:shd w:val="clear" w:color="auto" w:fill="auto"/>
            <w:noWrap/>
            <w:vAlign w:val="bottom"/>
            <w:hideMark/>
          </w:tcPr>
          <w:p w14:paraId="5BDC423D" w14:textId="77777777" w:rsidR="005012B9" w:rsidRPr="00486970" w:rsidRDefault="005012B9" w:rsidP="005012B9">
            <w:pPr>
              <w:shd w:val="clear" w:color="auto" w:fill="FFFFFF" w:themeFill="background1"/>
              <w:spacing w:after="120" w:line="240" w:lineRule="auto"/>
              <w:jc w:val="center"/>
              <w:rPr>
                <w:rFonts w:cstheme="minorHAnsi"/>
                <w:noProof/>
                <w:color w:val="4A4A4A"/>
                <w:sz w:val="18"/>
                <w:lang w:val="en-US"/>
              </w:rPr>
            </w:pPr>
            <w:r w:rsidRPr="00486970">
              <w:rPr>
                <w:rFonts w:cstheme="minorHAnsi"/>
                <w:noProof/>
                <w:color w:val="4A4A4A"/>
                <w:sz w:val="18"/>
                <w:lang w:val="en-US"/>
              </w:rPr>
              <w:t>2</w:t>
            </w:r>
          </w:p>
        </w:tc>
        <w:tc>
          <w:tcPr>
            <w:tcW w:w="794" w:type="dxa"/>
            <w:tcBorders>
              <w:top w:val="nil"/>
              <w:left w:val="nil"/>
              <w:bottom w:val="nil"/>
              <w:right w:val="single" w:sz="4" w:space="0" w:color="FFFFFF"/>
            </w:tcBorders>
            <w:shd w:val="clear" w:color="auto" w:fill="auto"/>
            <w:noWrap/>
            <w:vAlign w:val="bottom"/>
            <w:hideMark/>
          </w:tcPr>
          <w:p w14:paraId="2BE60FD4" w14:textId="77777777" w:rsidR="005012B9" w:rsidRPr="00486970" w:rsidRDefault="005012B9" w:rsidP="005012B9">
            <w:pPr>
              <w:shd w:val="clear" w:color="auto" w:fill="FFFFFF" w:themeFill="background1"/>
              <w:spacing w:after="120" w:line="240" w:lineRule="auto"/>
              <w:jc w:val="center"/>
              <w:rPr>
                <w:rFonts w:cstheme="minorHAnsi"/>
                <w:b/>
                <w:bCs/>
                <w:noProof/>
                <w:color w:val="4A4A4A"/>
                <w:sz w:val="18"/>
                <w:lang w:val="en-US"/>
              </w:rPr>
            </w:pPr>
            <w:r w:rsidRPr="00486970">
              <w:rPr>
                <w:rFonts w:cstheme="minorHAnsi"/>
                <w:b/>
                <w:bCs/>
                <w:noProof/>
                <w:color w:val="4A4A4A"/>
                <w:sz w:val="18"/>
                <w:lang w:val="en-US"/>
              </w:rPr>
              <w:t>10</w:t>
            </w:r>
          </w:p>
        </w:tc>
      </w:tr>
      <w:tr w:rsidR="005012B9" w:rsidRPr="00486970" w14:paraId="28CE52F4" w14:textId="77777777" w:rsidTr="004D1906">
        <w:trPr>
          <w:trHeight w:val="38"/>
          <w:jc w:val="center"/>
        </w:trPr>
        <w:tc>
          <w:tcPr>
            <w:tcW w:w="2514" w:type="dxa"/>
            <w:tcBorders>
              <w:top w:val="single" w:sz="4" w:space="0" w:color="808080"/>
              <w:left w:val="single" w:sz="4" w:space="0" w:color="FFFFFF"/>
              <w:bottom w:val="single" w:sz="8" w:space="0" w:color="808080"/>
              <w:right w:val="single" w:sz="4" w:space="0" w:color="FFFFFF"/>
            </w:tcBorders>
            <w:shd w:val="clear" w:color="auto" w:fill="auto"/>
            <w:noWrap/>
            <w:vAlign w:val="bottom"/>
            <w:hideMark/>
          </w:tcPr>
          <w:p w14:paraId="18F3CE1B" w14:textId="77777777" w:rsidR="005012B9" w:rsidRPr="00486970" w:rsidRDefault="005012B9" w:rsidP="005012B9">
            <w:pPr>
              <w:shd w:val="clear" w:color="auto" w:fill="FFFFFF" w:themeFill="background1"/>
              <w:spacing w:after="120" w:line="240" w:lineRule="auto"/>
              <w:rPr>
                <w:rFonts w:cstheme="minorHAnsi"/>
                <w:b/>
                <w:bCs/>
                <w:noProof/>
                <w:color w:val="4A4A4A"/>
                <w:sz w:val="18"/>
                <w:lang w:val="en-US"/>
              </w:rPr>
            </w:pPr>
            <w:r w:rsidRPr="00486970">
              <w:rPr>
                <w:rFonts w:cstheme="minorHAnsi"/>
                <w:b/>
                <w:bCs/>
                <w:noProof/>
                <w:color w:val="4A4A4A"/>
                <w:sz w:val="18"/>
                <w:lang w:val="en-US"/>
              </w:rPr>
              <w:t>Total</w:t>
            </w:r>
          </w:p>
        </w:tc>
        <w:tc>
          <w:tcPr>
            <w:tcW w:w="1023" w:type="dxa"/>
            <w:tcBorders>
              <w:top w:val="single" w:sz="4" w:space="0" w:color="808080"/>
              <w:left w:val="nil"/>
              <w:bottom w:val="single" w:sz="8" w:space="0" w:color="808080"/>
              <w:right w:val="single" w:sz="4" w:space="0" w:color="FFFFFF"/>
            </w:tcBorders>
            <w:shd w:val="clear" w:color="auto" w:fill="auto"/>
            <w:noWrap/>
            <w:vAlign w:val="bottom"/>
            <w:hideMark/>
          </w:tcPr>
          <w:p w14:paraId="5C36B414" w14:textId="77777777" w:rsidR="005012B9" w:rsidRPr="00486970" w:rsidRDefault="005012B9" w:rsidP="005012B9">
            <w:pPr>
              <w:shd w:val="clear" w:color="auto" w:fill="FFFFFF" w:themeFill="background1"/>
              <w:spacing w:after="120" w:line="240" w:lineRule="auto"/>
              <w:jc w:val="center"/>
              <w:rPr>
                <w:rFonts w:cstheme="minorHAnsi"/>
                <w:b/>
                <w:bCs/>
                <w:noProof/>
                <w:color w:val="4A4A4A"/>
                <w:sz w:val="18"/>
                <w:lang w:val="en-US"/>
              </w:rPr>
            </w:pPr>
            <w:r w:rsidRPr="00486970">
              <w:rPr>
                <w:rFonts w:cstheme="minorHAnsi"/>
                <w:b/>
                <w:bCs/>
                <w:noProof/>
                <w:color w:val="4A4A4A"/>
                <w:sz w:val="18"/>
                <w:lang w:val="en-US"/>
              </w:rPr>
              <w:t>41</w:t>
            </w:r>
          </w:p>
        </w:tc>
        <w:tc>
          <w:tcPr>
            <w:tcW w:w="1022" w:type="dxa"/>
            <w:tcBorders>
              <w:top w:val="single" w:sz="4" w:space="0" w:color="808080"/>
              <w:left w:val="nil"/>
              <w:bottom w:val="single" w:sz="8" w:space="0" w:color="808080"/>
              <w:right w:val="single" w:sz="4" w:space="0" w:color="FFFFFF"/>
            </w:tcBorders>
            <w:shd w:val="clear" w:color="auto" w:fill="auto"/>
            <w:noWrap/>
            <w:vAlign w:val="bottom"/>
            <w:hideMark/>
          </w:tcPr>
          <w:p w14:paraId="39A74E0A" w14:textId="77777777" w:rsidR="005012B9" w:rsidRPr="00486970" w:rsidRDefault="005012B9" w:rsidP="005012B9">
            <w:pPr>
              <w:shd w:val="clear" w:color="auto" w:fill="FFFFFF" w:themeFill="background1"/>
              <w:spacing w:after="120" w:line="240" w:lineRule="auto"/>
              <w:jc w:val="center"/>
              <w:rPr>
                <w:rFonts w:cstheme="minorHAnsi"/>
                <w:b/>
                <w:bCs/>
                <w:noProof/>
                <w:color w:val="4A4A4A"/>
                <w:sz w:val="18"/>
                <w:lang w:val="en-US"/>
              </w:rPr>
            </w:pPr>
            <w:r w:rsidRPr="00486970">
              <w:rPr>
                <w:rFonts w:cstheme="minorHAnsi"/>
                <w:b/>
                <w:bCs/>
                <w:noProof/>
                <w:color w:val="4A4A4A"/>
                <w:sz w:val="18"/>
                <w:lang w:val="en-US"/>
              </w:rPr>
              <w:t>23</w:t>
            </w:r>
          </w:p>
        </w:tc>
        <w:tc>
          <w:tcPr>
            <w:tcW w:w="1023" w:type="dxa"/>
            <w:tcBorders>
              <w:top w:val="single" w:sz="4" w:space="0" w:color="808080"/>
              <w:left w:val="nil"/>
              <w:bottom w:val="single" w:sz="8" w:space="0" w:color="808080"/>
              <w:right w:val="single" w:sz="4" w:space="0" w:color="FFFFFF"/>
            </w:tcBorders>
            <w:shd w:val="clear" w:color="auto" w:fill="auto"/>
            <w:noWrap/>
            <w:vAlign w:val="bottom"/>
            <w:hideMark/>
          </w:tcPr>
          <w:p w14:paraId="6269A940" w14:textId="77777777" w:rsidR="005012B9" w:rsidRPr="00486970" w:rsidRDefault="005012B9" w:rsidP="005012B9">
            <w:pPr>
              <w:shd w:val="clear" w:color="auto" w:fill="FFFFFF" w:themeFill="background1"/>
              <w:spacing w:after="120" w:line="240" w:lineRule="auto"/>
              <w:jc w:val="center"/>
              <w:rPr>
                <w:rFonts w:cstheme="minorHAnsi"/>
                <w:b/>
                <w:bCs/>
                <w:noProof/>
                <w:color w:val="4A4A4A"/>
                <w:sz w:val="18"/>
                <w:lang w:val="en-US"/>
              </w:rPr>
            </w:pPr>
            <w:r w:rsidRPr="00486970">
              <w:rPr>
                <w:rFonts w:cstheme="minorHAnsi"/>
                <w:b/>
                <w:bCs/>
                <w:noProof/>
                <w:color w:val="4A4A4A"/>
                <w:sz w:val="18"/>
                <w:lang w:val="en-US"/>
              </w:rPr>
              <w:t>12</w:t>
            </w:r>
          </w:p>
        </w:tc>
        <w:tc>
          <w:tcPr>
            <w:tcW w:w="794" w:type="dxa"/>
            <w:tcBorders>
              <w:top w:val="single" w:sz="4" w:space="0" w:color="808080"/>
              <w:left w:val="nil"/>
              <w:bottom w:val="single" w:sz="8" w:space="0" w:color="808080"/>
              <w:right w:val="single" w:sz="4" w:space="0" w:color="FFFFFF"/>
            </w:tcBorders>
            <w:shd w:val="clear" w:color="auto" w:fill="auto"/>
            <w:noWrap/>
            <w:vAlign w:val="bottom"/>
            <w:hideMark/>
          </w:tcPr>
          <w:p w14:paraId="0A8EF15E" w14:textId="77777777" w:rsidR="005012B9" w:rsidRPr="00486970" w:rsidRDefault="005012B9" w:rsidP="005012B9">
            <w:pPr>
              <w:shd w:val="clear" w:color="auto" w:fill="FFFFFF" w:themeFill="background1"/>
              <w:spacing w:after="120" w:line="240" w:lineRule="auto"/>
              <w:jc w:val="center"/>
              <w:rPr>
                <w:rFonts w:cstheme="minorHAnsi"/>
                <w:b/>
                <w:bCs/>
                <w:noProof/>
                <w:color w:val="4A4A4A"/>
                <w:sz w:val="18"/>
                <w:lang w:val="en-US"/>
              </w:rPr>
            </w:pPr>
            <w:r w:rsidRPr="00486970">
              <w:rPr>
                <w:rFonts w:cstheme="minorHAnsi"/>
                <w:b/>
                <w:bCs/>
                <w:noProof/>
                <w:color w:val="4A4A4A"/>
                <w:sz w:val="18"/>
                <w:lang w:val="en-US"/>
              </w:rPr>
              <w:t>76</w:t>
            </w:r>
          </w:p>
        </w:tc>
      </w:tr>
    </w:tbl>
    <w:p w14:paraId="0E513023" w14:textId="77777777" w:rsidR="005012B9" w:rsidRPr="00486970" w:rsidRDefault="005012B9" w:rsidP="005012B9">
      <w:pPr>
        <w:shd w:val="clear" w:color="auto" w:fill="FFFFFF" w:themeFill="background1"/>
        <w:spacing w:after="120" w:line="240" w:lineRule="auto"/>
        <w:jc w:val="center"/>
        <w:rPr>
          <w:rFonts w:eastAsia="Times New Roman" w:cstheme="minorHAnsi"/>
          <w:color w:val="4A4A4A"/>
          <w:sz w:val="21"/>
          <w:szCs w:val="21"/>
          <w:lang w:eastAsia="en-GB"/>
        </w:rPr>
      </w:pPr>
    </w:p>
    <w:p w14:paraId="4A7B318E" w14:textId="77777777" w:rsidR="005B2719" w:rsidRDefault="005012B9" w:rsidP="00BD0A68">
      <w:pPr>
        <w:shd w:val="clear" w:color="auto" w:fill="FFFFFF" w:themeFill="background1"/>
        <w:spacing w:after="0" w:line="240" w:lineRule="auto"/>
        <w:rPr>
          <w:rFonts w:eastAsia="Times New Roman" w:cstheme="minorHAnsi"/>
          <w:b/>
          <w:bCs/>
          <w:color w:val="4A4A4A"/>
          <w:lang w:eastAsia="en-GB"/>
        </w:rPr>
      </w:pPr>
      <w:r w:rsidRPr="00486970">
        <w:rPr>
          <w:rFonts w:eastAsia="Times New Roman" w:cstheme="minorHAnsi"/>
          <w:color w:val="4A4A4A"/>
          <w:lang w:eastAsia="en-GB"/>
        </w:rPr>
        <w:t xml:space="preserve">HAI/WHO surveys were conducted more than once in some of the countries for a total of 76 surveys. </w:t>
      </w:r>
    </w:p>
    <w:p w14:paraId="1A2692CB" w14:textId="0A93283C" w:rsidR="005012B9" w:rsidRPr="005B2719" w:rsidRDefault="005012B9" w:rsidP="00BD0A68">
      <w:pPr>
        <w:shd w:val="clear" w:color="auto" w:fill="FFFFFF" w:themeFill="background1"/>
        <w:spacing w:after="0" w:line="240" w:lineRule="auto"/>
        <w:rPr>
          <w:rFonts w:eastAsia="Times New Roman" w:cstheme="minorHAnsi"/>
          <w:b/>
          <w:bCs/>
          <w:color w:val="4A4A4A"/>
          <w:lang w:eastAsia="en-GB"/>
        </w:rPr>
      </w:pPr>
      <w:r w:rsidRPr="00E31F2F">
        <w:rPr>
          <w:rFonts w:eastAsia="Times New Roman" w:cstheme="minorHAnsi"/>
          <w:color w:val="4A4A4A"/>
          <w:lang w:eastAsia="en-GB"/>
        </w:rPr>
        <w:t>EMP MedMon</w:t>
      </w:r>
      <w:r w:rsidRPr="00486970">
        <w:rPr>
          <w:rFonts w:eastAsia="Times New Roman" w:cstheme="minorHAnsi"/>
          <w:color w:val="4A4A4A"/>
          <w:lang w:eastAsia="en-GB"/>
        </w:rPr>
        <w:t>: In 2016 the design of the EMP MedMon tool for data collection was finalised. Since then, several pilot surveys have been conducted to test the tool. The first pilot survey was conducted across 19 countries using a basket of medicines that captures around 60% of the one currently proposed. The second pilot used a basket adjusted for the purposes of capturing non-communicable diseases only. These pilots have demonstrated that this tool is flexible and can be easily manipulated to include specialized modules of medicines for future data collection.</w:t>
      </w:r>
    </w:p>
    <w:p w14:paraId="2D0542F7" w14:textId="3DE6BFAB" w:rsidR="00D51E7C" w:rsidRPr="00486970" w:rsidRDefault="00D51E7C" w:rsidP="00576CFA">
      <w:pPr>
        <w:pStyle w:val="MText"/>
        <w:rPr>
          <w:rFonts w:cstheme="minorHAnsi"/>
          <w:highlight w:val="cyan"/>
        </w:rPr>
      </w:pPr>
    </w:p>
    <w:p w14:paraId="5853D6F7" w14:textId="30039212" w:rsidR="00D51E7C" w:rsidRPr="00E31F2F" w:rsidRDefault="00D51E7C" w:rsidP="00576CFA">
      <w:pPr>
        <w:pStyle w:val="MText"/>
        <w:rPr>
          <w:rFonts w:cstheme="minorHAnsi"/>
          <w:b/>
          <w:bCs/>
        </w:rPr>
      </w:pPr>
      <w:r w:rsidRPr="00E31F2F">
        <w:rPr>
          <w:rFonts w:cstheme="minorHAnsi"/>
          <w:b/>
          <w:bCs/>
        </w:rPr>
        <w:t>Time series:</w:t>
      </w:r>
    </w:p>
    <w:p w14:paraId="0B97FA4D" w14:textId="77777777" w:rsidR="005012B9" w:rsidRPr="00486970" w:rsidRDefault="005012B9" w:rsidP="005012B9">
      <w:pPr>
        <w:shd w:val="clear" w:color="auto" w:fill="FFFFFF" w:themeFill="background1"/>
        <w:spacing w:after="120" w:line="240" w:lineRule="auto"/>
        <w:jc w:val="both"/>
        <w:rPr>
          <w:rFonts w:eastAsia="Times New Roman" w:cstheme="minorHAnsi"/>
          <w:color w:val="4A4A4A"/>
          <w:lang w:eastAsia="en-GB"/>
        </w:rPr>
      </w:pPr>
      <w:r w:rsidRPr="00486970">
        <w:rPr>
          <w:rFonts w:eastAsia="Times New Roman" w:cstheme="minorHAnsi"/>
          <w:color w:val="4A4A4A"/>
          <w:lang w:eastAsia="en-GB"/>
        </w:rPr>
        <w:t xml:space="preserve">Existing data has been historically collected based on available funding. The majority of existing surveys have been collected thus far using the </w:t>
      </w:r>
      <w:r w:rsidRPr="00486970">
        <w:rPr>
          <w:rFonts w:eastAsia="Times New Roman" w:cstheme="minorHAnsi"/>
          <w:b/>
          <w:bCs/>
          <w:color w:val="4A4A4A"/>
          <w:lang w:eastAsia="en-GB"/>
        </w:rPr>
        <w:t>HAI/WHO</w:t>
      </w:r>
      <w:r w:rsidRPr="00486970">
        <w:rPr>
          <w:rFonts w:eastAsia="Times New Roman" w:cstheme="minorHAnsi"/>
          <w:color w:val="4A4A4A"/>
          <w:lang w:eastAsia="en-GB"/>
        </w:rPr>
        <w:t xml:space="preserve"> data collection tool. Most of the existing data points are from 2000 – 2005. </w:t>
      </w:r>
    </w:p>
    <w:p w14:paraId="606A0BB3" w14:textId="77777777" w:rsidR="005012B9" w:rsidRPr="00486970" w:rsidRDefault="005012B9" w:rsidP="005012B9">
      <w:pPr>
        <w:shd w:val="clear" w:color="auto" w:fill="FFFFFF" w:themeFill="background1"/>
        <w:spacing w:after="120" w:line="240" w:lineRule="auto"/>
        <w:jc w:val="center"/>
        <w:rPr>
          <w:rFonts w:eastAsia="Times New Roman" w:cstheme="minorHAnsi"/>
          <w:color w:val="4A4A4A"/>
          <w:lang w:eastAsia="en-GB"/>
        </w:rPr>
      </w:pPr>
      <w:r w:rsidRPr="00486970">
        <w:rPr>
          <w:rFonts w:eastAsia="Times New Roman" w:cstheme="minorHAnsi"/>
          <w:b/>
          <w:bCs/>
          <w:color w:val="4A4A4A"/>
          <w:lang w:eastAsia="en-GB"/>
        </w:rPr>
        <w:t xml:space="preserve">Table 2. </w:t>
      </w:r>
      <w:r w:rsidRPr="00486970">
        <w:rPr>
          <w:rFonts w:eastAsia="Times New Roman" w:cstheme="minorHAnsi"/>
          <w:color w:val="4A4A4A"/>
          <w:lang w:eastAsia="en-GB"/>
        </w:rPr>
        <w:t xml:space="preserve">Number of surveys and % of medicines from the defined basket </w:t>
      </w:r>
    </w:p>
    <w:p w14:paraId="5F4FC6EA" w14:textId="77777777" w:rsidR="005012B9" w:rsidRPr="00486970" w:rsidRDefault="005012B9" w:rsidP="005012B9">
      <w:pPr>
        <w:shd w:val="clear" w:color="auto" w:fill="FFFFFF" w:themeFill="background1"/>
        <w:spacing w:after="120" w:line="240" w:lineRule="auto"/>
        <w:jc w:val="center"/>
        <w:rPr>
          <w:rFonts w:eastAsia="Times New Roman" w:cstheme="minorHAnsi"/>
          <w:color w:val="4A4A4A"/>
          <w:lang w:eastAsia="en-GB"/>
        </w:rPr>
      </w:pPr>
      <w:r w:rsidRPr="00486970">
        <w:rPr>
          <w:rFonts w:eastAsia="Times New Roman" w:cstheme="minorHAnsi"/>
          <w:color w:val="4A4A4A"/>
          <w:lang w:eastAsia="en-GB"/>
        </w:rPr>
        <w:t>that are captured by HAI/WHO surveys</w:t>
      </w:r>
    </w:p>
    <w:tbl>
      <w:tblPr>
        <w:tblW w:w="7062" w:type="dxa"/>
        <w:jc w:val="center"/>
        <w:tblLook w:val="04A0" w:firstRow="1" w:lastRow="0" w:firstColumn="1" w:lastColumn="0" w:noHBand="0" w:noVBand="1"/>
      </w:tblPr>
      <w:tblGrid>
        <w:gridCol w:w="3392"/>
        <w:gridCol w:w="1279"/>
        <w:gridCol w:w="1259"/>
        <w:gridCol w:w="1132"/>
      </w:tblGrid>
      <w:tr w:rsidR="005012B9" w:rsidRPr="00486970" w14:paraId="636D72C0" w14:textId="77777777" w:rsidTr="004D1906">
        <w:trPr>
          <w:trHeight w:val="247"/>
          <w:jc w:val="center"/>
        </w:trPr>
        <w:tc>
          <w:tcPr>
            <w:tcW w:w="3392" w:type="dxa"/>
            <w:tcBorders>
              <w:top w:val="single" w:sz="8" w:space="0" w:color="808080"/>
              <w:left w:val="single" w:sz="4" w:space="0" w:color="FFFFFF"/>
              <w:bottom w:val="single" w:sz="4" w:space="0" w:color="808080"/>
              <w:right w:val="single" w:sz="4" w:space="0" w:color="FFFFFF"/>
            </w:tcBorders>
            <w:shd w:val="clear" w:color="auto" w:fill="auto"/>
            <w:noWrap/>
            <w:vAlign w:val="bottom"/>
            <w:hideMark/>
          </w:tcPr>
          <w:p w14:paraId="128EE6A3" w14:textId="77777777" w:rsidR="005012B9" w:rsidRPr="00486970" w:rsidRDefault="005012B9" w:rsidP="005012B9">
            <w:pPr>
              <w:spacing w:after="0" w:line="240" w:lineRule="auto"/>
              <w:rPr>
                <w:rFonts w:eastAsia="Times New Roman" w:cstheme="minorHAnsi"/>
                <w:color w:val="4A4A4A"/>
                <w:sz w:val="16"/>
              </w:rPr>
            </w:pPr>
            <w:bookmarkStart w:id="5" w:name="_Hlk526173672"/>
            <w:r w:rsidRPr="00486970">
              <w:rPr>
                <w:rFonts w:eastAsia="Times New Roman" w:cstheme="minorHAnsi"/>
                <w:color w:val="4A4A4A"/>
                <w:sz w:val="16"/>
              </w:rPr>
              <w:t> </w:t>
            </w:r>
          </w:p>
        </w:tc>
        <w:tc>
          <w:tcPr>
            <w:tcW w:w="1279" w:type="dxa"/>
            <w:tcBorders>
              <w:top w:val="single" w:sz="8" w:space="0" w:color="808080"/>
              <w:left w:val="nil"/>
              <w:bottom w:val="single" w:sz="4" w:space="0" w:color="808080"/>
              <w:right w:val="single" w:sz="4" w:space="0" w:color="FFFFFF"/>
            </w:tcBorders>
            <w:shd w:val="clear" w:color="auto" w:fill="auto"/>
            <w:noWrap/>
            <w:vAlign w:val="bottom"/>
            <w:hideMark/>
          </w:tcPr>
          <w:p w14:paraId="0F32B6B6" w14:textId="77777777" w:rsidR="005012B9" w:rsidRPr="00486970" w:rsidRDefault="005012B9" w:rsidP="005012B9">
            <w:pPr>
              <w:spacing w:after="0" w:line="240" w:lineRule="auto"/>
              <w:jc w:val="center"/>
              <w:rPr>
                <w:rFonts w:eastAsia="Times New Roman" w:cstheme="minorHAnsi"/>
                <w:b/>
                <w:bCs/>
                <w:color w:val="4A4A4A"/>
                <w:sz w:val="16"/>
                <w:u w:val="single"/>
              </w:rPr>
            </w:pPr>
            <w:r w:rsidRPr="00486970">
              <w:rPr>
                <w:rFonts w:eastAsia="Times New Roman" w:cstheme="minorHAnsi"/>
                <w:b/>
                <w:bCs/>
                <w:color w:val="4A4A4A"/>
                <w:sz w:val="16"/>
                <w:u w:val="single"/>
              </w:rPr>
              <w:t>2001-2005</w:t>
            </w:r>
          </w:p>
        </w:tc>
        <w:tc>
          <w:tcPr>
            <w:tcW w:w="1259" w:type="dxa"/>
            <w:tcBorders>
              <w:top w:val="single" w:sz="8" w:space="0" w:color="808080"/>
              <w:left w:val="nil"/>
              <w:bottom w:val="single" w:sz="4" w:space="0" w:color="808080"/>
              <w:right w:val="single" w:sz="4" w:space="0" w:color="FFFFFF"/>
            </w:tcBorders>
            <w:shd w:val="clear" w:color="auto" w:fill="auto"/>
            <w:noWrap/>
            <w:vAlign w:val="bottom"/>
            <w:hideMark/>
          </w:tcPr>
          <w:p w14:paraId="27982023" w14:textId="77777777" w:rsidR="005012B9" w:rsidRPr="00486970" w:rsidRDefault="005012B9" w:rsidP="005012B9">
            <w:pPr>
              <w:spacing w:after="0" w:line="240" w:lineRule="auto"/>
              <w:jc w:val="center"/>
              <w:rPr>
                <w:rFonts w:eastAsia="Times New Roman" w:cstheme="minorHAnsi"/>
                <w:b/>
                <w:bCs/>
                <w:color w:val="4A4A4A"/>
                <w:sz w:val="16"/>
                <w:u w:val="single"/>
              </w:rPr>
            </w:pPr>
            <w:r w:rsidRPr="00486970">
              <w:rPr>
                <w:rFonts w:eastAsia="Times New Roman" w:cstheme="minorHAnsi"/>
                <w:b/>
                <w:bCs/>
                <w:color w:val="4A4A4A"/>
                <w:sz w:val="16"/>
                <w:u w:val="single"/>
              </w:rPr>
              <w:t>2005-2010</w:t>
            </w:r>
          </w:p>
        </w:tc>
        <w:tc>
          <w:tcPr>
            <w:tcW w:w="1132" w:type="dxa"/>
            <w:tcBorders>
              <w:top w:val="single" w:sz="8" w:space="0" w:color="808080"/>
              <w:left w:val="nil"/>
              <w:bottom w:val="single" w:sz="4" w:space="0" w:color="808080"/>
              <w:right w:val="single" w:sz="4" w:space="0" w:color="FFFFFF"/>
            </w:tcBorders>
            <w:shd w:val="clear" w:color="auto" w:fill="auto"/>
            <w:noWrap/>
            <w:vAlign w:val="bottom"/>
            <w:hideMark/>
          </w:tcPr>
          <w:p w14:paraId="1215A527" w14:textId="77777777" w:rsidR="005012B9" w:rsidRPr="00486970" w:rsidRDefault="005012B9" w:rsidP="005012B9">
            <w:pPr>
              <w:spacing w:after="0" w:line="240" w:lineRule="auto"/>
              <w:jc w:val="center"/>
              <w:rPr>
                <w:rFonts w:eastAsia="Times New Roman" w:cstheme="minorHAnsi"/>
                <w:b/>
                <w:bCs/>
                <w:color w:val="4A4A4A"/>
                <w:sz w:val="16"/>
                <w:u w:val="single"/>
              </w:rPr>
            </w:pPr>
            <w:r w:rsidRPr="00486970">
              <w:rPr>
                <w:rFonts w:eastAsia="Times New Roman" w:cstheme="minorHAnsi"/>
                <w:b/>
                <w:bCs/>
                <w:color w:val="4A4A4A"/>
                <w:sz w:val="16"/>
                <w:u w:val="single"/>
              </w:rPr>
              <w:t>2010-2015</w:t>
            </w:r>
          </w:p>
        </w:tc>
      </w:tr>
      <w:tr w:rsidR="005012B9" w:rsidRPr="00486970" w14:paraId="07F37001" w14:textId="77777777" w:rsidTr="004D1906">
        <w:trPr>
          <w:trHeight w:val="247"/>
          <w:jc w:val="center"/>
        </w:trPr>
        <w:tc>
          <w:tcPr>
            <w:tcW w:w="3392" w:type="dxa"/>
            <w:tcBorders>
              <w:top w:val="nil"/>
              <w:left w:val="single" w:sz="4" w:space="0" w:color="FFFFFF"/>
              <w:bottom w:val="single" w:sz="4" w:space="0" w:color="FFFFFF"/>
              <w:right w:val="single" w:sz="4" w:space="0" w:color="FFFFFF"/>
            </w:tcBorders>
            <w:shd w:val="clear" w:color="auto" w:fill="auto"/>
            <w:vAlign w:val="bottom"/>
            <w:hideMark/>
          </w:tcPr>
          <w:p w14:paraId="78D828AE" w14:textId="77777777" w:rsidR="005012B9" w:rsidRPr="00486970" w:rsidRDefault="005012B9" w:rsidP="005012B9">
            <w:pPr>
              <w:spacing w:after="0" w:line="240" w:lineRule="auto"/>
              <w:rPr>
                <w:rFonts w:eastAsia="Times New Roman" w:cstheme="minorHAnsi"/>
                <w:i/>
                <w:iCs/>
                <w:color w:val="4A4A4A"/>
                <w:sz w:val="16"/>
              </w:rPr>
            </w:pPr>
            <w:r w:rsidRPr="00486970">
              <w:rPr>
                <w:rFonts w:eastAsia="Times New Roman" w:cstheme="minorHAnsi"/>
                <w:i/>
                <w:iCs/>
                <w:color w:val="4A4A4A"/>
                <w:sz w:val="16"/>
              </w:rPr>
              <w:t>Total number of surveys (n)</w:t>
            </w:r>
          </w:p>
        </w:tc>
        <w:tc>
          <w:tcPr>
            <w:tcW w:w="1279" w:type="dxa"/>
            <w:tcBorders>
              <w:top w:val="nil"/>
              <w:left w:val="nil"/>
              <w:bottom w:val="single" w:sz="4" w:space="0" w:color="FFFFFF"/>
              <w:right w:val="single" w:sz="4" w:space="0" w:color="FFFFFF"/>
            </w:tcBorders>
            <w:shd w:val="clear" w:color="auto" w:fill="auto"/>
            <w:noWrap/>
            <w:vAlign w:val="bottom"/>
            <w:hideMark/>
          </w:tcPr>
          <w:p w14:paraId="179DA1DC" w14:textId="77777777" w:rsidR="005012B9" w:rsidRPr="00486970" w:rsidRDefault="005012B9" w:rsidP="005012B9">
            <w:pPr>
              <w:spacing w:after="0" w:line="240" w:lineRule="auto"/>
              <w:jc w:val="center"/>
              <w:rPr>
                <w:rFonts w:eastAsia="Times New Roman" w:cstheme="minorHAnsi"/>
                <w:color w:val="4A4A4A"/>
                <w:sz w:val="16"/>
              </w:rPr>
            </w:pPr>
            <w:r w:rsidRPr="00486970">
              <w:rPr>
                <w:rFonts w:eastAsia="Times New Roman" w:cstheme="minorHAnsi"/>
                <w:color w:val="4A4A4A"/>
                <w:sz w:val="16"/>
              </w:rPr>
              <w:t>41</w:t>
            </w:r>
          </w:p>
        </w:tc>
        <w:tc>
          <w:tcPr>
            <w:tcW w:w="1259" w:type="dxa"/>
            <w:tcBorders>
              <w:top w:val="nil"/>
              <w:left w:val="nil"/>
              <w:bottom w:val="single" w:sz="4" w:space="0" w:color="FFFFFF"/>
              <w:right w:val="single" w:sz="4" w:space="0" w:color="FFFFFF"/>
            </w:tcBorders>
            <w:shd w:val="clear" w:color="auto" w:fill="auto"/>
            <w:noWrap/>
            <w:vAlign w:val="bottom"/>
            <w:hideMark/>
          </w:tcPr>
          <w:p w14:paraId="15573823" w14:textId="77777777" w:rsidR="005012B9" w:rsidRPr="00486970" w:rsidRDefault="005012B9" w:rsidP="005012B9">
            <w:pPr>
              <w:spacing w:after="0" w:line="240" w:lineRule="auto"/>
              <w:jc w:val="center"/>
              <w:rPr>
                <w:rFonts w:eastAsia="Times New Roman" w:cstheme="minorHAnsi"/>
                <w:color w:val="4A4A4A"/>
                <w:sz w:val="16"/>
              </w:rPr>
            </w:pPr>
            <w:r w:rsidRPr="00486970">
              <w:rPr>
                <w:rFonts w:eastAsia="Times New Roman" w:cstheme="minorHAnsi"/>
                <w:color w:val="4A4A4A"/>
                <w:sz w:val="16"/>
              </w:rPr>
              <w:t>23</w:t>
            </w:r>
          </w:p>
        </w:tc>
        <w:tc>
          <w:tcPr>
            <w:tcW w:w="1132" w:type="dxa"/>
            <w:tcBorders>
              <w:top w:val="nil"/>
              <w:left w:val="nil"/>
              <w:bottom w:val="single" w:sz="4" w:space="0" w:color="FFFFFF"/>
              <w:right w:val="single" w:sz="4" w:space="0" w:color="FFFFFF"/>
            </w:tcBorders>
            <w:shd w:val="clear" w:color="auto" w:fill="auto"/>
            <w:noWrap/>
            <w:vAlign w:val="bottom"/>
            <w:hideMark/>
          </w:tcPr>
          <w:p w14:paraId="4E114791" w14:textId="77777777" w:rsidR="005012B9" w:rsidRPr="00486970" w:rsidRDefault="005012B9" w:rsidP="005012B9">
            <w:pPr>
              <w:spacing w:after="0" w:line="240" w:lineRule="auto"/>
              <w:jc w:val="center"/>
              <w:rPr>
                <w:rFonts w:eastAsia="Times New Roman" w:cstheme="minorHAnsi"/>
                <w:color w:val="4A4A4A"/>
                <w:sz w:val="16"/>
              </w:rPr>
            </w:pPr>
            <w:r w:rsidRPr="00486970">
              <w:rPr>
                <w:rFonts w:eastAsia="Times New Roman" w:cstheme="minorHAnsi"/>
                <w:color w:val="4A4A4A"/>
                <w:sz w:val="16"/>
              </w:rPr>
              <w:t>12</w:t>
            </w:r>
          </w:p>
        </w:tc>
      </w:tr>
      <w:tr w:rsidR="005012B9" w:rsidRPr="00486970" w14:paraId="1B69D1A1" w14:textId="77777777" w:rsidTr="004D1906">
        <w:trPr>
          <w:trHeight w:val="259"/>
          <w:jc w:val="center"/>
        </w:trPr>
        <w:tc>
          <w:tcPr>
            <w:tcW w:w="3392" w:type="dxa"/>
            <w:tcBorders>
              <w:top w:val="nil"/>
              <w:left w:val="single" w:sz="4" w:space="0" w:color="FFFFFF"/>
              <w:bottom w:val="single" w:sz="8" w:space="0" w:color="808080"/>
              <w:right w:val="single" w:sz="4" w:space="0" w:color="FFFFFF"/>
            </w:tcBorders>
            <w:shd w:val="clear" w:color="auto" w:fill="auto"/>
            <w:vAlign w:val="bottom"/>
            <w:hideMark/>
          </w:tcPr>
          <w:p w14:paraId="211C802D" w14:textId="77777777" w:rsidR="005012B9" w:rsidRPr="00486970" w:rsidRDefault="005012B9" w:rsidP="005012B9">
            <w:pPr>
              <w:spacing w:after="0" w:line="240" w:lineRule="auto"/>
              <w:rPr>
                <w:rFonts w:eastAsia="Times New Roman" w:cstheme="minorHAnsi"/>
                <w:i/>
                <w:iCs/>
                <w:color w:val="4A4A4A"/>
                <w:sz w:val="16"/>
              </w:rPr>
            </w:pPr>
            <w:r w:rsidRPr="00486970">
              <w:rPr>
                <w:rFonts w:eastAsia="Times New Roman" w:cstheme="minorHAnsi"/>
                <w:i/>
                <w:iCs/>
                <w:color w:val="4A4A4A"/>
                <w:sz w:val="16"/>
              </w:rPr>
              <w:t>Medicines captured in the surveys (%)</w:t>
            </w:r>
          </w:p>
        </w:tc>
        <w:tc>
          <w:tcPr>
            <w:tcW w:w="1279" w:type="dxa"/>
            <w:tcBorders>
              <w:top w:val="nil"/>
              <w:left w:val="nil"/>
              <w:bottom w:val="single" w:sz="8" w:space="0" w:color="808080"/>
              <w:right w:val="single" w:sz="4" w:space="0" w:color="FFFFFF"/>
            </w:tcBorders>
            <w:shd w:val="clear" w:color="auto" w:fill="auto"/>
            <w:noWrap/>
            <w:vAlign w:val="bottom"/>
            <w:hideMark/>
          </w:tcPr>
          <w:p w14:paraId="5D6DFF75" w14:textId="77777777" w:rsidR="005012B9" w:rsidRPr="00486970" w:rsidRDefault="005012B9" w:rsidP="005012B9">
            <w:pPr>
              <w:spacing w:after="0" w:line="240" w:lineRule="auto"/>
              <w:jc w:val="center"/>
              <w:rPr>
                <w:rFonts w:eastAsia="Times New Roman" w:cstheme="minorHAnsi"/>
                <w:color w:val="4A4A4A"/>
                <w:sz w:val="16"/>
              </w:rPr>
            </w:pPr>
            <w:r w:rsidRPr="00486970">
              <w:rPr>
                <w:rFonts w:eastAsia="Times New Roman" w:cstheme="minorHAnsi"/>
                <w:color w:val="4A4A4A"/>
                <w:sz w:val="16"/>
              </w:rPr>
              <w:t>49.8%</w:t>
            </w:r>
          </w:p>
        </w:tc>
        <w:tc>
          <w:tcPr>
            <w:tcW w:w="1259" w:type="dxa"/>
            <w:tcBorders>
              <w:top w:val="nil"/>
              <w:left w:val="nil"/>
              <w:bottom w:val="single" w:sz="8" w:space="0" w:color="808080"/>
              <w:right w:val="single" w:sz="4" w:space="0" w:color="FFFFFF"/>
            </w:tcBorders>
            <w:shd w:val="clear" w:color="auto" w:fill="auto"/>
            <w:noWrap/>
            <w:vAlign w:val="bottom"/>
            <w:hideMark/>
          </w:tcPr>
          <w:p w14:paraId="5FEE25C9" w14:textId="77777777" w:rsidR="005012B9" w:rsidRPr="00486970" w:rsidRDefault="005012B9" w:rsidP="005012B9">
            <w:pPr>
              <w:spacing w:after="0" w:line="240" w:lineRule="auto"/>
              <w:jc w:val="center"/>
              <w:rPr>
                <w:rFonts w:eastAsia="Times New Roman" w:cstheme="minorHAnsi"/>
                <w:color w:val="4A4A4A"/>
                <w:sz w:val="16"/>
              </w:rPr>
            </w:pPr>
            <w:r w:rsidRPr="00486970">
              <w:rPr>
                <w:rFonts w:eastAsia="Times New Roman" w:cstheme="minorHAnsi"/>
                <w:color w:val="4A4A4A"/>
                <w:sz w:val="16"/>
              </w:rPr>
              <w:t>66.3%</w:t>
            </w:r>
          </w:p>
        </w:tc>
        <w:tc>
          <w:tcPr>
            <w:tcW w:w="1132" w:type="dxa"/>
            <w:tcBorders>
              <w:top w:val="nil"/>
              <w:left w:val="nil"/>
              <w:bottom w:val="single" w:sz="8" w:space="0" w:color="808080"/>
              <w:right w:val="single" w:sz="4" w:space="0" w:color="FFFFFF"/>
            </w:tcBorders>
            <w:shd w:val="clear" w:color="auto" w:fill="auto"/>
            <w:noWrap/>
            <w:vAlign w:val="bottom"/>
            <w:hideMark/>
          </w:tcPr>
          <w:p w14:paraId="4E2C7AA4" w14:textId="77777777" w:rsidR="005012B9" w:rsidRPr="00486970" w:rsidRDefault="005012B9" w:rsidP="005012B9">
            <w:pPr>
              <w:spacing w:after="0" w:line="240" w:lineRule="auto"/>
              <w:jc w:val="center"/>
              <w:rPr>
                <w:rFonts w:eastAsia="Times New Roman" w:cstheme="minorHAnsi"/>
                <w:color w:val="4A4A4A"/>
                <w:sz w:val="16"/>
              </w:rPr>
            </w:pPr>
            <w:r w:rsidRPr="00486970">
              <w:rPr>
                <w:rFonts w:eastAsia="Times New Roman" w:cstheme="minorHAnsi"/>
                <w:color w:val="4A4A4A"/>
                <w:sz w:val="16"/>
              </w:rPr>
              <w:t>72.9%</w:t>
            </w:r>
          </w:p>
        </w:tc>
      </w:tr>
      <w:bookmarkEnd w:id="5"/>
    </w:tbl>
    <w:p w14:paraId="459BBE1E" w14:textId="77777777" w:rsidR="005012B9" w:rsidRPr="00486970" w:rsidRDefault="005012B9" w:rsidP="005012B9">
      <w:pPr>
        <w:shd w:val="clear" w:color="auto" w:fill="FFFFFF" w:themeFill="background1"/>
        <w:spacing w:after="0"/>
        <w:jc w:val="both"/>
        <w:rPr>
          <w:rFonts w:eastAsia="Times New Roman" w:cstheme="minorHAnsi"/>
          <w:color w:val="4A4A4A"/>
          <w:lang w:eastAsia="en-GB"/>
        </w:rPr>
      </w:pPr>
    </w:p>
    <w:p w14:paraId="02D95A52" w14:textId="77777777" w:rsidR="005012B9" w:rsidRPr="00486970" w:rsidRDefault="005012B9" w:rsidP="005012B9">
      <w:pPr>
        <w:shd w:val="clear" w:color="auto" w:fill="FFFFFF" w:themeFill="background1"/>
        <w:spacing w:after="0"/>
        <w:jc w:val="both"/>
        <w:rPr>
          <w:rFonts w:eastAsia="Times New Roman" w:cstheme="minorHAnsi"/>
          <w:b/>
          <w:bCs/>
          <w:color w:val="4A4A4A"/>
          <w:lang w:eastAsia="en-GB"/>
        </w:rPr>
      </w:pPr>
      <w:r w:rsidRPr="00486970">
        <w:rPr>
          <w:rFonts w:eastAsia="Times New Roman" w:cstheme="minorHAnsi"/>
          <w:color w:val="4A4A4A"/>
          <w:lang w:eastAsia="en-GB"/>
        </w:rPr>
        <w:t>The distribution of these 76 surveys across WHO regions is represented in</w:t>
      </w:r>
      <w:r w:rsidRPr="00486970">
        <w:rPr>
          <w:rFonts w:eastAsia="Times New Roman" w:cstheme="minorHAnsi"/>
          <w:b/>
          <w:bCs/>
          <w:color w:val="4A4A4A"/>
          <w:lang w:eastAsia="en-GB"/>
        </w:rPr>
        <w:t xml:space="preserve"> Table 3. </w:t>
      </w:r>
    </w:p>
    <w:p w14:paraId="63BEEFC2" w14:textId="2F00E3E2" w:rsidR="00BD0A68" w:rsidRDefault="005012B9" w:rsidP="005012B9">
      <w:pPr>
        <w:shd w:val="clear" w:color="auto" w:fill="FFFFFF" w:themeFill="background1"/>
        <w:spacing w:after="0"/>
        <w:jc w:val="center"/>
        <w:rPr>
          <w:rFonts w:eastAsia="Times New Roman" w:cstheme="minorHAnsi"/>
          <w:color w:val="4A4A4A"/>
          <w:sz w:val="21"/>
          <w:szCs w:val="21"/>
          <w:lang w:eastAsia="en-GB"/>
        </w:rPr>
      </w:pPr>
      <w:r w:rsidRPr="00486970">
        <w:rPr>
          <w:rFonts w:eastAsia="Times New Roman" w:cstheme="minorHAnsi"/>
          <w:b/>
          <w:bCs/>
          <w:color w:val="4A4A4A"/>
          <w:sz w:val="21"/>
          <w:szCs w:val="21"/>
          <w:lang w:eastAsia="en-GB"/>
        </w:rPr>
        <w:t xml:space="preserve">Table 3. </w:t>
      </w:r>
      <w:r w:rsidRPr="00486970">
        <w:rPr>
          <w:rFonts w:eastAsia="Times New Roman" w:cstheme="minorHAnsi"/>
          <w:color w:val="4A4A4A"/>
          <w:sz w:val="21"/>
          <w:szCs w:val="21"/>
          <w:lang w:eastAsia="en-GB"/>
        </w:rPr>
        <w:t>Number of HAI/WHO surveys across regions</w:t>
      </w:r>
    </w:p>
    <w:p w14:paraId="503318FC" w14:textId="1285510F" w:rsidR="00BD0A68" w:rsidRDefault="00BD0A68" w:rsidP="005012B9">
      <w:pPr>
        <w:shd w:val="clear" w:color="auto" w:fill="FFFFFF" w:themeFill="background1"/>
        <w:spacing w:after="0"/>
        <w:jc w:val="center"/>
        <w:rPr>
          <w:rFonts w:eastAsia="Times New Roman" w:cstheme="minorHAnsi"/>
          <w:color w:val="4A4A4A"/>
          <w:sz w:val="21"/>
          <w:szCs w:val="21"/>
          <w:lang w:eastAsia="en-GB"/>
        </w:rPr>
      </w:pPr>
      <w:r>
        <w:rPr>
          <w:noProof/>
        </w:rPr>
        <w:drawing>
          <wp:inline distT="0" distB="0" distL="0" distR="0" wp14:anchorId="1F836FE3" wp14:editId="0CBA5616">
            <wp:extent cx="4346425" cy="15481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5551" cy="1576325"/>
                    </a:xfrm>
                    <a:prstGeom prst="rect">
                      <a:avLst/>
                    </a:prstGeom>
                  </pic:spPr>
                </pic:pic>
              </a:graphicData>
            </a:graphic>
          </wp:inline>
        </w:drawing>
      </w:r>
    </w:p>
    <w:p w14:paraId="676AB1F6" w14:textId="53526B1D" w:rsidR="005012B9" w:rsidRPr="00486970" w:rsidRDefault="005012B9" w:rsidP="005012B9">
      <w:pPr>
        <w:shd w:val="clear" w:color="auto" w:fill="FFFFFF" w:themeFill="background1"/>
        <w:spacing w:after="0"/>
        <w:jc w:val="center"/>
        <w:rPr>
          <w:rFonts w:cstheme="minorHAnsi"/>
          <w:noProof/>
          <w:color w:val="4A4A4A"/>
          <w:lang w:val="en-US"/>
        </w:rPr>
      </w:pPr>
    </w:p>
    <w:p w14:paraId="033A10BA" w14:textId="77777777" w:rsidR="005012B9" w:rsidRPr="00486970" w:rsidRDefault="005012B9" w:rsidP="00BD0A68">
      <w:pPr>
        <w:shd w:val="clear" w:color="auto" w:fill="FFFFFF" w:themeFill="background1"/>
        <w:spacing w:after="0" w:line="240" w:lineRule="auto"/>
        <w:jc w:val="both"/>
        <w:rPr>
          <w:rFonts w:eastAsia="Times New Roman" w:cstheme="minorHAnsi"/>
          <w:color w:val="4A4A4A"/>
          <w:lang w:eastAsia="en-GB"/>
        </w:rPr>
      </w:pPr>
      <w:r w:rsidRPr="00486970">
        <w:rPr>
          <w:rFonts w:eastAsia="Times New Roman" w:cstheme="minorHAnsi"/>
          <w:color w:val="4A4A4A"/>
          <w:lang w:eastAsia="en-GB"/>
        </w:rPr>
        <w:t xml:space="preserve">Overall 21 </w:t>
      </w:r>
      <w:r w:rsidRPr="00E31F2F">
        <w:rPr>
          <w:rFonts w:eastAsia="Times New Roman" w:cstheme="minorHAnsi"/>
          <w:color w:val="4A4A4A"/>
          <w:lang w:eastAsia="en-GB"/>
        </w:rPr>
        <w:t>SARA</w:t>
      </w:r>
      <w:r w:rsidRPr="00486970">
        <w:rPr>
          <w:rFonts w:eastAsia="Times New Roman" w:cstheme="minorHAnsi"/>
          <w:color w:val="4A4A4A"/>
          <w:lang w:eastAsia="en-GB"/>
        </w:rPr>
        <w:t xml:space="preserve"> surveys were conducted over the period from 2010 to 2017. 17 surveys were conducted between 2010 and 2015 and 4 surveys after 2015. </w:t>
      </w:r>
    </w:p>
    <w:p w14:paraId="760C013A" w14:textId="4597FCBD" w:rsidR="00D51E7C" w:rsidRPr="00486970" w:rsidRDefault="00D51E7C" w:rsidP="00576CFA">
      <w:pPr>
        <w:pStyle w:val="MText"/>
        <w:rPr>
          <w:rFonts w:cstheme="minorHAnsi"/>
          <w:highlight w:val="cyan"/>
        </w:rPr>
      </w:pPr>
    </w:p>
    <w:p w14:paraId="72C7C370" w14:textId="7CA3CA69" w:rsidR="00D51E7C" w:rsidRPr="00E31F2F" w:rsidRDefault="00D51E7C" w:rsidP="00576CFA">
      <w:pPr>
        <w:pStyle w:val="MText"/>
        <w:rPr>
          <w:rFonts w:cstheme="minorHAnsi"/>
          <w:b/>
          <w:bCs/>
        </w:rPr>
      </w:pPr>
      <w:r w:rsidRPr="00E31F2F">
        <w:rPr>
          <w:rFonts w:cstheme="minorHAnsi"/>
          <w:b/>
          <w:bCs/>
        </w:rPr>
        <w:t>Disaggregation:</w:t>
      </w:r>
    </w:p>
    <w:p w14:paraId="235C2ED6" w14:textId="6B7F9949" w:rsidR="00F70A66" w:rsidRPr="00486970" w:rsidRDefault="00F70A66" w:rsidP="00F70A66">
      <w:pPr>
        <w:shd w:val="clear" w:color="auto" w:fill="FFFFFF"/>
        <w:spacing w:after="0" w:line="240" w:lineRule="auto"/>
        <w:jc w:val="both"/>
        <w:textAlignment w:val="baseline"/>
        <w:rPr>
          <w:rFonts w:eastAsia="Times New Roman" w:cstheme="minorHAnsi"/>
          <w:color w:val="4A4A4A"/>
          <w:sz w:val="21"/>
          <w:szCs w:val="21"/>
          <w:lang w:val="en-US" w:eastAsia="en-US"/>
        </w:rPr>
      </w:pPr>
      <w:r w:rsidRPr="00486970">
        <w:rPr>
          <w:rFonts w:eastAsia="Times New Roman" w:cstheme="minorHAnsi"/>
          <w:color w:val="4A4A4A"/>
          <w:sz w:val="21"/>
          <w:szCs w:val="21"/>
          <w:lang w:eastAsia="en-US"/>
        </w:rPr>
        <w:t>The proposed indicator will allow</w:t>
      </w:r>
      <w:r w:rsidR="005B2719">
        <w:rPr>
          <w:rFonts w:eastAsia="Times New Roman" w:cstheme="minorHAnsi"/>
          <w:color w:val="4A4A4A"/>
          <w:sz w:val="21"/>
          <w:szCs w:val="21"/>
          <w:lang w:eastAsia="en-US"/>
        </w:rPr>
        <w:t xml:space="preserve"> </w:t>
      </w:r>
      <w:r w:rsidRPr="00486970">
        <w:rPr>
          <w:rFonts w:eastAsia="Times New Roman" w:cstheme="minorHAnsi"/>
          <w:color w:val="4A4A4A"/>
          <w:sz w:val="21"/>
          <w:szCs w:val="21"/>
          <w:lang w:eastAsia="en-US"/>
        </w:rPr>
        <w:t>for</w:t>
      </w:r>
      <w:r w:rsidR="005B2719">
        <w:rPr>
          <w:rFonts w:eastAsia="Times New Roman" w:cstheme="minorHAnsi"/>
          <w:color w:val="4A4A4A"/>
          <w:sz w:val="21"/>
          <w:szCs w:val="21"/>
          <w:lang w:eastAsia="en-US"/>
        </w:rPr>
        <w:t xml:space="preserve"> </w:t>
      </w:r>
      <w:r w:rsidRPr="00486970">
        <w:rPr>
          <w:rFonts w:eastAsia="Times New Roman" w:cstheme="minorHAnsi"/>
          <w:color w:val="4A4A4A"/>
          <w:sz w:val="21"/>
          <w:szCs w:val="21"/>
          <w:lang w:eastAsia="en-US"/>
        </w:rPr>
        <w:t>the following disaggregation:</w:t>
      </w:r>
      <w:r w:rsidR="005B2719">
        <w:rPr>
          <w:rFonts w:eastAsia="Times New Roman" w:cstheme="minorHAnsi"/>
          <w:color w:val="4A4A4A"/>
          <w:sz w:val="21"/>
          <w:szCs w:val="21"/>
          <w:lang w:eastAsia="en-US"/>
        </w:rPr>
        <w:t xml:space="preserve"> </w:t>
      </w:r>
    </w:p>
    <w:p w14:paraId="227D96B8" w14:textId="3851C53C" w:rsidR="00F70A66" w:rsidRPr="00486970" w:rsidRDefault="00F70A66" w:rsidP="00397ADD">
      <w:pPr>
        <w:numPr>
          <w:ilvl w:val="0"/>
          <w:numId w:val="20"/>
        </w:numPr>
        <w:shd w:val="clear" w:color="auto" w:fill="FFFFFF"/>
        <w:spacing w:after="0" w:line="240" w:lineRule="auto"/>
        <w:ind w:left="360" w:firstLine="0"/>
        <w:jc w:val="both"/>
        <w:textAlignment w:val="baseline"/>
        <w:rPr>
          <w:rFonts w:eastAsia="Times New Roman" w:cstheme="minorHAnsi"/>
          <w:color w:val="4A4A4A"/>
          <w:sz w:val="21"/>
          <w:szCs w:val="21"/>
          <w:lang w:val="en-US" w:eastAsia="en-US"/>
        </w:rPr>
      </w:pPr>
      <w:r w:rsidRPr="00486970">
        <w:rPr>
          <w:rFonts w:eastAsia="Times New Roman" w:cstheme="minorHAnsi"/>
          <w:color w:val="4A4A4A"/>
          <w:sz w:val="21"/>
          <w:szCs w:val="21"/>
          <w:lang w:eastAsia="en-US"/>
        </w:rPr>
        <w:t>public/private/mission sectors facilities (managing authority)</w:t>
      </w:r>
    </w:p>
    <w:p w14:paraId="470BD58E" w14:textId="34085395" w:rsidR="00F70A66" w:rsidRPr="00486970" w:rsidRDefault="00F70A66" w:rsidP="00397ADD">
      <w:pPr>
        <w:numPr>
          <w:ilvl w:val="0"/>
          <w:numId w:val="21"/>
        </w:numPr>
        <w:shd w:val="clear" w:color="auto" w:fill="FFFFFF"/>
        <w:spacing w:after="0" w:line="240" w:lineRule="auto"/>
        <w:ind w:left="360" w:firstLine="0"/>
        <w:jc w:val="both"/>
        <w:textAlignment w:val="baseline"/>
        <w:rPr>
          <w:rFonts w:eastAsia="Times New Roman" w:cstheme="minorHAnsi"/>
          <w:color w:val="4A4A4A"/>
          <w:sz w:val="21"/>
          <w:szCs w:val="21"/>
          <w:lang w:val="en-US" w:eastAsia="en-US"/>
        </w:rPr>
      </w:pPr>
      <w:r w:rsidRPr="00486970">
        <w:rPr>
          <w:rFonts w:eastAsia="Times New Roman" w:cstheme="minorHAnsi"/>
          <w:color w:val="4A4A4A"/>
          <w:sz w:val="21"/>
          <w:szCs w:val="21"/>
          <w:lang w:eastAsia="en-US"/>
        </w:rPr>
        <w:t>geography – rural/urban areas</w:t>
      </w:r>
    </w:p>
    <w:p w14:paraId="2C0C71B8" w14:textId="1B01D095" w:rsidR="00F70A66" w:rsidRPr="00486970" w:rsidRDefault="00F70A66" w:rsidP="00397ADD">
      <w:pPr>
        <w:numPr>
          <w:ilvl w:val="0"/>
          <w:numId w:val="22"/>
        </w:numPr>
        <w:shd w:val="clear" w:color="auto" w:fill="FFFFFF"/>
        <w:spacing w:after="0" w:line="240" w:lineRule="auto"/>
        <w:ind w:left="360" w:firstLine="0"/>
        <w:jc w:val="both"/>
        <w:textAlignment w:val="baseline"/>
        <w:rPr>
          <w:rFonts w:eastAsia="Times New Roman" w:cstheme="minorHAnsi"/>
          <w:color w:val="4A4A4A"/>
          <w:sz w:val="21"/>
          <w:szCs w:val="21"/>
          <w:lang w:val="en-US" w:eastAsia="en-US"/>
        </w:rPr>
      </w:pPr>
      <w:r w:rsidRPr="00486970">
        <w:rPr>
          <w:rFonts w:eastAsia="Times New Roman" w:cstheme="minorHAnsi"/>
          <w:color w:val="4A4A4A"/>
          <w:sz w:val="21"/>
          <w:szCs w:val="21"/>
          <w:lang w:eastAsia="en-US"/>
        </w:rPr>
        <w:t>therapeutic group</w:t>
      </w:r>
    </w:p>
    <w:p w14:paraId="74735E1B" w14:textId="2FAB95CF" w:rsidR="00F70A66" w:rsidRPr="00486970" w:rsidRDefault="00F70A66" w:rsidP="00397ADD">
      <w:pPr>
        <w:numPr>
          <w:ilvl w:val="0"/>
          <w:numId w:val="23"/>
        </w:numPr>
        <w:shd w:val="clear" w:color="auto" w:fill="FFFFFF"/>
        <w:spacing w:after="0" w:line="240" w:lineRule="auto"/>
        <w:ind w:left="360" w:firstLine="0"/>
        <w:jc w:val="both"/>
        <w:textAlignment w:val="baseline"/>
        <w:rPr>
          <w:rFonts w:eastAsia="Times New Roman" w:cstheme="minorHAnsi"/>
          <w:color w:val="4A4A4A"/>
          <w:sz w:val="21"/>
          <w:szCs w:val="21"/>
          <w:lang w:val="en-US" w:eastAsia="en-US"/>
        </w:rPr>
      </w:pPr>
      <w:r w:rsidRPr="00486970">
        <w:rPr>
          <w:rFonts w:eastAsia="Times New Roman" w:cstheme="minorHAnsi"/>
          <w:color w:val="4A4A4A"/>
          <w:sz w:val="21"/>
          <w:szCs w:val="21"/>
          <w:lang w:eastAsia="en-US"/>
        </w:rPr>
        <w:t>facility type (pharmacy/hospital)</w:t>
      </w:r>
    </w:p>
    <w:p w14:paraId="08EE2FD7" w14:textId="649EEA15" w:rsidR="00F70A66" w:rsidRPr="00486970" w:rsidRDefault="00F70A66" w:rsidP="00397ADD">
      <w:pPr>
        <w:numPr>
          <w:ilvl w:val="0"/>
          <w:numId w:val="24"/>
        </w:numPr>
        <w:shd w:val="clear" w:color="auto" w:fill="FFFFFF"/>
        <w:spacing w:after="0" w:line="240" w:lineRule="auto"/>
        <w:ind w:left="360" w:firstLine="0"/>
        <w:jc w:val="both"/>
        <w:textAlignment w:val="baseline"/>
        <w:rPr>
          <w:rFonts w:eastAsia="Times New Roman" w:cstheme="minorHAnsi"/>
          <w:color w:val="4A4A4A"/>
          <w:sz w:val="21"/>
          <w:szCs w:val="21"/>
          <w:lang w:val="en-US" w:eastAsia="en-US"/>
        </w:rPr>
      </w:pPr>
      <w:r w:rsidRPr="00486970">
        <w:rPr>
          <w:rFonts w:eastAsia="Times New Roman" w:cstheme="minorHAnsi"/>
          <w:color w:val="4A4A4A"/>
          <w:sz w:val="21"/>
          <w:szCs w:val="21"/>
          <w:lang w:eastAsia="en-US"/>
        </w:rPr>
        <w:t>medicine.</w:t>
      </w:r>
    </w:p>
    <w:p w14:paraId="42E8CA56" w14:textId="77777777" w:rsidR="00D51E7C" w:rsidRPr="00486970" w:rsidRDefault="00D51E7C" w:rsidP="00576CFA">
      <w:pPr>
        <w:pStyle w:val="MText"/>
        <w:rPr>
          <w:rFonts w:cstheme="minorHAnsi"/>
        </w:rPr>
      </w:pPr>
    </w:p>
    <w:p w14:paraId="4D0520F7" w14:textId="11F0E737" w:rsidR="00382CF3" w:rsidRPr="00486970" w:rsidRDefault="00B31E2C" w:rsidP="000412A0">
      <w:pPr>
        <w:pStyle w:val="MHeader"/>
        <w:spacing w:after="100"/>
        <w:rPr>
          <w:rFonts w:cstheme="minorHAnsi"/>
        </w:rPr>
      </w:pPr>
      <w:r w:rsidRPr="00486970">
        <w:rPr>
          <w:rFonts w:cstheme="minorHAnsi"/>
        </w:rPr>
        <w:t xml:space="preserve">6. Comparability / deviation from international standards </w:t>
      </w:r>
      <w:r>
        <w:rPr>
          <w:color w:val="B4B4B4"/>
          <w:sz w:val="20"/>
        </w:rPr>
        <w:t>(COMPARABILITY)</w:t>
      </w:r>
    </w:p>
    <w:p w14:paraId="33BE7367" w14:textId="28DFF81E" w:rsidR="005012B9" w:rsidRPr="00E31F2F" w:rsidRDefault="00D51E7C" w:rsidP="00486970">
      <w:pPr>
        <w:pStyle w:val="MText"/>
        <w:rPr>
          <w:rFonts w:cstheme="minorHAnsi"/>
          <w:b/>
          <w:bCs/>
        </w:rPr>
      </w:pPr>
      <w:r w:rsidRPr="00E31F2F">
        <w:rPr>
          <w:rFonts w:cstheme="minorHAnsi"/>
          <w:b/>
          <w:bCs/>
        </w:rPr>
        <w:t>Sources of discrepancies:</w:t>
      </w:r>
    </w:p>
    <w:p w14:paraId="7FE4781C" w14:textId="1524824B" w:rsidR="005012B9" w:rsidRPr="00486970" w:rsidRDefault="005012B9" w:rsidP="005012B9">
      <w:pPr>
        <w:shd w:val="clear" w:color="auto" w:fill="FFFFFF"/>
        <w:spacing w:after="0" w:line="240" w:lineRule="auto"/>
        <w:jc w:val="both"/>
        <w:textAlignment w:val="baseline"/>
        <w:rPr>
          <w:rFonts w:eastAsia="Times New Roman" w:cstheme="minorHAnsi"/>
          <w:color w:val="4A4A4A"/>
          <w:sz w:val="18"/>
          <w:szCs w:val="18"/>
          <w:lang w:val="en-US" w:eastAsia="en-US"/>
        </w:rPr>
      </w:pPr>
      <w:r w:rsidRPr="00486970">
        <w:rPr>
          <w:rFonts w:eastAsia="Times New Roman" w:cstheme="minorHAnsi"/>
          <w:color w:val="4A4A4A"/>
          <w:lang w:eastAsia="en-US"/>
        </w:rPr>
        <w:t>Data can be received from three data sources:</w:t>
      </w:r>
      <w:r w:rsidR="005B2719">
        <w:rPr>
          <w:rFonts w:eastAsia="Times New Roman" w:cstheme="minorHAnsi"/>
          <w:color w:val="4A4A4A"/>
          <w:lang w:eastAsia="en-US"/>
        </w:rPr>
        <w:t xml:space="preserve"> </w:t>
      </w:r>
      <w:r w:rsidRPr="00486970">
        <w:rPr>
          <w:rFonts w:eastAsia="Times New Roman" w:cstheme="minorHAnsi"/>
          <w:color w:val="4A4A4A"/>
          <w:lang w:eastAsia="en-US"/>
        </w:rPr>
        <w:t>SARA, HAI/WHO,</w:t>
      </w:r>
      <w:r w:rsidR="005B2719">
        <w:rPr>
          <w:rFonts w:eastAsia="Times New Roman" w:cstheme="minorHAnsi"/>
          <w:color w:val="4A4A4A"/>
          <w:lang w:eastAsia="en-US"/>
        </w:rPr>
        <w:t xml:space="preserve"> </w:t>
      </w:r>
      <w:r w:rsidRPr="00486970">
        <w:rPr>
          <w:rFonts w:eastAsia="Times New Roman" w:cstheme="minorHAnsi"/>
          <w:color w:val="4A4A4A"/>
          <w:lang w:eastAsia="en-US"/>
        </w:rPr>
        <w:t>and the</w:t>
      </w:r>
      <w:r w:rsidR="005B2719">
        <w:rPr>
          <w:rFonts w:eastAsia="Times New Roman" w:cstheme="minorHAnsi"/>
          <w:color w:val="4A4A4A"/>
          <w:lang w:eastAsia="en-US"/>
        </w:rPr>
        <w:t xml:space="preserve"> </w:t>
      </w:r>
      <w:r w:rsidRPr="00486970">
        <w:rPr>
          <w:rFonts w:eastAsia="Times New Roman" w:cstheme="minorHAnsi"/>
          <w:color w:val="4A4A4A"/>
          <w:lang w:eastAsia="en-US"/>
        </w:rPr>
        <w:t>EMP</w:t>
      </w:r>
      <w:r w:rsidR="005B2719">
        <w:rPr>
          <w:rFonts w:eastAsia="Times New Roman" w:cstheme="minorHAnsi"/>
          <w:color w:val="4A4A4A"/>
          <w:lang w:eastAsia="en-US"/>
        </w:rPr>
        <w:t xml:space="preserve"> </w:t>
      </w:r>
      <w:r w:rsidRPr="00486970">
        <w:rPr>
          <w:rFonts w:eastAsia="Times New Roman" w:cstheme="minorHAnsi"/>
          <w:color w:val="4A4A4A"/>
          <w:lang w:eastAsia="en-US"/>
        </w:rPr>
        <w:t>MedMon. These data collection methods</w:t>
      </w:r>
      <w:r w:rsidR="005B2719">
        <w:rPr>
          <w:rFonts w:eastAsia="Times New Roman" w:cstheme="minorHAnsi"/>
          <w:color w:val="4A4A4A"/>
          <w:lang w:eastAsia="en-US"/>
        </w:rPr>
        <w:t xml:space="preserve"> </w:t>
      </w:r>
      <w:r w:rsidRPr="00486970">
        <w:rPr>
          <w:rFonts w:eastAsia="Times New Roman" w:cstheme="minorHAnsi"/>
          <w:color w:val="4A4A4A"/>
          <w:lang w:eastAsia="en-US"/>
        </w:rPr>
        <w:t>demonstrate</w:t>
      </w:r>
      <w:r w:rsidR="005B2719">
        <w:rPr>
          <w:rFonts w:eastAsia="Times New Roman" w:cstheme="minorHAnsi"/>
          <w:color w:val="4A4A4A"/>
          <w:lang w:eastAsia="en-US"/>
        </w:rPr>
        <w:t xml:space="preserve"> </w:t>
      </w:r>
      <w:r w:rsidRPr="00486970">
        <w:rPr>
          <w:rFonts w:eastAsia="Times New Roman" w:cstheme="minorHAnsi"/>
          <w:color w:val="4A4A4A"/>
          <w:lang w:eastAsia="en-US"/>
        </w:rPr>
        <w:t>the following discrepancies:</w:t>
      </w:r>
    </w:p>
    <w:p w14:paraId="7AE0C6ED" w14:textId="4B710FB4" w:rsidR="005012B9" w:rsidRPr="00486970" w:rsidRDefault="005012B9" w:rsidP="00397ADD">
      <w:pPr>
        <w:numPr>
          <w:ilvl w:val="0"/>
          <w:numId w:val="29"/>
        </w:numPr>
        <w:shd w:val="clear" w:color="auto" w:fill="FFFFFF"/>
        <w:spacing w:after="0" w:line="240" w:lineRule="auto"/>
        <w:ind w:left="360" w:firstLine="0"/>
        <w:jc w:val="both"/>
        <w:textAlignment w:val="baseline"/>
        <w:rPr>
          <w:rFonts w:eastAsia="Times New Roman" w:cstheme="minorHAnsi"/>
          <w:color w:val="4A4A4A"/>
          <w:lang w:val="en-US" w:eastAsia="en-US"/>
        </w:rPr>
      </w:pPr>
      <w:r w:rsidRPr="00486970">
        <w:rPr>
          <w:rFonts w:eastAsia="Times New Roman" w:cstheme="minorHAnsi"/>
          <w:color w:val="4A4A4A"/>
          <w:lang w:eastAsia="en-US"/>
        </w:rPr>
        <w:t>Sampling of the facilities to be surveyed,</w:t>
      </w:r>
    </w:p>
    <w:p w14:paraId="1C3C5C93" w14:textId="13F32248" w:rsidR="005012B9" w:rsidRPr="00486970" w:rsidRDefault="005012B9" w:rsidP="00397ADD">
      <w:pPr>
        <w:numPr>
          <w:ilvl w:val="0"/>
          <w:numId w:val="30"/>
        </w:numPr>
        <w:shd w:val="clear" w:color="auto" w:fill="FFFFFF"/>
        <w:spacing w:after="0" w:line="240" w:lineRule="auto"/>
        <w:ind w:left="360" w:firstLine="0"/>
        <w:jc w:val="both"/>
        <w:textAlignment w:val="baseline"/>
        <w:rPr>
          <w:rFonts w:eastAsia="Times New Roman" w:cstheme="minorHAnsi"/>
          <w:color w:val="4A4A4A"/>
          <w:lang w:val="en-US" w:eastAsia="en-US"/>
        </w:rPr>
      </w:pPr>
      <w:r w:rsidRPr="00486970">
        <w:rPr>
          <w:rFonts w:eastAsia="Times New Roman" w:cstheme="minorHAnsi"/>
          <w:color w:val="4A4A4A"/>
          <w:lang w:eastAsia="en-US"/>
        </w:rPr>
        <w:t>Size of the sampling of the facilities to be surveyed, and</w:t>
      </w:r>
    </w:p>
    <w:p w14:paraId="52B82B39" w14:textId="645E548A" w:rsidR="005012B9" w:rsidRPr="00486970" w:rsidRDefault="005012B9" w:rsidP="00397ADD">
      <w:pPr>
        <w:numPr>
          <w:ilvl w:val="0"/>
          <w:numId w:val="31"/>
        </w:numPr>
        <w:shd w:val="clear" w:color="auto" w:fill="FFFFFF"/>
        <w:spacing w:after="0" w:line="240" w:lineRule="auto"/>
        <w:ind w:left="360" w:firstLine="0"/>
        <w:jc w:val="both"/>
        <w:textAlignment w:val="baseline"/>
        <w:rPr>
          <w:rFonts w:eastAsia="Times New Roman" w:cstheme="minorHAnsi"/>
          <w:color w:val="4A4A4A"/>
          <w:lang w:val="en-US" w:eastAsia="en-US"/>
        </w:rPr>
      </w:pPr>
      <w:r w:rsidRPr="00486970">
        <w:rPr>
          <w:rFonts w:eastAsia="Times New Roman" w:cstheme="minorHAnsi"/>
          <w:color w:val="4A4A4A"/>
          <w:lang w:eastAsia="en-US"/>
        </w:rPr>
        <w:t>Questions asked at facility level to capture availability (i.e.</w:t>
      </w:r>
      <w:r w:rsidR="005B2719">
        <w:rPr>
          <w:rFonts w:eastAsia="Times New Roman" w:cstheme="minorHAnsi"/>
          <w:color w:val="4A4A4A"/>
          <w:lang w:eastAsia="en-US"/>
        </w:rPr>
        <w:t xml:space="preserve"> </w:t>
      </w:r>
      <w:r w:rsidRPr="00486970">
        <w:rPr>
          <w:rFonts w:eastAsia="Times New Roman" w:cstheme="minorHAnsi"/>
          <w:color w:val="4A4A4A"/>
          <w:lang w:eastAsia="en-US"/>
        </w:rPr>
        <w:t>SARA considers potentially</w:t>
      </w:r>
      <w:r w:rsidR="005B2719">
        <w:rPr>
          <w:rFonts w:eastAsia="Times New Roman" w:cstheme="minorHAnsi"/>
          <w:color w:val="4A4A4A"/>
          <w:lang w:eastAsia="en-US"/>
        </w:rPr>
        <w:t xml:space="preserve"> </w:t>
      </w:r>
      <w:r w:rsidRPr="00486970">
        <w:rPr>
          <w:rFonts w:eastAsia="Times New Roman" w:cstheme="minorHAnsi"/>
          <w:color w:val="4A4A4A"/>
          <w:lang w:eastAsia="en-US"/>
        </w:rPr>
        <w:t>available expired medicines as well).</w:t>
      </w:r>
    </w:p>
    <w:p w14:paraId="7E5F0FE8" w14:textId="4955BEF1" w:rsidR="005012B9" w:rsidRPr="00486970" w:rsidRDefault="005012B9" w:rsidP="005012B9">
      <w:pPr>
        <w:shd w:val="clear" w:color="auto" w:fill="FFFFFF"/>
        <w:spacing w:after="0" w:line="240" w:lineRule="auto"/>
        <w:jc w:val="both"/>
        <w:textAlignment w:val="baseline"/>
        <w:rPr>
          <w:rFonts w:eastAsia="Times New Roman" w:cstheme="minorHAnsi"/>
          <w:color w:val="4A4A4A"/>
          <w:sz w:val="18"/>
          <w:szCs w:val="18"/>
          <w:lang w:val="en-US" w:eastAsia="en-US"/>
        </w:rPr>
      </w:pPr>
      <w:r w:rsidRPr="00486970">
        <w:rPr>
          <w:rFonts w:eastAsia="Times New Roman" w:cstheme="minorHAnsi"/>
          <w:color w:val="4A4A4A"/>
          <w:lang w:eastAsia="en-US"/>
        </w:rPr>
        <w:t>WHO will use any of these three data sources available for the year of calculation as a compromise between the limitations that these discrepancies pose to the proposed methodology and the need to overcome data availability issues in order to start reporting on this critical</w:t>
      </w:r>
      <w:r w:rsidR="005B2719">
        <w:rPr>
          <w:rFonts w:eastAsia="Times New Roman" w:cstheme="minorHAnsi"/>
          <w:color w:val="4A4A4A"/>
          <w:lang w:eastAsia="en-US"/>
        </w:rPr>
        <w:t xml:space="preserve"> </w:t>
      </w:r>
      <w:r w:rsidRPr="00486970">
        <w:rPr>
          <w:rFonts w:eastAsia="Times New Roman" w:cstheme="minorHAnsi"/>
          <w:color w:val="4A4A4A"/>
          <w:lang w:eastAsia="en-US"/>
        </w:rPr>
        <w:t>indicator.</w:t>
      </w:r>
      <w:r w:rsidR="005B2719">
        <w:rPr>
          <w:rFonts w:eastAsia="Times New Roman" w:cstheme="minorHAnsi"/>
          <w:color w:val="4A4A4A"/>
          <w:lang w:eastAsia="en-US"/>
        </w:rPr>
        <w:t xml:space="preserve"> </w:t>
      </w:r>
      <w:r w:rsidRPr="00486970">
        <w:rPr>
          <w:rFonts w:eastAsia="Times New Roman" w:cstheme="minorHAnsi"/>
          <w:color w:val="4A4A4A"/>
          <w:lang w:eastAsia="en-US"/>
        </w:rPr>
        <w:t>In the unlikely case that data is available through more than one data source for a specific country, WHO will rely on the source with a larger sample size and a higher percentage of medicines from the defined core list captured by the survey.</w:t>
      </w:r>
    </w:p>
    <w:p w14:paraId="3C2D4870" w14:textId="77777777" w:rsidR="00D51E7C" w:rsidRPr="00486970" w:rsidRDefault="00D51E7C" w:rsidP="00576CFA">
      <w:pPr>
        <w:pStyle w:val="MText"/>
        <w:rPr>
          <w:rFonts w:cstheme="minorHAnsi"/>
        </w:rPr>
      </w:pPr>
    </w:p>
    <w:p w14:paraId="76DF099C" w14:textId="703C09F1" w:rsidR="00382CF3" w:rsidRPr="00486970" w:rsidRDefault="00576CFA" w:rsidP="000412A0">
      <w:pPr>
        <w:pStyle w:val="MHeader"/>
        <w:spacing w:after="100"/>
        <w:rPr>
          <w:rFonts w:cstheme="minorHAnsi"/>
        </w:rPr>
      </w:pPr>
      <w:r w:rsidRPr="00486970">
        <w:rPr>
          <w:rFonts w:cstheme="minorHAnsi"/>
        </w:rPr>
        <w:t xml:space="preserve">7. References and Documentation </w:t>
      </w:r>
      <w:r>
        <w:rPr>
          <w:color w:val="B4B4B4"/>
          <w:sz w:val="20"/>
        </w:rPr>
        <w:t>(OTHER_DOC)</w:t>
      </w:r>
    </w:p>
    <w:p w14:paraId="11882293" w14:textId="2327D660" w:rsidR="005012B9" w:rsidRPr="00486970" w:rsidRDefault="005012B9" w:rsidP="00397ADD">
      <w:pPr>
        <w:numPr>
          <w:ilvl w:val="0"/>
          <w:numId w:val="33"/>
        </w:numPr>
        <w:shd w:val="clear" w:color="auto" w:fill="FFFFFF"/>
        <w:spacing w:after="0" w:line="240" w:lineRule="auto"/>
        <w:ind w:left="360" w:firstLine="0"/>
        <w:jc w:val="both"/>
        <w:textAlignment w:val="baseline"/>
        <w:rPr>
          <w:rFonts w:eastAsia="Times New Roman" w:cstheme="minorHAnsi"/>
          <w:lang w:val="en-US" w:eastAsia="en-US"/>
        </w:rPr>
      </w:pPr>
      <w:r w:rsidRPr="00486970">
        <w:rPr>
          <w:rFonts w:eastAsia="Times New Roman" w:cstheme="minorHAnsi"/>
          <w:color w:val="4A4A4A"/>
          <w:lang w:val="en-US" w:eastAsia="en-US"/>
        </w:rPr>
        <w:t>World Health Organization and Health Action International,</w:t>
      </w:r>
      <w:r w:rsidR="005B2719">
        <w:rPr>
          <w:rFonts w:eastAsia="Times New Roman" w:cstheme="minorHAnsi"/>
          <w:color w:val="4A4A4A"/>
          <w:lang w:val="en-US" w:eastAsia="en-US"/>
        </w:rPr>
        <w:t xml:space="preserve"> </w:t>
      </w:r>
      <w:r w:rsidRPr="00486970">
        <w:rPr>
          <w:rFonts w:eastAsia="Times New Roman" w:cstheme="minorHAnsi"/>
          <w:i/>
          <w:iCs/>
          <w:color w:val="4A4A4A"/>
          <w:lang w:val="en-US" w:eastAsia="en-US"/>
        </w:rPr>
        <w:t>Measuring medicine prices, availability, affordability and price components, 2</w:t>
      </w:r>
      <w:r w:rsidR="00B84B96" w:rsidRPr="00B84B96">
        <w:rPr>
          <w:rFonts w:eastAsia="Times New Roman" w:cstheme="minorHAnsi"/>
          <w:i/>
          <w:iCs/>
          <w:color w:val="4A4A4A"/>
          <w:vertAlign w:val="superscript"/>
          <w:lang w:val="en-US" w:eastAsia="en-US"/>
        </w:rPr>
        <w:t>nd</w:t>
      </w:r>
      <w:r w:rsidR="00B84B96">
        <w:rPr>
          <w:rFonts w:eastAsia="Times New Roman" w:cstheme="minorHAnsi"/>
          <w:i/>
          <w:iCs/>
          <w:color w:val="4A4A4A"/>
          <w:lang w:val="en-US" w:eastAsia="en-US"/>
        </w:rPr>
        <w:t xml:space="preserve"> </w:t>
      </w:r>
      <w:r w:rsidRPr="00486970">
        <w:rPr>
          <w:rFonts w:eastAsia="Times New Roman" w:cstheme="minorHAnsi"/>
          <w:i/>
          <w:iCs/>
          <w:color w:val="4A4A4A"/>
          <w:lang w:val="en-US" w:eastAsia="en-US"/>
        </w:rPr>
        <w:t>Edition</w:t>
      </w:r>
      <w:r w:rsidR="00B84B96">
        <w:rPr>
          <w:rFonts w:eastAsia="Times New Roman" w:cstheme="minorHAnsi"/>
          <w:color w:val="4A4A4A"/>
          <w:lang w:val="en-US" w:eastAsia="en-US"/>
        </w:rPr>
        <w:t xml:space="preserve"> </w:t>
      </w:r>
      <w:r w:rsidRPr="00486970">
        <w:rPr>
          <w:rFonts w:eastAsia="Times New Roman" w:cstheme="minorHAnsi"/>
          <w:color w:val="4A4A4A"/>
          <w:lang w:val="en-US" w:eastAsia="en-US"/>
        </w:rPr>
        <w:t>(Switzerland, 2008), available from</w:t>
      </w:r>
      <w:r w:rsidR="005B2719">
        <w:rPr>
          <w:rFonts w:eastAsia="Times New Roman" w:cstheme="minorHAnsi"/>
          <w:color w:val="4A4A4A"/>
          <w:lang w:val="en-US" w:eastAsia="en-US"/>
        </w:rPr>
        <w:t xml:space="preserve"> </w:t>
      </w:r>
      <w:hyperlink r:id="rId17" w:tgtFrame="_blank" w:history="1">
        <w:r w:rsidRPr="00486970">
          <w:rPr>
            <w:rFonts w:eastAsia="Times New Roman" w:cstheme="minorHAnsi"/>
            <w:color w:val="0000FF"/>
            <w:u w:val="single"/>
            <w:lang w:eastAsia="en-US"/>
          </w:rPr>
          <w:t>http://www.who.int/medicines/areas/access/OMS_Medicine_prices.pdf</w:t>
        </w:r>
      </w:hyperlink>
    </w:p>
    <w:p w14:paraId="2EA31508" w14:textId="28FD32A1" w:rsidR="005012B9" w:rsidRPr="00486970" w:rsidRDefault="005012B9" w:rsidP="00397ADD">
      <w:pPr>
        <w:numPr>
          <w:ilvl w:val="0"/>
          <w:numId w:val="34"/>
        </w:numPr>
        <w:shd w:val="clear" w:color="auto" w:fill="FFFFFF"/>
        <w:spacing w:after="0" w:line="240" w:lineRule="auto"/>
        <w:ind w:left="360" w:firstLine="0"/>
        <w:jc w:val="both"/>
        <w:textAlignment w:val="baseline"/>
        <w:rPr>
          <w:rFonts w:eastAsia="Times New Roman" w:cstheme="minorHAnsi"/>
          <w:lang w:val="en-US" w:eastAsia="en-US"/>
        </w:rPr>
      </w:pPr>
      <w:r w:rsidRPr="00486970">
        <w:rPr>
          <w:rFonts w:eastAsia="Times New Roman" w:cstheme="minorHAnsi"/>
          <w:color w:val="4A4A4A"/>
          <w:lang w:val="en-US" w:eastAsia="en-US"/>
        </w:rPr>
        <w:t>“Defined Daily Dose: Definition and general considerations” (WHO Collaborating Centre for Drug Statistics methodology, 07 February 2018),</w:t>
      </w:r>
      <w:r w:rsidRPr="00486970">
        <w:rPr>
          <w:rFonts w:eastAsia="Times New Roman" w:cstheme="minorHAnsi"/>
          <w:b/>
          <w:bCs/>
          <w:color w:val="4A4A4A"/>
          <w:lang w:val="en-US" w:eastAsia="en-US"/>
        </w:rPr>
        <w:t> </w:t>
      </w:r>
      <w:hyperlink r:id="rId18" w:tgtFrame="_blank" w:history="1">
        <w:r w:rsidRPr="00486970">
          <w:rPr>
            <w:rFonts w:eastAsia="Times New Roman" w:cstheme="minorHAnsi"/>
            <w:color w:val="0000FF"/>
            <w:u w:val="single"/>
            <w:lang w:val="en-US" w:eastAsia="en-US"/>
          </w:rPr>
          <w:t>https://www.whocc.no/ddd/definition_and_general_considera/</w:t>
        </w:r>
      </w:hyperlink>
    </w:p>
    <w:p w14:paraId="416A8D27" w14:textId="64AD56D8" w:rsidR="005012B9" w:rsidRPr="00486970" w:rsidRDefault="005012B9" w:rsidP="00397ADD">
      <w:pPr>
        <w:numPr>
          <w:ilvl w:val="0"/>
          <w:numId w:val="35"/>
        </w:numPr>
        <w:shd w:val="clear" w:color="auto" w:fill="FFFFFF"/>
        <w:spacing w:after="0" w:line="240" w:lineRule="auto"/>
        <w:ind w:left="360" w:firstLine="0"/>
        <w:jc w:val="both"/>
        <w:textAlignment w:val="baseline"/>
        <w:rPr>
          <w:rFonts w:eastAsia="Times New Roman" w:cstheme="minorHAnsi"/>
          <w:lang w:val="en-US" w:eastAsia="en-US"/>
        </w:rPr>
      </w:pPr>
      <w:r w:rsidRPr="00486970">
        <w:rPr>
          <w:rFonts w:eastAsia="Times New Roman" w:cstheme="minorHAnsi"/>
          <w:color w:val="4A4A4A"/>
          <w:lang w:val="en-US" w:eastAsia="en-US"/>
        </w:rPr>
        <w:t>“How to define a minimum wage?” (International</w:t>
      </w:r>
      <w:r w:rsidR="005B2719">
        <w:rPr>
          <w:rFonts w:eastAsia="Times New Roman" w:cstheme="minorHAnsi"/>
          <w:color w:val="4A4A4A"/>
          <w:lang w:val="en-US" w:eastAsia="en-US"/>
        </w:rPr>
        <w:t xml:space="preserve"> </w:t>
      </w:r>
      <w:r w:rsidRPr="00486970">
        <w:rPr>
          <w:rFonts w:eastAsia="Times New Roman" w:cstheme="minorHAnsi"/>
          <w:color w:val="4A4A4A"/>
          <w:lang w:val="en-US" w:eastAsia="en-US"/>
        </w:rPr>
        <w:t>Labour</w:t>
      </w:r>
      <w:r w:rsidR="005B2719">
        <w:rPr>
          <w:rFonts w:eastAsia="Times New Roman" w:cstheme="minorHAnsi"/>
          <w:color w:val="4A4A4A"/>
          <w:lang w:val="en-US" w:eastAsia="en-US"/>
        </w:rPr>
        <w:t xml:space="preserve"> </w:t>
      </w:r>
      <w:r w:rsidRPr="00486970">
        <w:rPr>
          <w:rFonts w:eastAsia="Times New Roman" w:cstheme="minorHAnsi"/>
          <w:color w:val="4A4A4A"/>
          <w:lang w:val="en-US" w:eastAsia="en-US"/>
        </w:rPr>
        <w:t>Organization, 2018),</w:t>
      </w:r>
      <w:hyperlink r:id="rId19" w:tgtFrame="_blank" w:history="1">
        <w:r w:rsidRPr="00486970">
          <w:rPr>
            <w:rFonts w:eastAsia="Times New Roman" w:cstheme="minorHAnsi"/>
            <w:color w:val="0000FF"/>
            <w:u w:val="single"/>
            <w:lang w:eastAsia="en-US"/>
          </w:rPr>
          <w:t>https://www.ilo.org/global/topics/wages/minimum-wages/definition/lang--en/index.htm</w:t>
        </w:r>
      </w:hyperlink>
    </w:p>
    <w:p w14:paraId="2FB5E251" w14:textId="75028A71" w:rsidR="005012B9" w:rsidRPr="00486970" w:rsidRDefault="005012B9" w:rsidP="00397ADD">
      <w:pPr>
        <w:numPr>
          <w:ilvl w:val="0"/>
          <w:numId w:val="36"/>
        </w:numPr>
        <w:shd w:val="clear" w:color="auto" w:fill="FFFFFF"/>
        <w:spacing w:after="0" w:line="240" w:lineRule="auto"/>
        <w:ind w:left="360" w:firstLine="0"/>
        <w:jc w:val="both"/>
        <w:textAlignment w:val="baseline"/>
        <w:rPr>
          <w:rFonts w:eastAsia="Times New Roman" w:cstheme="minorHAnsi"/>
          <w:lang w:val="en-US" w:eastAsia="en-US"/>
        </w:rPr>
      </w:pPr>
      <w:r w:rsidRPr="00486970">
        <w:rPr>
          <w:rFonts w:eastAsia="Times New Roman" w:cstheme="minorHAnsi"/>
          <w:color w:val="4A4A4A"/>
          <w:lang w:val="en-US" w:eastAsia="en-US"/>
        </w:rPr>
        <w:t>World Health Organization,</w:t>
      </w:r>
      <w:r w:rsidR="005B2719">
        <w:rPr>
          <w:rFonts w:eastAsia="Times New Roman" w:cstheme="minorHAnsi"/>
          <w:color w:val="4A4A4A"/>
          <w:lang w:val="en-US" w:eastAsia="en-US"/>
        </w:rPr>
        <w:t xml:space="preserve"> </w:t>
      </w:r>
      <w:r w:rsidRPr="00486970">
        <w:rPr>
          <w:rFonts w:eastAsia="Times New Roman" w:cstheme="minorHAnsi"/>
          <w:i/>
          <w:iCs/>
          <w:color w:val="4A4A4A"/>
          <w:lang w:val="en-US" w:eastAsia="en-US"/>
        </w:rPr>
        <w:t>The Global Burden of Disease: 2004 Update</w:t>
      </w:r>
      <w:r w:rsidR="005B2719">
        <w:rPr>
          <w:rFonts w:eastAsia="Times New Roman" w:cstheme="minorHAnsi"/>
          <w:color w:val="4A4A4A"/>
          <w:lang w:val="en-US" w:eastAsia="en-US"/>
        </w:rPr>
        <w:t xml:space="preserve"> </w:t>
      </w:r>
      <w:r w:rsidRPr="00486970">
        <w:rPr>
          <w:rFonts w:eastAsia="Times New Roman" w:cstheme="minorHAnsi"/>
          <w:color w:val="4A4A4A"/>
          <w:lang w:val="en-US" w:eastAsia="en-US"/>
        </w:rPr>
        <w:t>(Switzerland, 2008), available from</w:t>
      </w:r>
      <w:hyperlink r:id="rId20" w:tgtFrame="_blank" w:history="1">
        <w:r w:rsidRPr="00486970">
          <w:rPr>
            <w:rFonts w:eastAsia="Times New Roman" w:cstheme="minorHAnsi"/>
            <w:color w:val="0000FF"/>
            <w:u w:val="single"/>
            <w:lang w:eastAsia="en-US"/>
          </w:rPr>
          <w:t>http://www.who.int/healthinfo/global_burden_disease/2004_report_update/en/</w:t>
        </w:r>
      </w:hyperlink>
    </w:p>
    <w:p w14:paraId="6FB80C66" w14:textId="0EBAF6B2" w:rsidR="005012B9" w:rsidRPr="00486970" w:rsidRDefault="005012B9" w:rsidP="00397ADD">
      <w:pPr>
        <w:numPr>
          <w:ilvl w:val="0"/>
          <w:numId w:val="37"/>
        </w:numPr>
        <w:shd w:val="clear" w:color="auto" w:fill="FFFFFF"/>
        <w:spacing w:after="0" w:line="240" w:lineRule="auto"/>
        <w:ind w:left="360" w:firstLine="0"/>
        <w:jc w:val="both"/>
        <w:textAlignment w:val="baseline"/>
        <w:rPr>
          <w:rFonts w:eastAsia="Times New Roman" w:cstheme="minorHAnsi"/>
          <w:lang w:val="en-US" w:eastAsia="en-US"/>
        </w:rPr>
      </w:pPr>
      <w:r w:rsidRPr="00486970">
        <w:rPr>
          <w:rFonts w:eastAsia="Times New Roman" w:cstheme="minorHAnsi"/>
          <w:color w:val="4A4A4A"/>
          <w:lang w:val="en-US" w:eastAsia="en-US"/>
        </w:rPr>
        <w:t>“WHO Global Benchmarking Tool (GBT) for evaluation of national regulatory systems” (WHO Essential medicines and health products, 2018), available from</w:t>
      </w:r>
      <w:hyperlink r:id="rId21" w:history="1">
        <w:r w:rsidR="00AC1F56" w:rsidRPr="001B5F83">
          <w:rPr>
            <w:rStyle w:val="Hyperlink"/>
            <w:rFonts w:eastAsia="Times New Roman" w:cstheme="minorHAnsi"/>
            <w:lang w:eastAsia="en-US"/>
          </w:rPr>
          <w:t>http://www.who.int/medicines/regulation/benchmarking_tool/en/</w:t>
        </w:r>
      </w:hyperlink>
      <w:r w:rsidRPr="00486970">
        <w:rPr>
          <w:rFonts w:eastAsia="Times New Roman" w:cstheme="minorHAnsi"/>
          <w:color w:val="4A4A4A"/>
          <w:lang w:val="en-US" w:eastAsia="en-US"/>
        </w:rPr>
        <w:t>.</w:t>
      </w:r>
    </w:p>
    <w:p w14:paraId="02C09022" w14:textId="5E1268DE" w:rsidR="005012B9" w:rsidRPr="00486970" w:rsidRDefault="005012B9" w:rsidP="00397ADD">
      <w:pPr>
        <w:numPr>
          <w:ilvl w:val="0"/>
          <w:numId w:val="38"/>
        </w:numPr>
        <w:shd w:val="clear" w:color="auto" w:fill="FFFFFF"/>
        <w:spacing w:after="0" w:line="240" w:lineRule="auto"/>
        <w:ind w:left="360" w:firstLine="0"/>
        <w:jc w:val="both"/>
        <w:textAlignment w:val="baseline"/>
        <w:rPr>
          <w:rFonts w:eastAsia="Times New Roman" w:cstheme="minorHAnsi"/>
          <w:lang w:val="en-US" w:eastAsia="en-US"/>
        </w:rPr>
      </w:pPr>
      <w:r w:rsidRPr="00486970">
        <w:rPr>
          <w:rFonts w:eastAsia="Times New Roman" w:cstheme="minorHAnsi"/>
          <w:color w:val="4A4A4A"/>
          <w:lang w:val="en-US" w:eastAsia="en-US"/>
        </w:rPr>
        <w:t>“Disease burden and mortality estimates” (WHO Health statistics and information systems, 2018), available from</w:t>
      </w:r>
      <w:r w:rsidR="00AC1F56">
        <w:rPr>
          <w:rFonts w:eastAsia="Times New Roman" w:cstheme="minorHAnsi"/>
          <w:b/>
          <w:bCs/>
          <w:lang w:val="en-US" w:eastAsia="en-US"/>
        </w:rPr>
        <w:t xml:space="preserve"> </w:t>
      </w:r>
      <w:hyperlink r:id="rId22" w:history="1">
        <w:r w:rsidR="00AC1F56" w:rsidRPr="001B5F83">
          <w:rPr>
            <w:rStyle w:val="Hyperlink"/>
            <w:rFonts w:eastAsia="Times New Roman" w:cstheme="minorHAnsi"/>
            <w:lang w:eastAsia="en-US"/>
          </w:rPr>
          <w:t>http://www.who.int/healthinfo/global_burden_disease/estimates/en/index1.html</w:t>
        </w:r>
      </w:hyperlink>
      <w:r w:rsidRPr="00486970">
        <w:rPr>
          <w:rFonts w:eastAsia="Times New Roman" w:cstheme="minorHAnsi"/>
          <w:color w:val="4A4A4A"/>
          <w:lang w:eastAsia="en-US"/>
        </w:rPr>
        <w:t>.</w:t>
      </w:r>
    </w:p>
    <w:p w14:paraId="30660B32" w14:textId="3600A7DF" w:rsidR="005012B9" w:rsidRPr="00486970" w:rsidRDefault="005012B9" w:rsidP="00397ADD">
      <w:pPr>
        <w:numPr>
          <w:ilvl w:val="0"/>
          <w:numId w:val="39"/>
        </w:numPr>
        <w:shd w:val="clear" w:color="auto" w:fill="FFFFFF"/>
        <w:spacing w:after="0" w:line="240" w:lineRule="auto"/>
        <w:ind w:left="360" w:firstLine="0"/>
        <w:jc w:val="both"/>
        <w:textAlignment w:val="baseline"/>
        <w:rPr>
          <w:rFonts w:eastAsia="Times New Roman" w:cstheme="minorHAnsi"/>
          <w:color w:val="4A4A4A"/>
          <w:lang w:val="en-US" w:eastAsia="en-US"/>
        </w:rPr>
      </w:pPr>
      <w:r w:rsidRPr="00486970">
        <w:rPr>
          <w:rFonts w:eastAsia="Times New Roman" w:cstheme="minorHAnsi"/>
          <w:color w:val="4A4A4A"/>
          <w:lang w:val="en-US" w:eastAsia="en-US"/>
        </w:rPr>
        <w:t>Alkire, S. and Robles, G. (2016). “Measuring multidimensional poverty: Dashboards, Union identification, and the Multidimensional Poverty Index (MPI).” OPHI Research in Progress 46a, University of Oxford.</w:t>
      </w:r>
    </w:p>
    <w:p w14:paraId="55C84266" w14:textId="4F817F62" w:rsidR="005012B9" w:rsidRPr="00486970" w:rsidRDefault="005012B9" w:rsidP="00397ADD">
      <w:pPr>
        <w:numPr>
          <w:ilvl w:val="0"/>
          <w:numId w:val="40"/>
        </w:numPr>
        <w:shd w:val="clear" w:color="auto" w:fill="FFFFFF"/>
        <w:spacing w:after="0" w:line="240" w:lineRule="auto"/>
        <w:ind w:left="360" w:firstLine="0"/>
        <w:jc w:val="both"/>
        <w:textAlignment w:val="baseline"/>
        <w:rPr>
          <w:rFonts w:eastAsia="Times New Roman" w:cstheme="minorHAnsi"/>
          <w:lang w:val="en-US" w:eastAsia="en-US"/>
        </w:rPr>
      </w:pPr>
      <w:r w:rsidRPr="00486970">
        <w:rPr>
          <w:rFonts w:eastAsia="Times New Roman" w:cstheme="minorHAnsi"/>
          <w:color w:val="4A4A4A"/>
          <w:lang w:val="en-US" w:eastAsia="en-US"/>
        </w:rPr>
        <w:lastRenderedPageBreak/>
        <w:t>“Essential Medicines” (WHO Global Health Observatory data repository, 2016), available from</w:t>
      </w:r>
      <w:r w:rsidR="00AC1F56">
        <w:rPr>
          <w:rFonts w:eastAsia="Times New Roman" w:cstheme="minorHAnsi"/>
          <w:color w:val="4A4A4A"/>
          <w:lang w:val="en-US" w:eastAsia="en-US"/>
        </w:rPr>
        <w:t xml:space="preserve"> </w:t>
      </w:r>
      <w:hyperlink r:id="rId23" w:tgtFrame="_blank" w:history="1">
        <w:r w:rsidRPr="00486970">
          <w:rPr>
            <w:rFonts w:eastAsia="Times New Roman" w:cstheme="minorHAnsi"/>
            <w:color w:val="0000FF"/>
            <w:u w:val="single"/>
            <w:lang w:val="en-US" w:eastAsia="en-US"/>
          </w:rPr>
          <w:t>http://apps.who.int/gho/data/node.main.487</w:t>
        </w:r>
      </w:hyperlink>
      <w:r w:rsidRPr="00486970">
        <w:rPr>
          <w:rFonts w:eastAsia="Times New Roman" w:cstheme="minorHAnsi"/>
          <w:color w:val="4A4A4A"/>
          <w:lang w:val="en-US" w:eastAsia="en-US"/>
        </w:rPr>
        <w:t>.</w:t>
      </w:r>
    </w:p>
    <w:p w14:paraId="7EA82D99" w14:textId="468F3C71" w:rsidR="005012B9" w:rsidRPr="00486970" w:rsidRDefault="005012B9" w:rsidP="00397ADD">
      <w:pPr>
        <w:numPr>
          <w:ilvl w:val="0"/>
          <w:numId w:val="41"/>
        </w:numPr>
        <w:spacing w:after="0" w:line="240" w:lineRule="auto"/>
        <w:ind w:left="360" w:firstLine="0"/>
        <w:jc w:val="both"/>
        <w:textAlignment w:val="baseline"/>
        <w:rPr>
          <w:rFonts w:eastAsia="Times New Roman" w:cstheme="minorHAnsi"/>
          <w:lang w:val="en-US" w:eastAsia="en-US"/>
        </w:rPr>
      </w:pPr>
      <w:r w:rsidRPr="00486970">
        <w:rPr>
          <w:rFonts w:eastAsia="Times New Roman" w:cstheme="minorHAnsi"/>
          <w:color w:val="4A4A4A"/>
          <w:lang w:val="en-US" w:eastAsia="en-US"/>
        </w:rPr>
        <w:t>Health</w:t>
      </w:r>
      <w:r w:rsidR="00AC1F56">
        <w:rPr>
          <w:rFonts w:eastAsia="Times New Roman" w:cstheme="minorHAnsi"/>
          <w:color w:val="4A4A4A"/>
          <w:lang w:val="en-US" w:eastAsia="en-US"/>
        </w:rPr>
        <w:t xml:space="preserve"> </w:t>
      </w:r>
      <w:r w:rsidRPr="00486970">
        <w:rPr>
          <w:rFonts w:eastAsia="Times New Roman" w:cstheme="minorHAnsi"/>
          <w:color w:val="4A4A4A"/>
          <w:lang w:val="en-US" w:eastAsia="en-US"/>
        </w:rPr>
        <w:t>at a Glance</w:t>
      </w:r>
      <w:r w:rsidR="00AC1F56">
        <w:rPr>
          <w:rFonts w:eastAsia="Times New Roman" w:cstheme="minorHAnsi"/>
          <w:color w:val="4A4A4A"/>
          <w:lang w:val="en-US" w:eastAsia="en-US"/>
        </w:rPr>
        <w:t xml:space="preserve"> </w:t>
      </w:r>
      <w:r w:rsidRPr="00486970">
        <w:rPr>
          <w:rFonts w:eastAsia="Times New Roman" w:cstheme="minorHAnsi"/>
          <w:color w:val="4A4A4A"/>
          <w:lang w:val="en-US" w:eastAsia="en-US"/>
        </w:rPr>
        <w:t>2017: OECD Indicators, OECD (2017). OECD Publishing, Paris</w:t>
      </w:r>
      <w:r w:rsidR="00AC1F56">
        <w:rPr>
          <w:rFonts w:eastAsia="Times New Roman" w:cstheme="minorHAnsi"/>
          <w:color w:val="4A4A4A"/>
          <w:lang w:val="en-US" w:eastAsia="en-US"/>
        </w:rPr>
        <w:t xml:space="preserve"> </w:t>
      </w:r>
      <w:hyperlink r:id="rId24" w:tgtFrame="_blank" w:history="1">
        <w:r w:rsidRPr="00486970">
          <w:rPr>
            <w:rFonts w:eastAsia="Times New Roman" w:cstheme="minorHAnsi"/>
            <w:color w:val="0000FF"/>
            <w:u w:val="single"/>
            <w:lang w:val="en-US" w:eastAsia="en-US"/>
          </w:rPr>
          <w:t>https://doi.org/10.1787/health_glance-2017-en</w:t>
        </w:r>
      </w:hyperlink>
      <w:r w:rsidRPr="00486970">
        <w:rPr>
          <w:rFonts w:eastAsia="Times New Roman" w:cstheme="minorHAnsi"/>
          <w:color w:val="0000FF"/>
          <w:u w:val="single"/>
          <w:lang w:val="en-US" w:eastAsia="en-US"/>
        </w:rPr>
        <w:t>.</w:t>
      </w:r>
    </w:p>
    <w:p w14:paraId="707C74D8" w14:textId="719B7781" w:rsidR="009443FF" w:rsidRPr="00486970" w:rsidRDefault="009443FF">
      <w:pPr>
        <w:rPr>
          <w:rFonts w:cstheme="minorHAnsi"/>
        </w:rPr>
      </w:pPr>
    </w:p>
    <w:tbl>
      <w:tblPr>
        <w:tblStyle w:val="TableGrid1"/>
        <w:tblpPr w:leftFromText="180" w:rightFromText="180" w:vertAnchor="text" w:horzAnchor="margin" w:tblpXSpec="center" w:tblpY="-889"/>
        <w:tblW w:w="11283" w:type="dxa"/>
        <w:tblLook w:val="04A0" w:firstRow="1" w:lastRow="0" w:firstColumn="1" w:lastColumn="0" w:noHBand="0" w:noVBand="1"/>
      </w:tblPr>
      <w:tblGrid>
        <w:gridCol w:w="4923"/>
        <w:gridCol w:w="1540"/>
        <w:gridCol w:w="4820"/>
      </w:tblGrid>
      <w:tr w:rsidR="009443FF" w:rsidRPr="00486970" w14:paraId="0687BFA3" w14:textId="77777777" w:rsidTr="00D942BA">
        <w:trPr>
          <w:trHeight w:val="288"/>
          <w:tblHeader/>
        </w:trPr>
        <w:tc>
          <w:tcPr>
            <w:tcW w:w="4923" w:type="dxa"/>
            <w:noWrap/>
            <w:hideMark/>
          </w:tcPr>
          <w:p w14:paraId="42A21D5E" w14:textId="77777777" w:rsidR="009443FF" w:rsidRPr="00486970" w:rsidRDefault="009443FF" w:rsidP="00D942BA">
            <w:pPr>
              <w:jc w:val="center"/>
              <w:rPr>
                <w:rFonts w:cstheme="minorHAnsi"/>
                <w:b/>
                <w:bCs/>
                <w:u w:val="single"/>
              </w:rPr>
            </w:pPr>
            <w:r w:rsidRPr="00486970">
              <w:rPr>
                <w:rFonts w:cstheme="minorHAnsi"/>
                <w:b/>
                <w:bCs/>
                <w:u w:val="single"/>
              </w:rPr>
              <w:lastRenderedPageBreak/>
              <w:t>Medicine</w:t>
            </w:r>
          </w:p>
        </w:tc>
        <w:tc>
          <w:tcPr>
            <w:tcW w:w="1540" w:type="dxa"/>
            <w:noWrap/>
            <w:hideMark/>
          </w:tcPr>
          <w:p w14:paraId="604D6667" w14:textId="77777777" w:rsidR="009443FF" w:rsidRPr="00486970" w:rsidRDefault="009443FF" w:rsidP="00D942BA">
            <w:pPr>
              <w:jc w:val="center"/>
              <w:rPr>
                <w:rFonts w:cstheme="minorHAnsi"/>
                <w:b/>
                <w:bCs/>
                <w:u w:val="single"/>
              </w:rPr>
            </w:pPr>
            <w:r w:rsidRPr="00486970">
              <w:rPr>
                <w:rFonts w:cstheme="minorHAnsi"/>
                <w:b/>
                <w:bCs/>
                <w:u w:val="single"/>
              </w:rPr>
              <w:t>Category (Therapeutic group)</w:t>
            </w:r>
          </w:p>
        </w:tc>
        <w:tc>
          <w:tcPr>
            <w:tcW w:w="4820" w:type="dxa"/>
            <w:noWrap/>
            <w:hideMark/>
          </w:tcPr>
          <w:p w14:paraId="145E73A8" w14:textId="77777777" w:rsidR="009443FF" w:rsidRPr="00486970" w:rsidRDefault="009443FF" w:rsidP="00D942BA">
            <w:pPr>
              <w:rPr>
                <w:rFonts w:cstheme="minorHAnsi"/>
                <w:b/>
                <w:bCs/>
                <w:u w:val="single"/>
              </w:rPr>
            </w:pPr>
            <w:r w:rsidRPr="00486970">
              <w:rPr>
                <w:rFonts w:cstheme="minorHAnsi"/>
                <w:b/>
                <w:bCs/>
                <w:u w:val="single"/>
              </w:rPr>
              <w:t>Justification</w:t>
            </w:r>
          </w:p>
        </w:tc>
      </w:tr>
      <w:tr w:rsidR="009443FF" w:rsidRPr="00486970" w14:paraId="75CFB5AC" w14:textId="77777777" w:rsidTr="00D942BA">
        <w:trPr>
          <w:trHeight w:val="900"/>
        </w:trPr>
        <w:tc>
          <w:tcPr>
            <w:tcW w:w="4923" w:type="dxa"/>
            <w:noWrap/>
            <w:hideMark/>
          </w:tcPr>
          <w:p w14:paraId="20CF8E42" w14:textId="77777777" w:rsidR="009443FF" w:rsidRPr="00486970" w:rsidRDefault="009443FF" w:rsidP="00D942BA">
            <w:pPr>
              <w:rPr>
                <w:rFonts w:cstheme="minorHAnsi"/>
                <w:sz w:val="20"/>
                <w:szCs w:val="20"/>
              </w:rPr>
            </w:pPr>
            <w:r w:rsidRPr="00486970">
              <w:rPr>
                <w:rFonts w:cstheme="minorHAnsi"/>
                <w:sz w:val="20"/>
                <w:szCs w:val="20"/>
              </w:rPr>
              <w:t>Salbutamol (100 mcg/dose inhaler)</w:t>
            </w:r>
          </w:p>
        </w:tc>
        <w:tc>
          <w:tcPr>
            <w:tcW w:w="1540" w:type="dxa"/>
            <w:noWrap/>
            <w:hideMark/>
          </w:tcPr>
          <w:p w14:paraId="55913CBD" w14:textId="77777777" w:rsidR="009443FF" w:rsidRPr="00486970" w:rsidRDefault="009443FF" w:rsidP="00D942BA">
            <w:pPr>
              <w:rPr>
                <w:rFonts w:cstheme="minorHAnsi"/>
                <w:sz w:val="20"/>
                <w:szCs w:val="20"/>
              </w:rPr>
            </w:pPr>
            <w:r w:rsidRPr="00486970">
              <w:rPr>
                <w:rFonts w:cstheme="minorHAnsi"/>
                <w:sz w:val="20"/>
                <w:szCs w:val="20"/>
              </w:rPr>
              <w:t>NCD - Respiratory</w:t>
            </w:r>
          </w:p>
        </w:tc>
        <w:tc>
          <w:tcPr>
            <w:tcW w:w="4820" w:type="dxa"/>
            <w:hideMark/>
          </w:tcPr>
          <w:p w14:paraId="3FD3F26E"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Salbutamol, a short acting beta-2 agonist, is recommended for prophylaxis and the first-line treatment of bronchospasm in asthma and COPD. It is recommended for all patients with acute severe asthma. </w:t>
            </w:r>
          </w:p>
          <w:p w14:paraId="410842A6" w14:textId="77777777" w:rsidR="009443FF" w:rsidRPr="00486970" w:rsidRDefault="009443FF" w:rsidP="00D942BA">
            <w:pPr>
              <w:rPr>
                <w:rFonts w:cstheme="minorHAnsi"/>
                <w:b/>
                <w:sz w:val="20"/>
                <w:szCs w:val="20"/>
              </w:rPr>
            </w:pPr>
            <w:r w:rsidRPr="00486970">
              <w:rPr>
                <w:rFonts w:cstheme="minorHAnsi"/>
                <w:b/>
                <w:sz w:val="20"/>
                <w:szCs w:val="20"/>
              </w:rPr>
              <w:t xml:space="preserve">Treatment References: </w:t>
            </w:r>
            <w:hyperlink r:id="rId25" w:history="1">
              <w:r w:rsidRPr="00486970">
                <w:rPr>
                  <w:rFonts w:cstheme="minorHAnsi"/>
                  <w:color w:val="0000FF" w:themeColor="hyperlink"/>
                  <w:sz w:val="20"/>
                  <w:szCs w:val="20"/>
                  <w:u w:val="single"/>
                </w:rPr>
                <w:t>WHO PEN 5.b</w:t>
              </w:r>
            </w:hyperlink>
            <w:r w:rsidRPr="00486970">
              <w:rPr>
                <w:rFonts w:cstheme="minorHAnsi"/>
                <w:b/>
                <w:sz w:val="20"/>
                <w:szCs w:val="20"/>
              </w:rPr>
              <w:t xml:space="preserve">, </w:t>
            </w:r>
            <w:r w:rsidRPr="00486970">
              <w:rPr>
                <w:rFonts w:cstheme="minorHAnsi"/>
                <w:color w:val="0000FF" w:themeColor="hyperlink"/>
                <w:sz w:val="20"/>
                <w:szCs w:val="20"/>
                <w:u w:val="single"/>
              </w:rPr>
              <w:t xml:space="preserve">WHO </w:t>
            </w:r>
            <w:hyperlink r:id="rId26" w:history="1">
              <w:r w:rsidRPr="00486970">
                <w:rPr>
                  <w:rFonts w:cstheme="minorHAnsi"/>
                  <w:color w:val="0000FF" w:themeColor="hyperlink"/>
                  <w:sz w:val="20"/>
                  <w:szCs w:val="20"/>
                  <w:u w:val="single"/>
                </w:rPr>
                <w:t>Guidelines for primary health care in low-resource settings</w:t>
              </w:r>
            </w:hyperlink>
            <w:r w:rsidRPr="00486970">
              <w:rPr>
                <w:rFonts w:cstheme="minorHAnsi"/>
                <w:b/>
                <w:sz w:val="20"/>
                <w:szCs w:val="20"/>
              </w:rPr>
              <w:t xml:space="preserve"> </w:t>
            </w:r>
          </w:p>
          <w:p w14:paraId="74F1A83A" w14:textId="77777777" w:rsidR="009443FF" w:rsidRPr="00486970" w:rsidRDefault="009443FF" w:rsidP="00D942BA">
            <w:pPr>
              <w:rPr>
                <w:rFonts w:cstheme="minorHAnsi"/>
                <w:b/>
                <w:sz w:val="20"/>
                <w:szCs w:val="20"/>
              </w:rPr>
            </w:pPr>
            <w:r w:rsidRPr="00486970">
              <w:rPr>
                <w:rFonts w:cstheme="minorHAnsi"/>
                <w:b/>
                <w:sz w:val="20"/>
                <w:szCs w:val="20"/>
              </w:rPr>
              <w:t xml:space="preserve">More information in WHO EML 2017 Section Reference: </w:t>
            </w:r>
            <w:r w:rsidRPr="00486970">
              <w:rPr>
                <w:rFonts w:cstheme="minorHAnsi"/>
                <w:sz w:val="20"/>
                <w:szCs w:val="20"/>
              </w:rPr>
              <w:t>25.1</w:t>
            </w:r>
          </w:p>
        </w:tc>
      </w:tr>
      <w:tr w:rsidR="009443FF" w:rsidRPr="00486970" w14:paraId="49DBBC87" w14:textId="77777777" w:rsidTr="00D942BA">
        <w:trPr>
          <w:trHeight w:val="900"/>
        </w:trPr>
        <w:tc>
          <w:tcPr>
            <w:tcW w:w="4923" w:type="dxa"/>
            <w:noWrap/>
            <w:hideMark/>
          </w:tcPr>
          <w:p w14:paraId="3C798A62" w14:textId="77777777" w:rsidR="009443FF" w:rsidRPr="00486970" w:rsidRDefault="009443FF" w:rsidP="00D942BA">
            <w:pPr>
              <w:rPr>
                <w:rFonts w:cstheme="minorHAnsi"/>
                <w:sz w:val="20"/>
                <w:szCs w:val="20"/>
              </w:rPr>
            </w:pPr>
            <w:r w:rsidRPr="00486970">
              <w:rPr>
                <w:rFonts w:cstheme="minorHAnsi"/>
                <w:sz w:val="20"/>
                <w:szCs w:val="20"/>
              </w:rPr>
              <w:t>Beclometasone (100 mcg/dose inhaler) or other corticosteroid inhaler</w:t>
            </w:r>
          </w:p>
          <w:p w14:paraId="1DBEB808" w14:textId="77777777" w:rsidR="009443FF" w:rsidRPr="00486970" w:rsidRDefault="009443FF" w:rsidP="00D942BA">
            <w:pPr>
              <w:rPr>
                <w:rFonts w:cstheme="minorHAnsi"/>
                <w:sz w:val="20"/>
                <w:szCs w:val="20"/>
              </w:rPr>
            </w:pPr>
          </w:p>
          <w:p w14:paraId="38A6C9FF" w14:textId="77777777" w:rsidR="009443FF" w:rsidRPr="00486970" w:rsidRDefault="009443FF" w:rsidP="00D942BA">
            <w:pPr>
              <w:rPr>
                <w:rFonts w:cstheme="minorHAnsi"/>
                <w:sz w:val="20"/>
                <w:szCs w:val="20"/>
              </w:rPr>
            </w:pPr>
          </w:p>
          <w:p w14:paraId="71A0133A" w14:textId="77777777" w:rsidR="009443FF" w:rsidRPr="00486970" w:rsidRDefault="009443FF" w:rsidP="00D942BA">
            <w:pPr>
              <w:rPr>
                <w:rFonts w:cstheme="minorHAnsi"/>
                <w:sz w:val="20"/>
                <w:szCs w:val="20"/>
              </w:rPr>
            </w:pPr>
            <w:r w:rsidRPr="00486970">
              <w:rPr>
                <w:rFonts w:cstheme="minorHAnsi"/>
                <w:sz w:val="20"/>
                <w:szCs w:val="20"/>
              </w:rPr>
              <w:t xml:space="preserve">Alternatives would include, but not be limited to, budesonide, fluticasone, ciclesonide.  Refer to ATC group R03BA - </w:t>
            </w:r>
          </w:p>
          <w:p w14:paraId="250E7EE0" w14:textId="77777777" w:rsidR="009443FF" w:rsidRPr="00486970" w:rsidRDefault="009443FF" w:rsidP="00D942BA">
            <w:pPr>
              <w:rPr>
                <w:rFonts w:cstheme="minorHAnsi"/>
                <w:sz w:val="20"/>
                <w:szCs w:val="20"/>
              </w:rPr>
            </w:pPr>
          </w:p>
        </w:tc>
        <w:tc>
          <w:tcPr>
            <w:tcW w:w="1540" w:type="dxa"/>
            <w:noWrap/>
            <w:hideMark/>
          </w:tcPr>
          <w:p w14:paraId="382612F2" w14:textId="77777777" w:rsidR="009443FF" w:rsidRPr="00486970" w:rsidRDefault="009443FF" w:rsidP="00D942BA">
            <w:pPr>
              <w:rPr>
                <w:rFonts w:cstheme="minorHAnsi"/>
                <w:sz w:val="20"/>
                <w:szCs w:val="20"/>
              </w:rPr>
            </w:pPr>
            <w:r w:rsidRPr="00486970">
              <w:rPr>
                <w:rFonts w:cstheme="minorHAnsi"/>
                <w:sz w:val="20"/>
                <w:szCs w:val="20"/>
              </w:rPr>
              <w:t>NCD - Respiratory</w:t>
            </w:r>
          </w:p>
        </w:tc>
        <w:tc>
          <w:tcPr>
            <w:tcW w:w="4820" w:type="dxa"/>
            <w:hideMark/>
          </w:tcPr>
          <w:p w14:paraId="27B190E7"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Inhaled corticosteroids are indicated for maintenance treatment of asthma symptoms by reducing inflammation and reducing airways hyper-responsiveness.  These do not provide symptomatic relief in acute asthma.  Beclometasone is a representative antiasthmatic in the WHO EML. </w:t>
            </w:r>
          </w:p>
          <w:p w14:paraId="6210B03A" w14:textId="77777777" w:rsidR="009443FF" w:rsidRPr="00486970" w:rsidRDefault="009443FF" w:rsidP="00D942BA">
            <w:pPr>
              <w:rPr>
                <w:rFonts w:cstheme="minorHAnsi"/>
                <w:b/>
                <w:sz w:val="20"/>
                <w:szCs w:val="20"/>
              </w:rPr>
            </w:pPr>
            <w:r w:rsidRPr="00486970">
              <w:rPr>
                <w:rFonts w:cstheme="minorHAnsi"/>
                <w:b/>
                <w:sz w:val="20"/>
                <w:szCs w:val="20"/>
              </w:rPr>
              <w:t xml:space="preserve">Treatment References: </w:t>
            </w:r>
            <w:hyperlink r:id="rId27" w:history="1">
              <w:r w:rsidRPr="00486970">
                <w:rPr>
                  <w:rFonts w:cstheme="minorHAnsi"/>
                  <w:color w:val="0000FF" w:themeColor="hyperlink"/>
                  <w:sz w:val="20"/>
                  <w:szCs w:val="20"/>
                  <w:u w:val="single"/>
                </w:rPr>
                <w:t>WHO PEN 5.b</w:t>
              </w:r>
            </w:hyperlink>
            <w:r w:rsidRPr="00486970">
              <w:rPr>
                <w:rFonts w:cstheme="minorHAnsi"/>
                <w:b/>
                <w:sz w:val="20"/>
                <w:szCs w:val="20"/>
              </w:rPr>
              <w:t xml:space="preserve">, </w:t>
            </w:r>
            <w:r w:rsidRPr="00486970">
              <w:rPr>
                <w:rFonts w:cstheme="minorHAnsi"/>
                <w:color w:val="0000FF" w:themeColor="hyperlink"/>
                <w:sz w:val="20"/>
                <w:szCs w:val="20"/>
                <w:u w:val="single"/>
              </w:rPr>
              <w:t xml:space="preserve">WHO </w:t>
            </w:r>
            <w:hyperlink r:id="rId28" w:history="1">
              <w:r w:rsidRPr="00486970">
                <w:rPr>
                  <w:rFonts w:cstheme="minorHAnsi"/>
                  <w:color w:val="0000FF" w:themeColor="hyperlink"/>
                  <w:sz w:val="20"/>
                  <w:szCs w:val="20"/>
                  <w:u w:val="single"/>
                </w:rPr>
                <w:t>Guidelines for primary health care in low-resource settings</w:t>
              </w:r>
            </w:hyperlink>
            <w:r w:rsidRPr="00486970">
              <w:rPr>
                <w:rFonts w:cstheme="minorHAnsi"/>
                <w:b/>
                <w:sz w:val="20"/>
                <w:szCs w:val="20"/>
              </w:rPr>
              <w:t xml:space="preserve"> </w:t>
            </w:r>
          </w:p>
          <w:p w14:paraId="354597C2" w14:textId="77777777" w:rsidR="009443FF" w:rsidRPr="00486970" w:rsidRDefault="009443FF" w:rsidP="00D942BA">
            <w:pPr>
              <w:rPr>
                <w:rFonts w:cstheme="minorHAnsi"/>
                <w:b/>
                <w:sz w:val="20"/>
                <w:szCs w:val="20"/>
              </w:rPr>
            </w:pPr>
            <w:r w:rsidRPr="00486970">
              <w:rPr>
                <w:rFonts w:cstheme="minorHAnsi"/>
                <w:b/>
                <w:sz w:val="20"/>
                <w:szCs w:val="20"/>
              </w:rPr>
              <w:t xml:space="preserve">More information in WHO EML 2017 Section Reference: </w:t>
            </w:r>
            <w:r w:rsidRPr="00486970">
              <w:rPr>
                <w:rFonts w:cstheme="minorHAnsi"/>
                <w:sz w:val="20"/>
                <w:szCs w:val="20"/>
              </w:rPr>
              <w:t>25.1</w:t>
            </w:r>
          </w:p>
        </w:tc>
      </w:tr>
      <w:tr w:rsidR="009443FF" w:rsidRPr="00486970" w14:paraId="375A135A" w14:textId="77777777" w:rsidTr="00D942BA">
        <w:trPr>
          <w:trHeight w:val="2259"/>
        </w:trPr>
        <w:tc>
          <w:tcPr>
            <w:tcW w:w="4923" w:type="dxa"/>
            <w:noWrap/>
            <w:hideMark/>
          </w:tcPr>
          <w:p w14:paraId="0DDC52B9" w14:textId="77777777" w:rsidR="009443FF" w:rsidRPr="00486970" w:rsidRDefault="009443FF" w:rsidP="00D942BA">
            <w:pPr>
              <w:rPr>
                <w:rFonts w:cstheme="minorHAnsi"/>
                <w:sz w:val="20"/>
                <w:szCs w:val="20"/>
              </w:rPr>
            </w:pPr>
            <w:r w:rsidRPr="00486970">
              <w:rPr>
                <w:rFonts w:cstheme="minorHAnsi"/>
                <w:sz w:val="20"/>
                <w:szCs w:val="20"/>
              </w:rPr>
              <w:t>Gliclazide (80 mg cap/tab) or other sulfonylurea</w:t>
            </w:r>
          </w:p>
          <w:p w14:paraId="585E4837" w14:textId="77777777" w:rsidR="009443FF" w:rsidRPr="00486970" w:rsidRDefault="009443FF" w:rsidP="00D942BA">
            <w:pPr>
              <w:rPr>
                <w:rFonts w:cstheme="minorHAnsi"/>
                <w:sz w:val="20"/>
                <w:szCs w:val="20"/>
              </w:rPr>
            </w:pPr>
          </w:p>
          <w:p w14:paraId="34054AFC" w14:textId="77777777" w:rsidR="009443FF" w:rsidRPr="00486970" w:rsidRDefault="009443FF" w:rsidP="00D942BA">
            <w:pPr>
              <w:rPr>
                <w:rFonts w:cstheme="minorHAnsi"/>
                <w:sz w:val="20"/>
                <w:szCs w:val="20"/>
              </w:rPr>
            </w:pPr>
            <w:r w:rsidRPr="00486970">
              <w:rPr>
                <w:rFonts w:cstheme="minorHAnsi"/>
                <w:sz w:val="20"/>
                <w:szCs w:val="20"/>
              </w:rPr>
              <w:t xml:space="preserve">Alternatives would include but not be limited to glibenclamide, glimepiride.  Refer to ATC group A10BB </w:t>
            </w:r>
          </w:p>
        </w:tc>
        <w:tc>
          <w:tcPr>
            <w:tcW w:w="1540" w:type="dxa"/>
            <w:noWrap/>
            <w:hideMark/>
          </w:tcPr>
          <w:p w14:paraId="4A1A79B1" w14:textId="77777777" w:rsidR="009443FF" w:rsidRPr="00486970" w:rsidRDefault="009443FF" w:rsidP="00D942BA">
            <w:pPr>
              <w:rPr>
                <w:rFonts w:cstheme="minorHAnsi"/>
                <w:sz w:val="20"/>
                <w:szCs w:val="20"/>
              </w:rPr>
            </w:pPr>
            <w:r w:rsidRPr="00486970">
              <w:rPr>
                <w:rFonts w:cstheme="minorHAnsi"/>
                <w:sz w:val="20"/>
                <w:szCs w:val="20"/>
              </w:rPr>
              <w:t>NCD - Diabetes</w:t>
            </w:r>
          </w:p>
        </w:tc>
        <w:tc>
          <w:tcPr>
            <w:tcW w:w="4820" w:type="dxa"/>
            <w:hideMark/>
          </w:tcPr>
          <w:p w14:paraId="74BB5476"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Second generation sulfonylureas (SFUs) increase the release of insulin from the pancreas to relieve the hyperglycaemia associated with diabetes. SFUs are useful in patients unable to tolerate metformin, or not adequately controlled on metformin.  These are among the main therapies for most patients with type 2 diabetes, but contraindicated for patients with type 1 diabetes. However, it should be noted that glibenclamide has associated with higher levels of hypoglycaemia compared with gliclazide.  Gliclazide is the representative sulfonylurea in the WHO EML.</w:t>
            </w:r>
          </w:p>
          <w:p w14:paraId="51A438EA" w14:textId="77777777" w:rsidR="009443FF" w:rsidRPr="00486970" w:rsidRDefault="009443FF" w:rsidP="00D942BA">
            <w:pPr>
              <w:rPr>
                <w:rFonts w:cstheme="minorHAnsi"/>
                <w:b/>
                <w:sz w:val="20"/>
                <w:szCs w:val="20"/>
              </w:rPr>
            </w:pPr>
            <w:r w:rsidRPr="00486970">
              <w:rPr>
                <w:rFonts w:cstheme="minorHAnsi"/>
                <w:b/>
                <w:sz w:val="20"/>
                <w:szCs w:val="20"/>
              </w:rPr>
              <w:t xml:space="preserve">Treatment References: </w:t>
            </w:r>
            <w:hyperlink r:id="rId29" w:history="1">
              <w:r w:rsidRPr="00486970">
                <w:rPr>
                  <w:rFonts w:cstheme="minorHAnsi"/>
                  <w:color w:val="0000FF" w:themeColor="hyperlink"/>
                  <w:sz w:val="20"/>
                  <w:szCs w:val="20"/>
                  <w:u w:val="single"/>
                </w:rPr>
                <w:t>WHO PEN 5.b</w:t>
              </w:r>
            </w:hyperlink>
            <w:r w:rsidRPr="00486970">
              <w:rPr>
                <w:rFonts w:cstheme="minorHAnsi"/>
                <w:b/>
                <w:sz w:val="20"/>
                <w:szCs w:val="20"/>
              </w:rPr>
              <w:t xml:space="preserve">, </w:t>
            </w:r>
            <w:r w:rsidRPr="00486970">
              <w:rPr>
                <w:rFonts w:cstheme="minorHAnsi"/>
                <w:color w:val="0000FF" w:themeColor="hyperlink"/>
                <w:sz w:val="20"/>
                <w:szCs w:val="20"/>
                <w:u w:val="single"/>
              </w:rPr>
              <w:t xml:space="preserve">WHO </w:t>
            </w:r>
            <w:hyperlink r:id="rId30" w:history="1">
              <w:r w:rsidRPr="00486970">
                <w:rPr>
                  <w:rFonts w:cstheme="minorHAnsi"/>
                  <w:color w:val="0000FF" w:themeColor="hyperlink"/>
                  <w:sz w:val="20"/>
                  <w:szCs w:val="20"/>
                  <w:u w:val="single"/>
                </w:rPr>
                <w:t>Guidelines for primary health care in low-resource settings</w:t>
              </w:r>
            </w:hyperlink>
          </w:p>
          <w:p w14:paraId="24284133" w14:textId="77777777" w:rsidR="009443FF" w:rsidRPr="00486970" w:rsidRDefault="009443FF" w:rsidP="00D942BA">
            <w:pPr>
              <w:rPr>
                <w:rFonts w:cstheme="minorHAnsi"/>
                <w:sz w:val="20"/>
                <w:szCs w:val="20"/>
              </w:rPr>
            </w:pPr>
            <w:r w:rsidRPr="00486970">
              <w:rPr>
                <w:rFonts w:cstheme="minorHAnsi"/>
                <w:b/>
                <w:sz w:val="20"/>
                <w:szCs w:val="20"/>
              </w:rPr>
              <w:t xml:space="preserve">More information in WHO EML 2017 Section Reference: </w:t>
            </w:r>
            <w:r w:rsidRPr="00486970">
              <w:rPr>
                <w:rFonts w:cstheme="minorHAnsi"/>
                <w:sz w:val="20"/>
                <w:szCs w:val="20"/>
              </w:rPr>
              <w:t>18.5</w:t>
            </w:r>
          </w:p>
        </w:tc>
      </w:tr>
      <w:tr w:rsidR="009443FF" w:rsidRPr="00486970" w14:paraId="664C2DC9" w14:textId="77777777" w:rsidTr="00D942BA">
        <w:trPr>
          <w:trHeight w:val="1200"/>
        </w:trPr>
        <w:tc>
          <w:tcPr>
            <w:tcW w:w="4923" w:type="dxa"/>
            <w:noWrap/>
            <w:hideMark/>
          </w:tcPr>
          <w:p w14:paraId="15A524A9" w14:textId="77777777" w:rsidR="009443FF" w:rsidRPr="00486970" w:rsidRDefault="009443FF" w:rsidP="00D942BA">
            <w:pPr>
              <w:rPr>
                <w:rFonts w:cstheme="minorHAnsi"/>
                <w:sz w:val="20"/>
                <w:szCs w:val="20"/>
              </w:rPr>
            </w:pPr>
            <w:r w:rsidRPr="00486970">
              <w:rPr>
                <w:rFonts w:cstheme="minorHAnsi"/>
                <w:sz w:val="20"/>
                <w:szCs w:val="20"/>
              </w:rPr>
              <w:t xml:space="preserve">Metformin (500 mg cap/tab, 850 mg cap/tab  or 1 g cap/tab) </w:t>
            </w:r>
          </w:p>
        </w:tc>
        <w:tc>
          <w:tcPr>
            <w:tcW w:w="1540" w:type="dxa"/>
            <w:noWrap/>
            <w:hideMark/>
          </w:tcPr>
          <w:p w14:paraId="7B7C2D60" w14:textId="77777777" w:rsidR="009443FF" w:rsidRPr="00486970" w:rsidRDefault="009443FF" w:rsidP="00D942BA">
            <w:pPr>
              <w:rPr>
                <w:rFonts w:cstheme="minorHAnsi"/>
                <w:sz w:val="20"/>
                <w:szCs w:val="20"/>
              </w:rPr>
            </w:pPr>
            <w:r w:rsidRPr="00486970">
              <w:rPr>
                <w:rFonts w:cstheme="minorHAnsi"/>
                <w:sz w:val="20"/>
                <w:szCs w:val="20"/>
              </w:rPr>
              <w:t>NCD - Diabetes</w:t>
            </w:r>
          </w:p>
        </w:tc>
        <w:tc>
          <w:tcPr>
            <w:tcW w:w="4820" w:type="dxa"/>
            <w:hideMark/>
          </w:tcPr>
          <w:p w14:paraId="65E5AEBD"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Metformin, an oral anti-diabetic medicine, can be used in patients with type 2 diabetes as a monotherapy or in combination with sulfonylureas.</w:t>
            </w:r>
          </w:p>
          <w:p w14:paraId="376D7409" w14:textId="77777777" w:rsidR="009443FF" w:rsidRPr="00486970" w:rsidRDefault="009443FF" w:rsidP="00D942BA">
            <w:pPr>
              <w:tabs>
                <w:tab w:val="right" w:pos="4554"/>
              </w:tabs>
              <w:rPr>
                <w:rFonts w:cstheme="minorHAnsi"/>
                <w:b/>
                <w:sz w:val="20"/>
                <w:szCs w:val="20"/>
              </w:rPr>
            </w:pPr>
            <w:r w:rsidRPr="00486970">
              <w:rPr>
                <w:rFonts w:cstheme="minorHAnsi"/>
                <w:b/>
                <w:sz w:val="20"/>
                <w:szCs w:val="20"/>
              </w:rPr>
              <w:t xml:space="preserve">Treatment References: </w:t>
            </w:r>
            <w:hyperlink r:id="rId31" w:history="1">
              <w:r w:rsidRPr="00486970">
                <w:rPr>
                  <w:rFonts w:cstheme="minorHAnsi"/>
                  <w:color w:val="0000FF" w:themeColor="hyperlink"/>
                  <w:sz w:val="20"/>
                  <w:szCs w:val="20"/>
                  <w:u w:val="single"/>
                </w:rPr>
                <w:t>WHO PEN 5.b</w:t>
              </w:r>
            </w:hyperlink>
            <w:r w:rsidRPr="00486970">
              <w:rPr>
                <w:rFonts w:cstheme="minorHAnsi"/>
                <w:b/>
                <w:sz w:val="20"/>
                <w:szCs w:val="20"/>
              </w:rPr>
              <w:t xml:space="preserve">, </w:t>
            </w:r>
            <w:r w:rsidRPr="00486970">
              <w:rPr>
                <w:rFonts w:cstheme="minorHAnsi"/>
                <w:color w:val="0000FF" w:themeColor="hyperlink"/>
                <w:sz w:val="20"/>
                <w:szCs w:val="20"/>
                <w:u w:val="single"/>
              </w:rPr>
              <w:t xml:space="preserve">WHO </w:t>
            </w:r>
            <w:hyperlink r:id="rId32" w:history="1">
              <w:r w:rsidRPr="00486970">
                <w:rPr>
                  <w:rFonts w:cstheme="minorHAnsi"/>
                  <w:color w:val="0000FF" w:themeColor="hyperlink"/>
                  <w:sz w:val="20"/>
                  <w:szCs w:val="20"/>
                  <w:u w:val="single"/>
                </w:rPr>
                <w:t>Guidelines for primary health care in low-resource settings</w:t>
              </w:r>
            </w:hyperlink>
            <w:r w:rsidRPr="00486970">
              <w:rPr>
                <w:rFonts w:cstheme="minorHAnsi"/>
                <w:b/>
                <w:sz w:val="20"/>
                <w:szCs w:val="20"/>
              </w:rPr>
              <w:tab/>
            </w:r>
          </w:p>
          <w:p w14:paraId="7D093BE8" w14:textId="77777777" w:rsidR="009443FF" w:rsidRPr="00486970" w:rsidRDefault="009443FF" w:rsidP="00D942BA">
            <w:pPr>
              <w:rPr>
                <w:rFonts w:cstheme="minorHAnsi"/>
                <w:sz w:val="20"/>
                <w:szCs w:val="20"/>
              </w:rPr>
            </w:pPr>
            <w:r w:rsidRPr="00486970">
              <w:rPr>
                <w:rFonts w:cstheme="minorHAnsi"/>
                <w:b/>
                <w:sz w:val="20"/>
                <w:szCs w:val="20"/>
              </w:rPr>
              <w:t xml:space="preserve">More information in WHO EML 2017 Section Reference: </w:t>
            </w:r>
            <w:r w:rsidRPr="00486970">
              <w:rPr>
                <w:rFonts w:cstheme="minorHAnsi"/>
                <w:sz w:val="20"/>
                <w:szCs w:val="20"/>
              </w:rPr>
              <w:t>18.5</w:t>
            </w:r>
          </w:p>
        </w:tc>
      </w:tr>
      <w:tr w:rsidR="009443FF" w:rsidRPr="00486970" w14:paraId="64347ED1" w14:textId="77777777" w:rsidTr="00D942BA">
        <w:trPr>
          <w:trHeight w:val="900"/>
        </w:trPr>
        <w:tc>
          <w:tcPr>
            <w:tcW w:w="4923" w:type="dxa"/>
            <w:noWrap/>
            <w:hideMark/>
          </w:tcPr>
          <w:p w14:paraId="138577A0" w14:textId="77777777" w:rsidR="009443FF" w:rsidRPr="00486970" w:rsidRDefault="009443FF" w:rsidP="00D942BA">
            <w:pPr>
              <w:rPr>
                <w:rFonts w:cstheme="minorHAnsi"/>
                <w:sz w:val="20"/>
                <w:szCs w:val="20"/>
              </w:rPr>
            </w:pPr>
            <w:r w:rsidRPr="00486970">
              <w:rPr>
                <w:rFonts w:cstheme="minorHAnsi"/>
                <w:sz w:val="20"/>
                <w:szCs w:val="20"/>
              </w:rPr>
              <w:t>Insulin regular, soluble (100 IU/ml injection)</w:t>
            </w:r>
          </w:p>
        </w:tc>
        <w:tc>
          <w:tcPr>
            <w:tcW w:w="1540" w:type="dxa"/>
            <w:noWrap/>
            <w:hideMark/>
          </w:tcPr>
          <w:p w14:paraId="024AF56B" w14:textId="77777777" w:rsidR="009443FF" w:rsidRPr="00486970" w:rsidRDefault="009443FF" w:rsidP="00D942BA">
            <w:pPr>
              <w:rPr>
                <w:rFonts w:cstheme="minorHAnsi"/>
                <w:sz w:val="20"/>
                <w:szCs w:val="20"/>
              </w:rPr>
            </w:pPr>
            <w:r w:rsidRPr="00486970">
              <w:rPr>
                <w:rFonts w:cstheme="minorHAnsi"/>
                <w:sz w:val="20"/>
                <w:szCs w:val="20"/>
              </w:rPr>
              <w:t>NCD - Diabetes</w:t>
            </w:r>
          </w:p>
        </w:tc>
        <w:tc>
          <w:tcPr>
            <w:tcW w:w="4820" w:type="dxa"/>
            <w:hideMark/>
          </w:tcPr>
          <w:p w14:paraId="10B5B781" w14:textId="77777777" w:rsidR="009443FF" w:rsidRPr="00486970" w:rsidRDefault="009443FF" w:rsidP="00D942BA">
            <w:pPr>
              <w:rPr>
                <w:rFonts w:cstheme="minorHAnsi"/>
                <w:sz w:val="20"/>
                <w:szCs w:val="20"/>
              </w:rPr>
            </w:pPr>
            <w:r w:rsidRPr="00486970">
              <w:rPr>
                <w:rFonts w:cstheme="minorHAnsi"/>
                <w:b/>
                <w:sz w:val="20"/>
                <w:szCs w:val="20"/>
              </w:rPr>
              <w:t xml:space="preserve">Rationale: </w:t>
            </w:r>
            <w:r w:rsidRPr="00486970">
              <w:rPr>
                <w:rFonts w:cstheme="minorHAnsi"/>
                <w:sz w:val="20"/>
                <w:szCs w:val="20"/>
              </w:rPr>
              <w:t>Regular human insulin, a rapid acting insulin, is necessary for all patients with type 1 and more than 10% of patients with type 2 diabetes. It is currently more affordable to health systems than other long-acting or analogue insulins.</w:t>
            </w:r>
          </w:p>
          <w:p w14:paraId="264D9B18" w14:textId="77777777" w:rsidR="009443FF" w:rsidRPr="00486970" w:rsidRDefault="009443FF" w:rsidP="00D942BA">
            <w:pPr>
              <w:rPr>
                <w:rFonts w:cstheme="minorHAnsi"/>
                <w:b/>
                <w:sz w:val="20"/>
                <w:szCs w:val="20"/>
              </w:rPr>
            </w:pPr>
            <w:r w:rsidRPr="00486970">
              <w:rPr>
                <w:rFonts w:cstheme="minorHAnsi"/>
                <w:b/>
                <w:sz w:val="20"/>
                <w:szCs w:val="20"/>
              </w:rPr>
              <w:t xml:space="preserve">Treatment References: </w:t>
            </w:r>
            <w:hyperlink r:id="rId33" w:history="1">
              <w:r w:rsidRPr="00486970">
                <w:rPr>
                  <w:rFonts w:cstheme="minorHAnsi"/>
                  <w:color w:val="0000FF" w:themeColor="hyperlink"/>
                  <w:sz w:val="20"/>
                  <w:szCs w:val="20"/>
                  <w:u w:val="single"/>
                </w:rPr>
                <w:t>WHO PEN 5.b</w:t>
              </w:r>
            </w:hyperlink>
          </w:p>
          <w:p w14:paraId="0A43C04A" w14:textId="77777777" w:rsidR="009443FF" w:rsidRPr="00486970" w:rsidRDefault="009443FF" w:rsidP="00D942BA">
            <w:pPr>
              <w:rPr>
                <w:rFonts w:cstheme="minorHAnsi"/>
                <w:sz w:val="20"/>
                <w:szCs w:val="20"/>
              </w:rPr>
            </w:pPr>
            <w:r w:rsidRPr="00486970">
              <w:rPr>
                <w:rFonts w:cstheme="minorHAnsi"/>
                <w:b/>
                <w:sz w:val="20"/>
                <w:szCs w:val="20"/>
              </w:rPr>
              <w:t xml:space="preserve">More information in WHO EML 2017 Section Reference: </w:t>
            </w:r>
            <w:r w:rsidRPr="00486970">
              <w:rPr>
                <w:rFonts w:cstheme="minorHAnsi"/>
                <w:sz w:val="20"/>
                <w:szCs w:val="20"/>
              </w:rPr>
              <w:t>18.5</w:t>
            </w:r>
          </w:p>
        </w:tc>
      </w:tr>
      <w:tr w:rsidR="009443FF" w:rsidRPr="00486970" w14:paraId="2406B42C" w14:textId="77777777" w:rsidTr="00D942BA">
        <w:trPr>
          <w:trHeight w:val="600"/>
        </w:trPr>
        <w:tc>
          <w:tcPr>
            <w:tcW w:w="4923" w:type="dxa"/>
            <w:noWrap/>
            <w:hideMark/>
          </w:tcPr>
          <w:p w14:paraId="4CF21102" w14:textId="77777777" w:rsidR="009443FF" w:rsidRPr="00486970" w:rsidRDefault="009443FF" w:rsidP="00D942BA">
            <w:pPr>
              <w:rPr>
                <w:rFonts w:cstheme="minorHAnsi"/>
                <w:sz w:val="20"/>
                <w:szCs w:val="20"/>
              </w:rPr>
            </w:pPr>
            <w:r w:rsidRPr="00486970">
              <w:rPr>
                <w:rFonts w:cstheme="minorHAnsi"/>
                <w:sz w:val="20"/>
                <w:szCs w:val="20"/>
              </w:rPr>
              <w:t>Two of the following antihypertensive:</w:t>
            </w:r>
          </w:p>
          <w:p w14:paraId="7D8367F1" w14:textId="77777777" w:rsidR="009443FF" w:rsidRPr="00486970" w:rsidRDefault="009443FF" w:rsidP="00D942BA">
            <w:pPr>
              <w:numPr>
                <w:ilvl w:val="0"/>
                <w:numId w:val="42"/>
              </w:numPr>
              <w:contextualSpacing/>
              <w:rPr>
                <w:rFonts w:cstheme="minorHAnsi"/>
                <w:sz w:val="20"/>
                <w:szCs w:val="20"/>
              </w:rPr>
            </w:pPr>
            <w:r w:rsidRPr="00486970">
              <w:rPr>
                <w:rFonts w:cstheme="minorHAnsi"/>
                <w:sz w:val="20"/>
                <w:szCs w:val="20"/>
              </w:rPr>
              <w:t>Amlodipine (5 mg cap/tab)</w:t>
            </w:r>
          </w:p>
          <w:p w14:paraId="3537902C" w14:textId="77777777" w:rsidR="009443FF" w:rsidRPr="00486970" w:rsidRDefault="009443FF" w:rsidP="00D942BA">
            <w:pPr>
              <w:numPr>
                <w:ilvl w:val="0"/>
                <w:numId w:val="42"/>
              </w:numPr>
              <w:contextualSpacing/>
              <w:rPr>
                <w:rFonts w:cstheme="minorHAnsi"/>
                <w:sz w:val="20"/>
                <w:szCs w:val="20"/>
              </w:rPr>
            </w:pPr>
            <w:r w:rsidRPr="00486970">
              <w:rPr>
                <w:rFonts w:cstheme="minorHAnsi"/>
                <w:sz w:val="20"/>
                <w:szCs w:val="20"/>
              </w:rPr>
              <w:t>Enalapril (5 mg cap/tab) or other angiotensin converting enzyme inhibitor (ACEI).  Refer to ATC group C09AA.</w:t>
            </w:r>
          </w:p>
          <w:p w14:paraId="2FA2B922" w14:textId="77777777" w:rsidR="009443FF" w:rsidRPr="00486970" w:rsidRDefault="009443FF" w:rsidP="00D942BA">
            <w:pPr>
              <w:numPr>
                <w:ilvl w:val="0"/>
                <w:numId w:val="42"/>
              </w:numPr>
              <w:contextualSpacing/>
              <w:rPr>
                <w:rFonts w:cstheme="minorHAnsi"/>
                <w:sz w:val="20"/>
                <w:szCs w:val="20"/>
              </w:rPr>
            </w:pPr>
            <w:r w:rsidRPr="00486970">
              <w:rPr>
                <w:rFonts w:cstheme="minorHAnsi"/>
                <w:sz w:val="20"/>
                <w:szCs w:val="20"/>
              </w:rPr>
              <w:t xml:space="preserve">Hydrochlorothiazide (25 mg cap/tab) or Chlorthalidone (25 mg cap/tab) </w:t>
            </w:r>
          </w:p>
          <w:p w14:paraId="10A51C54" w14:textId="77777777" w:rsidR="009443FF" w:rsidRPr="00486970" w:rsidRDefault="009443FF" w:rsidP="00D942BA">
            <w:pPr>
              <w:numPr>
                <w:ilvl w:val="0"/>
                <w:numId w:val="42"/>
              </w:numPr>
              <w:contextualSpacing/>
              <w:rPr>
                <w:rFonts w:cstheme="minorHAnsi"/>
                <w:sz w:val="20"/>
                <w:szCs w:val="20"/>
              </w:rPr>
            </w:pPr>
            <w:r w:rsidRPr="00486970">
              <w:rPr>
                <w:rFonts w:cstheme="minorHAnsi"/>
                <w:sz w:val="20"/>
                <w:szCs w:val="20"/>
              </w:rPr>
              <w:t xml:space="preserve">Bisoprolol (5 mg cap/tab) or alternative betablocker (atenolol or carvedilol or metoprolol only) </w:t>
            </w:r>
          </w:p>
          <w:p w14:paraId="293C873A" w14:textId="77777777" w:rsidR="009443FF" w:rsidRPr="00486970" w:rsidRDefault="009443FF" w:rsidP="00D942BA">
            <w:pPr>
              <w:ind w:left="360"/>
              <w:rPr>
                <w:rFonts w:cstheme="minorHAnsi"/>
                <w:sz w:val="20"/>
                <w:szCs w:val="20"/>
              </w:rPr>
            </w:pPr>
          </w:p>
        </w:tc>
        <w:tc>
          <w:tcPr>
            <w:tcW w:w="1540" w:type="dxa"/>
            <w:noWrap/>
            <w:hideMark/>
          </w:tcPr>
          <w:p w14:paraId="121C8534" w14:textId="77777777" w:rsidR="009443FF" w:rsidRPr="00486970" w:rsidRDefault="009443FF" w:rsidP="00D942BA">
            <w:pPr>
              <w:rPr>
                <w:rFonts w:cstheme="minorHAnsi"/>
                <w:sz w:val="20"/>
                <w:szCs w:val="20"/>
              </w:rPr>
            </w:pPr>
            <w:r w:rsidRPr="00486970">
              <w:rPr>
                <w:rFonts w:cstheme="minorHAnsi"/>
                <w:sz w:val="20"/>
                <w:szCs w:val="20"/>
              </w:rPr>
              <w:lastRenderedPageBreak/>
              <w:t>NCD - Cardiovascular</w:t>
            </w:r>
          </w:p>
        </w:tc>
        <w:tc>
          <w:tcPr>
            <w:tcW w:w="4820" w:type="dxa"/>
            <w:hideMark/>
          </w:tcPr>
          <w:p w14:paraId="6B2EDA27" w14:textId="77777777" w:rsidR="009443FF" w:rsidRPr="00486970" w:rsidRDefault="009443FF" w:rsidP="00D942BA">
            <w:pPr>
              <w:rPr>
                <w:rFonts w:cstheme="minorHAnsi"/>
                <w:b/>
                <w:sz w:val="20"/>
                <w:szCs w:val="20"/>
              </w:rPr>
            </w:pPr>
            <w:r w:rsidRPr="00486970">
              <w:rPr>
                <w:rFonts w:cstheme="minorHAnsi"/>
                <w:b/>
                <w:sz w:val="20"/>
                <w:szCs w:val="20"/>
              </w:rPr>
              <w:t xml:space="preserve">Rationale: </w:t>
            </w:r>
          </w:p>
          <w:p w14:paraId="7F740832" w14:textId="77777777" w:rsidR="009443FF" w:rsidRPr="00486970" w:rsidRDefault="009443FF" w:rsidP="00D942BA">
            <w:pPr>
              <w:rPr>
                <w:rFonts w:cstheme="minorHAnsi"/>
                <w:sz w:val="20"/>
                <w:szCs w:val="20"/>
              </w:rPr>
            </w:pPr>
            <w:r w:rsidRPr="00486970">
              <w:rPr>
                <w:rFonts w:cstheme="minorHAnsi"/>
                <w:sz w:val="20"/>
                <w:szCs w:val="20"/>
              </w:rPr>
              <w:t xml:space="preserve">Calcium channel blockers (CBB) are among the first-line treatment options for patients with hypertension.  Amlodipine is the representative CCB in the WHO EML. </w:t>
            </w:r>
          </w:p>
          <w:p w14:paraId="216B5416" w14:textId="77777777" w:rsidR="009443FF" w:rsidRPr="00486970" w:rsidRDefault="009443FF" w:rsidP="00D942BA">
            <w:pPr>
              <w:rPr>
                <w:rFonts w:cstheme="minorHAnsi"/>
                <w:sz w:val="20"/>
                <w:szCs w:val="20"/>
              </w:rPr>
            </w:pPr>
            <w:r w:rsidRPr="00486970">
              <w:rPr>
                <w:rFonts w:cstheme="minorHAnsi"/>
                <w:sz w:val="20"/>
                <w:szCs w:val="20"/>
              </w:rPr>
              <w:t>ACEIs are among first-line treatment options for patients with hypertension.  ACEIs are also used in the management of heart failure.  Enalapril is the representative ACEI in the WHO EML.</w:t>
            </w:r>
          </w:p>
          <w:p w14:paraId="2D859574" w14:textId="77777777" w:rsidR="009443FF" w:rsidRPr="00486970" w:rsidRDefault="009443FF" w:rsidP="00D942BA">
            <w:pPr>
              <w:rPr>
                <w:rFonts w:cstheme="minorHAnsi"/>
                <w:sz w:val="20"/>
                <w:szCs w:val="20"/>
              </w:rPr>
            </w:pPr>
            <w:r w:rsidRPr="00486970">
              <w:rPr>
                <w:rFonts w:cstheme="minorHAnsi"/>
                <w:sz w:val="20"/>
                <w:szCs w:val="20"/>
              </w:rPr>
              <w:t xml:space="preserve">Thiazide diuretics are among the first-line treatment options for patients with hypertension. Thiazides are </w:t>
            </w:r>
            <w:r w:rsidRPr="00486970">
              <w:rPr>
                <w:rFonts w:cstheme="minorHAnsi"/>
                <w:sz w:val="20"/>
                <w:szCs w:val="20"/>
              </w:rPr>
              <w:lastRenderedPageBreak/>
              <w:t>also used as the management of heart failure.  Hydrochlorothiazide is the representative thiazide diuretic in the WHO EML.</w:t>
            </w:r>
          </w:p>
          <w:p w14:paraId="78C34539" w14:textId="77777777" w:rsidR="009443FF" w:rsidRPr="00486970" w:rsidRDefault="009443FF" w:rsidP="00D942BA">
            <w:pPr>
              <w:rPr>
                <w:rFonts w:cstheme="minorHAnsi"/>
                <w:sz w:val="20"/>
                <w:szCs w:val="20"/>
              </w:rPr>
            </w:pPr>
            <w:r w:rsidRPr="00486970">
              <w:rPr>
                <w:rFonts w:cstheme="minorHAnsi"/>
                <w:sz w:val="20"/>
                <w:szCs w:val="20"/>
              </w:rPr>
              <w:t xml:space="preserve">Beta-blockers are among the recommended treatment options for patients with hypertension, angina, cardiac arrhythmias or heart failure.  Bisoprolol is the representative beta-blocker in the WHO EML. </w:t>
            </w:r>
          </w:p>
          <w:p w14:paraId="7643A3D9" w14:textId="77777777" w:rsidR="009443FF" w:rsidRPr="00486970" w:rsidRDefault="009443FF" w:rsidP="00D942BA">
            <w:pPr>
              <w:rPr>
                <w:rFonts w:cstheme="minorHAnsi"/>
                <w:b/>
                <w:sz w:val="20"/>
                <w:szCs w:val="20"/>
              </w:rPr>
            </w:pPr>
            <w:r w:rsidRPr="00486970">
              <w:rPr>
                <w:rFonts w:cstheme="minorHAnsi"/>
                <w:b/>
                <w:sz w:val="20"/>
                <w:szCs w:val="20"/>
              </w:rPr>
              <w:t xml:space="preserve">Treatment References: </w:t>
            </w:r>
            <w:hyperlink r:id="rId34" w:history="1">
              <w:r w:rsidRPr="00486970">
                <w:rPr>
                  <w:rFonts w:cstheme="minorHAnsi"/>
                  <w:color w:val="0000FF" w:themeColor="hyperlink"/>
                  <w:sz w:val="20"/>
                  <w:szCs w:val="20"/>
                  <w:u w:val="single"/>
                </w:rPr>
                <w:t>WHO PEN 5.b</w:t>
              </w:r>
            </w:hyperlink>
            <w:r w:rsidRPr="00486970">
              <w:rPr>
                <w:rFonts w:cstheme="minorHAnsi"/>
                <w:color w:val="0000FF" w:themeColor="hyperlink"/>
                <w:sz w:val="20"/>
                <w:szCs w:val="20"/>
                <w:u w:val="single"/>
              </w:rPr>
              <w:t xml:space="preserve">, WHO </w:t>
            </w:r>
            <w:hyperlink r:id="rId35" w:history="1">
              <w:r w:rsidRPr="00486970">
                <w:rPr>
                  <w:rFonts w:cstheme="minorHAnsi"/>
                  <w:color w:val="0000FF" w:themeColor="hyperlink"/>
                  <w:sz w:val="20"/>
                  <w:szCs w:val="20"/>
                  <w:u w:val="single"/>
                </w:rPr>
                <w:t>Guidelines for primary health care in low-resource settings</w:t>
              </w:r>
            </w:hyperlink>
          </w:p>
          <w:p w14:paraId="1BF1BDAF" w14:textId="77777777" w:rsidR="009443FF" w:rsidRPr="00486970" w:rsidRDefault="009443FF" w:rsidP="00D942BA">
            <w:pPr>
              <w:rPr>
                <w:rFonts w:cstheme="minorHAnsi"/>
                <w:sz w:val="20"/>
                <w:szCs w:val="20"/>
              </w:rPr>
            </w:pPr>
            <w:r w:rsidRPr="00486970">
              <w:rPr>
                <w:rFonts w:cstheme="minorHAnsi"/>
                <w:b/>
                <w:sz w:val="20"/>
                <w:szCs w:val="20"/>
              </w:rPr>
              <w:t xml:space="preserve">More information in WHO EML 2017 Section Reference: </w:t>
            </w:r>
            <w:r w:rsidRPr="00486970">
              <w:rPr>
                <w:rFonts w:cstheme="minorHAnsi"/>
                <w:sz w:val="20"/>
                <w:szCs w:val="20"/>
              </w:rPr>
              <w:t>12.3, 12.4</w:t>
            </w:r>
          </w:p>
        </w:tc>
      </w:tr>
      <w:tr w:rsidR="009443FF" w:rsidRPr="00486970" w14:paraId="21B8FD9C" w14:textId="77777777" w:rsidTr="00D942BA">
        <w:trPr>
          <w:trHeight w:val="600"/>
        </w:trPr>
        <w:tc>
          <w:tcPr>
            <w:tcW w:w="4923" w:type="dxa"/>
            <w:noWrap/>
          </w:tcPr>
          <w:p w14:paraId="303ACE68" w14:textId="77777777" w:rsidR="009443FF" w:rsidRPr="00486970" w:rsidRDefault="009443FF" w:rsidP="00D942BA">
            <w:pPr>
              <w:rPr>
                <w:rFonts w:cstheme="minorHAnsi"/>
                <w:sz w:val="20"/>
                <w:szCs w:val="20"/>
              </w:rPr>
            </w:pPr>
            <w:r w:rsidRPr="00486970">
              <w:rPr>
                <w:rFonts w:cstheme="minorHAnsi"/>
                <w:sz w:val="20"/>
                <w:szCs w:val="20"/>
              </w:rPr>
              <w:lastRenderedPageBreak/>
              <w:t>Simvastatin (20 mg cap/tab) or other statin.  Refer to ATC group C10AA.</w:t>
            </w:r>
          </w:p>
        </w:tc>
        <w:tc>
          <w:tcPr>
            <w:tcW w:w="1540" w:type="dxa"/>
            <w:noWrap/>
          </w:tcPr>
          <w:p w14:paraId="5B0D3E20" w14:textId="77777777" w:rsidR="009443FF" w:rsidRPr="00486970" w:rsidRDefault="009443FF" w:rsidP="00D942BA">
            <w:pPr>
              <w:rPr>
                <w:rFonts w:cstheme="minorHAnsi"/>
                <w:sz w:val="20"/>
                <w:szCs w:val="20"/>
              </w:rPr>
            </w:pPr>
            <w:r w:rsidRPr="00486970">
              <w:rPr>
                <w:rFonts w:cstheme="minorHAnsi"/>
                <w:sz w:val="20"/>
                <w:szCs w:val="20"/>
              </w:rPr>
              <w:t>NCD - Cardiovascular</w:t>
            </w:r>
          </w:p>
        </w:tc>
        <w:tc>
          <w:tcPr>
            <w:tcW w:w="4820" w:type="dxa"/>
          </w:tcPr>
          <w:p w14:paraId="2615435E"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Statins, lipid-lowering medicines, are used to reduce the risk of coronary heart disease, including fatal and non-fatal myocardial infarction and stroke.  Simvastatin is the representative statin in the WHO EML.</w:t>
            </w:r>
          </w:p>
          <w:p w14:paraId="18C63CA6" w14:textId="77777777" w:rsidR="009443FF" w:rsidRPr="00486970" w:rsidRDefault="009443FF" w:rsidP="00D942BA">
            <w:pPr>
              <w:rPr>
                <w:rFonts w:cstheme="minorHAnsi"/>
                <w:b/>
                <w:sz w:val="20"/>
                <w:szCs w:val="20"/>
              </w:rPr>
            </w:pPr>
            <w:r w:rsidRPr="00486970">
              <w:rPr>
                <w:rFonts w:cstheme="minorHAnsi"/>
                <w:b/>
                <w:sz w:val="20"/>
                <w:szCs w:val="20"/>
              </w:rPr>
              <w:t xml:space="preserve">Treatment References: </w:t>
            </w:r>
            <w:hyperlink r:id="rId36" w:history="1">
              <w:r w:rsidRPr="00486970">
                <w:rPr>
                  <w:rFonts w:cstheme="minorHAnsi"/>
                  <w:color w:val="0000FF" w:themeColor="hyperlink"/>
                  <w:sz w:val="20"/>
                  <w:szCs w:val="20"/>
                  <w:u w:val="single"/>
                </w:rPr>
                <w:t>WHO PEN 5.b</w:t>
              </w:r>
            </w:hyperlink>
            <w:r w:rsidRPr="00486970">
              <w:rPr>
                <w:rFonts w:cstheme="minorHAnsi"/>
                <w:b/>
                <w:sz w:val="20"/>
                <w:szCs w:val="20"/>
              </w:rPr>
              <w:t xml:space="preserve">, </w:t>
            </w:r>
            <w:r w:rsidRPr="00486970">
              <w:rPr>
                <w:rFonts w:cstheme="minorHAnsi"/>
                <w:color w:val="0000FF" w:themeColor="hyperlink"/>
                <w:sz w:val="20"/>
                <w:szCs w:val="20"/>
                <w:u w:val="single"/>
              </w:rPr>
              <w:t xml:space="preserve">WHO </w:t>
            </w:r>
            <w:hyperlink r:id="rId37" w:history="1">
              <w:r w:rsidRPr="00486970">
                <w:rPr>
                  <w:rFonts w:cstheme="minorHAnsi"/>
                  <w:color w:val="0000FF" w:themeColor="hyperlink"/>
                  <w:sz w:val="20"/>
                  <w:szCs w:val="20"/>
                  <w:u w:val="single"/>
                </w:rPr>
                <w:t>Guidelines for primary health care in low-resource settings</w:t>
              </w:r>
            </w:hyperlink>
          </w:p>
          <w:p w14:paraId="08117B6F" w14:textId="77777777" w:rsidR="009443FF" w:rsidRPr="00486970" w:rsidRDefault="009443FF" w:rsidP="00D942BA">
            <w:pPr>
              <w:rPr>
                <w:rFonts w:cstheme="minorHAnsi"/>
                <w:b/>
                <w:sz w:val="20"/>
                <w:szCs w:val="20"/>
              </w:rPr>
            </w:pPr>
            <w:r w:rsidRPr="00486970">
              <w:rPr>
                <w:rFonts w:cstheme="minorHAnsi"/>
                <w:b/>
                <w:sz w:val="20"/>
                <w:szCs w:val="20"/>
              </w:rPr>
              <w:t xml:space="preserve">More information in WHO EML 2017 Section Reference: </w:t>
            </w:r>
            <w:r w:rsidRPr="00486970">
              <w:rPr>
                <w:rFonts w:cstheme="minorHAnsi"/>
                <w:bCs/>
                <w:sz w:val="20"/>
                <w:szCs w:val="20"/>
              </w:rPr>
              <w:t>12.6</w:t>
            </w:r>
          </w:p>
        </w:tc>
      </w:tr>
      <w:tr w:rsidR="009443FF" w:rsidRPr="00486970" w14:paraId="4C37FC9B" w14:textId="77777777" w:rsidTr="00D942BA">
        <w:trPr>
          <w:trHeight w:val="600"/>
        </w:trPr>
        <w:tc>
          <w:tcPr>
            <w:tcW w:w="4923" w:type="dxa"/>
            <w:noWrap/>
          </w:tcPr>
          <w:p w14:paraId="50E60A8F" w14:textId="77777777" w:rsidR="009443FF" w:rsidRPr="00486970" w:rsidRDefault="009443FF" w:rsidP="00D942BA">
            <w:pPr>
              <w:rPr>
                <w:rFonts w:cstheme="minorHAnsi"/>
                <w:sz w:val="20"/>
                <w:szCs w:val="20"/>
              </w:rPr>
            </w:pPr>
            <w:r w:rsidRPr="00486970">
              <w:rPr>
                <w:rFonts w:cstheme="minorHAnsi"/>
                <w:sz w:val="20"/>
                <w:szCs w:val="20"/>
              </w:rPr>
              <w:t>Acetylsalicylic acid (aspirin) (100 mg cap/tab)</w:t>
            </w:r>
          </w:p>
        </w:tc>
        <w:tc>
          <w:tcPr>
            <w:tcW w:w="1540" w:type="dxa"/>
            <w:noWrap/>
          </w:tcPr>
          <w:p w14:paraId="242FF554" w14:textId="77777777" w:rsidR="009443FF" w:rsidRPr="00486970" w:rsidRDefault="009443FF" w:rsidP="00D942BA">
            <w:pPr>
              <w:rPr>
                <w:rFonts w:cstheme="minorHAnsi"/>
                <w:sz w:val="20"/>
                <w:szCs w:val="20"/>
              </w:rPr>
            </w:pPr>
            <w:r w:rsidRPr="00486970">
              <w:rPr>
                <w:rFonts w:cstheme="minorHAnsi"/>
                <w:sz w:val="20"/>
                <w:szCs w:val="20"/>
              </w:rPr>
              <w:t xml:space="preserve">NCD – Cardiovascular </w:t>
            </w:r>
          </w:p>
        </w:tc>
        <w:tc>
          <w:tcPr>
            <w:tcW w:w="4820" w:type="dxa"/>
          </w:tcPr>
          <w:p w14:paraId="5EE36823"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Aspirin, an anti-platelet medication, is recommended for preventing a first stroke, has an important role in preventing recurrent strokes, and can reduce the severity of an ischemic stroke. Low-dose aspirin has numerous therapeutic indications including anti-platelet therapy and can be used to reduce the risk of cardiovascular disease. </w:t>
            </w:r>
          </w:p>
          <w:p w14:paraId="551EF1A3" w14:textId="77777777" w:rsidR="009443FF" w:rsidRPr="00486970" w:rsidRDefault="009443FF" w:rsidP="00D942BA">
            <w:pPr>
              <w:rPr>
                <w:rFonts w:cstheme="minorHAnsi"/>
                <w:b/>
                <w:sz w:val="20"/>
                <w:szCs w:val="20"/>
              </w:rPr>
            </w:pPr>
            <w:r w:rsidRPr="00486970">
              <w:rPr>
                <w:rFonts w:cstheme="minorHAnsi"/>
                <w:b/>
                <w:sz w:val="20"/>
                <w:szCs w:val="20"/>
              </w:rPr>
              <w:t xml:space="preserve">Treatment References: </w:t>
            </w:r>
            <w:hyperlink r:id="rId38" w:history="1">
              <w:r w:rsidRPr="00486970">
                <w:rPr>
                  <w:rFonts w:cstheme="minorHAnsi"/>
                  <w:color w:val="0000FF" w:themeColor="hyperlink"/>
                  <w:sz w:val="20"/>
                  <w:szCs w:val="20"/>
                  <w:u w:val="single"/>
                </w:rPr>
                <w:t>WHO PEN 5.b</w:t>
              </w:r>
            </w:hyperlink>
          </w:p>
          <w:p w14:paraId="1F28DBC6" w14:textId="77777777" w:rsidR="009443FF" w:rsidRPr="00486970" w:rsidRDefault="009443FF" w:rsidP="00D942BA">
            <w:pPr>
              <w:rPr>
                <w:rFonts w:cstheme="minorHAnsi"/>
                <w:sz w:val="20"/>
                <w:szCs w:val="20"/>
              </w:rPr>
            </w:pPr>
            <w:r w:rsidRPr="00486970">
              <w:rPr>
                <w:rFonts w:cstheme="minorHAnsi"/>
                <w:b/>
                <w:sz w:val="20"/>
                <w:szCs w:val="20"/>
              </w:rPr>
              <w:t xml:space="preserve">More information in WHO EML 2017 Section Reference: </w:t>
            </w:r>
            <w:r w:rsidRPr="00486970">
              <w:rPr>
                <w:rFonts w:cstheme="minorHAnsi"/>
                <w:sz w:val="20"/>
                <w:szCs w:val="20"/>
              </w:rPr>
              <w:t>12.5</w:t>
            </w:r>
          </w:p>
          <w:p w14:paraId="7D84016F" w14:textId="77777777" w:rsidR="009443FF" w:rsidRPr="00486970" w:rsidRDefault="009443FF" w:rsidP="00D942BA">
            <w:pPr>
              <w:rPr>
                <w:rFonts w:cstheme="minorHAnsi"/>
                <w:b/>
                <w:sz w:val="20"/>
                <w:szCs w:val="20"/>
              </w:rPr>
            </w:pPr>
          </w:p>
        </w:tc>
      </w:tr>
      <w:tr w:rsidR="009443FF" w:rsidRPr="00486970" w14:paraId="339B8B97" w14:textId="77777777" w:rsidTr="00D942BA">
        <w:trPr>
          <w:trHeight w:val="600"/>
        </w:trPr>
        <w:tc>
          <w:tcPr>
            <w:tcW w:w="4923" w:type="dxa"/>
            <w:noWrap/>
          </w:tcPr>
          <w:p w14:paraId="1AE294C3" w14:textId="77777777" w:rsidR="009443FF" w:rsidRPr="00486970" w:rsidRDefault="009443FF" w:rsidP="00D942BA">
            <w:pPr>
              <w:rPr>
                <w:rFonts w:cstheme="minorHAnsi"/>
                <w:sz w:val="20"/>
                <w:szCs w:val="20"/>
              </w:rPr>
            </w:pPr>
            <w:r w:rsidRPr="00486970">
              <w:rPr>
                <w:rFonts w:cstheme="minorHAnsi"/>
                <w:sz w:val="20"/>
                <w:szCs w:val="20"/>
              </w:rPr>
              <w:t>Furosemide  40 mg tablet</w:t>
            </w:r>
          </w:p>
        </w:tc>
        <w:tc>
          <w:tcPr>
            <w:tcW w:w="1540" w:type="dxa"/>
            <w:noWrap/>
          </w:tcPr>
          <w:p w14:paraId="0171B723" w14:textId="77777777" w:rsidR="009443FF" w:rsidRPr="00486970" w:rsidRDefault="009443FF" w:rsidP="00D942BA">
            <w:pPr>
              <w:rPr>
                <w:rFonts w:cstheme="minorHAnsi"/>
                <w:sz w:val="20"/>
                <w:szCs w:val="20"/>
              </w:rPr>
            </w:pPr>
            <w:r w:rsidRPr="00486970">
              <w:rPr>
                <w:rFonts w:cstheme="minorHAnsi"/>
                <w:sz w:val="20"/>
                <w:szCs w:val="20"/>
              </w:rPr>
              <w:t>NCD - Cardiovascular</w:t>
            </w:r>
          </w:p>
        </w:tc>
        <w:tc>
          <w:tcPr>
            <w:tcW w:w="4820" w:type="dxa"/>
          </w:tcPr>
          <w:p w14:paraId="028B7955"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Furosemide is a loop diuretic used in the treatment of oedema, congestive heart failure, and kidney disease.  </w:t>
            </w:r>
          </w:p>
          <w:p w14:paraId="3BBA6D86" w14:textId="77777777" w:rsidR="009443FF" w:rsidRPr="00486970" w:rsidRDefault="009443FF" w:rsidP="00D942BA">
            <w:pPr>
              <w:rPr>
                <w:rFonts w:cstheme="minorHAnsi"/>
                <w:sz w:val="20"/>
                <w:szCs w:val="20"/>
              </w:rPr>
            </w:pPr>
            <w:r w:rsidRPr="00486970">
              <w:rPr>
                <w:rFonts w:cstheme="minorHAnsi"/>
                <w:b/>
                <w:sz w:val="20"/>
                <w:szCs w:val="20"/>
              </w:rPr>
              <w:t xml:space="preserve">Treatment References: WHO PEN 5.b </w:t>
            </w:r>
          </w:p>
          <w:p w14:paraId="7A088321" w14:textId="77777777" w:rsidR="009443FF" w:rsidRPr="00486970" w:rsidRDefault="009443FF" w:rsidP="00D942BA">
            <w:pPr>
              <w:rPr>
                <w:rFonts w:cstheme="minorHAnsi"/>
                <w:b/>
                <w:sz w:val="20"/>
                <w:szCs w:val="20"/>
              </w:rPr>
            </w:pPr>
            <w:r w:rsidRPr="00486970">
              <w:rPr>
                <w:rFonts w:cstheme="minorHAnsi"/>
                <w:b/>
                <w:sz w:val="20"/>
                <w:szCs w:val="20"/>
              </w:rPr>
              <w:t>More information in WHO EML 2017 Section Reference:</w:t>
            </w:r>
            <w:r w:rsidRPr="00486970">
              <w:rPr>
                <w:rFonts w:cstheme="minorHAnsi"/>
                <w:sz w:val="20"/>
                <w:szCs w:val="20"/>
              </w:rPr>
              <w:t xml:space="preserve"> 12.4</w:t>
            </w:r>
          </w:p>
        </w:tc>
      </w:tr>
      <w:tr w:rsidR="009443FF" w:rsidRPr="00486970" w14:paraId="70D499DB" w14:textId="77777777" w:rsidTr="00D942BA">
        <w:trPr>
          <w:trHeight w:val="600"/>
        </w:trPr>
        <w:tc>
          <w:tcPr>
            <w:tcW w:w="4923" w:type="dxa"/>
            <w:noWrap/>
          </w:tcPr>
          <w:p w14:paraId="7146EA68" w14:textId="77777777" w:rsidR="009443FF" w:rsidRPr="00486970" w:rsidRDefault="009443FF" w:rsidP="00D942BA">
            <w:pPr>
              <w:rPr>
                <w:rFonts w:cstheme="minorHAnsi"/>
                <w:sz w:val="20"/>
                <w:szCs w:val="20"/>
              </w:rPr>
            </w:pPr>
            <w:r w:rsidRPr="00486970">
              <w:rPr>
                <w:rFonts w:cstheme="minorHAnsi"/>
                <w:sz w:val="20"/>
                <w:szCs w:val="20"/>
              </w:rPr>
              <w:t>Morphine (10mg tablet)</w:t>
            </w:r>
          </w:p>
        </w:tc>
        <w:tc>
          <w:tcPr>
            <w:tcW w:w="1540" w:type="dxa"/>
            <w:noWrap/>
          </w:tcPr>
          <w:p w14:paraId="489B8DB8" w14:textId="77777777" w:rsidR="009443FF" w:rsidRPr="00486970" w:rsidRDefault="009443FF" w:rsidP="00D942BA">
            <w:pPr>
              <w:rPr>
                <w:rFonts w:cstheme="minorHAnsi"/>
                <w:sz w:val="20"/>
                <w:szCs w:val="20"/>
              </w:rPr>
            </w:pPr>
            <w:r w:rsidRPr="00486970">
              <w:rPr>
                <w:rFonts w:cstheme="minorHAnsi"/>
                <w:sz w:val="20"/>
                <w:szCs w:val="20"/>
              </w:rPr>
              <w:t>Palliative care</w:t>
            </w:r>
          </w:p>
        </w:tc>
        <w:tc>
          <w:tcPr>
            <w:tcW w:w="4820" w:type="dxa"/>
          </w:tcPr>
          <w:p w14:paraId="1298A217"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Morphine, an opioid analgesic, is the first-choice opioid for treatment of strong pain, including cancer pain. It is also recommended as a preoperative medication and sedation for short-term procedures. </w:t>
            </w:r>
          </w:p>
          <w:p w14:paraId="048F0275" w14:textId="77777777" w:rsidR="009443FF" w:rsidRPr="00486970" w:rsidRDefault="009443FF" w:rsidP="00D942BA">
            <w:pPr>
              <w:rPr>
                <w:rFonts w:cstheme="minorHAnsi"/>
                <w:b/>
                <w:sz w:val="20"/>
                <w:szCs w:val="20"/>
              </w:rPr>
            </w:pPr>
            <w:r w:rsidRPr="00486970">
              <w:rPr>
                <w:rFonts w:cstheme="minorHAnsi"/>
                <w:b/>
                <w:sz w:val="20"/>
                <w:szCs w:val="20"/>
              </w:rPr>
              <w:t xml:space="preserve">Treatment References: </w:t>
            </w:r>
          </w:p>
          <w:p w14:paraId="7D5DFB85" w14:textId="77777777" w:rsidR="009443FF" w:rsidRPr="00486970" w:rsidRDefault="003A249F" w:rsidP="00D942BA">
            <w:pPr>
              <w:rPr>
                <w:rFonts w:cstheme="minorHAnsi"/>
                <w:sz w:val="20"/>
                <w:szCs w:val="20"/>
              </w:rPr>
            </w:pPr>
            <w:hyperlink r:id="rId39" w:history="1">
              <w:r w:rsidR="009443FF" w:rsidRPr="00486970">
                <w:rPr>
                  <w:rFonts w:cstheme="minorHAnsi"/>
                  <w:color w:val="0000FF" w:themeColor="hyperlink"/>
                  <w:sz w:val="20"/>
                  <w:szCs w:val="20"/>
                  <w:u w:val="single"/>
                </w:rPr>
                <w:t>WHO Model Prescribing Information: Drugs Used in Anaesthesia</w:t>
              </w:r>
            </w:hyperlink>
          </w:p>
          <w:p w14:paraId="1987264A" w14:textId="77777777" w:rsidR="009443FF" w:rsidRPr="00486970" w:rsidRDefault="009443FF" w:rsidP="00D942BA">
            <w:pPr>
              <w:rPr>
                <w:rFonts w:cstheme="minorHAnsi"/>
                <w:b/>
                <w:sz w:val="20"/>
                <w:szCs w:val="20"/>
              </w:rPr>
            </w:pPr>
            <w:r w:rsidRPr="00486970">
              <w:rPr>
                <w:rFonts w:cstheme="minorHAnsi"/>
                <w:b/>
                <w:sz w:val="20"/>
                <w:szCs w:val="20"/>
              </w:rPr>
              <w:t>More information in WHO EML 2017 Section Reference:</w:t>
            </w:r>
            <w:r w:rsidRPr="00486970">
              <w:rPr>
                <w:rFonts w:cstheme="minorHAnsi"/>
                <w:sz w:val="20"/>
                <w:szCs w:val="20"/>
              </w:rPr>
              <w:t xml:space="preserve"> 2.2,1.3</w:t>
            </w:r>
          </w:p>
        </w:tc>
      </w:tr>
      <w:tr w:rsidR="009443FF" w:rsidRPr="00486970" w14:paraId="6B9A2ED7" w14:textId="77777777" w:rsidTr="00D942BA">
        <w:trPr>
          <w:trHeight w:val="2793"/>
        </w:trPr>
        <w:tc>
          <w:tcPr>
            <w:tcW w:w="4923" w:type="dxa"/>
            <w:noWrap/>
          </w:tcPr>
          <w:p w14:paraId="271F5082" w14:textId="77777777" w:rsidR="009443FF" w:rsidRPr="00486970" w:rsidRDefault="009443FF" w:rsidP="00D942BA">
            <w:pPr>
              <w:rPr>
                <w:rFonts w:cstheme="minorHAnsi"/>
                <w:sz w:val="20"/>
                <w:szCs w:val="20"/>
              </w:rPr>
            </w:pPr>
            <w:r w:rsidRPr="00486970">
              <w:rPr>
                <w:rFonts w:cstheme="minorHAnsi"/>
                <w:sz w:val="20"/>
                <w:szCs w:val="20"/>
              </w:rPr>
              <w:t>Paracetamol (any strength)</w:t>
            </w:r>
          </w:p>
        </w:tc>
        <w:tc>
          <w:tcPr>
            <w:tcW w:w="1540" w:type="dxa"/>
            <w:noWrap/>
          </w:tcPr>
          <w:p w14:paraId="77605F11" w14:textId="77777777" w:rsidR="009443FF" w:rsidRPr="00486970" w:rsidRDefault="009443FF" w:rsidP="00D942BA">
            <w:pPr>
              <w:rPr>
                <w:rFonts w:cstheme="minorHAnsi"/>
                <w:sz w:val="20"/>
                <w:szCs w:val="20"/>
              </w:rPr>
            </w:pPr>
            <w:r w:rsidRPr="00486970">
              <w:rPr>
                <w:rFonts w:cstheme="minorHAnsi"/>
                <w:sz w:val="20"/>
                <w:szCs w:val="20"/>
              </w:rPr>
              <w:t>Pain and Palliative Care</w:t>
            </w:r>
          </w:p>
        </w:tc>
        <w:tc>
          <w:tcPr>
            <w:tcW w:w="4820" w:type="dxa"/>
          </w:tcPr>
          <w:p w14:paraId="472C1932" w14:textId="77777777" w:rsidR="009443FF" w:rsidRPr="00486970" w:rsidRDefault="009443FF" w:rsidP="00D942BA">
            <w:pPr>
              <w:rPr>
                <w:rFonts w:cstheme="minorHAnsi"/>
                <w:b/>
                <w:sz w:val="20"/>
                <w:szCs w:val="20"/>
              </w:rPr>
            </w:pPr>
            <w:r w:rsidRPr="00486970">
              <w:rPr>
                <w:rFonts w:cstheme="minorHAnsi"/>
                <w:b/>
                <w:sz w:val="20"/>
                <w:szCs w:val="20"/>
              </w:rPr>
              <w:t xml:space="preserve">Rationale: </w:t>
            </w:r>
            <w:r w:rsidRPr="00486970">
              <w:rPr>
                <w:rFonts w:cstheme="minorHAnsi"/>
                <w:bCs/>
                <w:sz w:val="20"/>
                <w:szCs w:val="20"/>
              </w:rPr>
              <w:t>Paracetamol, also referred to as acetaminophen or APAP, is an analgesic and antipyretic that is used widely as a first-line treatment for mild to moderate pain and fever. It is also often found in combinations with other medications to treat a cold or for severe pain. In particular, it is the preferred analgesic for pregnant women.</w:t>
            </w:r>
          </w:p>
          <w:p w14:paraId="01CF5D1F" w14:textId="77777777" w:rsidR="009443FF" w:rsidRPr="00486970" w:rsidRDefault="009443FF" w:rsidP="00D942BA">
            <w:pPr>
              <w:rPr>
                <w:rFonts w:cstheme="minorHAnsi"/>
                <w:sz w:val="20"/>
                <w:szCs w:val="20"/>
              </w:rPr>
            </w:pPr>
            <w:r w:rsidRPr="00486970">
              <w:rPr>
                <w:rFonts w:cstheme="minorHAnsi"/>
                <w:b/>
                <w:sz w:val="20"/>
                <w:szCs w:val="20"/>
              </w:rPr>
              <w:t>Treatment References:</w:t>
            </w:r>
            <w:r w:rsidRPr="00486970">
              <w:rPr>
                <w:rFonts w:cstheme="minorHAnsi"/>
                <w:sz w:val="20"/>
                <w:szCs w:val="20"/>
              </w:rPr>
              <w:t xml:space="preserve"> </w:t>
            </w:r>
            <w:hyperlink r:id="rId40" w:history="1">
              <w:r w:rsidRPr="00486970">
                <w:rPr>
                  <w:rFonts w:cstheme="minorHAnsi"/>
                  <w:color w:val="0000FF" w:themeColor="hyperlink"/>
                  <w:sz w:val="20"/>
                  <w:szCs w:val="20"/>
                  <w:u w:val="single"/>
                </w:rPr>
                <w:t>WHO Model Prescribing Information: Drugs Used in Anaesthesia</w:t>
              </w:r>
            </w:hyperlink>
          </w:p>
          <w:p w14:paraId="0B342C75" w14:textId="77777777" w:rsidR="009443FF" w:rsidRPr="00486970" w:rsidRDefault="009443FF" w:rsidP="00D942BA">
            <w:pPr>
              <w:rPr>
                <w:rFonts w:cstheme="minorHAnsi"/>
                <w:b/>
                <w:sz w:val="20"/>
                <w:szCs w:val="20"/>
              </w:rPr>
            </w:pPr>
            <w:r w:rsidRPr="00486970">
              <w:rPr>
                <w:rFonts w:cstheme="minorHAnsi"/>
                <w:b/>
                <w:sz w:val="20"/>
                <w:szCs w:val="20"/>
              </w:rPr>
              <w:t xml:space="preserve">More information in WHO EML 2017 Section Reference: </w:t>
            </w:r>
            <w:r w:rsidRPr="00486970">
              <w:rPr>
                <w:rFonts w:cstheme="minorHAnsi"/>
                <w:sz w:val="20"/>
                <w:szCs w:val="20"/>
              </w:rPr>
              <w:t>2.1, 7.1</w:t>
            </w:r>
          </w:p>
        </w:tc>
      </w:tr>
      <w:tr w:rsidR="009443FF" w:rsidRPr="00486970" w14:paraId="12E4F019" w14:textId="77777777" w:rsidTr="00D942BA">
        <w:trPr>
          <w:trHeight w:val="600"/>
        </w:trPr>
        <w:tc>
          <w:tcPr>
            <w:tcW w:w="4923" w:type="dxa"/>
            <w:noWrap/>
          </w:tcPr>
          <w:p w14:paraId="1503D0A1" w14:textId="77777777" w:rsidR="009443FF" w:rsidRPr="00486970" w:rsidRDefault="009443FF" w:rsidP="00D942BA">
            <w:pPr>
              <w:rPr>
                <w:rFonts w:cstheme="minorHAnsi"/>
                <w:sz w:val="20"/>
                <w:szCs w:val="20"/>
              </w:rPr>
            </w:pPr>
            <w:r w:rsidRPr="00486970">
              <w:rPr>
                <w:rFonts w:cstheme="minorHAnsi"/>
                <w:sz w:val="20"/>
                <w:szCs w:val="20"/>
              </w:rPr>
              <w:lastRenderedPageBreak/>
              <w:t>Fluoxetine (20 mg cap/tab) or other selective serotonin reuptake inhibitor (SSRI)</w:t>
            </w:r>
          </w:p>
        </w:tc>
        <w:tc>
          <w:tcPr>
            <w:tcW w:w="1540" w:type="dxa"/>
            <w:noWrap/>
          </w:tcPr>
          <w:p w14:paraId="4E6775A6" w14:textId="77777777" w:rsidR="009443FF" w:rsidRPr="00486970" w:rsidRDefault="009443FF" w:rsidP="00D942BA">
            <w:pPr>
              <w:rPr>
                <w:rFonts w:cstheme="minorHAnsi"/>
                <w:sz w:val="20"/>
                <w:szCs w:val="20"/>
              </w:rPr>
            </w:pPr>
            <w:r w:rsidRPr="00486970">
              <w:rPr>
                <w:rFonts w:cstheme="minorHAnsi"/>
                <w:sz w:val="20"/>
                <w:szCs w:val="20"/>
              </w:rPr>
              <w:t>CNS</w:t>
            </w:r>
          </w:p>
        </w:tc>
        <w:tc>
          <w:tcPr>
            <w:tcW w:w="4820" w:type="dxa"/>
          </w:tcPr>
          <w:p w14:paraId="72192DE1" w14:textId="77777777" w:rsidR="009443FF" w:rsidRPr="00486970" w:rsidRDefault="009443FF" w:rsidP="00D942BA">
            <w:pPr>
              <w:rPr>
                <w:rFonts w:cstheme="minorHAnsi"/>
                <w:sz w:val="20"/>
                <w:szCs w:val="20"/>
              </w:rPr>
            </w:pPr>
            <w:r w:rsidRPr="00486970">
              <w:rPr>
                <w:rFonts w:cstheme="minorHAnsi"/>
                <w:b/>
                <w:sz w:val="20"/>
                <w:szCs w:val="20"/>
              </w:rPr>
              <w:t xml:space="preserve">Rationale: </w:t>
            </w:r>
            <w:r w:rsidRPr="00486970">
              <w:rPr>
                <w:rFonts w:cstheme="minorHAnsi"/>
                <w:sz w:val="20"/>
                <w:szCs w:val="20"/>
              </w:rPr>
              <w:t>SSRIs are among the most widely used drugs in the treatment of depressive disorders. Fluoxetine is recommended for use in depressive disorders and can be used to treat patients over 8 years old.</w:t>
            </w:r>
          </w:p>
          <w:p w14:paraId="4B020301" w14:textId="77777777" w:rsidR="009443FF" w:rsidRPr="00486970" w:rsidRDefault="009443FF" w:rsidP="00D942BA">
            <w:pPr>
              <w:rPr>
                <w:rFonts w:cstheme="minorHAnsi"/>
                <w:sz w:val="20"/>
                <w:szCs w:val="20"/>
              </w:rPr>
            </w:pPr>
            <w:r w:rsidRPr="00486970">
              <w:rPr>
                <w:rFonts w:cstheme="minorHAnsi"/>
                <w:sz w:val="20"/>
                <w:szCs w:val="20"/>
              </w:rPr>
              <w:t xml:space="preserve">SSRIs should be used as part of a comprehensive management plan. </w:t>
            </w:r>
          </w:p>
          <w:p w14:paraId="273A175B" w14:textId="77777777" w:rsidR="009443FF" w:rsidRPr="00486970" w:rsidRDefault="009443FF" w:rsidP="00D942BA">
            <w:pPr>
              <w:rPr>
                <w:rFonts w:cstheme="minorHAnsi"/>
                <w:b/>
                <w:sz w:val="20"/>
                <w:szCs w:val="20"/>
              </w:rPr>
            </w:pPr>
            <w:r w:rsidRPr="00486970">
              <w:rPr>
                <w:rFonts w:cstheme="minorHAnsi"/>
                <w:b/>
                <w:sz w:val="20"/>
                <w:szCs w:val="20"/>
              </w:rPr>
              <w:t>Treatment References:</w:t>
            </w:r>
          </w:p>
          <w:p w14:paraId="7A9EB74D" w14:textId="77777777" w:rsidR="009443FF" w:rsidRPr="00486970" w:rsidRDefault="003A249F" w:rsidP="00D942BA">
            <w:pPr>
              <w:rPr>
                <w:rFonts w:cstheme="minorHAnsi"/>
                <w:bCs/>
                <w:sz w:val="20"/>
                <w:szCs w:val="20"/>
                <w:u w:val="single"/>
              </w:rPr>
            </w:pPr>
            <w:hyperlink r:id="rId41" w:history="1">
              <w:r w:rsidR="009443FF" w:rsidRPr="00486970">
                <w:rPr>
                  <w:rFonts w:cstheme="minorHAnsi"/>
                  <w:bCs/>
                  <w:color w:val="0000FF" w:themeColor="hyperlink"/>
                  <w:sz w:val="20"/>
                  <w:szCs w:val="20"/>
                  <w:u w:val="single"/>
                </w:rPr>
                <w:t>Evidence-based recommendations for management of depression in non-specialized health settings</w:t>
              </w:r>
            </w:hyperlink>
          </w:p>
          <w:p w14:paraId="35EAFC7C" w14:textId="77777777" w:rsidR="009443FF" w:rsidRPr="00486970" w:rsidRDefault="009443FF" w:rsidP="00D942BA">
            <w:pPr>
              <w:rPr>
                <w:rFonts w:cstheme="minorHAnsi"/>
                <w:sz w:val="20"/>
                <w:szCs w:val="20"/>
              </w:rPr>
            </w:pPr>
            <w:r w:rsidRPr="00486970">
              <w:rPr>
                <w:rFonts w:cstheme="minorHAnsi"/>
                <w:b/>
                <w:sz w:val="20"/>
                <w:szCs w:val="20"/>
              </w:rPr>
              <w:t xml:space="preserve">More information in WHO EML 2017 Section Reference: </w:t>
            </w:r>
            <w:r w:rsidRPr="00486970">
              <w:rPr>
                <w:rFonts w:cstheme="minorHAnsi"/>
                <w:sz w:val="20"/>
                <w:szCs w:val="20"/>
              </w:rPr>
              <w:t>24.2</w:t>
            </w:r>
          </w:p>
        </w:tc>
      </w:tr>
      <w:tr w:rsidR="009443FF" w:rsidRPr="00486970" w14:paraId="2A746178" w14:textId="77777777" w:rsidTr="00D942BA">
        <w:trPr>
          <w:trHeight w:val="900"/>
        </w:trPr>
        <w:tc>
          <w:tcPr>
            <w:tcW w:w="4923" w:type="dxa"/>
            <w:noWrap/>
          </w:tcPr>
          <w:p w14:paraId="73DBBAC2" w14:textId="77777777" w:rsidR="009443FF" w:rsidRPr="00486970" w:rsidRDefault="009443FF" w:rsidP="00D942BA">
            <w:pPr>
              <w:rPr>
                <w:rFonts w:cstheme="minorHAnsi"/>
                <w:sz w:val="20"/>
                <w:szCs w:val="20"/>
              </w:rPr>
            </w:pPr>
            <w:r w:rsidRPr="00486970">
              <w:rPr>
                <w:rFonts w:cstheme="minorHAnsi"/>
                <w:sz w:val="20"/>
                <w:szCs w:val="20"/>
              </w:rPr>
              <w:t>Phenytoin (100mg Tablet) or Carbamazepine (200 mg cap/tab)</w:t>
            </w:r>
          </w:p>
        </w:tc>
        <w:tc>
          <w:tcPr>
            <w:tcW w:w="1540" w:type="dxa"/>
            <w:noWrap/>
          </w:tcPr>
          <w:p w14:paraId="4F988FD9" w14:textId="77777777" w:rsidR="009443FF" w:rsidRPr="00486970" w:rsidRDefault="009443FF" w:rsidP="00D942BA">
            <w:pPr>
              <w:rPr>
                <w:rFonts w:cstheme="minorHAnsi"/>
                <w:sz w:val="20"/>
                <w:szCs w:val="20"/>
              </w:rPr>
            </w:pPr>
            <w:r w:rsidRPr="00486970">
              <w:rPr>
                <w:rFonts w:cstheme="minorHAnsi"/>
                <w:sz w:val="20"/>
                <w:szCs w:val="20"/>
              </w:rPr>
              <w:t>CNS</w:t>
            </w:r>
          </w:p>
        </w:tc>
        <w:tc>
          <w:tcPr>
            <w:tcW w:w="4820" w:type="dxa"/>
          </w:tcPr>
          <w:p w14:paraId="2AD35CE9"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Carbamazepine and phenytoin are anticonvulsant/antiepileptic medicines used in the management of generalized and partial seizures and neuropathic pain.</w:t>
            </w:r>
          </w:p>
          <w:p w14:paraId="09A031C3" w14:textId="77777777" w:rsidR="009443FF" w:rsidRPr="00486970" w:rsidRDefault="009443FF" w:rsidP="00D942BA">
            <w:pPr>
              <w:rPr>
                <w:rFonts w:cstheme="minorHAnsi"/>
                <w:b/>
                <w:sz w:val="20"/>
                <w:szCs w:val="20"/>
              </w:rPr>
            </w:pPr>
            <w:r w:rsidRPr="00486970">
              <w:rPr>
                <w:rFonts w:cstheme="minorHAnsi"/>
                <w:b/>
                <w:sz w:val="20"/>
                <w:szCs w:val="20"/>
              </w:rPr>
              <w:t xml:space="preserve">Treatment References: </w:t>
            </w:r>
          </w:p>
          <w:p w14:paraId="61A1B485" w14:textId="77777777" w:rsidR="009443FF" w:rsidRPr="00486970" w:rsidRDefault="003A249F" w:rsidP="00D942BA">
            <w:pPr>
              <w:rPr>
                <w:rFonts w:cstheme="minorHAnsi"/>
                <w:bCs/>
                <w:sz w:val="20"/>
                <w:szCs w:val="20"/>
              </w:rPr>
            </w:pPr>
            <w:hyperlink r:id="rId42" w:history="1">
              <w:r w:rsidR="009443FF" w:rsidRPr="00486970">
                <w:rPr>
                  <w:rFonts w:cstheme="minorHAnsi"/>
                  <w:bCs/>
                  <w:color w:val="0000FF" w:themeColor="hyperlink"/>
                  <w:sz w:val="20"/>
                  <w:szCs w:val="20"/>
                  <w:u w:val="single"/>
                </w:rPr>
                <w:t>Evidence-based recommendations for management of epilepsy and seizures in non-specialized health settings</w:t>
              </w:r>
            </w:hyperlink>
          </w:p>
          <w:p w14:paraId="13973261" w14:textId="77777777" w:rsidR="009443FF" w:rsidRPr="00486970" w:rsidRDefault="009443FF" w:rsidP="00D942BA">
            <w:pPr>
              <w:rPr>
                <w:rFonts w:cstheme="minorHAnsi"/>
                <w:sz w:val="20"/>
                <w:szCs w:val="20"/>
              </w:rPr>
            </w:pPr>
            <w:r w:rsidRPr="00486970">
              <w:rPr>
                <w:rFonts w:cstheme="minorHAnsi"/>
                <w:b/>
                <w:sz w:val="20"/>
                <w:szCs w:val="20"/>
              </w:rPr>
              <w:t>More information in WHO EML 2017 Section Reference:</w:t>
            </w:r>
            <w:r w:rsidRPr="00486970">
              <w:rPr>
                <w:rFonts w:cstheme="minorHAnsi"/>
                <w:sz w:val="20"/>
                <w:szCs w:val="20"/>
              </w:rPr>
              <w:t xml:space="preserve"> 5</w:t>
            </w:r>
          </w:p>
        </w:tc>
      </w:tr>
      <w:tr w:rsidR="009443FF" w:rsidRPr="00486970" w14:paraId="53AC34B1" w14:textId="77777777" w:rsidTr="00D942BA">
        <w:trPr>
          <w:trHeight w:val="900"/>
        </w:trPr>
        <w:tc>
          <w:tcPr>
            <w:tcW w:w="4923" w:type="dxa"/>
            <w:noWrap/>
            <w:hideMark/>
          </w:tcPr>
          <w:p w14:paraId="4DCC1534" w14:textId="77777777" w:rsidR="009443FF" w:rsidRPr="00486970" w:rsidRDefault="009443FF" w:rsidP="00D942BA">
            <w:pPr>
              <w:rPr>
                <w:rFonts w:cstheme="minorHAnsi"/>
                <w:sz w:val="20"/>
                <w:szCs w:val="20"/>
                <w:lang w:val="it-IT"/>
              </w:rPr>
            </w:pPr>
            <w:r w:rsidRPr="00486970">
              <w:rPr>
                <w:rFonts w:cstheme="minorHAnsi"/>
                <w:sz w:val="20"/>
                <w:szCs w:val="20"/>
                <w:lang w:val="it-IT"/>
              </w:rPr>
              <w:t>Gentamicin (40 mg/mL in 2mL vial)</w:t>
            </w:r>
          </w:p>
        </w:tc>
        <w:tc>
          <w:tcPr>
            <w:tcW w:w="1540" w:type="dxa"/>
            <w:noWrap/>
            <w:hideMark/>
          </w:tcPr>
          <w:p w14:paraId="29565936" w14:textId="77777777" w:rsidR="009443FF" w:rsidRPr="00486970" w:rsidRDefault="009443FF" w:rsidP="00D942BA">
            <w:pPr>
              <w:rPr>
                <w:rFonts w:cstheme="minorHAnsi"/>
                <w:sz w:val="20"/>
                <w:szCs w:val="20"/>
              </w:rPr>
            </w:pPr>
            <w:r w:rsidRPr="00486970">
              <w:rPr>
                <w:rFonts w:cstheme="minorHAnsi"/>
                <w:sz w:val="20"/>
                <w:szCs w:val="20"/>
              </w:rPr>
              <w:t>Anti-infective</w:t>
            </w:r>
          </w:p>
        </w:tc>
        <w:tc>
          <w:tcPr>
            <w:tcW w:w="4820" w:type="dxa"/>
            <w:hideMark/>
          </w:tcPr>
          <w:p w14:paraId="70A946FA"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Gentamicin, an aminoglycoside antibiotic, is used for the systemic treatment of susceptible infections. It is classified as an ACCESS antibiotic in the WHO EML, signifying that it should widely available, affordable, and quality assured. It is the first-line treatment for community acquired pneumonia, complicated severe malnutrition, and neonatal sepsis, and second-line treatment for gonorrhoeae.</w:t>
            </w:r>
          </w:p>
          <w:p w14:paraId="2914E746" w14:textId="77777777" w:rsidR="009443FF" w:rsidRPr="00486970" w:rsidRDefault="009443FF" w:rsidP="00D942BA">
            <w:pPr>
              <w:rPr>
                <w:rFonts w:cstheme="minorHAnsi"/>
                <w:b/>
                <w:sz w:val="20"/>
                <w:szCs w:val="20"/>
              </w:rPr>
            </w:pPr>
            <w:r w:rsidRPr="00486970">
              <w:rPr>
                <w:rFonts w:cstheme="minorHAnsi"/>
                <w:b/>
                <w:sz w:val="20"/>
                <w:szCs w:val="20"/>
              </w:rPr>
              <w:t xml:space="preserve">Treatment References: </w:t>
            </w:r>
          </w:p>
          <w:p w14:paraId="21F9250D" w14:textId="77777777" w:rsidR="009443FF" w:rsidRPr="00486970" w:rsidRDefault="003A249F" w:rsidP="00D942BA">
            <w:pPr>
              <w:rPr>
                <w:rFonts w:cstheme="minorHAnsi"/>
                <w:bCs/>
                <w:color w:val="0000FF" w:themeColor="hyperlink"/>
                <w:sz w:val="20"/>
                <w:szCs w:val="20"/>
                <w:u w:val="single"/>
              </w:rPr>
            </w:pPr>
            <w:hyperlink r:id="rId43" w:history="1">
              <w:r w:rsidR="009443FF" w:rsidRPr="00486970">
                <w:rPr>
                  <w:rFonts w:cstheme="minorHAnsi"/>
                  <w:bCs/>
                  <w:color w:val="0000FF" w:themeColor="hyperlink"/>
                  <w:sz w:val="20"/>
                  <w:szCs w:val="20"/>
                  <w:u w:val="single"/>
                </w:rPr>
                <w:t>WHO Model Prescribing Information: Drugs used in Bacterial Infections</w:t>
              </w:r>
            </w:hyperlink>
            <w:r w:rsidR="009443FF" w:rsidRPr="00486970">
              <w:rPr>
                <w:rFonts w:cstheme="minorHAnsi"/>
                <w:bCs/>
                <w:color w:val="0000FF" w:themeColor="hyperlink"/>
                <w:sz w:val="20"/>
                <w:szCs w:val="20"/>
                <w:u w:val="single"/>
              </w:rPr>
              <w:t xml:space="preserve"> </w:t>
            </w:r>
          </w:p>
          <w:p w14:paraId="6E0F152C" w14:textId="77777777" w:rsidR="009443FF" w:rsidRPr="00486970" w:rsidRDefault="009443FF" w:rsidP="00D942BA">
            <w:pPr>
              <w:rPr>
                <w:rFonts w:cstheme="minorHAnsi"/>
                <w:sz w:val="20"/>
                <w:szCs w:val="20"/>
              </w:rPr>
            </w:pPr>
            <w:r w:rsidRPr="00486970">
              <w:rPr>
                <w:rFonts w:cstheme="minorHAnsi"/>
                <w:b/>
                <w:sz w:val="20"/>
                <w:szCs w:val="20"/>
              </w:rPr>
              <w:t>More information in WHO EML 2017 Section Reference:</w:t>
            </w:r>
            <w:r w:rsidRPr="00486970">
              <w:rPr>
                <w:rFonts w:cstheme="minorHAnsi"/>
                <w:sz w:val="20"/>
                <w:szCs w:val="20"/>
              </w:rPr>
              <w:t xml:space="preserve"> 6.2.2</w:t>
            </w:r>
          </w:p>
        </w:tc>
      </w:tr>
      <w:tr w:rsidR="009443FF" w:rsidRPr="00486970" w14:paraId="738A777D" w14:textId="77777777" w:rsidTr="00D942BA">
        <w:trPr>
          <w:trHeight w:val="900"/>
        </w:trPr>
        <w:tc>
          <w:tcPr>
            <w:tcW w:w="4923" w:type="dxa"/>
            <w:noWrap/>
            <w:hideMark/>
          </w:tcPr>
          <w:p w14:paraId="106E3FF2" w14:textId="77777777" w:rsidR="009443FF" w:rsidRPr="00486970" w:rsidRDefault="009443FF" w:rsidP="00D942BA">
            <w:pPr>
              <w:rPr>
                <w:rFonts w:cstheme="minorHAnsi"/>
                <w:sz w:val="20"/>
                <w:szCs w:val="20"/>
              </w:rPr>
            </w:pPr>
            <w:r w:rsidRPr="00486970">
              <w:rPr>
                <w:rFonts w:cstheme="minorHAnsi"/>
                <w:sz w:val="20"/>
                <w:szCs w:val="20"/>
              </w:rPr>
              <w:t>Amoxicillin (500mg cap/tab)</w:t>
            </w:r>
          </w:p>
          <w:p w14:paraId="7097F1FD" w14:textId="77777777" w:rsidR="009443FF" w:rsidRPr="00486970" w:rsidRDefault="009443FF" w:rsidP="00D942BA">
            <w:pPr>
              <w:rPr>
                <w:rFonts w:cstheme="minorHAnsi"/>
                <w:sz w:val="20"/>
                <w:szCs w:val="20"/>
              </w:rPr>
            </w:pPr>
          </w:p>
          <w:p w14:paraId="102B7744" w14:textId="77777777" w:rsidR="009443FF" w:rsidRPr="00486970" w:rsidRDefault="009443FF" w:rsidP="00D942BA">
            <w:pPr>
              <w:rPr>
                <w:rFonts w:cstheme="minorHAnsi"/>
                <w:sz w:val="20"/>
                <w:szCs w:val="20"/>
              </w:rPr>
            </w:pPr>
          </w:p>
          <w:p w14:paraId="6E8B2505" w14:textId="77777777" w:rsidR="009443FF" w:rsidRPr="00486970" w:rsidRDefault="009443FF" w:rsidP="00D942BA">
            <w:pPr>
              <w:rPr>
                <w:rFonts w:cstheme="minorHAnsi"/>
                <w:sz w:val="20"/>
                <w:szCs w:val="20"/>
              </w:rPr>
            </w:pPr>
          </w:p>
          <w:p w14:paraId="6B182F4B" w14:textId="77777777" w:rsidR="009443FF" w:rsidRPr="00486970" w:rsidRDefault="009443FF" w:rsidP="00D942BA">
            <w:pPr>
              <w:rPr>
                <w:rFonts w:cstheme="minorHAnsi"/>
                <w:sz w:val="20"/>
                <w:szCs w:val="20"/>
              </w:rPr>
            </w:pPr>
          </w:p>
          <w:p w14:paraId="19DB4177" w14:textId="77777777" w:rsidR="009443FF" w:rsidRPr="00486970" w:rsidRDefault="009443FF" w:rsidP="00D942BA">
            <w:pPr>
              <w:rPr>
                <w:rFonts w:cstheme="minorHAnsi"/>
                <w:sz w:val="20"/>
                <w:szCs w:val="20"/>
              </w:rPr>
            </w:pPr>
          </w:p>
        </w:tc>
        <w:tc>
          <w:tcPr>
            <w:tcW w:w="1540" w:type="dxa"/>
            <w:noWrap/>
            <w:hideMark/>
          </w:tcPr>
          <w:p w14:paraId="0B6B3765" w14:textId="77777777" w:rsidR="009443FF" w:rsidRPr="00486970" w:rsidRDefault="009443FF" w:rsidP="00D942BA">
            <w:pPr>
              <w:rPr>
                <w:rFonts w:cstheme="minorHAnsi"/>
                <w:sz w:val="20"/>
                <w:szCs w:val="20"/>
              </w:rPr>
            </w:pPr>
            <w:r w:rsidRPr="00486970">
              <w:rPr>
                <w:rFonts w:cstheme="minorHAnsi"/>
                <w:sz w:val="20"/>
                <w:szCs w:val="20"/>
              </w:rPr>
              <w:t>Anti-infective</w:t>
            </w:r>
          </w:p>
        </w:tc>
        <w:tc>
          <w:tcPr>
            <w:tcW w:w="4820" w:type="dxa"/>
            <w:hideMark/>
          </w:tcPr>
          <w:p w14:paraId="2B38C3E8"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Amoxicillin, a beta-lactam antibiotic, is used to treat a wide range of susceptible infections. It is classified as an ACCESS antibiotic in the WHO EML, signifying that it should widely available, affordable, and quality assured. It is the first-line treatment for specific infectious syndromes, including community acquired pneumonia, neonatal sepsis, lower urinary tract infections, and the second-line treatment for acute bacterial meningitis.</w:t>
            </w:r>
          </w:p>
          <w:p w14:paraId="3BC0672F" w14:textId="77777777" w:rsidR="009443FF" w:rsidRPr="00486970" w:rsidRDefault="009443FF" w:rsidP="00D942BA">
            <w:pPr>
              <w:rPr>
                <w:rFonts w:cstheme="minorHAnsi"/>
                <w:b/>
                <w:sz w:val="20"/>
                <w:szCs w:val="20"/>
              </w:rPr>
            </w:pPr>
            <w:r w:rsidRPr="00486970">
              <w:rPr>
                <w:rFonts w:cstheme="minorHAnsi"/>
                <w:b/>
                <w:sz w:val="20"/>
                <w:szCs w:val="20"/>
              </w:rPr>
              <w:t xml:space="preserve">Treatment References: </w:t>
            </w:r>
          </w:p>
          <w:p w14:paraId="5F434FFD" w14:textId="77777777" w:rsidR="009443FF" w:rsidRPr="00486970" w:rsidRDefault="003A249F" w:rsidP="00D942BA">
            <w:pPr>
              <w:rPr>
                <w:rFonts w:cstheme="minorHAnsi"/>
                <w:bCs/>
                <w:sz w:val="20"/>
                <w:szCs w:val="20"/>
              </w:rPr>
            </w:pPr>
            <w:hyperlink r:id="rId44" w:history="1">
              <w:r w:rsidR="009443FF" w:rsidRPr="00486970">
                <w:rPr>
                  <w:rFonts w:cstheme="minorHAnsi"/>
                  <w:bCs/>
                  <w:color w:val="0000FF" w:themeColor="hyperlink"/>
                  <w:sz w:val="20"/>
                  <w:szCs w:val="20"/>
                  <w:u w:val="single"/>
                </w:rPr>
                <w:t>WHO Model Prescribing Information: Drugs used in Bacterial Infections</w:t>
              </w:r>
            </w:hyperlink>
          </w:p>
          <w:p w14:paraId="3460758D" w14:textId="77777777" w:rsidR="009443FF" w:rsidRPr="00486970" w:rsidRDefault="009443FF" w:rsidP="00D942BA">
            <w:pPr>
              <w:rPr>
                <w:rFonts w:cstheme="minorHAnsi"/>
                <w:sz w:val="20"/>
                <w:szCs w:val="20"/>
              </w:rPr>
            </w:pPr>
            <w:r w:rsidRPr="00486970">
              <w:rPr>
                <w:rFonts w:cstheme="minorHAnsi"/>
                <w:b/>
                <w:sz w:val="20"/>
                <w:szCs w:val="20"/>
              </w:rPr>
              <w:t>More information in WHO EML 2017 Section Reference:</w:t>
            </w:r>
            <w:r w:rsidRPr="00486970">
              <w:rPr>
                <w:rFonts w:cstheme="minorHAnsi"/>
                <w:sz w:val="20"/>
                <w:szCs w:val="20"/>
              </w:rPr>
              <w:t xml:space="preserve"> 6.2.1</w:t>
            </w:r>
          </w:p>
        </w:tc>
      </w:tr>
      <w:tr w:rsidR="009443FF" w:rsidRPr="00486970" w14:paraId="0FF89578" w14:textId="77777777" w:rsidTr="00D942BA">
        <w:trPr>
          <w:trHeight w:val="900"/>
        </w:trPr>
        <w:tc>
          <w:tcPr>
            <w:tcW w:w="4923" w:type="dxa"/>
            <w:noWrap/>
            <w:hideMark/>
          </w:tcPr>
          <w:p w14:paraId="2216EB60" w14:textId="77777777" w:rsidR="009443FF" w:rsidRPr="00486970" w:rsidRDefault="009443FF" w:rsidP="00D942BA">
            <w:pPr>
              <w:rPr>
                <w:rFonts w:cstheme="minorHAnsi"/>
                <w:sz w:val="20"/>
                <w:szCs w:val="20"/>
              </w:rPr>
            </w:pPr>
            <w:r w:rsidRPr="00486970">
              <w:rPr>
                <w:rFonts w:cstheme="minorHAnsi"/>
                <w:sz w:val="20"/>
                <w:szCs w:val="20"/>
              </w:rPr>
              <w:t>Ceftriaxone (1g/vial Injection)</w:t>
            </w:r>
          </w:p>
        </w:tc>
        <w:tc>
          <w:tcPr>
            <w:tcW w:w="1540" w:type="dxa"/>
            <w:noWrap/>
            <w:hideMark/>
          </w:tcPr>
          <w:p w14:paraId="64508A2E" w14:textId="77777777" w:rsidR="009443FF" w:rsidRPr="00486970" w:rsidRDefault="009443FF" w:rsidP="00D942BA">
            <w:pPr>
              <w:rPr>
                <w:rFonts w:cstheme="minorHAnsi"/>
                <w:sz w:val="20"/>
                <w:szCs w:val="20"/>
              </w:rPr>
            </w:pPr>
            <w:r w:rsidRPr="00486970">
              <w:rPr>
                <w:rFonts w:cstheme="minorHAnsi"/>
                <w:sz w:val="20"/>
                <w:szCs w:val="20"/>
              </w:rPr>
              <w:t>Anti-infective</w:t>
            </w:r>
          </w:p>
        </w:tc>
        <w:tc>
          <w:tcPr>
            <w:tcW w:w="4820" w:type="dxa"/>
            <w:hideMark/>
          </w:tcPr>
          <w:p w14:paraId="00D1EB6B"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Ceftriaxone, a third generation cephalosporin, is used for the systemic treatment of susceptible infections.  It is classified as a WATCH in the WHO EML, signifying it higher resistance potential and recommendation for only a specific, limited number of indications.  It is the first-line treatment for specific infectious syndromes including severe community acquired pneumonia, acute bacterial meningitis, and gonorrhoeae.</w:t>
            </w:r>
          </w:p>
          <w:p w14:paraId="10412025" w14:textId="77777777" w:rsidR="009443FF" w:rsidRPr="00486970" w:rsidRDefault="009443FF" w:rsidP="00D942BA">
            <w:pPr>
              <w:rPr>
                <w:rFonts w:cstheme="minorHAnsi"/>
                <w:b/>
                <w:sz w:val="20"/>
                <w:szCs w:val="20"/>
              </w:rPr>
            </w:pPr>
            <w:r w:rsidRPr="00486970">
              <w:rPr>
                <w:rFonts w:cstheme="minorHAnsi"/>
                <w:b/>
                <w:sz w:val="20"/>
                <w:szCs w:val="20"/>
              </w:rPr>
              <w:t>Treatment References:</w:t>
            </w:r>
          </w:p>
          <w:p w14:paraId="2D7AEEBB" w14:textId="77777777" w:rsidR="009443FF" w:rsidRPr="00486970" w:rsidRDefault="003A249F" w:rsidP="00D942BA">
            <w:pPr>
              <w:rPr>
                <w:rFonts w:cstheme="minorHAnsi"/>
                <w:bCs/>
                <w:sz w:val="20"/>
                <w:szCs w:val="20"/>
              </w:rPr>
            </w:pPr>
            <w:hyperlink r:id="rId45" w:history="1">
              <w:r w:rsidR="009443FF" w:rsidRPr="00486970">
                <w:rPr>
                  <w:rFonts w:cstheme="minorHAnsi"/>
                  <w:bCs/>
                  <w:color w:val="0000FF" w:themeColor="hyperlink"/>
                  <w:sz w:val="20"/>
                  <w:szCs w:val="20"/>
                  <w:u w:val="single"/>
                </w:rPr>
                <w:t>WHO Model Prescribing Information: Drugs used in Bacterial Infections</w:t>
              </w:r>
            </w:hyperlink>
          </w:p>
          <w:p w14:paraId="60253F41" w14:textId="77777777" w:rsidR="009443FF" w:rsidRPr="00486970" w:rsidRDefault="009443FF" w:rsidP="00D942BA">
            <w:pPr>
              <w:rPr>
                <w:rFonts w:cstheme="minorHAnsi"/>
                <w:sz w:val="20"/>
                <w:szCs w:val="20"/>
              </w:rPr>
            </w:pPr>
            <w:r w:rsidRPr="00486970">
              <w:rPr>
                <w:rFonts w:cstheme="minorHAnsi"/>
                <w:b/>
                <w:sz w:val="20"/>
                <w:szCs w:val="20"/>
              </w:rPr>
              <w:t>More information in WHO EML 2017 Section Reference:</w:t>
            </w:r>
            <w:r w:rsidRPr="00486970">
              <w:rPr>
                <w:rFonts w:cstheme="minorHAnsi"/>
                <w:sz w:val="20"/>
                <w:szCs w:val="20"/>
              </w:rPr>
              <w:t xml:space="preserve"> 6.2.1</w:t>
            </w:r>
          </w:p>
        </w:tc>
      </w:tr>
      <w:tr w:rsidR="009443FF" w:rsidRPr="00486970" w14:paraId="5B24A79F" w14:textId="77777777" w:rsidTr="00D942BA">
        <w:trPr>
          <w:trHeight w:val="300"/>
        </w:trPr>
        <w:tc>
          <w:tcPr>
            <w:tcW w:w="4923" w:type="dxa"/>
            <w:noWrap/>
            <w:hideMark/>
          </w:tcPr>
          <w:p w14:paraId="4E8AC727" w14:textId="77777777" w:rsidR="009443FF" w:rsidRPr="00486970" w:rsidRDefault="009443FF" w:rsidP="00D942BA">
            <w:pPr>
              <w:rPr>
                <w:rFonts w:cstheme="minorHAnsi"/>
                <w:sz w:val="20"/>
                <w:szCs w:val="20"/>
              </w:rPr>
            </w:pPr>
            <w:r w:rsidRPr="00486970">
              <w:rPr>
                <w:rFonts w:cstheme="minorHAnsi"/>
                <w:sz w:val="20"/>
                <w:szCs w:val="20"/>
              </w:rPr>
              <w:lastRenderedPageBreak/>
              <w:t>Procaine benzylpenicillin (1G = 1MU Injection) or Benzathine benzylpenicillin (900mg=1.2 MIU or 1.44g = 2.4MIU) injection</w:t>
            </w:r>
          </w:p>
        </w:tc>
        <w:tc>
          <w:tcPr>
            <w:tcW w:w="1540" w:type="dxa"/>
            <w:noWrap/>
            <w:hideMark/>
          </w:tcPr>
          <w:p w14:paraId="3D07039A" w14:textId="77777777" w:rsidR="009443FF" w:rsidRPr="00486970" w:rsidRDefault="009443FF" w:rsidP="00D942BA">
            <w:pPr>
              <w:rPr>
                <w:rFonts w:cstheme="minorHAnsi"/>
                <w:sz w:val="20"/>
                <w:szCs w:val="20"/>
              </w:rPr>
            </w:pPr>
            <w:r w:rsidRPr="00486970">
              <w:rPr>
                <w:rFonts w:cstheme="minorHAnsi"/>
                <w:sz w:val="20"/>
                <w:szCs w:val="20"/>
              </w:rPr>
              <w:t>Anti-infective</w:t>
            </w:r>
          </w:p>
        </w:tc>
        <w:tc>
          <w:tcPr>
            <w:tcW w:w="4820" w:type="dxa"/>
            <w:noWrap/>
            <w:hideMark/>
          </w:tcPr>
          <w:p w14:paraId="5121FC04"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Procaine benzylpenicillin, a beta-lactam antibiotic, is used to treat syphilis in adults and children. It is classified as an ACCESS antibiotic in the WHO EML, signifying that it should widely available, affordable, and quality assured.</w:t>
            </w:r>
          </w:p>
          <w:p w14:paraId="1FCE13D3" w14:textId="77777777" w:rsidR="009443FF" w:rsidRPr="00486970" w:rsidRDefault="009443FF" w:rsidP="00D942BA">
            <w:pPr>
              <w:rPr>
                <w:rFonts w:cstheme="minorHAnsi"/>
                <w:b/>
                <w:sz w:val="20"/>
                <w:szCs w:val="20"/>
              </w:rPr>
            </w:pPr>
            <w:r w:rsidRPr="00486970">
              <w:rPr>
                <w:rFonts w:cstheme="minorHAnsi"/>
                <w:b/>
                <w:sz w:val="20"/>
                <w:szCs w:val="20"/>
              </w:rPr>
              <w:t xml:space="preserve">Treatment References: </w:t>
            </w:r>
          </w:p>
          <w:p w14:paraId="3FDB4E7C" w14:textId="77777777" w:rsidR="009443FF" w:rsidRPr="00486970" w:rsidRDefault="003A249F" w:rsidP="00D942BA">
            <w:pPr>
              <w:rPr>
                <w:rFonts w:cstheme="minorHAnsi"/>
                <w:bCs/>
                <w:sz w:val="20"/>
                <w:szCs w:val="20"/>
              </w:rPr>
            </w:pPr>
            <w:hyperlink r:id="rId46" w:history="1">
              <w:r w:rsidR="009443FF" w:rsidRPr="00486970">
                <w:rPr>
                  <w:rFonts w:cstheme="minorHAnsi"/>
                  <w:bCs/>
                  <w:color w:val="0000FF" w:themeColor="hyperlink"/>
                  <w:sz w:val="20"/>
                  <w:szCs w:val="20"/>
                  <w:u w:val="single"/>
                </w:rPr>
                <w:t>WHO Model Prescribing Information: Drugs used in Bacterial Infections</w:t>
              </w:r>
            </w:hyperlink>
          </w:p>
          <w:p w14:paraId="5B5EB3CD" w14:textId="77777777" w:rsidR="009443FF" w:rsidRPr="00486970" w:rsidRDefault="009443FF" w:rsidP="00D942BA">
            <w:pPr>
              <w:rPr>
                <w:rFonts w:cstheme="minorHAnsi"/>
                <w:sz w:val="20"/>
                <w:szCs w:val="20"/>
              </w:rPr>
            </w:pPr>
            <w:r w:rsidRPr="00486970">
              <w:rPr>
                <w:rFonts w:cstheme="minorHAnsi"/>
                <w:b/>
                <w:sz w:val="20"/>
                <w:szCs w:val="20"/>
              </w:rPr>
              <w:t>More information in WHO EML 2017 Section Reference:</w:t>
            </w:r>
            <w:r w:rsidRPr="00486970">
              <w:rPr>
                <w:rFonts w:cstheme="minorHAnsi"/>
                <w:sz w:val="20"/>
                <w:szCs w:val="20"/>
              </w:rPr>
              <w:t xml:space="preserve"> 6.2.1</w:t>
            </w:r>
          </w:p>
        </w:tc>
      </w:tr>
      <w:tr w:rsidR="009443FF" w:rsidRPr="00486970" w14:paraId="11C3D04B" w14:textId="77777777" w:rsidTr="00D942BA">
        <w:trPr>
          <w:trHeight w:val="300"/>
        </w:trPr>
        <w:tc>
          <w:tcPr>
            <w:tcW w:w="4923" w:type="dxa"/>
            <w:noWrap/>
          </w:tcPr>
          <w:p w14:paraId="283F6B09" w14:textId="77777777" w:rsidR="009443FF" w:rsidRPr="00486970" w:rsidRDefault="009443FF" w:rsidP="00D942BA">
            <w:pPr>
              <w:rPr>
                <w:rFonts w:cstheme="minorHAnsi"/>
                <w:sz w:val="20"/>
                <w:szCs w:val="20"/>
              </w:rPr>
            </w:pPr>
            <w:r w:rsidRPr="00486970">
              <w:rPr>
                <w:rFonts w:cstheme="minorHAnsi"/>
                <w:sz w:val="20"/>
                <w:szCs w:val="20"/>
              </w:rPr>
              <w:t>One of the following contraceptives:</w:t>
            </w:r>
          </w:p>
          <w:p w14:paraId="23F9FDCE" w14:textId="77777777" w:rsidR="009443FF" w:rsidRPr="00486970" w:rsidRDefault="009443FF" w:rsidP="00D942BA">
            <w:pPr>
              <w:numPr>
                <w:ilvl w:val="0"/>
                <w:numId w:val="43"/>
              </w:numPr>
              <w:rPr>
                <w:rFonts w:cstheme="minorHAnsi"/>
                <w:sz w:val="20"/>
                <w:szCs w:val="20"/>
              </w:rPr>
            </w:pPr>
            <w:r w:rsidRPr="00486970">
              <w:rPr>
                <w:rFonts w:cstheme="minorHAnsi"/>
                <w:sz w:val="20"/>
                <w:szCs w:val="20"/>
              </w:rPr>
              <w:t>Ethinylestradiol + levonorgestrel: tablet 30 mcg + 150 mcg (or alternative combined oral contraceptive)</w:t>
            </w:r>
          </w:p>
          <w:p w14:paraId="488A90E4" w14:textId="77777777" w:rsidR="009443FF" w:rsidRPr="00486970" w:rsidRDefault="009443FF" w:rsidP="00D942BA">
            <w:pPr>
              <w:numPr>
                <w:ilvl w:val="0"/>
                <w:numId w:val="43"/>
              </w:numPr>
              <w:rPr>
                <w:rFonts w:cstheme="minorHAnsi"/>
                <w:sz w:val="20"/>
                <w:szCs w:val="20"/>
              </w:rPr>
            </w:pPr>
            <w:r w:rsidRPr="00486970">
              <w:rPr>
                <w:rFonts w:cstheme="minorHAnsi"/>
                <w:sz w:val="20"/>
                <w:szCs w:val="20"/>
              </w:rPr>
              <w:t xml:space="preserve">Levonorgestrel 30 microgram tablet. </w:t>
            </w:r>
          </w:p>
          <w:p w14:paraId="06E5587E" w14:textId="77777777" w:rsidR="009443FF" w:rsidRPr="00486970" w:rsidRDefault="009443FF" w:rsidP="00D942BA">
            <w:pPr>
              <w:numPr>
                <w:ilvl w:val="0"/>
                <w:numId w:val="43"/>
              </w:numPr>
              <w:rPr>
                <w:rFonts w:cstheme="minorHAnsi"/>
                <w:sz w:val="20"/>
                <w:szCs w:val="20"/>
              </w:rPr>
            </w:pPr>
            <w:r w:rsidRPr="00486970">
              <w:rPr>
                <w:rFonts w:cstheme="minorHAnsi"/>
                <w:sz w:val="20"/>
                <w:szCs w:val="20"/>
              </w:rPr>
              <w:t>Medroxyprogesterone acetate injection IM 150 mg/mL or SC 104 mg/0.65mL</w:t>
            </w:r>
          </w:p>
          <w:p w14:paraId="27808F33" w14:textId="77777777" w:rsidR="009443FF" w:rsidRPr="00486970" w:rsidRDefault="009443FF" w:rsidP="00D942BA">
            <w:pPr>
              <w:numPr>
                <w:ilvl w:val="0"/>
                <w:numId w:val="43"/>
              </w:numPr>
              <w:rPr>
                <w:rFonts w:cstheme="minorHAnsi"/>
                <w:sz w:val="20"/>
                <w:szCs w:val="20"/>
              </w:rPr>
            </w:pPr>
            <w:r w:rsidRPr="00486970">
              <w:rPr>
                <w:rFonts w:cstheme="minorHAnsi"/>
                <w:sz w:val="20"/>
                <w:szCs w:val="20"/>
              </w:rPr>
              <w:t>Progesterone-releasing implant (etonogestrel 68 mg or levonorgestrel 150 mg)</w:t>
            </w:r>
          </w:p>
          <w:p w14:paraId="0A025E90" w14:textId="77777777" w:rsidR="009443FF" w:rsidRPr="00486970" w:rsidRDefault="009443FF" w:rsidP="00D942BA">
            <w:pPr>
              <w:numPr>
                <w:ilvl w:val="0"/>
                <w:numId w:val="43"/>
              </w:numPr>
              <w:rPr>
                <w:rFonts w:cstheme="minorHAnsi"/>
                <w:sz w:val="20"/>
                <w:szCs w:val="20"/>
              </w:rPr>
            </w:pPr>
            <w:r w:rsidRPr="00486970">
              <w:rPr>
                <w:rFonts w:cstheme="minorHAnsi"/>
                <w:sz w:val="20"/>
                <w:szCs w:val="20"/>
              </w:rPr>
              <w:t>Levonorgestrel 750 mcg or 1.5 mg tablet</w:t>
            </w:r>
          </w:p>
          <w:p w14:paraId="17F27549" w14:textId="77777777" w:rsidR="009443FF" w:rsidRPr="00486970" w:rsidRDefault="009443FF" w:rsidP="00D942BA">
            <w:pPr>
              <w:rPr>
                <w:rFonts w:cstheme="minorHAnsi"/>
                <w:sz w:val="20"/>
                <w:szCs w:val="20"/>
              </w:rPr>
            </w:pPr>
          </w:p>
          <w:p w14:paraId="4B8A231F" w14:textId="77777777" w:rsidR="009443FF" w:rsidRPr="00486970" w:rsidRDefault="009443FF" w:rsidP="00D942BA">
            <w:pPr>
              <w:rPr>
                <w:rFonts w:cstheme="minorHAnsi"/>
                <w:sz w:val="20"/>
                <w:szCs w:val="20"/>
              </w:rPr>
            </w:pPr>
          </w:p>
        </w:tc>
        <w:tc>
          <w:tcPr>
            <w:tcW w:w="1540" w:type="dxa"/>
            <w:noWrap/>
          </w:tcPr>
          <w:p w14:paraId="0D723F8C" w14:textId="77777777" w:rsidR="009443FF" w:rsidRPr="00486970" w:rsidRDefault="009443FF" w:rsidP="00D942BA">
            <w:pPr>
              <w:rPr>
                <w:rFonts w:cstheme="minorHAnsi"/>
                <w:sz w:val="20"/>
                <w:szCs w:val="20"/>
                <w:lang w:val="pt-BR"/>
              </w:rPr>
            </w:pPr>
            <w:r w:rsidRPr="00486970">
              <w:rPr>
                <w:rFonts w:cstheme="minorHAnsi"/>
                <w:sz w:val="20"/>
                <w:szCs w:val="20"/>
                <w:lang w:val="pt-BR"/>
              </w:rPr>
              <w:t>MCH</w:t>
            </w:r>
          </w:p>
        </w:tc>
        <w:tc>
          <w:tcPr>
            <w:tcW w:w="4820" w:type="dxa"/>
            <w:noWrap/>
          </w:tcPr>
          <w:p w14:paraId="72FC84D2" w14:textId="77777777" w:rsidR="009443FF" w:rsidRPr="00486970" w:rsidRDefault="009443FF" w:rsidP="00D942BA">
            <w:pPr>
              <w:rPr>
                <w:rFonts w:cstheme="minorHAnsi"/>
                <w:b/>
                <w:sz w:val="20"/>
                <w:szCs w:val="20"/>
              </w:rPr>
            </w:pPr>
            <w:r w:rsidRPr="00486970">
              <w:rPr>
                <w:rFonts w:cstheme="minorHAnsi"/>
                <w:b/>
                <w:sz w:val="20"/>
                <w:szCs w:val="20"/>
              </w:rPr>
              <w:t xml:space="preserve">Rationale: </w:t>
            </w:r>
            <w:r w:rsidRPr="00486970">
              <w:rPr>
                <w:rFonts w:cstheme="minorHAnsi"/>
                <w:sz w:val="20"/>
                <w:szCs w:val="20"/>
              </w:rPr>
              <w:t xml:space="preserve">Promotion of family planning – and ensuring access to preferred contraceptive methods for women and couples – is essential to securing the well-being and autonomy of women, while supporting the health and development of communities. Access to contraceptives can reduce infant and maternal mortality rates associated with closely spaced and ill-timed pregnancies. Additionally, contraceptives have be included on the WHO EML since its inception and are also listed as life-saving commodities by the UN Commission on Life-Saving Commodities for Women and Children. </w:t>
            </w:r>
          </w:p>
          <w:p w14:paraId="5C805783" w14:textId="77777777" w:rsidR="009443FF" w:rsidRPr="00486970" w:rsidRDefault="009443FF" w:rsidP="00D942BA">
            <w:pPr>
              <w:rPr>
                <w:rFonts w:cstheme="minorHAnsi"/>
                <w:b/>
                <w:sz w:val="20"/>
                <w:szCs w:val="20"/>
              </w:rPr>
            </w:pPr>
            <w:r w:rsidRPr="00486970">
              <w:rPr>
                <w:rFonts w:cstheme="minorHAnsi"/>
                <w:b/>
                <w:sz w:val="20"/>
                <w:szCs w:val="20"/>
              </w:rPr>
              <w:t xml:space="preserve">Treatment References: </w:t>
            </w:r>
            <w:hyperlink r:id="rId47" w:history="1">
              <w:r w:rsidRPr="00486970">
                <w:rPr>
                  <w:rFonts w:cstheme="minorHAnsi"/>
                  <w:color w:val="0000FF" w:themeColor="hyperlink"/>
                  <w:sz w:val="20"/>
                  <w:szCs w:val="20"/>
                  <w:u w:val="single"/>
                </w:rPr>
                <w:t>Medical eligibility criteria for contraceptive use</w:t>
              </w:r>
            </w:hyperlink>
          </w:p>
          <w:p w14:paraId="42AA13BB" w14:textId="77777777" w:rsidR="009443FF" w:rsidRPr="00486970" w:rsidRDefault="009443FF" w:rsidP="00D942BA">
            <w:pPr>
              <w:rPr>
                <w:rFonts w:cstheme="minorHAnsi"/>
                <w:sz w:val="20"/>
                <w:szCs w:val="20"/>
              </w:rPr>
            </w:pPr>
            <w:r w:rsidRPr="00486970">
              <w:rPr>
                <w:rFonts w:cstheme="minorHAnsi"/>
                <w:b/>
                <w:sz w:val="20"/>
                <w:szCs w:val="20"/>
              </w:rPr>
              <w:t xml:space="preserve">More information in WHO EML 2017 Section Reference: </w:t>
            </w:r>
            <w:r w:rsidRPr="00486970">
              <w:rPr>
                <w:rFonts w:cstheme="minorHAnsi"/>
                <w:sz w:val="20"/>
                <w:szCs w:val="20"/>
              </w:rPr>
              <w:t>18.3</w:t>
            </w:r>
          </w:p>
        </w:tc>
      </w:tr>
      <w:tr w:rsidR="009443FF" w:rsidRPr="00486970" w14:paraId="0F203EC2" w14:textId="77777777" w:rsidTr="00D942BA">
        <w:trPr>
          <w:trHeight w:val="1200"/>
        </w:trPr>
        <w:tc>
          <w:tcPr>
            <w:tcW w:w="4923" w:type="dxa"/>
            <w:noWrap/>
            <w:hideMark/>
          </w:tcPr>
          <w:p w14:paraId="201A7B2E" w14:textId="77777777" w:rsidR="009443FF" w:rsidRPr="00486970" w:rsidRDefault="009443FF" w:rsidP="00D942BA">
            <w:pPr>
              <w:rPr>
                <w:rFonts w:cstheme="minorHAnsi"/>
                <w:sz w:val="20"/>
                <w:szCs w:val="20"/>
              </w:rPr>
            </w:pPr>
            <w:r w:rsidRPr="00486970">
              <w:rPr>
                <w:rFonts w:cstheme="minorHAnsi"/>
                <w:sz w:val="20"/>
                <w:szCs w:val="20"/>
              </w:rPr>
              <w:t>Oral rehydration (salts 1 litre)</w:t>
            </w:r>
          </w:p>
        </w:tc>
        <w:tc>
          <w:tcPr>
            <w:tcW w:w="1540" w:type="dxa"/>
            <w:noWrap/>
            <w:hideMark/>
          </w:tcPr>
          <w:p w14:paraId="32F45473" w14:textId="77777777" w:rsidR="009443FF" w:rsidRPr="00486970" w:rsidRDefault="009443FF" w:rsidP="00D942BA">
            <w:pPr>
              <w:rPr>
                <w:rFonts w:cstheme="minorHAnsi"/>
                <w:sz w:val="20"/>
                <w:szCs w:val="20"/>
              </w:rPr>
            </w:pPr>
            <w:r w:rsidRPr="00486970">
              <w:rPr>
                <w:rFonts w:cstheme="minorHAnsi"/>
                <w:sz w:val="20"/>
                <w:szCs w:val="20"/>
              </w:rPr>
              <w:t xml:space="preserve">MCH </w:t>
            </w:r>
          </w:p>
        </w:tc>
        <w:tc>
          <w:tcPr>
            <w:tcW w:w="4820" w:type="dxa"/>
            <w:hideMark/>
          </w:tcPr>
          <w:p w14:paraId="62589738"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Oral rehydration salts (ORS), solutions containing sodium, potassium, citrate, and glucose, are used to replace fluid and electrolytes orally. ORS is used to treat acute diarrhoea in children to prevent or treat dehydration. </w:t>
            </w:r>
          </w:p>
          <w:p w14:paraId="7BAE1835" w14:textId="77777777" w:rsidR="009443FF" w:rsidRPr="00486970" w:rsidRDefault="009443FF" w:rsidP="00D942BA">
            <w:pPr>
              <w:rPr>
                <w:rFonts w:cstheme="minorHAnsi"/>
                <w:b/>
                <w:sz w:val="20"/>
                <w:szCs w:val="20"/>
              </w:rPr>
            </w:pPr>
            <w:r w:rsidRPr="00486970">
              <w:rPr>
                <w:rFonts w:cstheme="minorHAnsi"/>
                <w:b/>
                <w:sz w:val="20"/>
                <w:szCs w:val="20"/>
              </w:rPr>
              <w:t xml:space="preserve">Treatment References: </w:t>
            </w:r>
          </w:p>
          <w:p w14:paraId="60E3936D" w14:textId="77777777" w:rsidR="009443FF" w:rsidRPr="00486970" w:rsidRDefault="003A249F" w:rsidP="00D942BA">
            <w:pPr>
              <w:rPr>
                <w:rFonts w:cstheme="minorHAnsi"/>
                <w:bCs/>
                <w:sz w:val="20"/>
                <w:szCs w:val="20"/>
              </w:rPr>
            </w:pPr>
            <w:hyperlink r:id="rId48" w:history="1">
              <w:r w:rsidR="009443FF" w:rsidRPr="00486970">
                <w:rPr>
                  <w:rFonts w:cstheme="minorHAnsi"/>
                  <w:bCs/>
                  <w:color w:val="0000FF" w:themeColor="hyperlink"/>
                  <w:sz w:val="20"/>
                  <w:szCs w:val="20"/>
                  <w:u w:val="single"/>
                </w:rPr>
                <w:t>Diarrhoea treatment guidelines including new recommendations for the use of ORS and zinc supplementation for clinic-based healthcare workers</w:t>
              </w:r>
            </w:hyperlink>
          </w:p>
          <w:p w14:paraId="159BA547" w14:textId="77777777" w:rsidR="009443FF" w:rsidRPr="00486970" w:rsidRDefault="009443FF" w:rsidP="00D942BA">
            <w:pPr>
              <w:rPr>
                <w:rFonts w:cstheme="minorHAnsi"/>
                <w:sz w:val="20"/>
                <w:szCs w:val="20"/>
              </w:rPr>
            </w:pPr>
            <w:r w:rsidRPr="00486970">
              <w:rPr>
                <w:rFonts w:cstheme="minorHAnsi"/>
                <w:b/>
                <w:sz w:val="20"/>
                <w:szCs w:val="20"/>
              </w:rPr>
              <w:t>More information in WHO EML 2017 Section Reference:</w:t>
            </w:r>
            <w:r w:rsidRPr="00486970">
              <w:rPr>
                <w:rFonts w:cstheme="minorHAnsi"/>
                <w:sz w:val="20"/>
                <w:szCs w:val="20"/>
              </w:rPr>
              <w:t xml:space="preserve"> 26.1</w:t>
            </w:r>
          </w:p>
        </w:tc>
      </w:tr>
      <w:tr w:rsidR="009443FF" w:rsidRPr="00486970" w14:paraId="009C9CD6" w14:textId="77777777" w:rsidTr="00D942BA">
        <w:trPr>
          <w:trHeight w:val="900"/>
        </w:trPr>
        <w:tc>
          <w:tcPr>
            <w:tcW w:w="4923" w:type="dxa"/>
            <w:noWrap/>
            <w:hideMark/>
          </w:tcPr>
          <w:p w14:paraId="63144129" w14:textId="77777777" w:rsidR="009443FF" w:rsidRPr="00486970" w:rsidRDefault="009443FF" w:rsidP="00D942BA">
            <w:pPr>
              <w:rPr>
                <w:rFonts w:cstheme="minorHAnsi"/>
                <w:sz w:val="20"/>
                <w:szCs w:val="20"/>
              </w:rPr>
            </w:pPr>
            <w:r w:rsidRPr="00486970">
              <w:rPr>
                <w:rFonts w:cstheme="minorHAnsi"/>
                <w:sz w:val="20"/>
                <w:szCs w:val="20"/>
              </w:rPr>
              <w:t>Zinc sulphate (20mg dispersible tablet)</w:t>
            </w:r>
          </w:p>
        </w:tc>
        <w:tc>
          <w:tcPr>
            <w:tcW w:w="1540" w:type="dxa"/>
            <w:noWrap/>
            <w:hideMark/>
          </w:tcPr>
          <w:p w14:paraId="1B14B3F0" w14:textId="77777777" w:rsidR="009443FF" w:rsidRPr="00486970" w:rsidRDefault="009443FF" w:rsidP="00D942BA">
            <w:pPr>
              <w:rPr>
                <w:rFonts w:cstheme="minorHAnsi"/>
                <w:sz w:val="20"/>
                <w:szCs w:val="20"/>
              </w:rPr>
            </w:pPr>
            <w:r w:rsidRPr="00486970">
              <w:rPr>
                <w:rFonts w:cstheme="minorHAnsi"/>
                <w:sz w:val="20"/>
                <w:szCs w:val="20"/>
              </w:rPr>
              <w:t xml:space="preserve">MCH </w:t>
            </w:r>
          </w:p>
        </w:tc>
        <w:tc>
          <w:tcPr>
            <w:tcW w:w="4820" w:type="dxa"/>
            <w:hideMark/>
          </w:tcPr>
          <w:p w14:paraId="0447C333"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Zinc supplements are recommended to reduce the severity and duration of acute diarrhoea. If given for 10 to 14 days, zinc also reduces the incidence of new episodes of diarrhoea in the 2 to 3 months following treatment.</w:t>
            </w:r>
          </w:p>
          <w:p w14:paraId="50183A2B" w14:textId="77777777" w:rsidR="009443FF" w:rsidRPr="00486970" w:rsidRDefault="009443FF" w:rsidP="00D942BA">
            <w:pPr>
              <w:rPr>
                <w:rFonts w:cstheme="minorHAnsi"/>
                <w:b/>
                <w:sz w:val="20"/>
                <w:szCs w:val="20"/>
              </w:rPr>
            </w:pPr>
            <w:r w:rsidRPr="00486970">
              <w:rPr>
                <w:rFonts w:cstheme="minorHAnsi"/>
                <w:b/>
                <w:sz w:val="20"/>
                <w:szCs w:val="20"/>
              </w:rPr>
              <w:t xml:space="preserve">Treatment References: </w:t>
            </w:r>
          </w:p>
          <w:p w14:paraId="4C7C57C4" w14:textId="77777777" w:rsidR="009443FF" w:rsidRPr="00486970" w:rsidRDefault="003A249F" w:rsidP="00D942BA">
            <w:pPr>
              <w:rPr>
                <w:rFonts w:cstheme="minorHAnsi"/>
                <w:bCs/>
                <w:sz w:val="20"/>
                <w:szCs w:val="20"/>
              </w:rPr>
            </w:pPr>
            <w:hyperlink r:id="rId49" w:history="1">
              <w:r w:rsidR="009443FF" w:rsidRPr="00486970">
                <w:rPr>
                  <w:rFonts w:cstheme="minorHAnsi"/>
                  <w:bCs/>
                  <w:color w:val="0000FF" w:themeColor="hyperlink"/>
                  <w:sz w:val="20"/>
                  <w:szCs w:val="20"/>
                  <w:u w:val="single"/>
                </w:rPr>
                <w:t>Diarrhoea treatment guidelines including new recommendations for the use of ORS and zinc supplementation for clinic-based healthcare workers</w:t>
              </w:r>
            </w:hyperlink>
          </w:p>
          <w:p w14:paraId="593FD35E" w14:textId="77777777" w:rsidR="009443FF" w:rsidRPr="00486970" w:rsidRDefault="009443FF" w:rsidP="00D942BA">
            <w:pPr>
              <w:rPr>
                <w:rFonts w:cstheme="minorHAnsi"/>
                <w:sz w:val="20"/>
                <w:szCs w:val="20"/>
              </w:rPr>
            </w:pPr>
            <w:r w:rsidRPr="00486970">
              <w:rPr>
                <w:rFonts w:cstheme="minorHAnsi"/>
                <w:b/>
                <w:sz w:val="20"/>
                <w:szCs w:val="20"/>
              </w:rPr>
              <w:t>More information in WHO EML 2017 Section Reference:</w:t>
            </w:r>
            <w:r w:rsidRPr="00486970">
              <w:rPr>
                <w:rFonts w:cstheme="minorHAnsi"/>
                <w:sz w:val="20"/>
                <w:szCs w:val="20"/>
              </w:rPr>
              <w:t xml:space="preserve"> 17.5.2</w:t>
            </w:r>
          </w:p>
        </w:tc>
      </w:tr>
      <w:tr w:rsidR="009443FF" w:rsidRPr="00486970" w14:paraId="3DD549EE" w14:textId="77777777" w:rsidTr="00D942BA">
        <w:trPr>
          <w:trHeight w:val="900"/>
        </w:trPr>
        <w:tc>
          <w:tcPr>
            <w:tcW w:w="4923" w:type="dxa"/>
            <w:noWrap/>
            <w:hideMark/>
          </w:tcPr>
          <w:p w14:paraId="13396F7F" w14:textId="77777777" w:rsidR="009443FF" w:rsidRPr="00486970" w:rsidRDefault="009443FF" w:rsidP="00D942BA">
            <w:pPr>
              <w:rPr>
                <w:rFonts w:cstheme="minorHAnsi"/>
                <w:sz w:val="20"/>
                <w:szCs w:val="20"/>
              </w:rPr>
            </w:pPr>
            <w:r w:rsidRPr="00486970">
              <w:rPr>
                <w:rFonts w:cstheme="minorHAnsi"/>
                <w:sz w:val="20"/>
                <w:szCs w:val="20"/>
              </w:rPr>
              <w:t>Oxytocin (5iu or 10iu injection)</w:t>
            </w:r>
          </w:p>
        </w:tc>
        <w:tc>
          <w:tcPr>
            <w:tcW w:w="1540" w:type="dxa"/>
            <w:noWrap/>
            <w:hideMark/>
          </w:tcPr>
          <w:p w14:paraId="1D7725FE" w14:textId="77777777" w:rsidR="009443FF" w:rsidRPr="00486970" w:rsidRDefault="009443FF" w:rsidP="00D942BA">
            <w:pPr>
              <w:rPr>
                <w:rFonts w:cstheme="minorHAnsi"/>
                <w:sz w:val="20"/>
                <w:szCs w:val="20"/>
              </w:rPr>
            </w:pPr>
            <w:r w:rsidRPr="00486970">
              <w:rPr>
                <w:rFonts w:cstheme="minorHAnsi"/>
                <w:sz w:val="20"/>
                <w:szCs w:val="20"/>
              </w:rPr>
              <w:t xml:space="preserve">MCH </w:t>
            </w:r>
          </w:p>
        </w:tc>
        <w:tc>
          <w:tcPr>
            <w:tcW w:w="4820" w:type="dxa"/>
            <w:hideMark/>
          </w:tcPr>
          <w:p w14:paraId="7EF951DB"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Oxytocin, a peptide hormone, is used for the prevention and treatment of postpartum and post-abortion haemorrhage in emergency situations. It is the recommended that all women giving birth should be </w:t>
            </w:r>
            <w:r w:rsidRPr="00486970">
              <w:rPr>
                <w:rFonts w:cstheme="minorHAnsi"/>
                <w:sz w:val="20"/>
                <w:szCs w:val="20"/>
              </w:rPr>
              <w:lastRenderedPageBreak/>
              <w:t>offered uterotonic drugs, such as oxytocin, during the third stage of labour for the prevention of PPH.</w:t>
            </w:r>
          </w:p>
          <w:p w14:paraId="3DC6392E" w14:textId="77777777" w:rsidR="009443FF" w:rsidRPr="00486970" w:rsidRDefault="009443FF" w:rsidP="00D942BA">
            <w:pPr>
              <w:rPr>
                <w:rFonts w:cstheme="minorHAnsi"/>
                <w:sz w:val="20"/>
                <w:szCs w:val="20"/>
              </w:rPr>
            </w:pPr>
            <w:r w:rsidRPr="00486970">
              <w:rPr>
                <w:rFonts w:cstheme="minorHAnsi"/>
                <w:b/>
                <w:sz w:val="20"/>
                <w:szCs w:val="20"/>
              </w:rPr>
              <w:t xml:space="preserve">Treatment References: </w:t>
            </w:r>
            <w:hyperlink r:id="rId50" w:history="1">
              <w:r w:rsidRPr="00486970">
                <w:rPr>
                  <w:rFonts w:cstheme="minorHAnsi"/>
                  <w:color w:val="0000FF" w:themeColor="hyperlink"/>
                  <w:sz w:val="20"/>
                  <w:szCs w:val="20"/>
                  <w:u w:val="single"/>
                </w:rPr>
                <w:t>WHO Recommendations for the Prevention and Treatment of Postpartum Haemorrhage</w:t>
              </w:r>
            </w:hyperlink>
            <w:r w:rsidRPr="00486970">
              <w:rPr>
                <w:rFonts w:cstheme="minorHAnsi"/>
                <w:color w:val="0000FF" w:themeColor="hyperlink"/>
                <w:sz w:val="20"/>
                <w:szCs w:val="20"/>
                <w:u w:val="single"/>
              </w:rPr>
              <w:t xml:space="preserve">, </w:t>
            </w:r>
            <w:hyperlink r:id="rId51" w:history="1">
              <w:r w:rsidRPr="00486970">
                <w:rPr>
                  <w:rFonts w:cstheme="minorHAnsi"/>
                  <w:color w:val="0000FF" w:themeColor="hyperlink"/>
                  <w:sz w:val="20"/>
                  <w:szCs w:val="20"/>
                  <w:u w:val="single"/>
                </w:rPr>
                <w:t>UNFPA Medicines for Maternal Health</w:t>
              </w:r>
            </w:hyperlink>
          </w:p>
          <w:p w14:paraId="788C6A41" w14:textId="77777777" w:rsidR="009443FF" w:rsidRPr="00486970" w:rsidRDefault="009443FF" w:rsidP="00D942BA">
            <w:pPr>
              <w:rPr>
                <w:rFonts w:cstheme="minorHAnsi"/>
                <w:sz w:val="20"/>
                <w:szCs w:val="20"/>
              </w:rPr>
            </w:pPr>
            <w:r w:rsidRPr="00486970">
              <w:rPr>
                <w:rFonts w:cstheme="minorHAnsi"/>
                <w:b/>
                <w:sz w:val="20"/>
                <w:szCs w:val="20"/>
              </w:rPr>
              <w:t>More information in WHO EML 2017 Section Reference:</w:t>
            </w:r>
            <w:r w:rsidRPr="00486970">
              <w:rPr>
                <w:rFonts w:cstheme="minorHAnsi"/>
                <w:sz w:val="20"/>
                <w:szCs w:val="20"/>
              </w:rPr>
              <w:t xml:space="preserve"> 22.1</w:t>
            </w:r>
          </w:p>
        </w:tc>
      </w:tr>
      <w:tr w:rsidR="009443FF" w:rsidRPr="00486970" w14:paraId="280D997B" w14:textId="77777777" w:rsidTr="00D942BA">
        <w:trPr>
          <w:trHeight w:val="300"/>
        </w:trPr>
        <w:tc>
          <w:tcPr>
            <w:tcW w:w="4923" w:type="dxa"/>
            <w:noWrap/>
            <w:hideMark/>
          </w:tcPr>
          <w:p w14:paraId="3A82154A" w14:textId="77777777" w:rsidR="009443FF" w:rsidRPr="00486970" w:rsidRDefault="009443FF" w:rsidP="00D942BA">
            <w:pPr>
              <w:rPr>
                <w:rFonts w:cstheme="minorHAnsi"/>
                <w:sz w:val="20"/>
                <w:szCs w:val="20"/>
              </w:rPr>
            </w:pPr>
            <w:r w:rsidRPr="00486970">
              <w:rPr>
                <w:rFonts w:cstheme="minorHAnsi"/>
                <w:sz w:val="20"/>
                <w:szCs w:val="20"/>
              </w:rPr>
              <w:lastRenderedPageBreak/>
              <w:t>Magnesium sulphate 50% 10ml Injection</w:t>
            </w:r>
          </w:p>
        </w:tc>
        <w:tc>
          <w:tcPr>
            <w:tcW w:w="1540" w:type="dxa"/>
            <w:noWrap/>
            <w:hideMark/>
          </w:tcPr>
          <w:p w14:paraId="2B778BF4" w14:textId="77777777" w:rsidR="009443FF" w:rsidRPr="00486970" w:rsidRDefault="009443FF" w:rsidP="00D942BA">
            <w:pPr>
              <w:rPr>
                <w:rFonts w:cstheme="minorHAnsi"/>
                <w:sz w:val="20"/>
                <w:szCs w:val="20"/>
              </w:rPr>
            </w:pPr>
            <w:r w:rsidRPr="00486970">
              <w:rPr>
                <w:rFonts w:cstheme="minorHAnsi"/>
                <w:sz w:val="20"/>
                <w:szCs w:val="20"/>
              </w:rPr>
              <w:t xml:space="preserve">MCH </w:t>
            </w:r>
          </w:p>
        </w:tc>
        <w:tc>
          <w:tcPr>
            <w:tcW w:w="4820" w:type="dxa"/>
            <w:hideMark/>
          </w:tcPr>
          <w:p w14:paraId="2440E1D7"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Magnesium sulfate, an anticonvulsant, is used in the management and prevention of recurrent seizures in eclampsia and pre-eclampsia.</w:t>
            </w:r>
          </w:p>
          <w:p w14:paraId="6824B28B" w14:textId="77777777" w:rsidR="009443FF" w:rsidRPr="00486970" w:rsidRDefault="009443FF" w:rsidP="00D942BA">
            <w:pPr>
              <w:rPr>
                <w:rFonts w:cstheme="minorHAnsi"/>
                <w:b/>
                <w:sz w:val="20"/>
                <w:szCs w:val="20"/>
              </w:rPr>
            </w:pPr>
            <w:r w:rsidRPr="00486970">
              <w:rPr>
                <w:rFonts w:cstheme="minorHAnsi"/>
                <w:b/>
                <w:sz w:val="20"/>
                <w:szCs w:val="20"/>
              </w:rPr>
              <w:t xml:space="preserve">Treatment References: </w:t>
            </w:r>
          </w:p>
          <w:p w14:paraId="62E27C99" w14:textId="77777777" w:rsidR="009443FF" w:rsidRPr="00486970" w:rsidRDefault="003A249F" w:rsidP="00D942BA">
            <w:pPr>
              <w:rPr>
                <w:rFonts w:cstheme="minorHAnsi"/>
                <w:sz w:val="20"/>
                <w:szCs w:val="20"/>
              </w:rPr>
            </w:pPr>
            <w:hyperlink r:id="rId52" w:history="1">
              <w:r w:rsidR="009443FF" w:rsidRPr="00486970">
                <w:rPr>
                  <w:rFonts w:cstheme="minorHAnsi"/>
                  <w:color w:val="0000FF" w:themeColor="hyperlink"/>
                  <w:sz w:val="20"/>
                  <w:szCs w:val="20"/>
                  <w:u w:val="single"/>
                </w:rPr>
                <w:t>WHO recommendation on magnesium sulfate for the prevention of eclampsia in women with severe pre-eclampsia</w:t>
              </w:r>
            </w:hyperlink>
            <w:r w:rsidR="009443FF" w:rsidRPr="00486970">
              <w:rPr>
                <w:rFonts w:cstheme="minorHAnsi"/>
                <w:color w:val="0000FF" w:themeColor="hyperlink"/>
                <w:sz w:val="20"/>
                <w:szCs w:val="20"/>
                <w:u w:val="single"/>
              </w:rPr>
              <w:t xml:space="preserve">, </w:t>
            </w:r>
            <w:hyperlink r:id="rId53" w:history="1">
              <w:r w:rsidR="009443FF" w:rsidRPr="00486970">
                <w:rPr>
                  <w:rFonts w:cstheme="minorHAnsi"/>
                  <w:color w:val="0000FF" w:themeColor="hyperlink"/>
                  <w:sz w:val="20"/>
                  <w:szCs w:val="20"/>
                  <w:u w:val="single"/>
                </w:rPr>
                <w:t>UNFPA Medicines for Maternal Health</w:t>
              </w:r>
            </w:hyperlink>
          </w:p>
          <w:p w14:paraId="25D2EE52" w14:textId="77777777" w:rsidR="009443FF" w:rsidRPr="00486970" w:rsidRDefault="009443FF" w:rsidP="00D942BA">
            <w:pPr>
              <w:rPr>
                <w:rFonts w:cstheme="minorHAnsi"/>
                <w:sz w:val="20"/>
                <w:szCs w:val="20"/>
              </w:rPr>
            </w:pPr>
            <w:r w:rsidRPr="00486970">
              <w:rPr>
                <w:rFonts w:cstheme="minorHAnsi"/>
                <w:b/>
                <w:sz w:val="20"/>
                <w:szCs w:val="20"/>
              </w:rPr>
              <w:t>More information in WHO EML 2017 Section Reference:</w:t>
            </w:r>
            <w:r w:rsidRPr="00486970">
              <w:rPr>
                <w:rFonts w:cstheme="minorHAnsi"/>
                <w:sz w:val="20"/>
                <w:szCs w:val="20"/>
              </w:rPr>
              <w:t xml:space="preserve"> 5</w:t>
            </w:r>
          </w:p>
        </w:tc>
      </w:tr>
      <w:tr w:rsidR="009443FF" w:rsidRPr="00486970" w14:paraId="487558A9" w14:textId="77777777" w:rsidTr="00D942BA">
        <w:trPr>
          <w:trHeight w:val="300"/>
        </w:trPr>
        <w:tc>
          <w:tcPr>
            <w:tcW w:w="4923" w:type="dxa"/>
            <w:noWrap/>
          </w:tcPr>
          <w:p w14:paraId="2CC5C76C" w14:textId="77777777" w:rsidR="009443FF" w:rsidRPr="00486970" w:rsidRDefault="009443FF" w:rsidP="00D942BA">
            <w:pPr>
              <w:rPr>
                <w:rFonts w:cstheme="minorHAnsi"/>
                <w:sz w:val="20"/>
                <w:szCs w:val="20"/>
              </w:rPr>
            </w:pPr>
            <w:r w:rsidRPr="00486970">
              <w:rPr>
                <w:rFonts w:cstheme="minorHAnsi"/>
                <w:sz w:val="20"/>
                <w:szCs w:val="20"/>
              </w:rPr>
              <w:t>Folic acid</w:t>
            </w:r>
          </w:p>
        </w:tc>
        <w:tc>
          <w:tcPr>
            <w:tcW w:w="1540" w:type="dxa"/>
            <w:noWrap/>
          </w:tcPr>
          <w:p w14:paraId="3A803581" w14:textId="77777777" w:rsidR="009443FF" w:rsidRPr="00486970" w:rsidRDefault="009443FF" w:rsidP="00D942BA">
            <w:pPr>
              <w:rPr>
                <w:rFonts w:cstheme="minorHAnsi"/>
                <w:sz w:val="20"/>
                <w:szCs w:val="20"/>
              </w:rPr>
            </w:pPr>
            <w:r w:rsidRPr="00486970">
              <w:rPr>
                <w:rFonts w:cstheme="minorHAnsi"/>
                <w:sz w:val="20"/>
                <w:szCs w:val="20"/>
              </w:rPr>
              <w:t xml:space="preserve">MCH </w:t>
            </w:r>
          </w:p>
        </w:tc>
        <w:tc>
          <w:tcPr>
            <w:tcW w:w="4820" w:type="dxa"/>
          </w:tcPr>
          <w:p w14:paraId="63916356"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Single-agent folic acid is important for the prevention of neural tube defects and should be taken periconceptionally and in first trimester of pregnancy. </w:t>
            </w:r>
          </w:p>
          <w:p w14:paraId="5B9CD366" w14:textId="77777777" w:rsidR="009443FF" w:rsidRPr="00486970" w:rsidRDefault="009443FF" w:rsidP="00D942BA">
            <w:pPr>
              <w:rPr>
                <w:rFonts w:cstheme="minorHAnsi"/>
                <w:bCs/>
                <w:sz w:val="20"/>
                <w:szCs w:val="20"/>
              </w:rPr>
            </w:pPr>
            <w:r w:rsidRPr="00486970">
              <w:rPr>
                <w:rFonts w:cstheme="minorHAnsi"/>
                <w:b/>
                <w:sz w:val="20"/>
                <w:szCs w:val="20"/>
              </w:rPr>
              <w:t xml:space="preserve">Treatment References: </w:t>
            </w:r>
            <w:hyperlink r:id="rId54" w:history="1">
              <w:r w:rsidRPr="00486970">
                <w:rPr>
                  <w:rFonts w:cstheme="minorHAnsi"/>
                  <w:bCs/>
                  <w:color w:val="0000FF" w:themeColor="hyperlink"/>
                  <w:sz w:val="20"/>
                  <w:szCs w:val="20"/>
                  <w:u w:val="single"/>
                </w:rPr>
                <w:t>WHO recommendation on periconceptional folic acid supplementation to prevent neural tube defects</w:t>
              </w:r>
            </w:hyperlink>
          </w:p>
          <w:p w14:paraId="2A66E53F" w14:textId="77777777" w:rsidR="009443FF" w:rsidRPr="00486970" w:rsidRDefault="009443FF" w:rsidP="00D942BA">
            <w:pPr>
              <w:rPr>
                <w:rFonts w:cstheme="minorHAnsi"/>
                <w:b/>
                <w:sz w:val="20"/>
                <w:szCs w:val="20"/>
              </w:rPr>
            </w:pPr>
            <w:r w:rsidRPr="00486970">
              <w:rPr>
                <w:rFonts w:cstheme="minorHAnsi"/>
                <w:b/>
                <w:sz w:val="20"/>
                <w:szCs w:val="20"/>
              </w:rPr>
              <w:t>More information in WHO EML 2017 Section Reference:</w:t>
            </w:r>
            <w:r w:rsidRPr="00486970">
              <w:rPr>
                <w:rFonts w:cstheme="minorHAnsi"/>
                <w:sz w:val="20"/>
                <w:szCs w:val="20"/>
              </w:rPr>
              <w:t xml:space="preserve"> 10.1</w:t>
            </w:r>
          </w:p>
        </w:tc>
      </w:tr>
      <w:tr w:rsidR="009443FF" w:rsidRPr="00486970" w14:paraId="2D3A1460" w14:textId="77777777" w:rsidTr="00D942BA">
        <w:trPr>
          <w:trHeight w:val="300"/>
        </w:trPr>
        <w:tc>
          <w:tcPr>
            <w:tcW w:w="4923" w:type="dxa"/>
            <w:noWrap/>
            <w:hideMark/>
          </w:tcPr>
          <w:p w14:paraId="58D71CC4" w14:textId="77777777" w:rsidR="009443FF" w:rsidRPr="00486970" w:rsidRDefault="009443FF" w:rsidP="00D942BA">
            <w:pPr>
              <w:rPr>
                <w:rFonts w:cstheme="minorHAnsi"/>
                <w:sz w:val="20"/>
                <w:szCs w:val="20"/>
              </w:rPr>
            </w:pPr>
            <w:r w:rsidRPr="00486970">
              <w:rPr>
                <w:rFonts w:cstheme="minorHAnsi"/>
                <w:sz w:val="20"/>
                <w:szCs w:val="20"/>
              </w:rPr>
              <w:t xml:space="preserve">Artemisinin-based combination therapy (ACT) for treatment of uncomplicated </w:t>
            </w:r>
            <w:r w:rsidRPr="00486970">
              <w:rPr>
                <w:rFonts w:cstheme="minorHAnsi"/>
                <w:i/>
                <w:iCs/>
                <w:sz w:val="20"/>
                <w:szCs w:val="20"/>
              </w:rPr>
              <w:t>P. falciparum</w:t>
            </w:r>
            <w:r w:rsidRPr="00486970">
              <w:rPr>
                <w:rFonts w:cstheme="minorHAnsi"/>
                <w:sz w:val="20"/>
                <w:szCs w:val="20"/>
              </w:rPr>
              <w:t xml:space="preserve"> malaria.</w:t>
            </w:r>
          </w:p>
          <w:p w14:paraId="4F776F15" w14:textId="77777777" w:rsidR="009443FF" w:rsidRPr="00486970" w:rsidRDefault="009443FF" w:rsidP="00D942BA">
            <w:pPr>
              <w:rPr>
                <w:rFonts w:cstheme="minorHAnsi"/>
                <w:sz w:val="20"/>
                <w:szCs w:val="20"/>
              </w:rPr>
            </w:pPr>
            <w:r w:rsidRPr="00486970">
              <w:rPr>
                <w:rFonts w:cstheme="minorHAnsi"/>
                <w:sz w:val="20"/>
                <w:szCs w:val="20"/>
              </w:rPr>
              <w:t>One of the following:</w:t>
            </w:r>
          </w:p>
          <w:p w14:paraId="33ED5757" w14:textId="77777777" w:rsidR="009443FF" w:rsidRPr="00486970" w:rsidRDefault="009443FF" w:rsidP="00D942BA">
            <w:pPr>
              <w:numPr>
                <w:ilvl w:val="0"/>
                <w:numId w:val="44"/>
              </w:numPr>
              <w:ind w:left="786"/>
              <w:contextualSpacing/>
              <w:rPr>
                <w:rFonts w:cstheme="minorHAnsi"/>
                <w:sz w:val="20"/>
                <w:szCs w:val="20"/>
              </w:rPr>
            </w:pPr>
            <w:r w:rsidRPr="00486970">
              <w:rPr>
                <w:rFonts w:cstheme="minorHAnsi"/>
                <w:sz w:val="20"/>
                <w:szCs w:val="20"/>
              </w:rPr>
              <w:t>Artemether+lumefantrine  (20/120 mg cap/tab)</w:t>
            </w:r>
          </w:p>
          <w:p w14:paraId="333C6EDC" w14:textId="77777777" w:rsidR="009443FF" w:rsidRPr="00486970" w:rsidRDefault="009443FF" w:rsidP="00D942BA">
            <w:pPr>
              <w:numPr>
                <w:ilvl w:val="0"/>
                <w:numId w:val="44"/>
              </w:numPr>
              <w:ind w:left="786"/>
              <w:contextualSpacing/>
              <w:rPr>
                <w:rFonts w:cstheme="minorHAnsi"/>
                <w:sz w:val="20"/>
                <w:szCs w:val="20"/>
              </w:rPr>
            </w:pPr>
            <w:r w:rsidRPr="00486970">
              <w:rPr>
                <w:rFonts w:cstheme="minorHAnsi"/>
                <w:sz w:val="20"/>
                <w:szCs w:val="20"/>
              </w:rPr>
              <w:t>Artesunate+amodiaquine  (any strength)</w:t>
            </w:r>
          </w:p>
          <w:p w14:paraId="3075C7FD" w14:textId="77777777" w:rsidR="009443FF" w:rsidRPr="00486970" w:rsidRDefault="009443FF" w:rsidP="00D942BA">
            <w:pPr>
              <w:numPr>
                <w:ilvl w:val="0"/>
                <w:numId w:val="44"/>
              </w:numPr>
              <w:ind w:left="786"/>
              <w:contextualSpacing/>
              <w:rPr>
                <w:rFonts w:cstheme="minorHAnsi"/>
                <w:sz w:val="20"/>
                <w:szCs w:val="20"/>
              </w:rPr>
            </w:pPr>
            <w:r w:rsidRPr="00486970">
              <w:rPr>
                <w:rFonts w:cstheme="minorHAnsi"/>
                <w:sz w:val="20"/>
                <w:szCs w:val="20"/>
              </w:rPr>
              <w:t>Artesunate+mefloquine (any strength)</w:t>
            </w:r>
          </w:p>
          <w:p w14:paraId="3185F520" w14:textId="77777777" w:rsidR="009443FF" w:rsidRPr="00486970" w:rsidRDefault="009443FF" w:rsidP="00D942BA">
            <w:pPr>
              <w:numPr>
                <w:ilvl w:val="0"/>
                <w:numId w:val="44"/>
              </w:numPr>
              <w:ind w:left="786"/>
              <w:contextualSpacing/>
              <w:rPr>
                <w:rFonts w:cstheme="minorHAnsi"/>
                <w:sz w:val="20"/>
                <w:szCs w:val="20"/>
              </w:rPr>
            </w:pPr>
            <w:r w:rsidRPr="00486970">
              <w:rPr>
                <w:rFonts w:cstheme="minorHAnsi"/>
                <w:sz w:val="20"/>
                <w:szCs w:val="20"/>
              </w:rPr>
              <w:t>Dihydroartemisinin+piperaquine (any strength)</w:t>
            </w:r>
          </w:p>
          <w:p w14:paraId="7B1999A6" w14:textId="77777777" w:rsidR="009443FF" w:rsidRPr="00486970" w:rsidRDefault="009443FF" w:rsidP="00D942BA">
            <w:pPr>
              <w:numPr>
                <w:ilvl w:val="0"/>
                <w:numId w:val="44"/>
              </w:numPr>
              <w:ind w:left="786"/>
              <w:contextualSpacing/>
              <w:rPr>
                <w:rFonts w:cstheme="minorHAnsi"/>
                <w:sz w:val="20"/>
                <w:szCs w:val="20"/>
              </w:rPr>
            </w:pPr>
            <w:r w:rsidRPr="00486970">
              <w:rPr>
                <w:rFonts w:cstheme="minorHAnsi"/>
                <w:sz w:val="20"/>
                <w:szCs w:val="20"/>
              </w:rPr>
              <w:t>Artesunate+sulfadoxine-pyrimethamine (50 mg+500mg/25mg)</w:t>
            </w:r>
          </w:p>
        </w:tc>
        <w:tc>
          <w:tcPr>
            <w:tcW w:w="1540" w:type="dxa"/>
            <w:noWrap/>
            <w:hideMark/>
          </w:tcPr>
          <w:p w14:paraId="20286B05" w14:textId="77777777" w:rsidR="009443FF" w:rsidRPr="00486970" w:rsidRDefault="009443FF" w:rsidP="00D942BA">
            <w:pPr>
              <w:rPr>
                <w:rFonts w:cstheme="minorHAnsi"/>
                <w:sz w:val="20"/>
                <w:szCs w:val="20"/>
              </w:rPr>
            </w:pPr>
            <w:r w:rsidRPr="00486970">
              <w:rPr>
                <w:rFonts w:cstheme="minorHAnsi"/>
                <w:sz w:val="20"/>
                <w:szCs w:val="20"/>
              </w:rPr>
              <w:t>Anti-malarial</w:t>
            </w:r>
          </w:p>
        </w:tc>
        <w:tc>
          <w:tcPr>
            <w:tcW w:w="4820" w:type="dxa"/>
            <w:noWrap/>
            <w:hideMark/>
          </w:tcPr>
          <w:p w14:paraId="499E6014"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WHO Guidelines recommend treating adults and children with uncomplicated </w:t>
            </w:r>
            <w:r w:rsidRPr="00486970">
              <w:rPr>
                <w:rFonts w:cstheme="minorHAnsi"/>
                <w:i/>
                <w:iCs/>
                <w:sz w:val="20"/>
                <w:szCs w:val="20"/>
              </w:rPr>
              <w:t>P. falciparum</w:t>
            </w:r>
            <w:r w:rsidRPr="00486970">
              <w:rPr>
                <w:rFonts w:cstheme="minorHAnsi"/>
                <w:sz w:val="20"/>
                <w:szCs w:val="20"/>
              </w:rPr>
              <w:t xml:space="preserve"> malaria with artemisinin-based combination therapy (strong recommendation, high-quality evidence). </w:t>
            </w:r>
          </w:p>
          <w:p w14:paraId="5BD8C11F" w14:textId="77777777" w:rsidR="009443FF" w:rsidRPr="00486970" w:rsidRDefault="009443FF" w:rsidP="00D942BA">
            <w:pPr>
              <w:rPr>
                <w:rFonts w:cstheme="minorHAnsi"/>
                <w:sz w:val="20"/>
                <w:szCs w:val="20"/>
              </w:rPr>
            </w:pPr>
            <w:r w:rsidRPr="00486970">
              <w:rPr>
                <w:rFonts w:cstheme="minorHAnsi"/>
                <w:b/>
                <w:sz w:val="20"/>
                <w:szCs w:val="20"/>
              </w:rPr>
              <w:t xml:space="preserve">Treatment References: </w:t>
            </w:r>
            <w:hyperlink r:id="rId55" w:history="1">
              <w:r w:rsidRPr="00486970">
                <w:rPr>
                  <w:rFonts w:cstheme="minorHAnsi"/>
                  <w:color w:val="0000FF" w:themeColor="hyperlink"/>
                  <w:sz w:val="20"/>
                  <w:szCs w:val="20"/>
                  <w:u w:val="single"/>
                </w:rPr>
                <w:t>WHO Guidelines for the Treatment of Malaria</w:t>
              </w:r>
            </w:hyperlink>
          </w:p>
          <w:p w14:paraId="2575A4A5" w14:textId="77777777" w:rsidR="009443FF" w:rsidRPr="00486970" w:rsidRDefault="009443FF" w:rsidP="00D942BA">
            <w:pPr>
              <w:rPr>
                <w:rFonts w:cstheme="minorHAnsi"/>
                <w:sz w:val="20"/>
                <w:szCs w:val="20"/>
              </w:rPr>
            </w:pPr>
            <w:r w:rsidRPr="00486970">
              <w:rPr>
                <w:rFonts w:cstheme="minorHAnsi"/>
                <w:b/>
                <w:sz w:val="20"/>
                <w:szCs w:val="20"/>
              </w:rPr>
              <w:t>More information in WHO EML 2017 Section Reference:</w:t>
            </w:r>
            <w:r w:rsidRPr="00486970">
              <w:rPr>
                <w:rFonts w:cstheme="minorHAnsi"/>
                <w:sz w:val="20"/>
                <w:szCs w:val="20"/>
              </w:rPr>
              <w:t xml:space="preserve"> 6.5.3.1</w:t>
            </w:r>
          </w:p>
        </w:tc>
      </w:tr>
      <w:tr w:rsidR="009443FF" w:rsidRPr="00486970" w14:paraId="5BBD02C5" w14:textId="77777777" w:rsidTr="00D942BA">
        <w:trPr>
          <w:trHeight w:val="300"/>
        </w:trPr>
        <w:tc>
          <w:tcPr>
            <w:tcW w:w="4923" w:type="dxa"/>
            <w:noWrap/>
          </w:tcPr>
          <w:p w14:paraId="282C76D3" w14:textId="77777777" w:rsidR="009443FF" w:rsidRPr="00486970" w:rsidRDefault="009443FF" w:rsidP="00D942BA">
            <w:pPr>
              <w:rPr>
                <w:rFonts w:cstheme="minorHAnsi"/>
                <w:sz w:val="20"/>
                <w:szCs w:val="20"/>
              </w:rPr>
            </w:pPr>
            <w:r w:rsidRPr="00486970">
              <w:rPr>
                <w:rFonts w:cstheme="minorHAnsi"/>
                <w:sz w:val="20"/>
                <w:szCs w:val="20"/>
              </w:rPr>
              <w:t>Artesunate (60 mg injection or 100 mg rectal dose form)</w:t>
            </w:r>
          </w:p>
        </w:tc>
        <w:tc>
          <w:tcPr>
            <w:tcW w:w="1540" w:type="dxa"/>
            <w:noWrap/>
          </w:tcPr>
          <w:p w14:paraId="4CD74F39" w14:textId="77777777" w:rsidR="009443FF" w:rsidRPr="00486970" w:rsidRDefault="009443FF" w:rsidP="00D942BA">
            <w:pPr>
              <w:rPr>
                <w:rFonts w:cstheme="minorHAnsi"/>
                <w:sz w:val="20"/>
                <w:szCs w:val="20"/>
              </w:rPr>
            </w:pPr>
            <w:r w:rsidRPr="00486970">
              <w:rPr>
                <w:rFonts w:cstheme="minorHAnsi"/>
                <w:sz w:val="20"/>
                <w:szCs w:val="20"/>
              </w:rPr>
              <w:t>Anti-malarial</w:t>
            </w:r>
          </w:p>
        </w:tc>
        <w:tc>
          <w:tcPr>
            <w:tcW w:w="4820" w:type="dxa"/>
            <w:noWrap/>
          </w:tcPr>
          <w:p w14:paraId="7B071DFD"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IM or rectal artesunate is recommended pre-referral treatment of suspected cases of severe malaria pending transfer to a higher level facility.</w:t>
            </w:r>
          </w:p>
          <w:p w14:paraId="5B165C68" w14:textId="77777777" w:rsidR="009443FF" w:rsidRPr="00486970" w:rsidRDefault="009443FF" w:rsidP="00D942BA">
            <w:pPr>
              <w:rPr>
                <w:rFonts w:cstheme="minorHAnsi"/>
                <w:sz w:val="20"/>
                <w:szCs w:val="20"/>
              </w:rPr>
            </w:pPr>
            <w:r w:rsidRPr="00486970">
              <w:rPr>
                <w:rFonts w:cstheme="minorHAnsi"/>
                <w:b/>
                <w:sz w:val="20"/>
                <w:szCs w:val="20"/>
              </w:rPr>
              <w:t xml:space="preserve">Treatment References: </w:t>
            </w:r>
            <w:hyperlink r:id="rId56" w:history="1">
              <w:r w:rsidRPr="00486970">
                <w:rPr>
                  <w:rFonts w:cstheme="minorHAnsi"/>
                  <w:color w:val="0000FF" w:themeColor="hyperlink"/>
                  <w:sz w:val="20"/>
                  <w:szCs w:val="20"/>
                  <w:u w:val="single"/>
                </w:rPr>
                <w:t>WHO Guidelines for the Treatment of Malaria</w:t>
              </w:r>
            </w:hyperlink>
          </w:p>
          <w:p w14:paraId="03E3F866" w14:textId="77777777" w:rsidR="009443FF" w:rsidRPr="00486970" w:rsidRDefault="009443FF" w:rsidP="00D942BA">
            <w:pPr>
              <w:rPr>
                <w:rFonts w:cstheme="minorHAnsi"/>
                <w:b/>
                <w:sz w:val="20"/>
                <w:szCs w:val="20"/>
              </w:rPr>
            </w:pPr>
            <w:r w:rsidRPr="00486970">
              <w:rPr>
                <w:rFonts w:cstheme="minorHAnsi"/>
                <w:b/>
                <w:sz w:val="20"/>
                <w:szCs w:val="20"/>
              </w:rPr>
              <w:t>More information in WHO EML 2017 Section Reference:</w:t>
            </w:r>
            <w:r w:rsidRPr="00486970">
              <w:rPr>
                <w:rFonts w:cstheme="minorHAnsi"/>
                <w:sz w:val="20"/>
                <w:szCs w:val="20"/>
              </w:rPr>
              <w:t xml:space="preserve"> 6.5.3.1</w:t>
            </w:r>
          </w:p>
        </w:tc>
      </w:tr>
      <w:tr w:rsidR="009443FF" w:rsidRPr="00486970" w14:paraId="767CDAD0" w14:textId="77777777" w:rsidTr="00D942BA">
        <w:trPr>
          <w:trHeight w:val="300"/>
        </w:trPr>
        <w:tc>
          <w:tcPr>
            <w:tcW w:w="4923" w:type="dxa"/>
            <w:noWrap/>
            <w:hideMark/>
          </w:tcPr>
          <w:p w14:paraId="7D2035BA" w14:textId="77777777" w:rsidR="009443FF" w:rsidRPr="00486970" w:rsidRDefault="009443FF" w:rsidP="00D942BA">
            <w:pPr>
              <w:rPr>
                <w:rFonts w:cstheme="minorHAnsi"/>
                <w:sz w:val="20"/>
                <w:szCs w:val="20"/>
              </w:rPr>
            </w:pPr>
            <w:r w:rsidRPr="00486970">
              <w:rPr>
                <w:rFonts w:cstheme="minorHAnsi"/>
                <w:sz w:val="20"/>
                <w:szCs w:val="20"/>
              </w:rPr>
              <w:t xml:space="preserve">Combination anti-retroviral therapy for first line treatment of HIV </w:t>
            </w:r>
          </w:p>
          <w:p w14:paraId="57BA0B91" w14:textId="77777777" w:rsidR="009443FF" w:rsidRPr="00486970" w:rsidRDefault="009443FF" w:rsidP="00D942BA">
            <w:pPr>
              <w:rPr>
                <w:rFonts w:cstheme="minorHAnsi"/>
                <w:sz w:val="20"/>
                <w:szCs w:val="20"/>
              </w:rPr>
            </w:pPr>
            <w:r w:rsidRPr="00486970">
              <w:rPr>
                <w:rFonts w:cstheme="minorHAnsi"/>
                <w:sz w:val="20"/>
                <w:szCs w:val="20"/>
              </w:rPr>
              <w:t>One of the following combinations individually for concomitant use or in fixed-dose combination:</w:t>
            </w:r>
          </w:p>
          <w:p w14:paraId="175AA234" w14:textId="77777777" w:rsidR="009443FF" w:rsidRPr="00486970" w:rsidRDefault="009443FF" w:rsidP="00D942BA">
            <w:pPr>
              <w:rPr>
                <w:rFonts w:cstheme="minorHAnsi"/>
                <w:sz w:val="20"/>
                <w:szCs w:val="20"/>
              </w:rPr>
            </w:pPr>
          </w:p>
          <w:p w14:paraId="0B0D6748" w14:textId="77777777" w:rsidR="009443FF" w:rsidRPr="003B6F65" w:rsidRDefault="009443FF" w:rsidP="00D942BA">
            <w:pPr>
              <w:rPr>
                <w:rFonts w:cstheme="minorHAnsi"/>
                <w:sz w:val="20"/>
                <w:szCs w:val="20"/>
                <w:lang w:val="fr-FR"/>
              </w:rPr>
            </w:pPr>
            <w:r w:rsidRPr="003B6F65">
              <w:rPr>
                <w:rFonts w:cstheme="minorHAnsi"/>
                <w:sz w:val="20"/>
                <w:szCs w:val="20"/>
                <w:lang w:val="fr-FR"/>
              </w:rPr>
              <w:t>1. Efavirenz (400 mg or 600 mg) + Emtricitabine (200 mg) + Tenofovir disoproxil fumarate (300 mg)</w:t>
            </w:r>
          </w:p>
          <w:p w14:paraId="1C3FE616" w14:textId="77777777" w:rsidR="009443FF" w:rsidRPr="003B6F65" w:rsidRDefault="009443FF" w:rsidP="00D942BA">
            <w:pPr>
              <w:rPr>
                <w:rFonts w:cstheme="minorHAnsi"/>
                <w:sz w:val="20"/>
                <w:szCs w:val="20"/>
                <w:lang w:val="fr-FR"/>
              </w:rPr>
            </w:pPr>
          </w:p>
          <w:p w14:paraId="5A6AA4EB" w14:textId="77777777" w:rsidR="009443FF" w:rsidRPr="003B6F65" w:rsidRDefault="009443FF" w:rsidP="00D942BA">
            <w:pPr>
              <w:rPr>
                <w:rFonts w:cstheme="minorHAnsi"/>
                <w:sz w:val="20"/>
                <w:szCs w:val="20"/>
                <w:lang w:val="fr-FR"/>
              </w:rPr>
            </w:pPr>
            <w:r w:rsidRPr="003B6F65">
              <w:rPr>
                <w:rFonts w:cstheme="minorHAnsi"/>
                <w:sz w:val="20"/>
                <w:szCs w:val="20"/>
                <w:lang w:val="fr-FR"/>
              </w:rPr>
              <w:t>2. Efavirenz (400 mg or 600 mg) + Lamivudine (300 mg) + Tenofovir disoproxil fumarate (300 mg)</w:t>
            </w:r>
          </w:p>
        </w:tc>
        <w:tc>
          <w:tcPr>
            <w:tcW w:w="1540" w:type="dxa"/>
            <w:noWrap/>
            <w:hideMark/>
          </w:tcPr>
          <w:p w14:paraId="4845BDC9" w14:textId="77777777" w:rsidR="009443FF" w:rsidRPr="00486970" w:rsidRDefault="009443FF" w:rsidP="00D942BA">
            <w:pPr>
              <w:rPr>
                <w:rFonts w:cstheme="minorHAnsi"/>
                <w:sz w:val="20"/>
                <w:szCs w:val="20"/>
              </w:rPr>
            </w:pPr>
            <w:r w:rsidRPr="00486970">
              <w:rPr>
                <w:rFonts w:cstheme="minorHAnsi"/>
                <w:sz w:val="20"/>
                <w:szCs w:val="20"/>
              </w:rPr>
              <w:t>Antiretroviral</w:t>
            </w:r>
          </w:p>
        </w:tc>
        <w:tc>
          <w:tcPr>
            <w:tcW w:w="4820" w:type="dxa"/>
            <w:noWrap/>
            <w:hideMark/>
          </w:tcPr>
          <w:p w14:paraId="368EAFDF"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Efavirenz/Emtricitabine/Tenofovir is the preferred fixed-dose combination antiretroviral therapies for treatment of HIV in adults, pregnant or breastfeeding women, and adolescents. </w:t>
            </w:r>
          </w:p>
          <w:p w14:paraId="1AFDCE6A" w14:textId="77777777" w:rsidR="009443FF" w:rsidRPr="00486970" w:rsidRDefault="009443FF" w:rsidP="00D942BA">
            <w:pPr>
              <w:rPr>
                <w:rFonts w:cstheme="minorHAnsi"/>
                <w:sz w:val="20"/>
                <w:szCs w:val="20"/>
              </w:rPr>
            </w:pPr>
            <w:r w:rsidRPr="00486970">
              <w:rPr>
                <w:rFonts w:cstheme="minorHAnsi"/>
                <w:b/>
                <w:sz w:val="20"/>
                <w:szCs w:val="20"/>
              </w:rPr>
              <w:t xml:space="preserve">Treatment References: </w:t>
            </w:r>
            <w:hyperlink r:id="rId57" w:history="1">
              <w:r w:rsidRPr="00486970">
                <w:rPr>
                  <w:rFonts w:cstheme="minorHAnsi"/>
                  <w:color w:val="0000FF" w:themeColor="hyperlink"/>
                  <w:sz w:val="20"/>
                  <w:szCs w:val="20"/>
                  <w:u w:val="single"/>
                </w:rPr>
                <w:t>WHO Consolidated Guidelines on the Use of Antiretroviral Drugs for Treating and Preventing HIV Infection</w:t>
              </w:r>
            </w:hyperlink>
          </w:p>
          <w:p w14:paraId="15E4682A" w14:textId="77777777" w:rsidR="009443FF" w:rsidRPr="00486970" w:rsidRDefault="009443FF" w:rsidP="00D942BA">
            <w:pPr>
              <w:rPr>
                <w:rFonts w:cstheme="minorHAnsi"/>
                <w:sz w:val="20"/>
                <w:szCs w:val="20"/>
              </w:rPr>
            </w:pPr>
            <w:r w:rsidRPr="00486970">
              <w:rPr>
                <w:rFonts w:cstheme="minorHAnsi"/>
                <w:b/>
                <w:sz w:val="20"/>
                <w:szCs w:val="20"/>
              </w:rPr>
              <w:t>More information in WHO EML 2017 Section Reference:</w:t>
            </w:r>
            <w:r w:rsidRPr="00486970">
              <w:rPr>
                <w:rFonts w:cstheme="minorHAnsi"/>
                <w:sz w:val="20"/>
                <w:szCs w:val="20"/>
              </w:rPr>
              <w:t xml:space="preserve"> 6.4.2.4</w:t>
            </w:r>
          </w:p>
        </w:tc>
      </w:tr>
      <w:tr w:rsidR="009443FF" w:rsidRPr="00486970" w14:paraId="162208BE" w14:textId="77777777" w:rsidTr="00D942BA">
        <w:trPr>
          <w:trHeight w:val="300"/>
        </w:trPr>
        <w:tc>
          <w:tcPr>
            <w:tcW w:w="4923" w:type="dxa"/>
            <w:noWrap/>
          </w:tcPr>
          <w:p w14:paraId="2EE34950" w14:textId="77777777" w:rsidR="009443FF" w:rsidRPr="00486970" w:rsidRDefault="009443FF" w:rsidP="00D942BA">
            <w:pPr>
              <w:rPr>
                <w:rFonts w:cstheme="minorHAnsi"/>
                <w:sz w:val="20"/>
                <w:szCs w:val="20"/>
              </w:rPr>
            </w:pPr>
            <w:r w:rsidRPr="00486970">
              <w:rPr>
                <w:rFonts w:cstheme="minorHAnsi"/>
                <w:sz w:val="20"/>
                <w:szCs w:val="20"/>
              </w:rPr>
              <w:t>Ibuprofen (200mg tablet)</w:t>
            </w:r>
          </w:p>
        </w:tc>
        <w:tc>
          <w:tcPr>
            <w:tcW w:w="1540" w:type="dxa"/>
            <w:noWrap/>
          </w:tcPr>
          <w:p w14:paraId="60803D54" w14:textId="77777777" w:rsidR="009443FF" w:rsidRPr="00486970" w:rsidRDefault="009443FF" w:rsidP="00D942BA">
            <w:pPr>
              <w:rPr>
                <w:rFonts w:cstheme="minorHAnsi"/>
                <w:sz w:val="20"/>
                <w:szCs w:val="20"/>
              </w:rPr>
            </w:pPr>
            <w:r w:rsidRPr="00486970">
              <w:rPr>
                <w:rFonts w:cstheme="minorHAnsi"/>
                <w:sz w:val="20"/>
                <w:szCs w:val="20"/>
              </w:rPr>
              <w:t>Pain and Palliative Care</w:t>
            </w:r>
          </w:p>
        </w:tc>
        <w:tc>
          <w:tcPr>
            <w:tcW w:w="4820" w:type="dxa"/>
            <w:noWrap/>
          </w:tcPr>
          <w:p w14:paraId="32BDB35B"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Ibuprofen, a non-steroidal anti-inflammatory drug, is a first choice medicine in the treatment of mild pain. </w:t>
            </w:r>
          </w:p>
          <w:p w14:paraId="32967CDB" w14:textId="77777777" w:rsidR="009443FF" w:rsidRPr="00486970" w:rsidRDefault="009443FF" w:rsidP="00D942BA">
            <w:pPr>
              <w:rPr>
                <w:rFonts w:cstheme="minorHAnsi"/>
                <w:sz w:val="20"/>
                <w:szCs w:val="20"/>
              </w:rPr>
            </w:pPr>
            <w:r w:rsidRPr="00486970">
              <w:rPr>
                <w:rFonts w:cstheme="minorHAnsi"/>
                <w:b/>
                <w:sz w:val="20"/>
                <w:szCs w:val="20"/>
              </w:rPr>
              <w:t xml:space="preserve">Treatment References:  </w:t>
            </w:r>
            <w:hyperlink r:id="rId58" w:history="1">
              <w:r w:rsidRPr="00486970">
                <w:rPr>
                  <w:rFonts w:cstheme="minorHAnsi"/>
                  <w:color w:val="0000FF" w:themeColor="hyperlink"/>
                  <w:sz w:val="20"/>
                  <w:szCs w:val="20"/>
                  <w:u w:val="single"/>
                </w:rPr>
                <w:t>WHO Guidelines on the pharmacological treatment of persisting pain in children with medical illnesses</w:t>
              </w:r>
            </w:hyperlink>
          </w:p>
          <w:p w14:paraId="5240AC62" w14:textId="77777777" w:rsidR="009443FF" w:rsidRPr="00486970" w:rsidRDefault="009443FF" w:rsidP="00D942BA">
            <w:pPr>
              <w:rPr>
                <w:rFonts w:cstheme="minorHAnsi"/>
                <w:b/>
                <w:sz w:val="20"/>
                <w:szCs w:val="20"/>
              </w:rPr>
            </w:pPr>
            <w:r w:rsidRPr="00486970">
              <w:rPr>
                <w:rFonts w:cstheme="minorHAnsi"/>
                <w:b/>
                <w:sz w:val="20"/>
                <w:szCs w:val="20"/>
              </w:rPr>
              <w:lastRenderedPageBreak/>
              <w:t>More information in WHO EML 2017 Section Reference:</w:t>
            </w:r>
            <w:r w:rsidRPr="00486970">
              <w:rPr>
                <w:rFonts w:cstheme="minorHAnsi"/>
                <w:sz w:val="20"/>
                <w:szCs w:val="20"/>
              </w:rPr>
              <w:t xml:space="preserve"> 2.1</w:t>
            </w:r>
          </w:p>
        </w:tc>
      </w:tr>
      <w:tr w:rsidR="009443FF" w:rsidRPr="00486970" w14:paraId="629A374A" w14:textId="77777777" w:rsidTr="00D942BA">
        <w:trPr>
          <w:trHeight w:val="300"/>
        </w:trPr>
        <w:tc>
          <w:tcPr>
            <w:tcW w:w="4923" w:type="dxa"/>
            <w:noWrap/>
          </w:tcPr>
          <w:p w14:paraId="32B60C09" w14:textId="77777777" w:rsidR="009443FF" w:rsidRPr="00486970" w:rsidRDefault="009443FF" w:rsidP="00D942BA">
            <w:pPr>
              <w:rPr>
                <w:rFonts w:cstheme="minorHAnsi"/>
                <w:sz w:val="20"/>
                <w:szCs w:val="20"/>
              </w:rPr>
            </w:pPr>
            <w:r w:rsidRPr="00486970">
              <w:rPr>
                <w:rFonts w:cstheme="minorHAnsi"/>
                <w:sz w:val="20"/>
                <w:szCs w:val="20"/>
              </w:rPr>
              <w:lastRenderedPageBreak/>
              <w:t xml:space="preserve">Chlorhexidine </w:t>
            </w:r>
          </w:p>
          <w:p w14:paraId="0CF872CA" w14:textId="77777777" w:rsidR="009443FF" w:rsidRPr="00486970" w:rsidRDefault="009443FF" w:rsidP="00D942BA">
            <w:pPr>
              <w:rPr>
                <w:rFonts w:cstheme="minorHAnsi"/>
                <w:sz w:val="20"/>
                <w:szCs w:val="20"/>
              </w:rPr>
            </w:pPr>
            <w:r w:rsidRPr="00486970">
              <w:rPr>
                <w:rFonts w:cstheme="minorHAnsi"/>
                <w:sz w:val="20"/>
                <w:szCs w:val="20"/>
              </w:rPr>
              <w:t>Solution  or gel: 7.1% (digluconate) delivering 4% chlorhexidine</w:t>
            </w:r>
          </w:p>
        </w:tc>
        <w:tc>
          <w:tcPr>
            <w:tcW w:w="1540" w:type="dxa"/>
            <w:noWrap/>
          </w:tcPr>
          <w:p w14:paraId="325867BB" w14:textId="77777777" w:rsidR="009443FF" w:rsidRPr="00486970" w:rsidRDefault="009443FF" w:rsidP="00D942BA">
            <w:pPr>
              <w:rPr>
                <w:rFonts w:cstheme="minorHAnsi"/>
                <w:sz w:val="20"/>
                <w:szCs w:val="20"/>
              </w:rPr>
            </w:pPr>
            <w:r w:rsidRPr="00486970">
              <w:rPr>
                <w:rFonts w:cstheme="minorHAnsi"/>
                <w:sz w:val="20"/>
                <w:szCs w:val="20"/>
              </w:rPr>
              <w:t>Neonatal care</w:t>
            </w:r>
          </w:p>
        </w:tc>
        <w:tc>
          <w:tcPr>
            <w:tcW w:w="4820" w:type="dxa"/>
            <w:noWrap/>
          </w:tcPr>
          <w:p w14:paraId="04903B31" w14:textId="77777777" w:rsidR="009443FF" w:rsidRPr="00486970" w:rsidRDefault="009443FF" w:rsidP="00D942BA">
            <w:pPr>
              <w:rPr>
                <w:rFonts w:cstheme="minorHAnsi"/>
                <w:bCs/>
                <w:sz w:val="20"/>
                <w:szCs w:val="20"/>
              </w:rPr>
            </w:pPr>
            <w:r w:rsidRPr="00486970">
              <w:rPr>
                <w:rFonts w:cstheme="minorHAnsi"/>
                <w:b/>
                <w:sz w:val="20"/>
                <w:szCs w:val="20"/>
              </w:rPr>
              <w:t>Rationale:</w:t>
            </w:r>
            <w:r w:rsidRPr="00486970">
              <w:rPr>
                <w:rFonts w:cstheme="minorHAnsi"/>
              </w:rPr>
              <w:t xml:space="preserve"> </w:t>
            </w:r>
            <w:r w:rsidRPr="00486970">
              <w:rPr>
                <w:rFonts w:cstheme="minorHAnsi"/>
                <w:bCs/>
                <w:sz w:val="20"/>
                <w:szCs w:val="20"/>
              </w:rPr>
              <w:t>A recommended antiseptic that should be applied to the umbilical cord in cases of unclean delivery, and if the traditional practices in place increase the risk of cord infection</w:t>
            </w:r>
          </w:p>
          <w:p w14:paraId="2C3B7A81" w14:textId="77777777" w:rsidR="009443FF" w:rsidRPr="00486970" w:rsidRDefault="009443FF" w:rsidP="00D942BA">
            <w:pPr>
              <w:rPr>
                <w:rFonts w:cstheme="minorHAnsi"/>
                <w:b/>
                <w:sz w:val="20"/>
                <w:szCs w:val="20"/>
              </w:rPr>
            </w:pPr>
            <w:r w:rsidRPr="00486970">
              <w:rPr>
                <w:rFonts w:cstheme="minorHAnsi"/>
                <w:b/>
                <w:sz w:val="20"/>
                <w:szCs w:val="20"/>
              </w:rPr>
              <w:t xml:space="preserve">Treatment References: </w:t>
            </w:r>
            <w:hyperlink r:id="rId59" w:history="1">
              <w:r w:rsidRPr="00486970">
                <w:rPr>
                  <w:rFonts w:cstheme="minorHAnsi"/>
                  <w:bCs/>
                  <w:color w:val="0000FF" w:themeColor="hyperlink"/>
                  <w:sz w:val="20"/>
                  <w:szCs w:val="20"/>
                  <w:u w:val="single"/>
                </w:rPr>
                <w:t>Review of the available evidence on 4% chlorhexidine solution for umbilical cord care</w:t>
              </w:r>
            </w:hyperlink>
          </w:p>
          <w:p w14:paraId="00D76715" w14:textId="77777777" w:rsidR="009443FF" w:rsidRPr="00486970" w:rsidRDefault="009443FF" w:rsidP="00D942BA">
            <w:pPr>
              <w:rPr>
                <w:rFonts w:cstheme="minorHAnsi"/>
                <w:b/>
                <w:sz w:val="20"/>
                <w:szCs w:val="20"/>
              </w:rPr>
            </w:pPr>
            <w:r w:rsidRPr="00486970">
              <w:rPr>
                <w:rFonts w:cstheme="minorHAnsi"/>
                <w:b/>
                <w:sz w:val="20"/>
                <w:szCs w:val="20"/>
              </w:rPr>
              <w:t>More information in WHO EML 2017 Section Reference:</w:t>
            </w:r>
            <w:r w:rsidRPr="00486970">
              <w:rPr>
                <w:rFonts w:cstheme="minorHAnsi"/>
                <w:sz w:val="20"/>
                <w:szCs w:val="20"/>
              </w:rPr>
              <w:t xml:space="preserve"> 29.1</w:t>
            </w:r>
          </w:p>
        </w:tc>
      </w:tr>
      <w:tr w:rsidR="009443FF" w:rsidRPr="00486970" w14:paraId="5F783951" w14:textId="77777777" w:rsidTr="00D942BA">
        <w:trPr>
          <w:trHeight w:val="300"/>
        </w:trPr>
        <w:tc>
          <w:tcPr>
            <w:tcW w:w="4923" w:type="dxa"/>
            <w:noWrap/>
          </w:tcPr>
          <w:p w14:paraId="51480798" w14:textId="77777777" w:rsidR="009443FF" w:rsidRPr="00486970" w:rsidRDefault="009443FF" w:rsidP="00D942BA">
            <w:pPr>
              <w:rPr>
                <w:rFonts w:cstheme="minorHAnsi"/>
                <w:sz w:val="20"/>
                <w:szCs w:val="20"/>
              </w:rPr>
            </w:pPr>
            <w:r w:rsidRPr="00486970">
              <w:rPr>
                <w:rFonts w:cstheme="minorHAnsi"/>
                <w:sz w:val="20"/>
                <w:szCs w:val="20"/>
              </w:rPr>
              <w:t>Ready-to-use therapeutic food (RUTF),</w:t>
            </w:r>
          </w:p>
          <w:p w14:paraId="5358453C" w14:textId="77777777" w:rsidR="009443FF" w:rsidRPr="00486970" w:rsidRDefault="009443FF" w:rsidP="00D942BA">
            <w:pPr>
              <w:rPr>
                <w:rFonts w:cstheme="minorHAnsi"/>
                <w:sz w:val="20"/>
                <w:szCs w:val="20"/>
              </w:rPr>
            </w:pPr>
            <w:r w:rsidRPr="00486970">
              <w:rPr>
                <w:rFonts w:cstheme="minorHAnsi"/>
                <w:sz w:val="20"/>
                <w:szCs w:val="20"/>
              </w:rPr>
              <w:t xml:space="preserve">paste or spread (1 sachet = 92 g [500 Kcal]) </w:t>
            </w:r>
          </w:p>
          <w:p w14:paraId="7C64E1AA" w14:textId="77777777" w:rsidR="009443FF" w:rsidRPr="00486970" w:rsidRDefault="009443FF" w:rsidP="00D942BA">
            <w:pPr>
              <w:rPr>
                <w:rFonts w:cstheme="minorHAnsi"/>
                <w:sz w:val="20"/>
                <w:szCs w:val="20"/>
              </w:rPr>
            </w:pPr>
            <w:r w:rsidRPr="00486970">
              <w:rPr>
                <w:rFonts w:cstheme="minorHAnsi"/>
                <w:sz w:val="20"/>
                <w:szCs w:val="20"/>
              </w:rPr>
              <w:t>or</w:t>
            </w:r>
          </w:p>
          <w:p w14:paraId="453232EA" w14:textId="77777777" w:rsidR="009443FF" w:rsidRPr="00486970" w:rsidRDefault="009443FF" w:rsidP="00D942BA">
            <w:pPr>
              <w:rPr>
                <w:rFonts w:cstheme="minorHAnsi"/>
                <w:sz w:val="20"/>
                <w:szCs w:val="20"/>
              </w:rPr>
            </w:pPr>
            <w:r w:rsidRPr="00486970">
              <w:rPr>
                <w:rFonts w:cstheme="minorHAnsi"/>
                <w:sz w:val="20"/>
                <w:szCs w:val="20"/>
              </w:rPr>
              <w:t>biscuit (28.4g, 500 kcal per 100g)</w:t>
            </w:r>
          </w:p>
        </w:tc>
        <w:tc>
          <w:tcPr>
            <w:tcW w:w="1540" w:type="dxa"/>
            <w:noWrap/>
          </w:tcPr>
          <w:p w14:paraId="31D81419" w14:textId="77777777" w:rsidR="009443FF" w:rsidRPr="00486970" w:rsidRDefault="009443FF" w:rsidP="00D942BA">
            <w:pPr>
              <w:rPr>
                <w:rFonts w:cstheme="minorHAnsi"/>
                <w:sz w:val="20"/>
                <w:szCs w:val="20"/>
              </w:rPr>
            </w:pPr>
            <w:r w:rsidRPr="00486970">
              <w:rPr>
                <w:rFonts w:cstheme="minorHAnsi"/>
                <w:sz w:val="20"/>
                <w:szCs w:val="20"/>
              </w:rPr>
              <w:t>Nutrition</w:t>
            </w:r>
          </w:p>
        </w:tc>
        <w:tc>
          <w:tcPr>
            <w:tcW w:w="4820" w:type="dxa"/>
            <w:noWrap/>
          </w:tcPr>
          <w:p w14:paraId="4987DBCC" w14:textId="77777777" w:rsidR="009443FF" w:rsidRPr="00486970" w:rsidRDefault="009443FF" w:rsidP="00D942BA">
            <w:pPr>
              <w:rPr>
                <w:rFonts w:cstheme="minorHAnsi"/>
                <w:bCs/>
                <w:sz w:val="20"/>
                <w:szCs w:val="20"/>
              </w:rPr>
            </w:pPr>
            <w:r w:rsidRPr="00486970">
              <w:rPr>
                <w:rFonts w:cstheme="minorHAnsi"/>
                <w:b/>
                <w:sz w:val="20"/>
                <w:szCs w:val="20"/>
              </w:rPr>
              <w:t>Rationale:</w:t>
            </w:r>
            <w:r w:rsidRPr="00486970">
              <w:rPr>
                <w:rFonts w:cstheme="minorHAnsi"/>
              </w:rPr>
              <w:t xml:space="preserve"> </w:t>
            </w:r>
            <w:r w:rsidRPr="00486970">
              <w:rPr>
                <w:rFonts w:cstheme="minorHAnsi"/>
                <w:bCs/>
                <w:sz w:val="20"/>
                <w:szCs w:val="20"/>
              </w:rPr>
              <w:t>Energy-dense, micronutrient enhanced pastes used in therapeutic feeding for the community-based management of children who are suffering from uncomplicated severe acute malnutrition and who retain an appetite. Is provided as the therapeutic food in the rehabilitation phase (following F-75 in the stabilization phase)</w:t>
            </w:r>
          </w:p>
          <w:p w14:paraId="7C07FD58" w14:textId="77777777" w:rsidR="009443FF" w:rsidRPr="00486970" w:rsidRDefault="009443FF" w:rsidP="00D942BA">
            <w:pPr>
              <w:rPr>
                <w:rFonts w:cstheme="minorHAnsi"/>
                <w:color w:val="0000FF" w:themeColor="hyperlink"/>
                <w:u w:val="single"/>
              </w:rPr>
            </w:pPr>
            <w:r w:rsidRPr="00486970">
              <w:rPr>
                <w:rFonts w:cstheme="minorHAnsi"/>
                <w:b/>
                <w:sz w:val="20"/>
                <w:szCs w:val="20"/>
              </w:rPr>
              <w:t>Treatment References:</w:t>
            </w:r>
            <w:r w:rsidRPr="00486970">
              <w:rPr>
                <w:rFonts w:cstheme="minorHAnsi"/>
              </w:rPr>
              <w:t xml:space="preserve"> </w:t>
            </w:r>
            <w:hyperlink r:id="rId60" w:history="1">
              <w:r w:rsidRPr="00486970">
                <w:rPr>
                  <w:rFonts w:cstheme="minorHAnsi"/>
                  <w:color w:val="0000FF" w:themeColor="hyperlink"/>
                  <w:u w:val="single"/>
                </w:rPr>
                <w:t>WHO Guideline: Updates on the management of severe acute malnutrition in infants and children. 2013</w:t>
              </w:r>
            </w:hyperlink>
          </w:p>
          <w:p w14:paraId="598F09CF" w14:textId="77777777" w:rsidR="009443FF" w:rsidRPr="00486970" w:rsidRDefault="009443FF" w:rsidP="00D942BA">
            <w:pPr>
              <w:rPr>
                <w:rFonts w:cstheme="minorHAnsi"/>
                <w:b/>
                <w:sz w:val="20"/>
                <w:szCs w:val="20"/>
              </w:rPr>
            </w:pPr>
            <w:r w:rsidRPr="00486970">
              <w:rPr>
                <w:rFonts w:cstheme="minorHAnsi"/>
                <w:b/>
                <w:sz w:val="20"/>
                <w:szCs w:val="20"/>
              </w:rPr>
              <w:t>More information in WHO EML 2017:</w:t>
            </w:r>
            <w:r w:rsidRPr="00486970">
              <w:rPr>
                <w:rFonts w:cstheme="minorHAnsi"/>
                <w:sz w:val="20"/>
                <w:szCs w:val="20"/>
              </w:rPr>
              <w:t xml:space="preserve"> Not currently included</w:t>
            </w:r>
          </w:p>
        </w:tc>
      </w:tr>
      <w:tr w:rsidR="009443FF" w:rsidRPr="00486970" w14:paraId="36F2B493" w14:textId="77777777" w:rsidTr="00D942BA">
        <w:trPr>
          <w:trHeight w:val="300"/>
        </w:trPr>
        <w:tc>
          <w:tcPr>
            <w:tcW w:w="4923" w:type="dxa"/>
            <w:noWrap/>
          </w:tcPr>
          <w:p w14:paraId="223BC094" w14:textId="77777777" w:rsidR="009443FF" w:rsidRPr="00486970" w:rsidRDefault="009443FF" w:rsidP="00D942BA">
            <w:pPr>
              <w:rPr>
                <w:rFonts w:cstheme="minorHAnsi"/>
                <w:sz w:val="20"/>
                <w:szCs w:val="20"/>
              </w:rPr>
            </w:pPr>
            <w:r w:rsidRPr="00486970">
              <w:rPr>
                <w:rFonts w:cstheme="minorHAnsi"/>
                <w:sz w:val="20"/>
                <w:szCs w:val="20"/>
              </w:rPr>
              <w:t>Isoniazid + pyrazinamide + rifampicin (50 mg + 150 mg + 75 mg)</w:t>
            </w:r>
          </w:p>
          <w:p w14:paraId="6957B3AC" w14:textId="77777777" w:rsidR="009443FF" w:rsidRPr="00486970" w:rsidRDefault="009443FF" w:rsidP="00D942BA">
            <w:pPr>
              <w:rPr>
                <w:rFonts w:cstheme="minorHAnsi"/>
                <w:sz w:val="20"/>
                <w:szCs w:val="20"/>
              </w:rPr>
            </w:pPr>
          </w:p>
          <w:p w14:paraId="6494B961" w14:textId="77777777" w:rsidR="009443FF" w:rsidRPr="00486970" w:rsidRDefault="009443FF" w:rsidP="00D942BA">
            <w:pPr>
              <w:rPr>
                <w:rFonts w:cstheme="minorHAnsi"/>
                <w:sz w:val="20"/>
                <w:szCs w:val="20"/>
              </w:rPr>
            </w:pPr>
          </w:p>
        </w:tc>
        <w:tc>
          <w:tcPr>
            <w:tcW w:w="1540" w:type="dxa"/>
            <w:noWrap/>
          </w:tcPr>
          <w:p w14:paraId="3898ADA8" w14:textId="77777777" w:rsidR="009443FF" w:rsidRPr="00486970" w:rsidRDefault="009443FF" w:rsidP="00D942BA">
            <w:pPr>
              <w:rPr>
                <w:rFonts w:cstheme="minorHAnsi"/>
                <w:sz w:val="20"/>
                <w:szCs w:val="20"/>
              </w:rPr>
            </w:pPr>
            <w:r w:rsidRPr="00486970">
              <w:rPr>
                <w:rFonts w:cstheme="minorHAnsi"/>
                <w:sz w:val="20"/>
                <w:szCs w:val="20"/>
              </w:rPr>
              <w:t>Antituberculosis</w:t>
            </w:r>
          </w:p>
        </w:tc>
        <w:tc>
          <w:tcPr>
            <w:tcW w:w="4820" w:type="dxa"/>
            <w:noWrap/>
          </w:tcPr>
          <w:p w14:paraId="544AE3B1" w14:textId="77777777" w:rsidR="009443FF" w:rsidRPr="00486970" w:rsidRDefault="009443FF" w:rsidP="00D942BA">
            <w:pPr>
              <w:rPr>
                <w:rFonts w:cstheme="minorHAnsi"/>
                <w:b/>
                <w:sz w:val="20"/>
                <w:szCs w:val="20"/>
              </w:rPr>
            </w:pPr>
            <w:r w:rsidRPr="00486970">
              <w:rPr>
                <w:rFonts w:cstheme="minorHAnsi"/>
                <w:b/>
                <w:sz w:val="20"/>
                <w:szCs w:val="20"/>
              </w:rPr>
              <w:t xml:space="preserve">Rationale: </w:t>
            </w:r>
            <w:r w:rsidRPr="00486970">
              <w:rPr>
                <w:rFonts w:cstheme="minorHAnsi"/>
                <w:sz w:val="20"/>
                <w:szCs w:val="20"/>
              </w:rPr>
              <w:t>Isoniazid + pyrazinamide + rifampicin  is recommended as fixed-dose combination therapy for the intensive phase of treatment of drug-susceptible tuberculosis in children.</w:t>
            </w:r>
          </w:p>
          <w:p w14:paraId="580DD916" w14:textId="77777777" w:rsidR="009443FF" w:rsidRPr="00486970" w:rsidRDefault="009443FF" w:rsidP="00D942BA">
            <w:pPr>
              <w:rPr>
                <w:rFonts w:cstheme="minorHAnsi"/>
                <w:color w:val="0000FF" w:themeColor="hyperlink"/>
                <w:sz w:val="20"/>
                <w:szCs w:val="20"/>
                <w:u w:val="single"/>
              </w:rPr>
            </w:pPr>
            <w:r w:rsidRPr="00486970">
              <w:rPr>
                <w:rFonts w:cstheme="minorHAnsi"/>
                <w:b/>
                <w:sz w:val="20"/>
                <w:szCs w:val="20"/>
              </w:rPr>
              <w:t xml:space="preserve">Treatment References: </w:t>
            </w:r>
            <w:r w:rsidRPr="00486970">
              <w:rPr>
                <w:rFonts w:cstheme="minorHAnsi"/>
                <w:sz w:val="20"/>
                <w:szCs w:val="20"/>
              </w:rPr>
              <w:fldChar w:fldCharType="begin"/>
            </w:r>
            <w:r w:rsidRPr="00486970">
              <w:rPr>
                <w:rFonts w:cstheme="minorHAnsi"/>
                <w:sz w:val="20"/>
                <w:szCs w:val="20"/>
              </w:rPr>
              <w:instrText xml:space="preserve"> HYPERLINK "http://apps.who.int/medicinedocs/documents/s21535en/s21535en.pdf" </w:instrText>
            </w:r>
            <w:r w:rsidRPr="00486970">
              <w:rPr>
                <w:rFonts w:cstheme="minorHAnsi"/>
                <w:sz w:val="20"/>
                <w:szCs w:val="20"/>
              </w:rPr>
              <w:fldChar w:fldCharType="separate"/>
            </w:r>
            <w:r w:rsidRPr="00486970">
              <w:rPr>
                <w:rFonts w:cstheme="minorHAnsi"/>
                <w:color w:val="0000FF" w:themeColor="hyperlink"/>
                <w:sz w:val="20"/>
                <w:szCs w:val="20"/>
                <w:u w:val="single"/>
              </w:rPr>
              <w:t>Guidance for national tuberculosis programmes on the</w:t>
            </w:r>
          </w:p>
          <w:p w14:paraId="264E0E64" w14:textId="77777777" w:rsidR="009443FF" w:rsidRPr="00486970" w:rsidRDefault="009443FF" w:rsidP="00D942BA">
            <w:pPr>
              <w:rPr>
                <w:rFonts w:cstheme="minorHAnsi"/>
                <w:sz w:val="20"/>
                <w:szCs w:val="20"/>
              </w:rPr>
            </w:pPr>
            <w:r w:rsidRPr="00486970">
              <w:rPr>
                <w:rFonts w:cstheme="minorHAnsi"/>
                <w:color w:val="0000FF" w:themeColor="hyperlink"/>
                <w:sz w:val="20"/>
                <w:szCs w:val="20"/>
                <w:u w:val="single"/>
              </w:rPr>
              <w:t>management of tuberculosis in children, 2014</w:t>
            </w:r>
            <w:r w:rsidRPr="00486970">
              <w:rPr>
                <w:rFonts w:cstheme="minorHAnsi"/>
                <w:sz w:val="20"/>
                <w:szCs w:val="20"/>
              </w:rPr>
              <w:fldChar w:fldCharType="end"/>
            </w:r>
          </w:p>
          <w:p w14:paraId="1B8ACD4D" w14:textId="77777777" w:rsidR="009443FF" w:rsidRPr="00486970" w:rsidRDefault="009443FF" w:rsidP="00D942BA">
            <w:pPr>
              <w:rPr>
                <w:rFonts w:cstheme="minorHAnsi"/>
                <w:b/>
                <w:sz w:val="20"/>
                <w:szCs w:val="20"/>
              </w:rPr>
            </w:pPr>
            <w:r w:rsidRPr="00486970">
              <w:rPr>
                <w:rFonts w:cstheme="minorHAnsi"/>
                <w:b/>
                <w:sz w:val="20"/>
                <w:szCs w:val="20"/>
              </w:rPr>
              <w:t>More information in WHO EML 2017 Section Reference:</w:t>
            </w:r>
            <w:r w:rsidRPr="00486970">
              <w:rPr>
                <w:rFonts w:cstheme="minorHAnsi"/>
                <w:sz w:val="20"/>
                <w:szCs w:val="20"/>
              </w:rPr>
              <w:t xml:space="preserve"> 6.2.4</w:t>
            </w:r>
          </w:p>
        </w:tc>
      </w:tr>
      <w:tr w:rsidR="009443FF" w:rsidRPr="00486970" w14:paraId="2F812EE0" w14:textId="77777777" w:rsidTr="00D942BA">
        <w:trPr>
          <w:trHeight w:val="300"/>
        </w:trPr>
        <w:tc>
          <w:tcPr>
            <w:tcW w:w="4923" w:type="dxa"/>
            <w:noWrap/>
          </w:tcPr>
          <w:p w14:paraId="18064EAF" w14:textId="77777777" w:rsidR="009443FF" w:rsidRPr="00486970" w:rsidRDefault="009443FF" w:rsidP="00D942BA">
            <w:pPr>
              <w:rPr>
                <w:rFonts w:cstheme="minorHAnsi"/>
                <w:sz w:val="20"/>
                <w:szCs w:val="20"/>
              </w:rPr>
            </w:pPr>
            <w:r w:rsidRPr="00486970">
              <w:rPr>
                <w:rFonts w:cstheme="minorHAnsi"/>
                <w:sz w:val="20"/>
                <w:szCs w:val="20"/>
              </w:rPr>
              <w:t>Erythropoiesis - stimulating agents.</w:t>
            </w:r>
          </w:p>
          <w:p w14:paraId="45055CE6" w14:textId="77777777" w:rsidR="009443FF" w:rsidRPr="00486970" w:rsidRDefault="009443FF" w:rsidP="00D942BA">
            <w:pPr>
              <w:rPr>
                <w:rFonts w:cstheme="minorHAnsi"/>
                <w:sz w:val="20"/>
                <w:szCs w:val="20"/>
              </w:rPr>
            </w:pPr>
            <w:r w:rsidRPr="00486970">
              <w:rPr>
                <w:rFonts w:cstheme="minorHAnsi"/>
                <w:sz w:val="20"/>
                <w:szCs w:val="20"/>
              </w:rPr>
              <w:t>One of the following:</w:t>
            </w:r>
          </w:p>
          <w:p w14:paraId="79C9CEC6" w14:textId="77777777" w:rsidR="009443FF" w:rsidRPr="00486970" w:rsidRDefault="009443FF" w:rsidP="00D942BA">
            <w:pPr>
              <w:rPr>
                <w:rFonts w:cstheme="minorHAnsi"/>
                <w:sz w:val="20"/>
                <w:szCs w:val="20"/>
              </w:rPr>
            </w:pPr>
          </w:p>
          <w:p w14:paraId="4E0E7F5C" w14:textId="77777777" w:rsidR="009443FF" w:rsidRPr="00486970" w:rsidRDefault="009443FF" w:rsidP="00D942BA">
            <w:pPr>
              <w:numPr>
                <w:ilvl w:val="0"/>
                <w:numId w:val="47"/>
              </w:numPr>
              <w:contextualSpacing/>
              <w:rPr>
                <w:rFonts w:cstheme="minorHAnsi"/>
                <w:sz w:val="20"/>
                <w:szCs w:val="20"/>
              </w:rPr>
            </w:pPr>
            <w:r w:rsidRPr="00486970">
              <w:rPr>
                <w:rFonts w:cstheme="minorHAnsi"/>
                <w:sz w:val="20"/>
                <w:szCs w:val="20"/>
              </w:rPr>
              <w:t>Epoetin alfa (2,000 IU/mL)</w:t>
            </w:r>
          </w:p>
          <w:p w14:paraId="1D38C8F6" w14:textId="77777777" w:rsidR="009443FF" w:rsidRPr="00486970" w:rsidRDefault="009443FF" w:rsidP="00D942BA">
            <w:pPr>
              <w:numPr>
                <w:ilvl w:val="0"/>
                <w:numId w:val="47"/>
              </w:numPr>
              <w:contextualSpacing/>
              <w:rPr>
                <w:rFonts w:cstheme="minorHAnsi"/>
                <w:sz w:val="20"/>
                <w:szCs w:val="20"/>
              </w:rPr>
            </w:pPr>
            <w:r w:rsidRPr="00486970">
              <w:rPr>
                <w:rFonts w:cstheme="minorHAnsi"/>
                <w:sz w:val="20"/>
                <w:szCs w:val="20"/>
              </w:rPr>
              <w:t>Darbepoetin alfa (100 mcg/mL)</w:t>
            </w:r>
          </w:p>
        </w:tc>
        <w:tc>
          <w:tcPr>
            <w:tcW w:w="1540" w:type="dxa"/>
            <w:noWrap/>
          </w:tcPr>
          <w:p w14:paraId="2682455C" w14:textId="77777777" w:rsidR="009443FF" w:rsidRPr="00486970" w:rsidRDefault="009443FF" w:rsidP="00D942BA">
            <w:pPr>
              <w:rPr>
                <w:rFonts w:cstheme="minorHAnsi"/>
                <w:sz w:val="20"/>
                <w:szCs w:val="20"/>
              </w:rPr>
            </w:pPr>
            <w:r w:rsidRPr="00486970">
              <w:rPr>
                <w:rFonts w:cstheme="minorHAnsi"/>
                <w:sz w:val="20"/>
                <w:szCs w:val="20"/>
              </w:rPr>
              <w:t>Chronic kidney disease</w:t>
            </w:r>
          </w:p>
        </w:tc>
        <w:tc>
          <w:tcPr>
            <w:tcW w:w="4820" w:type="dxa"/>
            <w:noWrap/>
          </w:tcPr>
          <w:p w14:paraId="6EAB928A" w14:textId="77777777" w:rsidR="009443FF" w:rsidRPr="00486970" w:rsidRDefault="009443FF" w:rsidP="00D942BA">
            <w:pPr>
              <w:rPr>
                <w:rFonts w:cstheme="minorHAnsi"/>
                <w:bCs/>
                <w:sz w:val="20"/>
                <w:szCs w:val="20"/>
              </w:rPr>
            </w:pPr>
            <w:r w:rsidRPr="00486970">
              <w:rPr>
                <w:rFonts w:cstheme="minorHAnsi"/>
                <w:b/>
                <w:sz w:val="20"/>
                <w:szCs w:val="20"/>
              </w:rPr>
              <w:t xml:space="preserve">Rationale: </w:t>
            </w:r>
            <w:r w:rsidRPr="00486970">
              <w:rPr>
                <w:rFonts w:cstheme="minorHAnsi"/>
                <w:bCs/>
                <w:sz w:val="20"/>
                <w:szCs w:val="20"/>
              </w:rPr>
              <w:t>Erythropoiesis-stimulating agents are recommended for treatment of anaemia of chronic kidney disease in children, young</w:t>
            </w:r>
          </w:p>
          <w:p w14:paraId="4721BA35" w14:textId="77777777" w:rsidR="009443FF" w:rsidRPr="00486970" w:rsidRDefault="009443FF" w:rsidP="00D942BA">
            <w:pPr>
              <w:rPr>
                <w:rFonts w:cstheme="minorHAnsi"/>
                <w:bCs/>
                <w:sz w:val="20"/>
                <w:szCs w:val="20"/>
              </w:rPr>
            </w:pPr>
            <w:r w:rsidRPr="00486970">
              <w:rPr>
                <w:rFonts w:cstheme="minorHAnsi"/>
                <w:bCs/>
                <w:sz w:val="20"/>
                <w:szCs w:val="20"/>
              </w:rPr>
              <w:t>people and adult patients with chronic renal disease requiring dialysis.</w:t>
            </w:r>
          </w:p>
          <w:p w14:paraId="73F169AE" w14:textId="77777777" w:rsidR="009443FF" w:rsidRPr="00486970" w:rsidRDefault="009443FF" w:rsidP="00D942BA">
            <w:pPr>
              <w:rPr>
                <w:rFonts w:cstheme="minorHAnsi"/>
                <w:bCs/>
                <w:color w:val="0000FF" w:themeColor="hyperlink"/>
                <w:sz w:val="20"/>
                <w:szCs w:val="20"/>
                <w:u w:val="single"/>
              </w:rPr>
            </w:pPr>
            <w:r w:rsidRPr="00486970">
              <w:rPr>
                <w:rFonts w:cstheme="minorHAnsi"/>
                <w:b/>
                <w:sz w:val="20"/>
                <w:szCs w:val="20"/>
              </w:rPr>
              <w:t xml:space="preserve">Treatment References: </w:t>
            </w:r>
            <w:r w:rsidRPr="00486970">
              <w:rPr>
                <w:rFonts w:cstheme="minorHAnsi"/>
                <w:bCs/>
                <w:sz w:val="20"/>
                <w:szCs w:val="20"/>
              </w:rPr>
              <w:fldChar w:fldCharType="begin"/>
            </w:r>
            <w:r w:rsidRPr="00486970">
              <w:rPr>
                <w:rFonts w:cstheme="minorHAnsi"/>
                <w:bCs/>
                <w:sz w:val="20"/>
                <w:szCs w:val="20"/>
              </w:rPr>
              <w:instrText xml:space="preserve"> HYPERLINK "https://www.who.int/selection_medicines/committees/expert/21/applications/s10_erythropoietins_add.pdf?ua=1" </w:instrText>
            </w:r>
            <w:r w:rsidRPr="00486970">
              <w:rPr>
                <w:rFonts w:cstheme="minorHAnsi"/>
                <w:bCs/>
                <w:sz w:val="20"/>
                <w:szCs w:val="20"/>
              </w:rPr>
              <w:fldChar w:fldCharType="separate"/>
            </w:r>
            <w:r w:rsidRPr="00486970">
              <w:rPr>
                <w:rFonts w:cstheme="minorHAnsi"/>
                <w:bCs/>
                <w:color w:val="0000FF" w:themeColor="hyperlink"/>
                <w:sz w:val="20"/>
                <w:szCs w:val="20"/>
                <w:u w:val="single"/>
              </w:rPr>
              <w:t xml:space="preserve">WHO EML 2016-2017 -  Application for erythropoietin-stimulating agents </w:t>
            </w:r>
          </w:p>
          <w:p w14:paraId="0F701DAB" w14:textId="77777777" w:rsidR="009443FF" w:rsidRPr="00486970" w:rsidRDefault="009443FF" w:rsidP="00D942BA">
            <w:pPr>
              <w:rPr>
                <w:rFonts w:cstheme="minorHAnsi"/>
                <w:bCs/>
                <w:sz w:val="20"/>
                <w:szCs w:val="20"/>
              </w:rPr>
            </w:pPr>
            <w:r w:rsidRPr="00486970">
              <w:rPr>
                <w:rFonts w:cstheme="minorHAnsi"/>
                <w:bCs/>
                <w:color w:val="0000FF" w:themeColor="hyperlink"/>
                <w:sz w:val="20"/>
                <w:szCs w:val="20"/>
                <w:u w:val="single"/>
              </w:rPr>
              <w:t>(erythropoietin type blood factors)</w:t>
            </w:r>
            <w:r w:rsidRPr="00486970">
              <w:rPr>
                <w:rFonts w:cstheme="minorHAnsi"/>
                <w:bCs/>
                <w:sz w:val="20"/>
                <w:szCs w:val="20"/>
              </w:rPr>
              <w:fldChar w:fldCharType="end"/>
            </w:r>
          </w:p>
          <w:p w14:paraId="5B2EDA7F" w14:textId="77777777" w:rsidR="009443FF" w:rsidRPr="00486970" w:rsidRDefault="009443FF" w:rsidP="00D942BA">
            <w:pPr>
              <w:rPr>
                <w:rFonts w:cstheme="minorHAnsi"/>
                <w:b/>
                <w:sz w:val="20"/>
                <w:szCs w:val="20"/>
              </w:rPr>
            </w:pPr>
            <w:r w:rsidRPr="00486970">
              <w:rPr>
                <w:rFonts w:cstheme="minorHAnsi"/>
                <w:b/>
                <w:sz w:val="20"/>
                <w:szCs w:val="20"/>
              </w:rPr>
              <w:t>More information in WHO EML 2017 Section Reference:</w:t>
            </w:r>
            <w:r w:rsidRPr="00486970">
              <w:rPr>
                <w:rFonts w:cstheme="minorHAnsi"/>
                <w:sz w:val="20"/>
                <w:szCs w:val="20"/>
              </w:rPr>
              <w:t xml:space="preserve"> 10.1</w:t>
            </w:r>
          </w:p>
        </w:tc>
      </w:tr>
      <w:tr w:rsidR="009443FF" w:rsidRPr="00486970" w14:paraId="5C314CE9" w14:textId="77777777" w:rsidTr="00D942BA">
        <w:trPr>
          <w:trHeight w:val="300"/>
        </w:trPr>
        <w:tc>
          <w:tcPr>
            <w:tcW w:w="11283" w:type="dxa"/>
            <w:gridSpan w:val="3"/>
          </w:tcPr>
          <w:p w14:paraId="09F02111" w14:textId="77777777" w:rsidR="009443FF" w:rsidRPr="00486970" w:rsidRDefault="009443FF" w:rsidP="00D942BA">
            <w:pPr>
              <w:jc w:val="center"/>
              <w:rPr>
                <w:rFonts w:cstheme="minorHAnsi"/>
                <w:b/>
                <w:color w:val="C00000"/>
                <w:sz w:val="20"/>
                <w:szCs w:val="20"/>
              </w:rPr>
            </w:pPr>
            <w:r w:rsidRPr="00486970">
              <w:rPr>
                <w:rFonts w:cstheme="minorHAnsi"/>
                <w:b/>
                <w:color w:val="C00000"/>
                <w:sz w:val="20"/>
                <w:szCs w:val="20"/>
              </w:rPr>
              <w:t>Suggested for monitoring (optional for countries) *</w:t>
            </w:r>
          </w:p>
        </w:tc>
      </w:tr>
      <w:tr w:rsidR="009443FF" w:rsidRPr="00486970" w14:paraId="543CBA55" w14:textId="77777777" w:rsidTr="00D942BA">
        <w:trPr>
          <w:trHeight w:val="300"/>
        </w:trPr>
        <w:tc>
          <w:tcPr>
            <w:tcW w:w="4923" w:type="dxa"/>
            <w:noWrap/>
          </w:tcPr>
          <w:p w14:paraId="6A606846" w14:textId="77777777" w:rsidR="009443FF" w:rsidRPr="00486970" w:rsidRDefault="009443FF" w:rsidP="00D942BA">
            <w:pPr>
              <w:rPr>
                <w:rFonts w:cstheme="minorHAnsi"/>
                <w:sz w:val="20"/>
                <w:szCs w:val="20"/>
              </w:rPr>
            </w:pPr>
            <w:r w:rsidRPr="00486970">
              <w:rPr>
                <w:rFonts w:cstheme="minorHAnsi"/>
                <w:sz w:val="20"/>
                <w:szCs w:val="20"/>
              </w:rPr>
              <w:t xml:space="preserve">One of the following: </w:t>
            </w:r>
          </w:p>
          <w:p w14:paraId="0F8D3946" w14:textId="77777777" w:rsidR="009443FF" w:rsidRPr="00486970" w:rsidRDefault="009443FF" w:rsidP="00D942BA">
            <w:pPr>
              <w:numPr>
                <w:ilvl w:val="0"/>
                <w:numId w:val="15"/>
              </w:numPr>
              <w:contextualSpacing/>
              <w:rPr>
                <w:rFonts w:cstheme="minorHAnsi"/>
                <w:sz w:val="20"/>
                <w:szCs w:val="20"/>
              </w:rPr>
            </w:pPr>
            <w:r w:rsidRPr="00486970">
              <w:rPr>
                <w:rFonts w:cstheme="minorHAnsi"/>
                <w:sz w:val="20"/>
                <w:szCs w:val="20"/>
              </w:rPr>
              <w:t xml:space="preserve">Epinephrine injection 1 mg (as hydrochloride or hydrogen tartrate) in 1- mL ampoule </w:t>
            </w:r>
          </w:p>
          <w:p w14:paraId="37DADEDD" w14:textId="77777777" w:rsidR="009443FF" w:rsidRPr="00486970" w:rsidRDefault="009443FF" w:rsidP="00D942BA">
            <w:pPr>
              <w:rPr>
                <w:rFonts w:cstheme="minorHAnsi"/>
                <w:sz w:val="20"/>
                <w:szCs w:val="20"/>
              </w:rPr>
            </w:pPr>
          </w:p>
          <w:p w14:paraId="62A4931C" w14:textId="77777777" w:rsidR="009443FF" w:rsidRPr="00486970" w:rsidRDefault="009443FF" w:rsidP="00D942BA">
            <w:pPr>
              <w:numPr>
                <w:ilvl w:val="0"/>
                <w:numId w:val="15"/>
              </w:numPr>
              <w:contextualSpacing/>
              <w:rPr>
                <w:rFonts w:cstheme="minorHAnsi"/>
                <w:sz w:val="20"/>
                <w:szCs w:val="20"/>
              </w:rPr>
            </w:pPr>
            <w:r w:rsidRPr="00486970">
              <w:rPr>
                <w:rFonts w:cstheme="minorHAnsi"/>
                <w:sz w:val="20"/>
                <w:szCs w:val="20"/>
              </w:rPr>
              <w:t>Dexamethasone  injection  4 mg/ mL in 1- mL ampoule (as disodium phosphate salt)</w:t>
            </w:r>
          </w:p>
          <w:p w14:paraId="5EAC764E" w14:textId="77777777" w:rsidR="009443FF" w:rsidRPr="00486970" w:rsidRDefault="009443FF" w:rsidP="00D942BA">
            <w:pPr>
              <w:rPr>
                <w:rFonts w:cstheme="minorHAnsi"/>
                <w:sz w:val="20"/>
                <w:szCs w:val="20"/>
              </w:rPr>
            </w:pPr>
          </w:p>
        </w:tc>
        <w:tc>
          <w:tcPr>
            <w:tcW w:w="1540" w:type="dxa"/>
            <w:noWrap/>
          </w:tcPr>
          <w:p w14:paraId="19438613" w14:textId="77777777" w:rsidR="009443FF" w:rsidRPr="00486970" w:rsidRDefault="009443FF" w:rsidP="00D942BA">
            <w:pPr>
              <w:rPr>
                <w:rFonts w:cstheme="minorHAnsi"/>
                <w:sz w:val="20"/>
                <w:szCs w:val="20"/>
              </w:rPr>
            </w:pPr>
            <w:r w:rsidRPr="00486970">
              <w:rPr>
                <w:rFonts w:cstheme="minorHAnsi"/>
                <w:sz w:val="20"/>
                <w:szCs w:val="20"/>
              </w:rPr>
              <w:t xml:space="preserve">Antiallergics and medicine used in anaphylaxis </w:t>
            </w:r>
          </w:p>
        </w:tc>
        <w:tc>
          <w:tcPr>
            <w:tcW w:w="4820" w:type="dxa"/>
            <w:noWrap/>
          </w:tcPr>
          <w:p w14:paraId="4E7B446B" w14:textId="77777777" w:rsidR="009443FF" w:rsidRPr="00486970" w:rsidRDefault="009443FF" w:rsidP="00D942BA">
            <w:pPr>
              <w:rPr>
                <w:rFonts w:cstheme="minorHAnsi"/>
                <w:sz w:val="20"/>
                <w:szCs w:val="20"/>
              </w:rPr>
            </w:pPr>
            <w:r w:rsidRPr="00486970">
              <w:rPr>
                <w:rFonts w:cstheme="minorHAnsi"/>
                <w:b/>
                <w:sz w:val="20"/>
                <w:szCs w:val="20"/>
              </w:rPr>
              <w:t>Rationale:</w:t>
            </w:r>
            <w:r w:rsidRPr="00486970">
              <w:rPr>
                <w:rFonts w:cstheme="minorHAnsi"/>
                <w:sz w:val="20"/>
                <w:szCs w:val="20"/>
              </w:rPr>
              <w:t xml:space="preserve"> Epinephrine (adrenaline) is the first line treatment for a severe allergic reaction. During anaphylactic shock, it must be administered through an intramuscular injection.  </w:t>
            </w:r>
          </w:p>
          <w:p w14:paraId="69FC9B94" w14:textId="77777777" w:rsidR="009443FF" w:rsidRPr="00486970" w:rsidRDefault="009443FF" w:rsidP="00D942BA">
            <w:pPr>
              <w:rPr>
                <w:rFonts w:cstheme="minorHAnsi"/>
                <w:sz w:val="20"/>
                <w:szCs w:val="20"/>
              </w:rPr>
            </w:pPr>
            <w:r w:rsidRPr="00486970">
              <w:rPr>
                <w:rFonts w:cstheme="minorHAnsi"/>
                <w:sz w:val="20"/>
                <w:szCs w:val="20"/>
              </w:rPr>
              <w:t>Dexamethasone is a corticosteroid that prevents almost all symptoms of inflammation associated with allergy. It can also be used during emergency anaphylactic shock.</w:t>
            </w:r>
          </w:p>
          <w:p w14:paraId="1AE96D63" w14:textId="77777777" w:rsidR="009443FF" w:rsidRPr="00486970" w:rsidRDefault="009443FF" w:rsidP="00D942BA">
            <w:pPr>
              <w:rPr>
                <w:rFonts w:cstheme="minorHAnsi"/>
                <w:sz w:val="20"/>
                <w:szCs w:val="20"/>
              </w:rPr>
            </w:pPr>
            <w:r w:rsidRPr="00486970">
              <w:rPr>
                <w:rFonts w:cstheme="minorHAnsi"/>
                <w:b/>
                <w:sz w:val="20"/>
                <w:szCs w:val="20"/>
              </w:rPr>
              <w:t xml:space="preserve">Treatment References: </w:t>
            </w:r>
            <w:hyperlink r:id="rId61" w:history="1">
              <w:r w:rsidRPr="00486970">
                <w:rPr>
                  <w:rFonts w:cstheme="minorHAnsi"/>
                  <w:color w:val="0000FF" w:themeColor="hyperlink"/>
                  <w:sz w:val="20"/>
                  <w:szCs w:val="20"/>
                  <w:u w:val="single"/>
                </w:rPr>
                <w:t>WHO Antiallergics and Medicine Use in Anaphylaxis</w:t>
              </w:r>
            </w:hyperlink>
            <w:r w:rsidRPr="00486970">
              <w:rPr>
                <w:rFonts w:cstheme="minorHAnsi"/>
                <w:b/>
                <w:sz w:val="20"/>
                <w:szCs w:val="20"/>
              </w:rPr>
              <w:t xml:space="preserve"> </w:t>
            </w:r>
          </w:p>
          <w:p w14:paraId="081622AB" w14:textId="77777777" w:rsidR="009443FF" w:rsidRPr="00486970" w:rsidRDefault="009443FF" w:rsidP="00D942BA">
            <w:pPr>
              <w:rPr>
                <w:rFonts w:cstheme="minorHAnsi"/>
                <w:b/>
                <w:sz w:val="20"/>
                <w:szCs w:val="20"/>
              </w:rPr>
            </w:pPr>
            <w:r w:rsidRPr="00486970">
              <w:rPr>
                <w:rFonts w:cstheme="minorHAnsi"/>
                <w:b/>
                <w:sz w:val="20"/>
                <w:szCs w:val="20"/>
              </w:rPr>
              <w:t>More information in WHO EML 2017 Section Reference:</w:t>
            </w:r>
            <w:r w:rsidRPr="00486970">
              <w:rPr>
                <w:rFonts w:cstheme="minorHAnsi"/>
                <w:sz w:val="20"/>
                <w:szCs w:val="20"/>
              </w:rPr>
              <w:t xml:space="preserve"> 3</w:t>
            </w:r>
          </w:p>
        </w:tc>
      </w:tr>
      <w:tr w:rsidR="009443FF" w:rsidRPr="00486970" w14:paraId="1BCC4E3A" w14:textId="77777777" w:rsidTr="00D942BA">
        <w:trPr>
          <w:trHeight w:val="300"/>
        </w:trPr>
        <w:tc>
          <w:tcPr>
            <w:tcW w:w="4923" w:type="dxa"/>
            <w:noWrap/>
          </w:tcPr>
          <w:p w14:paraId="38C54245" w14:textId="77777777" w:rsidR="009443FF" w:rsidRPr="00486970" w:rsidRDefault="009443FF" w:rsidP="00D942BA">
            <w:pPr>
              <w:numPr>
                <w:ilvl w:val="0"/>
                <w:numId w:val="45"/>
              </w:numPr>
              <w:contextualSpacing/>
              <w:rPr>
                <w:rFonts w:cstheme="minorHAnsi"/>
                <w:sz w:val="20"/>
                <w:szCs w:val="20"/>
              </w:rPr>
            </w:pPr>
            <w:r w:rsidRPr="00486970">
              <w:rPr>
                <w:rFonts w:cstheme="minorHAnsi"/>
                <w:sz w:val="20"/>
                <w:szCs w:val="20"/>
              </w:rPr>
              <w:t>Fluconazole (50 mg cap/tab) and</w:t>
            </w:r>
          </w:p>
          <w:p w14:paraId="028C206B" w14:textId="77777777" w:rsidR="009443FF" w:rsidRPr="00486970" w:rsidRDefault="009443FF" w:rsidP="00D942BA">
            <w:pPr>
              <w:numPr>
                <w:ilvl w:val="0"/>
                <w:numId w:val="45"/>
              </w:numPr>
              <w:contextualSpacing/>
              <w:rPr>
                <w:rFonts w:cstheme="minorHAnsi"/>
                <w:sz w:val="20"/>
                <w:szCs w:val="20"/>
              </w:rPr>
            </w:pPr>
            <w:r w:rsidRPr="00486970">
              <w:rPr>
                <w:rFonts w:cstheme="minorHAnsi"/>
                <w:sz w:val="20"/>
                <w:szCs w:val="20"/>
              </w:rPr>
              <w:t>Nystatin (tablet 500 000 IU)</w:t>
            </w:r>
          </w:p>
        </w:tc>
        <w:tc>
          <w:tcPr>
            <w:tcW w:w="1540" w:type="dxa"/>
            <w:noWrap/>
          </w:tcPr>
          <w:p w14:paraId="54C46A0F" w14:textId="77777777" w:rsidR="009443FF" w:rsidRPr="00486970" w:rsidRDefault="009443FF" w:rsidP="00D942BA">
            <w:pPr>
              <w:rPr>
                <w:rFonts w:cstheme="minorHAnsi"/>
                <w:bCs/>
                <w:sz w:val="20"/>
                <w:szCs w:val="20"/>
              </w:rPr>
            </w:pPr>
            <w:r w:rsidRPr="00486970">
              <w:rPr>
                <w:rFonts w:cstheme="minorHAnsi"/>
                <w:bCs/>
                <w:sz w:val="20"/>
                <w:szCs w:val="20"/>
              </w:rPr>
              <w:t>Anti-fungal drugs</w:t>
            </w:r>
          </w:p>
          <w:p w14:paraId="0E259C58" w14:textId="77777777" w:rsidR="009443FF" w:rsidRPr="00486970" w:rsidRDefault="009443FF" w:rsidP="00D942BA">
            <w:pPr>
              <w:rPr>
                <w:rFonts w:cstheme="minorHAnsi"/>
                <w:color w:val="C00000"/>
                <w:sz w:val="20"/>
                <w:szCs w:val="20"/>
              </w:rPr>
            </w:pPr>
          </w:p>
        </w:tc>
        <w:tc>
          <w:tcPr>
            <w:tcW w:w="4820" w:type="dxa"/>
            <w:noWrap/>
          </w:tcPr>
          <w:p w14:paraId="53EB8CBF" w14:textId="77777777" w:rsidR="009443FF" w:rsidRPr="00486970" w:rsidRDefault="009443FF" w:rsidP="00D942BA">
            <w:pPr>
              <w:rPr>
                <w:rFonts w:cstheme="minorHAnsi"/>
                <w:b/>
                <w:sz w:val="20"/>
                <w:szCs w:val="20"/>
              </w:rPr>
            </w:pPr>
            <w:r w:rsidRPr="00486970">
              <w:rPr>
                <w:rFonts w:cstheme="minorHAnsi"/>
                <w:b/>
                <w:sz w:val="20"/>
                <w:szCs w:val="20"/>
              </w:rPr>
              <w:t>Rationale:</w:t>
            </w:r>
          </w:p>
          <w:p w14:paraId="0E835EBF" w14:textId="77777777" w:rsidR="009443FF" w:rsidRPr="00486970" w:rsidRDefault="009443FF" w:rsidP="00D942BA">
            <w:pPr>
              <w:rPr>
                <w:rFonts w:cstheme="minorHAnsi"/>
                <w:bCs/>
                <w:sz w:val="20"/>
                <w:szCs w:val="20"/>
              </w:rPr>
            </w:pPr>
            <w:r w:rsidRPr="00486970">
              <w:rPr>
                <w:rFonts w:cstheme="minorHAnsi"/>
                <w:bCs/>
                <w:sz w:val="20"/>
                <w:szCs w:val="20"/>
              </w:rPr>
              <w:t xml:space="preserve">Nystatin is an antifungal polyene antibiotic that is effective against infections caused by a wide range of </w:t>
            </w:r>
            <w:r w:rsidRPr="00486970">
              <w:rPr>
                <w:rFonts w:cstheme="minorHAnsi"/>
                <w:bCs/>
                <w:sz w:val="20"/>
                <w:szCs w:val="20"/>
              </w:rPr>
              <w:lastRenderedPageBreak/>
              <w:t>yeasts and yeasts-like fungi. It is used for the treatment of oral, oesophageal and intestinal candidosis.</w:t>
            </w:r>
          </w:p>
          <w:p w14:paraId="60D67351" w14:textId="77777777" w:rsidR="009443FF" w:rsidRPr="00486970" w:rsidRDefault="009443FF" w:rsidP="00D942BA">
            <w:pPr>
              <w:rPr>
                <w:rFonts w:cstheme="minorHAnsi"/>
                <w:sz w:val="20"/>
                <w:szCs w:val="20"/>
              </w:rPr>
            </w:pPr>
          </w:p>
          <w:p w14:paraId="1E12D188" w14:textId="77777777" w:rsidR="009443FF" w:rsidRPr="00486970" w:rsidRDefault="009443FF" w:rsidP="00D942BA">
            <w:pPr>
              <w:rPr>
                <w:rFonts w:cstheme="minorHAnsi"/>
                <w:sz w:val="20"/>
                <w:szCs w:val="20"/>
              </w:rPr>
            </w:pPr>
            <w:r w:rsidRPr="00486970">
              <w:rPr>
                <w:rFonts w:cstheme="minorHAnsi"/>
                <w:sz w:val="20"/>
                <w:szCs w:val="20"/>
              </w:rPr>
              <w:t>Fluconazole is an orally active imidazole antifungal agent with activity against dermatophytes, yeasts, and other pathogenic fungi.</w:t>
            </w:r>
          </w:p>
          <w:p w14:paraId="52FCFF7C" w14:textId="77777777" w:rsidR="009443FF" w:rsidRPr="00486970" w:rsidRDefault="009443FF" w:rsidP="00D942BA">
            <w:pPr>
              <w:rPr>
                <w:rFonts w:cstheme="minorHAnsi"/>
                <w:sz w:val="20"/>
                <w:szCs w:val="20"/>
              </w:rPr>
            </w:pPr>
            <w:r w:rsidRPr="00486970">
              <w:rPr>
                <w:rFonts w:cstheme="minorHAnsi"/>
                <w:sz w:val="20"/>
                <w:szCs w:val="20"/>
              </w:rPr>
              <w:t>It is widely used in the treatment of serious gastrointestinal and systemic mycoses as well as in the management of superficial infections. Fluconazole is also used to prevent fungal infections in immunocompromised patients.</w:t>
            </w:r>
          </w:p>
          <w:p w14:paraId="4EE210E9" w14:textId="77777777" w:rsidR="009443FF" w:rsidRPr="00486970" w:rsidRDefault="009443FF" w:rsidP="00D942BA">
            <w:pPr>
              <w:rPr>
                <w:rFonts w:cstheme="minorHAnsi"/>
                <w:bCs/>
                <w:sz w:val="20"/>
                <w:szCs w:val="20"/>
              </w:rPr>
            </w:pPr>
            <w:r w:rsidRPr="00486970">
              <w:rPr>
                <w:rFonts w:cstheme="minorHAnsi"/>
                <w:b/>
                <w:sz w:val="20"/>
                <w:szCs w:val="20"/>
              </w:rPr>
              <w:t>Treatment References</w:t>
            </w:r>
            <w:r w:rsidRPr="00486970">
              <w:rPr>
                <w:rFonts w:cstheme="minorHAnsi"/>
                <w:bCs/>
                <w:sz w:val="20"/>
                <w:szCs w:val="20"/>
              </w:rPr>
              <w:t xml:space="preserve">: </w:t>
            </w:r>
            <w:hyperlink r:id="rId62" w:history="1">
              <w:r w:rsidRPr="00486970">
                <w:rPr>
                  <w:rFonts w:cstheme="minorHAnsi"/>
                  <w:bCs/>
                  <w:color w:val="0000FF" w:themeColor="hyperlink"/>
                  <w:sz w:val="20"/>
                  <w:szCs w:val="20"/>
                  <w:u w:val="single"/>
                </w:rPr>
                <w:t>WHO Model Formulary 2008</w:t>
              </w:r>
            </w:hyperlink>
          </w:p>
          <w:p w14:paraId="51AFA4D1" w14:textId="77777777" w:rsidR="009443FF" w:rsidRPr="00486970" w:rsidRDefault="003A249F" w:rsidP="00D942BA">
            <w:pPr>
              <w:rPr>
                <w:rFonts w:cstheme="minorHAnsi"/>
                <w:bCs/>
                <w:sz w:val="20"/>
                <w:szCs w:val="20"/>
              </w:rPr>
            </w:pPr>
            <w:hyperlink r:id="rId63" w:history="1">
              <w:r w:rsidR="009443FF" w:rsidRPr="00486970">
                <w:rPr>
                  <w:rFonts w:cstheme="minorHAnsi"/>
                  <w:bCs/>
                  <w:color w:val="0000FF" w:themeColor="hyperlink"/>
                  <w:sz w:val="20"/>
                  <w:szCs w:val="20"/>
                  <w:u w:val="single"/>
                </w:rPr>
                <w:t>WHO Model Prescribing Information</w:t>
              </w:r>
            </w:hyperlink>
          </w:p>
          <w:p w14:paraId="5A52CE86" w14:textId="77777777" w:rsidR="009443FF" w:rsidRPr="00486970" w:rsidRDefault="003A249F" w:rsidP="00D942BA">
            <w:pPr>
              <w:rPr>
                <w:rFonts w:cstheme="minorHAnsi"/>
                <w:bCs/>
                <w:sz w:val="20"/>
                <w:szCs w:val="20"/>
              </w:rPr>
            </w:pPr>
            <w:hyperlink r:id="rId64" w:history="1">
              <w:r w:rsidR="009443FF" w:rsidRPr="00486970">
                <w:rPr>
                  <w:rFonts w:cstheme="minorHAnsi"/>
                  <w:bCs/>
                  <w:color w:val="0000FF" w:themeColor="hyperlink"/>
                  <w:sz w:val="20"/>
                  <w:szCs w:val="20"/>
                  <w:u w:val="single"/>
                </w:rPr>
                <w:t>Drugs used in sexually transmitted diseases</w:t>
              </w:r>
            </w:hyperlink>
          </w:p>
          <w:p w14:paraId="35C9DA66" w14:textId="77777777" w:rsidR="009443FF" w:rsidRPr="00486970" w:rsidRDefault="009443FF" w:rsidP="00D942BA">
            <w:pPr>
              <w:rPr>
                <w:rFonts w:cstheme="minorHAnsi"/>
                <w:b/>
                <w:sz w:val="20"/>
                <w:szCs w:val="20"/>
              </w:rPr>
            </w:pPr>
            <w:r w:rsidRPr="00486970">
              <w:rPr>
                <w:rFonts w:cstheme="minorHAnsi"/>
                <w:b/>
                <w:sz w:val="20"/>
                <w:szCs w:val="20"/>
              </w:rPr>
              <w:t>More information in WHO EML 2017 Section Reference:</w:t>
            </w:r>
            <w:r w:rsidRPr="00486970">
              <w:rPr>
                <w:rFonts w:cstheme="minorHAnsi"/>
                <w:sz w:val="20"/>
                <w:szCs w:val="20"/>
              </w:rPr>
              <w:t xml:space="preserve"> 6.3</w:t>
            </w:r>
          </w:p>
        </w:tc>
      </w:tr>
      <w:tr w:rsidR="009443FF" w:rsidRPr="00486970" w14:paraId="3A3F013D" w14:textId="77777777" w:rsidTr="00D942BA">
        <w:trPr>
          <w:trHeight w:val="826"/>
        </w:trPr>
        <w:tc>
          <w:tcPr>
            <w:tcW w:w="4923" w:type="dxa"/>
            <w:noWrap/>
          </w:tcPr>
          <w:p w14:paraId="07E1D261" w14:textId="77777777" w:rsidR="009443FF" w:rsidRPr="00486970" w:rsidRDefault="009443FF" w:rsidP="00D942BA">
            <w:pPr>
              <w:rPr>
                <w:rFonts w:cstheme="minorHAnsi"/>
                <w:sz w:val="20"/>
                <w:szCs w:val="20"/>
              </w:rPr>
            </w:pPr>
            <w:r w:rsidRPr="00486970">
              <w:rPr>
                <w:rFonts w:cstheme="minorHAnsi"/>
                <w:sz w:val="20"/>
                <w:szCs w:val="20"/>
              </w:rPr>
              <w:lastRenderedPageBreak/>
              <w:t>Levothyroxine (tablet 50 micrograms)</w:t>
            </w:r>
          </w:p>
        </w:tc>
        <w:tc>
          <w:tcPr>
            <w:tcW w:w="1540" w:type="dxa"/>
            <w:noWrap/>
          </w:tcPr>
          <w:p w14:paraId="7D507567" w14:textId="77777777" w:rsidR="009443FF" w:rsidRPr="00486970" w:rsidRDefault="009443FF" w:rsidP="00D942BA">
            <w:pPr>
              <w:rPr>
                <w:rFonts w:cstheme="minorHAnsi"/>
                <w:sz w:val="20"/>
                <w:szCs w:val="20"/>
              </w:rPr>
            </w:pPr>
            <w:r w:rsidRPr="00486970">
              <w:rPr>
                <w:rFonts w:cstheme="minorHAnsi"/>
                <w:sz w:val="20"/>
                <w:szCs w:val="20"/>
              </w:rPr>
              <w:t>Thyroid hormones</w:t>
            </w:r>
          </w:p>
        </w:tc>
        <w:tc>
          <w:tcPr>
            <w:tcW w:w="4820" w:type="dxa"/>
            <w:noWrap/>
          </w:tcPr>
          <w:p w14:paraId="12B4EA08" w14:textId="77777777" w:rsidR="009443FF" w:rsidRPr="00486970" w:rsidRDefault="009443FF" w:rsidP="00D942BA">
            <w:pPr>
              <w:rPr>
                <w:rFonts w:cstheme="minorHAnsi"/>
                <w:b/>
                <w:sz w:val="20"/>
                <w:szCs w:val="20"/>
              </w:rPr>
            </w:pPr>
            <w:r w:rsidRPr="00486970">
              <w:rPr>
                <w:rFonts w:cstheme="minorHAnsi"/>
                <w:b/>
                <w:sz w:val="20"/>
                <w:szCs w:val="20"/>
              </w:rPr>
              <w:t>Rationale:</w:t>
            </w:r>
          </w:p>
          <w:p w14:paraId="4182E0E4" w14:textId="77777777" w:rsidR="009443FF" w:rsidRPr="00486970" w:rsidRDefault="009443FF" w:rsidP="00D942BA">
            <w:pPr>
              <w:rPr>
                <w:rFonts w:cstheme="minorHAnsi"/>
                <w:bCs/>
                <w:sz w:val="20"/>
                <w:szCs w:val="20"/>
              </w:rPr>
            </w:pPr>
            <w:r w:rsidRPr="00486970">
              <w:rPr>
                <w:rFonts w:cstheme="minorHAnsi"/>
                <w:bCs/>
                <w:sz w:val="20"/>
                <w:szCs w:val="20"/>
              </w:rPr>
              <w:t>Levothyroxine is used for the management of hypothyroidism, diffuse non-toxic goitre, Hashimoto thyroiditis and thyroid cancer.</w:t>
            </w:r>
          </w:p>
          <w:p w14:paraId="54FA5634" w14:textId="77777777" w:rsidR="009443FF" w:rsidRPr="00486970" w:rsidRDefault="009443FF" w:rsidP="00D942BA">
            <w:pPr>
              <w:rPr>
                <w:rFonts w:cstheme="minorHAnsi"/>
                <w:bCs/>
                <w:sz w:val="20"/>
                <w:szCs w:val="20"/>
              </w:rPr>
            </w:pPr>
            <w:r w:rsidRPr="00486970">
              <w:rPr>
                <w:rFonts w:cstheme="minorHAnsi"/>
                <w:b/>
                <w:sz w:val="20"/>
                <w:szCs w:val="20"/>
              </w:rPr>
              <w:t>Treatment References</w:t>
            </w:r>
            <w:r w:rsidRPr="00486970">
              <w:rPr>
                <w:rFonts w:cstheme="minorHAnsi"/>
                <w:bCs/>
                <w:sz w:val="20"/>
                <w:szCs w:val="20"/>
              </w:rPr>
              <w:t xml:space="preserve">: </w:t>
            </w:r>
            <w:hyperlink r:id="rId65" w:history="1">
              <w:r w:rsidRPr="00486970">
                <w:rPr>
                  <w:rFonts w:cstheme="minorHAnsi"/>
                  <w:bCs/>
                  <w:color w:val="0000FF" w:themeColor="hyperlink"/>
                  <w:sz w:val="20"/>
                  <w:szCs w:val="20"/>
                  <w:u w:val="single"/>
                </w:rPr>
                <w:t>WHO Model Formulary 2008</w:t>
              </w:r>
            </w:hyperlink>
          </w:p>
          <w:p w14:paraId="22C9FEC1" w14:textId="77777777" w:rsidR="009443FF" w:rsidRPr="00486970" w:rsidRDefault="009443FF" w:rsidP="00D942BA">
            <w:pPr>
              <w:rPr>
                <w:rFonts w:cstheme="minorHAnsi"/>
                <w:bCs/>
                <w:sz w:val="20"/>
                <w:szCs w:val="20"/>
              </w:rPr>
            </w:pPr>
            <w:r w:rsidRPr="00486970">
              <w:rPr>
                <w:rFonts w:cstheme="minorHAnsi"/>
                <w:b/>
                <w:sz w:val="20"/>
                <w:szCs w:val="20"/>
              </w:rPr>
              <w:t>More information in WHO EML 2017 Section Reference:</w:t>
            </w:r>
            <w:r w:rsidRPr="00486970">
              <w:rPr>
                <w:rFonts w:cstheme="minorHAnsi"/>
                <w:sz w:val="20"/>
                <w:szCs w:val="20"/>
              </w:rPr>
              <w:t xml:space="preserve"> 18.8</w:t>
            </w:r>
          </w:p>
        </w:tc>
      </w:tr>
    </w:tbl>
    <w:p w14:paraId="3C87CDDF" w14:textId="77777777" w:rsidR="00C94B20" w:rsidRDefault="00C94B20" w:rsidP="009443FF">
      <w:pPr>
        <w:jc w:val="center"/>
        <w:rPr>
          <w:rFonts w:eastAsia="Times New Roman" w:cstheme="minorHAnsi"/>
          <w:color w:val="1C75BC"/>
          <w:sz w:val="36"/>
          <w:szCs w:val="36"/>
          <w:lang w:eastAsia="en-GB"/>
        </w:rPr>
      </w:pPr>
    </w:p>
    <w:p w14:paraId="5905712B" w14:textId="090FC1BB" w:rsidR="009443FF" w:rsidRPr="00486970" w:rsidRDefault="009443FF" w:rsidP="009443FF">
      <w:pPr>
        <w:jc w:val="center"/>
        <w:rPr>
          <w:rFonts w:eastAsia="Times New Roman" w:cstheme="minorHAnsi"/>
          <w:color w:val="1C75BC"/>
          <w:sz w:val="36"/>
          <w:szCs w:val="36"/>
          <w:lang w:eastAsia="en-GB"/>
        </w:rPr>
      </w:pPr>
      <w:r w:rsidRPr="00486970">
        <w:rPr>
          <w:rFonts w:eastAsia="Times New Roman" w:cstheme="minorHAnsi"/>
          <w:color w:val="1C75BC"/>
          <w:sz w:val="36"/>
          <w:szCs w:val="36"/>
          <w:lang w:eastAsia="en-GB"/>
        </w:rPr>
        <w:t xml:space="preserve">Annex 1:  </w:t>
      </w:r>
      <w:bookmarkStart w:id="6" w:name="_Hlk526159568"/>
      <w:r w:rsidRPr="00486970">
        <w:rPr>
          <w:rFonts w:eastAsia="Times New Roman" w:cstheme="minorHAnsi"/>
          <w:color w:val="1C75BC"/>
          <w:sz w:val="36"/>
          <w:szCs w:val="36"/>
          <w:lang w:eastAsia="en-GB"/>
        </w:rPr>
        <w:t>Basket of core set of relevant essential medicines for primary health care</w:t>
      </w:r>
      <w:bookmarkEnd w:id="6"/>
      <w:r w:rsidRPr="00486970">
        <w:rPr>
          <w:rFonts w:eastAsia="Times New Roman" w:cstheme="minorHAnsi"/>
          <w:color w:val="1C75BC"/>
          <w:sz w:val="36"/>
          <w:szCs w:val="36"/>
          <w:lang w:eastAsia="en-GB"/>
        </w:rPr>
        <w:t xml:space="preserve"> and related disease category </w:t>
      </w:r>
    </w:p>
    <w:p w14:paraId="40D35D7B" w14:textId="77777777" w:rsidR="009443FF" w:rsidRPr="00486970" w:rsidRDefault="009443FF" w:rsidP="009443FF">
      <w:pPr>
        <w:rPr>
          <w:rFonts w:cstheme="minorHAnsi"/>
          <w:b/>
        </w:rPr>
      </w:pPr>
    </w:p>
    <w:p w14:paraId="07B60FE1" w14:textId="77777777" w:rsidR="009443FF" w:rsidRPr="00486970" w:rsidRDefault="009443FF" w:rsidP="009443FF">
      <w:pPr>
        <w:rPr>
          <w:rFonts w:cstheme="minorHAnsi"/>
          <w:b/>
        </w:rPr>
      </w:pPr>
      <w:r w:rsidRPr="00486970">
        <w:rPr>
          <w:rFonts w:cstheme="minorHAnsi"/>
          <w:b/>
        </w:rPr>
        <w:t>Table 1. Basket of core set of relevant essential medicines for primary health care</w:t>
      </w:r>
    </w:p>
    <w:p w14:paraId="1D07E728" w14:textId="77777777" w:rsidR="009443FF" w:rsidRPr="00486970" w:rsidRDefault="009443FF" w:rsidP="009443FF">
      <w:pPr>
        <w:shd w:val="clear" w:color="auto" w:fill="FFFFFF" w:themeFill="background1"/>
        <w:spacing w:after="0"/>
        <w:jc w:val="both"/>
        <w:rPr>
          <w:rFonts w:eastAsia="Times New Roman" w:cstheme="minorHAnsi"/>
          <w:b/>
          <w:bCs/>
          <w:color w:val="4A4A4A"/>
          <w:lang w:eastAsia="en-GB"/>
        </w:rPr>
      </w:pPr>
      <w:r w:rsidRPr="00486970">
        <w:rPr>
          <w:rFonts w:eastAsia="Times New Roman" w:cstheme="minorHAnsi"/>
          <w:b/>
          <w:bCs/>
          <w:color w:val="4A4A4A"/>
          <w:lang w:eastAsia="en-GB"/>
        </w:rPr>
        <w:t>*</w:t>
      </w:r>
      <w:r w:rsidRPr="00486970">
        <w:rPr>
          <w:rFonts w:eastAsia="Times New Roman" w:cstheme="minorHAnsi"/>
          <w:color w:val="4A4A4A"/>
          <w:lang w:eastAsia="en-GB"/>
        </w:rPr>
        <w:t xml:space="preserve"> These additional medicines were suggested for monitoring during the consultations with WHO regional advisers and WHO Member States, however they do not represent major burden of disease in countries and cannot be weighted according to the same procedure as the mandatory list. </w:t>
      </w:r>
    </w:p>
    <w:p w14:paraId="533BA7F2" w14:textId="77777777" w:rsidR="009443FF" w:rsidRPr="00486970" w:rsidRDefault="009443FF" w:rsidP="009443FF">
      <w:pPr>
        <w:rPr>
          <w:rFonts w:cstheme="minorHAnsi"/>
        </w:rPr>
      </w:pPr>
    </w:p>
    <w:p w14:paraId="32A6D485" w14:textId="77777777" w:rsidR="009443FF" w:rsidRPr="00486970" w:rsidRDefault="009443FF" w:rsidP="009443FF">
      <w:pPr>
        <w:pBdr>
          <w:top w:val="nil"/>
          <w:left w:val="nil"/>
          <w:bottom w:val="nil"/>
          <w:right w:val="nil"/>
          <w:between w:val="nil"/>
        </w:pBdr>
        <w:spacing w:after="60" w:line="240" w:lineRule="auto"/>
        <w:jc w:val="both"/>
        <w:rPr>
          <w:rFonts w:eastAsia="Cambria Math" w:cstheme="minorHAnsi"/>
          <w:b/>
          <w:color w:val="000000"/>
        </w:rPr>
      </w:pPr>
      <w:r w:rsidRPr="00486970">
        <w:rPr>
          <w:rFonts w:eastAsia="Cambria Math" w:cstheme="minorHAnsi"/>
          <w:b/>
          <w:color w:val="000000"/>
        </w:rPr>
        <w:t>Table 2. Diseases treated with the medicines in the core list</w:t>
      </w:r>
    </w:p>
    <w:p w14:paraId="4533B17B" w14:textId="77777777" w:rsidR="009443FF" w:rsidRPr="00486970" w:rsidRDefault="009443FF" w:rsidP="009443FF">
      <w:pPr>
        <w:pBdr>
          <w:top w:val="nil"/>
          <w:left w:val="nil"/>
          <w:bottom w:val="nil"/>
          <w:right w:val="nil"/>
          <w:between w:val="nil"/>
        </w:pBdr>
        <w:spacing w:after="60" w:line="240" w:lineRule="auto"/>
        <w:jc w:val="both"/>
        <w:rPr>
          <w:rFonts w:eastAsia="Cambria Math" w:cstheme="minorHAnsi"/>
          <w:b/>
          <w:color w:val="000000"/>
        </w:rPr>
      </w:pPr>
    </w:p>
    <w:tbl>
      <w:tblPr>
        <w:tblStyle w:val="TableGrid1"/>
        <w:tblW w:w="10080" w:type="dxa"/>
        <w:tblInd w:w="93" w:type="dxa"/>
        <w:tblBorders>
          <w:insideH w:val="dashSmallGap" w:sz="4" w:space="0" w:color="auto"/>
          <w:insideV w:val="dashSmallGap" w:sz="4" w:space="0" w:color="auto"/>
        </w:tblBorders>
        <w:tblLook w:val="04A0" w:firstRow="1" w:lastRow="0" w:firstColumn="1" w:lastColumn="0" w:noHBand="0" w:noVBand="1"/>
      </w:tblPr>
      <w:tblGrid>
        <w:gridCol w:w="5402"/>
        <w:gridCol w:w="4678"/>
      </w:tblGrid>
      <w:tr w:rsidR="009443FF" w:rsidRPr="00486970" w14:paraId="3687F046" w14:textId="77777777" w:rsidTr="004D1906">
        <w:trPr>
          <w:trHeight w:val="305"/>
        </w:trPr>
        <w:tc>
          <w:tcPr>
            <w:tcW w:w="5402" w:type="dxa"/>
            <w:vAlign w:val="center"/>
          </w:tcPr>
          <w:p w14:paraId="6B2C9A3E" w14:textId="77777777" w:rsidR="009443FF" w:rsidRPr="00486970" w:rsidRDefault="009443FF" w:rsidP="009443FF">
            <w:pPr>
              <w:tabs>
                <w:tab w:val="left" w:pos="4693"/>
              </w:tabs>
              <w:jc w:val="center"/>
              <w:rPr>
                <w:rFonts w:cstheme="minorHAnsi"/>
                <w:b/>
                <w:bCs/>
                <w:color w:val="000000"/>
                <w:sz w:val="24"/>
                <w:szCs w:val="24"/>
              </w:rPr>
            </w:pPr>
            <w:r w:rsidRPr="00486970">
              <w:rPr>
                <w:rFonts w:cstheme="minorHAnsi"/>
                <w:b/>
                <w:bCs/>
                <w:color w:val="000000"/>
                <w:sz w:val="24"/>
                <w:szCs w:val="24"/>
              </w:rPr>
              <w:t xml:space="preserve">Medicine name </w:t>
            </w:r>
          </w:p>
        </w:tc>
        <w:tc>
          <w:tcPr>
            <w:tcW w:w="4678" w:type="dxa"/>
            <w:vAlign w:val="center"/>
          </w:tcPr>
          <w:p w14:paraId="29261F35" w14:textId="77777777" w:rsidR="009443FF" w:rsidRPr="00486970" w:rsidRDefault="009443FF" w:rsidP="009443FF">
            <w:pPr>
              <w:tabs>
                <w:tab w:val="left" w:pos="4693"/>
              </w:tabs>
              <w:jc w:val="center"/>
              <w:rPr>
                <w:rFonts w:cstheme="minorHAnsi"/>
                <w:b/>
                <w:bCs/>
                <w:color w:val="000000"/>
                <w:sz w:val="24"/>
                <w:szCs w:val="24"/>
              </w:rPr>
            </w:pPr>
            <w:r w:rsidRPr="00486970">
              <w:rPr>
                <w:rFonts w:cstheme="minorHAnsi"/>
                <w:b/>
                <w:bCs/>
                <w:color w:val="000000"/>
                <w:sz w:val="24"/>
                <w:szCs w:val="24"/>
              </w:rPr>
              <w:t xml:space="preserve">Affiliated disease (code of the diseases according to the ICD-11 classification) </w:t>
            </w:r>
          </w:p>
        </w:tc>
      </w:tr>
      <w:tr w:rsidR="009443FF" w:rsidRPr="00486970" w14:paraId="2404A36F" w14:textId="77777777" w:rsidTr="004D1906">
        <w:trPr>
          <w:trHeight w:val="305"/>
        </w:trPr>
        <w:tc>
          <w:tcPr>
            <w:tcW w:w="5402" w:type="dxa"/>
            <w:vAlign w:val="center"/>
          </w:tcPr>
          <w:p w14:paraId="181973DD" w14:textId="77777777" w:rsidR="009443FF" w:rsidRPr="00486970" w:rsidRDefault="009443FF" w:rsidP="009443FF">
            <w:pPr>
              <w:tabs>
                <w:tab w:val="left" w:pos="4693"/>
              </w:tabs>
              <w:rPr>
                <w:rFonts w:cstheme="minorHAnsi"/>
                <w:color w:val="000000"/>
                <w:sz w:val="20"/>
                <w:szCs w:val="20"/>
              </w:rPr>
            </w:pPr>
            <w:r w:rsidRPr="00486970">
              <w:rPr>
                <w:rFonts w:cstheme="minorHAnsi"/>
                <w:color w:val="000000"/>
                <w:sz w:val="20"/>
                <w:szCs w:val="20"/>
              </w:rPr>
              <w:t xml:space="preserve">Salbutamol </w:t>
            </w:r>
          </w:p>
        </w:tc>
        <w:tc>
          <w:tcPr>
            <w:tcW w:w="4678" w:type="dxa"/>
            <w:vAlign w:val="center"/>
          </w:tcPr>
          <w:p w14:paraId="237EB53C"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w:t>
            </w:r>
            <w:r w:rsidRPr="00486970">
              <w:rPr>
                <w:rFonts w:cstheme="minorHAnsi"/>
                <w:color w:val="000000"/>
                <w:sz w:val="20"/>
                <w:szCs w:val="20"/>
              </w:rPr>
              <w:t xml:space="preserve"> Asthma (1190)</w:t>
            </w:r>
          </w:p>
          <w:p w14:paraId="4EFB915E"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w:t>
            </w:r>
            <w:r w:rsidRPr="00486970">
              <w:rPr>
                <w:rFonts w:cstheme="minorHAnsi"/>
                <w:color w:val="000000"/>
                <w:sz w:val="20"/>
                <w:szCs w:val="20"/>
              </w:rPr>
              <w:t xml:space="preserve"> Chronic obstructive pulmonary disease (1180)</w:t>
            </w:r>
          </w:p>
        </w:tc>
      </w:tr>
      <w:tr w:rsidR="009443FF" w:rsidRPr="00486970" w14:paraId="0113E5FC" w14:textId="77777777" w:rsidTr="004D1906">
        <w:trPr>
          <w:trHeight w:val="185"/>
        </w:trPr>
        <w:tc>
          <w:tcPr>
            <w:tcW w:w="5402" w:type="dxa"/>
            <w:vAlign w:val="center"/>
          </w:tcPr>
          <w:p w14:paraId="60FE9C75" w14:textId="77777777" w:rsidR="009443FF" w:rsidRPr="00486970" w:rsidRDefault="009443FF" w:rsidP="009443FF">
            <w:pPr>
              <w:tabs>
                <w:tab w:val="left" w:pos="4693"/>
              </w:tabs>
              <w:rPr>
                <w:rFonts w:cstheme="minorHAnsi"/>
                <w:color w:val="000000"/>
                <w:sz w:val="20"/>
                <w:szCs w:val="20"/>
              </w:rPr>
            </w:pPr>
            <w:r w:rsidRPr="00486970">
              <w:rPr>
                <w:rFonts w:cstheme="minorHAnsi"/>
                <w:color w:val="000000"/>
                <w:sz w:val="20"/>
                <w:szCs w:val="20"/>
              </w:rPr>
              <w:t>Beclometasone or other corticosteroid inhaler</w:t>
            </w:r>
          </w:p>
        </w:tc>
        <w:tc>
          <w:tcPr>
            <w:tcW w:w="4678" w:type="dxa"/>
            <w:vAlign w:val="center"/>
          </w:tcPr>
          <w:p w14:paraId="22C52B1E"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w:t>
            </w:r>
            <w:r w:rsidRPr="00486970">
              <w:rPr>
                <w:rFonts w:cstheme="minorHAnsi"/>
                <w:color w:val="000000"/>
                <w:sz w:val="20"/>
                <w:szCs w:val="20"/>
              </w:rPr>
              <w:t xml:space="preserve"> Asthma (1190)</w:t>
            </w:r>
          </w:p>
        </w:tc>
      </w:tr>
      <w:tr w:rsidR="009443FF" w:rsidRPr="00486970" w14:paraId="743D85C6" w14:textId="77777777" w:rsidTr="004D1906">
        <w:trPr>
          <w:trHeight w:val="74"/>
        </w:trPr>
        <w:tc>
          <w:tcPr>
            <w:tcW w:w="5402" w:type="dxa"/>
            <w:vAlign w:val="center"/>
          </w:tcPr>
          <w:p w14:paraId="736A9DFB" w14:textId="77777777" w:rsidR="009443FF" w:rsidRPr="00486970" w:rsidRDefault="009443FF" w:rsidP="009443FF">
            <w:pPr>
              <w:tabs>
                <w:tab w:val="left" w:pos="4693"/>
              </w:tabs>
              <w:rPr>
                <w:rFonts w:cstheme="minorHAnsi"/>
                <w:color w:val="000000"/>
                <w:sz w:val="20"/>
                <w:szCs w:val="20"/>
              </w:rPr>
            </w:pPr>
            <w:r w:rsidRPr="00486970">
              <w:rPr>
                <w:rFonts w:cstheme="minorHAnsi"/>
                <w:color w:val="000000"/>
                <w:sz w:val="20"/>
                <w:szCs w:val="20"/>
              </w:rPr>
              <w:t>Gliclazide or other sulfonylurea</w:t>
            </w:r>
          </w:p>
        </w:tc>
        <w:tc>
          <w:tcPr>
            <w:tcW w:w="4678" w:type="dxa"/>
            <w:vMerge w:val="restart"/>
            <w:vAlign w:val="center"/>
          </w:tcPr>
          <w:p w14:paraId="5C3B912E"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w:t>
            </w:r>
            <w:r w:rsidRPr="00486970">
              <w:rPr>
                <w:rFonts w:cstheme="minorHAnsi"/>
                <w:color w:val="000000"/>
                <w:sz w:val="20"/>
                <w:szCs w:val="20"/>
              </w:rPr>
              <w:t xml:space="preserve"> Diabetes mellitus (800)</w:t>
            </w:r>
          </w:p>
        </w:tc>
      </w:tr>
      <w:tr w:rsidR="009443FF" w:rsidRPr="00486970" w14:paraId="5AF32465" w14:textId="77777777" w:rsidTr="004D1906">
        <w:trPr>
          <w:trHeight w:val="221"/>
        </w:trPr>
        <w:tc>
          <w:tcPr>
            <w:tcW w:w="5402" w:type="dxa"/>
            <w:vAlign w:val="center"/>
          </w:tcPr>
          <w:p w14:paraId="7741E4A1" w14:textId="77777777" w:rsidR="009443FF" w:rsidRPr="00486970" w:rsidRDefault="009443FF" w:rsidP="009443FF">
            <w:pPr>
              <w:tabs>
                <w:tab w:val="left" w:pos="4693"/>
              </w:tabs>
              <w:rPr>
                <w:rFonts w:cstheme="minorHAnsi"/>
                <w:color w:val="000000"/>
                <w:sz w:val="20"/>
                <w:szCs w:val="20"/>
              </w:rPr>
            </w:pPr>
            <w:r w:rsidRPr="00486970">
              <w:rPr>
                <w:rFonts w:cstheme="minorHAnsi"/>
                <w:color w:val="000000"/>
                <w:sz w:val="20"/>
                <w:szCs w:val="20"/>
              </w:rPr>
              <w:t xml:space="preserve">Metformin </w:t>
            </w:r>
          </w:p>
        </w:tc>
        <w:tc>
          <w:tcPr>
            <w:tcW w:w="4678" w:type="dxa"/>
            <w:vMerge/>
            <w:vAlign w:val="center"/>
          </w:tcPr>
          <w:p w14:paraId="35ECDD50" w14:textId="77777777" w:rsidR="009443FF" w:rsidRPr="00486970" w:rsidRDefault="009443FF" w:rsidP="009443FF">
            <w:pPr>
              <w:tabs>
                <w:tab w:val="left" w:pos="4693"/>
              </w:tabs>
              <w:rPr>
                <w:rFonts w:cstheme="minorHAnsi"/>
                <w:color w:val="000000"/>
                <w:sz w:val="20"/>
                <w:szCs w:val="20"/>
              </w:rPr>
            </w:pPr>
          </w:p>
        </w:tc>
      </w:tr>
      <w:tr w:rsidR="009443FF" w:rsidRPr="00486970" w14:paraId="73211F46" w14:textId="77777777" w:rsidTr="004D1906">
        <w:tc>
          <w:tcPr>
            <w:tcW w:w="5402" w:type="dxa"/>
            <w:vAlign w:val="center"/>
          </w:tcPr>
          <w:p w14:paraId="3CC82AD5" w14:textId="77777777" w:rsidR="009443FF" w:rsidRPr="00486970" w:rsidRDefault="009443FF" w:rsidP="009443FF">
            <w:pPr>
              <w:tabs>
                <w:tab w:val="left" w:pos="4693"/>
              </w:tabs>
              <w:rPr>
                <w:rFonts w:cstheme="minorHAnsi"/>
                <w:color w:val="000000"/>
                <w:sz w:val="20"/>
                <w:szCs w:val="20"/>
              </w:rPr>
            </w:pPr>
            <w:r w:rsidRPr="00486970">
              <w:rPr>
                <w:rFonts w:cstheme="minorHAnsi"/>
                <w:color w:val="000000"/>
                <w:sz w:val="20"/>
                <w:szCs w:val="20"/>
              </w:rPr>
              <w:t>Insulin regular, soluble</w:t>
            </w:r>
          </w:p>
        </w:tc>
        <w:tc>
          <w:tcPr>
            <w:tcW w:w="4678" w:type="dxa"/>
            <w:vMerge/>
            <w:vAlign w:val="center"/>
          </w:tcPr>
          <w:p w14:paraId="661FF5AF" w14:textId="77777777" w:rsidR="009443FF" w:rsidRPr="00486970" w:rsidRDefault="009443FF" w:rsidP="009443FF">
            <w:pPr>
              <w:tabs>
                <w:tab w:val="left" w:pos="4693"/>
              </w:tabs>
              <w:rPr>
                <w:rFonts w:cstheme="minorHAnsi"/>
                <w:color w:val="000000"/>
                <w:sz w:val="20"/>
                <w:szCs w:val="20"/>
              </w:rPr>
            </w:pPr>
          </w:p>
        </w:tc>
      </w:tr>
      <w:tr w:rsidR="009443FF" w:rsidRPr="00486970" w14:paraId="175FBEF2" w14:textId="77777777" w:rsidTr="004D1906">
        <w:trPr>
          <w:trHeight w:val="257"/>
        </w:trPr>
        <w:tc>
          <w:tcPr>
            <w:tcW w:w="5402" w:type="dxa"/>
            <w:vAlign w:val="center"/>
          </w:tcPr>
          <w:p w14:paraId="58B9C56D" w14:textId="77777777" w:rsidR="009443FF" w:rsidRPr="00486970" w:rsidRDefault="009443FF" w:rsidP="009443FF">
            <w:pPr>
              <w:rPr>
                <w:rFonts w:cstheme="minorHAnsi"/>
                <w:sz w:val="20"/>
                <w:szCs w:val="20"/>
              </w:rPr>
            </w:pPr>
            <w:r w:rsidRPr="00486970">
              <w:rPr>
                <w:rFonts w:cstheme="minorHAnsi"/>
                <w:sz w:val="20"/>
                <w:szCs w:val="20"/>
              </w:rPr>
              <w:t xml:space="preserve">Amlodipine </w:t>
            </w:r>
          </w:p>
        </w:tc>
        <w:tc>
          <w:tcPr>
            <w:tcW w:w="4678" w:type="dxa"/>
            <w:vAlign w:val="center"/>
          </w:tcPr>
          <w:p w14:paraId="69D7D052"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w:t>
            </w:r>
            <w:r w:rsidRPr="00486970">
              <w:rPr>
                <w:rFonts w:cstheme="minorHAnsi"/>
                <w:color w:val="000000"/>
                <w:sz w:val="20"/>
                <w:szCs w:val="20"/>
              </w:rPr>
              <w:t xml:space="preserve"> Hypertensive heart disease (1120)</w:t>
            </w:r>
          </w:p>
        </w:tc>
      </w:tr>
      <w:tr w:rsidR="009443FF" w:rsidRPr="00486970" w14:paraId="7C3AC4DB" w14:textId="77777777" w:rsidTr="004D1906">
        <w:trPr>
          <w:trHeight w:val="343"/>
        </w:trPr>
        <w:tc>
          <w:tcPr>
            <w:tcW w:w="5402" w:type="dxa"/>
            <w:vAlign w:val="center"/>
          </w:tcPr>
          <w:p w14:paraId="4F2D05A2" w14:textId="77777777" w:rsidR="009443FF" w:rsidRPr="00486970" w:rsidRDefault="009443FF" w:rsidP="009443FF">
            <w:pPr>
              <w:rPr>
                <w:rFonts w:cstheme="minorHAnsi"/>
                <w:sz w:val="20"/>
                <w:szCs w:val="20"/>
              </w:rPr>
            </w:pPr>
            <w:r w:rsidRPr="00486970">
              <w:rPr>
                <w:rFonts w:cstheme="minorHAnsi"/>
                <w:sz w:val="20"/>
                <w:szCs w:val="20"/>
              </w:rPr>
              <w:t xml:space="preserve">Enalapril or other angiotensin converting enzyme inhibitor </w:t>
            </w:r>
          </w:p>
        </w:tc>
        <w:tc>
          <w:tcPr>
            <w:tcW w:w="4678" w:type="dxa"/>
            <w:vMerge w:val="restart"/>
            <w:vAlign w:val="center"/>
          </w:tcPr>
          <w:p w14:paraId="0D3DE8C7"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w:t>
            </w:r>
            <w:r w:rsidRPr="00486970">
              <w:rPr>
                <w:rFonts w:cstheme="minorHAnsi"/>
                <w:color w:val="000000"/>
                <w:sz w:val="20"/>
                <w:szCs w:val="20"/>
              </w:rPr>
              <w:t xml:space="preserve"> Hypertensive heart disease (1120)</w:t>
            </w:r>
          </w:p>
          <w:p w14:paraId="1B17D45D" w14:textId="77777777" w:rsidR="009443FF" w:rsidRPr="00486970" w:rsidRDefault="009443FF" w:rsidP="009443FF">
            <w:pPr>
              <w:tabs>
                <w:tab w:val="left" w:pos="4693"/>
              </w:tabs>
              <w:rPr>
                <w:rFonts w:cstheme="minorHAnsi"/>
                <w:b/>
                <w:bCs/>
                <w:color w:val="000000"/>
                <w:sz w:val="20"/>
                <w:szCs w:val="20"/>
              </w:rPr>
            </w:pPr>
            <w:r w:rsidRPr="00486970">
              <w:rPr>
                <w:rFonts w:cstheme="minorHAnsi"/>
                <w:b/>
                <w:bCs/>
                <w:color w:val="000000"/>
                <w:sz w:val="20"/>
                <w:szCs w:val="20"/>
              </w:rPr>
              <w:t xml:space="preserve">→ </w:t>
            </w:r>
            <w:r w:rsidRPr="00486970">
              <w:rPr>
                <w:rFonts w:cstheme="minorHAnsi"/>
                <w:color w:val="000000"/>
                <w:sz w:val="20"/>
                <w:szCs w:val="20"/>
              </w:rPr>
              <w:t>Cardiomyopathy, myocarditis, endocarditis (1150)</w:t>
            </w:r>
          </w:p>
        </w:tc>
      </w:tr>
      <w:tr w:rsidR="009443FF" w:rsidRPr="00486970" w14:paraId="2CFA77F3" w14:textId="77777777" w:rsidTr="004D1906">
        <w:trPr>
          <w:trHeight w:val="74"/>
        </w:trPr>
        <w:tc>
          <w:tcPr>
            <w:tcW w:w="5402" w:type="dxa"/>
            <w:vAlign w:val="center"/>
          </w:tcPr>
          <w:p w14:paraId="759EF3ED" w14:textId="77777777" w:rsidR="009443FF" w:rsidRPr="00486970" w:rsidRDefault="009443FF" w:rsidP="009443FF">
            <w:pPr>
              <w:tabs>
                <w:tab w:val="left" w:pos="4693"/>
              </w:tabs>
              <w:rPr>
                <w:rFonts w:cstheme="minorHAnsi"/>
                <w:sz w:val="20"/>
                <w:szCs w:val="20"/>
              </w:rPr>
            </w:pPr>
            <w:r w:rsidRPr="00486970">
              <w:rPr>
                <w:rFonts w:cstheme="minorHAnsi"/>
                <w:sz w:val="20"/>
                <w:szCs w:val="20"/>
              </w:rPr>
              <w:t>Hydrochlorothiazide or Chlorthalidone</w:t>
            </w:r>
          </w:p>
        </w:tc>
        <w:tc>
          <w:tcPr>
            <w:tcW w:w="4678" w:type="dxa"/>
            <w:vMerge/>
            <w:vAlign w:val="center"/>
          </w:tcPr>
          <w:p w14:paraId="6E00BA5D" w14:textId="77777777" w:rsidR="009443FF" w:rsidRPr="00486970" w:rsidRDefault="009443FF" w:rsidP="009443FF">
            <w:pPr>
              <w:tabs>
                <w:tab w:val="left" w:pos="4693"/>
              </w:tabs>
              <w:rPr>
                <w:rFonts w:cstheme="minorHAnsi"/>
                <w:b/>
                <w:bCs/>
                <w:color w:val="000000"/>
                <w:sz w:val="20"/>
                <w:szCs w:val="20"/>
              </w:rPr>
            </w:pPr>
          </w:p>
        </w:tc>
      </w:tr>
      <w:tr w:rsidR="009443FF" w:rsidRPr="00486970" w14:paraId="19E1F82A" w14:textId="77777777" w:rsidTr="004D1906">
        <w:trPr>
          <w:trHeight w:val="343"/>
        </w:trPr>
        <w:tc>
          <w:tcPr>
            <w:tcW w:w="5402" w:type="dxa"/>
            <w:vAlign w:val="center"/>
          </w:tcPr>
          <w:p w14:paraId="1FD869FD" w14:textId="77777777" w:rsidR="009443FF" w:rsidRPr="00486970" w:rsidRDefault="009443FF" w:rsidP="009443FF">
            <w:pPr>
              <w:tabs>
                <w:tab w:val="left" w:pos="4693"/>
              </w:tabs>
              <w:rPr>
                <w:rFonts w:cstheme="minorHAnsi"/>
                <w:sz w:val="20"/>
                <w:szCs w:val="20"/>
              </w:rPr>
            </w:pPr>
            <w:r w:rsidRPr="00486970">
              <w:rPr>
                <w:rFonts w:cstheme="minorHAnsi"/>
                <w:sz w:val="20"/>
                <w:szCs w:val="20"/>
              </w:rPr>
              <w:t xml:space="preserve">Bisoprolol or alternative betablocker (atenolol or carvedilol or metoprolol only)  </w:t>
            </w:r>
          </w:p>
        </w:tc>
        <w:tc>
          <w:tcPr>
            <w:tcW w:w="4678" w:type="dxa"/>
            <w:vAlign w:val="center"/>
          </w:tcPr>
          <w:p w14:paraId="4C66D80A"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w:t>
            </w:r>
            <w:r w:rsidRPr="00486970">
              <w:rPr>
                <w:rFonts w:cstheme="minorHAnsi"/>
                <w:color w:val="000000"/>
                <w:sz w:val="20"/>
                <w:szCs w:val="20"/>
              </w:rPr>
              <w:t xml:space="preserve"> Hypertensive heart disease (1120)</w:t>
            </w:r>
          </w:p>
          <w:p w14:paraId="207ADC44"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w:t>
            </w:r>
            <w:r w:rsidRPr="00486970">
              <w:rPr>
                <w:rFonts w:cstheme="minorHAnsi"/>
                <w:color w:val="000000"/>
                <w:sz w:val="20"/>
                <w:szCs w:val="20"/>
              </w:rPr>
              <w:t xml:space="preserve"> Ischaemic heart disease (1130)</w:t>
            </w:r>
          </w:p>
          <w:p w14:paraId="2460CE02"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lastRenderedPageBreak/>
              <w:t xml:space="preserve">→ </w:t>
            </w:r>
            <w:r w:rsidRPr="00486970">
              <w:rPr>
                <w:rFonts w:cstheme="minorHAnsi"/>
                <w:color w:val="000000"/>
                <w:sz w:val="20"/>
                <w:szCs w:val="20"/>
              </w:rPr>
              <w:t>Other circulatory diseases (1160)</w:t>
            </w:r>
          </w:p>
          <w:p w14:paraId="30CBEA22" w14:textId="77777777" w:rsidR="009443FF" w:rsidRPr="00486970" w:rsidRDefault="009443FF" w:rsidP="009443FF">
            <w:pPr>
              <w:tabs>
                <w:tab w:val="left" w:pos="4693"/>
              </w:tabs>
              <w:rPr>
                <w:rFonts w:cstheme="minorHAnsi"/>
                <w:b/>
                <w:bCs/>
                <w:color w:val="000000"/>
                <w:sz w:val="20"/>
                <w:szCs w:val="20"/>
              </w:rPr>
            </w:pPr>
            <w:r w:rsidRPr="00486970">
              <w:rPr>
                <w:rFonts w:cstheme="minorHAnsi"/>
                <w:b/>
                <w:bCs/>
                <w:color w:val="000000"/>
                <w:sz w:val="20"/>
                <w:szCs w:val="20"/>
              </w:rPr>
              <w:t xml:space="preserve">→ </w:t>
            </w:r>
            <w:r w:rsidRPr="00486970">
              <w:rPr>
                <w:rFonts w:cstheme="minorHAnsi"/>
                <w:color w:val="000000"/>
                <w:sz w:val="20"/>
                <w:szCs w:val="20"/>
              </w:rPr>
              <w:t>Cardiomyopathy, myocarditis, endocarditis (1150)</w:t>
            </w:r>
          </w:p>
        </w:tc>
      </w:tr>
      <w:tr w:rsidR="009443FF" w:rsidRPr="00486970" w14:paraId="1D8CE34E" w14:textId="77777777" w:rsidTr="004D1906">
        <w:trPr>
          <w:trHeight w:val="343"/>
        </w:trPr>
        <w:tc>
          <w:tcPr>
            <w:tcW w:w="5402" w:type="dxa"/>
            <w:vAlign w:val="center"/>
          </w:tcPr>
          <w:p w14:paraId="0CFA269F" w14:textId="77777777" w:rsidR="009443FF" w:rsidRPr="00486970" w:rsidRDefault="009443FF" w:rsidP="009443FF">
            <w:pPr>
              <w:tabs>
                <w:tab w:val="left" w:pos="4693"/>
              </w:tabs>
              <w:rPr>
                <w:rFonts w:cstheme="minorHAnsi"/>
                <w:sz w:val="20"/>
                <w:szCs w:val="20"/>
              </w:rPr>
            </w:pPr>
            <w:r w:rsidRPr="00486970">
              <w:rPr>
                <w:rFonts w:cstheme="minorHAnsi"/>
                <w:color w:val="000000"/>
                <w:sz w:val="20"/>
                <w:szCs w:val="20"/>
              </w:rPr>
              <w:lastRenderedPageBreak/>
              <w:t xml:space="preserve">Furosemide  </w:t>
            </w:r>
          </w:p>
        </w:tc>
        <w:tc>
          <w:tcPr>
            <w:tcW w:w="4678" w:type="dxa"/>
            <w:vAlign w:val="center"/>
          </w:tcPr>
          <w:p w14:paraId="73A8608C" w14:textId="77777777" w:rsidR="009443FF" w:rsidRPr="00486970" w:rsidRDefault="009443FF" w:rsidP="009443FF">
            <w:pPr>
              <w:tabs>
                <w:tab w:val="left" w:pos="4693"/>
              </w:tabs>
              <w:rPr>
                <w:rFonts w:cstheme="minorHAnsi"/>
                <w:b/>
                <w:bCs/>
                <w:color w:val="000000"/>
                <w:sz w:val="20"/>
                <w:szCs w:val="20"/>
              </w:rPr>
            </w:pPr>
            <w:r w:rsidRPr="00486970">
              <w:rPr>
                <w:rFonts w:cstheme="minorHAnsi"/>
                <w:b/>
                <w:bCs/>
                <w:color w:val="000000"/>
                <w:sz w:val="20"/>
                <w:szCs w:val="20"/>
              </w:rPr>
              <w:t xml:space="preserve">→ </w:t>
            </w:r>
            <w:r w:rsidRPr="00486970">
              <w:rPr>
                <w:rFonts w:cstheme="minorHAnsi"/>
                <w:color w:val="000000"/>
                <w:sz w:val="20"/>
                <w:szCs w:val="20"/>
              </w:rPr>
              <w:t>Cardiomyopathy, myocarditis, endocarditis (1150)</w:t>
            </w:r>
          </w:p>
        </w:tc>
      </w:tr>
      <w:tr w:rsidR="009443FF" w:rsidRPr="00486970" w14:paraId="32DF718E" w14:textId="77777777" w:rsidTr="004D1906">
        <w:trPr>
          <w:trHeight w:val="343"/>
        </w:trPr>
        <w:tc>
          <w:tcPr>
            <w:tcW w:w="5402" w:type="dxa"/>
            <w:vAlign w:val="center"/>
          </w:tcPr>
          <w:p w14:paraId="40F8F855" w14:textId="77777777" w:rsidR="009443FF" w:rsidRPr="00486970" w:rsidRDefault="009443FF" w:rsidP="009443FF">
            <w:pPr>
              <w:tabs>
                <w:tab w:val="left" w:pos="4693"/>
              </w:tabs>
              <w:rPr>
                <w:rFonts w:cstheme="minorHAnsi"/>
                <w:color w:val="000000"/>
                <w:sz w:val="20"/>
                <w:szCs w:val="20"/>
              </w:rPr>
            </w:pPr>
            <w:r w:rsidRPr="00486970">
              <w:rPr>
                <w:rFonts w:cstheme="minorHAnsi"/>
                <w:sz w:val="20"/>
                <w:szCs w:val="20"/>
              </w:rPr>
              <w:t xml:space="preserve">Simvastatin or other statin </w:t>
            </w:r>
          </w:p>
        </w:tc>
        <w:tc>
          <w:tcPr>
            <w:tcW w:w="4678" w:type="dxa"/>
            <w:vAlign w:val="center"/>
          </w:tcPr>
          <w:p w14:paraId="2A5BBC48"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w:t>
            </w:r>
            <w:r w:rsidRPr="00486970">
              <w:rPr>
                <w:rFonts w:cstheme="minorHAnsi"/>
                <w:color w:val="000000"/>
                <w:sz w:val="20"/>
                <w:szCs w:val="20"/>
              </w:rPr>
              <w:t xml:space="preserve"> Ischaemic heart disease (1130)</w:t>
            </w:r>
          </w:p>
          <w:p w14:paraId="1C52E31C"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w:t>
            </w:r>
            <w:r w:rsidRPr="00486970">
              <w:rPr>
                <w:rFonts w:cstheme="minorHAnsi"/>
                <w:color w:val="000000"/>
                <w:sz w:val="20"/>
                <w:szCs w:val="20"/>
              </w:rPr>
              <w:t xml:space="preserve"> Stroke (1140)</w:t>
            </w:r>
          </w:p>
        </w:tc>
      </w:tr>
      <w:tr w:rsidR="009443FF" w:rsidRPr="00486970" w14:paraId="11E9236B" w14:textId="77777777" w:rsidTr="004D1906">
        <w:tc>
          <w:tcPr>
            <w:tcW w:w="5402" w:type="dxa"/>
            <w:vAlign w:val="center"/>
          </w:tcPr>
          <w:p w14:paraId="411419E5" w14:textId="77777777" w:rsidR="009443FF" w:rsidRPr="00486970" w:rsidRDefault="009443FF" w:rsidP="009443FF">
            <w:pPr>
              <w:tabs>
                <w:tab w:val="left" w:pos="4693"/>
              </w:tabs>
              <w:rPr>
                <w:rFonts w:cstheme="minorHAnsi"/>
                <w:sz w:val="20"/>
                <w:szCs w:val="20"/>
              </w:rPr>
            </w:pPr>
            <w:r w:rsidRPr="00486970">
              <w:rPr>
                <w:rFonts w:cstheme="minorHAnsi"/>
                <w:color w:val="000000"/>
                <w:sz w:val="20"/>
                <w:szCs w:val="20"/>
              </w:rPr>
              <w:t>Acetylsalicylic acid (aspirin)</w:t>
            </w:r>
          </w:p>
        </w:tc>
        <w:tc>
          <w:tcPr>
            <w:tcW w:w="4678" w:type="dxa"/>
            <w:vAlign w:val="center"/>
          </w:tcPr>
          <w:p w14:paraId="3B3240B5"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w:t>
            </w:r>
            <w:r w:rsidRPr="00486970">
              <w:rPr>
                <w:rFonts w:cstheme="minorHAnsi"/>
                <w:color w:val="000000"/>
                <w:sz w:val="20"/>
                <w:szCs w:val="20"/>
              </w:rPr>
              <w:t xml:space="preserve"> Ischaemic heart disease (1130)</w:t>
            </w:r>
          </w:p>
        </w:tc>
      </w:tr>
      <w:tr w:rsidR="009443FF" w:rsidRPr="00486970" w14:paraId="2CC55F8D" w14:textId="77777777" w:rsidTr="004D1906">
        <w:tc>
          <w:tcPr>
            <w:tcW w:w="5402" w:type="dxa"/>
            <w:vAlign w:val="center"/>
          </w:tcPr>
          <w:p w14:paraId="3800742C" w14:textId="77777777" w:rsidR="009443FF" w:rsidRPr="00486970" w:rsidRDefault="009443FF" w:rsidP="009443FF">
            <w:pPr>
              <w:tabs>
                <w:tab w:val="left" w:pos="4693"/>
              </w:tabs>
              <w:rPr>
                <w:rFonts w:cstheme="minorHAnsi"/>
                <w:color w:val="000000"/>
                <w:sz w:val="20"/>
                <w:szCs w:val="20"/>
              </w:rPr>
            </w:pPr>
            <w:r w:rsidRPr="00486970">
              <w:rPr>
                <w:rFonts w:cstheme="minorHAnsi"/>
                <w:sz w:val="20"/>
                <w:szCs w:val="20"/>
              </w:rPr>
              <w:t>Morphine</w:t>
            </w:r>
          </w:p>
        </w:tc>
        <w:tc>
          <w:tcPr>
            <w:tcW w:w="4678" w:type="dxa"/>
            <w:vAlign w:val="center"/>
          </w:tcPr>
          <w:p w14:paraId="04758D96" w14:textId="77777777" w:rsidR="009443FF" w:rsidRPr="00486970" w:rsidRDefault="009443FF" w:rsidP="009443FF">
            <w:pPr>
              <w:rPr>
                <w:rFonts w:cstheme="minorHAnsi"/>
                <w:color w:val="000000"/>
                <w:sz w:val="20"/>
                <w:szCs w:val="20"/>
              </w:rPr>
            </w:pPr>
            <w:r w:rsidRPr="00486970">
              <w:rPr>
                <w:rFonts w:cstheme="minorHAnsi"/>
                <w:b/>
                <w:bCs/>
                <w:color w:val="000000"/>
                <w:sz w:val="20"/>
                <w:szCs w:val="20"/>
              </w:rPr>
              <w:t xml:space="preserve">→ </w:t>
            </w:r>
            <w:r w:rsidRPr="00486970">
              <w:rPr>
                <w:rFonts w:cstheme="minorHAnsi"/>
                <w:color w:val="000000"/>
                <w:sz w:val="20"/>
                <w:szCs w:val="20"/>
              </w:rPr>
              <w:t>Malignant neoplasms (610)</w:t>
            </w:r>
          </w:p>
        </w:tc>
      </w:tr>
      <w:tr w:rsidR="009443FF" w:rsidRPr="00486970" w14:paraId="265EFA5F" w14:textId="77777777" w:rsidTr="004D1906">
        <w:tc>
          <w:tcPr>
            <w:tcW w:w="5402" w:type="dxa"/>
            <w:vAlign w:val="center"/>
          </w:tcPr>
          <w:p w14:paraId="2AEF7692" w14:textId="77777777" w:rsidR="009443FF" w:rsidRPr="00486970" w:rsidRDefault="009443FF" w:rsidP="009443FF">
            <w:pPr>
              <w:tabs>
                <w:tab w:val="left" w:pos="4693"/>
              </w:tabs>
              <w:rPr>
                <w:rFonts w:cstheme="minorHAnsi"/>
                <w:color w:val="000000"/>
                <w:sz w:val="20"/>
                <w:szCs w:val="20"/>
              </w:rPr>
            </w:pPr>
            <w:r w:rsidRPr="00486970">
              <w:rPr>
                <w:rFonts w:cstheme="minorHAnsi"/>
                <w:sz w:val="20"/>
                <w:szCs w:val="20"/>
              </w:rPr>
              <w:t>Paracetamol</w:t>
            </w:r>
          </w:p>
        </w:tc>
        <w:tc>
          <w:tcPr>
            <w:tcW w:w="4678" w:type="dxa"/>
            <w:vAlign w:val="center"/>
          </w:tcPr>
          <w:p w14:paraId="3FA48A6B" w14:textId="77777777" w:rsidR="009443FF" w:rsidRPr="00486970" w:rsidRDefault="009443FF" w:rsidP="009443FF">
            <w:pPr>
              <w:tabs>
                <w:tab w:val="left" w:pos="4693"/>
              </w:tabs>
              <w:rPr>
                <w:rFonts w:cstheme="minorHAnsi"/>
                <w:color w:val="7F7F7F" w:themeColor="text1" w:themeTint="80"/>
                <w:sz w:val="20"/>
                <w:szCs w:val="20"/>
              </w:rPr>
            </w:pPr>
            <w:r w:rsidRPr="00486970">
              <w:rPr>
                <w:rFonts w:cstheme="minorHAnsi"/>
                <w:b/>
                <w:bCs/>
                <w:sz w:val="20"/>
                <w:szCs w:val="20"/>
              </w:rPr>
              <w:t xml:space="preserve">→ </w:t>
            </w:r>
            <w:r w:rsidRPr="00486970">
              <w:rPr>
                <w:rFonts w:cstheme="minorHAnsi"/>
                <w:sz w:val="20"/>
                <w:szCs w:val="20"/>
              </w:rPr>
              <w:t>weight =</w:t>
            </w:r>
            <w:r w:rsidRPr="00486970">
              <w:rPr>
                <w:rFonts w:cstheme="minorHAnsi"/>
                <w:b/>
                <w:bCs/>
                <w:sz w:val="20"/>
                <w:szCs w:val="20"/>
              </w:rPr>
              <w:t xml:space="preserve"> </w:t>
            </w:r>
            <w:r w:rsidRPr="00486970">
              <w:rPr>
                <w:rFonts w:cstheme="minorHAnsi"/>
                <w:sz w:val="20"/>
                <w:szCs w:val="20"/>
              </w:rPr>
              <w:t>1/T</w:t>
            </w:r>
          </w:p>
        </w:tc>
      </w:tr>
      <w:tr w:rsidR="009443FF" w:rsidRPr="00486970" w14:paraId="7495472C" w14:textId="77777777" w:rsidTr="004D1906">
        <w:tc>
          <w:tcPr>
            <w:tcW w:w="5402" w:type="dxa"/>
            <w:vAlign w:val="center"/>
          </w:tcPr>
          <w:p w14:paraId="24B7DDA3" w14:textId="77777777" w:rsidR="009443FF" w:rsidRPr="00486970" w:rsidRDefault="009443FF" w:rsidP="009443FF">
            <w:pPr>
              <w:tabs>
                <w:tab w:val="left" w:pos="4693"/>
              </w:tabs>
              <w:rPr>
                <w:rFonts w:cstheme="minorHAnsi"/>
                <w:i/>
                <w:iCs/>
                <w:color w:val="404040" w:themeColor="text1" w:themeTint="BF"/>
                <w:sz w:val="20"/>
                <w:szCs w:val="20"/>
              </w:rPr>
            </w:pPr>
            <w:r w:rsidRPr="00486970">
              <w:rPr>
                <w:rFonts w:cstheme="minorHAnsi"/>
                <w:sz w:val="20"/>
                <w:szCs w:val="20"/>
              </w:rPr>
              <w:t>Ibuprofen</w:t>
            </w:r>
          </w:p>
        </w:tc>
        <w:tc>
          <w:tcPr>
            <w:tcW w:w="4678" w:type="dxa"/>
            <w:vAlign w:val="center"/>
          </w:tcPr>
          <w:p w14:paraId="3CBE88DC" w14:textId="77777777" w:rsidR="009443FF" w:rsidRPr="00486970" w:rsidRDefault="009443FF" w:rsidP="009443FF">
            <w:pPr>
              <w:tabs>
                <w:tab w:val="left" w:pos="4693"/>
              </w:tabs>
              <w:rPr>
                <w:rFonts w:cstheme="minorHAnsi"/>
                <w:b/>
                <w:bCs/>
                <w:color w:val="7F7F7F" w:themeColor="text1" w:themeTint="80"/>
                <w:sz w:val="20"/>
                <w:szCs w:val="20"/>
              </w:rPr>
            </w:pPr>
            <w:r w:rsidRPr="00486970">
              <w:rPr>
                <w:rFonts w:cstheme="minorHAnsi"/>
                <w:b/>
                <w:bCs/>
                <w:sz w:val="20"/>
                <w:szCs w:val="20"/>
              </w:rPr>
              <w:t xml:space="preserve">→ </w:t>
            </w:r>
            <w:r w:rsidRPr="00486970">
              <w:rPr>
                <w:rFonts w:cstheme="minorHAnsi"/>
                <w:sz w:val="20"/>
                <w:szCs w:val="20"/>
              </w:rPr>
              <w:t>weight =</w:t>
            </w:r>
            <w:r w:rsidRPr="00486970">
              <w:rPr>
                <w:rFonts w:cstheme="minorHAnsi"/>
                <w:b/>
                <w:bCs/>
                <w:sz w:val="20"/>
                <w:szCs w:val="20"/>
              </w:rPr>
              <w:t xml:space="preserve"> </w:t>
            </w:r>
            <w:r w:rsidRPr="00486970">
              <w:rPr>
                <w:rFonts w:cstheme="minorHAnsi"/>
                <w:sz w:val="20"/>
                <w:szCs w:val="20"/>
              </w:rPr>
              <w:t>1/T</w:t>
            </w:r>
          </w:p>
        </w:tc>
      </w:tr>
      <w:tr w:rsidR="009443FF" w:rsidRPr="00486970" w14:paraId="404FA893" w14:textId="77777777" w:rsidTr="004D1906">
        <w:tc>
          <w:tcPr>
            <w:tcW w:w="5402" w:type="dxa"/>
            <w:vAlign w:val="center"/>
          </w:tcPr>
          <w:p w14:paraId="1DD8485D" w14:textId="77777777" w:rsidR="009443FF" w:rsidRPr="00486970" w:rsidRDefault="009443FF" w:rsidP="009443FF">
            <w:pPr>
              <w:tabs>
                <w:tab w:val="left" w:pos="4693"/>
              </w:tabs>
              <w:rPr>
                <w:rFonts w:cstheme="minorHAnsi"/>
                <w:sz w:val="20"/>
                <w:szCs w:val="20"/>
              </w:rPr>
            </w:pPr>
            <w:r w:rsidRPr="00486970">
              <w:rPr>
                <w:rFonts w:cstheme="minorHAnsi"/>
                <w:sz w:val="20"/>
                <w:szCs w:val="20"/>
              </w:rPr>
              <w:t xml:space="preserve">Fluoxetine or other selective serotonin reuptake inhibitor </w:t>
            </w:r>
          </w:p>
        </w:tc>
        <w:tc>
          <w:tcPr>
            <w:tcW w:w="4678" w:type="dxa"/>
            <w:vAlign w:val="center"/>
          </w:tcPr>
          <w:p w14:paraId="0D5CE87D"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w:t>
            </w:r>
            <w:r w:rsidRPr="00486970">
              <w:rPr>
                <w:rFonts w:cstheme="minorHAnsi"/>
                <w:color w:val="000000"/>
                <w:sz w:val="20"/>
                <w:szCs w:val="20"/>
              </w:rPr>
              <w:t xml:space="preserve"> Depressive disorders (830)</w:t>
            </w:r>
          </w:p>
        </w:tc>
      </w:tr>
      <w:tr w:rsidR="009443FF" w:rsidRPr="00486970" w14:paraId="49C64F4E" w14:textId="77777777" w:rsidTr="004D1906">
        <w:tc>
          <w:tcPr>
            <w:tcW w:w="5402" w:type="dxa"/>
            <w:vAlign w:val="center"/>
          </w:tcPr>
          <w:p w14:paraId="4B02ECD6" w14:textId="77777777" w:rsidR="009443FF" w:rsidRPr="00486970" w:rsidRDefault="009443FF" w:rsidP="009443FF">
            <w:pPr>
              <w:tabs>
                <w:tab w:val="left" w:pos="4693"/>
              </w:tabs>
              <w:rPr>
                <w:rFonts w:cstheme="minorHAnsi"/>
                <w:sz w:val="20"/>
                <w:szCs w:val="20"/>
              </w:rPr>
            </w:pPr>
            <w:r w:rsidRPr="00486970">
              <w:rPr>
                <w:rFonts w:cstheme="minorHAnsi"/>
                <w:color w:val="000000"/>
                <w:sz w:val="20"/>
                <w:szCs w:val="20"/>
              </w:rPr>
              <w:t xml:space="preserve">Phenytoin or Carbamazepine </w:t>
            </w:r>
          </w:p>
        </w:tc>
        <w:tc>
          <w:tcPr>
            <w:tcW w:w="4678" w:type="dxa"/>
            <w:vAlign w:val="center"/>
          </w:tcPr>
          <w:p w14:paraId="4A44BAFD"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w:t>
            </w:r>
            <w:r w:rsidRPr="00486970">
              <w:rPr>
                <w:rFonts w:cstheme="minorHAnsi"/>
                <w:color w:val="000000"/>
                <w:sz w:val="20"/>
                <w:szCs w:val="20"/>
              </w:rPr>
              <w:t xml:space="preserve"> Epilepsy (970)</w:t>
            </w:r>
          </w:p>
        </w:tc>
      </w:tr>
      <w:tr w:rsidR="009443FF" w:rsidRPr="00486970" w14:paraId="05B836B8" w14:textId="77777777" w:rsidTr="004D1906">
        <w:tc>
          <w:tcPr>
            <w:tcW w:w="5402" w:type="dxa"/>
            <w:vAlign w:val="center"/>
          </w:tcPr>
          <w:p w14:paraId="57DD438B" w14:textId="77777777" w:rsidR="009443FF" w:rsidRPr="00486970" w:rsidRDefault="009443FF" w:rsidP="009443FF">
            <w:pPr>
              <w:tabs>
                <w:tab w:val="left" w:pos="4693"/>
              </w:tabs>
              <w:rPr>
                <w:rFonts w:cstheme="minorHAnsi"/>
                <w:color w:val="000000"/>
                <w:sz w:val="20"/>
                <w:szCs w:val="20"/>
              </w:rPr>
            </w:pPr>
            <w:r w:rsidRPr="00486970">
              <w:rPr>
                <w:rFonts w:cstheme="minorHAnsi"/>
                <w:color w:val="000000"/>
                <w:sz w:val="20"/>
                <w:szCs w:val="20"/>
              </w:rPr>
              <w:t>Gentamicin</w:t>
            </w:r>
          </w:p>
        </w:tc>
        <w:tc>
          <w:tcPr>
            <w:tcW w:w="4678" w:type="dxa"/>
            <w:vAlign w:val="center"/>
          </w:tcPr>
          <w:p w14:paraId="5E750E06"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 xml:space="preserve">→ </w:t>
            </w:r>
            <w:r w:rsidRPr="00486970">
              <w:rPr>
                <w:rFonts w:cstheme="minorHAnsi"/>
                <w:color w:val="000000"/>
                <w:sz w:val="20"/>
                <w:szCs w:val="20"/>
              </w:rPr>
              <w:t>Lower respiratory infections (390)</w:t>
            </w:r>
          </w:p>
          <w:p w14:paraId="4BA7F6E9"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 xml:space="preserve">→ </w:t>
            </w:r>
            <w:r w:rsidRPr="00486970">
              <w:rPr>
                <w:rFonts w:cstheme="minorHAnsi"/>
                <w:color w:val="000000"/>
                <w:sz w:val="20"/>
                <w:szCs w:val="20"/>
              </w:rPr>
              <w:t>Infectious and parasitic diseases (20)</w:t>
            </w:r>
          </w:p>
        </w:tc>
      </w:tr>
      <w:tr w:rsidR="009443FF" w:rsidRPr="00486970" w14:paraId="04675EC6" w14:textId="77777777" w:rsidTr="004D1906">
        <w:tc>
          <w:tcPr>
            <w:tcW w:w="5402" w:type="dxa"/>
            <w:vAlign w:val="center"/>
          </w:tcPr>
          <w:p w14:paraId="0717DDCE" w14:textId="77777777" w:rsidR="009443FF" w:rsidRPr="00486970" w:rsidRDefault="009443FF" w:rsidP="009443FF">
            <w:pPr>
              <w:tabs>
                <w:tab w:val="left" w:pos="4693"/>
              </w:tabs>
              <w:rPr>
                <w:rFonts w:cstheme="minorHAnsi"/>
                <w:i/>
                <w:iCs/>
                <w:color w:val="000000"/>
                <w:sz w:val="20"/>
                <w:szCs w:val="20"/>
              </w:rPr>
            </w:pPr>
            <w:r w:rsidRPr="00486970">
              <w:rPr>
                <w:rFonts w:cstheme="minorHAnsi"/>
                <w:color w:val="000000"/>
                <w:sz w:val="20"/>
                <w:szCs w:val="20"/>
              </w:rPr>
              <w:t>Amoxicillin</w:t>
            </w:r>
          </w:p>
        </w:tc>
        <w:tc>
          <w:tcPr>
            <w:tcW w:w="4678" w:type="dxa"/>
            <w:vMerge w:val="restart"/>
            <w:vAlign w:val="center"/>
          </w:tcPr>
          <w:p w14:paraId="39A4DAB7"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 xml:space="preserve">→ </w:t>
            </w:r>
            <w:r w:rsidRPr="00486970">
              <w:rPr>
                <w:rFonts w:cstheme="minorHAnsi"/>
                <w:color w:val="000000"/>
                <w:sz w:val="20"/>
                <w:szCs w:val="20"/>
              </w:rPr>
              <w:t>Infectious and parasitic diseases (20)</w:t>
            </w:r>
          </w:p>
        </w:tc>
      </w:tr>
      <w:tr w:rsidR="009443FF" w:rsidRPr="00486970" w14:paraId="6121D00F" w14:textId="77777777" w:rsidTr="004D1906">
        <w:trPr>
          <w:trHeight w:val="281"/>
        </w:trPr>
        <w:tc>
          <w:tcPr>
            <w:tcW w:w="5402" w:type="dxa"/>
            <w:vAlign w:val="center"/>
          </w:tcPr>
          <w:p w14:paraId="0CAB7F91" w14:textId="77777777" w:rsidR="009443FF" w:rsidRPr="00486970" w:rsidRDefault="009443FF" w:rsidP="009443FF">
            <w:pPr>
              <w:tabs>
                <w:tab w:val="left" w:pos="4693"/>
              </w:tabs>
              <w:rPr>
                <w:rFonts w:cstheme="minorHAnsi"/>
                <w:color w:val="000000"/>
                <w:sz w:val="20"/>
                <w:szCs w:val="20"/>
              </w:rPr>
            </w:pPr>
            <w:r w:rsidRPr="00486970">
              <w:rPr>
                <w:rFonts w:cstheme="minorHAnsi"/>
                <w:color w:val="000000"/>
                <w:sz w:val="20"/>
                <w:szCs w:val="20"/>
              </w:rPr>
              <w:t>Ceftriaxone</w:t>
            </w:r>
          </w:p>
        </w:tc>
        <w:tc>
          <w:tcPr>
            <w:tcW w:w="4678" w:type="dxa"/>
            <w:vMerge/>
            <w:vAlign w:val="center"/>
          </w:tcPr>
          <w:p w14:paraId="2A49828B" w14:textId="77777777" w:rsidR="009443FF" w:rsidRPr="00486970" w:rsidRDefault="009443FF" w:rsidP="009443FF">
            <w:pPr>
              <w:tabs>
                <w:tab w:val="left" w:pos="4693"/>
              </w:tabs>
              <w:rPr>
                <w:rFonts w:cstheme="minorHAnsi"/>
                <w:b/>
                <w:bCs/>
                <w:color w:val="000000"/>
                <w:sz w:val="20"/>
                <w:szCs w:val="20"/>
              </w:rPr>
            </w:pPr>
          </w:p>
        </w:tc>
      </w:tr>
      <w:tr w:rsidR="009443FF" w:rsidRPr="00486970" w14:paraId="13A67396" w14:textId="77777777" w:rsidTr="004D1906">
        <w:tc>
          <w:tcPr>
            <w:tcW w:w="5402" w:type="dxa"/>
            <w:vAlign w:val="center"/>
          </w:tcPr>
          <w:p w14:paraId="6937A6D0" w14:textId="77777777" w:rsidR="009443FF" w:rsidRPr="00486970" w:rsidRDefault="009443FF" w:rsidP="009443FF">
            <w:pPr>
              <w:tabs>
                <w:tab w:val="left" w:pos="4693"/>
              </w:tabs>
              <w:rPr>
                <w:rFonts w:cstheme="minorHAnsi"/>
                <w:color w:val="000000"/>
                <w:sz w:val="20"/>
                <w:szCs w:val="20"/>
              </w:rPr>
            </w:pPr>
            <w:r w:rsidRPr="00486970">
              <w:rPr>
                <w:rFonts w:cstheme="minorHAnsi"/>
                <w:color w:val="000000"/>
                <w:sz w:val="20"/>
                <w:szCs w:val="20"/>
              </w:rPr>
              <w:t>Procaine benzylpenicillin or Benzathine benzylpenicillin</w:t>
            </w:r>
          </w:p>
        </w:tc>
        <w:tc>
          <w:tcPr>
            <w:tcW w:w="4678" w:type="dxa"/>
            <w:vMerge/>
            <w:vAlign w:val="center"/>
          </w:tcPr>
          <w:p w14:paraId="170771D3" w14:textId="77777777" w:rsidR="009443FF" w:rsidRPr="00486970" w:rsidRDefault="009443FF" w:rsidP="009443FF">
            <w:pPr>
              <w:tabs>
                <w:tab w:val="left" w:pos="4693"/>
              </w:tabs>
              <w:rPr>
                <w:rFonts w:cstheme="minorHAnsi"/>
                <w:color w:val="000000"/>
                <w:sz w:val="20"/>
                <w:szCs w:val="20"/>
              </w:rPr>
            </w:pPr>
          </w:p>
        </w:tc>
      </w:tr>
      <w:tr w:rsidR="009443FF" w:rsidRPr="00486970" w14:paraId="2B5366C0" w14:textId="77777777" w:rsidTr="004D1906">
        <w:tc>
          <w:tcPr>
            <w:tcW w:w="5402" w:type="dxa"/>
            <w:vAlign w:val="center"/>
          </w:tcPr>
          <w:p w14:paraId="73AD035A" w14:textId="77777777" w:rsidR="009443FF" w:rsidRPr="00486970" w:rsidRDefault="009443FF" w:rsidP="009443FF">
            <w:pPr>
              <w:rPr>
                <w:rFonts w:cstheme="minorHAnsi"/>
                <w:sz w:val="20"/>
                <w:szCs w:val="20"/>
              </w:rPr>
            </w:pPr>
            <w:r w:rsidRPr="00486970">
              <w:rPr>
                <w:rFonts w:cstheme="minorHAnsi"/>
                <w:sz w:val="20"/>
                <w:szCs w:val="20"/>
              </w:rPr>
              <w:t>Ethinylestradiol + levonorgestrel (or alternative combined oral contraceptive)</w:t>
            </w:r>
          </w:p>
        </w:tc>
        <w:tc>
          <w:tcPr>
            <w:tcW w:w="4678" w:type="dxa"/>
            <w:vMerge w:val="restart"/>
            <w:vAlign w:val="center"/>
          </w:tcPr>
          <w:p w14:paraId="4F6686EF"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 xml:space="preserve">→ </w:t>
            </w:r>
            <w:r w:rsidRPr="00486970">
              <w:rPr>
                <w:rFonts w:cstheme="minorHAnsi"/>
                <w:color w:val="000000"/>
                <w:sz w:val="20"/>
                <w:szCs w:val="20"/>
              </w:rPr>
              <w:t>Maternal conditions (420)</w:t>
            </w:r>
          </w:p>
        </w:tc>
      </w:tr>
      <w:tr w:rsidR="009443FF" w:rsidRPr="00486970" w14:paraId="443BAD0A" w14:textId="77777777" w:rsidTr="004D1906">
        <w:tc>
          <w:tcPr>
            <w:tcW w:w="5402" w:type="dxa"/>
            <w:vAlign w:val="center"/>
          </w:tcPr>
          <w:p w14:paraId="3999AB1E" w14:textId="77777777" w:rsidR="009443FF" w:rsidRPr="00486970" w:rsidRDefault="009443FF" w:rsidP="009443FF">
            <w:pPr>
              <w:rPr>
                <w:rFonts w:cstheme="minorHAnsi"/>
                <w:sz w:val="20"/>
                <w:szCs w:val="20"/>
              </w:rPr>
            </w:pPr>
            <w:r w:rsidRPr="00486970">
              <w:rPr>
                <w:rFonts w:cstheme="minorHAnsi"/>
                <w:sz w:val="20"/>
                <w:szCs w:val="20"/>
              </w:rPr>
              <w:t xml:space="preserve">Medroxyprogesterone acetate injection </w:t>
            </w:r>
          </w:p>
        </w:tc>
        <w:tc>
          <w:tcPr>
            <w:tcW w:w="4678" w:type="dxa"/>
            <w:vMerge/>
            <w:vAlign w:val="center"/>
          </w:tcPr>
          <w:p w14:paraId="57466FCB" w14:textId="77777777" w:rsidR="009443FF" w:rsidRPr="00486970" w:rsidRDefault="009443FF" w:rsidP="009443FF">
            <w:pPr>
              <w:tabs>
                <w:tab w:val="left" w:pos="4693"/>
              </w:tabs>
              <w:rPr>
                <w:rFonts w:cstheme="minorHAnsi"/>
                <w:color w:val="000000"/>
                <w:sz w:val="20"/>
                <w:szCs w:val="20"/>
              </w:rPr>
            </w:pPr>
          </w:p>
        </w:tc>
      </w:tr>
      <w:tr w:rsidR="009443FF" w:rsidRPr="00486970" w14:paraId="0A8FEDE3" w14:textId="77777777" w:rsidTr="004D1906">
        <w:tc>
          <w:tcPr>
            <w:tcW w:w="5402" w:type="dxa"/>
            <w:vAlign w:val="center"/>
          </w:tcPr>
          <w:p w14:paraId="406A40DC" w14:textId="77777777" w:rsidR="009443FF" w:rsidRPr="00486970" w:rsidRDefault="009443FF" w:rsidP="009443FF">
            <w:pPr>
              <w:rPr>
                <w:rFonts w:cstheme="minorHAnsi"/>
                <w:sz w:val="20"/>
                <w:szCs w:val="20"/>
              </w:rPr>
            </w:pPr>
            <w:r w:rsidRPr="00486970">
              <w:rPr>
                <w:rFonts w:cstheme="minorHAnsi"/>
                <w:sz w:val="20"/>
                <w:szCs w:val="20"/>
              </w:rPr>
              <w:t>Progesterone-releasing implant (etonogestrel or levonorgestrel)</w:t>
            </w:r>
          </w:p>
        </w:tc>
        <w:tc>
          <w:tcPr>
            <w:tcW w:w="4678" w:type="dxa"/>
            <w:vMerge/>
            <w:vAlign w:val="center"/>
          </w:tcPr>
          <w:p w14:paraId="474704CC" w14:textId="77777777" w:rsidR="009443FF" w:rsidRPr="00486970" w:rsidRDefault="009443FF" w:rsidP="009443FF">
            <w:pPr>
              <w:tabs>
                <w:tab w:val="left" w:pos="4693"/>
              </w:tabs>
              <w:rPr>
                <w:rFonts w:cstheme="minorHAnsi"/>
                <w:color w:val="000000"/>
                <w:sz w:val="20"/>
                <w:szCs w:val="20"/>
              </w:rPr>
            </w:pPr>
          </w:p>
        </w:tc>
      </w:tr>
      <w:tr w:rsidR="009443FF" w:rsidRPr="00486970" w14:paraId="50ADB90F" w14:textId="77777777" w:rsidTr="004D1906">
        <w:tc>
          <w:tcPr>
            <w:tcW w:w="5402" w:type="dxa"/>
            <w:vAlign w:val="center"/>
          </w:tcPr>
          <w:p w14:paraId="4EA5E6E5" w14:textId="77777777" w:rsidR="009443FF" w:rsidRPr="00486970" w:rsidRDefault="009443FF" w:rsidP="009443FF">
            <w:pPr>
              <w:rPr>
                <w:rFonts w:cstheme="minorHAnsi"/>
                <w:sz w:val="20"/>
                <w:szCs w:val="20"/>
              </w:rPr>
            </w:pPr>
            <w:r w:rsidRPr="00486970">
              <w:rPr>
                <w:rFonts w:cstheme="minorHAnsi"/>
                <w:sz w:val="20"/>
                <w:szCs w:val="20"/>
              </w:rPr>
              <w:t>Levonorgestrel</w:t>
            </w:r>
          </w:p>
        </w:tc>
        <w:tc>
          <w:tcPr>
            <w:tcW w:w="4678" w:type="dxa"/>
            <w:vMerge/>
            <w:vAlign w:val="center"/>
          </w:tcPr>
          <w:p w14:paraId="4D97B954" w14:textId="77777777" w:rsidR="009443FF" w:rsidRPr="00486970" w:rsidRDefault="009443FF" w:rsidP="009443FF">
            <w:pPr>
              <w:tabs>
                <w:tab w:val="left" w:pos="4693"/>
              </w:tabs>
              <w:rPr>
                <w:rFonts w:cstheme="minorHAnsi"/>
                <w:color w:val="000000"/>
                <w:sz w:val="20"/>
                <w:szCs w:val="20"/>
              </w:rPr>
            </w:pPr>
          </w:p>
        </w:tc>
      </w:tr>
      <w:tr w:rsidR="009443FF" w:rsidRPr="00486970" w14:paraId="0427F3B6" w14:textId="77777777" w:rsidTr="004D1906">
        <w:tc>
          <w:tcPr>
            <w:tcW w:w="5402" w:type="dxa"/>
            <w:vAlign w:val="center"/>
          </w:tcPr>
          <w:p w14:paraId="33A163B8" w14:textId="77777777" w:rsidR="009443FF" w:rsidRPr="00486970" w:rsidRDefault="009443FF" w:rsidP="009443FF">
            <w:pPr>
              <w:tabs>
                <w:tab w:val="left" w:pos="4693"/>
              </w:tabs>
              <w:rPr>
                <w:rFonts w:cstheme="minorHAnsi"/>
                <w:color w:val="000000"/>
                <w:sz w:val="20"/>
                <w:szCs w:val="20"/>
              </w:rPr>
            </w:pPr>
            <w:r w:rsidRPr="00486970">
              <w:rPr>
                <w:rFonts w:cstheme="minorHAnsi"/>
                <w:color w:val="000000"/>
                <w:sz w:val="20"/>
                <w:szCs w:val="20"/>
              </w:rPr>
              <w:t>Oral rehydration</w:t>
            </w:r>
          </w:p>
        </w:tc>
        <w:tc>
          <w:tcPr>
            <w:tcW w:w="4678" w:type="dxa"/>
            <w:vMerge w:val="restart"/>
            <w:vAlign w:val="center"/>
          </w:tcPr>
          <w:p w14:paraId="517B5991"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 xml:space="preserve">→ </w:t>
            </w:r>
            <w:r w:rsidRPr="00486970">
              <w:rPr>
                <w:rFonts w:cstheme="minorHAnsi"/>
                <w:color w:val="000000"/>
                <w:sz w:val="20"/>
                <w:szCs w:val="20"/>
              </w:rPr>
              <w:t>Diarrhoeal diseases (110)</w:t>
            </w:r>
          </w:p>
        </w:tc>
      </w:tr>
      <w:tr w:rsidR="009443FF" w:rsidRPr="00486970" w14:paraId="01BA86C2" w14:textId="77777777" w:rsidTr="004D1906">
        <w:tc>
          <w:tcPr>
            <w:tcW w:w="5402" w:type="dxa"/>
            <w:vAlign w:val="center"/>
          </w:tcPr>
          <w:p w14:paraId="0BBD2D0A" w14:textId="77777777" w:rsidR="009443FF" w:rsidRPr="00486970" w:rsidRDefault="009443FF" w:rsidP="009443FF">
            <w:pPr>
              <w:tabs>
                <w:tab w:val="left" w:pos="4693"/>
              </w:tabs>
              <w:rPr>
                <w:rFonts w:cstheme="minorHAnsi"/>
                <w:color w:val="000000"/>
                <w:sz w:val="20"/>
                <w:szCs w:val="20"/>
              </w:rPr>
            </w:pPr>
            <w:r w:rsidRPr="00486970">
              <w:rPr>
                <w:rFonts w:cstheme="minorHAnsi"/>
                <w:sz w:val="20"/>
                <w:szCs w:val="20"/>
              </w:rPr>
              <w:t>Zinc sulphate</w:t>
            </w:r>
          </w:p>
        </w:tc>
        <w:tc>
          <w:tcPr>
            <w:tcW w:w="4678" w:type="dxa"/>
            <w:vMerge/>
            <w:vAlign w:val="center"/>
          </w:tcPr>
          <w:p w14:paraId="73759AA4" w14:textId="77777777" w:rsidR="009443FF" w:rsidRPr="00486970" w:rsidRDefault="009443FF" w:rsidP="009443FF">
            <w:pPr>
              <w:tabs>
                <w:tab w:val="left" w:pos="4693"/>
              </w:tabs>
              <w:rPr>
                <w:rFonts w:cstheme="minorHAnsi"/>
                <w:color w:val="000000"/>
                <w:sz w:val="20"/>
                <w:szCs w:val="20"/>
              </w:rPr>
            </w:pPr>
          </w:p>
        </w:tc>
      </w:tr>
      <w:tr w:rsidR="009443FF" w:rsidRPr="00486970" w14:paraId="660E4238" w14:textId="77777777" w:rsidTr="004D1906">
        <w:tc>
          <w:tcPr>
            <w:tcW w:w="5402" w:type="dxa"/>
            <w:vAlign w:val="center"/>
          </w:tcPr>
          <w:p w14:paraId="6BD079A5" w14:textId="77777777" w:rsidR="009443FF" w:rsidRPr="00486970" w:rsidRDefault="009443FF" w:rsidP="009443FF">
            <w:pPr>
              <w:tabs>
                <w:tab w:val="left" w:pos="4693"/>
              </w:tabs>
              <w:rPr>
                <w:rFonts w:cstheme="minorHAnsi"/>
                <w:color w:val="000000"/>
                <w:sz w:val="20"/>
                <w:szCs w:val="20"/>
              </w:rPr>
            </w:pPr>
            <w:r w:rsidRPr="00486970">
              <w:rPr>
                <w:rFonts w:cstheme="minorHAnsi"/>
                <w:color w:val="000000"/>
                <w:sz w:val="20"/>
                <w:szCs w:val="20"/>
              </w:rPr>
              <w:t>Oxytocin</w:t>
            </w:r>
          </w:p>
        </w:tc>
        <w:tc>
          <w:tcPr>
            <w:tcW w:w="4678" w:type="dxa"/>
            <w:vAlign w:val="center"/>
          </w:tcPr>
          <w:p w14:paraId="37D79F7D"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 xml:space="preserve">→ </w:t>
            </w:r>
            <w:r w:rsidRPr="00486970">
              <w:rPr>
                <w:rFonts w:cstheme="minorHAnsi"/>
                <w:color w:val="000000"/>
                <w:sz w:val="20"/>
                <w:szCs w:val="20"/>
              </w:rPr>
              <w:t>Maternal conditions (420)</w:t>
            </w:r>
          </w:p>
        </w:tc>
      </w:tr>
      <w:tr w:rsidR="009443FF" w:rsidRPr="00486970" w14:paraId="7C82D93C" w14:textId="77777777" w:rsidTr="004D1906">
        <w:tc>
          <w:tcPr>
            <w:tcW w:w="5402" w:type="dxa"/>
            <w:vAlign w:val="center"/>
          </w:tcPr>
          <w:p w14:paraId="4C0F46F1" w14:textId="77777777" w:rsidR="009443FF" w:rsidRPr="00486970" w:rsidRDefault="009443FF" w:rsidP="009443FF">
            <w:pPr>
              <w:tabs>
                <w:tab w:val="left" w:pos="4693"/>
              </w:tabs>
              <w:rPr>
                <w:rFonts w:cstheme="minorHAnsi"/>
                <w:color w:val="000000"/>
                <w:sz w:val="20"/>
                <w:szCs w:val="20"/>
              </w:rPr>
            </w:pPr>
            <w:r w:rsidRPr="00486970">
              <w:rPr>
                <w:rFonts w:cstheme="minorHAnsi"/>
                <w:sz w:val="20"/>
                <w:szCs w:val="20"/>
              </w:rPr>
              <w:t>Magnesium sulphate</w:t>
            </w:r>
          </w:p>
        </w:tc>
        <w:tc>
          <w:tcPr>
            <w:tcW w:w="4678" w:type="dxa"/>
            <w:vAlign w:val="center"/>
          </w:tcPr>
          <w:p w14:paraId="01217B46"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 xml:space="preserve">→ </w:t>
            </w:r>
            <w:r w:rsidRPr="00486970">
              <w:rPr>
                <w:rFonts w:cstheme="minorHAnsi"/>
                <w:color w:val="000000"/>
                <w:sz w:val="20"/>
                <w:szCs w:val="20"/>
              </w:rPr>
              <w:t>Epilepsy (970)</w:t>
            </w:r>
          </w:p>
        </w:tc>
      </w:tr>
      <w:tr w:rsidR="009443FF" w:rsidRPr="00486970" w14:paraId="4C16850A" w14:textId="77777777" w:rsidTr="004D1906">
        <w:tc>
          <w:tcPr>
            <w:tcW w:w="5402" w:type="dxa"/>
            <w:vAlign w:val="center"/>
          </w:tcPr>
          <w:p w14:paraId="42D4C477" w14:textId="77777777" w:rsidR="009443FF" w:rsidRPr="00486970" w:rsidRDefault="009443FF" w:rsidP="009443FF">
            <w:pPr>
              <w:tabs>
                <w:tab w:val="left" w:pos="4693"/>
              </w:tabs>
              <w:rPr>
                <w:rFonts w:cstheme="minorHAnsi"/>
                <w:color w:val="000000"/>
                <w:sz w:val="20"/>
                <w:szCs w:val="20"/>
              </w:rPr>
            </w:pPr>
            <w:r w:rsidRPr="00486970">
              <w:rPr>
                <w:rFonts w:cstheme="minorHAnsi"/>
                <w:sz w:val="20"/>
                <w:szCs w:val="20"/>
              </w:rPr>
              <w:t>Folic acid</w:t>
            </w:r>
          </w:p>
        </w:tc>
        <w:tc>
          <w:tcPr>
            <w:tcW w:w="4678" w:type="dxa"/>
            <w:vAlign w:val="center"/>
          </w:tcPr>
          <w:p w14:paraId="7781DD5F"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 xml:space="preserve">→ </w:t>
            </w:r>
            <w:r w:rsidRPr="00486970">
              <w:rPr>
                <w:rFonts w:cstheme="minorHAnsi"/>
                <w:color w:val="000000"/>
                <w:sz w:val="20"/>
                <w:szCs w:val="20"/>
              </w:rPr>
              <w:t>Iron-deficiency anaemia (580)</w:t>
            </w:r>
          </w:p>
        </w:tc>
      </w:tr>
      <w:tr w:rsidR="009443FF" w:rsidRPr="00486970" w14:paraId="53D5282F" w14:textId="77777777" w:rsidTr="004D1906">
        <w:tc>
          <w:tcPr>
            <w:tcW w:w="5402" w:type="dxa"/>
            <w:vAlign w:val="center"/>
          </w:tcPr>
          <w:p w14:paraId="16FAB078" w14:textId="77777777" w:rsidR="009443FF" w:rsidRPr="00486970" w:rsidRDefault="009443FF" w:rsidP="009443FF">
            <w:pPr>
              <w:rPr>
                <w:rFonts w:cstheme="minorHAnsi"/>
                <w:color w:val="000000"/>
                <w:sz w:val="20"/>
                <w:szCs w:val="20"/>
              </w:rPr>
            </w:pPr>
            <w:r w:rsidRPr="00486970">
              <w:rPr>
                <w:rFonts w:cstheme="minorHAnsi"/>
                <w:sz w:val="20"/>
                <w:szCs w:val="20"/>
              </w:rPr>
              <w:t>Artemether+lumefantrine</w:t>
            </w:r>
          </w:p>
        </w:tc>
        <w:tc>
          <w:tcPr>
            <w:tcW w:w="4678" w:type="dxa"/>
            <w:vMerge w:val="restart"/>
            <w:vAlign w:val="center"/>
          </w:tcPr>
          <w:p w14:paraId="2A50AB49"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 xml:space="preserve">→ </w:t>
            </w:r>
            <w:r w:rsidRPr="00486970">
              <w:rPr>
                <w:rFonts w:cstheme="minorHAnsi"/>
                <w:color w:val="000000"/>
                <w:sz w:val="20"/>
                <w:szCs w:val="20"/>
              </w:rPr>
              <w:t>Malaria (220)</w:t>
            </w:r>
          </w:p>
          <w:p w14:paraId="73C7D221" w14:textId="77777777" w:rsidR="009443FF" w:rsidRPr="00486970" w:rsidRDefault="009443FF" w:rsidP="009443FF">
            <w:pPr>
              <w:tabs>
                <w:tab w:val="left" w:pos="4693"/>
              </w:tabs>
              <w:rPr>
                <w:rFonts w:cstheme="minorHAnsi"/>
                <w:color w:val="000000"/>
                <w:sz w:val="20"/>
                <w:szCs w:val="20"/>
              </w:rPr>
            </w:pPr>
          </w:p>
        </w:tc>
      </w:tr>
      <w:tr w:rsidR="009443FF" w:rsidRPr="00486970" w14:paraId="08290A6C" w14:textId="77777777" w:rsidTr="004D1906">
        <w:tc>
          <w:tcPr>
            <w:tcW w:w="5402" w:type="dxa"/>
            <w:vAlign w:val="center"/>
          </w:tcPr>
          <w:p w14:paraId="33737801" w14:textId="77777777" w:rsidR="009443FF" w:rsidRPr="00486970" w:rsidRDefault="009443FF" w:rsidP="009443FF">
            <w:pPr>
              <w:rPr>
                <w:rFonts w:cstheme="minorHAnsi"/>
                <w:color w:val="000000"/>
                <w:sz w:val="20"/>
                <w:szCs w:val="20"/>
              </w:rPr>
            </w:pPr>
            <w:r w:rsidRPr="00486970">
              <w:rPr>
                <w:rFonts w:cstheme="minorHAnsi"/>
                <w:sz w:val="20"/>
                <w:szCs w:val="20"/>
              </w:rPr>
              <w:t>Artesunate+amodiaquine</w:t>
            </w:r>
          </w:p>
        </w:tc>
        <w:tc>
          <w:tcPr>
            <w:tcW w:w="4678" w:type="dxa"/>
            <w:vMerge/>
            <w:vAlign w:val="center"/>
          </w:tcPr>
          <w:p w14:paraId="6FCF8B89" w14:textId="77777777" w:rsidR="009443FF" w:rsidRPr="00486970" w:rsidRDefault="009443FF" w:rsidP="009443FF">
            <w:pPr>
              <w:tabs>
                <w:tab w:val="left" w:pos="4693"/>
              </w:tabs>
              <w:rPr>
                <w:rFonts w:cstheme="minorHAnsi"/>
                <w:color w:val="000000"/>
                <w:sz w:val="20"/>
                <w:szCs w:val="20"/>
              </w:rPr>
            </w:pPr>
          </w:p>
        </w:tc>
      </w:tr>
      <w:tr w:rsidR="009443FF" w:rsidRPr="00486970" w14:paraId="7DA4B9AE" w14:textId="77777777" w:rsidTr="004D1906">
        <w:tc>
          <w:tcPr>
            <w:tcW w:w="5402" w:type="dxa"/>
            <w:vAlign w:val="center"/>
          </w:tcPr>
          <w:p w14:paraId="29818A42" w14:textId="77777777" w:rsidR="009443FF" w:rsidRPr="00486970" w:rsidRDefault="009443FF" w:rsidP="009443FF">
            <w:pPr>
              <w:rPr>
                <w:rFonts w:cstheme="minorHAnsi"/>
                <w:color w:val="000000"/>
                <w:sz w:val="20"/>
                <w:szCs w:val="20"/>
              </w:rPr>
            </w:pPr>
            <w:r w:rsidRPr="00486970">
              <w:rPr>
                <w:rFonts w:cstheme="minorHAnsi"/>
                <w:sz w:val="20"/>
                <w:szCs w:val="20"/>
              </w:rPr>
              <w:t>Artesunate+mefloquine</w:t>
            </w:r>
          </w:p>
        </w:tc>
        <w:tc>
          <w:tcPr>
            <w:tcW w:w="4678" w:type="dxa"/>
            <w:vMerge/>
            <w:vAlign w:val="center"/>
          </w:tcPr>
          <w:p w14:paraId="69A1C237" w14:textId="77777777" w:rsidR="009443FF" w:rsidRPr="00486970" w:rsidRDefault="009443FF" w:rsidP="009443FF">
            <w:pPr>
              <w:tabs>
                <w:tab w:val="left" w:pos="4693"/>
              </w:tabs>
              <w:rPr>
                <w:rFonts w:cstheme="minorHAnsi"/>
                <w:color w:val="000000"/>
                <w:sz w:val="20"/>
                <w:szCs w:val="20"/>
              </w:rPr>
            </w:pPr>
          </w:p>
        </w:tc>
      </w:tr>
      <w:tr w:rsidR="009443FF" w:rsidRPr="00486970" w14:paraId="3F029051" w14:textId="77777777" w:rsidTr="004D1906">
        <w:tc>
          <w:tcPr>
            <w:tcW w:w="5402" w:type="dxa"/>
            <w:vAlign w:val="center"/>
          </w:tcPr>
          <w:p w14:paraId="33743229" w14:textId="77777777" w:rsidR="009443FF" w:rsidRPr="00486970" w:rsidRDefault="009443FF" w:rsidP="009443FF">
            <w:pPr>
              <w:rPr>
                <w:rFonts w:cstheme="minorHAnsi"/>
                <w:sz w:val="20"/>
                <w:szCs w:val="20"/>
              </w:rPr>
            </w:pPr>
            <w:r w:rsidRPr="00486970">
              <w:rPr>
                <w:rFonts w:cstheme="minorHAnsi"/>
                <w:sz w:val="20"/>
                <w:szCs w:val="20"/>
              </w:rPr>
              <w:t>Dihydroartemisinin+piperaquine</w:t>
            </w:r>
          </w:p>
        </w:tc>
        <w:tc>
          <w:tcPr>
            <w:tcW w:w="4678" w:type="dxa"/>
            <w:vMerge/>
            <w:vAlign w:val="center"/>
          </w:tcPr>
          <w:p w14:paraId="0BB522BE" w14:textId="77777777" w:rsidR="009443FF" w:rsidRPr="00486970" w:rsidRDefault="009443FF" w:rsidP="009443FF">
            <w:pPr>
              <w:tabs>
                <w:tab w:val="left" w:pos="4693"/>
              </w:tabs>
              <w:rPr>
                <w:rFonts w:cstheme="minorHAnsi"/>
                <w:color w:val="000000"/>
                <w:sz w:val="20"/>
                <w:szCs w:val="20"/>
              </w:rPr>
            </w:pPr>
          </w:p>
        </w:tc>
      </w:tr>
      <w:tr w:rsidR="009443FF" w:rsidRPr="00486970" w14:paraId="15DAE6AA" w14:textId="77777777" w:rsidTr="004D1906">
        <w:tc>
          <w:tcPr>
            <w:tcW w:w="5402" w:type="dxa"/>
            <w:vAlign w:val="center"/>
          </w:tcPr>
          <w:p w14:paraId="60673D3A" w14:textId="77777777" w:rsidR="009443FF" w:rsidRPr="00486970" w:rsidRDefault="009443FF" w:rsidP="009443FF">
            <w:pPr>
              <w:tabs>
                <w:tab w:val="right" w:pos="4451"/>
              </w:tabs>
              <w:rPr>
                <w:rFonts w:cstheme="minorHAnsi"/>
                <w:color w:val="000000"/>
                <w:sz w:val="20"/>
                <w:szCs w:val="20"/>
              </w:rPr>
            </w:pPr>
            <w:r w:rsidRPr="00486970">
              <w:rPr>
                <w:rFonts w:cstheme="minorHAnsi"/>
                <w:sz w:val="20"/>
                <w:szCs w:val="20"/>
              </w:rPr>
              <w:t>Artesunate+sulfadoxine-pyrimethamine</w:t>
            </w:r>
          </w:p>
        </w:tc>
        <w:tc>
          <w:tcPr>
            <w:tcW w:w="4678" w:type="dxa"/>
            <w:vMerge/>
            <w:vAlign w:val="center"/>
          </w:tcPr>
          <w:p w14:paraId="73A4D70C" w14:textId="77777777" w:rsidR="009443FF" w:rsidRPr="00486970" w:rsidRDefault="009443FF" w:rsidP="009443FF">
            <w:pPr>
              <w:tabs>
                <w:tab w:val="left" w:pos="4693"/>
              </w:tabs>
              <w:rPr>
                <w:rFonts w:cstheme="minorHAnsi"/>
                <w:color w:val="000000"/>
                <w:sz w:val="20"/>
                <w:szCs w:val="20"/>
              </w:rPr>
            </w:pPr>
          </w:p>
        </w:tc>
      </w:tr>
      <w:tr w:rsidR="009443FF" w:rsidRPr="00486970" w14:paraId="2ABEE8DF" w14:textId="77777777" w:rsidTr="004D1906">
        <w:tc>
          <w:tcPr>
            <w:tcW w:w="5402" w:type="dxa"/>
            <w:vAlign w:val="center"/>
          </w:tcPr>
          <w:p w14:paraId="09CFD29D" w14:textId="77777777" w:rsidR="009443FF" w:rsidRPr="00486970" w:rsidRDefault="009443FF" w:rsidP="009443FF">
            <w:pPr>
              <w:tabs>
                <w:tab w:val="right" w:pos="4451"/>
              </w:tabs>
              <w:rPr>
                <w:rFonts w:cstheme="minorHAnsi"/>
                <w:color w:val="000000"/>
                <w:sz w:val="20"/>
                <w:szCs w:val="20"/>
              </w:rPr>
            </w:pPr>
            <w:r w:rsidRPr="00486970">
              <w:rPr>
                <w:rFonts w:cstheme="minorHAnsi"/>
                <w:sz w:val="20"/>
                <w:szCs w:val="20"/>
              </w:rPr>
              <w:t>Artesunate</w:t>
            </w:r>
          </w:p>
        </w:tc>
        <w:tc>
          <w:tcPr>
            <w:tcW w:w="4678" w:type="dxa"/>
            <w:vMerge/>
            <w:vAlign w:val="center"/>
          </w:tcPr>
          <w:p w14:paraId="04CF961F" w14:textId="77777777" w:rsidR="009443FF" w:rsidRPr="00486970" w:rsidRDefault="009443FF" w:rsidP="009443FF">
            <w:pPr>
              <w:tabs>
                <w:tab w:val="left" w:pos="4693"/>
              </w:tabs>
              <w:rPr>
                <w:rFonts w:cstheme="minorHAnsi"/>
                <w:color w:val="000000"/>
                <w:sz w:val="20"/>
                <w:szCs w:val="20"/>
              </w:rPr>
            </w:pPr>
          </w:p>
        </w:tc>
      </w:tr>
      <w:tr w:rsidR="009443FF" w:rsidRPr="00486970" w14:paraId="00B6213F" w14:textId="77777777" w:rsidTr="004D1906">
        <w:tc>
          <w:tcPr>
            <w:tcW w:w="5402" w:type="dxa"/>
            <w:vAlign w:val="center"/>
          </w:tcPr>
          <w:p w14:paraId="78F88308" w14:textId="77777777" w:rsidR="009443FF" w:rsidRPr="00486970" w:rsidRDefault="009443FF" w:rsidP="009443FF">
            <w:pPr>
              <w:rPr>
                <w:rFonts w:cstheme="minorHAnsi"/>
                <w:color w:val="000000"/>
                <w:sz w:val="20"/>
                <w:szCs w:val="20"/>
              </w:rPr>
            </w:pPr>
            <w:r w:rsidRPr="00486970">
              <w:rPr>
                <w:rFonts w:cstheme="minorHAnsi"/>
                <w:sz w:val="20"/>
                <w:szCs w:val="20"/>
              </w:rPr>
              <w:t>Efavirenz + Emtricitabine + Tenofovir disoproxil fumarate</w:t>
            </w:r>
          </w:p>
        </w:tc>
        <w:tc>
          <w:tcPr>
            <w:tcW w:w="4678" w:type="dxa"/>
            <w:vMerge w:val="restart"/>
            <w:vAlign w:val="center"/>
          </w:tcPr>
          <w:p w14:paraId="70C7C9CE" w14:textId="77777777" w:rsidR="009443FF" w:rsidRPr="00486970" w:rsidRDefault="009443FF" w:rsidP="009443FF">
            <w:pPr>
              <w:rPr>
                <w:rFonts w:cstheme="minorHAnsi"/>
                <w:color w:val="000000"/>
                <w:sz w:val="20"/>
                <w:szCs w:val="20"/>
              </w:rPr>
            </w:pPr>
            <w:r w:rsidRPr="00486970">
              <w:rPr>
                <w:rFonts w:cstheme="minorHAnsi"/>
                <w:b/>
                <w:bCs/>
                <w:color w:val="000000"/>
                <w:sz w:val="20"/>
                <w:szCs w:val="20"/>
              </w:rPr>
              <w:t xml:space="preserve">→ </w:t>
            </w:r>
            <w:r w:rsidRPr="00486970">
              <w:rPr>
                <w:rFonts w:cstheme="minorHAnsi"/>
                <w:color w:val="000000"/>
                <w:sz w:val="20"/>
                <w:szCs w:val="20"/>
              </w:rPr>
              <w:t>HIV/AIDS (100)</w:t>
            </w:r>
          </w:p>
          <w:p w14:paraId="3B95E670" w14:textId="77777777" w:rsidR="009443FF" w:rsidRPr="00486970" w:rsidRDefault="009443FF" w:rsidP="009443FF">
            <w:pPr>
              <w:tabs>
                <w:tab w:val="left" w:pos="4693"/>
              </w:tabs>
              <w:rPr>
                <w:rFonts w:cstheme="minorHAnsi"/>
                <w:color w:val="000000"/>
                <w:sz w:val="20"/>
                <w:szCs w:val="20"/>
              </w:rPr>
            </w:pPr>
          </w:p>
        </w:tc>
      </w:tr>
      <w:tr w:rsidR="009443FF" w:rsidRPr="00486970" w14:paraId="621AC856" w14:textId="77777777" w:rsidTr="004D1906">
        <w:tc>
          <w:tcPr>
            <w:tcW w:w="5402" w:type="dxa"/>
            <w:vAlign w:val="center"/>
          </w:tcPr>
          <w:p w14:paraId="66261718" w14:textId="77777777" w:rsidR="009443FF" w:rsidRPr="00486970" w:rsidRDefault="009443FF" w:rsidP="009443FF">
            <w:pPr>
              <w:tabs>
                <w:tab w:val="right" w:pos="4451"/>
              </w:tabs>
              <w:rPr>
                <w:rFonts w:cstheme="minorHAnsi"/>
                <w:color w:val="000000"/>
                <w:sz w:val="20"/>
                <w:szCs w:val="20"/>
              </w:rPr>
            </w:pPr>
            <w:r w:rsidRPr="00486970">
              <w:rPr>
                <w:rFonts w:cstheme="minorHAnsi"/>
                <w:sz w:val="20"/>
                <w:szCs w:val="20"/>
              </w:rPr>
              <w:t xml:space="preserve">Efavirenz + Lamivudine + Tenofovir disoproxil fumarate </w:t>
            </w:r>
          </w:p>
        </w:tc>
        <w:tc>
          <w:tcPr>
            <w:tcW w:w="4678" w:type="dxa"/>
            <w:vMerge/>
            <w:vAlign w:val="center"/>
          </w:tcPr>
          <w:p w14:paraId="5E50F02D" w14:textId="77777777" w:rsidR="009443FF" w:rsidRPr="00486970" w:rsidRDefault="009443FF" w:rsidP="009443FF">
            <w:pPr>
              <w:tabs>
                <w:tab w:val="left" w:pos="4693"/>
              </w:tabs>
              <w:rPr>
                <w:rFonts w:cstheme="minorHAnsi"/>
                <w:color w:val="000000"/>
                <w:sz w:val="20"/>
                <w:szCs w:val="20"/>
              </w:rPr>
            </w:pPr>
          </w:p>
        </w:tc>
      </w:tr>
      <w:tr w:rsidR="009443FF" w:rsidRPr="00486970" w14:paraId="734144F1" w14:textId="77777777" w:rsidTr="004D1906">
        <w:tc>
          <w:tcPr>
            <w:tcW w:w="5402" w:type="dxa"/>
            <w:vAlign w:val="center"/>
          </w:tcPr>
          <w:p w14:paraId="38846ADA" w14:textId="77777777" w:rsidR="009443FF" w:rsidRPr="00486970" w:rsidRDefault="009443FF" w:rsidP="009443FF">
            <w:pPr>
              <w:tabs>
                <w:tab w:val="right" w:pos="4451"/>
              </w:tabs>
              <w:rPr>
                <w:rFonts w:cstheme="minorHAnsi"/>
                <w:sz w:val="20"/>
                <w:szCs w:val="20"/>
              </w:rPr>
            </w:pPr>
            <w:r w:rsidRPr="00486970">
              <w:rPr>
                <w:rFonts w:cstheme="minorHAnsi"/>
                <w:sz w:val="20"/>
                <w:szCs w:val="20"/>
              </w:rPr>
              <w:t>Chlorhexidine</w:t>
            </w:r>
          </w:p>
        </w:tc>
        <w:tc>
          <w:tcPr>
            <w:tcW w:w="4678" w:type="dxa"/>
            <w:vAlign w:val="center"/>
          </w:tcPr>
          <w:p w14:paraId="4B03FE58"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 xml:space="preserve">→ </w:t>
            </w:r>
            <w:r w:rsidRPr="00486970">
              <w:rPr>
                <w:rFonts w:cstheme="minorHAnsi"/>
                <w:color w:val="000000"/>
                <w:sz w:val="20"/>
                <w:szCs w:val="20"/>
              </w:rPr>
              <w:t>Neonatal sepsis and infections (520)</w:t>
            </w:r>
          </w:p>
        </w:tc>
      </w:tr>
      <w:tr w:rsidR="009443FF" w:rsidRPr="00486970" w14:paraId="3A33F51D" w14:textId="77777777" w:rsidTr="004D1906">
        <w:tc>
          <w:tcPr>
            <w:tcW w:w="5402" w:type="dxa"/>
            <w:vAlign w:val="center"/>
          </w:tcPr>
          <w:p w14:paraId="29FEBCA0" w14:textId="77777777" w:rsidR="009443FF" w:rsidRPr="00486970" w:rsidRDefault="009443FF" w:rsidP="009443FF">
            <w:pPr>
              <w:tabs>
                <w:tab w:val="right" w:pos="4451"/>
              </w:tabs>
              <w:rPr>
                <w:rFonts w:cstheme="minorHAnsi"/>
                <w:sz w:val="20"/>
                <w:szCs w:val="20"/>
              </w:rPr>
            </w:pPr>
            <w:r w:rsidRPr="00486970">
              <w:rPr>
                <w:rFonts w:cstheme="minorHAnsi"/>
                <w:sz w:val="20"/>
                <w:szCs w:val="20"/>
              </w:rPr>
              <w:t>Ready-to-use therapeutic food (RUTF)</w:t>
            </w:r>
          </w:p>
        </w:tc>
        <w:tc>
          <w:tcPr>
            <w:tcW w:w="4678" w:type="dxa"/>
            <w:vAlign w:val="center"/>
          </w:tcPr>
          <w:p w14:paraId="2C970F55"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 xml:space="preserve">→ </w:t>
            </w:r>
            <w:r w:rsidRPr="00486970">
              <w:rPr>
                <w:rFonts w:cstheme="minorHAnsi"/>
                <w:color w:val="000000"/>
                <w:sz w:val="20"/>
                <w:szCs w:val="20"/>
              </w:rPr>
              <w:t>Nutritional deficiencies (540)</w:t>
            </w:r>
          </w:p>
        </w:tc>
      </w:tr>
      <w:tr w:rsidR="009443FF" w:rsidRPr="00486970" w14:paraId="38770495" w14:textId="77777777" w:rsidTr="004D1906">
        <w:tc>
          <w:tcPr>
            <w:tcW w:w="5402" w:type="dxa"/>
            <w:vAlign w:val="center"/>
          </w:tcPr>
          <w:p w14:paraId="764F2D14" w14:textId="77777777" w:rsidR="009443FF" w:rsidRPr="00486970" w:rsidRDefault="009443FF" w:rsidP="009443FF">
            <w:pPr>
              <w:tabs>
                <w:tab w:val="right" w:pos="4451"/>
              </w:tabs>
              <w:rPr>
                <w:rFonts w:cstheme="minorHAnsi"/>
                <w:sz w:val="20"/>
                <w:szCs w:val="20"/>
              </w:rPr>
            </w:pPr>
            <w:r w:rsidRPr="00486970">
              <w:rPr>
                <w:rFonts w:cstheme="minorHAnsi"/>
                <w:sz w:val="20"/>
                <w:szCs w:val="20"/>
              </w:rPr>
              <w:t>Isoniazid + pyrazinamide + rifampicin</w:t>
            </w:r>
          </w:p>
        </w:tc>
        <w:tc>
          <w:tcPr>
            <w:tcW w:w="4678" w:type="dxa"/>
            <w:vAlign w:val="center"/>
          </w:tcPr>
          <w:p w14:paraId="56814669"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w:t>
            </w:r>
            <w:r w:rsidRPr="00486970">
              <w:rPr>
                <w:rFonts w:cstheme="minorHAnsi"/>
                <w:color w:val="000000"/>
                <w:sz w:val="20"/>
                <w:szCs w:val="20"/>
              </w:rPr>
              <w:t xml:space="preserve"> Tuberculosis (30)</w:t>
            </w:r>
          </w:p>
        </w:tc>
      </w:tr>
      <w:tr w:rsidR="009443FF" w:rsidRPr="00486970" w14:paraId="1EB3B126" w14:textId="77777777" w:rsidTr="004D1906">
        <w:tc>
          <w:tcPr>
            <w:tcW w:w="5402" w:type="dxa"/>
            <w:vAlign w:val="center"/>
          </w:tcPr>
          <w:p w14:paraId="48F7AB2F" w14:textId="77777777" w:rsidR="009443FF" w:rsidRPr="00486970" w:rsidRDefault="009443FF" w:rsidP="009443FF">
            <w:pPr>
              <w:tabs>
                <w:tab w:val="right" w:pos="4451"/>
              </w:tabs>
              <w:rPr>
                <w:rFonts w:cstheme="minorHAnsi"/>
                <w:sz w:val="20"/>
                <w:szCs w:val="20"/>
              </w:rPr>
            </w:pPr>
            <w:r w:rsidRPr="00486970">
              <w:rPr>
                <w:rFonts w:cstheme="minorHAnsi"/>
                <w:sz w:val="20"/>
                <w:szCs w:val="20"/>
              </w:rPr>
              <w:t>Erythropoiesis - stimulating agents</w:t>
            </w:r>
          </w:p>
        </w:tc>
        <w:tc>
          <w:tcPr>
            <w:tcW w:w="4678" w:type="dxa"/>
            <w:vAlign w:val="center"/>
          </w:tcPr>
          <w:p w14:paraId="606F08DB" w14:textId="77777777" w:rsidR="009443FF" w:rsidRPr="00486970" w:rsidRDefault="009443FF" w:rsidP="009443FF">
            <w:pPr>
              <w:tabs>
                <w:tab w:val="left" w:pos="4693"/>
              </w:tabs>
              <w:rPr>
                <w:rFonts w:cstheme="minorHAnsi"/>
                <w:color w:val="000000"/>
                <w:sz w:val="20"/>
                <w:szCs w:val="20"/>
              </w:rPr>
            </w:pPr>
            <w:r w:rsidRPr="00486970">
              <w:rPr>
                <w:rFonts w:cstheme="minorHAnsi"/>
                <w:b/>
                <w:bCs/>
                <w:color w:val="000000"/>
                <w:sz w:val="20"/>
                <w:szCs w:val="20"/>
              </w:rPr>
              <w:t xml:space="preserve">→ </w:t>
            </w:r>
            <w:r w:rsidRPr="00486970">
              <w:rPr>
                <w:rFonts w:cstheme="minorHAnsi"/>
                <w:color w:val="000000"/>
                <w:sz w:val="20"/>
                <w:szCs w:val="20"/>
              </w:rPr>
              <w:t>Other chronic kidney disease (1273)</w:t>
            </w:r>
          </w:p>
        </w:tc>
      </w:tr>
      <w:tr w:rsidR="009443FF" w:rsidRPr="00486970" w14:paraId="7EF1CC8D" w14:textId="77777777" w:rsidTr="004D1906">
        <w:tc>
          <w:tcPr>
            <w:tcW w:w="10080" w:type="dxa"/>
            <w:gridSpan w:val="2"/>
            <w:vAlign w:val="center"/>
          </w:tcPr>
          <w:p w14:paraId="6E9FAE62" w14:textId="77777777" w:rsidR="009443FF" w:rsidRPr="00486970" w:rsidRDefault="009443FF" w:rsidP="009443FF">
            <w:pPr>
              <w:tabs>
                <w:tab w:val="left" w:pos="4693"/>
              </w:tabs>
              <w:jc w:val="center"/>
              <w:rPr>
                <w:rFonts w:cstheme="minorHAnsi"/>
                <w:color w:val="000000"/>
                <w:sz w:val="20"/>
                <w:szCs w:val="20"/>
              </w:rPr>
            </w:pPr>
            <w:r w:rsidRPr="00486970">
              <w:rPr>
                <w:rFonts w:cstheme="minorHAnsi"/>
                <w:bCs/>
                <w:color w:val="C00000"/>
                <w:sz w:val="20"/>
                <w:szCs w:val="20"/>
              </w:rPr>
              <w:t>Suggested for monitoring (optional)</w:t>
            </w:r>
          </w:p>
        </w:tc>
      </w:tr>
      <w:tr w:rsidR="009443FF" w:rsidRPr="00486970" w14:paraId="6253C7F1" w14:textId="77777777" w:rsidTr="004D1906">
        <w:tc>
          <w:tcPr>
            <w:tcW w:w="5402" w:type="dxa"/>
            <w:vAlign w:val="center"/>
          </w:tcPr>
          <w:p w14:paraId="1D412D3E" w14:textId="77777777" w:rsidR="009443FF" w:rsidRPr="00486970" w:rsidRDefault="009443FF" w:rsidP="009443FF">
            <w:pPr>
              <w:rPr>
                <w:rFonts w:cstheme="minorHAnsi"/>
                <w:color w:val="000000"/>
                <w:sz w:val="20"/>
                <w:szCs w:val="20"/>
              </w:rPr>
            </w:pPr>
            <w:r w:rsidRPr="00486970">
              <w:rPr>
                <w:rFonts w:cstheme="minorHAnsi"/>
                <w:sz w:val="20"/>
                <w:szCs w:val="20"/>
              </w:rPr>
              <w:t xml:space="preserve">Epinephrine or Dexamethasone  </w:t>
            </w:r>
          </w:p>
        </w:tc>
        <w:tc>
          <w:tcPr>
            <w:tcW w:w="4678" w:type="dxa"/>
            <w:vMerge w:val="restart"/>
            <w:vAlign w:val="center"/>
          </w:tcPr>
          <w:p w14:paraId="68716C47" w14:textId="77777777" w:rsidR="009443FF" w:rsidRPr="00486970" w:rsidRDefault="009443FF" w:rsidP="009443FF">
            <w:pPr>
              <w:tabs>
                <w:tab w:val="left" w:pos="4693"/>
              </w:tabs>
              <w:rPr>
                <w:rFonts w:cstheme="minorHAnsi"/>
                <w:b/>
                <w:bCs/>
                <w:color w:val="000000"/>
                <w:sz w:val="20"/>
                <w:szCs w:val="20"/>
              </w:rPr>
            </w:pPr>
            <w:r w:rsidRPr="00486970">
              <w:rPr>
                <w:rFonts w:cstheme="minorHAnsi"/>
                <w:b/>
                <w:bCs/>
                <w:sz w:val="20"/>
                <w:szCs w:val="20"/>
              </w:rPr>
              <w:t xml:space="preserve">→ </w:t>
            </w:r>
            <w:r w:rsidRPr="00486970">
              <w:rPr>
                <w:rFonts w:cstheme="minorHAnsi"/>
                <w:sz w:val="20"/>
                <w:szCs w:val="20"/>
              </w:rPr>
              <w:t>weight =</w:t>
            </w:r>
            <w:r w:rsidRPr="00486970">
              <w:rPr>
                <w:rFonts w:cstheme="minorHAnsi"/>
                <w:b/>
                <w:bCs/>
                <w:sz w:val="20"/>
                <w:szCs w:val="20"/>
              </w:rPr>
              <w:t xml:space="preserve"> 0.5*(</w:t>
            </w:r>
            <w:r w:rsidRPr="00486970">
              <w:rPr>
                <w:rFonts w:cstheme="minorHAnsi"/>
                <w:sz w:val="20"/>
                <w:szCs w:val="20"/>
              </w:rPr>
              <w:t>1/T)</w:t>
            </w:r>
          </w:p>
        </w:tc>
      </w:tr>
      <w:tr w:rsidR="009443FF" w:rsidRPr="00486970" w14:paraId="394C427E" w14:textId="77777777" w:rsidTr="004D1906">
        <w:tc>
          <w:tcPr>
            <w:tcW w:w="5402" w:type="dxa"/>
            <w:vAlign w:val="center"/>
          </w:tcPr>
          <w:p w14:paraId="432A54D3" w14:textId="77777777" w:rsidR="009443FF" w:rsidRPr="00486970" w:rsidRDefault="009443FF" w:rsidP="009443FF">
            <w:pPr>
              <w:rPr>
                <w:rFonts w:cstheme="minorHAnsi"/>
                <w:color w:val="000000"/>
                <w:sz w:val="20"/>
                <w:szCs w:val="20"/>
              </w:rPr>
            </w:pPr>
            <w:r w:rsidRPr="00486970">
              <w:rPr>
                <w:rFonts w:cstheme="minorHAnsi"/>
                <w:sz w:val="20"/>
                <w:szCs w:val="20"/>
              </w:rPr>
              <w:t xml:space="preserve">Fluconazole </w:t>
            </w:r>
          </w:p>
        </w:tc>
        <w:tc>
          <w:tcPr>
            <w:tcW w:w="4678" w:type="dxa"/>
            <w:vMerge/>
            <w:vAlign w:val="center"/>
          </w:tcPr>
          <w:p w14:paraId="4A04E82F" w14:textId="77777777" w:rsidR="009443FF" w:rsidRPr="00486970" w:rsidRDefault="009443FF" w:rsidP="009443FF">
            <w:pPr>
              <w:tabs>
                <w:tab w:val="left" w:pos="4693"/>
              </w:tabs>
              <w:rPr>
                <w:rFonts w:cstheme="minorHAnsi"/>
                <w:b/>
                <w:bCs/>
                <w:color w:val="000000"/>
                <w:sz w:val="20"/>
                <w:szCs w:val="20"/>
              </w:rPr>
            </w:pPr>
          </w:p>
        </w:tc>
      </w:tr>
      <w:tr w:rsidR="009443FF" w:rsidRPr="00486970" w14:paraId="2A792692" w14:textId="77777777" w:rsidTr="004D1906">
        <w:tc>
          <w:tcPr>
            <w:tcW w:w="5402" w:type="dxa"/>
            <w:vAlign w:val="center"/>
          </w:tcPr>
          <w:p w14:paraId="3D9FB96F" w14:textId="77777777" w:rsidR="009443FF" w:rsidRPr="00486970" w:rsidRDefault="009443FF" w:rsidP="009443FF">
            <w:pPr>
              <w:tabs>
                <w:tab w:val="right" w:pos="4451"/>
              </w:tabs>
              <w:rPr>
                <w:rFonts w:cstheme="minorHAnsi"/>
                <w:color w:val="000000"/>
                <w:sz w:val="20"/>
                <w:szCs w:val="20"/>
              </w:rPr>
            </w:pPr>
            <w:r w:rsidRPr="00486970">
              <w:rPr>
                <w:rFonts w:cstheme="minorHAnsi"/>
                <w:sz w:val="20"/>
                <w:szCs w:val="20"/>
              </w:rPr>
              <w:t>Nystatin</w:t>
            </w:r>
          </w:p>
        </w:tc>
        <w:tc>
          <w:tcPr>
            <w:tcW w:w="4678" w:type="dxa"/>
            <w:vMerge/>
            <w:vAlign w:val="center"/>
          </w:tcPr>
          <w:p w14:paraId="3399B31D" w14:textId="77777777" w:rsidR="009443FF" w:rsidRPr="00486970" w:rsidRDefault="009443FF" w:rsidP="009443FF">
            <w:pPr>
              <w:tabs>
                <w:tab w:val="left" w:pos="4693"/>
              </w:tabs>
              <w:rPr>
                <w:rFonts w:cstheme="minorHAnsi"/>
                <w:b/>
                <w:bCs/>
                <w:color w:val="000000"/>
                <w:sz w:val="20"/>
                <w:szCs w:val="20"/>
              </w:rPr>
            </w:pPr>
          </w:p>
        </w:tc>
      </w:tr>
      <w:tr w:rsidR="009443FF" w:rsidRPr="00486970" w14:paraId="6DABB794" w14:textId="77777777" w:rsidTr="004D1906">
        <w:tc>
          <w:tcPr>
            <w:tcW w:w="5402" w:type="dxa"/>
            <w:vAlign w:val="center"/>
          </w:tcPr>
          <w:p w14:paraId="04C96A03" w14:textId="77777777" w:rsidR="009443FF" w:rsidRPr="00486970" w:rsidRDefault="009443FF" w:rsidP="009443FF">
            <w:pPr>
              <w:tabs>
                <w:tab w:val="right" w:pos="4451"/>
              </w:tabs>
              <w:rPr>
                <w:rFonts w:cstheme="minorHAnsi"/>
                <w:color w:val="000000"/>
                <w:sz w:val="20"/>
                <w:szCs w:val="20"/>
              </w:rPr>
            </w:pPr>
            <w:r w:rsidRPr="00486970">
              <w:rPr>
                <w:rFonts w:cstheme="minorHAnsi"/>
                <w:sz w:val="20"/>
                <w:szCs w:val="20"/>
              </w:rPr>
              <w:t>Levothyroxine</w:t>
            </w:r>
          </w:p>
        </w:tc>
        <w:tc>
          <w:tcPr>
            <w:tcW w:w="4678" w:type="dxa"/>
            <w:vMerge/>
            <w:vAlign w:val="center"/>
          </w:tcPr>
          <w:p w14:paraId="3DF4A6B1" w14:textId="77777777" w:rsidR="009443FF" w:rsidRPr="00486970" w:rsidRDefault="009443FF" w:rsidP="009443FF">
            <w:pPr>
              <w:tabs>
                <w:tab w:val="left" w:pos="4693"/>
              </w:tabs>
              <w:rPr>
                <w:rFonts w:cstheme="minorHAnsi"/>
                <w:b/>
                <w:bCs/>
                <w:color w:val="000000"/>
                <w:sz w:val="20"/>
                <w:szCs w:val="20"/>
              </w:rPr>
            </w:pPr>
          </w:p>
        </w:tc>
      </w:tr>
    </w:tbl>
    <w:p w14:paraId="6FAE9C74" w14:textId="77777777" w:rsidR="009443FF" w:rsidRPr="00486970" w:rsidRDefault="009443FF" w:rsidP="009443FF">
      <w:pPr>
        <w:pBdr>
          <w:top w:val="nil"/>
          <w:left w:val="nil"/>
          <w:bottom w:val="nil"/>
          <w:right w:val="nil"/>
          <w:between w:val="nil"/>
        </w:pBdr>
        <w:spacing w:after="160" w:line="259" w:lineRule="auto"/>
        <w:jc w:val="both"/>
        <w:rPr>
          <w:rFonts w:eastAsia="Cambria Math" w:cstheme="minorHAnsi"/>
          <w:color w:val="000000"/>
        </w:rPr>
      </w:pPr>
    </w:p>
    <w:p w14:paraId="7EA759D1" w14:textId="77777777" w:rsidR="009443FF" w:rsidRPr="00486970" w:rsidRDefault="009443FF" w:rsidP="009443FF">
      <w:pPr>
        <w:rPr>
          <w:rFonts w:cstheme="minorHAnsi"/>
        </w:rPr>
      </w:pPr>
    </w:p>
    <w:p w14:paraId="752DA6E6" w14:textId="77777777" w:rsidR="009443FF" w:rsidRPr="00486970" w:rsidRDefault="009443FF" w:rsidP="009443FF">
      <w:pPr>
        <w:rPr>
          <w:rFonts w:cstheme="minorHAnsi"/>
        </w:rPr>
        <w:sectPr w:rsidR="009443FF" w:rsidRPr="00486970" w:rsidSect="00D942BA">
          <w:headerReference w:type="default" r:id="rId66"/>
          <w:pgSz w:w="11906" w:h="16838"/>
          <w:pgMar w:top="1170" w:right="1440" w:bottom="1440" w:left="1440" w:header="720" w:footer="720" w:gutter="0"/>
          <w:cols w:space="720"/>
          <w:docGrid w:linePitch="360"/>
        </w:sectPr>
      </w:pPr>
    </w:p>
    <w:p w14:paraId="7368CF0C" w14:textId="77777777" w:rsidR="009443FF" w:rsidRPr="00486970" w:rsidRDefault="009443FF" w:rsidP="009443FF">
      <w:pPr>
        <w:pBdr>
          <w:bottom w:val="single" w:sz="12" w:space="4" w:color="DDDDDD"/>
        </w:pBdr>
        <w:shd w:val="clear" w:color="auto" w:fill="FFFFFF" w:themeFill="background1"/>
        <w:spacing w:after="0"/>
        <w:jc w:val="center"/>
        <w:outlineLvl w:val="2"/>
        <w:rPr>
          <w:rFonts w:eastAsia="Times New Roman" w:cstheme="minorHAnsi"/>
          <w:color w:val="1C75BC"/>
          <w:sz w:val="36"/>
          <w:szCs w:val="36"/>
          <w:lang w:eastAsia="en-GB"/>
        </w:rPr>
      </w:pPr>
      <w:r w:rsidRPr="00486970">
        <w:rPr>
          <w:rFonts w:eastAsia="Times New Roman" w:cstheme="minorHAnsi"/>
          <w:color w:val="1C75BC"/>
          <w:sz w:val="36"/>
          <w:szCs w:val="36"/>
          <w:lang w:eastAsia="en-GB"/>
        </w:rPr>
        <w:lastRenderedPageBreak/>
        <w:t>Annex 2. Calculation of weights</w:t>
      </w:r>
    </w:p>
    <w:p w14:paraId="16DBE531" w14:textId="77777777" w:rsidR="009443FF" w:rsidRPr="00486970" w:rsidRDefault="009443FF" w:rsidP="009443FF">
      <w:pPr>
        <w:pBdr>
          <w:top w:val="nil"/>
          <w:left w:val="nil"/>
          <w:bottom w:val="nil"/>
          <w:right w:val="nil"/>
          <w:between w:val="nil"/>
        </w:pBdr>
        <w:spacing w:after="120" w:line="240" w:lineRule="auto"/>
        <w:jc w:val="both"/>
        <w:rPr>
          <w:rFonts w:eastAsia="Cambria Math" w:cstheme="minorHAnsi"/>
          <w:color w:val="000000"/>
        </w:rPr>
      </w:pPr>
      <w:r w:rsidRPr="00486970">
        <w:rPr>
          <w:rFonts w:eastAsia="Cambria Math" w:cstheme="minorHAnsi"/>
          <w:color w:val="000000"/>
        </w:rPr>
        <w:t>Weights are region-specific, and the sum of the weights assigned to medicines in the basket is always equal to “1” in a given region. Since some of the medicines are weighted not according to the DALYs but according to the formula in points iii. and iv. above, the weights have to be normalized so that their sum is equal to “1”.</w:t>
      </w:r>
    </w:p>
    <w:p w14:paraId="0CF43696" w14:textId="77777777" w:rsidR="009443FF" w:rsidRPr="00486970" w:rsidRDefault="009443FF" w:rsidP="009443FF">
      <w:pPr>
        <w:pBdr>
          <w:top w:val="nil"/>
          <w:left w:val="nil"/>
          <w:bottom w:val="nil"/>
          <w:right w:val="nil"/>
          <w:between w:val="nil"/>
        </w:pBdr>
        <w:spacing w:after="120" w:line="240" w:lineRule="auto"/>
        <w:jc w:val="both"/>
        <w:rPr>
          <w:rFonts w:eastAsia="Cambria Math" w:cstheme="minorHAnsi"/>
          <w:color w:val="000000"/>
        </w:rPr>
      </w:pPr>
      <w:r w:rsidRPr="00486970">
        <w:rPr>
          <w:rFonts w:eastAsia="Cambria Math" w:cstheme="minorHAnsi"/>
          <w:color w:val="000000"/>
        </w:rPr>
        <w:t xml:space="preserve">WHO regional data on disease burden is computed and published for 5-year intervals (e.g. 2000, 2005, 2010 and 2015 for now). As a result, </w:t>
      </w:r>
      <w:r w:rsidRPr="00486970">
        <w:rPr>
          <w:rFonts w:cstheme="minorHAnsi"/>
        </w:rPr>
        <w:t>for data points falling between the reference years for which DALY estimates are available the closest reference year is used to calculate medicines’ weights</w:t>
      </w:r>
      <w:r w:rsidRPr="00486970">
        <w:rPr>
          <w:rFonts w:eastAsia="Cambria Math" w:cstheme="minorHAnsi"/>
          <w:color w:val="000000"/>
        </w:rPr>
        <w:t xml:space="preserve"> (either previous or following) (</w:t>
      </w:r>
      <w:r w:rsidRPr="00486970">
        <w:rPr>
          <w:rFonts w:eastAsia="Cambria Math" w:cstheme="minorHAnsi"/>
          <w:i/>
          <w:iCs/>
          <w:color w:val="000000"/>
        </w:rPr>
        <w:t>Figure 1</w:t>
      </w:r>
      <w:r w:rsidRPr="00486970">
        <w:rPr>
          <w:rFonts w:eastAsia="Cambria Math" w:cstheme="minorHAnsi"/>
          <w:color w:val="000000"/>
        </w:rPr>
        <w:t xml:space="preserve">). </w:t>
      </w:r>
    </w:p>
    <w:p w14:paraId="0FDECB4C" w14:textId="77777777" w:rsidR="009443FF" w:rsidRPr="00486970" w:rsidRDefault="009443FF" w:rsidP="009443FF">
      <w:pPr>
        <w:pBdr>
          <w:top w:val="nil"/>
          <w:left w:val="nil"/>
          <w:bottom w:val="nil"/>
          <w:right w:val="nil"/>
          <w:between w:val="nil"/>
        </w:pBdr>
        <w:spacing w:after="120" w:line="240" w:lineRule="auto"/>
        <w:jc w:val="center"/>
        <w:rPr>
          <w:rFonts w:eastAsia="Cambria Math" w:cstheme="minorHAnsi"/>
          <w:noProof/>
          <w:color w:val="000000"/>
          <w:lang w:val="en-US"/>
        </w:rPr>
      </w:pPr>
      <w:r w:rsidRPr="00486970">
        <w:rPr>
          <w:rFonts w:eastAsia="Cambria Math" w:cstheme="minorHAnsi"/>
          <w:color w:val="000000"/>
        </w:rPr>
        <w:t>Figure 2.1. Selection of data year for computing medicine weights</w:t>
      </w:r>
    </w:p>
    <w:p w14:paraId="6DE71193" w14:textId="712A3F2C" w:rsidR="009443FF" w:rsidRPr="00486970" w:rsidRDefault="00AB21FA" w:rsidP="00AB21FA">
      <w:pPr>
        <w:pBdr>
          <w:top w:val="nil"/>
          <w:left w:val="nil"/>
          <w:bottom w:val="nil"/>
          <w:right w:val="nil"/>
          <w:between w:val="nil"/>
        </w:pBdr>
        <w:spacing w:after="120" w:line="240" w:lineRule="auto"/>
        <w:jc w:val="center"/>
        <w:rPr>
          <w:rFonts w:eastAsia="Cambria Math" w:cstheme="minorHAnsi"/>
          <w:b/>
          <w:bCs/>
          <w:color w:val="000000"/>
        </w:rPr>
      </w:pPr>
      <w:r>
        <w:rPr>
          <w:noProof/>
        </w:rPr>
        <w:drawing>
          <wp:inline distT="0" distB="0" distL="0" distR="0" wp14:anchorId="7CC66142" wp14:editId="618E1EEE">
            <wp:extent cx="5400675" cy="1819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400675" cy="1819275"/>
                    </a:xfrm>
                    <a:prstGeom prst="rect">
                      <a:avLst/>
                    </a:prstGeom>
                  </pic:spPr>
                </pic:pic>
              </a:graphicData>
            </a:graphic>
          </wp:inline>
        </w:drawing>
      </w:r>
    </w:p>
    <w:p w14:paraId="549A259E" w14:textId="77777777" w:rsidR="009443FF" w:rsidRPr="00486970" w:rsidRDefault="009443FF" w:rsidP="009443FF">
      <w:pPr>
        <w:pBdr>
          <w:top w:val="nil"/>
          <w:left w:val="nil"/>
          <w:bottom w:val="nil"/>
          <w:right w:val="nil"/>
          <w:between w:val="nil"/>
        </w:pBdr>
        <w:spacing w:after="120" w:line="240" w:lineRule="auto"/>
        <w:jc w:val="both"/>
        <w:rPr>
          <w:rFonts w:eastAsia="Cambria Math" w:cstheme="minorHAnsi"/>
          <w:color w:val="000000"/>
        </w:rPr>
      </w:pPr>
      <w:r w:rsidRPr="00486970">
        <w:rPr>
          <w:rFonts w:eastAsia="Cambria Math" w:cstheme="minorHAnsi"/>
          <w:color w:val="000000"/>
        </w:rPr>
        <w:t>Two versions of weights are computed: one capturing 32 medicines (excluding optional medicines) and the other capturing 36 medicines (including optional medicines</w:t>
      </w:r>
      <w:r w:rsidRPr="00486970">
        <w:rPr>
          <w:rFonts w:eastAsia="Cambria Math" w:cstheme="minorHAnsi"/>
          <w:bCs/>
          <w:color w:val="000000"/>
        </w:rPr>
        <w:t>)</w:t>
      </w:r>
      <w:r w:rsidRPr="00486970">
        <w:rPr>
          <w:rFonts w:eastAsia="Cambria Math" w:cstheme="minorHAnsi"/>
          <w:color w:val="000000"/>
        </w:rPr>
        <w:t>. For countries where the distribution of specific medicines is calculated only in specialized facilities (for example injectable medicines are provided only in hospitals), WHO suggests computing two versions of weights (1 – for pharmacies and other non-tertiary health care facilities based on a shorter list of medicines that exclude the mentioned medicines and 2 – for hospitals that includes the full list of medicines).</w:t>
      </w:r>
    </w:p>
    <w:p w14:paraId="35643D5A" w14:textId="77777777" w:rsidR="00F54A6C" w:rsidRDefault="00F54A6C" w:rsidP="009443FF">
      <w:pPr>
        <w:pBdr>
          <w:bottom w:val="single" w:sz="12" w:space="4" w:color="DDDDDD"/>
        </w:pBdr>
        <w:shd w:val="clear" w:color="auto" w:fill="FFFFFF" w:themeFill="background1"/>
        <w:spacing w:after="0"/>
        <w:jc w:val="center"/>
        <w:outlineLvl w:val="2"/>
        <w:rPr>
          <w:rFonts w:eastAsia="Times New Roman" w:cstheme="minorHAnsi"/>
          <w:color w:val="1C75BC"/>
          <w:sz w:val="24"/>
          <w:szCs w:val="36"/>
          <w:lang w:eastAsia="en-GB"/>
        </w:rPr>
      </w:pPr>
    </w:p>
    <w:p w14:paraId="4D97EC68" w14:textId="77777777" w:rsidR="00F54A6C" w:rsidRDefault="00F54A6C" w:rsidP="009443FF">
      <w:pPr>
        <w:pBdr>
          <w:bottom w:val="single" w:sz="12" w:space="4" w:color="DDDDDD"/>
        </w:pBdr>
        <w:shd w:val="clear" w:color="auto" w:fill="FFFFFF" w:themeFill="background1"/>
        <w:spacing w:after="0"/>
        <w:jc w:val="center"/>
        <w:outlineLvl w:val="2"/>
        <w:rPr>
          <w:rFonts w:eastAsia="Times New Roman" w:cstheme="minorHAnsi"/>
          <w:color w:val="1C75BC"/>
          <w:sz w:val="24"/>
          <w:szCs w:val="36"/>
          <w:lang w:eastAsia="en-GB"/>
        </w:rPr>
      </w:pPr>
    </w:p>
    <w:p w14:paraId="548E9A6B" w14:textId="77777777" w:rsidR="00F54A6C" w:rsidRDefault="00F54A6C" w:rsidP="009443FF">
      <w:pPr>
        <w:pBdr>
          <w:bottom w:val="single" w:sz="12" w:space="4" w:color="DDDDDD"/>
        </w:pBdr>
        <w:shd w:val="clear" w:color="auto" w:fill="FFFFFF" w:themeFill="background1"/>
        <w:spacing w:after="0"/>
        <w:jc w:val="center"/>
        <w:outlineLvl w:val="2"/>
        <w:rPr>
          <w:rFonts w:eastAsia="Times New Roman" w:cstheme="minorHAnsi"/>
          <w:color w:val="1C75BC"/>
          <w:sz w:val="24"/>
          <w:szCs w:val="36"/>
          <w:lang w:eastAsia="en-GB"/>
        </w:rPr>
      </w:pPr>
    </w:p>
    <w:p w14:paraId="514B0B3C" w14:textId="77777777" w:rsidR="00F54A6C" w:rsidRDefault="00F54A6C" w:rsidP="009443FF">
      <w:pPr>
        <w:pBdr>
          <w:bottom w:val="single" w:sz="12" w:space="4" w:color="DDDDDD"/>
        </w:pBdr>
        <w:shd w:val="clear" w:color="auto" w:fill="FFFFFF" w:themeFill="background1"/>
        <w:spacing w:after="0"/>
        <w:jc w:val="center"/>
        <w:outlineLvl w:val="2"/>
        <w:rPr>
          <w:rFonts w:eastAsia="Times New Roman" w:cstheme="minorHAnsi"/>
          <w:color w:val="1C75BC"/>
          <w:sz w:val="24"/>
          <w:szCs w:val="36"/>
          <w:lang w:eastAsia="en-GB"/>
        </w:rPr>
      </w:pPr>
    </w:p>
    <w:p w14:paraId="216D6CDA" w14:textId="77777777" w:rsidR="00F54A6C" w:rsidRDefault="00F54A6C" w:rsidP="009443FF">
      <w:pPr>
        <w:pBdr>
          <w:bottom w:val="single" w:sz="12" w:space="4" w:color="DDDDDD"/>
        </w:pBdr>
        <w:shd w:val="clear" w:color="auto" w:fill="FFFFFF" w:themeFill="background1"/>
        <w:spacing w:after="0"/>
        <w:jc w:val="center"/>
        <w:outlineLvl w:val="2"/>
        <w:rPr>
          <w:rFonts w:eastAsia="Times New Roman" w:cstheme="minorHAnsi"/>
          <w:color w:val="1C75BC"/>
          <w:sz w:val="24"/>
          <w:szCs w:val="36"/>
          <w:lang w:eastAsia="en-GB"/>
        </w:rPr>
      </w:pPr>
    </w:p>
    <w:p w14:paraId="56129DED" w14:textId="77777777" w:rsidR="00F54A6C" w:rsidRDefault="00F54A6C" w:rsidP="009443FF">
      <w:pPr>
        <w:pBdr>
          <w:bottom w:val="single" w:sz="12" w:space="4" w:color="DDDDDD"/>
        </w:pBdr>
        <w:shd w:val="clear" w:color="auto" w:fill="FFFFFF" w:themeFill="background1"/>
        <w:spacing w:after="0"/>
        <w:jc w:val="center"/>
        <w:outlineLvl w:val="2"/>
        <w:rPr>
          <w:rFonts w:eastAsia="Times New Roman" w:cstheme="minorHAnsi"/>
          <w:color w:val="1C75BC"/>
          <w:sz w:val="24"/>
          <w:szCs w:val="36"/>
          <w:lang w:eastAsia="en-GB"/>
        </w:rPr>
      </w:pPr>
    </w:p>
    <w:p w14:paraId="6FEFAEC5" w14:textId="61E99605" w:rsidR="00AB21FA" w:rsidRPr="00486970" w:rsidRDefault="00AB21FA" w:rsidP="009443FF">
      <w:pPr>
        <w:pBdr>
          <w:bottom w:val="single" w:sz="12" w:space="4" w:color="DDDDDD"/>
        </w:pBdr>
        <w:shd w:val="clear" w:color="auto" w:fill="FFFFFF" w:themeFill="background1"/>
        <w:spacing w:after="0"/>
        <w:jc w:val="center"/>
        <w:outlineLvl w:val="2"/>
        <w:rPr>
          <w:rFonts w:eastAsia="Times New Roman" w:cstheme="minorHAnsi"/>
          <w:color w:val="1C75BC"/>
          <w:sz w:val="24"/>
          <w:szCs w:val="36"/>
          <w:lang w:eastAsia="en-GB"/>
        </w:rPr>
      </w:pPr>
      <w:r>
        <w:rPr>
          <w:noProof/>
        </w:rPr>
        <w:drawing>
          <wp:inline distT="0" distB="0" distL="0" distR="0" wp14:anchorId="592D18B4" wp14:editId="69DD59D0">
            <wp:extent cx="8863330" cy="5208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8863330" cy="5208905"/>
                    </a:xfrm>
                    <a:prstGeom prst="rect">
                      <a:avLst/>
                    </a:prstGeom>
                  </pic:spPr>
                </pic:pic>
              </a:graphicData>
            </a:graphic>
          </wp:inline>
        </w:drawing>
      </w:r>
    </w:p>
    <w:p w14:paraId="7F0E4827" w14:textId="75D8F63F" w:rsidR="009443FF" w:rsidRPr="00486970" w:rsidRDefault="009443FF" w:rsidP="00D942BA">
      <w:pPr>
        <w:tabs>
          <w:tab w:val="left" w:pos="1125"/>
        </w:tabs>
        <w:rPr>
          <w:rFonts w:cstheme="minorHAnsi"/>
        </w:rPr>
      </w:pPr>
    </w:p>
    <w:p w14:paraId="6911E15B" w14:textId="1C392C54" w:rsidR="00AB21FA" w:rsidRDefault="00AB21FA" w:rsidP="009443FF">
      <w:pPr>
        <w:pBdr>
          <w:bottom w:val="single" w:sz="12" w:space="5" w:color="DDDDDD"/>
        </w:pBdr>
        <w:shd w:val="clear" w:color="auto" w:fill="FFFFFF" w:themeFill="background1"/>
        <w:spacing w:after="0"/>
        <w:jc w:val="center"/>
        <w:outlineLvl w:val="2"/>
        <w:rPr>
          <w:rFonts w:cstheme="minorHAnsi"/>
          <w:noProof/>
          <w:lang w:val="en-US"/>
        </w:rPr>
      </w:pPr>
      <w:r>
        <w:rPr>
          <w:noProof/>
        </w:rPr>
        <w:lastRenderedPageBreak/>
        <w:drawing>
          <wp:inline distT="0" distB="0" distL="0" distR="0" wp14:anchorId="73581318" wp14:editId="192FD2D4">
            <wp:extent cx="8863330" cy="4846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8863330" cy="4846320"/>
                    </a:xfrm>
                    <a:prstGeom prst="rect">
                      <a:avLst/>
                    </a:prstGeom>
                  </pic:spPr>
                </pic:pic>
              </a:graphicData>
            </a:graphic>
          </wp:inline>
        </w:drawing>
      </w:r>
    </w:p>
    <w:p w14:paraId="614D7135" w14:textId="77777777" w:rsidR="00AB21FA" w:rsidRDefault="00AB21FA" w:rsidP="009443FF">
      <w:pPr>
        <w:pBdr>
          <w:bottom w:val="single" w:sz="12" w:space="5" w:color="DDDDDD"/>
        </w:pBdr>
        <w:shd w:val="clear" w:color="auto" w:fill="FFFFFF" w:themeFill="background1"/>
        <w:spacing w:after="0"/>
        <w:jc w:val="center"/>
        <w:outlineLvl w:val="2"/>
        <w:rPr>
          <w:rFonts w:cstheme="minorHAnsi"/>
          <w:noProof/>
          <w:lang w:val="en-US"/>
        </w:rPr>
      </w:pPr>
    </w:p>
    <w:p w14:paraId="61F2FB93" w14:textId="2CA7B499" w:rsidR="009443FF" w:rsidRPr="00486970" w:rsidRDefault="009443FF" w:rsidP="009443FF">
      <w:pPr>
        <w:pBdr>
          <w:bottom w:val="single" w:sz="12" w:space="5" w:color="DDDDDD"/>
        </w:pBdr>
        <w:shd w:val="clear" w:color="auto" w:fill="FFFFFF" w:themeFill="background1"/>
        <w:spacing w:after="0"/>
        <w:jc w:val="center"/>
        <w:outlineLvl w:val="2"/>
        <w:rPr>
          <w:rFonts w:cstheme="minorHAnsi"/>
        </w:rPr>
        <w:sectPr w:rsidR="009443FF" w:rsidRPr="00486970" w:rsidSect="004D1906">
          <w:pgSz w:w="16838" w:h="11906" w:orient="landscape"/>
          <w:pgMar w:top="1440" w:right="1440" w:bottom="1440" w:left="1440" w:header="720" w:footer="720" w:gutter="0"/>
          <w:cols w:space="720"/>
          <w:docGrid w:linePitch="360"/>
        </w:sectPr>
      </w:pPr>
      <w:r w:rsidRPr="00486970">
        <w:rPr>
          <w:rFonts w:cstheme="minorHAnsi"/>
          <w:sz w:val="16"/>
          <w:szCs w:val="16"/>
        </w:rPr>
        <w:t>.</w:t>
      </w:r>
    </w:p>
    <w:p w14:paraId="41AA1689" w14:textId="77777777" w:rsidR="009443FF" w:rsidRPr="00486970" w:rsidRDefault="009443FF" w:rsidP="009443FF">
      <w:pPr>
        <w:spacing w:after="0" w:line="240" w:lineRule="auto"/>
        <w:jc w:val="center"/>
        <w:rPr>
          <w:rFonts w:eastAsia="Times New Roman" w:cstheme="minorHAnsi"/>
          <w:color w:val="1C75BC"/>
          <w:sz w:val="36"/>
          <w:szCs w:val="36"/>
          <w:lang w:eastAsia="en-GB"/>
        </w:rPr>
      </w:pPr>
      <w:r w:rsidRPr="00486970">
        <w:rPr>
          <w:rFonts w:eastAsia="Times New Roman" w:cstheme="minorHAnsi"/>
          <w:color w:val="1C75BC"/>
          <w:sz w:val="36"/>
          <w:szCs w:val="36"/>
          <w:lang w:eastAsia="en-GB"/>
        </w:rPr>
        <w:lastRenderedPageBreak/>
        <w:t>Annex 3: Basket of core set of relevant essential medicines for primary health care: number of units and duration per treatment</w:t>
      </w:r>
    </w:p>
    <w:tbl>
      <w:tblPr>
        <w:tblW w:w="10005" w:type="dxa"/>
        <w:tblInd w:w="93" w:type="dxa"/>
        <w:tblLook w:val="04A0" w:firstRow="1" w:lastRow="0" w:firstColumn="1" w:lastColumn="0" w:noHBand="0" w:noVBand="1"/>
      </w:tblPr>
      <w:tblGrid>
        <w:gridCol w:w="3417"/>
        <w:gridCol w:w="3402"/>
        <w:gridCol w:w="1418"/>
        <w:gridCol w:w="1768"/>
      </w:tblGrid>
      <w:tr w:rsidR="009443FF" w:rsidRPr="00486970" w14:paraId="156C7A8C" w14:textId="77777777" w:rsidTr="004D1906">
        <w:trPr>
          <w:trHeight w:val="315"/>
        </w:trPr>
        <w:tc>
          <w:tcPr>
            <w:tcW w:w="3417" w:type="dxa"/>
            <w:tcBorders>
              <w:top w:val="single" w:sz="8" w:space="0" w:color="808080"/>
              <w:left w:val="single" w:sz="8" w:space="0" w:color="808080"/>
              <w:bottom w:val="single" w:sz="8" w:space="0" w:color="808080"/>
              <w:right w:val="single" w:sz="4" w:space="0" w:color="808080"/>
            </w:tcBorders>
            <w:shd w:val="clear" w:color="auto" w:fill="auto"/>
            <w:noWrap/>
            <w:vAlign w:val="bottom"/>
            <w:hideMark/>
          </w:tcPr>
          <w:p w14:paraId="352F6155" w14:textId="77777777" w:rsidR="009443FF" w:rsidRPr="00486970" w:rsidRDefault="009443FF" w:rsidP="009443FF">
            <w:pPr>
              <w:spacing w:after="0" w:line="240" w:lineRule="auto"/>
              <w:rPr>
                <w:rFonts w:eastAsia="Times New Roman" w:cstheme="minorHAnsi"/>
                <w:b/>
                <w:bCs/>
                <w:color w:val="000000"/>
                <w:u w:val="single"/>
                <w:lang w:val="en-US"/>
              </w:rPr>
            </w:pPr>
            <w:r w:rsidRPr="00486970">
              <w:rPr>
                <w:rFonts w:eastAsia="Times New Roman" w:cstheme="minorHAnsi"/>
                <w:b/>
                <w:bCs/>
                <w:color w:val="000000"/>
                <w:u w:val="single"/>
                <w:lang w:val="en-US"/>
              </w:rPr>
              <w:t>Medicine</w:t>
            </w:r>
          </w:p>
        </w:tc>
        <w:tc>
          <w:tcPr>
            <w:tcW w:w="3402" w:type="dxa"/>
            <w:tcBorders>
              <w:top w:val="single" w:sz="8" w:space="0" w:color="808080"/>
              <w:left w:val="nil"/>
              <w:bottom w:val="single" w:sz="8" w:space="0" w:color="808080"/>
              <w:right w:val="single" w:sz="4" w:space="0" w:color="808080"/>
            </w:tcBorders>
            <w:shd w:val="clear" w:color="auto" w:fill="auto"/>
            <w:noWrap/>
            <w:vAlign w:val="bottom"/>
            <w:hideMark/>
          </w:tcPr>
          <w:p w14:paraId="75B5D25E" w14:textId="77777777" w:rsidR="009443FF" w:rsidRPr="00486970" w:rsidRDefault="009443FF" w:rsidP="009443FF">
            <w:pPr>
              <w:spacing w:after="0" w:line="240" w:lineRule="auto"/>
              <w:rPr>
                <w:rFonts w:eastAsia="Times New Roman" w:cstheme="minorHAnsi"/>
                <w:b/>
                <w:bCs/>
                <w:color w:val="000000"/>
                <w:u w:val="single"/>
                <w:lang w:val="en-US"/>
              </w:rPr>
            </w:pPr>
            <w:r w:rsidRPr="00486970">
              <w:rPr>
                <w:rFonts w:eastAsia="Times New Roman" w:cstheme="minorHAnsi"/>
                <w:b/>
                <w:bCs/>
                <w:color w:val="000000"/>
                <w:u w:val="single"/>
                <w:lang w:val="en-US"/>
              </w:rPr>
              <w:t>Dose</w:t>
            </w:r>
          </w:p>
        </w:tc>
        <w:tc>
          <w:tcPr>
            <w:tcW w:w="1418" w:type="dxa"/>
            <w:tcBorders>
              <w:top w:val="single" w:sz="8" w:space="0" w:color="808080"/>
              <w:left w:val="nil"/>
              <w:bottom w:val="single" w:sz="8" w:space="0" w:color="808080"/>
              <w:right w:val="single" w:sz="4" w:space="0" w:color="808080"/>
            </w:tcBorders>
            <w:shd w:val="clear" w:color="auto" w:fill="auto"/>
            <w:noWrap/>
            <w:vAlign w:val="bottom"/>
            <w:hideMark/>
          </w:tcPr>
          <w:p w14:paraId="5B544DD8" w14:textId="77777777" w:rsidR="009443FF" w:rsidRPr="00486970" w:rsidRDefault="009443FF" w:rsidP="009443FF">
            <w:pPr>
              <w:spacing w:after="0" w:line="240" w:lineRule="auto"/>
              <w:rPr>
                <w:rFonts w:eastAsia="Times New Roman" w:cstheme="minorHAnsi"/>
                <w:b/>
                <w:bCs/>
                <w:color w:val="000000"/>
                <w:u w:val="single"/>
                <w:lang w:val="en-US"/>
              </w:rPr>
            </w:pPr>
            <w:r w:rsidRPr="00486970">
              <w:rPr>
                <w:rFonts w:eastAsia="Times New Roman" w:cstheme="minorHAnsi"/>
                <w:b/>
                <w:bCs/>
                <w:color w:val="000000"/>
                <w:u w:val="single"/>
                <w:lang w:val="en-US"/>
              </w:rPr>
              <w:t>Duration</w:t>
            </w:r>
          </w:p>
        </w:tc>
        <w:tc>
          <w:tcPr>
            <w:tcW w:w="1768" w:type="dxa"/>
            <w:tcBorders>
              <w:top w:val="single" w:sz="8" w:space="0" w:color="808080"/>
              <w:left w:val="nil"/>
              <w:bottom w:val="single" w:sz="8" w:space="0" w:color="808080"/>
              <w:right w:val="single" w:sz="8" w:space="0" w:color="808080"/>
            </w:tcBorders>
            <w:shd w:val="clear" w:color="auto" w:fill="auto"/>
            <w:noWrap/>
            <w:vAlign w:val="bottom"/>
            <w:hideMark/>
          </w:tcPr>
          <w:p w14:paraId="4C3B2E4F" w14:textId="77777777" w:rsidR="009443FF" w:rsidRPr="00486970" w:rsidRDefault="009443FF" w:rsidP="009443FF">
            <w:pPr>
              <w:spacing w:after="0" w:line="240" w:lineRule="auto"/>
              <w:rPr>
                <w:rFonts w:eastAsia="Times New Roman" w:cstheme="minorHAnsi"/>
                <w:b/>
                <w:bCs/>
                <w:color w:val="000000"/>
                <w:u w:val="single"/>
                <w:lang w:val="en-US"/>
              </w:rPr>
            </w:pPr>
            <w:r w:rsidRPr="00486970">
              <w:rPr>
                <w:rFonts w:eastAsia="Times New Roman" w:cstheme="minorHAnsi"/>
                <w:b/>
                <w:bCs/>
                <w:color w:val="000000"/>
                <w:u w:val="single"/>
                <w:lang w:val="en-US"/>
              </w:rPr>
              <w:t>Units</w:t>
            </w:r>
          </w:p>
        </w:tc>
      </w:tr>
      <w:tr w:rsidR="009443FF" w:rsidRPr="00486970" w14:paraId="0C7802C9" w14:textId="77777777" w:rsidTr="004D1906">
        <w:trPr>
          <w:trHeight w:val="173"/>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7DA60B45"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Salbutamol </w:t>
            </w:r>
          </w:p>
        </w:tc>
        <w:tc>
          <w:tcPr>
            <w:tcW w:w="3402" w:type="dxa"/>
            <w:tcBorders>
              <w:top w:val="nil"/>
              <w:left w:val="nil"/>
              <w:bottom w:val="single" w:sz="4" w:space="0" w:color="808080"/>
              <w:right w:val="single" w:sz="4" w:space="0" w:color="808080"/>
            </w:tcBorders>
            <w:shd w:val="clear" w:color="auto" w:fill="auto"/>
            <w:noWrap/>
            <w:vAlign w:val="bottom"/>
            <w:hideMark/>
          </w:tcPr>
          <w:p w14:paraId="660B6208"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100 mcg/dose inhaler</w:t>
            </w:r>
          </w:p>
        </w:tc>
        <w:tc>
          <w:tcPr>
            <w:tcW w:w="1418" w:type="dxa"/>
            <w:tcBorders>
              <w:top w:val="nil"/>
              <w:left w:val="nil"/>
              <w:bottom w:val="single" w:sz="4" w:space="0" w:color="808080"/>
              <w:right w:val="single" w:sz="4" w:space="0" w:color="808080"/>
            </w:tcBorders>
            <w:shd w:val="clear" w:color="auto" w:fill="auto"/>
            <w:noWrap/>
            <w:vAlign w:val="bottom"/>
            <w:hideMark/>
          </w:tcPr>
          <w:p w14:paraId="5DBCB26F"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2B162AE3"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r>
      <w:tr w:rsidR="009443FF" w:rsidRPr="00486970" w14:paraId="643295F7"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730F94F6"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Beclometasone </w:t>
            </w:r>
          </w:p>
        </w:tc>
        <w:tc>
          <w:tcPr>
            <w:tcW w:w="3402" w:type="dxa"/>
            <w:tcBorders>
              <w:top w:val="nil"/>
              <w:left w:val="nil"/>
              <w:bottom w:val="single" w:sz="4" w:space="0" w:color="808080"/>
              <w:right w:val="single" w:sz="4" w:space="0" w:color="808080"/>
            </w:tcBorders>
            <w:shd w:val="clear" w:color="auto" w:fill="auto"/>
            <w:noWrap/>
            <w:vAlign w:val="bottom"/>
            <w:hideMark/>
          </w:tcPr>
          <w:p w14:paraId="37D28732"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100 mcg/dose inhaler</w:t>
            </w:r>
          </w:p>
        </w:tc>
        <w:tc>
          <w:tcPr>
            <w:tcW w:w="1418" w:type="dxa"/>
            <w:tcBorders>
              <w:top w:val="nil"/>
              <w:left w:val="nil"/>
              <w:bottom w:val="single" w:sz="4" w:space="0" w:color="808080"/>
              <w:right w:val="single" w:sz="4" w:space="0" w:color="808080"/>
            </w:tcBorders>
            <w:shd w:val="clear" w:color="auto" w:fill="auto"/>
            <w:noWrap/>
            <w:vAlign w:val="bottom"/>
            <w:hideMark/>
          </w:tcPr>
          <w:p w14:paraId="22995D50"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709D78DC"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60</w:t>
            </w:r>
          </w:p>
        </w:tc>
      </w:tr>
      <w:tr w:rsidR="009443FF" w:rsidRPr="00486970" w14:paraId="6D8C1CB3"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03B0234A"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Gliclazide </w:t>
            </w:r>
          </w:p>
        </w:tc>
        <w:tc>
          <w:tcPr>
            <w:tcW w:w="3402" w:type="dxa"/>
            <w:tcBorders>
              <w:top w:val="nil"/>
              <w:left w:val="nil"/>
              <w:bottom w:val="single" w:sz="4" w:space="0" w:color="808080"/>
              <w:right w:val="single" w:sz="4" w:space="0" w:color="808080"/>
            </w:tcBorders>
            <w:shd w:val="clear" w:color="auto" w:fill="auto"/>
            <w:noWrap/>
            <w:vAlign w:val="bottom"/>
            <w:hideMark/>
          </w:tcPr>
          <w:p w14:paraId="17467958"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80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05A9E5EF"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61E6C7CE"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r>
      <w:tr w:rsidR="009443FF" w:rsidRPr="00486970" w14:paraId="7CAFB2EA"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3335EA53"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Metformin </w:t>
            </w:r>
          </w:p>
        </w:tc>
        <w:tc>
          <w:tcPr>
            <w:tcW w:w="3402" w:type="dxa"/>
            <w:tcBorders>
              <w:top w:val="nil"/>
              <w:left w:val="nil"/>
              <w:bottom w:val="single" w:sz="4" w:space="0" w:color="808080"/>
              <w:right w:val="single" w:sz="4" w:space="0" w:color="808080"/>
            </w:tcBorders>
            <w:shd w:val="clear" w:color="auto" w:fill="auto"/>
            <w:noWrap/>
            <w:vAlign w:val="bottom"/>
            <w:hideMark/>
          </w:tcPr>
          <w:p w14:paraId="366B5030"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500 mg cap/tab </w:t>
            </w:r>
            <w:r w:rsidRPr="00486970">
              <w:rPr>
                <w:rFonts w:cstheme="minorHAnsi"/>
                <w:b/>
                <w:bCs/>
                <w:sz w:val="20"/>
                <w:szCs w:val="20"/>
                <w:u w:val="single"/>
              </w:rPr>
              <w:t>OR</w:t>
            </w:r>
            <w:r w:rsidRPr="00486970">
              <w:rPr>
                <w:rFonts w:cstheme="minorHAnsi"/>
                <w:sz w:val="20"/>
                <w:szCs w:val="20"/>
              </w:rPr>
              <w:t xml:space="preserve"> 850 mg cap/tab  OR 1 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4DF019B4"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0F16E72F"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90</w:t>
            </w:r>
          </w:p>
        </w:tc>
      </w:tr>
      <w:tr w:rsidR="009443FF" w:rsidRPr="00486970" w14:paraId="22D6DE17"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7B6FA7BA"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Insulin regular, soluble </w:t>
            </w:r>
          </w:p>
        </w:tc>
        <w:tc>
          <w:tcPr>
            <w:tcW w:w="3402" w:type="dxa"/>
            <w:tcBorders>
              <w:top w:val="nil"/>
              <w:left w:val="nil"/>
              <w:bottom w:val="single" w:sz="4" w:space="0" w:color="808080"/>
              <w:right w:val="single" w:sz="4" w:space="0" w:color="808080"/>
            </w:tcBorders>
            <w:shd w:val="clear" w:color="auto" w:fill="auto"/>
            <w:noWrap/>
            <w:vAlign w:val="bottom"/>
            <w:hideMark/>
          </w:tcPr>
          <w:p w14:paraId="058279FE"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100 IU/ml injection</w:t>
            </w:r>
          </w:p>
        </w:tc>
        <w:tc>
          <w:tcPr>
            <w:tcW w:w="1418" w:type="dxa"/>
            <w:tcBorders>
              <w:top w:val="nil"/>
              <w:left w:val="nil"/>
              <w:bottom w:val="single" w:sz="4" w:space="0" w:color="808080"/>
              <w:right w:val="single" w:sz="4" w:space="0" w:color="808080"/>
            </w:tcBorders>
            <w:shd w:val="clear" w:color="auto" w:fill="auto"/>
            <w:noWrap/>
            <w:vAlign w:val="bottom"/>
            <w:hideMark/>
          </w:tcPr>
          <w:p w14:paraId="798EBCA4"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73E7E8B2"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90</w:t>
            </w:r>
          </w:p>
        </w:tc>
      </w:tr>
      <w:tr w:rsidR="009443FF" w:rsidRPr="00486970" w14:paraId="5447F235"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2812E1B6"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Amlodipine </w:t>
            </w:r>
          </w:p>
        </w:tc>
        <w:tc>
          <w:tcPr>
            <w:tcW w:w="3402" w:type="dxa"/>
            <w:tcBorders>
              <w:top w:val="nil"/>
              <w:left w:val="nil"/>
              <w:bottom w:val="single" w:sz="4" w:space="0" w:color="808080"/>
              <w:right w:val="single" w:sz="4" w:space="0" w:color="808080"/>
            </w:tcBorders>
            <w:shd w:val="clear" w:color="auto" w:fill="auto"/>
            <w:noWrap/>
            <w:vAlign w:val="bottom"/>
            <w:hideMark/>
          </w:tcPr>
          <w:p w14:paraId="7769D649"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5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324EA030"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0D641A0C"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r>
      <w:tr w:rsidR="009443FF" w:rsidRPr="00486970" w14:paraId="59034EA7"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6723CFC4"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Enalapril </w:t>
            </w:r>
          </w:p>
        </w:tc>
        <w:tc>
          <w:tcPr>
            <w:tcW w:w="3402" w:type="dxa"/>
            <w:tcBorders>
              <w:top w:val="nil"/>
              <w:left w:val="nil"/>
              <w:bottom w:val="single" w:sz="4" w:space="0" w:color="808080"/>
              <w:right w:val="single" w:sz="4" w:space="0" w:color="808080"/>
            </w:tcBorders>
            <w:shd w:val="clear" w:color="auto" w:fill="auto"/>
            <w:noWrap/>
            <w:vAlign w:val="bottom"/>
            <w:hideMark/>
          </w:tcPr>
          <w:p w14:paraId="63E67D59"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5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1C63B5CC"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38420D41"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r>
      <w:tr w:rsidR="009443FF" w:rsidRPr="00486970" w14:paraId="7C0AC487"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6EED46EA"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Hydrochlorothiazide </w:t>
            </w:r>
          </w:p>
        </w:tc>
        <w:tc>
          <w:tcPr>
            <w:tcW w:w="3402" w:type="dxa"/>
            <w:tcBorders>
              <w:top w:val="nil"/>
              <w:left w:val="nil"/>
              <w:bottom w:val="single" w:sz="4" w:space="0" w:color="808080"/>
              <w:right w:val="single" w:sz="4" w:space="0" w:color="808080"/>
            </w:tcBorders>
            <w:shd w:val="clear" w:color="auto" w:fill="auto"/>
            <w:noWrap/>
            <w:vAlign w:val="bottom"/>
            <w:hideMark/>
          </w:tcPr>
          <w:p w14:paraId="1FC66E94"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25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1A8CE914"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2AD6586B"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r>
      <w:tr w:rsidR="009443FF" w:rsidRPr="00486970" w14:paraId="5A1B1B56"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44227012"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Chlorthalidone </w:t>
            </w:r>
          </w:p>
        </w:tc>
        <w:tc>
          <w:tcPr>
            <w:tcW w:w="3402" w:type="dxa"/>
            <w:tcBorders>
              <w:top w:val="nil"/>
              <w:left w:val="nil"/>
              <w:bottom w:val="single" w:sz="4" w:space="0" w:color="808080"/>
              <w:right w:val="single" w:sz="4" w:space="0" w:color="808080"/>
            </w:tcBorders>
            <w:shd w:val="clear" w:color="auto" w:fill="auto"/>
            <w:noWrap/>
            <w:vAlign w:val="bottom"/>
            <w:hideMark/>
          </w:tcPr>
          <w:p w14:paraId="78323448"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25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390CB4E1"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3783E5FE"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15</w:t>
            </w:r>
          </w:p>
        </w:tc>
      </w:tr>
      <w:tr w:rsidR="009443FF" w:rsidRPr="00486970" w14:paraId="54462392"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5CF498D1"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Bisoprolol </w:t>
            </w:r>
          </w:p>
        </w:tc>
        <w:tc>
          <w:tcPr>
            <w:tcW w:w="3402" w:type="dxa"/>
            <w:tcBorders>
              <w:top w:val="nil"/>
              <w:left w:val="nil"/>
              <w:bottom w:val="single" w:sz="4" w:space="0" w:color="808080"/>
              <w:right w:val="single" w:sz="4" w:space="0" w:color="808080"/>
            </w:tcBorders>
            <w:shd w:val="clear" w:color="auto" w:fill="auto"/>
            <w:noWrap/>
            <w:vAlign w:val="bottom"/>
            <w:hideMark/>
          </w:tcPr>
          <w:p w14:paraId="2E977D51"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5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04AF5BC7"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5660A27B"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r>
      <w:tr w:rsidR="009443FF" w:rsidRPr="00486970" w14:paraId="564FFBC0"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21CF7E8B"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Simvastatin </w:t>
            </w:r>
          </w:p>
        </w:tc>
        <w:tc>
          <w:tcPr>
            <w:tcW w:w="3402" w:type="dxa"/>
            <w:tcBorders>
              <w:top w:val="nil"/>
              <w:left w:val="nil"/>
              <w:bottom w:val="single" w:sz="4" w:space="0" w:color="808080"/>
              <w:right w:val="single" w:sz="4" w:space="0" w:color="808080"/>
            </w:tcBorders>
            <w:shd w:val="clear" w:color="auto" w:fill="auto"/>
            <w:noWrap/>
            <w:vAlign w:val="bottom"/>
            <w:hideMark/>
          </w:tcPr>
          <w:p w14:paraId="3036608E"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20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3122FB0F"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26062F44"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r>
      <w:tr w:rsidR="009443FF" w:rsidRPr="00486970" w14:paraId="6E8B83E2"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5579C97E"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Acetylsalicylic acid (aspirin)</w:t>
            </w:r>
          </w:p>
        </w:tc>
        <w:tc>
          <w:tcPr>
            <w:tcW w:w="3402" w:type="dxa"/>
            <w:tcBorders>
              <w:top w:val="nil"/>
              <w:left w:val="nil"/>
              <w:bottom w:val="single" w:sz="4" w:space="0" w:color="808080"/>
              <w:right w:val="single" w:sz="4" w:space="0" w:color="808080"/>
            </w:tcBorders>
            <w:shd w:val="clear" w:color="auto" w:fill="auto"/>
            <w:noWrap/>
            <w:vAlign w:val="bottom"/>
            <w:hideMark/>
          </w:tcPr>
          <w:p w14:paraId="3C33D152"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100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2AF21BDE"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2523EEC3"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r>
      <w:tr w:rsidR="009443FF" w:rsidRPr="00486970" w14:paraId="1C7E7653"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794F5528"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Morphine </w:t>
            </w:r>
          </w:p>
        </w:tc>
        <w:tc>
          <w:tcPr>
            <w:tcW w:w="3402" w:type="dxa"/>
            <w:tcBorders>
              <w:top w:val="nil"/>
              <w:left w:val="nil"/>
              <w:bottom w:val="single" w:sz="4" w:space="0" w:color="808080"/>
              <w:right w:val="single" w:sz="4" w:space="0" w:color="808080"/>
            </w:tcBorders>
            <w:shd w:val="clear" w:color="auto" w:fill="auto"/>
            <w:noWrap/>
            <w:vAlign w:val="bottom"/>
            <w:hideMark/>
          </w:tcPr>
          <w:p w14:paraId="7382DAA3"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10mg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7E0A89D6"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7556C2DC"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180</w:t>
            </w:r>
          </w:p>
        </w:tc>
      </w:tr>
      <w:tr w:rsidR="009443FF" w:rsidRPr="00486970" w14:paraId="28FD76A2"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3A8E0021"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Paracetamol </w:t>
            </w:r>
          </w:p>
        </w:tc>
        <w:tc>
          <w:tcPr>
            <w:tcW w:w="3402" w:type="dxa"/>
            <w:tcBorders>
              <w:top w:val="nil"/>
              <w:left w:val="nil"/>
              <w:bottom w:val="single" w:sz="4" w:space="0" w:color="808080"/>
              <w:right w:val="single" w:sz="4" w:space="0" w:color="808080"/>
            </w:tcBorders>
            <w:shd w:val="clear" w:color="auto" w:fill="auto"/>
            <w:noWrap/>
            <w:vAlign w:val="bottom"/>
            <w:hideMark/>
          </w:tcPr>
          <w:p w14:paraId="74A7D1BE"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500 mg tab/cap</w:t>
            </w:r>
          </w:p>
        </w:tc>
        <w:tc>
          <w:tcPr>
            <w:tcW w:w="1418" w:type="dxa"/>
            <w:tcBorders>
              <w:top w:val="nil"/>
              <w:left w:val="nil"/>
              <w:bottom w:val="single" w:sz="4" w:space="0" w:color="808080"/>
              <w:right w:val="single" w:sz="4" w:space="0" w:color="808080"/>
            </w:tcBorders>
            <w:shd w:val="clear" w:color="auto" w:fill="auto"/>
            <w:noWrap/>
            <w:vAlign w:val="bottom"/>
            <w:hideMark/>
          </w:tcPr>
          <w:p w14:paraId="65266B78"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0DF5C7C5"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180</w:t>
            </w:r>
          </w:p>
        </w:tc>
      </w:tr>
      <w:tr w:rsidR="009443FF" w:rsidRPr="00486970" w14:paraId="68007EEF"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1EBCE2D2"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Fluoxetine </w:t>
            </w:r>
          </w:p>
        </w:tc>
        <w:tc>
          <w:tcPr>
            <w:tcW w:w="3402" w:type="dxa"/>
            <w:tcBorders>
              <w:top w:val="nil"/>
              <w:left w:val="nil"/>
              <w:bottom w:val="single" w:sz="4" w:space="0" w:color="808080"/>
              <w:right w:val="single" w:sz="4" w:space="0" w:color="808080"/>
            </w:tcBorders>
            <w:shd w:val="clear" w:color="auto" w:fill="auto"/>
            <w:noWrap/>
            <w:vAlign w:val="bottom"/>
            <w:hideMark/>
          </w:tcPr>
          <w:p w14:paraId="4F564E15"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20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3CFE5385"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03D6F1A2"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r>
      <w:tr w:rsidR="009443FF" w:rsidRPr="00486970" w14:paraId="19DC1224" w14:textId="77777777" w:rsidTr="004D1906">
        <w:trPr>
          <w:trHeight w:val="300"/>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761281AB"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Phenytoin </w:t>
            </w:r>
          </w:p>
        </w:tc>
        <w:tc>
          <w:tcPr>
            <w:tcW w:w="3402" w:type="dxa"/>
            <w:tcBorders>
              <w:top w:val="nil"/>
              <w:left w:val="nil"/>
              <w:bottom w:val="single" w:sz="4" w:space="0" w:color="808080"/>
              <w:right w:val="single" w:sz="4" w:space="0" w:color="808080"/>
            </w:tcBorders>
            <w:shd w:val="clear" w:color="auto" w:fill="auto"/>
            <w:noWrap/>
            <w:vAlign w:val="bottom"/>
            <w:hideMark/>
          </w:tcPr>
          <w:p w14:paraId="3F057E13"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100mg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50C2699B"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4D5A3CD2"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90</w:t>
            </w:r>
          </w:p>
        </w:tc>
      </w:tr>
      <w:tr w:rsidR="009443FF" w:rsidRPr="00486970" w14:paraId="0FC84487" w14:textId="77777777" w:rsidTr="004D1906">
        <w:trPr>
          <w:trHeight w:val="300"/>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2AB0BE5B"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Carbamazepine </w:t>
            </w:r>
          </w:p>
        </w:tc>
        <w:tc>
          <w:tcPr>
            <w:tcW w:w="3402" w:type="dxa"/>
            <w:tcBorders>
              <w:top w:val="nil"/>
              <w:left w:val="nil"/>
              <w:bottom w:val="single" w:sz="4" w:space="0" w:color="808080"/>
              <w:right w:val="single" w:sz="4" w:space="0" w:color="808080"/>
            </w:tcBorders>
            <w:shd w:val="clear" w:color="auto" w:fill="auto"/>
            <w:noWrap/>
            <w:vAlign w:val="bottom"/>
            <w:hideMark/>
          </w:tcPr>
          <w:p w14:paraId="59836347"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200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208479CE"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1541939A"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150</w:t>
            </w:r>
          </w:p>
        </w:tc>
      </w:tr>
      <w:tr w:rsidR="009443FF" w:rsidRPr="00486970" w14:paraId="63055863" w14:textId="77777777" w:rsidTr="004D1906">
        <w:trPr>
          <w:trHeight w:val="300"/>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10F9B0C2"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Gentamicin </w:t>
            </w:r>
          </w:p>
        </w:tc>
        <w:tc>
          <w:tcPr>
            <w:tcW w:w="3402" w:type="dxa"/>
            <w:tcBorders>
              <w:top w:val="nil"/>
              <w:left w:val="nil"/>
              <w:bottom w:val="single" w:sz="4" w:space="0" w:color="808080"/>
              <w:right w:val="single" w:sz="4" w:space="0" w:color="808080"/>
            </w:tcBorders>
            <w:shd w:val="clear" w:color="auto" w:fill="auto"/>
            <w:noWrap/>
            <w:vAlign w:val="bottom"/>
            <w:hideMark/>
          </w:tcPr>
          <w:p w14:paraId="55FEC16A"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40 mg/mL in 2mL vial</w:t>
            </w:r>
          </w:p>
        </w:tc>
        <w:tc>
          <w:tcPr>
            <w:tcW w:w="1418" w:type="dxa"/>
            <w:tcBorders>
              <w:top w:val="nil"/>
              <w:left w:val="nil"/>
              <w:bottom w:val="single" w:sz="4" w:space="0" w:color="808080"/>
              <w:right w:val="single" w:sz="4" w:space="0" w:color="808080"/>
            </w:tcBorders>
            <w:shd w:val="clear" w:color="auto" w:fill="auto"/>
            <w:noWrap/>
            <w:vAlign w:val="bottom"/>
            <w:hideMark/>
          </w:tcPr>
          <w:p w14:paraId="294EEF87"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w:t>
            </w:r>
          </w:p>
        </w:tc>
        <w:tc>
          <w:tcPr>
            <w:tcW w:w="1768" w:type="dxa"/>
            <w:tcBorders>
              <w:top w:val="nil"/>
              <w:left w:val="nil"/>
              <w:bottom w:val="single" w:sz="4" w:space="0" w:color="808080"/>
              <w:right w:val="single" w:sz="8" w:space="0" w:color="808080"/>
            </w:tcBorders>
            <w:shd w:val="clear" w:color="auto" w:fill="auto"/>
            <w:noWrap/>
            <w:vAlign w:val="bottom"/>
            <w:hideMark/>
          </w:tcPr>
          <w:p w14:paraId="5447D6B9"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15</w:t>
            </w:r>
          </w:p>
        </w:tc>
      </w:tr>
      <w:tr w:rsidR="009443FF" w:rsidRPr="00486970" w14:paraId="4A2029B0"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5F1CBE5B"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Amoxicillin for adults </w:t>
            </w:r>
          </w:p>
        </w:tc>
        <w:tc>
          <w:tcPr>
            <w:tcW w:w="3402" w:type="dxa"/>
            <w:tcBorders>
              <w:top w:val="nil"/>
              <w:left w:val="nil"/>
              <w:bottom w:val="single" w:sz="4" w:space="0" w:color="808080"/>
              <w:right w:val="single" w:sz="4" w:space="0" w:color="808080"/>
            </w:tcBorders>
            <w:shd w:val="clear" w:color="auto" w:fill="auto"/>
            <w:noWrap/>
            <w:vAlign w:val="bottom"/>
            <w:hideMark/>
          </w:tcPr>
          <w:p w14:paraId="6CBF9494"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500mg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0CB3E4B6"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7</w:t>
            </w:r>
          </w:p>
        </w:tc>
        <w:tc>
          <w:tcPr>
            <w:tcW w:w="1768" w:type="dxa"/>
            <w:tcBorders>
              <w:top w:val="nil"/>
              <w:left w:val="nil"/>
              <w:bottom w:val="single" w:sz="4" w:space="0" w:color="808080"/>
              <w:right w:val="single" w:sz="8" w:space="0" w:color="808080"/>
            </w:tcBorders>
            <w:shd w:val="clear" w:color="auto" w:fill="auto"/>
            <w:noWrap/>
            <w:vAlign w:val="bottom"/>
            <w:hideMark/>
          </w:tcPr>
          <w:p w14:paraId="6C59BFCE"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21</w:t>
            </w:r>
          </w:p>
        </w:tc>
      </w:tr>
      <w:tr w:rsidR="009443FF" w:rsidRPr="00486970" w14:paraId="3DF32E68"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4EEC157C"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Ceftriaxone </w:t>
            </w:r>
          </w:p>
        </w:tc>
        <w:tc>
          <w:tcPr>
            <w:tcW w:w="3402" w:type="dxa"/>
            <w:tcBorders>
              <w:top w:val="nil"/>
              <w:left w:val="nil"/>
              <w:bottom w:val="single" w:sz="4" w:space="0" w:color="808080"/>
              <w:right w:val="single" w:sz="4" w:space="0" w:color="808080"/>
            </w:tcBorders>
            <w:shd w:val="clear" w:color="auto" w:fill="auto"/>
            <w:noWrap/>
            <w:vAlign w:val="bottom"/>
            <w:hideMark/>
          </w:tcPr>
          <w:p w14:paraId="52011A00"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1g/vial Injection</w:t>
            </w:r>
          </w:p>
        </w:tc>
        <w:tc>
          <w:tcPr>
            <w:tcW w:w="1418" w:type="dxa"/>
            <w:tcBorders>
              <w:top w:val="nil"/>
              <w:left w:val="nil"/>
              <w:bottom w:val="single" w:sz="4" w:space="0" w:color="808080"/>
              <w:right w:val="single" w:sz="4" w:space="0" w:color="808080"/>
            </w:tcBorders>
            <w:shd w:val="clear" w:color="auto" w:fill="auto"/>
            <w:noWrap/>
            <w:vAlign w:val="bottom"/>
            <w:hideMark/>
          </w:tcPr>
          <w:p w14:paraId="0F4F57AE"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71E37457"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w:t>
            </w:r>
          </w:p>
        </w:tc>
      </w:tr>
      <w:tr w:rsidR="009443FF" w:rsidRPr="00486970" w14:paraId="48A65043"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35482EEA"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Procaine benzylpenicillin </w:t>
            </w:r>
          </w:p>
        </w:tc>
        <w:tc>
          <w:tcPr>
            <w:tcW w:w="3402" w:type="dxa"/>
            <w:tcBorders>
              <w:top w:val="nil"/>
              <w:left w:val="nil"/>
              <w:bottom w:val="single" w:sz="4" w:space="0" w:color="808080"/>
              <w:right w:val="single" w:sz="4" w:space="0" w:color="808080"/>
            </w:tcBorders>
            <w:shd w:val="clear" w:color="auto" w:fill="auto"/>
            <w:noWrap/>
            <w:vAlign w:val="bottom"/>
            <w:hideMark/>
          </w:tcPr>
          <w:p w14:paraId="2D3C8666"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1G = 1MU Injection</w:t>
            </w:r>
          </w:p>
        </w:tc>
        <w:tc>
          <w:tcPr>
            <w:tcW w:w="1418" w:type="dxa"/>
            <w:tcBorders>
              <w:top w:val="nil"/>
              <w:left w:val="nil"/>
              <w:bottom w:val="single" w:sz="4" w:space="0" w:color="808080"/>
              <w:right w:val="single" w:sz="4" w:space="0" w:color="808080"/>
            </w:tcBorders>
            <w:shd w:val="clear" w:color="auto" w:fill="auto"/>
            <w:noWrap/>
            <w:vAlign w:val="bottom"/>
            <w:hideMark/>
          </w:tcPr>
          <w:p w14:paraId="05FCC429"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10</w:t>
            </w:r>
          </w:p>
        </w:tc>
        <w:tc>
          <w:tcPr>
            <w:tcW w:w="1768" w:type="dxa"/>
            <w:tcBorders>
              <w:top w:val="nil"/>
              <w:left w:val="nil"/>
              <w:bottom w:val="single" w:sz="4" w:space="0" w:color="808080"/>
              <w:right w:val="single" w:sz="8" w:space="0" w:color="808080"/>
            </w:tcBorders>
            <w:shd w:val="clear" w:color="auto" w:fill="auto"/>
            <w:noWrap/>
            <w:vAlign w:val="bottom"/>
            <w:hideMark/>
          </w:tcPr>
          <w:p w14:paraId="4CFE08D9"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10</w:t>
            </w:r>
          </w:p>
        </w:tc>
      </w:tr>
      <w:tr w:rsidR="009443FF" w:rsidRPr="00486970" w14:paraId="233B2644"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2F61F59B"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Benzathine benzylpenicillin </w:t>
            </w:r>
          </w:p>
        </w:tc>
        <w:tc>
          <w:tcPr>
            <w:tcW w:w="3402" w:type="dxa"/>
            <w:tcBorders>
              <w:top w:val="nil"/>
              <w:left w:val="nil"/>
              <w:bottom w:val="single" w:sz="4" w:space="0" w:color="808080"/>
              <w:right w:val="single" w:sz="4" w:space="0" w:color="808080"/>
            </w:tcBorders>
            <w:shd w:val="clear" w:color="auto" w:fill="auto"/>
            <w:noWrap/>
            <w:vAlign w:val="bottom"/>
            <w:hideMark/>
          </w:tcPr>
          <w:p w14:paraId="5C17F7ED"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900mg=1.2 MIU </w:t>
            </w:r>
            <w:r w:rsidRPr="00486970">
              <w:rPr>
                <w:rFonts w:cstheme="minorHAnsi"/>
                <w:b/>
                <w:bCs/>
                <w:sz w:val="20"/>
                <w:szCs w:val="20"/>
                <w:u w:val="single"/>
              </w:rPr>
              <w:t>OR</w:t>
            </w:r>
            <w:r w:rsidRPr="00486970">
              <w:rPr>
                <w:rFonts w:cstheme="minorHAnsi"/>
                <w:sz w:val="20"/>
                <w:szCs w:val="20"/>
              </w:rPr>
              <w:t xml:space="preserve"> 1.44g = 2.4MIU injection</w:t>
            </w:r>
          </w:p>
        </w:tc>
        <w:tc>
          <w:tcPr>
            <w:tcW w:w="1418" w:type="dxa"/>
            <w:tcBorders>
              <w:top w:val="nil"/>
              <w:left w:val="nil"/>
              <w:bottom w:val="single" w:sz="4" w:space="0" w:color="808080"/>
              <w:right w:val="single" w:sz="4" w:space="0" w:color="808080"/>
            </w:tcBorders>
            <w:shd w:val="clear" w:color="auto" w:fill="auto"/>
            <w:noWrap/>
            <w:vAlign w:val="bottom"/>
            <w:hideMark/>
          </w:tcPr>
          <w:p w14:paraId="1E8F16EA"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726EE459"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 or 2</w:t>
            </w:r>
          </w:p>
        </w:tc>
      </w:tr>
      <w:tr w:rsidR="009443FF" w:rsidRPr="00486970" w14:paraId="0EF9BAE9"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2F37C2F7"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Ethinylestradiol + levonorgestrel</w:t>
            </w:r>
          </w:p>
        </w:tc>
        <w:tc>
          <w:tcPr>
            <w:tcW w:w="3402" w:type="dxa"/>
            <w:tcBorders>
              <w:top w:val="nil"/>
              <w:left w:val="nil"/>
              <w:bottom w:val="single" w:sz="4" w:space="0" w:color="808080"/>
              <w:right w:val="single" w:sz="4" w:space="0" w:color="808080"/>
            </w:tcBorders>
            <w:shd w:val="clear" w:color="auto" w:fill="auto"/>
            <w:noWrap/>
            <w:vAlign w:val="bottom"/>
            <w:hideMark/>
          </w:tcPr>
          <w:p w14:paraId="093F436B"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30 mcg cap/tab + 150 mcg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5B0A1080"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28</w:t>
            </w:r>
          </w:p>
        </w:tc>
        <w:tc>
          <w:tcPr>
            <w:tcW w:w="1768" w:type="dxa"/>
            <w:tcBorders>
              <w:top w:val="nil"/>
              <w:left w:val="nil"/>
              <w:bottom w:val="single" w:sz="4" w:space="0" w:color="808080"/>
              <w:right w:val="single" w:sz="8" w:space="0" w:color="808080"/>
            </w:tcBorders>
            <w:shd w:val="clear" w:color="auto" w:fill="auto"/>
            <w:noWrap/>
            <w:vAlign w:val="bottom"/>
            <w:hideMark/>
          </w:tcPr>
          <w:p w14:paraId="2C27D3EB"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21</w:t>
            </w:r>
          </w:p>
        </w:tc>
      </w:tr>
      <w:tr w:rsidR="009443FF" w:rsidRPr="00486970" w14:paraId="36E88FA1"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1D843CA3"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Levonorgestrel</w:t>
            </w:r>
          </w:p>
        </w:tc>
        <w:tc>
          <w:tcPr>
            <w:tcW w:w="3402" w:type="dxa"/>
            <w:tcBorders>
              <w:top w:val="nil"/>
              <w:left w:val="nil"/>
              <w:bottom w:val="single" w:sz="4" w:space="0" w:color="808080"/>
              <w:right w:val="single" w:sz="4" w:space="0" w:color="808080"/>
            </w:tcBorders>
            <w:shd w:val="clear" w:color="auto" w:fill="auto"/>
            <w:noWrap/>
            <w:vAlign w:val="bottom"/>
            <w:hideMark/>
          </w:tcPr>
          <w:p w14:paraId="7516F155"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30 mcg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0C354BF5"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28</w:t>
            </w:r>
          </w:p>
        </w:tc>
        <w:tc>
          <w:tcPr>
            <w:tcW w:w="1768" w:type="dxa"/>
            <w:tcBorders>
              <w:top w:val="nil"/>
              <w:left w:val="nil"/>
              <w:bottom w:val="single" w:sz="4" w:space="0" w:color="808080"/>
              <w:right w:val="single" w:sz="8" w:space="0" w:color="808080"/>
            </w:tcBorders>
            <w:shd w:val="clear" w:color="auto" w:fill="auto"/>
            <w:noWrap/>
            <w:vAlign w:val="bottom"/>
            <w:hideMark/>
          </w:tcPr>
          <w:p w14:paraId="73AFB611"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28</w:t>
            </w:r>
          </w:p>
        </w:tc>
      </w:tr>
      <w:tr w:rsidR="009443FF" w:rsidRPr="00486970" w14:paraId="15782DE5"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12DAEB3B"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Medroxyprogesterone acetate injection </w:t>
            </w:r>
          </w:p>
        </w:tc>
        <w:tc>
          <w:tcPr>
            <w:tcW w:w="3402" w:type="dxa"/>
            <w:tcBorders>
              <w:top w:val="nil"/>
              <w:left w:val="nil"/>
              <w:bottom w:val="single" w:sz="4" w:space="0" w:color="808080"/>
              <w:right w:val="single" w:sz="4" w:space="0" w:color="808080"/>
            </w:tcBorders>
            <w:shd w:val="clear" w:color="auto" w:fill="auto"/>
            <w:noWrap/>
            <w:vAlign w:val="bottom"/>
            <w:hideMark/>
          </w:tcPr>
          <w:p w14:paraId="737F04CE"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IM 150 mg/mL </w:t>
            </w:r>
            <w:r w:rsidRPr="00486970">
              <w:rPr>
                <w:rFonts w:cstheme="minorHAnsi"/>
                <w:b/>
                <w:bCs/>
                <w:sz w:val="20"/>
                <w:szCs w:val="20"/>
                <w:u w:val="single"/>
              </w:rPr>
              <w:t>OR</w:t>
            </w:r>
            <w:r w:rsidRPr="00486970">
              <w:rPr>
                <w:rFonts w:cstheme="minorHAnsi"/>
                <w:sz w:val="20"/>
                <w:szCs w:val="20"/>
              </w:rPr>
              <w:t xml:space="preserve"> SC 104 mg/0.65mL</w:t>
            </w:r>
          </w:p>
        </w:tc>
        <w:tc>
          <w:tcPr>
            <w:tcW w:w="1418" w:type="dxa"/>
            <w:tcBorders>
              <w:top w:val="nil"/>
              <w:left w:val="nil"/>
              <w:bottom w:val="single" w:sz="4" w:space="0" w:color="808080"/>
              <w:right w:val="single" w:sz="4" w:space="0" w:color="808080"/>
            </w:tcBorders>
            <w:shd w:val="clear" w:color="auto" w:fill="auto"/>
            <w:noWrap/>
            <w:vAlign w:val="bottom"/>
            <w:hideMark/>
          </w:tcPr>
          <w:p w14:paraId="6AE852E3"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84</w:t>
            </w:r>
          </w:p>
        </w:tc>
        <w:tc>
          <w:tcPr>
            <w:tcW w:w="1768" w:type="dxa"/>
            <w:tcBorders>
              <w:top w:val="nil"/>
              <w:left w:val="nil"/>
              <w:bottom w:val="single" w:sz="4" w:space="0" w:color="808080"/>
              <w:right w:val="single" w:sz="8" w:space="0" w:color="808080"/>
            </w:tcBorders>
            <w:shd w:val="clear" w:color="auto" w:fill="auto"/>
            <w:noWrap/>
            <w:vAlign w:val="bottom"/>
            <w:hideMark/>
          </w:tcPr>
          <w:p w14:paraId="6DC0B8A3"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w:t>
            </w:r>
          </w:p>
        </w:tc>
      </w:tr>
      <w:tr w:rsidR="009443FF" w:rsidRPr="00486970" w14:paraId="239B93D0"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3E85543A"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Progesterone-releasing implant: Etonogestrel OR Levonorgestrel</w:t>
            </w:r>
          </w:p>
        </w:tc>
        <w:tc>
          <w:tcPr>
            <w:tcW w:w="3402" w:type="dxa"/>
            <w:tcBorders>
              <w:top w:val="nil"/>
              <w:left w:val="nil"/>
              <w:bottom w:val="single" w:sz="4" w:space="0" w:color="808080"/>
              <w:right w:val="single" w:sz="4" w:space="0" w:color="808080"/>
            </w:tcBorders>
            <w:shd w:val="clear" w:color="auto" w:fill="auto"/>
            <w:noWrap/>
            <w:vAlign w:val="bottom"/>
            <w:hideMark/>
          </w:tcPr>
          <w:p w14:paraId="1BFD0B17"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Etonogestrel 68 mg OR Levonorgestrel 150 mg</w:t>
            </w:r>
          </w:p>
        </w:tc>
        <w:tc>
          <w:tcPr>
            <w:tcW w:w="1418" w:type="dxa"/>
            <w:tcBorders>
              <w:top w:val="nil"/>
              <w:left w:val="nil"/>
              <w:bottom w:val="single" w:sz="4" w:space="0" w:color="808080"/>
              <w:right w:val="single" w:sz="4" w:space="0" w:color="808080"/>
            </w:tcBorders>
            <w:shd w:val="clear" w:color="auto" w:fill="auto"/>
            <w:noWrap/>
            <w:vAlign w:val="bottom"/>
            <w:hideMark/>
          </w:tcPr>
          <w:p w14:paraId="559F38E9"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 or 5 years</w:t>
            </w:r>
          </w:p>
        </w:tc>
        <w:tc>
          <w:tcPr>
            <w:tcW w:w="1768" w:type="dxa"/>
            <w:tcBorders>
              <w:top w:val="nil"/>
              <w:left w:val="nil"/>
              <w:bottom w:val="single" w:sz="4" w:space="0" w:color="808080"/>
              <w:right w:val="single" w:sz="8" w:space="0" w:color="808080"/>
            </w:tcBorders>
            <w:shd w:val="clear" w:color="auto" w:fill="auto"/>
            <w:noWrap/>
            <w:vAlign w:val="bottom"/>
            <w:hideMark/>
          </w:tcPr>
          <w:p w14:paraId="58572E64"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w:t>
            </w:r>
          </w:p>
        </w:tc>
      </w:tr>
      <w:tr w:rsidR="009443FF" w:rsidRPr="00486970" w14:paraId="184AB504"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2282521B"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Levonorgestrel </w:t>
            </w:r>
          </w:p>
        </w:tc>
        <w:tc>
          <w:tcPr>
            <w:tcW w:w="3402" w:type="dxa"/>
            <w:tcBorders>
              <w:top w:val="nil"/>
              <w:left w:val="nil"/>
              <w:bottom w:val="single" w:sz="4" w:space="0" w:color="808080"/>
              <w:right w:val="single" w:sz="4" w:space="0" w:color="808080"/>
            </w:tcBorders>
            <w:shd w:val="clear" w:color="auto" w:fill="auto"/>
            <w:noWrap/>
            <w:vAlign w:val="bottom"/>
            <w:hideMark/>
          </w:tcPr>
          <w:p w14:paraId="7C948A7B"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750 mcg </w:t>
            </w:r>
            <w:r w:rsidRPr="00486970">
              <w:rPr>
                <w:rFonts w:cstheme="minorHAnsi"/>
                <w:b/>
                <w:bCs/>
                <w:sz w:val="20"/>
                <w:szCs w:val="20"/>
                <w:u w:val="single"/>
              </w:rPr>
              <w:t>OR</w:t>
            </w:r>
            <w:r w:rsidRPr="00486970">
              <w:rPr>
                <w:rFonts w:cstheme="minorHAnsi"/>
                <w:sz w:val="20"/>
                <w:szCs w:val="20"/>
              </w:rPr>
              <w:t xml:space="preserve"> 1.5 mg tablet</w:t>
            </w:r>
          </w:p>
        </w:tc>
        <w:tc>
          <w:tcPr>
            <w:tcW w:w="1418" w:type="dxa"/>
            <w:tcBorders>
              <w:top w:val="nil"/>
              <w:left w:val="nil"/>
              <w:bottom w:val="single" w:sz="4" w:space="0" w:color="808080"/>
              <w:right w:val="single" w:sz="4" w:space="0" w:color="808080"/>
            </w:tcBorders>
            <w:shd w:val="clear" w:color="auto" w:fill="auto"/>
            <w:noWrap/>
            <w:vAlign w:val="bottom"/>
            <w:hideMark/>
          </w:tcPr>
          <w:p w14:paraId="6991851F"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0EACDA98"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 xml:space="preserve">2 or 1 </w:t>
            </w:r>
          </w:p>
        </w:tc>
      </w:tr>
      <w:tr w:rsidR="009443FF" w:rsidRPr="00486970" w14:paraId="28A39069"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050F0BFC"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Oral rehydration salts</w:t>
            </w:r>
          </w:p>
        </w:tc>
        <w:tc>
          <w:tcPr>
            <w:tcW w:w="3402" w:type="dxa"/>
            <w:tcBorders>
              <w:top w:val="nil"/>
              <w:left w:val="nil"/>
              <w:bottom w:val="single" w:sz="4" w:space="0" w:color="808080"/>
              <w:right w:val="single" w:sz="4" w:space="0" w:color="808080"/>
            </w:tcBorders>
            <w:shd w:val="clear" w:color="auto" w:fill="auto"/>
            <w:noWrap/>
            <w:vAlign w:val="bottom"/>
            <w:hideMark/>
          </w:tcPr>
          <w:p w14:paraId="2D4B787F"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1 litre</w:t>
            </w:r>
          </w:p>
        </w:tc>
        <w:tc>
          <w:tcPr>
            <w:tcW w:w="1418" w:type="dxa"/>
            <w:tcBorders>
              <w:top w:val="nil"/>
              <w:left w:val="nil"/>
              <w:bottom w:val="single" w:sz="4" w:space="0" w:color="808080"/>
              <w:right w:val="single" w:sz="4" w:space="0" w:color="808080"/>
            </w:tcBorders>
            <w:shd w:val="clear" w:color="auto" w:fill="auto"/>
            <w:noWrap/>
            <w:vAlign w:val="bottom"/>
            <w:hideMark/>
          </w:tcPr>
          <w:p w14:paraId="435A7195"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7FC44BF9"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w:t>
            </w:r>
          </w:p>
        </w:tc>
      </w:tr>
      <w:tr w:rsidR="009443FF" w:rsidRPr="00486970" w14:paraId="02C584E6"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25E7D6DA"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Zinc sulphate </w:t>
            </w:r>
          </w:p>
        </w:tc>
        <w:tc>
          <w:tcPr>
            <w:tcW w:w="3402" w:type="dxa"/>
            <w:tcBorders>
              <w:top w:val="nil"/>
              <w:left w:val="nil"/>
              <w:bottom w:val="single" w:sz="4" w:space="0" w:color="808080"/>
              <w:right w:val="single" w:sz="4" w:space="0" w:color="808080"/>
            </w:tcBorders>
            <w:shd w:val="clear" w:color="auto" w:fill="auto"/>
            <w:noWrap/>
            <w:vAlign w:val="bottom"/>
            <w:hideMark/>
          </w:tcPr>
          <w:p w14:paraId="4A2A2058"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20mg dispersible tablet</w:t>
            </w:r>
          </w:p>
        </w:tc>
        <w:tc>
          <w:tcPr>
            <w:tcW w:w="1418" w:type="dxa"/>
            <w:tcBorders>
              <w:top w:val="nil"/>
              <w:left w:val="nil"/>
              <w:bottom w:val="single" w:sz="4" w:space="0" w:color="808080"/>
              <w:right w:val="single" w:sz="4" w:space="0" w:color="808080"/>
            </w:tcBorders>
            <w:shd w:val="clear" w:color="auto" w:fill="auto"/>
            <w:noWrap/>
            <w:vAlign w:val="bottom"/>
            <w:hideMark/>
          </w:tcPr>
          <w:p w14:paraId="4D279DD2"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14</w:t>
            </w:r>
          </w:p>
        </w:tc>
        <w:tc>
          <w:tcPr>
            <w:tcW w:w="1768" w:type="dxa"/>
            <w:tcBorders>
              <w:top w:val="nil"/>
              <w:left w:val="nil"/>
              <w:bottom w:val="single" w:sz="4" w:space="0" w:color="808080"/>
              <w:right w:val="single" w:sz="8" w:space="0" w:color="808080"/>
            </w:tcBorders>
            <w:shd w:val="clear" w:color="auto" w:fill="auto"/>
            <w:noWrap/>
            <w:vAlign w:val="bottom"/>
            <w:hideMark/>
          </w:tcPr>
          <w:p w14:paraId="03DE5091"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14</w:t>
            </w:r>
          </w:p>
        </w:tc>
      </w:tr>
      <w:tr w:rsidR="009443FF" w:rsidRPr="00486970" w14:paraId="4EBFC4FE" w14:textId="77777777" w:rsidTr="004D1906">
        <w:trPr>
          <w:trHeight w:val="71"/>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6E882433"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Oxytocin </w:t>
            </w:r>
          </w:p>
        </w:tc>
        <w:tc>
          <w:tcPr>
            <w:tcW w:w="3402" w:type="dxa"/>
            <w:tcBorders>
              <w:top w:val="nil"/>
              <w:left w:val="nil"/>
              <w:bottom w:val="single" w:sz="4" w:space="0" w:color="808080"/>
              <w:right w:val="single" w:sz="4" w:space="0" w:color="808080"/>
            </w:tcBorders>
            <w:shd w:val="clear" w:color="auto" w:fill="auto"/>
            <w:noWrap/>
            <w:vAlign w:val="bottom"/>
            <w:hideMark/>
          </w:tcPr>
          <w:p w14:paraId="77E19EA7"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5iu or 10iu injection</w:t>
            </w:r>
          </w:p>
        </w:tc>
        <w:tc>
          <w:tcPr>
            <w:tcW w:w="1418" w:type="dxa"/>
            <w:tcBorders>
              <w:top w:val="nil"/>
              <w:left w:val="nil"/>
              <w:bottom w:val="single" w:sz="4" w:space="0" w:color="808080"/>
              <w:right w:val="single" w:sz="4" w:space="0" w:color="808080"/>
            </w:tcBorders>
            <w:shd w:val="clear" w:color="auto" w:fill="auto"/>
            <w:noWrap/>
            <w:vAlign w:val="bottom"/>
            <w:hideMark/>
          </w:tcPr>
          <w:p w14:paraId="2590739E"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31B02D1F"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w:t>
            </w:r>
          </w:p>
        </w:tc>
      </w:tr>
      <w:tr w:rsidR="009443FF" w:rsidRPr="00486970" w14:paraId="057977F0"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2DF53019"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Magnesium sulphate </w:t>
            </w:r>
          </w:p>
        </w:tc>
        <w:tc>
          <w:tcPr>
            <w:tcW w:w="3402" w:type="dxa"/>
            <w:tcBorders>
              <w:top w:val="nil"/>
              <w:left w:val="nil"/>
              <w:bottom w:val="single" w:sz="4" w:space="0" w:color="808080"/>
              <w:right w:val="single" w:sz="4" w:space="0" w:color="808080"/>
            </w:tcBorders>
            <w:shd w:val="clear" w:color="auto" w:fill="auto"/>
            <w:noWrap/>
            <w:vAlign w:val="bottom"/>
            <w:hideMark/>
          </w:tcPr>
          <w:p w14:paraId="3242F12C"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50% 10ml Injection</w:t>
            </w:r>
          </w:p>
        </w:tc>
        <w:tc>
          <w:tcPr>
            <w:tcW w:w="1418" w:type="dxa"/>
            <w:tcBorders>
              <w:top w:val="nil"/>
              <w:left w:val="nil"/>
              <w:bottom w:val="single" w:sz="4" w:space="0" w:color="808080"/>
              <w:right w:val="single" w:sz="4" w:space="0" w:color="808080"/>
            </w:tcBorders>
            <w:shd w:val="clear" w:color="auto" w:fill="auto"/>
            <w:noWrap/>
            <w:vAlign w:val="bottom"/>
            <w:hideMark/>
          </w:tcPr>
          <w:p w14:paraId="4D2AE067"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00EFAAD6"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2</w:t>
            </w:r>
          </w:p>
        </w:tc>
      </w:tr>
      <w:tr w:rsidR="009443FF" w:rsidRPr="00486970" w14:paraId="5A1F8120"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1FFADB67"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Folic acid</w:t>
            </w:r>
          </w:p>
        </w:tc>
        <w:tc>
          <w:tcPr>
            <w:tcW w:w="3402" w:type="dxa"/>
            <w:tcBorders>
              <w:top w:val="nil"/>
              <w:left w:val="nil"/>
              <w:bottom w:val="single" w:sz="4" w:space="0" w:color="808080"/>
              <w:right w:val="single" w:sz="4" w:space="0" w:color="808080"/>
            </w:tcBorders>
            <w:shd w:val="clear" w:color="auto" w:fill="auto"/>
            <w:noWrap/>
            <w:vAlign w:val="bottom"/>
            <w:hideMark/>
          </w:tcPr>
          <w:p w14:paraId="75BFB9A4"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400 mcg tablet</w:t>
            </w:r>
          </w:p>
        </w:tc>
        <w:tc>
          <w:tcPr>
            <w:tcW w:w="1418" w:type="dxa"/>
            <w:tcBorders>
              <w:top w:val="nil"/>
              <w:left w:val="nil"/>
              <w:bottom w:val="single" w:sz="4" w:space="0" w:color="808080"/>
              <w:right w:val="single" w:sz="4" w:space="0" w:color="808080"/>
            </w:tcBorders>
            <w:shd w:val="clear" w:color="auto" w:fill="auto"/>
            <w:noWrap/>
            <w:vAlign w:val="bottom"/>
            <w:hideMark/>
          </w:tcPr>
          <w:p w14:paraId="5741C479"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111B29CE"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r>
      <w:tr w:rsidR="009443FF" w:rsidRPr="00486970" w14:paraId="5CD066F6"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05A998CC"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Artemether+lumefantrine  </w:t>
            </w:r>
          </w:p>
        </w:tc>
        <w:tc>
          <w:tcPr>
            <w:tcW w:w="3402" w:type="dxa"/>
            <w:tcBorders>
              <w:top w:val="nil"/>
              <w:left w:val="nil"/>
              <w:bottom w:val="single" w:sz="4" w:space="0" w:color="808080"/>
              <w:right w:val="single" w:sz="4" w:space="0" w:color="808080"/>
            </w:tcBorders>
            <w:shd w:val="clear" w:color="auto" w:fill="auto"/>
            <w:noWrap/>
            <w:vAlign w:val="bottom"/>
            <w:hideMark/>
          </w:tcPr>
          <w:p w14:paraId="56577A5D"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20/120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74FE1AB9"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w:t>
            </w:r>
          </w:p>
        </w:tc>
        <w:tc>
          <w:tcPr>
            <w:tcW w:w="1768" w:type="dxa"/>
            <w:tcBorders>
              <w:top w:val="nil"/>
              <w:left w:val="nil"/>
              <w:bottom w:val="single" w:sz="4" w:space="0" w:color="808080"/>
              <w:right w:val="single" w:sz="8" w:space="0" w:color="808080"/>
            </w:tcBorders>
            <w:shd w:val="clear" w:color="auto" w:fill="auto"/>
            <w:noWrap/>
            <w:vAlign w:val="bottom"/>
            <w:hideMark/>
          </w:tcPr>
          <w:p w14:paraId="53541C59"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24</w:t>
            </w:r>
          </w:p>
        </w:tc>
      </w:tr>
      <w:tr w:rsidR="009443FF" w:rsidRPr="00486970" w14:paraId="595F3C44"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420AC309"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Artesunate+amodiaquine  </w:t>
            </w:r>
          </w:p>
        </w:tc>
        <w:tc>
          <w:tcPr>
            <w:tcW w:w="3402" w:type="dxa"/>
            <w:tcBorders>
              <w:top w:val="nil"/>
              <w:left w:val="nil"/>
              <w:bottom w:val="single" w:sz="4" w:space="0" w:color="808080"/>
              <w:right w:val="single" w:sz="4" w:space="0" w:color="808080"/>
            </w:tcBorders>
            <w:shd w:val="clear" w:color="auto" w:fill="auto"/>
            <w:noWrap/>
            <w:vAlign w:val="bottom"/>
            <w:hideMark/>
          </w:tcPr>
          <w:p w14:paraId="31E8F7AD"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100 mg + 270 mg</w:t>
            </w:r>
          </w:p>
        </w:tc>
        <w:tc>
          <w:tcPr>
            <w:tcW w:w="1418" w:type="dxa"/>
            <w:tcBorders>
              <w:top w:val="nil"/>
              <w:left w:val="nil"/>
              <w:bottom w:val="single" w:sz="4" w:space="0" w:color="808080"/>
              <w:right w:val="single" w:sz="4" w:space="0" w:color="808080"/>
            </w:tcBorders>
            <w:shd w:val="clear" w:color="auto" w:fill="auto"/>
            <w:noWrap/>
            <w:vAlign w:val="bottom"/>
            <w:hideMark/>
          </w:tcPr>
          <w:p w14:paraId="517285A8"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w:t>
            </w:r>
          </w:p>
        </w:tc>
        <w:tc>
          <w:tcPr>
            <w:tcW w:w="1768" w:type="dxa"/>
            <w:tcBorders>
              <w:top w:val="nil"/>
              <w:left w:val="nil"/>
              <w:bottom w:val="single" w:sz="4" w:space="0" w:color="808080"/>
              <w:right w:val="single" w:sz="8" w:space="0" w:color="808080"/>
            </w:tcBorders>
            <w:shd w:val="clear" w:color="auto" w:fill="auto"/>
            <w:noWrap/>
            <w:vAlign w:val="bottom"/>
            <w:hideMark/>
          </w:tcPr>
          <w:p w14:paraId="317E67C2"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6</w:t>
            </w:r>
          </w:p>
        </w:tc>
      </w:tr>
      <w:tr w:rsidR="009443FF" w:rsidRPr="00486970" w14:paraId="7098EDC4"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3597DEC9"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Artesunate+mefloquine </w:t>
            </w:r>
          </w:p>
        </w:tc>
        <w:tc>
          <w:tcPr>
            <w:tcW w:w="3402" w:type="dxa"/>
            <w:tcBorders>
              <w:top w:val="nil"/>
              <w:left w:val="nil"/>
              <w:bottom w:val="single" w:sz="4" w:space="0" w:color="808080"/>
              <w:right w:val="single" w:sz="4" w:space="0" w:color="808080"/>
            </w:tcBorders>
            <w:shd w:val="clear" w:color="auto" w:fill="auto"/>
            <w:noWrap/>
            <w:vAlign w:val="bottom"/>
            <w:hideMark/>
          </w:tcPr>
          <w:p w14:paraId="1E4A95F2"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100 mg + 220 mg</w:t>
            </w:r>
          </w:p>
        </w:tc>
        <w:tc>
          <w:tcPr>
            <w:tcW w:w="1418" w:type="dxa"/>
            <w:tcBorders>
              <w:top w:val="nil"/>
              <w:left w:val="nil"/>
              <w:bottom w:val="single" w:sz="4" w:space="0" w:color="808080"/>
              <w:right w:val="single" w:sz="4" w:space="0" w:color="808080"/>
            </w:tcBorders>
            <w:shd w:val="clear" w:color="auto" w:fill="auto"/>
            <w:noWrap/>
            <w:vAlign w:val="bottom"/>
            <w:hideMark/>
          </w:tcPr>
          <w:p w14:paraId="2E671EFC"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w:t>
            </w:r>
          </w:p>
        </w:tc>
        <w:tc>
          <w:tcPr>
            <w:tcW w:w="1768" w:type="dxa"/>
            <w:tcBorders>
              <w:top w:val="nil"/>
              <w:left w:val="nil"/>
              <w:bottom w:val="single" w:sz="4" w:space="0" w:color="808080"/>
              <w:right w:val="single" w:sz="8" w:space="0" w:color="808080"/>
            </w:tcBorders>
            <w:shd w:val="clear" w:color="auto" w:fill="auto"/>
            <w:noWrap/>
            <w:vAlign w:val="bottom"/>
            <w:hideMark/>
          </w:tcPr>
          <w:p w14:paraId="451C7A9F"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6</w:t>
            </w:r>
          </w:p>
        </w:tc>
      </w:tr>
      <w:tr w:rsidR="009443FF" w:rsidRPr="00486970" w14:paraId="7C4F7AD7"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35E66766"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Dihydroartemisinin+piperaquine </w:t>
            </w:r>
          </w:p>
        </w:tc>
        <w:tc>
          <w:tcPr>
            <w:tcW w:w="3402" w:type="dxa"/>
            <w:tcBorders>
              <w:top w:val="nil"/>
              <w:left w:val="nil"/>
              <w:bottom w:val="single" w:sz="4" w:space="0" w:color="808080"/>
              <w:right w:val="single" w:sz="4" w:space="0" w:color="808080"/>
            </w:tcBorders>
            <w:shd w:val="clear" w:color="auto" w:fill="auto"/>
            <w:noWrap/>
            <w:vAlign w:val="bottom"/>
            <w:hideMark/>
          </w:tcPr>
          <w:p w14:paraId="63197CCF"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40 mg + 320 mg</w:t>
            </w:r>
          </w:p>
        </w:tc>
        <w:tc>
          <w:tcPr>
            <w:tcW w:w="1418" w:type="dxa"/>
            <w:tcBorders>
              <w:top w:val="nil"/>
              <w:left w:val="nil"/>
              <w:bottom w:val="single" w:sz="4" w:space="0" w:color="808080"/>
              <w:right w:val="single" w:sz="4" w:space="0" w:color="808080"/>
            </w:tcBorders>
            <w:shd w:val="clear" w:color="auto" w:fill="auto"/>
            <w:noWrap/>
            <w:vAlign w:val="bottom"/>
            <w:hideMark/>
          </w:tcPr>
          <w:p w14:paraId="63D5F959"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w:t>
            </w:r>
          </w:p>
        </w:tc>
        <w:tc>
          <w:tcPr>
            <w:tcW w:w="1768" w:type="dxa"/>
            <w:tcBorders>
              <w:top w:val="nil"/>
              <w:left w:val="nil"/>
              <w:bottom w:val="single" w:sz="4" w:space="0" w:color="808080"/>
              <w:right w:val="single" w:sz="8" w:space="0" w:color="808080"/>
            </w:tcBorders>
            <w:shd w:val="clear" w:color="auto" w:fill="auto"/>
            <w:noWrap/>
            <w:vAlign w:val="bottom"/>
            <w:hideMark/>
          </w:tcPr>
          <w:p w14:paraId="22CBB79B"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9</w:t>
            </w:r>
          </w:p>
        </w:tc>
      </w:tr>
      <w:tr w:rsidR="009443FF" w:rsidRPr="00486970" w14:paraId="31089F7C"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10287987"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Artesunate+sulfadoxine-pyrimethamine </w:t>
            </w:r>
          </w:p>
        </w:tc>
        <w:tc>
          <w:tcPr>
            <w:tcW w:w="3402" w:type="dxa"/>
            <w:tcBorders>
              <w:top w:val="nil"/>
              <w:left w:val="nil"/>
              <w:bottom w:val="single" w:sz="4" w:space="0" w:color="808080"/>
              <w:right w:val="single" w:sz="4" w:space="0" w:color="808080"/>
            </w:tcBorders>
            <w:shd w:val="clear" w:color="auto" w:fill="auto"/>
            <w:noWrap/>
            <w:vAlign w:val="bottom"/>
            <w:hideMark/>
          </w:tcPr>
          <w:p w14:paraId="7BCAE769"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200 mg + 1500mg + 75mg</w:t>
            </w:r>
          </w:p>
        </w:tc>
        <w:tc>
          <w:tcPr>
            <w:tcW w:w="1418" w:type="dxa"/>
            <w:tcBorders>
              <w:top w:val="nil"/>
              <w:left w:val="nil"/>
              <w:bottom w:val="single" w:sz="4" w:space="0" w:color="808080"/>
              <w:right w:val="single" w:sz="4" w:space="0" w:color="808080"/>
            </w:tcBorders>
            <w:shd w:val="clear" w:color="auto" w:fill="auto"/>
            <w:noWrap/>
            <w:vAlign w:val="bottom"/>
            <w:hideMark/>
          </w:tcPr>
          <w:p w14:paraId="321CB044"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w:t>
            </w:r>
          </w:p>
        </w:tc>
        <w:tc>
          <w:tcPr>
            <w:tcW w:w="1768" w:type="dxa"/>
            <w:tcBorders>
              <w:top w:val="nil"/>
              <w:left w:val="nil"/>
              <w:bottom w:val="single" w:sz="4" w:space="0" w:color="808080"/>
              <w:right w:val="single" w:sz="8" w:space="0" w:color="808080"/>
            </w:tcBorders>
            <w:shd w:val="clear" w:color="auto" w:fill="auto"/>
            <w:noWrap/>
            <w:vAlign w:val="bottom"/>
            <w:hideMark/>
          </w:tcPr>
          <w:p w14:paraId="11A2E3C4"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 + 1</w:t>
            </w:r>
          </w:p>
        </w:tc>
      </w:tr>
      <w:tr w:rsidR="009443FF" w:rsidRPr="00486970" w14:paraId="15E140DE"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32DB2440"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Artesunate </w:t>
            </w:r>
          </w:p>
        </w:tc>
        <w:tc>
          <w:tcPr>
            <w:tcW w:w="3402" w:type="dxa"/>
            <w:tcBorders>
              <w:top w:val="nil"/>
              <w:left w:val="nil"/>
              <w:bottom w:val="single" w:sz="4" w:space="0" w:color="808080"/>
              <w:right w:val="single" w:sz="4" w:space="0" w:color="808080"/>
            </w:tcBorders>
            <w:shd w:val="clear" w:color="auto" w:fill="auto"/>
            <w:noWrap/>
            <w:vAlign w:val="bottom"/>
            <w:hideMark/>
          </w:tcPr>
          <w:p w14:paraId="1C0A7AAD"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60 mg injection </w:t>
            </w:r>
            <w:r w:rsidRPr="00486970">
              <w:rPr>
                <w:rFonts w:cstheme="minorHAnsi"/>
                <w:b/>
                <w:bCs/>
                <w:sz w:val="20"/>
                <w:szCs w:val="20"/>
                <w:u w:val="single"/>
              </w:rPr>
              <w:t>OR</w:t>
            </w:r>
            <w:r w:rsidRPr="00486970">
              <w:rPr>
                <w:rFonts w:cstheme="minorHAnsi"/>
                <w:sz w:val="20"/>
                <w:szCs w:val="20"/>
              </w:rPr>
              <w:t xml:space="preserve"> 100 mg rectal dose form</w:t>
            </w:r>
          </w:p>
        </w:tc>
        <w:tc>
          <w:tcPr>
            <w:tcW w:w="1418" w:type="dxa"/>
            <w:tcBorders>
              <w:top w:val="nil"/>
              <w:left w:val="nil"/>
              <w:bottom w:val="single" w:sz="4" w:space="0" w:color="808080"/>
              <w:right w:val="single" w:sz="4" w:space="0" w:color="808080"/>
            </w:tcBorders>
            <w:shd w:val="clear" w:color="auto" w:fill="auto"/>
            <w:noWrap/>
            <w:vAlign w:val="bottom"/>
            <w:hideMark/>
          </w:tcPr>
          <w:p w14:paraId="59110701"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7D468820"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w:t>
            </w:r>
          </w:p>
        </w:tc>
      </w:tr>
      <w:tr w:rsidR="009443FF" w:rsidRPr="00486970" w14:paraId="4B22F15C"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bottom"/>
            <w:hideMark/>
          </w:tcPr>
          <w:p w14:paraId="7D824742"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Efavirenz + Emtricitabine + Tenofovir disoproxil fumarate</w:t>
            </w:r>
          </w:p>
        </w:tc>
        <w:tc>
          <w:tcPr>
            <w:tcW w:w="3402" w:type="dxa"/>
            <w:tcBorders>
              <w:top w:val="nil"/>
              <w:left w:val="nil"/>
              <w:bottom w:val="single" w:sz="4" w:space="0" w:color="808080"/>
              <w:right w:val="single" w:sz="4" w:space="0" w:color="808080"/>
            </w:tcBorders>
            <w:shd w:val="clear" w:color="auto" w:fill="auto"/>
            <w:noWrap/>
            <w:vAlign w:val="bottom"/>
            <w:hideMark/>
          </w:tcPr>
          <w:p w14:paraId="09F49B2D"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 400 mg OR 600 mg +  200 mg + 300 mg</w:t>
            </w:r>
          </w:p>
        </w:tc>
        <w:tc>
          <w:tcPr>
            <w:tcW w:w="1418" w:type="dxa"/>
            <w:tcBorders>
              <w:top w:val="nil"/>
              <w:left w:val="nil"/>
              <w:bottom w:val="single" w:sz="4" w:space="0" w:color="808080"/>
              <w:right w:val="single" w:sz="4" w:space="0" w:color="808080"/>
            </w:tcBorders>
            <w:shd w:val="clear" w:color="auto" w:fill="auto"/>
            <w:noWrap/>
            <w:vAlign w:val="bottom"/>
            <w:hideMark/>
          </w:tcPr>
          <w:p w14:paraId="07F1CBEB"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62289D2F"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r>
      <w:tr w:rsidR="009443FF" w:rsidRPr="00486970" w14:paraId="34D62B56"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bottom"/>
            <w:hideMark/>
          </w:tcPr>
          <w:p w14:paraId="169235BC"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lastRenderedPageBreak/>
              <w:t>Efavirenz  + Lamivudine + Tenofovir disoproxil fumarate</w:t>
            </w:r>
          </w:p>
        </w:tc>
        <w:tc>
          <w:tcPr>
            <w:tcW w:w="3402" w:type="dxa"/>
            <w:tcBorders>
              <w:top w:val="nil"/>
              <w:left w:val="nil"/>
              <w:bottom w:val="single" w:sz="4" w:space="0" w:color="808080"/>
              <w:right w:val="single" w:sz="4" w:space="0" w:color="808080"/>
            </w:tcBorders>
            <w:shd w:val="clear" w:color="auto" w:fill="auto"/>
            <w:noWrap/>
            <w:vAlign w:val="bottom"/>
            <w:hideMark/>
          </w:tcPr>
          <w:p w14:paraId="02242293"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400 mg or 600 mg + 300 mg + 300 mg</w:t>
            </w:r>
          </w:p>
        </w:tc>
        <w:tc>
          <w:tcPr>
            <w:tcW w:w="1418" w:type="dxa"/>
            <w:tcBorders>
              <w:top w:val="nil"/>
              <w:left w:val="nil"/>
              <w:bottom w:val="single" w:sz="4" w:space="0" w:color="808080"/>
              <w:right w:val="single" w:sz="4" w:space="0" w:color="808080"/>
            </w:tcBorders>
            <w:shd w:val="clear" w:color="auto" w:fill="auto"/>
            <w:noWrap/>
            <w:vAlign w:val="bottom"/>
            <w:hideMark/>
          </w:tcPr>
          <w:p w14:paraId="3F4F1A80"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58B863B6"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r>
      <w:tr w:rsidR="009443FF" w:rsidRPr="00486970" w14:paraId="3C983860"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17496380"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Ibuprofen for adults </w:t>
            </w:r>
          </w:p>
        </w:tc>
        <w:tc>
          <w:tcPr>
            <w:tcW w:w="3402" w:type="dxa"/>
            <w:tcBorders>
              <w:top w:val="nil"/>
              <w:left w:val="nil"/>
              <w:bottom w:val="single" w:sz="4" w:space="0" w:color="808080"/>
              <w:right w:val="single" w:sz="4" w:space="0" w:color="808080"/>
            </w:tcBorders>
            <w:shd w:val="clear" w:color="auto" w:fill="auto"/>
            <w:noWrap/>
            <w:vAlign w:val="bottom"/>
            <w:hideMark/>
          </w:tcPr>
          <w:p w14:paraId="757AF67F"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200mg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094F4D8B"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425E7416"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60</w:t>
            </w:r>
          </w:p>
        </w:tc>
      </w:tr>
      <w:tr w:rsidR="009443FF" w:rsidRPr="00486970" w14:paraId="2B43D5FF"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36B7802F"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Furosemide </w:t>
            </w:r>
          </w:p>
        </w:tc>
        <w:tc>
          <w:tcPr>
            <w:tcW w:w="3402" w:type="dxa"/>
            <w:tcBorders>
              <w:top w:val="nil"/>
              <w:left w:val="nil"/>
              <w:bottom w:val="single" w:sz="4" w:space="0" w:color="808080"/>
              <w:right w:val="single" w:sz="4" w:space="0" w:color="808080"/>
            </w:tcBorders>
            <w:shd w:val="clear" w:color="auto" w:fill="auto"/>
            <w:noWrap/>
            <w:vAlign w:val="bottom"/>
            <w:hideMark/>
          </w:tcPr>
          <w:p w14:paraId="38BD6597"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40 mg cap/tab</w:t>
            </w:r>
          </w:p>
        </w:tc>
        <w:tc>
          <w:tcPr>
            <w:tcW w:w="1418" w:type="dxa"/>
            <w:tcBorders>
              <w:top w:val="nil"/>
              <w:left w:val="nil"/>
              <w:bottom w:val="single" w:sz="4" w:space="0" w:color="808080"/>
              <w:right w:val="single" w:sz="4" w:space="0" w:color="808080"/>
            </w:tcBorders>
            <w:shd w:val="clear" w:color="auto" w:fill="auto"/>
            <w:noWrap/>
            <w:vAlign w:val="bottom"/>
            <w:hideMark/>
          </w:tcPr>
          <w:p w14:paraId="54EF1584"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7319439D"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r>
      <w:tr w:rsidR="009443FF" w:rsidRPr="00486970" w14:paraId="378B9723"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64756A22"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Epinephrine</w:t>
            </w:r>
          </w:p>
        </w:tc>
        <w:tc>
          <w:tcPr>
            <w:tcW w:w="3402" w:type="dxa"/>
            <w:tcBorders>
              <w:top w:val="nil"/>
              <w:left w:val="nil"/>
              <w:bottom w:val="single" w:sz="4" w:space="0" w:color="808080"/>
              <w:right w:val="single" w:sz="4" w:space="0" w:color="808080"/>
            </w:tcBorders>
            <w:shd w:val="clear" w:color="auto" w:fill="auto"/>
            <w:noWrap/>
            <w:vAlign w:val="bottom"/>
            <w:hideMark/>
          </w:tcPr>
          <w:p w14:paraId="077573AB"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1 mg injection</w:t>
            </w:r>
          </w:p>
        </w:tc>
        <w:tc>
          <w:tcPr>
            <w:tcW w:w="1418" w:type="dxa"/>
            <w:tcBorders>
              <w:top w:val="nil"/>
              <w:left w:val="nil"/>
              <w:bottom w:val="single" w:sz="4" w:space="0" w:color="808080"/>
              <w:right w:val="single" w:sz="4" w:space="0" w:color="808080"/>
            </w:tcBorders>
            <w:shd w:val="clear" w:color="auto" w:fill="auto"/>
            <w:noWrap/>
            <w:vAlign w:val="bottom"/>
            <w:hideMark/>
          </w:tcPr>
          <w:p w14:paraId="3FE32E61"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09770F1E"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0.5</w:t>
            </w:r>
          </w:p>
        </w:tc>
      </w:tr>
      <w:tr w:rsidR="009443FF" w:rsidRPr="00486970" w14:paraId="642B92BD"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0131FE1F"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Dexamethasone</w:t>
            </w:r>
          </w:p>
        </w:tc>
        <w:tc>
          <w:tcPr>
            <w:tcW w:w="3402" w:type="dxa"/>
            <w:tcBorders>
              <w:top w:val="nil"/>
              <w:left w:val="nil"/>
              <w:bottom w:val="single" w:sz="4" w:space="0" w:color="808080"/>
              <w:right w:val="single" w:sz="4" w:space="0" w:color="808080"/>
            </w:tcBorders>
            <w:shd w:val="clear" w:color="auto" w:fill="auto"/>
            <w:noWrap/>
            <w:vAlign w:val="bottom"/>
            <w:hideMark/>
          </w:tcPr>
          <w:p w14:paraId="75EEAE05"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injection  4 mg/ mL in 1- mL ampoule (as disodium phosphate salt)</w:t>
            </w:r>
          </w:p>
        </w:tc>
        <w:tc>
          <w:tcPr>
            <w:tcW w:w="1418" w:type="dxa"/>
            <w:tcBorders>
              <w:top w:val="nil"/>
              <w:left w:val="nil"/>
              <w:bottom w:val="single" w:sz="4" w:space="0" w:color="808080"/>
              <w:right w:val="single" w:sz="4" w:space="0" w:color="808080"/>
            </w:tcBorders>
            <w:shd w:val="clear" w:color="auto" w:fill="auto"/>
            <w:noWrap/>
            <w:vAlign w:val="bottom"/>
            <w:hideMark/>
          </w:tcPr>
          <w:p w14:paraId="6096EFF3"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w:t>
            </w:r>
          </w:p>
        </w:tc>
        <w:tc>
          <w:tcPr>
            <w:tcW w:w="1768" w:type="dxa"/>
            <w:tcBorders>
              <w:top w:val="nil"/>
              <w:left w:val="nil"/>
              <w:bottom w:val="single" w:sz="4" w:space="0" w:color="808080"/>
              <w:right w:val="single" w:sz="8" w:space="0" w:color="808080"/>
            </w:tcBorders>
            <w:shd w:val="clear" w:color="auto" w:fill="auto"/>
            <w:noWrap/>
            <w:vAlign w:val="bottom"/>
            <w:hideMark/>
          </w:tcPr>
          <w:p w14:paraId="19802581"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w:t>
            </w:r>
          </w:p>
        </w:tc>
      </w:tr>
      <w:tr w:rsidR="009443FF" w:rsidRPr="00486970" w14:paraId="7643C7D4"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76A9446F"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Fluconazole </w:t>
            </w:r>
          </w:p>
        </w:tc>
        <w:tc>
          <w:tcPr>
            <w:tcW w:w="3402" w:type="dxa"/>
            <w:tcBorders>
              <w:top w:val="nil"/>
              <w:left w:val="nil"/>
              <w:bottom w:val="single" w:sz="4" w:space="0" w:color="808080"/>
              <w:right w:val="single" w:sz="4" w:space="0" w:color="808080"/>
            </w:tcBorders>
            <w:shd w:val="clear" w:color="auto" w:fill="auto"/>
            <w:noWrap/>
            <w:vAlign w:val="bottom"/>
            <w:hideMark/>
          </w:tcPr>
          <w:p w14:paraId="56B3461E"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50 mg cap/tab (depending on indication)</w:t>
            </w:r>
          </w:p>
        </w:tc>
        <w:tc>
          <w:tcPr>
            <w:tcW w:w="1418" w:type="dxa"/>
            <w:tcBorders>
              <w:top w:val="nil"/>
              <w:left w:val="nil"/>
              <w:bottom w:val="single" w:sz="4" w:space="0" w:color="808080"/>
              <w:right w:val="single" w:sz="4" w:space="0" w:color="808080"/>
            </w:tcBorders>
            <w:shd w:val="clear" w:color="auto" w:fill="auto"/>
            <w:noWrap/>
            <w:vAlign w:val="bottom"/>
            <w:hideMark/>
          </w:tcPr>
          <w:p w14:paraId="3695C70A"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 </w:t>
            </w:r>
          </w:p>
        </w:tc>
        <w:tc>
          <w:tcPr>
            <w:tcW w:w="1768" w:type="dxa"/>
            <w:tcBorders>
              <w:top w:val="nil"/>
              <w:left w:val="nil"/>
              <w:bottom w:val="single" w:sz="4" w:space="0" w:color="808080"/>
              <w:right w:val="single" w:sz="8" w:space="0" w:color="808080"/>
            </w:tcBorders>
            <w:shd w:val="clear" w:color="auto" w:fill="auto"/>
            <w:noWrap/>
            <w:vAlign w:val="bottom"/>
            <w:hideMark/>
          </w:tcPr>
          <w:p w14:paraId="2B0191D1"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 </w:t>
            </w:r>
          </w:p>
        </w:tc>
      </w:tr>
      <w:tr w:rsidR="009443FF" w:rsidRPr="00486970" w14:paraId="5C524158"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2156061B"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Nystatin </w:t>
            </w:r>
          </w:p>
        </w:tc>
        <w:tc>
          <w:tcPr>
            <w:tcW w:w="3402" w:type="dxa"/>
            <w:tcBorders>
              <w:top w:val="nil"/>
              <w:left w:val="nil"/>
              <w:bottom w:val="single" w:sz="4" w:space="0" w:color="808080"/>
              <w:right w:val="single" w:sz="4" w:space="0" w:color="808080"/>
            </w:tcBorders>
            <w:shd w:val="clear" w:color="auto" w:fill="auto"/>
            <w:noWrap/>
            <w:vAlign w:val="bottom"/>
            <w:hideMark/>
          </w:tcPr>
          <w:p w14:paraId="7C34F779"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tablet 500 000 IU</w:t>
            </w:r>
          </w:p>
        </w:tc>
        <w:tc>
          <w:tcPr>
            <w:tcW w:w="1418" w:type="dxa"/>
            <w:tcBorders>
              <w:top w:val="nil"/>
              <w:left w:val="nil"/>
              <w:bottom w:val="single" w:sz="4" w:space="0" w:color="808080"/>
              <w:right w:val="single" w:sz="4" w:space="0" w:color="808080"/>
            </w:tcBorders>
            <w:shd w:val="clear" w:color="auto" w:fill="auto"/>
            <w:noWrap/>
            <w:vAlign w:val="bottom"/>
            <w:hideMark/>
          </w:tcPr>
          <w:p w14:paraId="1706C99B"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2</w:t>
            </w:r>
          </w:p>
        </w:tc>
        <w:tc>
          <w:tcPr>
            <w:tcW w:w="1768" w:type="dxa"/>
            <w:tcBorders>
              <w:top w:val="nil"/>
              <w:left w:val="nil"/>
              <w:bottom w:val="single" w:sz="4" w:space="0" w:color="808080"/>
              <w:right w:val="single" w:sz="8" w:space="0" w:color="808080"/>
            </w:tcBorders>
            <w:shd w:val="clear" w:color="auto" w:fill="auto"/>
            <w:noWrap/>
            <w:vAlign w:val="bottom"/>
            <w:hideMark/>
          </w:tcPr>
          <w:p w14:paraId="7A710178"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8</w:t>
            </w:r>
          </w:p>
        </w:tc>
      </w:tr>
      <w:tr w:rsidR="009443FF" w:rsidRPr="00486970" w14:paraId="7DAFDAE2" w14:textId="77777777" w:rsidTr="004D1906">
        <w:trPr>
          <w:trHeight w:val="67"/>
        </w:trPr>
        <w:tc>
          <w:tcPr>
            <w:tcW w:w="3417" w:type="dxa"/>
            <w:tcBorders>
              <w:top w:val="nil"/>
              <w:left w:val="single" w:sz="8" w:space="0" w:color="808080"/>
              <w:bottom w:val="single" w:sz="4" w:space="0" w:color="808080"/>
              <w:right w:val="single" w:sz="4" w:space="0" w:color="808080"/>
            </w:tcBorders>
            <w:shd w:val="clear" w:color="auto" w:fill="auto"/>
            <w:noWrap/>
            <w:vAlign w:val="center"/>
            <w:hideMark/>
          </w:tcPr>
          <w:p w14:paraId="5AA1A469"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Levothyroxine </w:t>
            </w:r>
          </w:p>
        </w:tc>
        <w:tc>
          <w:tcPr>
            <w:tcW w:w="3402" w:type="dxa"/>
            <w:tcBorders>
              <w:top w:val="nil"/>
              <w:left w:val="nil"/>
              <w:bottom w:val="single" w:sz="4" w:space="0" w:color="808080"/>
              <w:right w:val="single" w:sz="4" w:space="0" w:color="808080"/>
            </w:tcBorders>
            <w:shd w:val="clear" w:color="auto" w:fill="auto"/>
            <w:noWrap/>
            <w:vAlign w:val="bottom"/>
            <w:hideMark/>
          </w:tcPr>
          <w:p w14:paraId="062D2903"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tablet 50 micrograms</w:t>
            </w:r>
          </w:p>
        </w:tc>
        <w:tc>
          <w:tcPr>
            <w:tcW w:w="1418" w:type="dxa"/>
            <w:tcBorders>
              <w:top w:val="nil"/>
              <w:left w:val="nil"/>
              <w:bottom w:val="single" w:sz="4" w:space="0" w:color="808080"/>
              <w:right w:val="single" w:sz="4" w:space="0" w:color="808080"/>
            </w:tcBorders>
            <w:shd w:val="clear" w:color="auto" w:fill="auto"/>
            <w:noWrap/>
            <w:vAlign w:val="bottom"/>
            <w:hideMark/>
          </w:tcPr>
          <w:p w14:paraId="0D8B1BE7"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nil"/>
              <w:left w:val="nil"/>
              <w:bottom w:val="single" w:sz="4" w:space="0" w:color="808080"/>
              <w:right w:val="single" w:sz="8" w:space="0" w:color="808080"/>
            </w:tcBorders>
            <w:shd w:val="clear" w:color="auto" w:fill="auto"/>
            <w:noWrap/>
            <w:vAlign w:val="bottom"/>
            <w:hideMark/>
          </w:tcPr>
          <w:p w14:paraId="2CBA2F28"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60</w:t>
            </w:r>
          </w:p>
        </w:tc>
      </w:tr>
      <w:tr w:rsidR="009443FF" w:rsidRPr="00486970" w14:paraId="525BC0F1" w14:textId="77777777" w:rsidTr="004D1906">
        <w:trPr>
          <w:trHeight w:val="67"/>
        </w:trPr>
        <w:tc>
          <w:tcPr>
            <w:tcW w:w="3417" w:type="dxa"/>
            <w:tcBorders>
              <w:top w:val="single" w:sz="4" w:space="0" w:color="808080"/>
              <w:left w:val="single" w:sz="8" w:space="0" w:color="808080"/>
              <w:bottom w:val="single" w:sz="4" w:space="0" w:color="808080"/>
              <w:right w:val="single" w:sz="4" w:space="0" w:color="808080"/>
            </w:tcBorders>
            <w:shd w:val="clear" w:color="auto" w:fill="auto"/>
            <w:noWrap/>
            <w:vAlign w:val="center"/>
          </w:tcPr>
          <w:p w14:paraId="5E6D09A2"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Chlorhexidine</w:t>
            </w:r>
          </w:p>
        </w:tc>
        <w:tc>
          <w:tcPr>
            <w:tcW w:w="3402" w:type="dxa"/>
            <w:tcBorders>
              <w:top w:val="single" w:sz="4" w:space="0" w:color="808080"/>
              <w:left w:val="nil"/>
              <w:bottom w:val="single" w:sz="4" w:space="0" w:color="808080"/>
              <w:right w:val="single" w:sz="4" w:space="0" w:color="808080"/>
            </w:tcBorders>
            <w:shd w:val="clear" w:color="auto" w:fill="auto"/>
            <w:noWrap/>
            <w:vAlign w:val="center"/>
          </w:tcPr>
          <w:p w14:paraId="18177DAC"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Solution  or gel: 7.1% (digluconate) delivering 4% chlorhexidine</w:t>
            </w:r>
          </w:p>
        </w:tc>
        <w:tc>
          <w:tcPr>
            <w:tcW w:w="1418" w:type="dxa"/>
            <w:tcBorders>
              <w:top w:val="single" w:sz="4" w:space="0" w:color="808080"/>
              <w:left w:val="nil"/>
              <w:bottom w:val="single" w:sz="4" w:space="0" w:color="808080"/>
              <w:right w:val="single" w:sz="4" w:space="0" w:color="808080"/>
            </w:tcBorders>
            <w:shd w:val="clear" w:color="auto" w:fill="auto"/>
            <w:noWrap/>
            <w:vAlign w:val="center"/>
          </w:tcPr>
          <w:p w14:paraId="583CDF96"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7</w:t>
            </w:r>
          </w:p>
        </w:tc>
        <w:tc>
          <w:tcPr>
            <w:tcW w:w="1768" w:type="dxa"/>
            <w:tcBorders>
              <w:top w:val="single" w:sz="4" w:space="0" w:color="808080"/>
              <w:left w:val="nil"/>
              <w:bottom w:val="single" w:sz="4" w:space="0" w:color="808080"/>
              <w:right w:val="single" w:sz="8" w:space="0" w:color="808080"/>
            </w:tcBorders>
            <w:shd w:val="clear" w:color="auto" w:fill="auto"/>
            <w:noWrap/>
            <w:vAlign w:val="center"/>
          </w:tcPr>
          <w:p w14:paraId="325A6EDC"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w:t>
            </w:r>
          </w:p>
        </w:tc>
      </w:tr>
      <w:tr w:rsidR="009443FF" w:rsidRPr="00486970" w14:paraId="3506AC3C" w14:textId="77777777" w:rsidTr="004D1906">
        <w:trPr>
          <w:trHeight w:val="67"/>
        </w:trPr>
        <w:tc>
          <w:tcPr>
            <w:tcW w:w="3417" w:type="dxa"/>
            <w:tcBorders>
              <w:top w:val="single" w:sz="4" w:space="0" w:color="808080"/>
              <w:left w:val="single" w:sz="8" w:space="0" w:color="808080"/>
              <w:bottom w:val="single" w:sz="4" w:space="0" w:color="808080"/>
              <w:right w:val="single" w:sz="4" w:space="0" w:color="808080"/>
            </w:tcBorders>
            <w:shd w:val="clear" w:color="auto" w:fill="auto"/>
            <w:noWrap/>
            <w:vAlign w:val="center"/>
          </w:tcPr>
          <w:p w14:paraId="2505C148"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Ready-to-use therapeutic food (RUTF)</w:t>
            </w:r>
          </w:p>
        </w:tc>
        <w:tc>
          <w:tcPr>
            <w:tcW w:w="3402" w:type="dxa"/>
            <w:tcBorders>
              <w:top w:val="single" w:sz="4" w:space="0" w:color="808080"/>
              <w:left w:val="nil"/>
              <w:bottom w:val="single" w:sz="4" w:space="0" w:color="808080"/>
              <w:right w:val="single" w:sz="4" w:space="0" w:color="808080"/>
            </w:tcBorders>
            <w:shd w:val="clear" w:color="auto" w:fill="auto"/>
            <w:noWrap/>
            <w:vAlign w:val="center"/>
          </w:tcPr>
          <w:p w14:paraId="68D4B7ED"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 xml:space="preserve">paste or spread (1 sachet = 92 g [500 Kcal]) </w:t>
            </w:r>
            <w:r w:rsidRPr="00486970">
              <w:rPr>
                <w:rFonts w:cstheme="minorHAnsi"/>
                <w:b/>
                <w:bCs/>
                <w:sz w:val="20"/>
                <w:szCs w:val="20"/>
                <w:u w:val="single"/>
              </w:rPr>
              <w:t>OR</w:t>
            </w:r>
          </w:p>
          <w:p w14:paraId="43A0F7F5"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biscuit (28.4g, 500 kcal per 100g)</w:t>
            </w:r>
          </w:p>
        </w:tc>
        <w:tc>
          <w:tcPr>
            <w:tcW w:w="1418" w:type="dxa"/>
            <w:tcBorders>
              <w:top w:val="single" w:sz="4" w:space="0" w:color="808080"/>
              <w:left w:val="nil"/>
              <w:bottom w:val="single" w:sz="4" w:space="0" w:color="808080"/>
              <w:right w:val="single" w:sz="4" w:space="0" w:color="808080"/>
            </w:tcBorders>
            <w:shd w:val="clear" w:color="auto" w:fill="auto"/>
            <w:noWrap/>
            <w:vAlign w:val="center"/>
          </w:tcPr>
          <w:p w14:paraId="11554B52"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single" w:sz="4" w:space="0" w:color="808080"/>
              <w:left w:val="nil"/>
              <w:bottom w:val="single" w:sz="4" w:space="0" w:color="808080"/>
              <w:right w:val="single" w:sz="8" w:space="0" w:color="808080"/>
            </w:tcBorders>
            <w:shd w:val="clear" w:color="auto" w:fill="auto"/>
            <w:noWrap/>
            <w:vAlign w:val="center"/>
          </w:tcPr>
          <w:p w14:paraId="1037500D"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150 - 220 kcal/kg per day</w:t>
            </w:r>
          </w:p>
        </w:tc>
      </w:tr>
      <w:tr w:rsidR="009443FF" w:rsidRPr="00486970" w14:paraId="0EE953D1" w14:textId="77777777" w:rsidTr="004D1906">
        <w:trPr>
          <w:trHeight w:val="67"/>
        </w:trPr>
        <w:tc>
          <w:tcPr>
            <w:tcW w:w="3417" w:type="dxa"/>
            <w:tcBorders>
              <w:top w:val="single" w:sz="4" w:space="0" w:color="808080"/>
              <w:left w:val="single" w:sz="8" w:space="0" w:color="808080"/>
              <w:bottom w:val="single" w:sz="4" w:space="0" w:color="808080"/>
              <w:right w:val="single" w:sz="4" w:space="0" w:color="808080"/>
            </w:tcBorders>
            <w:shd w:val="clear" w:color="auto" w:fill="auto"/>
            <w:noWrap/>
            <w:vAlign w:val="center"/>
          </w:tcPr>
          <w:p w14:paraId="5C0A4566"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Isoniazid + pyrazinamide + rifampicin</w:t>
            </w:r>
          </w:p>
        </w:tc>
        <w:tc>
          <w:tcPr>
            <w:tcW w:w="3402" w:type="dxa"/>
            <w:tcBorders>
              <w:top w:val="single" w:sz="4" w:space="0" w:color="808080"/>
              <w:left w:val="nil"/>
              <w:bottom w:val="single" w:sz="4" w:space="0" w:color="808080"/>
              <w:right w:val="single" w:sz="4" w:space="0" w:color="808080"/>
            </w:tcBorders>
            <w:shd w:val="clear" w:color="auto" w:fill="auto"/>
            <w:noWrap/>
            <w:vAlign w:val="center"/>
          </w:tcPr>
          <w:p w14:paraId="11153E76"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50 mg + 150 mg + 75 mg</w:t>
            </w:r>
          </w:p>
        </w:tc>
        <w:tc>
          <w:tcPr>
            <w:tcW w:w="1418" w:type="dxa"/>
            <w:tcBorders>
              <w:top w:val="single" w:sz="4" w:space="0" w:color="808080"/>
              <w:left w:val="nil"/>
              <w:bottom w:val="single" w:sz="4" w:space="0" w:color="808080"/>
              <w:right w:val="single" w:sz="4" w:space="0" w:color="808080"/>
            </w:tcBorders>
            <w:shd w:val="clear" w:color="auto" w:fill="auto"/>
            <w:noWrap/>
            <w:vAlign w:val="center"/>
          </w:tcPr>
          <w:p w14:paraId="7709F7A0"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w:t>
            </w:r>
          </w:p>
        </w:tc>
        <w:tc>
          <w:tcPr>
            <w:tcW w:w="1768" w:type="dxa"/>
            <w:tcBorders>
              <w:top w:val="single" w:sz="4" w:space="0" w:color="808080"/>
              <w:left w:val="nil"/>
              <w:bottom w:val="single" w:sz="4" w:space="0" w:color="808080"/>
              <w:right w:val="single" w:sz="8" w:space="0" w:color="808080"/>
            </w:tcBorders>
            <w:shd w:val="clear" w:color="auto" w:fill="auto"/>
            <w:noWrap/>
            <w:vAlign w:val="center"/>
          </w:tcPr>
          <w:p w14:paraId="546DAF42"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30 (60, 90 or 120)</w:t>
            </w:r>
          </w:p>
        </w:tc>
      </w:tr>
      <w:tr w:rsidR="009443FF" w:rsidRPr="00486970" w14:paraId="51BDB6C0" w14:textId="77777777" w:rsidTr="004D1906">
        <w:trPr>
          <w:trHeight w:val="67"/>
        </w:trPr>
        <w:tc>
          <w:tcPr>
            <w:tcW w:w="3417" w:type="dxa"/>
            <w:tcBorders>
              <w:top w:val="single" w:sz="4" w:space="0" w:color="808080"/>
              <w:left w:val="single" w:sz="8" w:space="0" w:color="808080"/>
              <w:bottom w:val="single" w:sz="8" w:space="0" w:color="808080"/>
              <w:right w:val="single" w:sz="4" w:space="0" w:color="808080"/>
            </w:tcBorders>
            <w:shd w:val="clear" w:color="auto" w:fill="auto"/>
            <w:noWrap/>
            <w:vAlign w:val="center"/>
          </w:tcPr>
          <w:p w14:paraId="28412E6D"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Epoetin alfa</w:t>
            </w:r>
          </w:p>
        </w:tc>
        <w:tc>
          <w:tcPr>
            <w:tcW w:w="3402" w:type="dxa"/>
            <w:tcBorders>
              <w:top w:val="single" w:sz="4" w:space="0" w:color="808080"/>
              <w:left w:val="nil"/>
              <w:bottom w:val="single" w:sz="8" w:space="0" w:color="808080"/>
              <w:right w:val="single" w:sz="4" w:space="0" w:color="808080"/>
            </w:tcBorders>
            <w:shd w:val="clear" w:color="auto" w:fill="auto"/>
            <w:noWrap/>
            <w:vAlign w:val="center"/>
          </w:tcPr>
          <w:p w14:paraId="679ED999" w14:textId="77777777" w:rsidR="009443FF" w:rsidRPr="00486970" w:rsidRDefault="009443FF" w:rsidP="009443FF">
            <w:pPr>
              <w:spacing w:after="0" w:line="240" w:lineRule="auto"/>
              <w:rPr>
                <w:rFonts w:cstheme="minorHAnsi"/>
                <w:sz w:val="20"/>
                <w:szCs w:val="20"/>
              </w:rPr>
            </w:pPr>
            <w:r w:rsidRPr="00486970">
              <w:rPr>
                <w:rFonts w:cstheme="minorHAnsi"/>
                <w:sz w:val="20"/>
                <w:szCs w:val="20"/>
              </w:rPr>
              <w:t>2,000 IU/mL</w:t>
            </w:r>
          </w:p>
        </w:tc>
        <w:tc>
          <w:tcPr>
            <w:tcW w:w="1418" w:type="dxa"/>
            <w:tcBorders>
              <w:top w:val="single" w:sz="4" w:space="0" w:color="808080"/>
              <w:left w:val="nil"/>
              <w:bottom w:val="single" w:sz="8" w:space="0" w:color="808080"/>
              <w:right w:val="single" w:sz="4" w:space="0" w:color="808080"/>
            </w:tcBorders>
            <w:shd w:val="clear" w:color="auto" w:fill="auto"/>
            <w:noWrap/>
            <w:vAlign w:val="center"/>
          </w:tcPr>
          <w:p w14:paraId="540E9FCB"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12</w:t>
            </w:r>
          </w:p>
        </w:tc>
        <w:tc>
          <w:tcPr>
            <w:tcW w:w="1768" w:type="dxa"/>
            <w:tcBorders>
              <w:top w:val="single" w:sz="4" w:space="0" w:color="808080"/>
              <w:left w:val="nil"/>
              <w:bottom w:val="single" w:sz="8" w:space="0" w:color="808080"/>
              <w:right w:val="single" w:sz="8" w:space="0" w:color="808080"/>
            </w:tcBorders>
            <w:shd w:val="clear" w:color="auto" w:fill="auto"/>
            <w:noWrap/>
            <w:vAlign w:val="center"/>
          </w:tcPr>
          <w:p w14:paraId="50150716" w14:textId="77777777" w:rsidR="009443FF" w:rsidRPr="00486970" w:rsidRDefault="009443FF" w:rsidP="009443FF">
            <w:pPr>
              <w:spacing w:after="0" w:line="240" w:lineRule="auto"/>
              <w:jc w:val="right"/>
              <w:rPr>
                <w:rFonts w:cstheme="minorHAnsi"/>
                <w:sz w:val="20"/>
                <w:szCs w:val="20"/>
              </w:rPr>
            </w:pPr>
            <w:r w:rsidRPr="00486970">
              <w:rPr>
                <w:rFonts w:cstheme="minorHAnsi"/>
                <w:sz w:val="20"/>
                <w:szCs w:val="20"/>
              </w:rPr>
              <w:t>50 units/kg</w:t>
            </w:r>
          </w:p>
        </w:tc>
      </w:tr>
    </w:tbl>
    <w:p w14:paraId="7618C2D5" w14:textId="77777777" w:rsidR="009443FF" w:rsidRPr="00486970" w:rsidRDefault="009443FF" w:rsidP="009443FF">
      <w:pPr>
        <w:spacing w:after="0" w:line="240" w:lineRule="auto"/>
        <w:jc w:val="center"/>
        <w:rPr>
          <w:rFonts w:cstheme="minorHAnsi"/>
        </w:rPr>
      </w:pPr>
    </w:p>
    <w:p w14:paraId="2EF7527A" w14:textId="77777777" w:rsidR="009443FF" w:rsidRPr="00486970" w:rsidRDefault="009443FF" w:rsidP="009443FF">
      <w:pPr>
        <w:spacing w:after="0" w:line="240" w:lineRule="auto"/>
        <w:jc w:val="center"/>
        <w:rPr>
          <w:rFonts w:cstheme="minorHAnsi"/>
        </w:rPr>
      </w:pPr>
    </w:p>
    <w:p w14:paraId="6123D7C7" w14:textId="77777777" w:rsidR="009443FF" w:rsidRPr="00486970" w:rsidRDefault="009443FF" w:rsidP="009443FF">
      <w:pPr>
        <w:rPr>
          <w:rFonts w:cstheme="minorHAnsi"/>
        </w:rPr>
      </w:pPr>
      <w:r w:rsidRPr="00486970">
        <w:rPr>
          <w:rFonts w:cstheme="minorHAnsi"/>
        </w:rPr>
        <w:br w:type="page"/>
      </w:r>
    </w:p>
    <w:p w14:paraId="3719D5BE" w14:textId="77777777" w:rsidR="009443FF" w:rsidRPr="00486970" w:rsidRDefault="009443FF" w:rsidP="009443FF">
      <w:pPr>
        <w:spacing w:after="120" w:line="240" w:lineRule="auto"/>
        <w:jc w:val="both"/>
        <w:rPr>
          <w:rFonts w:eastAsia="Times New Roman" w:cstheme="minorHAnsi"/>
          <w:color w:val="1C75BC"/>
          <w:sz w:val="36"/>
          <w:szCs w:val="36"/>
          <w:lang w:eastAsia="en-GB"/>
        </w:rPr>
      </w:pPr>
      <w:r w:rsidRPr="00486970">
        <w:rPr>
          <w:rFonts w:eastAsia="Times New Roman" w:cstheme="minorHAnsi"/>
          <w:color w:val="1C75BC"/>
          <w:sz w:val="36"/>
          <w:szCs w:val="36"/>
          <w:lang w:eastAsia="en-GB"/>
        </w:rPr>
        <w:lastRenderedPageBreak/>
        <w:t>Annex 4 – Combination of availability and affordability</w:t>
      </w:r>
    </w:p>
    <w:p w14:paraId="7529BBCD" w14:textId="77777777" w:rsidR="009443FF" w:rsidRPr="00486970" w:rsidRDefault="009443FF" w:rsidP="009443FF">
      <w:pPr>
        <w:spacing w:after="120" w:line="240" w:lineRule="auto"/>
        <w:jc w:val="both"/>
        <w:rPr>
          <w:rFonts w:eastAsia="Cambria Math" w:cstheme="minorHAnsi"/>
          <w:color w:val="000000"/>
        </w:rPr>
      </w:pPr>
      <w:r w:rsidRPr="00486970">
        <w:rPr>
          <w:rFonts w:eastAsia="Cambria Math" w:cstheme="minorHAnsi"/>
          <w:color w:val="000000"/>
        </w:rPr>
        <w:t>As an example, consider a simplified case of access to a basket of three medicines (</w:t>
      </w:r>
      <w:r w:rsidRPr="00486970">
        <w:rPr>
          <w:rFonts w:eastAsia="Cambria Math" w:cstheme="minorHAnsi"/>
          <w:i/>
          <w:iCs/>
          <w:color w:val="000000"/>
        </w:rPr>
        <w:t>Figure 2</w:t>
      </w:r>
      <w:r w:rsidRPr="00486970">
        <w:rPr>
          <w:rFonts w:eastAsia="Cambria Math" w:cstheme="minorHAnsi"/>
          <w:color w:val="000000"/>
        </w:rPr>
        <w:t>). In the matrix:</w:t>
      </w:r>
    </w:p>
    <w:p w14:paraId="5D16A93F" w14:textId="77777777" w:rsidR="009443FF" w:rsidRPr="00486970" w:rsidRDefault="009443FF" w:rsidP="00397ADD">
      <w:pPr>
        <w:numPr>
          <w:ilvl w:val="0"/>
          <w:numId w:val="46"/>
        </w:numPr>
        <w:spacing w:after="120" w:line="240" w:lineRule="auto"/>
        <w:contextualSpacing/>
        <w:jc w:val="both"/>
        <w:rPr>
          <w:rFonts w:eastAsia="Cambria Math" w:cstheme="minorHAnsi"/>
          <w:color w:val="000000"/>
        </w:rPr>
      </w:pPr>
      <w:r w:rsidRPr="00486970">
        <w:rPr>
          <w:rFonts w:eastAsia="Cambria Math" w:cstheme="minorHAnsi"/>
          <w:color w:val="000000"/>
        </w:rPr>
        <w:t xml:space="preserve">“1” indicates that a medicine is available or is affordable. </w:t>
      </w:r>
    </w:p>
    <w:p w14:paraId="4967C6CE" w14:textId="77777777" w:rsidR="009443FF" w:rsidRPr="00486970" w:rsidRDefault="009443FF" w:rsidP="00397ADD">
      <w:pPr>
        <w:numPr>
          <w:ilvl w:val="0"/>
          <w:numId w:val="46"/>
        </w:numPr>
        <w:spacing w:after="120" w:line="240" w:lineRule="auto"/>
        <w:contextualSpacing/>
        <w:jc w:val="both"/>
        <w:rPr>
          <w:rFonts w:eastAsia="Cambria Math" w:cstheme="minorHAnsi"/>
          <w:color w:val="000000"/>
        </w:rPr>
      </w:pPr>
      <w:r w:rsidRPr="00486970">
        <w:rPr>
          <w:rFonts w:eastAsia="Cambria Math" w:cstheme="minorHAnsi"/>
          <w:color w:val="000000"/>
        </w:rPr>
        <w:t xml:space="preserve">“0” indicates that a medicine is not available or not affordable. In other words, “0” in the matrix indicates that the dimension is deprived. </w:t>
      </w:r>
    </w:p>
    <w:p w14:paraId="2D429C69" w14:textId="77777777" w:rsidR="009443FF" w:rsidRPr="00486970" w:rsidRDefault="009443FF" w:rsidP="00397ADD">
      <w:pPr>
        <w:numPr>
          <w:ilvl w:val="0"/>
          <w:numId w:val="46"/>
        </w:numPr>
        <w:spacing w:after="120" w:line="240" w:lineRule="auto"/>
        <w:contextualSpacing/>
        <w:jc w:val="both"/>
        <w:rPr>
          <w:rFonts w:eastAsia="Cambria Math" w:cstheme="minorHAnsi"/>
          <w:color w:val="000000"/>
        </w:rPr>
      </w:pPr>
      <w:r w:rsidRPr="00486970">
        <w:rPr>
          <w:rFonts w:eastAsia="Cambria Math" w:cstheme="minorHAnsi"/>
          <w:color w:val="000000"/>
        </w:rPr>
        <w:t xml:space="preserve">“.” indicates cases when medicine is not available and consequently affordability of medicine is not measured. In other words, information on prices cannot be collected when a medicine is not found by the interviewer in the facility. </w:t>
      </w:r>
    </w:p>
    <w:p w14:paraId="6F773E3C" w14:textId="77777777" w:rsidR="009443FF" w:rsidRPr="00486970" w:rsidRDefault="009443FF" w:rsidP="009443FF">
      <w:pPr>
        <w:spacing w:after="120" w:line="240" w:lineRule="auto"/>
        <w:jc w:val="center"/>
        <w:rPr>
          <w:rFonts w:eastAsia="Cambria Math" w:cstheme="minorHAnsi"/>
          <w:noProof/>
          <w:color w:val="000000"/>
          <w:lang w:val="en-US"/>
        </w:rPr>
      </w:pPr>
      <w:r w:rsidRPr="00486970">
        <w:rPr>
          <w:rFonts w:eastAsia="Cambria Math" w:cstheme="minorHAnsi"/>
          <w:b/>
          <w:bCs/>
          <w:color w:val="000000"/>
          <w:sz w:val="20"/>
          <w:szCs w:val="20"/>
        </w:rPr>
        <w:t>Figure 4.1.</w:t>
      </w:r>
      <w:r w:rsidRPr="00486970">
        <w:rPr>
          <w:rFonts w:eastAsia="Cambria Math" w:cstheme="minorHAnsi"/>
          <w:color w:val="000000"/>
          <w:sz w:val="20"/>
          <w:szCs w:val="20"/>
        </w:rPr>
        <w:t xml:space="preserve"> Achievement matrix on access to medicine (two dimensions)</w:t>
      </w:r>
    </w:p>
    <w:p w14:paraId="4C9B78AF" w14:textId="77777777" w:rsidR="009443FF" w:rsidRPr="00486970" w:rsidRDefault="009443FF" w:rsidP="009443FF">
      <w:pPr>
        <w:spacing w:after="120" w:line="240" w:lineRule="auto"/>
        <w:jc w:val="center"/>
        <w:rPr>
          <w:rFonts w:eastAsia="Cambria Math" w:cstheme="minorHAnsi"/>
          <w:color w:val="000000"/>
        </w:rPr>
      </w:pPr>
      <w:r w:rsidRPr="00486970">
        <w:rPr>
          <w:rFonts w:eastAsia="Cambria Math" w:cstheme="minorHAnsi"/>
          <w:noProof/>
          <w:color w:val="000000"/>
          <w:lang w:val="en-US"/>
        </w:rPr>
        <w:drawing>
          <wp:inline distT="0" distB="0" distL="0" distR="0" wp14:anchorId="469B4D1E" wp14:editId="4EEA6512">
            <wp:extent cx="2268366" cy="1496108"/>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8167" cy="1509168"/>
                    </a:xfrm>
                    <a:prstGeom prst="rect">
                      <a:avLst/>
                    </a:prstGeom>
                    <a:noFill/>
                    <a:ln>
                      <a:noFill/>
                    </a:ln>
                  </pic:spPr>
                </pic:pic>
              </a:graphicData>
            </a:graphic>
          </wp:inline>
        </w:drawing>
      </w:r>
    </w:p>
    <w:p w14:paraId="0371B934" w14:textId="02A82E95" w:rsidR="009443FF" w:rsidRPr="00486970" w:rsidRDefault="009443FF" w:rsidP="009443FF">
      <w:pPr>
        <w:spacing w:after="120" w:line="240" w:lineRule="auto"/>
        <w:jc w:val="both"/>
        <w:rPr>
          <w:rFonts w:eastAsia="Cambria Math" w:cstheme="minorHAnsi"/>
          <w:color w:val="000000"/>
        </w:rPr>
      </w:pPr>
      <w:r w:rsidRPr="00486970">
        <w:rPr>
          <w:rFonts w:eastAsia="Cambria Math" w:cstheme="minorHAnsi"/>
          <w:color w:val="000000"/>
        </w:rPr>
        <w:t>In this basket the 1</w:t>
      </w:r>
      <w:r w:rsidRPr="00486970">
        <w:rPr>
          <w:rFonts w:eastAsia="Cambria Math" w:cstheme="minorHAnsi"/>
          <w:color w:val="000000"/>
          <w:vertAlign w:val="superscript"/>
        </w:rPr>
        <w:t>st</w:t>
      </w:r>
      <w:r w:rsidRPr="00486970">
        <w:rPr>
          <w:rFonts w:eastAsia="Cambria Math" w:cstheme="minorHAnsi"/>
          <w:color w:val="000000"/>
        </w:rPr>
        <w:t xml:space="preserve"> medicine is fully accessible (i.e. it is both available and affordable), the 2</w:t>
      </w:r>
      <w:r w:rsidR="00C94B20" w:rsidRPr="00C94B20">
        <w:rPr>
          <w:rFonts w:eastAsia="Cambria Math" w:cstheme="minorHAnsi"/>
          <w:color w:val="000000"/>
          <w:vertAlign w:val="superscript"/>
        </w:rPr>
        <w:t>nd</w:t>
      </w:r>
      <w:r w:rsidR="00C94B20">
        <w:rPr>
          <w:rFonts w:eastAsia="Cambria Math" w:cstheme="minorHAnsi"/>
          <w:color w:val="000000"/>
        </w:rPr>
        <w:t xml:space="preserve"> </w:t>
      </w:r>
      <w:r w:rsidRPr="00486970">
        <w:rPr>
          <w:rFonts w:eastAsia="Cambria Math" w:cstheme="minorHAnsi"/>
          <w:color w:val="000000"/>
        </w:rPr>
        <w:t>medicine is partially accessible (i.e. it is available but not affordable), while the 3</w:t>
      </w:r>
      <w:r w:rsidRPr="00486970">
        <w:rPr>
          <w:rFonts w:eastAsia="Cambria Math" w:cstheme="minorHAnsi"/>
          <w:color w:val="000000"/>
          <w:vertAlign w:val="superscript"/>
        </w:rPr>
        <w:t>rd</w:t>
      </w:r>
      <w:r w:rsidRPr="00486970">
        <w:rPr>
          <w:rFonts w:eastAsia="Cambria Math" w:cstheme="minorHAnsi"/>
          <w:color w:val="000000"/>
        </w:rPr>
        <w:t xml:space="preserve"> medicine is inaccessible (i.e. it is not available and thus it is not possible to collect information on prices).</w:t>
      </w:r>
    </w:p>
    <w:p w14:paraId="3CDABB62" w14:textId="77777777" w:rsidR="009443FF" w:rsidRPr="00486970" w:rsidRDefault="009443FF" w:rsidP="009443FF">
      <w:pPr>
        <w:spacing w:after="120" w:line="240" w:lineRule="auto"/>
        <w:jc w:val="both"/>
        <w:rPr>
          <w:rFonts w:eastAsia="Cambria Math" w:cstheme="minorHAnsi"/>
          <w:color w:val="000000"/>
        </w:rPr>
      </w:pPr>
      <w:r w:rsidRPr="00486970">
        <w:rPr>
          <w:rFonts w:eastAsia="Cambria Math" w:cstheme="minorHAnsi"/>
          <w:color w:val="000000"/>
        </w:rPr>
        <w:t>In this example, the first medicine is accessible and the third medicine is not. However, the second medicine is partially deprived indicating that specific policies applied in the country may be effective for availability of the medicine but not for its affordability. Applying the union identification approach by S. Alkire and G. Robles that treats elements (medicines) in the matrix with partial deprivation as fully deprived, the second medicine is considered not accessible as well (</w:t>
      </w:r>
      <w:r w:rsidRPr="00486970">
        <w:rPr>
          <w:rFonts w:eastAsia="Cambria Math" w:cstheme="minorHAnsi"/>
          <w:i/>
          <w:iCs/>
          <w:color w:val="000000"/>
        </w:rPr>
        <w:t>Figure 3</w:t>
      </w:r>
      <w:r w:rsidRPr="00486970">
        <w:rPr>
          <w:rFonts w:eastAsia="Cambria Math" w:cstheme="minorHAnsi"/>
          <w:color w:val="000000"/>
        </w:rPr>
        <w:t xml:space="preserve">). </w:t>
      </w:r>
    </w:p>
    <w:p w14:paraId="2E5380FC" w14:textId="77777777" w:rsidR="009443FF" w:rsidRPr="00486970" w:rsidRDefault="009443FF" w:rsidP="009443FF">
      <w:pPr>
        <w:spacing w:after="120" w:line="240" w:lineRule="auto"/>
        <w:jc w:val="center"/>
        <w:rPr>
          <w:rFonts w:eastAsia="Cambria Math" w:cstheme="minorHAnsi"/>
          <w:noProof/>
          <w:color w:val="000000"/>
          <w:lang w:val="en-US"/>
        </w:rPr>
      </w:pPr>
      <w:r w:rsidRPr="00486970">
        <w:rPr>
          <w:rFonts w:eastAsia="Cambria Math" w:cstheme="minorHAnsi"/>
          <w:b/>
          <w:bCs/>
          <w:color w:val="000000"/>
          <w:sz w:val="20"/>
          <w:szCs w:val="20"/>
        </w:rPr>
        <w:t>Figure 4.2.</w:t>
      </w:r>
      <w:r w:rsidRPr="00486970">
        <w:rPr>
          <w:rFonts w:eastAsia="Cambria Math" w:cstheme="minorHAnsi"/>
          <w:color w:val="000000"/>
          <w:sz w:val="20"/>
          <w:szCs w:val="20"/>
        </w:rPr>
        <w:t xml:space="preserve"> Achievement matrix of access to medicine (two dimensions &amp; deprivation of dimensions)</w:t>
      </w:r>
    </w:p>
    <w:p w14:paraId="548809FB" w14:textId="77777777" w:rsidR="009443FF" w:rsidRPr="00486970" w:rsidRDefault="009443FF" w:rsidP="009443FF">
      <w:pPr>
        <w:spacing w:after="120" w:line="240" w:lineRule="auto"/>
        <w:ind w:firstLine="397"/>
        <w:jc w:val="center"/>
        <w:rPr>
          <w:rFonts w:eastAsia="Cambria Math" w:cstheme="minorHAnsi"/>
          <w:color w:val="000000"/>
        </w:rPr>
      </w:pPr>
      <w:r w:rsidRPr="00486970">
        <w:rPr>
          <w:rFonts w:eastAsia="Cambria Math" w:cstheme="minorHAnsi"/>
          <w:noProof/>
          <w:color w:val="000000"/>
          <w:lang w:val="en-US"/>
        </w:rPr>
        <w:drawing>
          <wp:inline distT="0" distB="0" distL="0" distR="0" wp14:anchorId="11342FF8" wp14:editId="1A20FB10">
            <wp:extent cx="2067058" cy="1154741"/>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079522" cy="1161704"/>
                    </a:xfrm>
                    <a:prstGeom prst="rect">
                      <a:avLst/>
                    </a:prstGeom>
                    <a:noFill/>
                    <a:ln>
                      <a:noFill/>
                    </a:ln>
                  </pic:spPr>
                </pic:pic>
              </a:graphicData>
            </a:graphic>
          </wp:inline>
        </w:drawing>
      </w:r>
    </w:p>
    <w:p w14:paraId="01F3B223" w14:textId="77777777" w:rsidR="009443FF" w:rsidRPr="00486970" w:rsidRDefault="009443FF" w:rsidP="009443FF">
      <w:pPr>
        <w:spacing w:after="120" w:line="240" w:lineRule="auto"/>
        <w:jc w:val="both"/>
        <w:rPr>
          <w:rFonts w:eastAsia="Cambria Math" w:cstheme="minorHAnsi"/>
          <w:color w:val="000000"/>
        </w:rPr>
      </w:pPr>
      <w:r w:rsidRPr="00486970">
        <w:rPr>
          <w:rFonts w:eastAsia="Cambria Math" w:cstheme="minorHAnsi"/>
          <w:color w:val="000000"/>
        </w:rPr>
        <w:t>At the end of this step, the variable “access” to medicines is generated, combining the 2 dimensions of availability and affordability. This variable remains binary in nature with 1 – medicine is accessible (both available and affordable) and 0 – medicine is not accessible (not available or available but not affordable).</w:t>
      </w:r>
    </w:p>
    <w:p w14:paraId="7D0594EB" w14:textId="77777777" w:rsidR="009443FF" w:rsidRPr="00486970" w:rsidRDefault="009443FF" w:rsidP="009443FF">
      <w:pPr>
        <w:spacing w:after="0" w:line="240" w:lineRule="auto"/>
        <w:jc w:val="center"/>
        <w:rPr>
          <w:rFonts w:cstheme="minorHAnsi"/>
        </w:rPr>
      </w:pPr>
    </w:p>
    <w:p w14:paraId="744490F6" w14:textId="057A2C60" w:rsidR="009443FF" w:rsidRPr="00486970" w:rsidRDefault="009443FF">
      <w:pPr>
        <w:rPr>
          <w:rFonts w:cstheme="minorHAnsi"/>
        </w:rPr>
      </w:pPr>
    </w:p>
    <w:p w14:paraId="3B050DDB" w14:textId="77777777" w:rsidR="009443FF" w:rsidRPr="00486970" w:rsidRDefault="009443FF">
      <w:pPr>
        <w:rPr>
          <w:rFonts w:cstheme="minorHAnsi"/>
        </w:rPr>
      </w:pPr>
    </w:p>
    <w:sectPr w:rsidR="009443FF" w:rsidRPr="00486970">
      <w:headerReference w:type="default" r:id="rId7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7C463" w14:textId="77777777" w:rsidR="000B31FA" w:rsidRDefault="000B31FA" w:rsidP="00573C0B">
      <w:pPr>
        <w:spacing w:after="0" w:line="240" w:lineRule="auto"/>
      </w:pPr>
      <w:r>
        <w:separator/>
      </w:r>
    </w:p>
  </w:endnote>
  <w:endnote w:type="continuationSeparator" w:id="0">
    <w:p w14:paraId="45D769C7" w14:textId="77777777" w:rsidR="000B31FA" w:rsidRDefault="000B31FA" w:rsidP="00573C0B">
      <w:pPr>
        <w:spacing w:after="0" w:line="240" w:lineRule="auto"/>
      </w:pPr>
      <w:r>
        <w:continuationSeparator/>
      </w:r>
    </w:p>
  </w:endnote>
  <w:endnote w:type="continuationNotice" w:id="1">
    <w:p w14:paraId="075E98E5" w14:textId="77777777" w:rsidR="000B31FA" w:rsidRDefault="000B31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272B8" w14:textId="77777777" w:rsidR="000B31FA" w:rsidRDefault="000B31FA" w:rsidP="00573C0B">
      <w:pPr>
        <w:spacing w:after="0" w:line="240" w:lineRule="auto"/>
      </w:pPr>
      <w:r>
        <w:separator/>
      </w:r>
    </w:p>
  </w:footnote>
  <w:footnote w:type="continuationSeparator" w:id="0">
    <w:p w14:paraId="71F1703B" w14:textId="77777777" w:rsidR="000B31FA" w:rsidRDefault="000B31FA" w:rsidP="00573C0B">
      <w:pPr>
        <w:spacing w:after="0" w:line="240" w:lineRule="auto"/>
      </w:pPr>
      <w:r>
        <w:continuationSeparator/>
      </w:r>
    </w:p>
  </w:footnote>
  <w:footnote w:type="continuationNotice" w:id="1">
    <w:p w14:paraId="7265563E" w14:textId="77777777" w:rsidR="000B31FA" w:rsidRDefault="000B31FA">
      <w:pPr>
        <w:spacing w:after="0" w:line="240" w:lineRule="auto"/>
      </w:pPr>
    </w:p>
  </w:footnote>
  <w:footnote w:id="2">
    <w:p w14:paraId="20F171B7" w14:textId="77777777" w:rsidR="005B2719" w:rsidRPr="006C1A6B" w:rsidRDefault="005B2719" w:rsidP="00F70A66">
      <w:pPr>
        <w:pStyle w:val="FootnoteText"/>
        <w:jc w:val="both"/>
        <w:rPr>
          <w:sz w:val="18"/>
          <w:szCs w:val="18"/>
        </w:rPr>
      </w:pPr>
      <w:r w:rsidRPr="006C1A6B">
        <w:rPr>
          <w:rStyle w:val="FootnoteReference"/>
          <w:sz w:val="18"/>
          <w:szCs w:val="18"/>
        </w:rPr>
        <w:footnoteRef/>
      </w:r>
      <w:r w:rsidRPr="006C1A6B">
        <w:rPr>
          <w:sz w:val="18"/>
          <w:szCs w:val="18"/>
        </w:rPr>
        <w:t xml:space="preserve"> </w:t>
      </w:r>
      <w:r w:rsidRPr="006C1A6B">
        <w:rPr>
          <w:color w:val="000000" w:themeColor="text1"/>
          <w:sz w:val="18"/>
          <w:szCs w:val="18"/>
        </w:rPr>
        <w:t xml:space="preserve">DALYs for a disease are calculated as the sum of the </w:t>
      </w:r>
      <w:r w:rsidRPr="006C1A6B">
        <w:rPr>
          <w:i/>
          <w:iCs/>
          <w:color w:val="000000" w:themeColor="text1"/>
          <w:sz w:val="18"/>
          <w:szCs w:val="18"/>
        </w:rPr>
        <w:t>Years of Life Lost (YLL)</w:t>
      </w:r>
      <w:r w:rsidRPr="006C1A6B">
        <w:rPr>
          <w:color w:val="000000" w:themeColor="text1"/>
          <w:sz w:val="18"/>
          <w:szCs w:val="18"/>
        </w:rPr>
        <w:t xml:space="preserve"> due to premature mortality in the population and the </w:t>
      </w:r>
      <w:r w:rsidRPr="006C1A6B">
        <w:rPr>
          <w:i/>
          <w:iCs/>
          <w:color w:val="000000" w:themeColor="text1"/>
          <w:sz w:val="18"/>
          <w:szCs w:val="18"/>
        </w:rPr>
        <w:t>Years Lost due to Disability (YLD)</w:t>
      </w:r>
      <w:r w:rsidRPr="006C1A6B">
        <w:rPr>
          <w:color w:val="000000" w:themeColor="text1"/>
          <w:sz w:val="18"/>
          <w:szCs w:val="18"/>
        </w:rPr>
        <w:t xml:space="preserve"> for people living with the health condition or its consequences (DALYs  YLL + YLD). That is why DALYs allow “calculating” consequences both from acute diseases (mortality) and from chronic diseases (disability and life with disease). </w:t>
      </w:r>
      <w:hyperlink r:id="rId1" w:history="1">
        <w:r w:rsidRPr="006C1A6B">
          <w:rPr>
            <w:rStyle w:val="Hyperlink"/>
            <w:sz w:val="18"/>
            <w:szCs w:val="18"/>
          </w:rPr>
          <w:t>http://www.who.int/healthinfo/global_burden_disease/estimates/en/index1.html</w:t>
        </w:r>
      </w:hyperlink>
      <w:r w:rsidRPr="006C1A6B">
        <w:rPr>
          <w:color w:val="000000" w:themeColor="text1"/>
          <w:sz w:val="18"/>
          <w:szCs w:val="18"/>
        </w:rPr>
        <w:t xml:space="preserve">  </w:t>
      </w:r>
    </w:p>
  </w:footnote>
  <w:footnote w:id="3">
    <w:p w14:paraId="69A4496D" w14:textId="77777777" w:rsidR="005B2719" w:rsidRPr="006C1A6B" w:rsidRDefault="005B2719" w:rsidP="00F70A66">
      <w:pPr>
        <w:pStyle w:val="FootnoteText"/>
        <w:rPr>
          <w:sz w:val="18"/>
          <w:szCs w:val="18"/>
        </w:rPr>
      </w:pPr>
      <w:r w:rsidRPr="006C1A6B">
        <w:rPr>
          <w:rStyle w:val="FootnoteReference"/>
          <w:sz w:val="18"/>
          <w:szCs w:val="18"/>
        </w:rPr>
        <w:footnoteRef/>
      </w:r>
      <w:r w:rsidRPr="006C1A6B">
        <w:rPr>
          <w:sz w:val="18"/>
          <w:szCs w:val="18"/>
        </w:rPr>
        <w:t xml:space="preserve"> </w:t>
      </w:r>
      <w:hyperlink r:id="rId2" w:history="1">
        <w:r w:rsidRPr="006C1A6B">
          <w:rPr>
            <w:rStyle w:val="Hyperlink"/>
            <w:sz w:val="18"/>
            <w:szCs w:val="18"/>
          </w:rPr>
          <w:t>http://www.who.int/medicines/areas/access/OMS_Medicine_prices.pdf</w:t>
        </w:r>
      </w:hyperlink>
      <w:r w:rsidRPr="006C1A6B">
        <w:rPr>
          <w:sz w:val="18"/>
          <w:szCs w:val="18"/>
        </w:rPr>
        <w:t xml:space="preserve"> </w:t>
      </w:r>
    </w:p>
  </w:footnote>
  <w:footnote w:id="4">
    <w:p w14:paraId="5EA1D388" w14:textId="77777777" w:rsidR="005B2719" w:rsidRDefault="005B2719" w:rsidP="00F70A66">
      <w:pPr>
        <w:pStyle w:val="FootnoteText"/>
      </w:pPr>
      <w:r>
        <w:rPr>
          <w:rStyle w:val="FootnoteReference"/>
        </w:rPr>
        <w:footnoteRef/>
      </w:r>
      <w:r>
        <w:t xml:space="preserve"> </w:t>
      </w:r>
      <w:hyperlink r:id="rId3" w:history="1">
        <w:r w:rsidRPr="006A32FC">
          <w:rPr>
            <w:rStyle w:val="Hyperlink"/>
          </w:rPr>
          <w:t>https://www.ophi.org.uk/wp-content/uploads/OPHIRP046a.pdf</w:t>
        </w:r>
      </w:hyperlink>
      <w:r w:rsidRPr="00B1514E">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7B06" w14:textId="6606B5C8" w:rsidR="005B2719" w:rsidRDefault="005B2719" w:rsidP="00273CFA">
    <w:pPr>
      <w:pStyle w:val="Header"/>
      <w:jc w:val="right"/>
      <w:rPr>
        <w:color w:val="595959" w:themeColor="text1" w:themeTint="A6"/>
        <w:sz w:val="18"/>
        <w:szCs w:val="18"/>
      </w:rPr>
    </w:pPr>
    <w:r w:rsidRPr="39DF3A99">
      <w:rPr>
        <w:color w:val="595959" w:themeColor="text1" w:themeTint="A6"/>
        <w:sz w:val="18"/>
        <w:szCs w:val="18"/>
      </w:rPr>
      <w:t>Last updated: 2019-01-01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726072B" w:rsidR="005B2719" w:rsidRPr="00757E8A" w:rsidRDefault="005B2719"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25 November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593"/>
    <w:multiLevelType w:val="multilevel"/>
    <w:tmpl w:val="B59489C4"/>
    <w:lvl w:ilvl="0">
      <w:start w:val="1"/>
      <w:numFmt w:val="decimal"/>
      <w:lvlText w:val="%1."/>
      <w:lvlJc w:val="left"/>
      <w:pPr>
        <w:ind w:left="720" w:hanging="360"/>
      </w:pPr>
      <w:rPr>
        <w:b/>
        <w:bCs/>
        <w:sz w:val="20"/>
        <w:szCs w:val="20"/>
      </w:rPr>
    </w:lvl>
    <w:lvl w:ilvl="1">
      <w:start w:val="1"/>
      <w:numFmt w:val="lowerLetter"/>
      <w:lvlText w:val="%2."/>
      <w:lvlJc w:val="left"/>
      <w:pPr>
        <w:ind w:left="1440" w:hanging="360"/>
      </w:pPr>
    </w:lvl>
    <w:lvl w:ilvl="2">
      <w:start w:val="1"/>
      <w:numFmt w:val="lowerRoman"/>
      <w:lvlText w:val="%3."/>
      <w:lvlJc w:val="right"/>
      <w:pPr>
        <w:ind w:left="2160" w:hanging="180"/>
      </w:pPr>
      <w:rPr>
        <w:sz w:val="20"/>
        <w:szCs w:val="20"/>
      </w:rPr>
    </w:lvl>
    <w:lvl w:ilvl="3">
      <w:start w:val="1"/>
      <w:numFmt w:val="decimal"/>
      <w:lvlText w:val="%4."/>
      <w:lvlJc w:val="left"/>
      <w:pPr>
        <w:ind w:left="2880" w:hanging="360"/>
      </w:pPr>
      <w:rPr>
        <w:b/>
        <w:bCs/>
        <w:sz w:val="22"/>
        <w:szCs w:val="22"/>
      </w:rPr>
    </w:lvl>
    <w:lvl w:ilvl="4">
      <w:start w:val="1"/>
      <w:numFmt w:val="lowerLetter"/>
      <w:lvlText w:val="%5."/>
      <w:lvlJc w:val="left"/>
      <w:pPr>
        <w:ind w:left="3600" w:hanging="360"/>
      </w:pPr>
      <w:rPr>
        <w:sz w:val="22"/>
        <w:szCs w:val="22"/>
      </w:rPr>
    </w:lvl>
    <w:lvl w:ilvl="5">
      <w:start w:val="1"/>
      <w:numFmt w:val="lowerRoman"/>
      <w:lvlText w:val="%6."/>
      <w:lvlJc w:val="right"/>
      <w:pPr>
        <w:ind w:left="4320" w:hanging="180"/>
      </w:pPr>
      <w:rPr>
        <w:sz w:val="20"/>
        <w:szCs w:val="20"/>
      </w:rPr>
    </w:lvl>
    <w:lvl w:ilvl="6">
      <w:start w:val="1"/>
      <w:numFmt w:val="decimal"/>
      <w:lvlText w:val="%7."/>
      <w:lvlJc w:val="left"/>
      <w:pPr>
        <w:ind w:left="5040" w:hanging="360"/>
      </w:pPr>
      <w:rPr>
        <w:sz w:val="20"/>
        <w:szCs w:val="20"/>
      </w:rPr>
    </w:lvl>
    <w:lvl w:ilvl="7">
      <w:start w:val="1"/>
      <w:numFmt w:val="lowerLetter"/>
      <w:lvlText w:val="%8."/>
      <w:lvlJc w:val="left"/>
      <w:pPr>
        <w:ind w:left="5760" w:hanging="360"/>
      </w:pPr>
      <w:rPr>
        <w:sz w:val="20"/>
        <w:szCs w:val="20"/>
      </w:rPr>
    </w:lvl>
    <w:lvl w:ilvl="8">
      <w:start w:val="1"/>
      <w:numFmt w:val="lowerRoman"/>
      <w:lvlText w:val="%9."/>
      <w:lvlJc w:val="right"/>
      <w:pPr>
        <w:ind w:left="6480" w:hanging="180"/>
      </w:pPr>
      <w:rPr>
        <w:sz w:val="20"/>
        <w:szCs w:val="20"/>
      </w:rPr>
    </w:lvl>
  </w:abstractNum>
  <w:abstractNum w:abstractNumId="1" w15:restartNumberingAfterBreak="0">
    <w:nsid w:val="022F7A38"/>
    <w:multiLevelType w:val="hybridMultilevel"/>
    <w:tmpl w:val="9738B20E"/>
    <w:lvl w:ilvl="0" w:tplc="06B8131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296B23"/>
    <w:multiLevelType w:val="multilevel"/>
    <w:tmpl w:val="E36EAF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67F13"/>
    <w:multiLevelType w:val="hybridMultilevel"/>
    <w:tmpl w:val="C0C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653B7"/>
    <w:multiLevelType w:val="multilevel"/>
    <w:tmpl w:val="C148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61164"/>
    <w:multiLevelType w:val="multilevel"/>
    <w:tmpl w:val="D5EC3A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76B2E"/>
    <w:multiLevelType w:val="multilevel"/>
    <w:tmpl w:val="0042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D27EF"/>
    <w:multiLevelType w:val="multilevel"/>
    <w:tmpl w:val="49F8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230D55"/>
    <w:multiLevelType w:val="multilevel"/>
    <w:tmpl w:val="4DCAB5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975DF"/>
    <w:multiLevelType w:val="multilevel"/>
    <w:tmpl w:val="2B222A42"/>
    <w:lvl w:ilvl="0">
      <w:start w:val="1"/>
      <w:numFmt w:val="decimal"/>
      <w:lvlText w:val="%1.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FD16A8"/>
    <w:multiLevelType w:val="multilevel"/>
    <w:tmpl w:val="A1D2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E031E3"/>
    <w:multiLevelType w:val="multilevel"/>
    <w:tmpl w:val="ACF49E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FA95260"/>
    <w:multiLevelType w:val="multilevel"/>
    <w:tmpl w:val="FA483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6016A9"/>
    <w:multiLevelType w:val="multilevel"/>
    <w:tmpl w:val="0ECAAB1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2DD41E4"/>
    <w:multiLevelType w:val="hybridMultilevel"/>
    <w:tmpl w:val="13CA7948"/>
    <w:lvl w:ilvl="0" w:tplc="3E98BAD4">
      <w:start w:val="1"/>
      <w:numFmt w:val="decimal"/>
      <w:lvlText w:val="%1."/>
      <w:lvlJc w:val="left"/>
      <w:pPr>
        <w:ind w:left="643" w:hanging="360"/>
      </w:pPr>
      <w:rPr>
        <w:b w:val="0"/>
        <w:bCs/>
        <w:color w:val="auto"/>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5" w15:restartNumberingAfterBreak="0">
    <w:nsid w:val="23A65027"/>
    <w:multiLevelType w:val="multilevel"/>
    <w:tmpl w:val="778CD9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0F592B"/>
    <w:multiLevelType w:val="multilevel"/>
    <w:tmpl w:val="1578DC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CC2A0E"/>
    <w:multiLevelType w:val="multilevel"/>
    <w:tmpl w:val="50A418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DA55AF"/>
    <w:multiLevelType w:val="hybridMultilevel"/>
    <w:tmpl w:val="F3B4FCB8"/>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784A6C"/>
    <w:multiLevelType w:val="multilevel"/>
    <w:tmpl w:val="BCC687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526B7C"/>
    <w:multiLevelType w:val="hybridMultilevel"/>
    <w:tmpl w:val="88E438BC"/>
    <w:lvl w:ilvl="0" w:tplc="0409000B">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1" w15:restartNumberingAfterBreak="0">
    <w:nsid w:val="2D641249"/>
    <w:multiLevelType w:val="multilevel"/>
    <w:tmpl w:val="698CACFE"/>
    <w:lvl w:ilvl="0">
      <w:start w:val="1"/>
      <w:numFmt w:val="decimal"/>
      <w:lvlText w:val="%1."/>
      <w:lvlJc w:val="left"/>
      <w:pPr>
        <w:ind w:left="720" w:hanging="360"/>
      </w:pPr>
      <w:rPr>
        <w:b w:val="0"/>
        <w:bCs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rPr>
        <w:sz w:val="20"/>
        <w:szCs w:val="20"/>
      </w:rPr>
    </w:lvl>
    <w:lvl w:ilvl="3">
      <w:start w:val="1"/>
      <w:numFmt w:val="decimal"/>
      <w:lvlText w:val="%4."/>
      <w:lvlJc w:val="left"/>
      <w:pPr>
        <w:ind w:left="2880" w:hanging="360"/>
      </w:pPr>
      <w:rPr>
        <w:b/>
        <w:bCs/>
        <w:sz w:val="22"/>
        <w:szCs w:val="22"/>
      </w:rPr>
    </w:lvl>
    <w:lvl w:ilvl="4">
      <w:start w:val="1"/>
      <w:numFmt w:val="lowerLetter"/>
      <w:lvlText w:val="%5."/>
      <w:lvlJc w:val="left"/>
      <w:pPr>
        <w:ind w:left="3600" w:hanging="360"/>
      </w:pPr>
      <w:rPr>
        <w:sz w:val="22"/>
        <w:szCs w:val="22"/>
      </w:rPr>
    </w:lvl>
    <w:lvl w:ilvl="5">
      <w:start w:val="1"/>
      <w:numFmt w:val="lowerRoman"/>
      <w:lvlText w:val="%6."/>
      <w:lvlJc w:val="right"/>
      <w:pPr>
        <w:ind w:left="4320" w:hanging="180"/>
      </w:pPr>
      <w:rPr>
        <w:sz w:val="20"/>
        <w:szCs w:val="20"/>
      </w:rPr>
    </w:lvl>
    <w:lvl w:ilvl="6">
      <w:start w:val="1"/>
      <w:numFmt w:val="decimal"/>
      <w:lvlText w:val="%7."/>
      <w:lvlJc w:val="left"/>
      <w:pPr>
        <w:ind w:left="5040" w:hanging="360"/>
      </w:pPr>
      <w:rPr>
        <w:sz w:val="20"/>
        <w:szCs w:val="20"/>
      </w:rPr>
    </w:lvl>
    <w:lvl w:ilvl="7">
      <w:start w:val="1"/>
      <w:numFmt w:val="lowerLetter"/>
      <w:lvlText w:val="%8."/>
      <w:lvlJc w:val="left"/>
      <w:pPr>
        <w:ind w:left="5760" w:hanging="360"/>
      </w:pPr>
      <w:rPr>
        <w:sz w:val="20"/>
        <w:szCs w:val="20"/>
      </w:rPr>
    </w:lvl>
    <w:lvl w:ilvl="8">
      <w:start w:val="1"/>
      <w:numFmt w:val="lowerRoman"/>
      <w:lvlText w:val="%9."/>
      <w:lvlJc w:val="right"/>
      <w:pPr>
        <w:ind w:left="6480" w:hanging="180"/>
      </w:pPr>
      <w:rPr>
        <w:sz w:val="20"/>
        <w:szCs w:val="20"/>
      </w:rPr>
    </w:lvl>
  </w:abstractNum>
  <w:abstractNum w:abstractNumId="22" w15:restartNumberingAfterBreak="0">
    <w:nsid w:val="2D7B0D60"/>
    <w:multiLevelType w:val="multilevel"/>
    <w:tmpl w:val="9DDCA5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7F7C5A"/>
    <w:multiLevelType w:val="multilevel"/>
    <w:tmpl w:val="C70EE5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CD1B4B"/>
    <w:multiLevelType w:val="multilevel"/>
    <w:tmpl w:val="DE064B16"/>
    <w:lvl w:ilvl="0">
      <w:start w:val="1"/>
      <w:numFmt w:val="decimal"/>
      <w:lvlText w:val="%1."/>
      <w:lvlJc w:val="left"/>
      <w:pPr>
        <w:ind w:left="643" w:hanging="360"/>
      </w:pPr>
    </w:lvl>
    <w:lvl w:ilvl="1">
      <w:start w:val="1"/>
      <w:numFmt w:val="decimal"/>
      <w:lvlText w:val="%2."/>
      <w:lvlJc w:val="left"/>
      <w:pPr>
        <w:ind w:left="786" w:hanging="360"/>
      </w:pPr>
      <w:rPr>
        <w:rFonts w:asciiTheme="minorHAnsi" w:eastAsiaTheme="minorEastAsia" w:hAnsiTheme="minorHAnsi" w:cstheme="minorBidi" w:hint="default"/>
        <w:b w:val="0"/>
        <w:bCs w:val="0"/>
      </w:rPr>
    </w:lvl>
    <w:lvl w:ilvl="2">
      <w:start w:val="1"/>
      <w:numFmt w:val="decimal"/>
      <w:isLgl/>
      <w:lvlText w:val="%1.%2.%3"/>
      <w:lvlJc w:val="left"/>
      <w:pPr>
        <w:ind w:left="1289" w:hanging="720"/>
      </w:pPr>
      <w:rPr>
        <w:rFonts w:hint="default"/>
      </w:rPr>
    </w:lvl>
    <w:lvl w:ilvl="3">
      <w:start w:val="1"/>
      <w:numFmt w:val="decimal"/>
      <w:isLgl/>
      <w:lvlText w:val="%1.%2.%3.%4"/>
      <w:lvlJc w:val="left"/>
      <w:pPr>
        <w:ind w:left="1432" w:hanging="720"/>
      </w:pPr>
      <w:rPr>
        <w:rFonts w:hint="default"/>
      </w:rPr>
    </w:lvl>
    <w:lvl w:ilvl="4">
      <w:start w:val="1"/>
      <w:numFmt w:val="decimal"/>
      <w:isLgl/>
      <w:lvlText w:val="%1.%2.%3.%4.%5"/>
      <w:lvlJc w:val="left"/>
      <w:pPr>
        <w:ind w:left="1935" w:hanging="1080"/>
      </w:pPr>
      <w:rPr>
        <w:rFonts w:hint="default"/>
      </w:rPr>
    </w:lvl>
    <w:lvl w:ilvl="5">
      <w:start w:val="1"/>
      <w:numFmt w:val="decimal"/>
      <w:isLgl/>
      <w:lvlText w:val="%1.%2.%3.%4.%5.%6"/>
      <w:lvlJc w:val="left"/>
      <w:pPr>
        <w:ind w:left="2078" w:hanging="1080"/>
      </w:pPr>
      <w:rPr>
        <w:rFonts w:hint="default"/>
      </w:rPr>
    </w:lvl>
    <w:lvl w:ilvl="6">
      <w:start w:val="1"/>
      <w:numFmt w:val="decimal"/>
      <w:isLgl/>
      <w:lvlText w:val="%1.%2.%3.%4.%5.%6.%7"/>
      <w:lvlJc w:val="left"/>
      <w:pPr>
        <w:ind w:left="2581" w:hanging="1440"/>
      </w:pPr>
      <w:rPr>
        <w:rFonts w:hint="default"/>
      </w:rPr>
    </w:lvl>
    <w:lvl w:ilvl="7">
      <w:start w:val="1"/>
      <w:numFmt w:val="decimal"/>
      <w:isLgl/>
      <w:lvlText w:val="%1.%2.%3.%4.%5.%6.%7.%8"/>
      <w:lvlJc w:val="left"/>
      <w:pPr>
        <w:ind w:left="2724" w:hanging="1440"/>
      </w:pPr>
      <w:rPr>
        <w:rFonts w:hint="default"/>
      </w:rPr>
    </w:lvl>
    <w:lvl w:ilvl="8">
      <w:start w:val="1"/>
      <w:numFmt w:val="decimal"/>
      <w:isLgl/>
      <w:lvlText w:val="%1.%2.%3.%4.%5.%6.%7.%8.%9"/>
      <w:lvlJc w:val="left"/>
      <w:pPr>
        <w:ind w:left="2867" w:hanging="1440"/>
      </w:pPr>
      <w:rPr>
        <w:rFonts w:hint="default"/>
      </w:rPr>
    </w:lvl>
  </w:abstractNum>
  <w:abstractNum w:abstractNumId="25" w15:restartNumberingAfterBreak="0">
    <w:nsid w:val="3F544499"/>
    <w:multiLevelType w:val="multilevel"/>
    <w:tmpl w:val="AED0E9B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3FB414E4"/>
    <w:multiLevelType w:val="hybridMultilevel"/>
    <w:tmpl w:val="63201FA4"/>
    <w:lvl w:ilvl="0" w:tplc="5D142E0C">
      <w:start w:val="1"/>
      <w:numFmt w:val="decimal"/>
      <w:lvlText w:val="%1."/>
      <w:lvlJc w:val="left"/>
      <w:pPr>
        <w:ind w:left="2062" w:hanging="360"/>
      </w:pPr>
      <w:rPr>
        <w:rFonts w:asciiTheme="minorHAnsi" w:eastAsiaTheme="minorEastAsia" w:hAnsiTheme="minorHAnsi" w:cstheme="minorBidi"/>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27" w15:restartNumberingAfterBreak="0">
    <w:nsid w:val="40873223"/>
    <w:multiLevelType w:val="multilevel"/>
    <w:tmpl w:val="6C767A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6F6424"/>
    <w:multiLevelType w:val="multilevel"/>
    <w:tmpl w:val="2702E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DB1355"/>
    <w:multiLevelType w:val="multilevel"/>
    <w:tmpl w:val="A9C6BF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79289B"/>
    <w:multiLevelType w:val="hybridMultilevel"/>
    <w:tmpl w:val="05502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1D6FD5"/>
    <w:multiLevelType w:val="hybridMultilevel"/>
    <w:tmpl w:val="FD8457E4"/>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C6913DC"/>
    <w:multiLevelType w:val="multilevel"/>
    <w:tmpl w:val="468CEA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422CE2"/>
    <w:multiLevelType w:val="multilevel"/>
    <w:tmpl w:val="103E55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FF328C"/>
    <w:multiLevelType w:val="multilevel"/>
    <w:tmpl w:val="B442FA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0297AEC"/>
    <w:multiLevelType w:val="multilevel"/>
    <w:tmpl w:val="265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202A64"/>
    <w:multiLevelType w:val="hybridMultilevel"/>
    <w:tmpl w:val="A952221C"/>
    <w:lvl w:ilvl="0" w:tplc="EBFE2D8C">
      <w:start w:val="1"/>
      <w:numFmt w:val="decimal"/>
      <w:lvlText w:val="%1."/>
      <w:lvlJc w:val="left"/>
      <w:pPr>
        <w:ind w:left="643" w:hanging="360"/>
      </w:pPr>
      <w:rPr>
        <w:rFonts w:asciiTheme="minorHAnsi" w:eastAsiaTheme="minorEastAsia" w:hAnsiTheme="minorHAnsi" w:cstheme="minorBidi"/>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7" w15:restartNumberingAfterBreak="0">
    <w:nsid w:val="569130C1"/>
    <w:multiLevelType w:val="hybridMultilevel"/>
    <w:tmpl w:val="C8085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E7352B"/>
    <w:multiLevelType w:val="multilevel"/>
    <w:tmpl w:val="EBBC4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62448A"/>
    <w:multiLevelType w:val="multilevel"/>
    <w:tmpl w:val="4204E0B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C07DF2"/>
    <w:multiLevelType w:val="multilevel"/>
    <w:tmpl w:val="F588F4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112E51"/>
    <w:multiLevelType w:val="multilevel"/>
    <w:tmpl w:val="4C64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D26674"/>
    <w:multiLevelType w:val="hybridMultilevel"/>
    <w:tmpl w:val="F2A8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721006"/>
    <w:multiLevelType w:val="multilevel"/>
    <w:tmpl w:val="C368E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3723D6"/>
    <w:multiLevelType w:val="multilevel"/>
    <w:tmpl w:val="FB6850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33091B"/>
    <w:multiLevelType w:val="multilevel"/>
    <w:tmpl w:val="20CA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A204CF"/>
    <w:multiLevelType w:val="multilevel"/>
    <w:tmpl w:val="514080EE"/>
    <w:lvl w:ilvl="0">
      <w:start w:val="1"/>
      <w:numFmt w:val="decimal"/>
      <w:lvlText w:val="%1."/>
      <w:lvlJc w:val="left"/>
      <w:pPr>
        <w:ind w:left="643" w:hanging="360"/>
      </w:pPr>
    </w:lvl>
    <w:lvl w:ilvl="1">
      <w:start w:val="1"/>
      <w:numFmt w:val="decimal"/>
      <w:isLgl/>
      <w:lvlText w:val="%1.%2"/>
      <w:lvlJc w:val="left"/>
      <w:pPr>
        <w:ind w:left="786" w:hanging="360"/>
      </w:pPr>
      <w:rPr>
        <w:rFonts w:hint="default"/>
        <w:b/>
        <w:bCs/>
      </w:rPr>
    </w:lvl>
    <w:lvl w:ilvl="2">
      <w:start w:val="1"/>
      <w:numFmt w:val="decimal"/>
      <w:isLgl/>
      <w:lvlText w:val="%1.%2.%3"/>
      <w:lvlJc w:val="left"/>
      <w:pPr>
        <w:ind w:left="1289" w:hanging="720"/>
      </w:pPr>
      <w:rPr>
        <w:rFonts w:hint="default"/>
      </w:rPr>
    </w:lvl>
    <w:lvl w:ilvl="3">
      <w:start w:val="1"/>
      <w:numFmt w:val="decimal"/>
      <w:isLgl/>
      <w:lvlText w:val="%1.%2.%3.%4"/>
      <w:lvlJc w:val="left"/>
      <w:pPr>
        <w:ind w:left="1432" w:hanging="720"/>
      </w:pPr>
      <w:rPr>
        <w:rFonts w:hint="default"/>
      </w:rPr>
    </w:lvl>
    <w:lvl w:ilvl="4">
      <w:start w:val="1"/>
      <w:numFmt w:val="decimal"/>
      <w:isLgl/>
      <w:lvlText w:val="%1.%2.%3.%4.%5"/>
      <w:lvlJc w:val="left"/>
      <w:pPr>
        <w:ind w:left="1935" w:hanging="1080"/>
      </w:pPr>
      <w:rPr>
        <w:rFonts w:hint="default"/>
      </w:rPr>
    </w:lvl>
    <w:lvl w:ilvl="5">
      <w:start w:val="1"/>
      <w:numFmt w:val="decimal"/>
      <w:isLgl/>
      <w:lvlText w:val="%1.%2.%3.%4.%5.%6"/>
      <w:lvlJc w:val="left"/>
      <w:pPr>
        <w:ind w:left="2078" w:hanging="1080"/>
      </w:pPr>
      <w:rPr>
        <w:rFonts w:hint="default"/>
      </w:rPr>
    </w:lvl>
    <w:lvl w:ilvl="6">
      <w:start w:val="1"/>
      <w:numFmt w:val="decimal"/>
      <w:isLgl/>
      <w:lvlText w:val="%1.%2.%3.%4.%5.%6.%7"/>
      <w:lvlJc w:val="left"/>
      <w:pPr>
        <w:ind w:left="2581" w:hanging="1440"/>
      </w:pPr>
      <w:rPr>
        <w:rFonts w:hint="default"/>
      </w:rPr>
    </w:lvl>
    <w:lvl w:ilvl="7">
      <w:start w:val="1"/>
      <w:numFmt w:val="decimal"/>
      <w:isLgl/>
      <w:lvlText w:val="%1.%2.%3.%4.%5.%6.%7.%8"/>
      <w:lvlJc w:val="left"/>
      <w:pPr>
        <w:ind w:left="2724" w:hanging="1440"/>
      </w:pPr>
      <w:rPr>
        <w:rFonts w:hint="default"/>
      </w:rPr>
    </w:lvl>
    <w:lvl w:ilvl="8">
      <w:start w:val="1"/>
      <w:numFmt w:val="decimal"/>
      <w:isLgl/>
      <w:lvlText w:val="%1.%2.%3.%4.%5.%6.%7.%8.%9"/>
      <w:lvlJc w:val="left"/>
      <w:pPr>
        <w:ind w:left="2867" w:hanging="1440"/>
      </w:pPr>
      <w:rPr>
        <w:rFonts w:hint="default"/>
      </w:rPr>
    </w:lvl>
  </w:abstractNum>
  <w:abstractNum w:abstractNumId="47" w15:restartNumberingAfterBreak="0">
    <w:nsid w:val="6CBE1279"/>
    <w:multiLevelType w:val="multilevel"/>
    <w:tmpl w:val="C7127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F168F0"/>
    <w:multiLevelType w:val="multilevel"/>
    <w:tmpl w:val="111A5F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45"/>
  </w:num>
  <w:num w:numId="4">
    <w:abstractNumId w:val="43"/>
  </w:num>
  <w:num w:numId="5">
    <w:abstractNumId w:val="10"/>
  </w:num>
  <w:num w:numId="6">
    <w:abstractNumId w:val="35"/>
  </w:num>
  <w:num w:numId="7">
    <w:abstractNumId w:val="9"/>
  </w:num>
  <w:num w:numId="8">
    <w:abstractNumId w:val="12"/>
  </w:num>
  <w:num w:numId="9">
    <w:abstractNumId w:val="23"/>
  </w:num>
  <w:num w:numId="10">
    <w:abstractNumId w:val="39"/>
  </w:num>
  <w:num w:numId="11">
    <w:abstractNumId w:val="32"/>
  </w:num>
  <w:num w:numId="12">
    <w:abstractNumId w:val="28"/>
  </w:num>
  <w:num w:numId="13">
    <w:abstractNumId w:val="0"/>
  </w:num>
  <w:num w:numId="14">
    <w:abstractNumId w:val="1"/>
  </w:num>
  <w:num w:numId="15">
    <w:abstractNumId w:val="46"/>
  </w:num>
  <w:num w:numId="16">
    <w:abstractNumId w:val="3"/>
  </w:num>
  <w:num w:numId="17">
    <w:abstractNumId w:val="31"/>
  </w:num>
  <w:num w:numId="18">
    <w:abstractNumId w:val="20"/>
  </w:num>
  <w:num w:numId="19">
    <w:abstractNumId w:val="21"/>
  </w:num>
  <w:num w:numId="20">
    <w:abstractNumId w:val="38"/>
  </w:num>
  <w:num w:numId="21">
    <w:abstractNumId w:val="33"/>
  </w:num>
  <w:num w:numId="22">
    <w:abstractNumId w:val="2"/>
  </w:num>
  <w:num w:numId="23">
    <w:abstractNumId w:val="16"/>
  </w:num>
  <w:num w:numId="24">
    <w:abstractNumId w:val="5"/>
  </w:num>
  <w:num w:numId="25">
    <w:abstractNumId w:val="6"/>
  </w:num>
  <w:num w:numId="26">
    <w:abstractNumId w:val="47"/>
  </w:num>
  <w:num w:numId="27">
    <w:abstractNumId w:val="27"/>
  </w:num>
  <w:num w:numId="28">
    <w:abstractNumId w:val="41"/>
  </w:num>
  <w:num w:numId="29">
    <w:abstractNumId w:val="34"/>
  </w:num>
  <w:num w:numId="30">
    <w:abstractNumId w:val="25"/>
  </w:num>
  <w:num w:numId="31">
    <w:abstractNumId w:val="13"/>
  </w:num>
  <w:num w:numId="32">
    <w:abstractNumId w:val="18"/>
  </w:num>
  <w:num w:numId="33">
    <w:abstractNumId w:val="7"/>
  </w:num>
  <w:num w:numId="34">
    <w:abstractNumId w:val="17"/>
  </w:num>
  <w:num w:numId="35">
    <w:abstractNumId w:val="48"/>
  </w:num>
  <w:num w:numId="36">
    <w:abstractNumId w:val="8"/>
  </w:num>
  <w:num w:numId="37">
    <w:abstractNumId w:val="44"/>
  </w:num>
  <w:num w:numId="38">
    <w:abstractNumId w:val="22"/>
  </w:num>
  <w:num w:numId="39">
    <w:abstractNumId w:val="29"/>
  </w:num>
  <w:num w:numId="40">
    <w:abstractNumId w:val="19"/>
  </w:num>
  <w:num w:numId="41">
    <w:abstractNumId w:val="40"/>
  </w:num>
  <w:num w:numId="42">
    <w:abstractNumId w:val="14"/>
  </w:num>
  <w:num w:numId="43">
    <w:abstractNumId w:val="36"/>
  </w:num>
  <w:num w:numId="44">
    <w:abstractNumId w:val="26"/>
  </w:num>
  <w:num w:numId="45">
    <w:abstractNumId w:val="42"/>
  </w:num>
  <w:num w:numId="46">
    <w:abstractNumId w:val="30"/>
  </w:num>
  <w:num w:numId="47">
    <w:abstractNumId w:val="37"/>
  </w:num>
  <w:num w:numId="48">
    <w:abstractNumId w:val="11"/>
  </w:num>
  <w:num w:numId="49">
    <w:abstractNumId w:val="2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08EF"/>
    <w:rsid w:val="000173F9"/>
    <w:rsid w:val="00021E78"/>
    <w:rsid w:val="000412A0"/>
    <w:rsid w:val="00047DDA"/>
    <w:rsid w:val="00052E54"/>
    <w:rsid w:val="0005455A"/>
    <w:rsid w:val="00071F07"/>
    <w:rsid w:val="0007759D"/>
    <w:rsid w:val="000777AB"/>
    <w:rsid w:val="00077F46"/>
    <w:rsid w:val="00090FB1"/>
    <w:rsid w:val="00096186"/>
    <w:rsid w:val="000A72E4"/>
    <w:rsid w:val="000B0E2F"/>
    <w:rsid w:val="000B2430"/>
    <w:rsid w:val="000B31FA"/>
    <w:rsid w:val="000D0B30"/>
    <w:rsid w:val="000E21F1"/>
    <w:rsid w:val="000F703E"/>
    <w:rsid w:val="00120E86"/>
    <w:rsid w:val="00125DE9"/>
    <w:rsid w:val="001332E0"/>
    <w:rsid w:val="00133F96"/>
    <w:rsid w:val="00134DE7"/>
    <w:rsid w:val="00185354"/>
    <w:rsid w:val="001854DC"/>
    <w:rsid w:val="00186795"/>
    <w:rsid w:val="00194D09"/>
    <w:rsid w:val="001A7D5C"/>
    <w:rsid w:val="001B60AA"/>
    <w:rsid w:val="001B63C8"/>
    <w:rsid w:val="001C1972"/>
    <w:rsid w:val="001C421F"/>
    <w:rsid w:val="001D360D"/>
    <w:rsid w:val="00244AC9"/>
    <w:rsid w:val="00261A8D"/>
    <w:rsid w:val="00273CFA"/>
    <w:rsid w:val="00283C1C"/>
    <w:rsid w:val="00291A00"/>
    <w:rsid w:val="00291A11"/>
    <w:rsid w:val="002A315C"/>
    <w:rsid w:val="002A3342"/>
    <w:rsid w:val="002A64BA"/>
    <w:rsid w:val="002B4989"/>
    <w:rsid w:val="002C2510"/>
    <w:rsid w:val="002D714E"/>
    <w:rsid w:val="002E53C3"/>
    <w:rsid w:val="002F1468"/>
    <w:rsid w:val="002F5F0C"/>
    <w:rsid w:val="002F66E3"/>
    <w:rsid w:val="003265EB"/>
    <w:rsid w:val="0034329E"/>
    <w:rsid w:val="00343FAA"/>
    <w:rsid w:val="00347F5E"/>
    <w:rsid w:val="00353C98"/>
    <w:rsid w:val="00371A20"/>
    <w:rsid w:val="003821B4"/>
    <w:rsid w:val="00382CF3"/>
    <w:rsid w:val="00387D52"/>
    <w:rsid w:val="00397ADD"/>
    <w:rsid w:val="003A36B3"/>
    <w:rsid w:val="003A7CEA"/>
    <w:rsid w:val="003B6F65"/>
    <w:rsid w:val="003F0BD3"/>
    <w:rsid w:val="003F278A"/>
    <w:rsid w:val="003F7A02"/>
    <w:rsid w:val="00422EA5"/>
    <w:rsid w:val="00422EFA"/>
    <w:rsid w:val="0042791F"/>
    <w:rsid w:val="004456ED"/>
    <w:rsid w:val="0048045A"/>
    <w:rsid w:val="004841B8"/>
    <w:rsid w:val="00486970"/>
    <w:rsid w:val="004930F2"/>
    <w:rsid w:val="004B0F1C"/>
    <w:rsid w:val="004D1906"/>
    <w:rsid w:val="004F2EE6"/>
    <w:rsid w:val="005012B9"/>
    <w:rsid w:val="00502DBA"/>
    <w:rsid w:val="005040C4"/>
    <w:rsid w:val="00507637"/>
    <w:rsid w:val="00507852"/>
    <w:rsid w:val="00514DBF"/>
    <w:rsid w:val="00550921"/>
    <w:rsid w:val="00563712"/>
    <w:rsid w:val="00564F67"/>
    <w:rsid w:val="00573631"/>
    <w:rsid w:val="00573C0B"/>
    <w:rsid w:val="005768D7"/>
    <w:rsid w:val="00576CFA"/>
    <w:rsid w:val="0058556D"/>
    <w:rsid w:val="00592AF2"/>
    <w:rsid w:val="005947AD"/>
    <w:rsid w:val="00597748"/>
    <w:rsid w:val="005979E8"/>
    <w:rsid w:val="005B2719"/>
    <w:rsid w:val="005D0AF4"/>
    <w:rsid w:val="005E54BD"/>
    <w:rsid w:val="005F6CCA"/>
    <w:rsid w:val="006104AF"/>
    <w:rsid w:val="00611362"/>
    <w:rsid w:val="00621893"/>
    <w:rsid w:val="006351E1"/>
    <w:rsid w:val="006447B1"/>
    <w:rsid w:val="00662775"/>
    <w:rsid w:val="006852FC"/>
    <w:rsid w:val="00694499"/>
    <w:rsid w:val="006B40AB"/>
    <w:rsid w:val="006B5DC5"/>
    <w:rsid w:val="006C4BFD"/>
    <w:rsid w:val="006C7D30"/>
    <w:rsid w:val="006D207C"/>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443FF"/>
    <w:rsid w:val="009A7E3A"/>
    <w:rsid w:val="009B1265"/>
    <w:rsid w:val="009B4A15"/>
    <w:rsid w:val="009B5693"/>
    <w:rsid w:val="009C61A2"/>
    <w:rsid w:val="009C78E4"/>
    <w:rsid w:val="009D687E"/>
    <w:rsid w:val="009F6DE7"/>
    <w:rsid w:val="00A10583"/>
    <w:rsid w:val="00A37FCB"/>
    <w:rsid w:val="00A54863"/>
    <w:rsid w:val="00A61D74"/>
    <w:rsid w:val="00A76005"/>
    <w:rsid w:val="00A8688B"/>
    <w:rsid w:val="00A91163"/>
    <w:rsid w:val="00A9286F"/>
    <w:rsid w:val="00A96255"/>
    <w:rsid w:val="00AB21FA"/>
    <w:rsid w:val="00AB285B"/>
    <w:rsid w:val="00AC1F56"/>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84B96"/>
    <w:rsid w:val="00BB646E"/>
    <w:rsid w:val="00BD0A68"/>
    <w:rsid w:val="00BD1BA1"/>
    <w:rsid w:val="00C019E5"/>
    <w:rsid w:val="00C35BC4"/>
    <w:rsid w:val="00C43F5B"/>
    <w:rsid w:val="00C94B20"/>
    <w:rsid w:val="00CB4371"/>
    <w:rsid w:val="00CC516D"/>
    <w:rsid w:val="00D24330"/>
    <w:rsid w:val="00D40056"/>
    <w:rsid w:val="00D51E7C"/>
    <w:rsid w:val="00D54F29"/>
    <w:rsid w:val="00D645CD"/>
    <w:rsid w:val="00D7020C"/>
    <w:rsid w:val="00D70AD9"/>
    <w:rsid w:val="00D72152"/>
    <w:rsid w:val="00D942BA"/>
    <w:rsid w:val="00D94BA5"/>
    <w:rsid w:val="00D9510F"/>
    <w:rsid w:val="00D95579"/>
    <w:rsid w:val="00DA615C"/>
    <w:rsid w:val="00DD1BC6"/>
    <w:rsid w:val="00DD5DE9"/>
    <w:rsid w:val="00DE5DC3"/>
    <w:rsid w:val="00E00D8A"/>
    <w:rsid w:val="00E1050F"/>
    <w:rsid w:val="00E11604"/>
    <w:rsid w:val="00E11D92"/>
    <w:rsid w:val="00E130A0"/>
    <w:rsid w:val="00E210C4"/>
    <w:rsid w:val="00E23DB7"/>
    <w:rsid w:val="00E31F2F"/>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377DC"/>
    <w:rsid w:val="00F4130B"/>
    <w:rsid w:val="00F54A6C"/>
    <w:rsid w:val="00F556A2"/>
    <w:rsid w:val="00F70A66"/>
    <w:rsid w:val="00F719A8"/>
    <w:rsid w:val="00F878B9"/>
    <w:rsid w:val="00FA714A"/>
    <w:rsid w:val="00FB24E8"/>
    <w:rsid w:val="00FB3B2B"/>
    <w:rsid w:val="00FC18DA"/>
    <w:rsid w:val="00FC3917"/>
    <w:rsid w:val="00FD60DA"/>
    <w:rsid w:val="00FF07B4"/>
    <w:rsid w:val="01FE9CB3"/>
    <w:rsid w:val="031B9AC8"/>
    <w:rsid w:val="25316EE1"/>
    <w:rsid w:val="39DF3A99"/>
    <w:rsid w:val="75C3850F"/>
    <w:rsid w:val="7CCDD3C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F70A66"/>
  </w:style>
  <w:style w:type="character" w:customStyle="1" w:styleId="eop">
    <w:name w:val="eop"/>
    <w:basedOn w:val="DefaultParagraphFont"/>
    <w:rsid w:val="00F70A66"/>
  </w:style>
  <w:style w:type="paragraph" w:customStyle="1" w:styleId="paragraph">
    <w:name w:val="paragraph"/>
    <w:basedOn w:val="Normal"/>
    <w:rsid w:val="00F70A6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uperscript">
    <w:name w:val="superscript"/>
    <w:basedOn w:val="DefaultParagraphFont"/>
    <w:rsid w:val="00F70A66"/>
  </w:style>
  <w:style w:type="paragraph" w:styleId="FootnoteText">
    <w:name w:val="footnote text"/>
    <w:basedOn w:val="Normal"/>
    <w:link w:val="FootnoteTextChar"/>
    <w:uiPriority w:val="99"/>
    <w:unhideWhenUsed/>
    <w:rsid w:val="00F70A66"/>
    <w:pPr>
      <w:spacing w:after="0" w:line="240" w:lineRule="auto"/>
    </w:pPr>
    <w:rPr>
      <w:sz w:val="20"/>
      <w:szCs w:val="20"/>
    </w:rPr>
  </w:style>
  <w:style w:type="character" w:customStyle="1" w:styleId="FootnoteTextChar">
    <w:name w:val="Footnote Text Char"/>
    <w:basedOn w:val="DefaultParagraphFont"/>
    <w:link w:val="FootnoteText"/>
    <w:uiPriority w:val="99"/>
    <w:rsid w:val="00F70A66"/>
    <w:rPr>
      <w:sz w:val="20"/>
      <w:szCs w:val="20"/>
    </w:rPr>
  </w:style>
  <w:style w:type="character" w:styleId="FootnoteReference">
    <w:name w:val="footnote reference"/>
    <w:basedOn w:val="DefaultParagraphFont"/>
    <w:uiPriority w:val="99"/>
    <w:unhideWhenUsed/>
    <w:rsid w:val="00F70A66"/>
    <w:rPr>
      <w:vertAlign w:val="superscript"/>
    </w:rPr>
  </w:style>
  <w:style w:type="numbering" w:customStyle="1" w:styleId="NoList1">
    <w:name w:val="No List1"/>
    <w:next w:val="NoList"/>
    <w:uiPriority w:val="99"/>
    <w:semiHidden/>
    <w:unhideWhenUsed/>
    <w:rsid w:val="009443FF"/>
  </w:style>
  <w:style w:type="table" w:customStyle="1" w:styleId="TableGrid1">
    <w:name w:val="Table Grid1"/>
    <w:basedOn w:val="TableNormal"/>
    <w:next w:val="TableGrid"/>
    <w:uiPriority w:val="59"/>
    <w:rsid w:val="00944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43FF"/>
    <w:rPr>
      <w:color w:val="800080" w:themeColor="followedHyperlink"/>
      <w:u w:val="single"/>
    </w:rPr>
  </w:style>
  <w:style w:type="paragraph" w:styleId="TOCHeading">
    <w:name w:val="TOC Heading"/>
    <w:basedOn w:val="Heading1"/>
    <w:next w:val="Normal"/>
    <w:uiPriority w:val="39"/>
    <w:semiHidden/>
    <w:unhideWhenUsed/>
    <w:qFormat/>
    <w:rsid w:val="009443FF"/>
    <w:pPr>
      <w:spacing w:line="276" w:lineRule="auto"/>
      <w:jc w:val="left"/>
      <w:outlineLvl w:val="9"/>
    </w:pPr>
    <w:rPr>
      <w:lang w:val="en-US" w:eastAsia="ja-JP"/>
    </w:rPr>
  </w:style>
  <w:style w:type="paragraph" w:styleId="TOC3">
    <w:name w:val="toc 3"/>
    <w:basedOn w:val="Normal"/>
    <w:next w:val="Normal"/>
    <w:autoRedefine/>
    <w:uiPriority w:val="39"/>
    <w:unhideWhenUsed/>
    <w:rsid w:val="009443FF"/>
    <w:pPr>
      <w:spacing w:after="100"/>
      <w:ind w:left="440"/>
    </w:pPr>
  </w:style>
  <w:style w:type="paragraph" w:styleId="TOC2">
    <w:name w:val="toc 2"/>
    <w:basedOn w:val="Normal"/>
    <w:next w:val="Normal"/>
    <w:autoRedefine/>
    <w:uiPriority w:val="39"/>
    <w:unhideWhenUsed/>
    <w:rsid w:val="009443FF"/>
    <w:pPr>
      <w:spacing w:after="100"/>
      <w:ind w:left="220"/>
    </w:pPr>
  </w:style>
  <w:style w:type="character" w:customStyle="1" w:styleId="Hyperlink1">
    <w:name w:val="Hyperlink1"/>
    <w:basedOn w:val="DefaultParagraphFont"/>
    <w:uiPriority w:val="99"/>
    <w:unhideWhenUsed/>
    <w:rsid w:val="009443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9151">
      <w:bodyDiv w:val="1"/>
      <w:marLeft w:val="0"/>
      <w:marRight w:val="0"/>
      <w:marTop w:val="0"/>
      <w:marBottom w:val="0"/>
      <w:divBdr>
        <w:top w:val="none" w:sz="0" w:space="0" w:color="auto"/>
        <w:left w:val="none" w:sz="0" w:space="0" w:color="auto"/>
        <w:bottom w:val="none" w:sz="0" w:space="0" w:color="auto"/>
        <w:right w:val="none" w:sz="0" w:space="0" w:color="auto"/>
      </w:divBdr>
      <w:divsChild>
        <w:div w:id="1874492639">
          <w:marLeft w:val="0"/>
          <w:marRight w:val="0"/>
          <w:marTop w:val="0"/>
          <w:marBottom w:val="0"/>
          <w:divBdr>
            <w:top w:val="none" w:sz="0" w:space="0" w:color="auto"/>
            <w:left w:val="none" w:sz="0" w:space="0" w:color="auto"/>
            <w:bottom w:val="none" w:sz="0" w:space="0" w:color="auto"/>
            <w:right w:val="none" w:sz="0" w:space="0" w:color="auto"/>
          </w:divBdr>
        </w:div>
        <w:div w:id="720328154">
          <w:marLeft w:val="0"/>
          <w:marRight w:val="0"/>
          <w:marTop w:val="0"/>
          <w:marBottom w:val="0"/>
          <w:divBdr>
            <w:top w:val="none" w:sz="0" w:space="0" w:color="auto"/>
            <w:left w:val="none" w:sz="0" w:space="0" w:color="auto"/>
            <w:bottom w:val="none" w:sz="0" w:space="0" w:color="auto"/>
            <w:right w:val="none" w:sz="0" w:space="0" w:color="auto"/>
          </w:divBdr>
        </w:div>
        <w:div w:id="644698144">
          <w:marLeft w:val="0"/>
          <w:marRight w:val="0"/>
          <w:marTop w:val="0"/>
          <w:marBottom w:val="0"/>
          <w:divBdr>
            <w:top w:val="none" w:sz="0" w:space="0" w:color="auto"/>
            <w:left w:val="none" w:sz="0" w:space="0" w:color="auto"/>
            <w:bottom w:val="none" w:sz="0" w:space="0" w:color="auto"/>
            <w:right w:val="none" w:sz="0" w:space="0" w:color="auto"/>
          </w:divBdr>
          <w:divsChild>
            <w:div w:id="595600592">
              <w:marLeft w:val="0"/>
              <w:marRight w:val="0"/>
              <w:marTop w:val="0"/>
              <w:marBottom w:val="0"/>
              <w:divBdr>
                <w:top w:val="none" w:sz="0" w:space="0" w:color="auto"/>
                <w:left w:val="none" w:sz="0" w:space="0" w:color="auto"/>
                <w:bottom w:val="none" w:sz="0" w:space="0" w:color="auto"/>
                <w:right w:val="none" w:sz="0" w:space="0" w:color="auto"/>
              </w:divBdr>
            </w:div>
            <w:div w:id="1414623672">
              <w:marLeft w:val="0"/>
              <w:marRight w:val="0"/>
              <w:marTop w:val="0"/>
              <w:marBottom w:val="0"/>
              <w:divBdr>
                <w:top w:val="none" w:sz="0" w:space="0" w:color="auto"/>
                <w:left w:val="none" w:sz="0" w:space="0" w:color="auto"/>
                <w:bottom w:val="none" w:sz="0" w:space="0" w:color="auto"/>
                <w:right w:val="none" w:sz="0" w:space="0" w:color="auto"/>
              </w:divBdr>
            </w:div>
            <w:div w:id="1095437762">
              <w:marLeft w:val="0"/>
              <w:marRight w:val="0"/>
              <w:marTop w:val="0"/>
              <w:marBottom w:val="0"/>
              <w:divBdr>
                <w:top w:val="none" w:sz="0" w:space="0" w:color="auto"/>
                <w:left w:val="none" w:sz="0" w:space="0" w:color="auto"/>
                <w:bottom w:val="none" w:sz="0" w:space="0" w:color="auto"/>
                <w:right w:val="none" w:sz="0" w:space="0" w:color="auto"/>
              </w:divBdr>
            </w:div>
            <w:div w:id="1371033422">
              <w:marLeft w:val="0"/>
              <w:marRight w:val="0"/>
              <w:marTop w:val="0"/>
              <w:marBottom w:val="0"/>
              <w:divBdr>
                <w:top w:val="none" w:sz="0" w:space="0" w:color="auto"/>
                <w:left w:val="none" w:sz="0" w:space="0" w:color="auto"/>
                <w:bottom w:val="none" w:sz="0" w:space="0" w:color="auto"/>
                <w:right w:val="none" w:sz="0" w:space="0" w:color="auto"/>
              </w:divBdr>
            </w:div>
            <w:div w:id="1282883052">
              <w:marLeft w:val="0"/>
              <w:marRight w:val="0"/>
              <w:marTop w:val="0"/>
              <w:marBottom w:val="0"/>
              <w:divBdr>
                <w:top w:val="none" w:sz="0" w:space="0" w:color="auto"/>
                <w:left w:val="none" w:sz="0" w:space="0" w:color="auto"/>
                <w:bottom w:val="none" w:sz="0" w:space="0" w:color="auto"/>
                <w:right w:val="none" w:sz="0" w:space="0" w:color="auto"/>
              </w:divBdr>
            </w:div>
          </w:divsChild>
        </w:div>
        <w:div w:id="1901355613">
          <w:marLeft w:val="0"/>
          <w:marRight w:val="0"/>
          <w:marTop w:val="0"/>
          <w:marBottom w:val="0"/>
          <w:divBdr>
            <w:top w:val="none" w:sz="0" w:space="0" w:color="auto"/>
            <w:left w:val="none" w:sz="0" w:space="0" w:color="auto"/>
            <w:bottom w:val="none" w:sz="0" w:space="0" w:color="auto"/>
            <w:right w:val="none" w:sz="0" w:space="0" w:color="auto"/>
          </w:divBdr>
          <w:divsChild>
            <w:div w:id="1157765428">
              <w:marLeft w:val="0"/>
              <w:marRight w:val="0"/>
              <w:marTop w:val="0"/>
              <w:marBottom w:val="0"/>
              <w:divBdr>
                <w:top w:val="none" w:sz="0" w:space="0" w:color="auto"/>
                <w:left w:val="none" w:sz="0" w:space="0" w:color="auto"/>
                <w:bottom w:val="none" w:sz="0" w:space="0" w:color="auto"/>
                <w:right w:val="none" w:sz="0" w:space="0" w:color="auto"/>
              </w:divBdr>
            </w:div>
          </w:divsChild>
        </w:div>
        <w:div w:id="1750805731">
          <w:marLeft w:val="0"/>
          <w:marRight w:val="0"/>
          <w:marTop w:val="0"/>
          <w:marBottom w:val="0"/>
          <w:divBdr>
            <w:top w:val="none" w:sz="0" w:space="0" w:color="auto"/>
            <w:left w:val="none" w:sz="0" w:space="0" w:color="auto"/>
            <w:bottom w:val="none" w:sz="0" w:space="0" w:color="auto"/>
            <w:right w:val="none" w:sz="0" w:space="0" w:color="auto"/>
          </w:divBdr>
          <w:divsChild>
            <w:div w:id="1205211601">
              <w:marLeft w:val="0"/>
              <w:marRight w:val="0"/>
              <w:marTop w:val="0"/>
              <w:marBottom w:val="0"/>
              <w:divBdr>
                <w:top w:val="none" w:sz="0" w:space="0" w:color="auto"/>
                <w:left w:val="none" w:sz="0" w:space="0" w:color="auto"/>
                <w:bottom w:val="none" w:sz="0" w:space="0" w:color="auto"/>
                <w:right w:val="none" w:sz="0" w:space="0" w:color="auto"/>
              </w:divBdr>
            </w:div>
            <w:div w:id="40982009">
              <w:marLeft w:val="0"/>
              <w:marRight w:val="0"/>
              <w:marTop w:val="0"/>
              <w:marBottom w:val="0"/>
              <w:divBdr>
                <w:top w:val="none" w:sz="0" w:space="0" w:color="auto"/>
                <w:left w:val="none" w:sz="0" w:space="0" w:color="auto"/>
                <w:bottom w:val="none" w:sz="0" w:space="0" w:color="auto"/>
                <w:right w:val="none" w:sz="0" w:space="0" w:color="auto"/>
              </w:divBdr>
            </w:div>
            <w:div w:id="421069513">
              <w:marLeft w:val="0"/>
              <w:marRight w:val="0"/>
              <w:marTop w:val="0"/>
              <w:marBottom w:val="0"/>
              <w:divBdr>
                <w:top w:val="none" w:sz="0" w:space="0" w:color="auto"/>
                <w:left w:val="none" w:sz="0" w:space="0" w:color="auto"/>
                <w:bottom w:val="none" w:sz="0" w:space="0" w:color="auto"/>
                <w:right w:val="none" w:sz="0" w:space="0" w:color="auto"/>
              </w:divBdr>
            </w:div>
            <w:div w:id="1307972928">
              <w:marLeft w:val="0"/>
              <w:marRight w:val="0"/>
              <w:marTop w:val="0"/>
              <w:marBottom w:val="0"/>
              <w:divBdr>
                <w:top w:val="none" w:sz="0" w:space="0" w:color="auto"/>
                <w:left w:val="none" w:sz="0" w:space="0" w:color="auto"/>
                <w:bottom w:val="none" w:sz="0" w:space="0" w:color="auto"/>
                <w:right w:val="none" w:sz="0" w:space="0" w:color="auto"/>
              </w:divBdr>
            </w:div>
            <w:div w:id="638339607">
              <w:marLeft w:val="0"/>
              <w:marRight w:val="0"/>
              <w:marTop w:val="0"/>
              <w:marBottom w:val="0"/>
              <w:divBdr>
                <w:top w:val="none" w:sz="0" w:space="0" w:color="auto"/>
                <w:left w:val="none" w:sz="0" w:space="0" w:color="auto"/>
                <w:bottom w:val="none" w:sz="0" w:space="0" w:color="auto"/>
                <w:right w:val="none" w:sz="0" w:space="0" w:color="auto"/>
              </w:divBdr>
            </w:div>
          </w:divsChild>
        </w:div>
        <w:div w:id="311763570">
          <w:marLeft w:val="0"/>
          <w:marRight w:val="0"/>
          <w:marTop w:val="0"/>
          <w:marBottom w:val="0"/>
          <w:divBdr>
            <w:top w:val="none" w:sz="0" w:space="0" w:color="auto"/>
            <w:left w:val="none" w:sz="0" w:space="0" w:color="auto"/>
            <w:bottom w:val="none" w:sz="0" w:space="0" w:color="auto"/>
            <w:right w:val="none" w:sz="0" w:space="0" w:color="auto"/>
          </w:divBdr>
          <w:divsChild>
            <w:div w:id="688067114">
              <w:marLeft w:val="0"/>
              <w:marRight w:val="0"/>
              <w:marTop w:val="0"/>
              <w:marBottom w:val="0"/>
              <w:divBdr>
                <w:top w:val="none" w:sz="0" w:space="0" w:color="auto"/>
                <w:left w:val="none" w:sz="0" w:space="0" w:color="auto"/>
                <w:bottom w:val="none" w:sz="0" w:space="0" w:color="auto"/>
                <w:right w:val="none" w:sz="0" w:space="0" w:color="auto"/>
              </w:divBdr>
            </w:div>
            <w:div w:id="245774015">
              <w:marLeft w:val="0"/>
              <w:marRight w:val="0"/>
              <w:marTop w:val="0"/>
              <w:marBottom w:val="0"/>
              <w:divBdr>
                <w:top w:val="none" w:sz="0" w:space="0" w:color="auto"/>
                <w:left w:val="none" w:sz="0" w:space="0" w:color="auto"/>
                <w:bottom w:val="none" w:sz="0" w:space="0" w:color="auto"/>
                <w:right w:val="none" w:sz="0" w:space="0" w:color="auto"/>
              </w:divBdr>
            </w:div>
            <w:div w:id="1120032404">
              <w:marLeft w:val="0"/>
              <w:marRight w:val="0"/>
              <w:marTop w:val="0"/>
              <w:marBottom w:val="0"/>
              <w:divBdr>
                <w:top w:val="none" w:sz="0" w:space="0" w:color="auto"/>
                <w:left w:val="none" w:sz="0" w:space="0" w:color="auto"/>
                <w:bottom w:val="none" w:sz="0" w:space="0" w:color="auto"/>
                <w:right w:val="none" w:sz="0" w:space="0" w:color="auto"/>
              </w:divBdr>
            </w:div>
            <w:div w:id="1111514090">
              <w:marLeft w:val="0"/>
              <w:marRight w:val="0"/>
              <w:marTop w:val="0"/>
              <w:marBottom w:val="0"/>
              <w:divBdr>
                <w:top w:val="none" w:sz="0" w:space="0" w:color="auto"/>
                <w:left w:val="none" w:sz="0" w:space="0" w:color="auto"/>
                <w:bottom w:val="none" w:sz="0" w:space="0" w:color="auto"/>
                <w:right w:val="none" w:sz="0" w:space="0" w:color="auto"/>
              </w:divBdr>
            </w:div>
            <w:div w:id="474878998">
              <w:marLeft w:val="0"/>
              <w:marRight w:val="0"/>
              <w:marTop w:val="0"/>
              <w:marBottom w:val="0"/>
              <w:divBdr>
                <w:top w:val="none" w:sz="0" w:space="0" w:color="auto"/>
                <w:left w:val="none" w:sz="0" w:space="0" w:color="auto"/>
                <w:bottom w:val="none" w:sz="0" w:space="0" w:color="auto"/>
                <w:right w:val="none" w:sz="0" w:space="0" w:color="auto"/>
              </w:divBdr>
            </w:div>
          </w:divsChild>
        </w:div>
        <w:div w:id="122887300">
          <w:marLeft w:val="0"/>
          <w:marRight w:val="0"/>
          <w:marTop w:val="0"/>
          <w:marBottom w:val="0"/>
          <w:divBdr>
            <w:top w:val="none" w:sz="0" w:space="0" w:color="auto"/>
            <w:left w:val="none" w:sz="0" w:space="0" w:color="auto"/>
            <w:bottom w:val="none" w:sz="0" w:space="0" w:color="auto"/>
            <w:right w:val="none" w:sz="0" w:space="0" w:color="auto"/>
          </w:divBdr>
          <w:divsChild>
            <w:div w:id="55860350">
              <w:marLeft w:val="0"/>
              <w:marRight w:val="0"/>
              <w:marTop w:val="0"/>
              <w:marBottom w:val="0"/>
              <w:divBdr>
                <w:top w:val="none" w:sz="0" w:space="0" w:color="auto"/>
                <w:left w:val="none" w:sz="0" w:space="0" w:color="auto"/>
                <w:bottom w:val="none" w:sz="0" w:space="0" w:color="auto"/>
                <w:right w:val="none" w:sz="0" w:space="0" w:color="auto"/>
              </w:divBdr>
            </w:div>
            <w:div w:id="2034112753">
              <w:marLeft w:val="0"/>
              <w:marRight w:val="0"/>
              <w:marTop w:val="0"/>
              <w:marBottom w:val="0"/>
              <w:divBdr>
                <w:top w:val="none" w:sz="0" w:space="0" w:color="auto"/>
                <w:left w:val="none" w:sz="0" w:space="0" w:color="auto"/>
                <w:bottom w:val="none" w:sz="0" w:space="0" w:color="auto"/>
                <w:right w:val="none" w:sz="0" w:space="0" w:color="auto"/>
              </w:divBdr>
            </w:div>
            <w:div w:id="150099267">
              <w:marLeft w:val="0"/>
              <w:marRight w:val="0"/>
              <w:marTop w:val="0"/>
              <w:marBottom w:val="0"/>
              <w:divBdr>
                <w:top w:val="none" w:sz="0" w:space="0" w:color="auto"/>
                <w:left w:val="none" w:sz="0" w:space="0" w:color="auto"/>
                <w:bottom w:val="none" w:sz="0" w:space="0" w:color="auto"/>
                <w:right w:val="none" w:sz="0" w:space="0" w:color="auto"/>
              </w:divBdr>
            </w:div>
            <w:div w:id="2128307410">
              <w:marLeft w:val="0"/>
              <w:marRight w:val="0"/>
              <w:marTop w:val="0"/>
              <w:marBottom w:val="0"/>
              <w:divBdr>
                <w:top w:val="none" w:sz="0" w:space="0" w:color="auto"/>
                <w:left w:val="none" w:sz="0" w:space="0" w:color="auto"/>
                <w:bottom w:val="none" w:sz="0" w:space="0" w:color="auto"/>
                <w:right w:val="none" w:sz="0" w:space="0" w:color="auto"/>
              </w:divBdr>
            </w:div>
            <w:div w:id="1684699615">
              <w:marLeft w:val="0"/>
              <w:marRight w:val="0"/>
              <w:marTop w:val="0"/>
              <w:marBottom w:val="0"/>
              <w:divBdr>
                <w:top w:val="none" w:sz="0" w:space="0" w:color="auto"/>
                <w:left w:val="none" w:sz="0" w:space="0" w:color="auto"/>
                <w:bottom w:val="none" w:sz="0" w:space="0" w:color="auto"/>
                <w:right w:val="none" w:sz="0" w:space="0" w:color="auto"/>
              </w:divBdr>
            </w:div>
          </w:divsChild>
        </w:div>
        <w:div w:id="432360287">
          <w:marLeft w:val="0"/>
          <w:marRight w:val="0"/>
          <w:marTop w:val="0"/>
          <w:marBottom w:val="0"/>
          <w:divBdr>
            <w:top w:val="none" w:sz="0" w:space="0" w:color="auto"/>
            <w:left w:val="none" w:sz="0" w:space="0" w:color="auto"/>
            <w:bottom w:val="none" w:sz="0" w:space="0" w:color="auto"/>
            <w:right w:val="none" w:sz="0" w:space="0" w:color="auto"/>
          </w:divBdr>
          <w:divsChild>
            <w:div w:id="206571590">
              <w:marLeft w:val="0"/>
              <w:marRight w:val="0"/>
              <w:marTop w:val="0"/>
              <w:marBottom w:val="0"/>
              <w:divBdr>
                <w:top w:val="none" w:sz="0" w:space="0" w:color="auto"/>
                <w:left w:val="none" w:sz="0" w:space="0" w:color="auto"/>
                <w:bottom w:val="none" w:sz="0" w:space="0" w:color="auto"/>
                <w:right w:val="none" w:sz="0" w:space="0" w:color="auto"/>
              </w:divBdr>
            </w:div>
            <w:div w:id="1860506576">
              <w:marLeft w:val="0"/>
              <w:marRight w:val="0"/>
              <w:marTop w:val="0"/>
              <w:marBottom w:val="0"/>
              <w:divBdr>
                <w:top w:val="none" w:sz="0" w:space="0" w:color="auto"/>
                <w:left w:val="none" w:sz="0" w:space="0" w:color="auto"/>
                <w:bottom w:val="none" w:sz="0" w:space="0" w:color="auto"/>
                <w:right w:val="none" w:sz="0" w:space="0" w:color="auto"/>
              </w:divBdr>
            </w:div>
            <w:div w:id="243074238">
              <w:marLeft w:val="0"/>
              <w:marRight w:val="0"/>
              <w:marTop w:val="0"/>
              <w:marBottom w:val="0"/>
              <w:divBdr>
                <w:top w:val="none" w:sz="0" w:space="0" w:color="auto"/>
                <w:left w:val="none" w:sz="0" w:space="0" w:color="auto"/>
                <w:bottom w:val="none" w:sz="0" w:space="0" w:color="auto"/>
                <w:right w:val="none" w:sz="0" w:space="0" w:color="auto"/>
              </w:divBdr>
            </w:div>
            <w:div w:id="1816141396">
              <w:marLeft w:val="0"/>
              <w:marRight w:val="0"/>
              <w:marTop w:val="0"/>
              <w:marBottom w:val="0"/>
              <w:divBdr>
                <w:top w:val="none" w:sz="0" w:space="0" w:color="auto"/>
                <w:left w:val="none" w:sz="0" w:space="0" w:color="auto"/>
                <w:bottom w:val="none" w:sz="0" w:space="0" w:color="auto"/>
                <w:right w:val="none" w:sz="0" w:space="0" w:color="auto"/>
              </w:divBdr>
            </w:div>
            <w:div w:id="383404935">
              <w:marLeft w:val="0"/>
              <w:marRight w:val="0"/>
              <w:marTop w:val="0"/>
              <w:marBottom w:val="0"/>
              <w:divBdr>
                <w:top w:val="none" w:sz="0" w:space="0" w:color="auto"/>
                <w:left w:val="none" w:sz="0" w:space="0" w:color="auto"/>
                <w:bottom w:val="none" w:sz="0" w:space="0" w:color="auto"/>
                <w:right w:val="none" w:sz="0" w:space="0" w:color="auto"/>
              </w:divBdr>
            </w:div>
          </w:divsChild>
        </w:div>
        <w:div w:id="1153106766">
          <w:marLeft w:val="0"/>
          <w:marRight w:val="0"/>
          <w:marTop w:val="0"/>
          <w:marBottom w:val="0"/>
          <w:divBdr>
            <w:top w:val="none" w:sz="0" w:space="0" w:color="auto"/>
            <w:left w:val="none" w:sz="0" w:space="0" w:color="auto"/>
            <w:bottom w:val="none" w:sz="0" w:space="0" w:color="auto"/>
            <w:right w:val="none" w:sz="0" w:space="0" w:color="auto"/>
          </w:divBdr>
          <w:divsChild>
            <w:div w:id="75440031">
              <w:marLeft w:val="0"/>
              <w:marRight w:val="0"/>
              <w:marTop w:val="0"/>
              <w:marBottom w:val="0"/>
              <w:divBdr>
                <w:top w:val="none" w:sz="0" w:space="0" w:color="auto"/>
                <w:left w:val="none" w:sz="0" w:space="0" w:color="auto"/>
                <w:bottom w:val="none" w:sz="0" w:space="0" w:color="auto"/>
                <w:right w:val="none" w:sz="0" w:space="0" w:color="auto"/>
              </w:divBdr>
            </w:div>
            <w:div w:id="719091485">
              <w:marLeft w:val="0"/>
              <w:marRight w:val="0"/>
              <w:marTop w:val="0"/>
              <w:marBottom w:val="0"/>
              <w:divBdr>
                <w:top w:val="none" w:sz="0" w:space="0" w:color="auto"/>
                <w:left w:val="none" w:sz="0" w:space="0" w:color="auto"/>
                <w:bottom w:val="none" w:sz="0" w:space="0" w:color="auto"/>
                <w:right w:val="none" w:sz="0" w:space="0" w:color="auto"/>
              </w:divBdr>
            </w:div>
            <w:div w:id="1658722304">
              <w:marLeft w:val="0"/>
              <w:marRight w:val="0"/>
              <w:marTop w:val="0"/>
              <w:marBottom w:val="0"/>
              <w:divBdr>
                <w:top w:val="none" w:sz="0" w:space="0" w:color="auto"/>
                <w:left w:val="none" w:sz="0" w:space="0" w:color="auto"/>
                <w:bottom w:val="none" w:sz="0" w:space="0" w:color="auto"/>
                <w:right w:val="none" w:sz="0" w:space="0" w:color="auto"/>
              </w:divBdr>
            </w:div>
            <w:div w:id="1173256530">
              <w:marLeft w:val="0"/>
              <w:marRight w:val="0"/>
              <w:marTop w:val="0"/>
              <w:marBottom w:val="0"/>
              <w:divBdr>
                <w:top w:val="none" w:sz="0" w:space="0" w:color="auto"/>
                <w:left w:val="none" w:sz="0" w:space="0" w:color="auto"/>
                <w:bottom w:val="none" w:sz="0" w:space="0" w:color="auto"/>
                <w:right w:val="none" w:sz="0" w:space="0" w:color="auto"/>
              </w:divBdr>
            </w:div>
            <w:div w:id="1046175692">
              <w:marLeft w:val="0"/>
              <w:marRight w:val="0"/>
              <w:marTop w:val="0"/>
              <w:marBottom w:val="0"/>
              <w:divBdr>
                <w:top w:val="none" w:sz="0" w:space="0" w:color="auto"/>
                <w:left w:val="none" w:sz="0" w:space="0" w:color="auto"/>
                <w:bottom w:val="none" w:sz="0" w:space="0" w:color="auto"/>
                <w:right w:val="none" w:sz="0" w:space="0" w:color="auto"/>
              </w:divBdr>
            </w:div>
          </w:divsChild>
        </w:div>
        <w:div w:id="1870483910">
          <w:marLeft w:val="0"/>
          <w:marRight w:val="0"/>
          <w:marTop w:val="0"/>
          <w:marBottom w:val="0"/>
          <w:divBdr>
            <w:top w:val="none" w:sz="0" w:space="0" w:color="auto"/>
            <w:left w:val="none" w:sz="0" w:space="0" w:color="auto"/>
            <w:bottom w:val="none" w:sz="0" w:space="0" w:color="auto"/>
            <w:right w:val="none" w:sz="0" w:space="0" w:color="auto"/>
          </w:divBdr>
          <w:divsChild>
            <w:div w:id="1327976583">
              <w:marLeft w:val="0"/>
              <w:marRight w:val="0"/>
              <w:marTop w:val="0"/>
              <w:marBottom w:val="0"/>
              <w:divBdr>
                <w:top w:val="none" w:sz="0" w:space="0" w:color="auto"/>
                <w:left w:val="none" w:sz="0" w:space="0" w:color="auto"/>
                <w:bottom w:val="none" w:sz="0" w:space="0" w:color="auto"/>
                <w:right w:val="none" w:sz="0" w:space="0" w:color="auto"/>
              </w:divBdr>
            </w:div>
            <w:div w:id="739911553">
              <w:marLeft w:val="0"/>
              <w:marRight w:val="0"/>
              <w:marTop w:val="0"/>
              <w:marBottom w:val="0"/>
              <w:divBdr>
                <w:top w:val="none" w:sz="0" w:space="0" w:color="auto"/>
                <w:left w:val="none" w:sz="0" w:space="0" w:color="auto"/>
                <w:bottom w:val="none" w:sz="0" w:space="0" w:color="auto"/>
                <w:right w:val="none" w:sz="0" w:space="0" w:color="auto"/>
              </w:divBdr>
            </w:div>
            <w:div w:id="977758490">
              <w:marLeft w:val="0"/>
              <w:marRight w:val="0"/>
              <w:marTop w:val="0"/>
              <w:marBottom w:val="0"/>
              <w:divBdr>
                <w:top w:val="none" w:sz="0" w:space="0" w:color="auto"/>
                <w:left w:val="none" w:sz="0" w:space="0" w:color="auto"/>
                <w:bottom w:val="none" w:sz="0" w:space="0" w:color="auto"/>
                <w:right w:val="none" w:sz="0" w:space="0" w:color="auto"/>
              </w:divBdr>
            </w:div>
            <w:div w:id="2048337188">
              <w:marLeft w:val="0"/>
              <w:marRight w:val="0"/>
              <w:marTop w:val="0"/>
              <w:marBottom w:val="0"/>
              <w:divBdr>
                <w:top w:val="none" w:sz="0" w:space="0" w:color="auto"/>
                <w:left w:val="none" w:sz="0" w:space="0" w:color="auto"/>
                <w:bottom w:val="none" w:sz="0" w:space="0" w:color="auto"/>
                <w:right w:val="none" w:sz="0" w:space="0" w:color="auto"/>
              </w:divBdr>
            </w:div>
            <w:div w:id="1051349648">
              <w:marLeft w:val="0"/>
              <w:marRight w:val="0"/>
              <w:marTop w:val="0"/>
              <w:marBottom w:val="0"/>
              <w:divBdr>
                <w:top w:val="none" w:sz="0" w:space="0" w:color="auto"/>
                <w:left w:val="none" w:sz="0" w:space="0" w:color="auto"/>
                <w:bottom w:val="none" w:sz="0" w:space="0" w:color="auto"/>
                <w:right w:val="none" w:sz="0" w:space="0" w:color="auto"/>
              </w:divBdr>
            </w:div>
          </w:divsChild>
        </w:div>
        <w:div w:id="1683436691">
          <w:marLeft w:val="0"/>
          <w:marRight w:val="0"/>
          <w:marTop w:val="0"/>
          <w:marBottom w:val="0"/>
          <w:divBdr>
            <w:top w:val="none" w:sz="0" w:space="0" w:color="auto"/>
            <w:left w:val="none" w:sz="0" w:space="0" w:color="auto"/>
            <w:bottom w:val="none" w:sz="0" w:space="0" w:color="auto"/>
            <w:right w:val="none" w:sz="0" w:space="0" w:color="auto"/>
          </w:divBdr>
          <w:divsChild>
            <w:div w:id="1107189451">
              <w:marLeft w:val="0"/>
              <w:marRight w:val="0"/>
              <w:marTop w:val="0"/>
              <w:marBottom w:val="0"/>
              <w:divBdr>
                <w:top w:val="none" w:sz="0" w:space="0" w:color="auto"/>
                <w:left w:val="none" w:sz="0" w:space="0" w:color="auto"/>
                <w:bottom w:val="none" w:sz="0" w:space="0" w:color="auto"/>
                <w:right w:val="none" w:sz="0" w:space="0" w:color="auto"/>
              </w:divBdr>
            </w:div>
            <w:div w:id="1045518489">
              <w:marLeft w:val="0"/>
              <w:marRight w:val="0"/>
              <w:marTop w:val="0"/>
              <w:marBottom w:val="0"/>
              <w:divBdr>
                <w:top w:val="none" w:sz="0" w:space="0" w:color="auto"/>
                <w:left w:val="none" w:sz="0" w:space="0" w:color="auto"/>
                <w:bottom w:val="none" w:sz="0" w:space="0" w:color="auto"/>
                <w:right w:val="none" w:sz="0" w:space="0" w:color="auto"/>
              </w:divBdr>
            </w:div>
            <w:div w:id="247812962">
              <w:marLeft w:val="0"/>
              <w:marRight w:val="0"/>
              <w:marTop w:val="0"/>
              <w:marBottom w:val="0"/>
              <w:divBdr>
                <w:top w:val="none" w:sz="0" w:space="0" w:color="auto"/>
                <w:left w:val="none" w:sz="0" w:space="0" w:color="auto"/>
                <w:bottom w:val="none" w:sz="0" w:space="0" w:color="auto"/>
                <w:right w:val="none" w:sz="0" w:space="0" w:color="auto"/>
              </w:divBdr>
            </w:div>
            <w:div w:id="43455113">
              <w:marLeft w:val="0"/>
              <w:marRight w:val="0"/>
              <w:marTop w:val="0"/>
              <w:marBottom w:val="0"/>
              <w:divBdr>
                <w:top w:val="none" w:sz="0" w:space="0" w:color="auto"/>
                <w:left w:val="none" w:sz="0" w:space="0" w:color="auto"/>
                <w:bottom w:val="none" w:sz="0" w:space="0" w:color="auto"/>
                <w:right w:val="none" w:sz="0" w:space="0" w:color="auto"/>
              </w:divBdr>
            </w:div>
            <w:div w:id="1460562877">
              <w:marLeft w:val="0"/>
              <w:marRight w:val="0"/>
              <w:marTop w:val="0"/>
              <w:marBottom w:val="0"/>
              <w:divBdr>
                <w:top w:val="none" w:sz="0" w:space="0" w:color="auto"/>
                <w:left w:val="none" w:sz="0" w:space="0" w:color="auto"/>
                <w:bottom w:val="none" w:sz="0" w:space="0" w:color="auto"/>
                <w:right w:val="none" w:sz="0" w:space="0" w:color="auto"/>
              </w:divBdr>
            </w:div>
          </w:divsChild>
        </w:div>
        <w:div w:id="1519661415">
          <w:marLeft w:val="0"/>
          <w:marRight w:val="0"/>
          <w:marTop w:val="0"/>
          <w:marBottom w:val="0"/>
          <w:divBdr>
            <w:top w:val="none" w:sz="0" w:space="0" w:color="auto"/>
            <w:left w:val="none" w:sz="0" w:space="0" w:color="auto"/>
            <w:bottom w:val="none" w:sz="0" w:space="0" w:color="auto"/>
            <w:right w:val="none" w:sz="0" w:space="0" w:color="auto"/>
          </w:divBdr>
          <w:divsChild>
            <w:div w:id="697243566">
              <w:marLeft w:val="0"/>
              <w:marRight w:val="0"/>
              <w:marTop w:val="0"/>
              <w:marBottom w:val="0"/>
              <w:divBdr>
                <w:top w:val="none" w:sz="0" w:space="0" w:color="auto"/>
                <w:left w:val="none" w:sz="0" w:space="0" w:color="auto"/>
                <w:bottom w:val="none" w:sz="0" w:space="0" w:color="auto"/>
                <w:right w:val="none" w:sz="0" w:space="0" w:color="auto"/>
              </w:divBdr>
            </w:div>
            <w:div w:id="85272321">
              <w:marLeft w:val="0"/>
              <w:marRight w:val="0"/>
              <w:marTop w:val="0"/>
              <w:marBottom w:val="0"/>
              <w:divBdr>
                <w:top w:val="none" w:sz="0" w:space="0" w:color="auto"/>
                <w:left w:val="none" w:sz="0" w:space="0" w:color="auto"/>
                <w:bottom w:val="none" w:sz="0" w:space="0" w:color="auto"/>
                <w:right w:val="none" w:sz="0" w:space="0" w:color="auto"/>
              </w:divBdr>
            </w:div>
            <w:div w:id="1637710961">
              <w:marLeft w:val="0"/>
              <w:marRight w:val="0"/>
              <w:marTop w:val="0"/>
              <w:marBottom w:val="0"/>
              <w:divBdr>
                <w:top w:val="none" w:sz="0" w:space="0" w:color="auto"/>
                <w:left w:val="none" w:sz="0" w:space="0" w:color="auto"/>
                <w:bottom w:val="none" w:sz="0" w:space="0" w:color="auto"/>
                <w:right w:val="none" w:sz="0" w:space="0" w:color="auto"/>
              </w:divBdr>
            </w:div>
            <w:div w:id="801389663">
              <w:marLeft w:val="0"/>
              <w:marRight w:val="0"/>
              <w:marTop w:val="0"/>
              <w:marBottom w:val="0"/>
              <w:divBdr>
                <w:top w:val="none" w:sz="0" w:space="0" w:color="auto"/>
                <w:left w:val="none" w:sz="0" w:space="0" w:color="auto"/>
                <w:bottom w:val="none" w:sz="0" w:space="0" w:color="auto"/>
                <w:right w:val="none" w:sz="0" w:space="0" w:color="auto"/>
              </w:divBdr>
            </w:div>
            <w:div w:id="888807675">
              <w:marLeft w:val="0"/>
              <w:marRight w:val="0"/>
              <w:marTop w:val="0"/>
              <w:marBottom w:val="0"/>
              <w:divBdr>
                <w:top w:val="none" w:sz="0" w:space="0" w:color="auto"/>
                <w:left w:val="none" w:sz="0" w:space="0" w:color="auto"/>
                <w:bottom w:val="none" w:sz="0" w:space="0" w:color="auto"/>
                <w:right w:val="none" w:sz="0" w:space="0" w:color="auto"/>
              </w:divBdr>
            </w:div>
          </w:divsChild>
        </w:div>
        <w:div w:id="1342313162">
          <w:marLeft w:val="0"/>
          <w:marRight w:val="0"/>
          <w:marTop w:val="0"/>
          <w:marBottom w:val="0"/>
          <w:divBdr>
            <w:top w:val="none" w:sz="0" w:space="0" w:color="auto"/>
            <w:left w:val="none" w:sz="0" w:space="0" w:color="auto"/>
            <w:bottom w:val="none" w:sz="0" w:space="0" w:color="auto"/>
            <w:right w:val="none" w:sz="0" w:space="0" w:color="auto"/>
          </w:divBdr>
          <w:divsChild>
            <w:div w:id="1586376304">
              <w:marLeft w:val="0"/>
              <w:marRight w:val="0"/>
              <w:marTop w:val="0"/>
              <w:marBottom w:val="0"/>
              <w:divBdr>
                <w:top w:val="none" w:sz="0" w:space="0" w:color="auto"/>
                <w:left w:val="none" w:sz="0" w:space="0" w:color="auto"/>
                <w:bottom w:val="none" w:sz="0" w:space="0" w:color="auto"/>
                <w:right w:val="none" w:sz="0" w:space="0" w:color="auto"/>
              </w:divBdr>
            </w:div>
            <w:div w:id="1773239896">
              <w:marLeft w:val="0"/>
              <w:marRight w:val="0"/>
              <w:marTop w:val="0"/>
              <w:marBottom w:val="0"/>
              <w:divBdr>
                <w:top w:val="none" w:sz="0" w:space="0" w:color="auto"/>
                <w:left w:val="none" w:sz="0" w:space="0" w:color="auto"/>
                <w:bottom w:val="none" w:sz="0" w:space="0" w:color="auto"/>
                <w:right w:val="none" w:sz="0" w:space="0" w:color="auto"/>
              </w:divBdr>
            </w:div>
            <w:div w:id="377319247">
              <w:marLeft w:val="0"/>
              <w:marRight w:val="0"/>
              <w:marTop w:val="0"/>
              <w:marBottom w:val="0"/>
              <w:divBdr>
                <w:top w:val="none" w:sz="0" w:space="0" w:color="auto"/>
                <w:left w:val="none" w:sz="0" w:space="0" w:color="auto"/>
                <w:bottom w:val="none" w:sz="0" w:space="0" w:color="auto"/>
                <w:right w:val="none" w:sz="0" w:space="0" w:color="auto"/>
              </w:divBdr>
            </w:div>
            <w:div w:id="1402168202">
              <w:marLeft w:val="0"/>
              <w:marRight w:val="0"/>
              <w:marTop w:val="0"/>
              <w:marBottom w:val="0"/>
              <w:divBdr>
                <w:top w:val="none" w:sz="0" w:space="0" w:color="auto"/>
                <w:left w:val="none" w:sz="0" w:space="0" w:color="auto"/>
                <w:bottom w:val="none" w:sz="0" w:space="0" w:color="auto"/>
                <w:right w:val="none" w:sz="0" w:space="0" w:color="auto"/>
              </w:divBdr>
            </w:div>
          </w:divsChild>
        </w:div>
        <w:div w:id="1795633143">
          <w:marLeft w:val="0"/>
          <w:marRight w:val="0"/>
          <w:marTop w:val="0"/>
          <w:marBottom w:val="0"/>
          <w:divBdr>
            <w:top w:val="none" w:sz="0" w:space="0" w:color="auto"/>
            <w:left w:val="none" w:sz="0" w:space="0" w:color="auto"/>
            <w:bottom w:val="none" w:sz="0" w:space="0" w:color="auto"/>
            <w:right w:val="none" w:sz="0" w:space="0" w:color="auto"/>
          </w:divBdr>
        </w:div>
        <w:div w:id="690567049">
          <w:marLeft w:val="0"/>
          <w:marRight w:val="0"/>
          <w:marTop w:val="0"/>
          <w:marBottom w:val="0"/>
          <w:divBdr>
            <w:top w:val="none" w:sz="0" w:space="0" w:color="auto"/>
            <w:left w:val="none" w:sz="0" w:space="0" w:color="auto"/>
            <w:bottom w:val="none" w:sz="0" w:space="0" w:color="auto"/>
            <w:right w:val="none" w:sz="0" w:space="0" w:color="auto"/>
          </w:divBdr>
        </w:div>
        <w:div w:id="531235753">
          <w:marLeft w:val="0"/>
          <w:marRight w:val="0"/>
          <w:marTop w:val="0"/>
          <w:marBottom w:val="0"/>
          <w:divBdr>
            <w:top w:val="none" w:sz="0" w:space="0" w:color="auto"/>
            <w:left w:val="none" w:sz="0" w:space="0" w:color="auto"/>
            <w:bottom w:val="none" w:sz="0" w:space="0" w:color="auto"/>
            <w:right w:val="none" w:sz="0" w:space="0" w:color="auto"/>
          </w:divBdr>
        </w:div>
        <w:div w:id="2058699860">
          <w:marLeft w:val="0"/>
          <w:marRight w:val="0"/>
          <w:marTop w:val="0"/>
          <w:marBottom w:val="0"/>
          <w:divBdr>
            <w:top w:val="none" w:sz="0" w:space="0" w:color="auto"/>
            <w:left w:val="none" w:sz="0" w:space="0" w:color="auto"/>
            <w:bottom w:val="none" w:sz="0" w:space="0" w:color="auto"/>
            <w:right w:val="none" w:sz="0" w:space="0" w:color="auto"/>
          </w:divBdr>
        </w:div>
        <w:div w:id="1945846782">
          <w:marLeft w:val="0"/>
          <w:marRight w:val="0"/>
          <w:marTop w:val="0"/>
          <w:marBottom w:val="0"/>
          <w:divBdr>
            <w:top w:val="none" w:sz="0" w:space="0" w:color="auto"/>
            <w:left w:val="none" w:sz="0" w:space="0" w:color="auto"/>
            <w:bottom w:val="none" w:sz="0" w:space="0" w:color="auto"/>
            <w:right w:val="none" w:sz="0" w:space="0" w:color="auto"/>
          </w:divBdr>
        </w:div>
        <w:div w:id="1926911299">
          <w:marLeft w:val="0"/>
          <w:marRight w:val="0"/>
          <w:marTop w:val="0"/>
          <w:marBottom w:val="0"/>
          <w:divBdr>
            <w:top w:val="none" w:sz="0" w:space="0" w:color="auto"/>
            <w:left w:val="none" w:sz="0" w:space="0" w:color="auto"/>
            <w:bottom w:val="none" w:sz="0" w:space="0" w:color="auto"/>
            <w:right w:val="none" w:sz="0" w:space="0" w:color="auto"/>
          </w:divBdr>
        </w:div>
        <w:div w:id="181171673">
          <w:marLeft w:val="0"/>
          <w:marRight w:val="0"/>
          <w:marTop w:val="0"/>
          <w:marBottom w:val="0"/>
          <w:divBdr>
            <w:top w:val="none" w:sz="0" w:space="0" w:color="auto"/>
            <w:left w:val="none" w:sz="0" w:space="0" w:color="auto"/>
            <w:bottom w:val="none" w:sz="0" w:space="0" w:color="auto"/>
            <w:right w:val="none" w:sz="0" w:space="0" w:color="auto"/>
          </w:divBdr>
        </w:div>
        <w:div w:id="519204328">
          <w:marLeft w:val="0"/>
          <w:marRight w:val="0"/>
          <w:marTop w:val="0"/>
          <w:marBottom w:val="0"/>
          <w:divBdr>
            <w:top w:val="none" w:sz="0" w:space="0" w:color="auto"/>
            <w:left w:val="none" w:sz="0" w:space="0" w:color="auto"/>
            <w:bottom w:val="none" w:sz="0" w:space="0" w:color="auto"/>
            <w:right w:val="none" w:sz="0" w:space="0" w:color="auto"/>
          </w:divBdr>
        </w:div>
        <w:div w:id="267007949">
          <w:marLeft w:val="0"/>
          <w:marRight w:val="0"/>
          <w:marTop w:val="0"/>
          <w:marBottom w:val="0"/>
          <w:divBdr>
            <w:top w:val="none" w:sz="0" w:space="0" w:color="auto"/>
            <w:left w:val="none" w:sz="0" w:space="0" w:color="auto"/>
            <w:bottom w:val="none" w:sz="0" w:space="0" w:color="auto"/>
            <w:right w:val="none" w:sz="0" w:space="0" w:color="auto"/>
          </w:divBdr>
        </w:div>
        <w:div w:id="1021975688">
          <w:marLeft w:val="0"/>
          <w:marRight w:val="0"/>
          <w:marTop w:val="0"/>
          <w:marBottom w:val="0"/>
          <w:divBdr>
            <w:top w:val="none" w:sz="0" w:space="0" w:color="auto"/>
            <w:left w:val="none" w:sz="0" w:space="0" w:color="auto"/>
            <w:bottom w:val="none" w:sz="0" w:space="0" w:color="auto"/>
            <w:right w:val="none" w:sz="0" w:space="0" w:color="auto"/>
          </w:divBdr>
        </w:div>
        <w:div w:id="282198614">
          <w:marLeft w:val="0"/>
          <w:marRight w:val="0"/>
          <w:marTop w:val="0"/>
          <w:marBottom w:val="0"/>
          <w:divBdr>
            <w:top w:val="none" w:sz="0" w:space="0" w:color="auto"/>
            <w:left w:val="none" w:sz="0" w:space="0" w:color="auto"/>
            <w:bottom w:val="none" w:sz="0" w:space="0" w:color="auto"/>
            <w:right w:val="none" w:sz="0" w:space="0" w:color="auto"/>
          </w:divBdr>
        </w:div>
        <w:div w:id="681205534">
          <w:marLeft w:val="0"/>
          <w:marRight w:val="0"/>
          <w:marTop w:val="0"/>
          <w:marBottom w:val="0"/>
          <w:divBdr>
            <w:top w:val="none" w:sz="0" w:space="0" w:color="auto"/>
            <w:left w:val="none" w:sz="0" w:space="0" w:color="auto"/>
            <w:bottom w:val="none" w:sz="0" w:space="0" w:color="auto"/>
            <w:right w:val="none" w:sz="0" w:space="0" w:color="auto"/>
          </w:divBdr>
        </w:div>
        <w:div w:id="650405746">
          <w:marLeft w:val="0"/>
          <w:marRight w:val="0"/>
          <w:marTop w:val="0"/>
          <w:marBottom w:val="0"/>
          <w:divBdr>
            <w:top w:val="none" w:sz="0" w:space="0" w:color="auto"/>
            <w:left w:val="none" w:sz="0" w:space="0" w:color="auto"/>
            <w:bottom w:val="none" w:sz="0" w:space="0" w:color="auto"/>
            <w:right w:val="none" w:sz="0" w:space="0" w:color="auto"/>
          </w:divBdr>
        </w:div>
        <w:div w:id="643050674">
          <w:marLeft w:val="0"/>
          <w:marRight w:val="0"/>
          <w:marTop w:val="0"/>
          <w:marBottom w:val="0"/>
          <w:divBdr>
            <w:top w:val="none" w:sz="0" w:space="0" w:color="auto"/>
            <w:left w:val="none" w:sz="0" w:space="0" w:color="auto"/>
            <w:bottom w:val="none" w:sz="0" w:space="0" w:color="auto"/>
            <w:right w:val="none" w:sz="0" w:space="0" w:color="auto"/>
          </w:divBdr>
        </w:div>
        <w:div w:id="1032732436">
          <w:marLeft w:val="0"/>
          <w:marRight w:val="0"/>
          <w:marTop w:val="0"/>
          <w:marBottom w:val="0"/>
          <w:divBdr>
            <w:top w:val="none" w:sz="0" w:space="0" w:color="auto"/>
            <w:left w:val="none" w:sz="0" w:space="0" w:color="auto"/>
            <w:bottom w:val="none" w:sz="0" w:space="0" w:color="auto"/>
            <w:right w:val="none" w:sz="0" w:space="0" w:color="auto"/>
          </w:divBdr>
        </w:div>
        <w:div w:id="79254196">
          <w:marLeft w:val="0"/>
          <w:marRight w:val="0"/>
          <w:marTop w:val="0"/>
          <w:marBottom w:val="0"/>
          <w:divBdr>
            <w:top w:val="none" w:sz="0" w:space="0" w:color="auto"/>
            <w:left w:val="none" w:sz="0" w:space="0" w:color="auto"/>
            <w:bottom w:val="none" w:sz="0" w:space="0" w:color="auto"/>
            <w:right w:val="none" w:sz="0" w:space="0" w:color="auto"/>
          </w:divBdr>
        </w:div>
        <w:div w:id="1845583068">
          <w:marLeft w:val="0"/>
          <w:marRight w:val="0"/>
          <w:marTop w:val="0"/>
          <w:marBottom w:val="0"/>
          <w:divBdr>
            <w:top w:val="none" w:sz="0" w:space="0" w:color="auto"/>
            <w:left w:val="none" w:sz="0" w:space="0" w:color="auto"/>
            <w:bottom w:val="none" w:sz="0" w:space="0" w:color="auto"/>
            <w:right w:val="none" w:sz="0" w:space="0" w:color="auto"/>
          </w:divBdr>
        </w:div>
        <w:div w:id="23212241">
          <w:marLeft w:val="0"/>
          <w:marRight w:val="0"/>
          <w:marTop w:val="0"/>
          <w:marBottom w:val="0"/>
          <w:divBdr>
            <w:top w:val="none" w:sz="0" w:space="0" w:color="auto"/>
            <w:left w:val="none" w:sz="0" w:space="0" w:color="auto"/>
            <w:bottom w:val="none" w:sz="0" w:space="0" w:color="auto"/>
            <w:right w:val="none" w:sz="0" w:space="0" w:color="auto"/>
          </w:divBdr>
        </w:div>
        <w:div w:id="1728070527">
          <w:marLeft w:val="0"/>
          <w:marRight w:val="0"/>
          <w:marTop w:val="0"/>
          <w:marBottom w:val="0"/>
          <w:divBdr>
            <w:top w:val="none" w:sz="0" w:space="0" w:color="auto"/>
            <w:left w:val="none" w:sz="0" w:space="0" w:color="auto"/>
            <w:bottom w:val="none" w:sz="0" w:space="0" w:color="auto"/>
            <w:right w:val="none" w:sz="0" w:space="0" w:color="auto"/>
          </w:divBdr>
        </w:div>
        <w:div w:id="1882135771">
          <w:marLeft w:val="0"/>
          <w:marRight w:val="0"/>
          <w:marTop w:val="0"/>
          <w:marBottom w:val="0"/>
          <w:divBdr>
            <w:top w:val="none" w:sz="0" w:space="0" w:color="auto"/>
            <w:left w:val="none" w:sz="0" w:space="0" w:color="auto"/>
            <w:bottom w:val="none" w:sz="0" w:space="0" w:color="auto"/>
            <w:right w:val="none" w:sz="0" w:space="0" w:color="auto"/>
          </w:divBdr>
        </w:div>
        <w:div w:id="303240047">
          <w:marLeft w:val="0"/>
          <w:marRight w:val="0"/>
          <w:marTop w:val="0"/>
          <w:marBottom w:val="0"/>
          <w:divBdr>
            <w:top w:val="none" w:sz="0" w:space="0" w:color="auto"/>
            <w:left w:val="none" w:sz="0" w:space="0" w:color="auto"/>
            <w:bottom w:val="none" w:sz="0" w:space="0" w:color="auto"/>
            <w:right w:val="none" w:sz="0" w:space="0" w:color="auto"/>
          </w:divBdr>
        </w:div>
        <w:div w:id="601646907">
          <w:marLeft w:val="0"/>
          <w:marRight w:val="0"/>
          <w:marTop w:val="0"/>
          <w:marBottom w:val="0"/>
          <w:divBdr>
            <w:top w:val="none" w:sz="0" w:space="0" w:color="auto"/>
            <w:left w:val="none" w:sz="0" w:space="0" w:color="auto"/>
            <w:bottom w:val="none" w:sz="0" w:space="0" w:color="auto"/>
            <w:right w:val="none" w:sz="0" w:space="0" w:color="auto"/>
          </w:divBdr>
        </w:div>
        <w:div w:id="1972468517">
          <w:marLeft w:val="0"/>
          <w:marRight w:val="0"/>
          <w:marTop w:val="0"/>
          <w:marBottom w:val="0"/>
          <w:divBdr>
            <w:top w:val="none" w:sz="0" w:space="0" w:color="auto"/>
            <w:left w:val="none" w:sz="0" w:space="0" w:color="auto"/>
            <w:bottom w:val="none" w:sz="0" w:space="0" w:color="auto"/>
            <w:right w:val="none" w:sz="0" w:space="0" w:color="auto"/>
          </w:divBdr>
        </w:div>
        <w:div w:id="1732385119">
          <w:marLeft w:val="0"/>
          <w:marRight w:val="0"/>
          <w:marTop w:val="0"/>
          <w:marBottom w:val="0"/>
          <w:divBdr>
            <w:top w:val="none" w:sz="0" w:space="0" w:color="auto"/>
            <w:left w:val="none" w:sz="0" w:space="0" w:color="auto"/>
            <w:bottom w:val="none" w:sz="0" w:space="0" w:color="auto"/>
            <w:right w:val="none" w:sz="0" w:space="0" w:color="auto"/>
          </w:divBdr>
        </w:div>
        <w:div w:id="1600218701">
          <w:marLeft w:val="0"/>
          <w:marRight w:val="0"/>
          <w:marTop w:val="0"/>
          <w:marBottom w:val="0"/>
          <w:divBdr>
            <w:top w:val="none" w:sz="0" w:space="0" w:color="auto"/>
            <w:left w:val="none" w:sz="0" w:space="0" w:color="auto"/>
            <w:bottom w:val="none" w:sz="0" w:space="0" w:color="auto"/>
            <w:right w:val="none" w:sz="0" w:space="0" w:color="auto"/>
          </w:divBdr>
        </w:div>
        <w:div w:id="944264208">
          <w:marLeft w:val="0"/>
          <w:marRight w:val="0"/>
          <w:marTop w:val="0"/>
          <w:marBottom w:val="0"/>
          <w:divBdr>
            <w:top w:val="none" w:sz="0" w:space="0" w:color="auto"/>
            <w:left w:val="none" w:sz="0" w:space="0" w:color="auto"/>
            <w:bottom w:val="none" w:sz="0" w:space="0" w:color="auto"/>
            <w:right w:val="none" w:sz="0" w:space="0" w:color="auto"/>
          </w:divBdr>
        </w:div>
        <w:div w:id="255285607">
          <w:marLeft w:val="0"/>
          <w:marRight w:val="0"/>
          <w:marTop w:val="0"/>
          <w:marBottom w:val="0"/>
          <w:divBdr>
            <w:top w:val="none" w:sz="0" w:space="0" w:color="auto"/>
            <w:left w:val="none" w:sz="0" w:space="0" w:color="auto"/>
            <w:bottom w:val="none" w:sz="0" w:space="0" w:color="auto"/>
            <w:right w:val="none" w:sz="0" w:space="0" w:color="auto"/>
          </w:divBdr>
        </w:div>
        <w:div w:id="1439980666">
          <w:marLeft w:val="0"/>
          <w:marRight w:val="0"/>
          <w:marTop w:val="0"/>
          <w:marBottom w:val="0"/>
          <w:divBdr>
            <w:top w:val="none" w:sz="0" w:space="0" w:color="auto"/>
            <w:left w:val="none" w:sz="0" w:space="0" w:color="auto"/>
            <w:bottom w:val="none" w:sz="0" w:space="0" w:color="auto"/>
            <w:right w:val="none" w:sz="0" w:space="0" w:color="auto"/>
          </w:divBdr>
        </w:div>
        <w:div w:id="1660496094">
          <w:marLeft w:val="0"/>
          <w:marRight w:val="0"/>
          <w:marTop w:val="0"/>
          <w:marBottom w:val="0"/>
          <w:divBdr>
            <w:top w:val="none" w:sz="0" w:space="0" w:color="auto"/>
            <w:left w:val="none" w:sz="0" w:space="0" w:color="auto"/>
            <w:bottom w:val="none" w:sz="0" w:space="0" w:color="auto"/>
            <w:right w:val="none" w:sz="0" w:space="0" w:color="auto"/>
          </w:divBdr>
        </w:div>
        <w:div w:id="1805729790">
          <w:marLeft w:val="0"/>
          <w:marRight w:val="0"/>
          <w:marTop w:val="0"/>
          <w:marBottom w:val="0"/>
          <w:divBdr>
            <w:top w:val="none" w:sz="0" w:space="0" w:color="auto"/>
            <w:left w:val="none" w:sz="0" w:space="0" w:color="auto"/>
            <w:bottom w:val="none" w:sz="0" w:space="0" w:color="auto"/>
            <w:right w:val="none" w:sz="0" w:space="0" w:color="auto"/>
          </w:divBdr>
        </w:div>
        <w:div w:id="530847652">
          <w:marLeft w:val="0"/>
          <w:marRight w:val="0"/>
          <w:marTop w:val="0"/>
          <w:marBottom w:val="0"/>
          <w:divBdr>
            <w:top w:val="none" w:sz="0" w:space="0" w:color="auto"/>
            <w:left w:val="none" w:sz="0" w:space="0" w:color="auto"/>
            <w:bottom w:val="none" w:sz="0" w:space="0" w:color="auto"/>
            <w:right w:val="none" w:sz="0" w:space="0" w:color="auto"/>
          </w:divBdr>
        </w:div>
        <w:div w:id="203643588">
          <w:marLeft w:val="0"/>
          <w:marRight w:val="0"/>
          <w:marTop w:val="0"/>
          <w:marBottom w:val="0"/>
          <w:divBdr>
            <w:top w:val="none" w:sz="0" w:space="0" w:color="auto"/>
            <w:left w:val="none" w:sz="0" w:space="0" w:color="auto"/>
            <w:bottom w:val="none" w:sz="0" w:space="0" w:color="auto"/>
            <w:right w:val="none" w:sz="0" w:space="0" w:color="auto"/>
          </w:divBdr>
        </w:div>
        <w:div w:id="812717024">
          <w:marLeft w:val="0"/>
          <w:marRight w:val="0"/>
          <w:marTop w:val="0"/>
          <w:marBottom w:val="0"/>
          <w:divBdr>
            <w:top w:val="none" w:sz="0" w:space="0" w:color="auto"/>
            <w:left w:val="none" w:sz="0" w:space="0" w:color="auto"/>
            <w:bottom w:val="none" w:sz="0" w:space="0" w:color="auto"/>
            <w:right w:val="none" w:sz="0" w:space="0" w:color="auto"/>
          </w:divBdr>
        </w:div>
        <w:div w:id="1949700396">
          <w:marLeft w:val="0"/>
          <w:marRight w:val="0"/>
          <w:marTop w:val="0"/>
          <w:marBottom w:val="0"/>
          <w:divBdr>
            <w:top w:val="none" w:sz="0" w:space="0" w:color="auto"/>
            <w:left w:val="none" w:sz="0" w:space="0" w:color="auto"/>
            <w:bottom w:val="none" w:sz="0" w:space="0" w:color="auto"/>
            <w:right w:val="none" w:sz="0" w:space="0" w:color="auto"/>
          </w:divBdr>
        </w:div>
        <w:div w:id="1070156638">
          <w:marLeft w:val="0"/>
          <w:marRight w:val="0"/>
          <w:marTop w:val="0"/>
          <w:marBottom w:val="0"/>
          <w:divBdr>
            <w:top w:val="none" w:sz="0" w:space="0" w:color="auto"/>
            <w:left w:val="none" w:sz="0" w:space="0" w:color="auto"/>
            <w:bottom w:val="none" w:sz="0" w:space="0" w:color="auto"/>
            <w:right w:val="none" w:sz="0" w:space="0" w:color="auto"/>
          </w:divBdr>
        </w:div>
        <w:div w:id="1784035847">
          <w:marLeft w:val="0"/>
          <w:marRight w:val="0"/>
          <w:marTop w:val="0"/>
          <w:marBottom w:val="0"/>
          <w:divBdr>
            <w:top w:val="none" w:sz="0" w:space="0" w:color="auto"/>
            <w:left w:val="none" w:sz="0" w:space="0" w:color="auto"/>
            <w:bottom w:val="none" w:sz="0" w:space="0" w:color="auto"/>
            <w:right w:val="none" w:sz="0" w:space="0" w:color="auto"/>
          </w:divBdr>
        </w:div>
        <w:div w:id="956108542">
          <w:marLeft w:val="0"/>
          <w:marRight w:val="0"/>
          <w:marTop w:val="0"/>
          <w:marBottom w:val="0"/>
          <w:divBdr>
            <w:top w:val="none" w:sz="0" w:space="0" w:color="auto"/>
            <w:left w:val="none" w:sz="0" w:space="0" w:color="auto"/>
            <w:bottom w:val="none" w:sz="0" w:space="0" w:color="auto"/>
            <w:right w:val="none" w:sz="0" w:space="0" w:color="auto"/>
          </w:divBdr>
        </w:div>
        <w:div w:id="1025906566">
          <w:marLeft w:val="0"/>
          <w:marRight w:val="0"/>
          <w:marTop w:val="0"/>
          <w:marBottom w:val="0"/>
          <w:divBdr>
            <w:top w:val="none" w:sz="0" w:space="0" w:color="auto"/>
            <w:left w:val="none" w:sz="0" w:space="0" w:color="auto"/>
            <w:bottom w:val="none" w:sz="0" w:space="0" w:color="auto"/>
            <w:right w:val="none" w:sz="0" w:space="0" w:color="auto"/>
          </w:divBdr>
        </w:div>
        <w:div w:id="139543288">
          <w:marLeft w:val="0"/>
          <w:marRight w:val="0"/>
          <w:marTop w:val="0"/>
          <w:marBottom w:val="0"/>
          <w:divBdr>
            <w:top w:val="none" w:sz="0" w:space="0" w:color="auto"/>
            <w:left w:val="none" w:sz="0" w:space="0" w:color="auto"/>
            <w:bottom w:val="none" w:sz="0" w:space="0" w:color="auto"/>
            <w:right w:val="none" w:sz="0" w:space="0" w:color="auto"/>
          </w:divBdr>
        </w:div>
        <w:div w:id="1378553636">
          <w:marLeft w:val="0"/>
          <w:marRight w:val="0"/>
          <w:marTop w:val="0"/>
          <w:marBottom w:val="0"/>
          <w:divBdr>
            <w:top w:val="none" w:sz="0" w:space="0" w:color="auto"/>
            <w:left w:val="none" w:sz="0" w:space="0" w:color="auto"/>
            <w:bottom w:val="none" w:sz="0" w:space="0" w:color="auto"/>
            <w:right w:val="none" w:sz="0" w:space="0" w:color="auto"/>
          </w:divBdr>
        </w:div>
        <w:div w:id="1754619019">
          <w:marLeft w:val="0"/>
          <w:marRight w:val="0"/>
          <w:marTop w:val="0"/>
          <w:marBottom w:val="0"/>
          <w:divBdr>
            <w:top w:val="none" w:sz="0" w:space="0" w:color="auto"/>
            <w:left w:val="none" w:sz="0" w:space="0" w:color="auto"/>
            <w:bottom w:val="none" w:sz="0" w:space="0" w:color="auto"/>
            <w:right w:val="none" w:sz="0" w:space="0" w:color="auto"/>
          </w:divBdr>
        </w:div>
        <w:div w:id="1612585978">
          <w:marLeft w:val="0"/>
          <w:marRight w:val="0"/>
          <w:marTop w:val="0"/>
          <w:marBottom w:val="0"/>
          <w:divBdr>
            <w:top w:val="none" w:sz="0" w:space="0" w:color="auto"/>
            <w:left w:val="none" w:sz="0" w:space="0" w:color="auto"/>
            <w:bottom w:val="none" w:sz="0" w:space="0" w:color="auto"/>
            <w:right w:val="none" w:sz="0" w:space="0" w:color="auto"/>
          </w:divBdr>
        </w:div>
        <w:div w:id="1250308675">
          <w:marLeft w:val="0"/>
          <w:marRight w:val="0"/>
          <w:marTop w:val="0"/>
          <w:marBottom w:val="0"/>
          <w:divBdr>
            <w:top w:val="none" w:sz="0" w:space="0" w:color="auto"/>
            <w:left w:val="none" w:sz="0" w:space="0" w:color="auto"/>
            <w:bottom w:val="none" w:sz="0" w:space="0" w:color="auto"/>
            <w:right w:val="none" w:sz="0" w:space="0" w:color="auto"/>
          </w:divBdr>
        </w:div>
        <w:div w:id="1375933149">
          <w:marLeft w:val="0"/>
          <w:marRight w:val="0"/>
          <w:marTop w:val="0"/>
          <w:marBottom w:val="0"/>
          <w:divBdr>
            <w:top w:val="none" w:sz="0" w:space="0" w:color="auto"/>
            <w:left w:val="none" w:sz="0" w:space="0" w:color="auto"/>
            <w:bottom w:val="none" w:sz="0" w:space="0" w:color="auto"/>
            <w:right w:val="none" w:sz="0" w:space="0" w:color="auto"/>
          </w:divBdr>
        </w:div>
        <w:div w:id="1179857262">
          <w:marLeft w:val="0"/>
          <w:marRight w:val="0"/>
          <w:marTop w:val="0"/>
          <w:marBottom w:val="0"/>
          <w:divBdr>
            <w:top w:val="none" w:sz="0" w:space="0" w:color="auto"/>
            <w:left w:val="none" w:sz="0" w:space="0" w:color="auto"/>
            <w:bottom w:val="none" w:sz="0" w:space="0" w:color="auto"/>
            <w:right w:val="none" w:sz="0" w:space="0" w:color="auto"/>
          </w:divBdr>
        </w:div>
        <w:div w:id="1482766947">
          <w:marLeft w:val="0"/>
          <w:marRight w:val="0"/>
          <w:marTop w:val="0"/>
          <w:marBottom w:val="0"/>
          <w:divBdr>
            <w:top w:val="none" w:sz="0" w:space="0" w:color="auto"/>
            <w:left w:val="none" w:sz="0" w:space="0" w:color="auto"/>
            <w:bottom w:val="none" w:sz="0" w:space="0" w:color="auto"/>
            <w:right w:val="none" w:sz="0" w:space="0" w:color="auto"/>
          </w:divBdr>
        </w:div>
      </w:divsChild>
    </w:div>
    <w:div w:id="71777999">
      <w:bodyDiv w:val="1"/>
      <w:marLeft w:val="0"/>
      <w:marRight w:val="0"/>
      <w:marTop w:val="0"/>
      <w:marBottom w:val="0"/>
      <w:divBdr>
        <w:top w:val="none" w:sz="0" w:space="0" w:color="auto"/>
        <w:left w:val="none" w:sz="0" w:space="0" w:color="auto"/>
        <w:bottom w:val="none" w:sz="0" w:space="0" w:color="auto"/>
        <w:right w:val="none" w:sz="0" w:space="0" w:color="auto"/>
      </w:divBdr>
      <w:divsChild>
        <w:div w:id="977029376">
          <w:marLeft w:val="0"/>
          <w:marRight w:val="0"/>
          <w:marTop w:val="0"/>
          <w:marBottom w:val="0"/>
          <w:divBdr>
            <w:top w:val="none" w:sz="0" w:space="0" w:color="auto"/>
            <w:left w:val="none" w:sz="0" w:space="0" w:color="auto"/>
            <w:bottom w:val="none" w:sz="0" w:space="0" w:color="auto"/>
            <w:right w:val="none" w:sz="0" w:space="0" w:color="auto"/>
          </w:divBdr>
        </w:div>
        <w:div w:id="430274099">
          <w:marLeft w:val="0"/>
          <w:marRight w:val="0"/>
          <w:marTop w:val="0"/>
          <w:marBottom w:val="0"/>
          <w:divBdr>
            <w:top w:val="none" w:sz="0" w:space="0" w:color="auto"/>
            <w:left w:val="none" w:sz="0" w:space="0" w:color="auto"/>
            <w:bottom w:val="none" w:sz="0" w:space="0" w:color="auto"/>
            <w:right w:val="none" w:sz="0" w:space="0" w:color="auto"/>
          </w:divBdr>
        </w:div>
        <w:div w:id="622345793">
          <w:marLeft w:val="0"/>
          <w:marRight w:val="0"/>
          <w:marTop w:val="0"/>
          <w:marBottom w:val="0"/>
          <w:divBdr>
            <w:top w:val="none" w:sz="0" w:space="0" w:color="auto"/>
            <w:left w:val="none" w:sz="0" w:space="0" w:color="auto"/>
            <w:bottom w:val="none" w:sz="0" w:space="0" w:color="auto"/>
            <w:right w:val="none" w:sz="0" w:space="0" w:color="auto"/>
          </w:divBdr>
        </w:div>
        <w:div w:id="1524858168">
          <w:marLeft w:val="0"/>
          <w:marRight w:val="0"/>
          <w:marTop w:val="0"/>
          <w:marBottom w:val="0"/>
          <w:divBdr>
            <w:top w:val="none" w:sz="0" w:space="0" w:color="auto"/>
            <w:left w:val="none" w:sz="0" w:space="0" w:color="auto"/>
            <w:bottom w:val="none" w:sz="0" w:space="0" w:color="auto"/>
            <w:right w:val="none" w:sz="0" w:space="0" w:color="auto"/>
          </w:divBdr>
        </w:div>
        <w:div w:id="1789396612">
          <w:marLeft w:val="0"/>
          <w:marRight w:val="0"/>
          <w:marTop w:val="0"/>
          <w:marBottom w:val="0"/>
          <w:divBdr>
            <w:top w:val="none" w:sz="0" w:space="0" w:color="auto"/>
            <w:left w:val="none" w:sz="0" w:space="0" w:color="auto"/>
            <w:bottom w:val="none" w:sz="0" w:space="0" w:color="auto"/>
            <w:right w:val="none" w:sz="0" w:space="0" w:color="auto"/>
          </w:divBdr>
        </w:div>
      </w:divsChild>
    </w:div>
    <w:div w:id="83576775">
      <w:bodyDiv w:val="1"/>
      <w:marLeft w:val="0"/>
      <w:marRight w:val="0"/>
      <w:marTop w:val="0"/>
      <w:marBottom w:val="0"/>
      <w:divBdr>
        <w:top w:val="none" w:sz="0" w:space="0" w:color="auto"/>
        <w:left w:val="none" w:sz="0" w:space="0" w:color="auto"/>
        <w:bottom w:val="none" w:sz="0" w:space="0" w:color="auto"/>
        <w:right w:val="none" w:sz="0" w:space="0" w:color="auto"/>
      </w:divBdr>
      <w:divsChild>
        <w:div w:id="1437603234">
          <w:marLeft w:val="0"/>
          <w:marRight w:val="0"/>
          <w:marTop w:val="0"/>
          <w:marBottom w:val="0"/>
          <w:divBdr>
            <w:top w:val="none" w:sz="0" w:space="0" w:color="auto"/>
            <w:left w:val="none" w:sz="0" w:space="0" w:color="auto"/>
            <w:bottom w:val="none" w:sz="0" w:space="0" w:color="auto"/>
            <w:right w:val="none" w:sz="0" w:space="0" w:color="auto"/>
          </w:divBdr>
        </w:div>
        <w:div w:id="1744572177">
          <w:marLeft w:val="0"/>
          <w:marRight w:val="0"/>
          <w:marTop w:val="0"/>
          <w:marBottom w:val="0"/>
          <w:divBdr>
            <w:top w:val="none" w:sz="0" w:space="0" w:color="auto"/>
            <w:left w:val="none" w:sz="0" w:space="0" w:color="auto"/>
            <w:bottom w:val="none" w:sz="0" w:space="0" w:color="auto"/>
            <w:right w:val="none" w:sz="0" w:space="0" w:color="auto"/>
          </w:divBdr>
        </w:div>
      </w:divsChild>
    </w:div>
    <w:div w:id="91585404">
      <w:bodyDiv w:val="1"/>
      <w:marLeft w:val="0"/>
      <w:marRight w:val="0"/>
      <w:marTop w:val="0"/>
      <w:marBottom w:val="0"/>
      <w:divBdr>
        <w:top w:val="none" w:sz="0" w:space="0" w:color="auto"/>
        <w:left w:val="none" w:sz="0" w:space="0" w:color="auto"/>
        <w:bottom w:val="none" w:sz="0" w:space="0" w:color="auto"/>
        <w:right w:val="none" w:sz="0" w:space="0" w:color="auto"/>
      </w:divBdr>
      <w:divsChild>
        <w:div w:id="232472385">
          <w:marLeft w:val="0"/>
          <w:marRight w:val="0"/>
          <w:marTop w:val="0"/>
          <w:marBottom w:val="0"/>
          <w:divBdr>
            <w:top w:val="none" w:sz="0" w:space="0" w:color="auto"/>
            <w:left w:val="none" w:sz="0" w:space="0" w:color="auto"/>
            <w:bottom w:val="none" w:sz="0" w:space="0" w:color="auto"/>
            <w:right w:val="none" w:sz="0" w:space="0" w:color="auto"/>
          </w:divBdr>
        </w:div>
        <w:div w:id="780419352">
          <w:marLeft w:val="0"/>
          <w:marRight w:val="0"/>
          <w:marTop w:val="0"/>
          <w:marBottom w:val="0"/>
          <w:divBdr>
            <w:top w:val="none" w:sz="0" w:space="0" w:color="auto"/>
            <w:left w:val="none" w:sz="0" w:space="0" w:color="auto"/>
            <w:bottom w:val="none" w:sz="0" w:space="0" w:color="auto"/>
            <w:right w:val="none" w:sz="0" w:space="0" w:color="auto"/>
          </w:divBdr>
        </w:div>
        <w:div w:id="1441532261">
          <w:marLeft w:val="0"/>
          <w:marRight w:val="0"/>
          <w:marTop w:val="0"/>
          <w:marBottom w:val="0"/>
          <w:divBdr>
            <w:top w:val="none" w:sz="0" w:space="0" w:color="auto"/>
            <w:left w:val="none" w:sz="0" w:space="0" w:color="auto"/>
            <w:bottom w:val="none" w:sz="0" w:space="0" w:color="auto"/>
            <w:right w:val="none" w:sz="0" w:space="0" w:color="auto"/>
          </w:divBdr>
        </w:div>
        <w:div w:id="1716000800">
          <w:marLeft w:val="0"/>
          <w:marRight w:val="0"/>
          <w:marTop w:val="0"/>
          <w:marBottom w:val="0"/>
          <w:divBdr>
            <w:top w:val="none" w:sz="0" w:space="0" w:color="auto"/>
            <w:left w:val="none" w:sz="0" w:space="0" w:color="auto"/>
            <w:bottom w:val="none" w:sz="0" w:space="0" w:color="auto"/>
            <w:right w:val="none" w:sz="0" w:space="0" w:color="auto"/>
          </w:divBdr>
        </w:div>
        <w:div w:id="307906936">
          <w:marLeft w:val="0"/>
          <w:marRight w:val="0"/>
          <w:marTop w:val="0"/>
          <w:marBottom w:val="0"/>
          <w:divBdr>
            <w:top w:val="none" w:sz="0" w:space="0" w:color="auto"/>
            <w:left w:val="none" w:sz="0" w:space="0" w:color="auto"/>
            <w:bottom w:val="none" w:sz="0" w:space="0" w:color="auto"/>
            <w:right w:val="none" w:sz="0" w:space="0" w:color="auto"/>
          </w:divBdr>
        </w:div>
        <w:div w:id="602762478">
          <w:marLeft w:val="0"/>
          <w:marRight w:val="0"/>
          <w:marTop w:val="0"/>
          <w:marBottom w:val="0"/>
          <w:divBdr>
            <w:top w:val="none" w:sz="0" w:space="0" w:color="auto"/>
            <w:left w:val="none" w:sz="0" w:space="0" w:color="auto"/>
            <w:bottom w:val="none" w:sz="0" w:space="0" w:color="auto"/>
            <w:right w:val="none" w:sz="0" w:space="0" w:color="auto"/>
          </w:divBdr>
        </w:div>
      </w:divsChild>
    </w:div>
    <w:div w:id="176309722">
      <w:bodyDiv w:val="1"/>
      <w:marLeft w:val="0"/>
      <w:marRight w:val="0"/>
      <w:marTop w:val="0"/>
      <w:marBottom w:val="0"/>
      <w:divBdr>
        <w:top w:val="none" w:sz="0" w:space="0" w:color="auto"/>
        <w:left w:val="none" w:sz="0" w:space="0" w:color="auto"/>
        <w:bottom w:val="none" w:sz="0" w:space="0" w:color="auto"/>
        <w:right w:val="none" w:sz="0" w:space="0" w:color="auto"/>
      </w:divBdr>
      <w:divsChild>
        <w:div w:id="34935363">
          <w:marLeft w:val="0"/>
          <w:marRight w:val="0"/>
          <w:marTop w:val="0"/>
          <w:marBottom w:val="0"/>
          <w:divBdr>
            <w:top w:val="none" w:sz="0" w:space="0" w:color="auto"/>
            <w:left w:val="none" w:sz="0" w:space="0" w:color="auto"/>
            <w:bottom w:val="none" w:sz="0" w:space="0" w:color="auto"/>
            <w:right w:val="none" w:sz="0" w:space="0" w:color="auto"/>
          </w:divBdr>
          <w:divsChild>
            <w:div w:id="201599060">
              <w:marLeft w:val="0"/>
              <w:marRight w:val="0"/>
              <w:marTop w:val="0"/>
              <w:marBottom w:val="0"/>
              <w:divBdr>
                <w:top w:val="none" w:sz="0" w:space="0" w:color="auto"/>
                <w:left w:val="none" w:sz="0" w:space="0" w:color="auto"/>
                <w:bottom w:val="none" w:sz="0" w:space="0" w:color="auto"/>
                <w:right w:val="none" w:sz="0" w:space="0" w:color="auto"/>
              </w:divBdr>
            </w:div>
            <w:div w:id="954098874">
              <w:marLeft w:val="0"/>
              <w:marRight w:val="0"/>
              <w:marTop w:val="0"/>
              <w:marBottom w:val="0"/>
              <w:divBdr>
                <w:top w:val="none" w:sz="0" w:space="0" w:color="auto"/>
                <w:left w:val="none" w:sz="0" w:space="0" w:color="auto"/>
                <w:bottom w:val="none" w:sz="0" w:space="0" w:color="auto"/>
                <w:right w:val="none" w:sz="0" w:space="0" w:color="auto"/>
              </w:divBdr>
            </w:div>
            <w:div w:id="1121261466">
              <w:marLeft w:val="0"/>
              <w:marRight w:val="0"/>
              <w:marTop w:val="0"/>
              <w:marBottom w:val="0"/>
              <w:divBdr>
                <w:top w:val="none" w:sz="0" w:space="0" w:color="auto"/>
                <w:left w:val="none" w:sz="0" w:space="0" w:color="auto"/>
                <w:bottom w:val="none" w:sz="0" w:space="0" w:color="auto"/>
                <w:right w:val="none" w:sz="0" w:space="0" w:color="auto"/>
              </w:divBdr>
            </w:div>
          </w:divsChild>
        </w:div>
        <w:div w:id="610674612">
          <w:marLeft w:val="0"/>
          <w:marRight w:val="0"/>
          <w:marTop w:val="0"/>
          <w:marBottom w:val="0"/>
          <w:divBdr>
            <w:top w:val="none" w:sz="0" w:space="0" w:color="auto"/>
            <w:left w:val="none" w:sz="0" w:space="0" w:color="auto"/>
            <w:bottom w:val="none" w:sz="0" w:space="0" w:color="auto"/>
            <w:right w:val="none" w:sz="0" w:space="0" w:color="auto"/>
          </w:divBdr>
          <w:divsChild>
            <w:div w:id="1123306295">
              <w:marLeft w:val="0"/>
              <w:marRight w:val="0"/>
              <w:marTop w:val="0"/>
              <w:marBottom w:val="0"/>
              <w:divBdr>
                <w:top w:val="none" w:sz="0" w:space="0" w:color="auto"/>
                <w:left w:val="none" w:sz="0" w:space="0" w:color="auto"/>
                <w:bottom w:val="none" w:sz="0" w:space="0" w:color="auto"/>
                <w:right w:val="none" w:sz="0" w:space="0" w:color="auto"/>
              </w:divBdr>
            </w:div>
            <w:div w:id="511408452">
              <w:marLeft w:val="0"/>
              <w:marRight w:val="0"/>
              <w:marTop w:val="0"/>
              <w:marBottom w:val="0"/>
              <w:divBdr>
                <w:top w:val="none" w:sz="0" w:space="0" w:color="auto"/>
                <w:left w:val="none" w:sz="0" w:space="0" w:color="auto"/>
                <w:bottom w:val="none" w:sz="0" w:space="0" w:color="auto"/>
                <w:right w:val="none" w:sz="0" w:space="0" w:color="auto"/>
              </w:divBdr>
            </w:div>
            <w:div w:id="1333676189">
              <w:marLeft w:val="0"/>
              <w:marRight w:val="0"/>
              <w:marTop w:val="0"/>
              <w:marBottom w:val="0"/>
              <w:divBdr>
                <w:top w:val="none" w:sz="0" w:space="0" w:color="auto"/>
                <w:left w:val="none" w:sz="0" w:space="0" w:color="auto"/>
                <w:bottom w:val="none" w:sz="0" w:space="0" w:color="auto"/>
                <w:right w:val="none" w:sz="0" w:space="0" w:color="auto"/>
              </w:divBdr>
            </w:div>
            <w:div w:id="1272125298">
              <w:marLeft w:val="0"/>
              <w:marRight w:val="0"/>
              <w:marTop w:val="0"/>
              <w:marBottom w:val="0"/>
              <w:divBdr>
                <w:top w:val="none" w:sz="0" w:space="0" w:color="auto"/>
                <w:left w:val="none" w:sz="0" w:space="0" w:color="auto"/>
                <w:bottom w:val="none" w:sz="0" w:space="0" w:color="auto"/>
                <w:right w:val="none" w:sz="0" w:space="0" w:color="auto"/>
              </w:divBdr>
            </w:div>
            <w:div w:id="1937713119">
              <w:marLeft w:val="0"/>
              <w:marRight w:val="0"/>
              <w:marTop w:val="0"/>
              <w:marBottom w:val="0"/>
              <w:divBdr>
                <w:top w:val="none" w:sz="0" w:space="0" w:color="auto"/>
                <w:left w:val="none" w:sz="0" w:space="0" w:color="auto"/>
                <w:bottom w:val="none" w:sz="0" w:space="0" w:color="auto"/>
                <w:right w:val="none" w:sz="0" w:space="0" w:color="auto"/>
              </w:divBdr>
            </w:div>
          </w:divsChild>
        </w:div>
        <w:div w:id="715738119">
          <w:marLeft w:val="0"/>
          <w:marRight w:val="0"/>
          <w:marTop w:val="0"/>
          <w:marBottom w:val="0"/>
          <w:divBdr>
            <w:top w:val="none" w:sz="0" w:space="0" w:color="auto"/>
            <w:left w:val="none" w:sz="0" w:space="0" w:color="auto"/>
            <w:bottom w:val="none" w:sz="0" w:space="0" w:color="auto"/>
            <w:right w:val="none" w:sz="0" w:space="0" w:color="auto"/>
          </w:divBdr>
          <w:divsChild>
            <w:div w:id="998847681">
              <w:marLeft w:val="0"/>
              <w:marRight w:val="0"/>
              <w:marTop w:val="0"/>
              <w:marBottom w:val="0"/>
              <w:divBdr>
                <w:top w:val="none" w:sz="0" w:space="0" w:color="auto"/>
                <w:left w:val="none" w:sz="0" w:space="0" w:color="auto"/>
                <w:bottom w:val="none" w:sz="0" w:space="0" w:color="auto"/>
                <w:right w:val="none" w:sz="0" w:space="0" w:color="auto"/>
              </w:divBdr>
            </w:div>
            <w:div w:id="762799908">
              <w:marLeft w:val="0"/>
              <w:marRight w:val="0"/>
              <w:marTop w:val="0"/>
              <w:marBottom w:val="0"/>
              <w:divBdr>
                <w:top w:val="none" w:sz="0" w:space="0" w:color="auto"/>
                <w:left w:val="none" w:sz="0" w:space="0" w:color="auto"/>
                <w:bottom w:val="none" w:sz="0" w:space="0" w:color="auto"/>
                <w:right w:val="none" w:sz="0" w:space="0" w:color="auto"/>
              </w:divBdr>
            </w:div>
            <w:div w:id="92089839">
              <w:marLeft w:val="0"/>
              <w:marRight w:val="0"/>
              <w:marTop w:val="0"/>
              <w:marBottom w:val="0"/>
              <w:divBdr>
                <w:top w:val="none" w:sz="0" w:space="0" w:color="auto"/>
                <w:left w:val="none" w:sz="0" w:space="0" w:color="auto"/>
                <w:bottom w:val="none" w:sz="0" w:space="0" w:color="auto"/>
                <w:right w:val="none" w:sz="0" w:space="0" w:color="auto"/>
              </w:divBdr>
            </w:div>
            <w:div w:id="1271475200">
              <w:marLeft w:val="0"/>
              <w:marRight w:val="0"/>
              <w:marTop w:val="0"/>
              <w:marBottom w:val="0"/>
              <w:divBdr>
                <w:top w:val="none" w:sz="0" w:space="0" w:color="auto"/>
                <w:left w:val="none" w:sz="0" w:space="0" w:color="auto"/>
                <w:bottom w:val="none" w:sz="0" w:space="0" w:color="auto"/>
                <w:right w:val="none" w:sz="0" w:space="0" w:color="auto"/>
              </w:divBdr>
            </w:div>
            <w:div w:id="168447192">
              <w:marLeft w:val="0"/>
              <w:marRight w:val="0"/>
              <w:marTop w:val="0"/>
              <w:marBottom w:val="0"/>
              <w:divBdr>
                <w:top w:val="none" w:sz="0" w:space="0" w:color="auto"/>
                <w:left w:val="none" w:sz="0" w:space="0" w:color="auto"/>
                <w:bottom w:val="none" w:sz="0" w:space="0" w:color="auto"/>
                <w:right w:val="none" w:sz="0" w:space="0" w:color="auto"/>
              </w:divBdr>
            </w:div>
          </w:divsChild>
        </w:div>
        <w:div w:id="177699465">
          <w:marLeft w:val="0"/>
          <w:marRight w:val="0"/>
          <w:marTop w:val="0"/>
          <w:marBottom w:val="0"/>
          <w:divBdr>
            <w:top w:val="none" w:sz="0" w:space="0" w:color="auto"/>
            <w:left w:val="none" w:sz="0" w:space="0" w:color="auto"/>
            <w:bottom w:val="none" w:sz="0" w:space="0" w:color="auto"/>
            <w:right w:val="none" w:sz="0" w:space="0" w:color="auto"/>
          </w:divBdr>
          <w:divsChild>
            <w:div w:id="1398045482">
              <w:marLeft w:val="0"/>
              <w:marRight w:val="0"/>
              <w:marTop w:val="0"/>
              <w:marBottom w:val="0"/>
              <w:divBdr>
                <w:top w:val="none" w:sz="0" w:space="0" w:color="auto"/>
                <w:left w:val="none" w:sz="0" w:space="0" w:color="auto"/>
                <w:bottom w:val="none" w:sz="0" w:space="0" w:color="auto"/>
                <w:right w:val="none" w:sz="0" w:space="0" w:color="auto"/>
              </w:divBdr>
            </w:div>
            <w:div w:id="757865301">
              <w:marLeft w:val="0"/>
              <w:marRight w:val="0"/>
              <w:marTop w:val="0"/>
              <w:marBottom w:val="0"/>
              <w:divBdr>
                <w:top w:val="none" w:sz="0" w:space="0" w:color="auto"/>
                <w:left w:val="none" w:sz="0" w:space="0" w:color="auto"/>
                <w:bottom w:val="none" w:sz="0" w:space="0" w:color="auto"/>
                <w:right w:val="none" w:sz="0" w:space="0" w:color="auto"/>
              </w:divBdr>
            </w:div>
            <w:div w:id="295843859">
              <w:marLeft w:val="0"/>
              <w:marRight w:val="0"/>
              <w:marTop w:val="0"/>
              <w:marBottom w:val="0"/>
              <w:divBdr>
                <w:top w:val="none" w:sz="0" w:space="0" w:color="auto"/>
                <w:left w:val="none" w:sz="0" w:space="0" w:color="auto"/>
                <w:bottom w:val="none" w:sz="0" w:space="0" w:color="auto"/>
                <w:right w:val="none" w:sz="0" w:space="0" w:color="auto"/>
              </w:divBdr>
            </w:div>
            <w:div w:id="401803078">
              <w:marLeft w:val="0"/>
              <w:marRight w:val="0"/>
              <w:marTop w:val="0"/>
              <w:marBottom w:val="0"/>
              <w:divBdr>
                <w:top w:val="none" w:sz="0" w:space="0" w:color="auto"/>
                <w:left w:val="none" w:sz="0" w:space="0" w:color="auto"/>
                <w:bottom w:val="none" w:sz="0" w:space="0" w:color="auto"/>
                <w:right w:val="none" w:sz="0" w:space="0" w:color="auto"/>
              </w:divBdr>
            </w:div>
            <w:div w:id="576598313">
              <w:marLeft w:val="0"/>
              <w:marRight w:val="0"/>
              <w:marTop w:val="0"/>
              <w:marBottom w:val="0"/>
              <w:divBdr>
                <w:top w:val="none" w:sz="0" w:space="0" w:color="auto"/>
                <w:left w:val="none" w:sz="0" w:space="0" w:color="auto"/>
                <w:bottom w:val="none" w:sz="0" w:space="0" w:color="auto"/>
                <w:right w:val="none" w:sz="0" w:space="0" w:color="auto"/>
              </w:divBdr>
            </w:div>
          </w:divsChild>
        </w:div>
        <w:div w:id="889003781">
          <w:marLeft w:val="0"/>
          <w:marRight w:val="0"/>
          <w:marTop w:val="0"/>
          <w:marBottom w:val="0"/>
          <w:divBdr>
            <w:top w:val="none" w:sz="0" w:space="0" w:color="auto"/>
            <w:left w:val="none" w:sz="0" w:space="0" w:color="auto"/>
            <w:bottom w:val="none" w:sz="0" w:space="0" w:color="auto"/>
            <w:right w:val="none" w:sz="0" w:space="0" w:color="auto"/>
          </w:divBdr>
          <w:divsChild>
            <w:div w:id="1943763470">
              <w:marLeft w:val="0"/>
              <w:marRight w:val="0"/>
              <w:marTop w:val="0"/>
              <w:marBottom w:val="0"/>
              <w:divBdr>
                <w:top w:val="none" w:sz="0" w:space="0" w:color="auto"/>
                <w:left w:val="none" w:sz="0" w:space="0" w:color="auto"/>
                <w:bottom w:val="none" w:sz="0" w:space="0" w:color="auto"/>
                <w:right w:val="none" w:sz="0" w:space="0" w:color="auto"/>
              </w:divBdr>
            </w:div>
            <w:div w:id="353849001">
              <w:marLeft w:val="0"/>
              <w:marRight w:val="0"/>
              <w:marTop w:val="0"/>
              <w:marBottom w:val="0"/>
              <w:divBdr>
                <w:top w:val="none" w:sz="0" w:space="0" w:color="auto"/>
                <w:left w:val="none" w:sz="0" w:space="0" w:color="auto"/>
                <w:bottom w:val="none" w:sz="0" w:space="0" w:color="auto"/>
                <w:right w:val="none" w:sz="0" w:space="0" w:color="auto"/>
              </w:divBdr>
            </w:div>
            <w:div w:id="1039284993">
              <w:marLeft w:val="0"/>
              <w:marRight w:val="0"/>
              <w:marTop w:val="0"/>
              <w:marBottom w:val="0"/>
              <w:divBdr>
                <w:top w:val="none" w:sz="0" w:space="0" w:color="auto"/>
                <w:left w:val="none" w:sz="0" w:space="0" w:color="auto"/>
                <w:bottom w:val="none" w:sz="0" w:space="0" w:color="auto"/>
                <w:right w:val="none" w:sz="0" w:space="0" w:color="auto"/>
              </w:divBdr>
            </w:div>
            <w:div w:id="1056852076">
              <w:marLeft w:val="0"/>
              <w:marRight w:val="0"/>
              <w:marTop w:val="0"/>
              <w:marBottom w:val="0"/>
              <w:divBdr>
                <w:top w:val="none" w:sz="0" w:space="0" w:color="auto"/>
                <w:left w:val="none" w:sz="0" w:space="0" w:color="auto"/>
                <w:bottom w:val="none" w:sz="0" w:space="0" w:color="auto"/>
                <w:right w:val="none" w:sz="0" w:space="0" w:color="auto"/>
              </w:divBdr>
            </w:div>
            <w:div w:id="2100176049">
              <w:marLeft w:val="0"/>
              <w:marRight w:val="0"/>
              <w:marTop w:val="0"/>
              <w:marBottom w:val="0"/>
              <w:divBdr>
                <w:top w:val="none" w:sz="0" w:space="0" w:color="auto"/>
                <w:left w:val="none" w:sz="0" w:space="0" w:color="auto"/>
                <w:bottom w:val="none" w:sz="0" w:space="0" w:color="auto"/>
                <w:right w:val="none" w:sz="0" w:space="0" w:color="auto"/>
              </w:divBdr>
            </w:div>
          </w:divsChild>
        </w:div>
        <w:div w:id="628702029">
          <w:marLeft w:val="0"/>
          <w:marRight w:val="0"/>
          <w:marTop w:val="0"/>
          <w:marBottom w:val="0"/>
          <w:divBdr>
            <w:top w:val="none" w:sz="0" w:space="0" w:color="auto"/>
            <w:left w:val="none" w:sz="0" w:space="0" w:color="auto"/>
            <w:bottom w:val="none" w:sz="0" w:space="0" w:color="auto"/>
            <w:right w:val="none" w:sz="0" w:space="0" w:color="auto"/>
          </w:divBdr>
        </w:div>
      </w:divsChild>
    </w:div>
    <w:div w:id="373434298">
      <w:bodyDiv w:val="1"/>
      <w:marLeft w:val="0"/>
      <w:marRight w:val="0"/>
      <w:marTop w:val="0"/>
      <w:marBottom w:val="0"/>
      <w:divBdr>
        <w:top w:val="none" w:sz="0" w:space="0" w:color="auto"/>
        <w:left w:val="none" w:sz="0" w:space="0" w:color="auto"/>
        <w:bottom w:val="none" w:sz="0" w:space="0" w:color="auto"/>
        <w:right w:val="none" w:sz="0" w:space="0" w:color="auto"/>
      </w:divBdr>
      <w:divsChild>
        <w:div w:id="767655543">
          <w:marLeft w:val="0"/>
          <w:marRight w:val="0"/>
          <w:marTop w:val="0"/>
          <w:marBottom w:val="0"/>
          <w:divBdr>
            <w:top w:val="none" w:sz="0" w:space="0" w:color="auto"/>
            <w:left w:val="none" w:sz="0" w:space="0" w:color="auto"/>
            <w:bottom w:val="none" w:sz="0" w:space="0" w:color="auto"/>
            <w:right w:val="none" w:sz="0" w:space="0" w:color="auto"/>
          </w:divBdr>
          <w:divsChild>
            <w:div w:id="994187228">
              <w:marLeft w:val="0"/>
              <w:marRight w:val="0"/>
              <w:marTop w:val="0"/>
              <w:marBottom w:val="0"/>
              <w:divBdr>
                <w:top w:val="none" w:sz="0" w:space="0" w:color="auto"/>
                <w:left w:val="none" w:sz="0" w:space="0" w:color="auto"/>
                <w:bottom w:val="none" w:sz="0" w:space="0" w:color="auto"/>
                <w:right w:val="none" w:sz="0" w:space="0" w:color="auto"/>
              </w:divBdr>
            </w:div>
            <w:div w:id="1390107212">
              <w:marLeft w:val="0"/>
              <w:marRight w:val="0"/>
              <w:marTop w:val="0"/>
              <w:marBottom w:val="0"/>
              <w:divBdr>
                <w:top w:val="none" w:sz="0" w:space="0" w:color="auto"/>
                <w:left w:val="none" w:sz="0" w:space="0" w:color="auto"/>
                <w:bottom w:val="none" w:sz="0" w:space="0" w:color="auto"/>
                <w:right w:val="none" w:sz="0" w:space="0" w:color="auto"/>
              </w:divBdr>
            </w:div>
            <w:div w:id="730616480">
              <w:marLeft w:val="0"/>
              <w:marRight w:val="0"/>
              <w:marTop w:val="0"/>
              <w:marBottom w:val="0"/>
              <w:divBdr>
                <w:top w:val="none" w:sz="0" w:space="0" w:color="auto"/>
                <w:left w:val="none" w:sz="0" w:space="0" w:color="auto"/>
                <w:bottom w:val="none" w:sz="0" w:space="0" w:color="auto"/>
                <w:right w:val="none" w:sz="0" w:space="0" w:color="auto"/>
              </w:divBdr>
            </w:div>
            <w:div w:id="1988364313">
              <w:marLeft w:val="0"/>
              <w:marRight w:val="0"/>
              <w:marTop w:val="0"/>
              <w:marBottom w:val="0"/>
              <w:divBdr>
                <w:top w:val="none" w:sz="0" w:space="0" w:color="auto"/>
                <w:left w:val="none" w:sz="0" w:space="0" w:color="auto"/>
                <w:bottom w:val="none" w:sz="0" w:space="0" w:color="auto"/>
                <w:right w:val="none" w:sz="0" w:space="0" w:color="auto"/>
              </w:divBdr>
            </w:div>
          </w:divsChild>
        </w:div>
        <w:div w:id="1369332913">
          <w:marLeft w:val="0"/>
          <w:marRight w:val="0"/>
          <w:marTop w:val="0"/>
          <w:marBottom w:val="0"/>
          <w:divBdr>
            <w:top w:val="none" w:sz="0" w:space="0" w:color="auto"/>
            <w:left w:val="none" w:sz="0" w:space="0" w:color="auto"/>
            <w:bottom w:val="none" w:sz="0" w:space="0" w:color="auto"/>
            <w:right w:val="none" w:sz="0" w:space="0" w:color="auto"/>
          </w:divBdr>
          <w:divsChild>
            <w:div w:id="749040744">
              <w:marLeft w:val="0"/>
              <w:marRight w:val="0"/>
              <w:marTop w:val="0"/>
              <w:marBottom w:val="0"/>
              <w:divBdr>
                <w:top w:val="none" w:sz="0" w:space="0" w:color="auto"/>
                <w:left w:val="none" w:sz="0" w:space="0" w:color="auto"/>
                <w:bottom w:val="none" w:sz="0" w:space="0" w:color="auto"/>
                <w:right w:val="none" w:sz="0" w:space="0" w:color="auto"/>
              </w:divBdr>
            </w:div>
            <w:div w:id="200409811">
              <w:marLeft w:val="0"/>
              <w:marRight w:val="0"/>
              <w:marTop w:val="0"/>
              <w:marBottom w:val="0"/>
              <w:divBdr>
                <w:top w:val="none" w:sz="0" w:space="0" w:color="auto"/>
                <w:left w:val="none" w:sz="0" w:space="0" w:color="auto"/>
                <w:bottom w:val="none" w:sz="0" w:space="0" w:color="auto"/>
                <w:right w:val="none" w:sz="0" w:space="0" w:color="auto"/>
              </w:divBdr>
            </w:div>
            <w:div w:id="18683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1478">
      <w:bodyDiv w:val="1"/>
      <w:marLeft w:val="0"/>
      <w:marRight w:val="0"/>
      <w:marTop w:val="0"/>
      <w:marBottom w:val="0"/>
      <w:divBdr>
        <w:top w:val="none" w:sz="0" w:space="0" w:color="auto"/>
        <w:left w:val="none" w:sz="0" w:space="0" w:color="auto"/>
        <w:bottom w:val="none" w:sz="0" w:space="0" w:color="auto"/>
        <w:right w:val="none" w:sz="0" w:space="0" w:color="auto"/>
      </w:divBdr>
    </w:div>
    <w:div w:id="688213643">
      <w:bodyDiv w:val="1"/>
      <w:marLeft w:val="0"/>
      <w:marRight w:val="0"/>
      <w:marTop w:val="0"/>
      <w:marBottom w:val="0"/>
      <w:divBdr>
        <w:top w:val="none" w:sz="0" w:space="0" w:color="auto"/>
        <w:left w:val="none" w:sz="0" w:space="0" w:color="auto"/>
        <w:bottom w:val="none" w:sz="0" w:space="0" w:color="auto"/>
        <w:right w:val="none" w:sz="0" w:space="0" w:color="auto"/>
      </w:divBdr>
      <w:divsChild>
        <w:div w:id="1583638835">
          <w:marLeft w:val="0"/>
          <w:marRight w:val="0"/>
          <w:marTop w:val="0"/>
          <w:marBottom w:val="0"/>
          <w:divBdr>
            <w:top w:val="none" w:sz="0" w:space="0" w:color="auto"/>
            <w:left w:val="none" w:sz="0" w:space="0" w:color="auto"/>
            <w:bottom w:val="none" w:sz="0" w:space="0" w:color="auto"/>
            <w:right w:val="none" w:sz="0" w:space="0" w:color="auto"/>
          </w:divBdr>
        </w:div>
        <w:div w:id="1757819841">
          <w:marLeft w:val="0"/>
          <w:marRight w:val="0"/>
          <w:marTop w:val="0"/>
          <w:marBottom w:val="0"/>
          <w:divBdr>
            <w:top w:val="none" w:sz="0" w:space="0" w:color="auto"/>
            <w:left w:val="none" w:sz="0" w:space="0" w:color="auto"/>
            <w:bottom w:val="none" w:sz="0" w:space="0" w:color="auto"/>
            <w:right w:val="none" w:sz="0" w:space="0" w:color="auto"/>
          </w:divBdr>
        </w:div>
        <w:div w:id="2136943318">
          <w:marLeft w:val="0"/>
          <w:marRight w:val="0"/>
          <w:marTop w:val="0"/>
          <w:marBottom w:val="0"/>
          <w:divBdr>
            <w:top w:val="none" w:sz="0" w:space="0" w:color="auto"/>
            <w:left w:val="none" w:sz="0" w:space="0" w:color="auto"/>
            <w:bottom w:val="none" w:sz="0" w:space="0" w:color="auto"/>
            <w:right w:val="none" w:sz="0" w:space="0" w:color="auto"/>
          </w:divBdr>
        </w:div>
        <w:div w:id="1801026863">
          <w:marLeft w:val="0"/>
          <w:marRight w:val="0"/>
          <w:marTop w:val="0"/>
          <w:marBottom w:val="0"/>
          <w:divBdr>
            <w:top w:val="none" w:sz="0" w:space="0" w:color="auto"/>
            <w:left w:val="none" w:sz="0" w:space="0" w:color="auto"/>
            <w:bottom w:val="none" w:sz="0" w:space="0" w:color="auto"/>
            <w:right w:val="none" w:sz="0" w:space="0" w:color="auto"/>
          </w:divBdr>
        </w:div>
      </w:divsChild>
    </w:div>
    <w:div w:id="739787652">
      <w:bodyDiv w:val="1"/>
      <w:marLeft w:val="0"/>
      <w:marRight w:val="0"/>
      <w:marTop w:val="0"/>
      <w:marBottom w:val="0"/>
      <w:divBdr>
        <w:top w:val="none" w:sz="0" w:space="0" w:color="auto"/>
        <w:left w:val="none" w:sz="0" w:space="0" w:color="auto"/>
        <w:bottom w:val="none" w:sz="0" w:space="0" w:color="auto"/>
        <w:right w:val="none" w:sz="0" w:space="0" w:color="auto"/>
      </w:divBdr>
      <w:divsChild>
        <w:div w:id="90051814">
          <w:marLeft w:val="0"/>
          <w:marRight w:val="0"/>
          <w:marTop w:val="0"/>
          <w:marBottom w:val="0"/>
          <w:divBdr>
            <w:top w:val="none" w:sz="0" w:space="0" w:color="auto"/>
            <w:left w:val="none" w:sz="0" w:space="0" w:color="auto"/>
            <w:bottom w:val="none" w:sz="0" w:space="0" w:color="auto"/>
            <w:right w:val="none" w:sz="0" w:space="0" w:color="auto"/>
          </w:divBdr>
        </w:div>
        <w:div w:id="1427767641">
          <w:marLeft w:val="0"/>
          <w:marRight w:val="0"/>
          <w:marTop w:val="0"/>
          <w:marBottom w:val="0"/>
          <w:divBdr>
            <w:top w:val="none" w:sz="0" w:space="0" w:color="auto"/>
            <w:left w:val="none" w:sz="0" w:space="0" w:color="auto"/>
            <w:bottom w:val="none" w:sz="0" w:space="0" w:color="auto"/>
            <w:right w:val="none" w:sz="0" w:space="0" w:color="auto"/>
          </w:divBdr>
          <w:divsChild>
            <w:div w:id="512720026">
              <w:marLeft w:val="0"/>
              <w:marRight w:val="0"/>
              <w:marTop w:val="0"/>
              <w:marBottom w:val="0"/>
              <w:divBdr>
                <w:top w:val="none" w:sz="0" w:space="0" w:color="auto"/>
                <w:left w:val="none" w:sz="0" w:space="0" w:color="auto"/>
                <w:bottom w:val="none" w:sz="0" w:space="0" w:color="auto"/>
                <w:right w:val="none" w:sz="0" w:space="0" w:color="auto"/>
              </w:divBdr>
            </w:div>
            <w:div w:id="653949574">
              <w:marLeft w:val="0"/>
              <w:marRight w:val="0"/>
              <w:marTop w:val="0"/>
              <w:marBottom w:val="0"/>
              <w:divBdr>
                <w:top w:val="none" w:sz="0" w:space="0" w:color="auto"/>
                <w:left w:val="none" w:sz="0" w:space="0" w:color="auto"/>
                <w:bottom w:val="none" w:sz="0" w:space="0" w:color="auto"/>
                <w:right w:val="none" w:sz="0" w:space="0" w:color="auto"/>
              </w:divBdr>
            </w:div>
            <w:div w:id="1042629547">
              <w:marLeft w:val="0"/>
              <w:marRight w:val="0"/>
              <w:marTop w:val="0"/>
              <w:marBottom w:val="0"/>
              <w:divBdr>
                <w:top w:val="none" w:sz="0" w:space="0" w:color="auto"/>
                <w:left w:val="none" w:sz="0" w:space="0" w:color="auto"/>
                <w:bottom w:val="none" w:sz="0" w:space="0" w:color="auto"/>
                <w:right w:val="none" w:sz="0" w:space="0" w:color="auto"/>
              </w:divBdr>
            </w:div>
            <w:div w:id="532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4037">
      <w:bodyDiv w:val="1"/>
      <w:marLeft w:val="0"/>
      <w:marRight w:val="0"/>
      <w:marTop w:val="0"/>
      <w:marBottom w:val="0"/>
      <w:divBdr>
        <w:top w:val="none" w:sz="0" w:space="0" w:color="auto"/>
        <w:left w:val="none" w:sz="0" w:space="0" w:color="auto"/>
        <w:bottom w:val="none" w:sz="0" w:space="0" w:color="auto"/>
        <w:right w:val="none" w:sz="0" w:space="0" w:color="auto"/>
      </w:divBdr>
      <w:divsChild>
        <w:div w:id="1347823324">
          <w:marLeft w:val="0"/>
          <w:marRight w:val="0"/>
          <w:marTop w:val="0"/>
          <w:marBottom w:val="0"/>
          <w:divBdr>
            <w:top w:val="none" w:sz="0" w:space="0" w:color="auto"/>
            <w:left w:val="none" w:sz="0" w:space="0" w:color="auto"/>
            <w:bottom w:val="none" w:sz="0" w:space="0" w:color="auto"/>
            <w:right w:val="none" w:sz="0" w:space="0" w:color="auto"/>
          </w:divBdr>
          <w:divsChild>
            <w:div w:id="2030374874">
              <w:marLeft w:val="0"/>
              <w:marRight w:val="0"/>
              <w:marTop w:val="0"/>
              <w:marBottom w:val="0"/>
              <w:divBdr>
                <w:top w:val="none" w:sz="0" w:space="0" w:color="auto"/>
                <w:left w:val="none" w:sz="0" w:space="0" w:color="auto"/>
                <w:bottom w:val="none" w:sz="0" w:space="0" w:color="auto"/>
                <w:right w:val="none" w:sz="0" w:space="0" w:color="auto"/>
              </w:divBdr>
            </w:div>
            <w:div w:id="364865102">
              <w:marLeft w:val="0"/>
              <w:marRight w:val="0"/>
              <w:marTop w:val="0"/>
              <w:marBottom w:val="0"/>
              <w:divBdr>
                <w:top w:val="none" w:sz="0" w:space="0" w:color="auto"/>
                <w:left w:val="none" w:sz="0" w:space="0" w:color="auto"/>
                <w:bottom w:val="none" w:sz="0" w:space="0" w:color="auto"/>
                <w:right w:val="none" w:sz="0" w:space="0" w:color="auto"/>
              </w:divBdr>
            </w:div>
            <w:div w:id="1469198760">
              <w:marLeft w:val="0"/>
              <w:marRight w:val="0"/>
              <w:marTop w:val="0"/>
              <w:marBottom w:val="0"/>
              <w:divBdr>
                <w:top w:val="none" w:sz="0" w:space="0" w:color="auto"/>
                <w:left w:val="none" w:sz="0" w:space="0" w:color="auto"/>
                <w:bottom w:val="none" w:sz="0" w:space="0" w:color="auto"/>
                <w:right w:val="none" w:sz="0" w:space="0" w:color="auto"/>
              </w:divBdr>
            </w:div>
            <w:div w:id="47269958">
              <w:marLeft w:val="0"/>
              <w:marRight w:val="0"/>
              <w:marTop w:val="0"/>
              <w:marBottom w:val="0"/>
              <w:divBdr>
                <w:top w:val="none" w:sz="0" w:space="0" w:color="auto"/>
                <w:left w:val="none" w:sz="0" w:space="0" w:color="auto"/>
                <w:bottom w:val="none" w:sz="0" w:space="0" w:color="auto"/>
                <w:right w:val="none" w:sz="0" w:space="0" w:color="auto"/>
              </w:divBdr>
            </w:div>
          </w:divsChild>
        </w:div>
        <w:div w:id="644042484">
          <w:marLeft w:val="0"/>
          <w:marRight w:val="0"/>
          <w:marTop w:val="0"/>
          <w:marBottom w:val="0"/>
          <w:divBdr>
            <w:top w:val="none" w:sz="0" w:space="0" w:color="auto"/>
            <w:left w:val="none" w:sz="0" w:space="0" w:color="auto"/>
            <w:bottom w:val="none" w:sz="0" w:space="0" w:color="auto"/>
            <w:right w:val="none" w:sz="0" w:space="0" w:color="auto"/>
          </w:divBdr>
          <w:divsChild>
            <w:div w:id="1246652878">
              <w:marLeft w:val="0"/>
              <w:marRight w:val="0"/>
              <w:marTop w:val="0"/>
              <w:marBottom w:val="0"/>
              <w:divBdr>
                <w:top w:val="none" w:sz="0" w:space="0" w:color="auto"/>
                <w:left w:val="none" w:sz="0" w:space="0" w:color="auto"/>
                <w:bottom w:val="none" w:sz="0" w:space="0" w:color="auto"/>
                <w:right w:val="none" w:sz="0" w:space="0" w:color="auto"/>
              </w:divBdr>
            </w:div>
            <w:div w:id="2127037308">
              <w:marLeft w:val="0"/>
              <w:marRight w:val="0"/>
              <w:marTop w:val="0"/>
              <w:marBottom w:val="0"/>
              <w:divBdr>
                <w:top w:val="none" w:sz="0" w:space="0" w:color="auto"/>
                <w:left w:val="none" w:sz="0" w:space="0" w:color="auto"/>
                <w:bottom w:val="none" w:sz="0" w:space="0" w:color="auto"/>
                <w:right w:val="none" w:sz="0" w:space="0" w:color="auto"/>
              </w:divBdr>
            </w:div>
            <w:div w:id="1447582460">
              <w:marLeft w:val="0"/>
              <w:marRight w:val="0"/>
              <w:marTop w:val="0"/>
              <w:marBottom w:val="0"/>
              <w:divBdr>
                <w:top w:val="none" w:sz="0" w:space="0" w:color="auto"/>
                <w:left w:val="none" w:sz="0" w:space="0" w:color="auto"/>
                <w:bottom w:val="none" w:sz="0" w:space="0" w:color="auto"/>
                <w:right w:val="none" w:sz="0" w:space="0" w:color="auto"/>
              </w:divBdr>
            </w:div>
            <w:div w:id="1688946035">
              <w:marLeft w:val="0"/>
              <w:marRight w:val="0"/>
              <w:marTop w:val="0"/>
              <w:marBottom w:val="0"/>
              <w:divBdr>
                <w:top w:val="none" w:sz="0" w:space="0" w:color="auto"/>
                <w:left w:val="none" w:sz="0" w:space="0" w:color="auto"/>
                <w:bottom w:val="none" w:sz="0" w:space="0" w:color="auto"/>
                <w:right w:val="none" w:sz="0" w:space="0" w:color="auto"/>
              </w:divBdr>
            </w:div>
            <w:div w:id="1998681637">
              <w:marLeft w:val="0"/>
              <w:marRight w:val="0"/>
              <w:marTop w:val="0"/>
              <w:marBottom w:val="0"/>
              <w:divBdr>
                <w:top w:val="none" w:sz="0" w:space="0" w:color="auto"/>
                <w:left w:val="none" w:sz="0" w:space="0" w:color="auto"/>
                <w:bottom w:val="none" w:sz="0" w:space="0" w:color="auto"/>
                <w:right w:val="none" w:sz="0" w:space="0" w:color="auto"/>
              </w:divBdr>
            </w:div>
          </w:divsChild>
        </w:div>
        <w:div w:id="147285984">
          <w:marLeft w:val="0"/>
          <w:marRight w:val="0"/>
          <w:marTop w:val="0"/>
          <w:marBottom w:val="0"/>
          <w:divBdr>
            <w:top w:val="none" w:sz="0" w:space="0" w:color="auto"/>
            <w:left w:val="none" w:sz="0" w:space="0" w:color="auto"/>
            <w:bottom w:val="none" w:sz="0" w:space="0" w:color="auto"/>
            <w:right w:val="none" w:sz="0" w:space="0" w:color="auto"/>
          </w:divBdr>
        </w:div>
      </w:divsChild>
    </w:div>
    <w:div w:id="997880235">
      <w:bodyDiv w:val="1"/>
      <w:marLeft w:val="0"/>
      <w:marRight w:val="0"/>
      <w:marTop w:val="0"/>
      <w:marBottom w:val="0"/>
      <w:divBdr>
        <w:top w:val="none" w:sz="0" w:space="0" w:color="auto"/>
        <w:left w:val="none" w:sz="0" w:space="0" w:color="auto"/>
        <w:bottom w:val="none" w:sz="0" w:space="0" w:color="auto"/>
        <w:right w:val="none" w:sz="0" w:space="0" w:color="auto"/>
      </w:divBdr>
      <w:divsChild>
        <w:div w:id="267469160">
          <w:marLeft w:val="0"/>
          <w:marRight w:val="0"/>
          <w:marTop w:val="0"/>
          <w:marBottom w:val="0"/>
          <w:divBdr>
            <w:top w:val="none" w:sz="0" w:space="0" w:color="auto"/>
            <w:left w:val="none" w:sz="0" w:space="0" w:color="auto"/>
            <w:bottom w:val="none" w:sz="0" w:space="0" w:color="auto"/>
            <w:right w:val="none" w:sz="0" w:space="0" w:color="auto"/>
          </w:divBdr>
        </w:div>
        <w:div w:id="1185829649">
          <w:marLeft w:val="0"/>
          <w:marRight w:val="0"/>
          <w:marTop w:val="0"/>
          <w:marBottom w:val="0"/>
          <w:divBdr>
            <w:top w:val="none" w:sz="0" w:space="0" w:color="auto"/>
            <w:left w:val="none" w:sz="0" w:space="0" w:color="auto"/>
            <w:bottom w:val="none" w:sz="0" w:space="0" w:color="auto"/>
            <w:right w:val="none" w:sz="0" w:space="0" w:color="auto"/>
          </w:divBdr>
        </w:div>
        <w:div w:id="1357123717">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3180083">
      <w:bodyDiv w:val="1"/>
      <w:marLeft w:val="0"/>
      <w:marRight w:val="0"/>
      <w:marTop w:val="0"/>
      <w:marBottom w:val="0"/>
      <w:divBdr>
        <w:top w:val="none" w:sz="0" w:space="0" w:color="auto"/>
        <w:left w:val="none" w:sz="0" w:space="0" w:color="auto"/>
        <w:bottom w:val="none" w:sz="0" w:space="0" w:color="auto"/>
        <w:right w:val="none" w:sz="0" w:space="0" w:color="auto"/>
      </w:divBdr>
      <w:divsChild>
        <w:div w:id="1940209449">
          <w:marLeft w:val="0"/>
          <w:marRight w:val="0"/>
          <w:marTop w:val="0"/>
          <w:marBottom w:val="0"/>
          <w:divBdr>
            <w:top w:val="none" w:sz="0" w:space="0" w:color="auto"/>
            <w:left w:val="none" w:sz="0" w:space="0" w:color="auto"/>
            <w:bottom w:val="none" w:sz="0" w:space="0" w:color="auto"/>
            <w:right w:val="none" w:sz="0" w:space="0" w:color="auto"/>
          </w:divBdr>
        </w:div>
        <w:div w:id="445151053">
          <w:marLeft w:val="0"/>
          <w:marRight w:val="0"/>
          <w:marTop w:val="0"/>
          <w:marBottom w:val="0"/>
          <w:divBdr>
            <w:top w:val="none" w:sz="0" w:space="0" w:color="auto"/>
            <w:left w:val="none" w:sz="0" w:space="0" w:color="auto"/>
            <w:bottom w:val="none" w:sz="0" w:space="0" w:color="auto"/>
            <w:right w:val="none" w:sz="0" w:space="0" w:color="auto"/>
          </w:divBdr>
        </w:div>
        <w:div w:id="1938439798">
          <w:marLeft w:val="0"/>
          <w:marRight w:val="0"/>
          <w:marTop w:val="0"/>
          <w:marBottom w:val="0"/>
          <w:divBdr>
            <w:top w:val="none" w:sz="0" w:space="0" w:color="auto"/>
            <w:left w:val="none" w:sz="0" w:space="0" w:color="auto"/>
            <w:bottom w:val="none" w:sz="0" w:space="0" w:color="auto"/>
            <w:right w:val="none" w:sz="0" w:space="0" w:color="auto"/>
          </w:divBdr>
        </w:div>
      </w:divsChild>
    </w:div>
    <w:div w:id="1222137330">
      <w:bodyDiv w:val="1"/>
      <w:marLeft w:val="0"/>
      <w:marRight w:val="0"/>
      <w:marTop w:val="0"/>
      <w:marBottom w:val="0"/>
      <w:divBdr>
        <w:top w:val="none" w:sz="0" w:space="0" w:color="auto"/>
        <w:left w:val="none" w:sz="0" w:space="0" w:color="auto"/>
        <w:bottom w:val="none" w:sz="0" w:space="0" w:color="auto"/>
        <w:right w:val="none" w:sz="0" w:space="0" w:color="auto"/>
      </w:divBdr>
      <w:divsChild>
        <w:div w:id="862942508">
          <w:marLeft w:val="0"/>
          <w:marRight w:val="0"/>
          <w:marTop w:val="0"/>
          <w:marBottom w:val="0"/>
          <w:divBdr>
            <w:top w:val="none" w:sz="0" w:space="0" w:color="auto"/>
            <w:left w:val="none" w:sz="0" w:space="0" w:color="auto"/>
            <w:bottom w:val="none" w:sz="0" w:space="0" w:color="auto"/>
            <w:right w:val="none" w:sz="0" w:space="0" w:color="auto"/>
          </w:divBdr>
        </w:div>
        <w:div w:id="1331711403">
          <w:marLeft w:val="0"/>
          <w:marRight w:val="0"/>
          <w:marTop w:val="0"/>
          <w:marBottom w:val="0"/>
          <w:divBdr>
            <w:top w:val="none" w:sz="0" w:space="0" w:color="auto"/>
            <w:left w:val="none" w:sz="0" w:space="0" w:color="auto"/>
            <w:bottom w:val="none" w:sz="0" w:space="0" w:color="auto"/>
            <w:right w:val="none" w:sz="0" w:space="0" w:color="auto"/>
          </w:divBdr>
        </w:div>
        <w:div w:id="2081824204">
          <w:marLeft w:val="0"/>
          <w:marRight w:val="0"/>
          <w:marTop w:val="0"/>
          <w:marBottom w:val="0"/>
          <w:divBdr>
            <w:top w:val="none" w:sz="0" w:space="0" w:color="auto"/>
            <w:left w:val="none" w:sz="0" w:space="0" w:color="auto"/>
            <w:bottom w:val="none" w:sz="0" w:space="0" w:color="auto"/>
            <w:right w:val="none" w:sz="0" w:space="0" w:color="auto"/>
          </w:divBdr>
          <w:divsChild>
            <w:div w:id="1006597606">
              <w:marLeft w:val="0"/>
              <w:marRight w:val="0"/>
              <w:marTop w:val="0"/>
              <w:marBottom w:val="0"/>
              <w:divBdr>
                <w:top w:val="none" w:sz="0" w:space="0" w:color="auto"/>
                <w:left w:val="none" w:sz="0" w:space="0" w:color="auto"/>
                <w:bottom w:val="none" w:sz="0" w:space="0" w:color="auto"/>
                <w:right w:val="none" w:sz="0" w:space="0" w:color="auto"/>
              </w:divBdr>
            </w:div>
            <w:div w:id="763454300">
              <w:marLeft w:val="0"/>
              <w:marRight w:val="0"/>
              <w:marTop w:val="0"/>
              <w:marBottom w:val="0"/>
              <w:divBdr>
                <w:top w:val="none" w:sz="0" w:space="0" w:color="auto"/>
                <w:left w:val="none" w:sz="0" w:space="0" w:color="auto"/>
                <w:bottom w:val="none" w:sz="0" w:space="0" w:color="auto"/>
                <w:right w:val="none" w:sz="0" w:space="0" w:color="auto"/>
              </w:divBdr>
            </w:div>
            <w:div w:id="1823618941">
              <w:marLeft w:val="0"/>
              <w:marRight w:val="0"/>
              <w:marTop w:val="0"/>
              <w:marBottom w:val="0"/>
              <w:divBdr>
                <w:top w:val="none" w:sz="0" w:space="0" w:color="auto"/>
                <w:left w:val="none" w:sz="0" w:space="0" w:color="auto"/>
                <w:bottom w:val="none" w:sz="0" w:space="0" w:color="auto"/>
                <w:right w:val="none" w:sz="0" w:space="0" w:color="auto"/>
              </w:divBdr>
            </w:div>
            <w:div w:id="1041788719">
              <w:marLeft w:val="0"/>
              <w:marRight w:val="0"/>
              <w:marTop w:val="0"/>
              <w:marBottom w:val="0"/>
              <w:divBdr>
                <w:top w:val="none" w:sz="0" w:space="0" w:color="auto"/>
                <w:left w:val="none" w:sz="0" w:space="0" w:color="auto"/>
                <w:bottom w:val="none" w:sz="0" w:space="0" w:color="auto"/>
                <w:right w:val="none" w:sz="0" w:space="0" w:color="auto"/>
              </w:divBdr>
            </w:div>
            <w:div w:id="1544560478">
              <w:marLeft w:val="0"/>
              <w:marRight w:val="0"/>
              <w:marTop w:val="0"/>
              <w:marBottom w:val="0"/>
              <w:divBdr>
                <w:top w:val="none" w:sz="0" w:space="0" w:color="auto"/>
                <w:left w:val="none" w:sz="0" w:space="0" w:color="auto"/>
                <w:bottom w:val="none" w:sz="0" w:space="0" w:color="auto"/>
                <w:right w:val="none" w:sz="0" w:space="0" w:color="auto"/>
              </w:divBdr>
            </w:div>
          </w:divsChild>
        </w:div>
        <w:div w:id="2121487996">
          <w:marLeft w:val="0"/>
          <w:marRight w:val="0"/>
          <w:marTop w:val="0"/>
          <w:marBottom w:val="0"/>
          <w:divBdr>
            <w:top w:val="none" w:sz="0" w:space="0" w:color="auto"/>
            <w:left w:val="none" w:sz="0" w:space="0" w:color="auto"/>
            <w:bottom w:val="none" w:sz="0" w:space="0" w:color="auto"/>
            <w:right w:val="none" w:sz="0" w:space="0" w:color="auto"/>
          </w:divBdr>
          <w:divsChild>
            <w:div w:id="988634472">
              <w:marLeft w:val="0"/>
              <w:marRight w:val="0"/>
              <w:marTop w:val="0"/>
              <w:marBottom w:val="0"/>
              <w:divBdr>
                <w:top w:val="none" w:sz="0" w:space="0" w:color="auto"/>
                <w:left w:val="none" w:sz="0" w:space="0" w:color="auto"/>
                <w:bottom w:val="none" w:sz="0" w:space="0" w:color="auto"/>
                <w:right w:val="none" w:sz="0" w:space="0" w:color="auto"/>
              </w:divBdr>
            </w:div>
          </w:divsChild>
        </w:div>
        <w:div w:id="1040940689">
          <w:marLeft w:val="0"/>
          <w:marRight w:val="0"/>
          <w:marTop w:val="0"/>
          <w:marBottom w:val="0"/>
          <w:divBdr>
            <w:top w:val="none" w:sz="0" w:space="0" w:color="auto"/>
            <w:left w:val="none" w:sz="0" w:space="0" w:color="auto"/>
            <w:bottom w:val="none" w:sz="0" w:space="0" w:color="auto"/>
            <w:right w:val="none" w:sz="0" w:space="0" w:color="auto"/>
          </w:divBdr>
          <w:divsChild>
            <w:div w:id="1364599751">
              <w:marLeft w:val="0"/>
              <w:marRight w:val="0"/>
              <w:marTop w:val="0"/>
              <w:marBottom w:val="0"/>
              <w:divBdr>
                <w:top w:val="none" w:sz="0" w:space="0" w:color="auto"/>
                <w:left w:val="none" w:sz="0" w:space="0" w:color="auto"/>
                <w:bottom w:val="none" w:sz="0" w:space="0" w:color="auto"/>
                <w:right w:val="none" w:sz="0" w:space="0" w:color="auto"/>
              </w:divBdr>
            </w:div>
            <w:div w:id="368147179">
              <w:marLeft w:val="0"/>
              <w:marRight w:val="0"/>
              <w:marTop w:val="0"/>
              <w:marBottom w:val="0"/>
              <w:divBdr>
                <w:top w:val="none" w:sz="0" w:space="0" w:color="auto"/>
                <w:left w:val="none" w:sz="0" w:space="0" w:color="auto"/>
                <w:bottom w:val="none" w:sz="0" w:space="0" w:color="auto"/>
                <w:right w:val="none" w:sz="0" w:space="0" w:color="auto"/>
              </w:divBdr>
            </w:div>
            <w:div w:id="2094669192">
              <w:marLeft w:val="0"/>
              <w:marRight w:val="0"/>
              <w:marTop w:val="0"/>
              <w:marBottom w:val="0"/>
              <w:divBdr>
                <w:top w:val="none" w:sz="0" w:space="0" w:color="auto"/>
                <w:left w:val="none" w:sz="0" w:space="0" w:color="auto"/>
                <w:bottom w:val="none" w:sz="0" w:space="0" w:color="auto"/>
                <w:right w:val="none" w:sz="0" w:space="0" w:color="auto"/>
              </w:divBdr>
            </w:div>
            <w:div w:id="1254626849">
              <w:marLeft w:val="0"/>
              <w:marRight w:val="0"/>
              <w:marTop w:val="0"/>
              <w:marBottom w:val="0"/>
              <w:divBdr>
                <w:top w:val="none" w:sz="0" w:space="0" w:color="auto"/>
                <w:left w:val="none" w:sz="0" w:space="0" w:color="auto"/>
                <w:bottom w:val="none" w:sz="0" w:space="0" w:color="auto"/>
                <w:right w:val="none" w:sz="0" w:space="0" w:color="auto"/>
              </w:divBdr>
            </w:div>
            <w:div w:id="1953972320">
              <w:marLeft w:val="0"/>
              <w:marRight w:val="0"/>
              <w:marTop w:val="0"/>
              <w:marBottom w:val="0"/>
              <w:divBdr>
                <w:top w:val="none" w:sz="0" w:space="0" w:color="auto"/>
                <w:left w:val="none" w:sz="0" w:space="0" w:color="auto"/>
                <w:bottom w:val="none" w:sz="0" w:space="0" w:color="auto"/>
                <w:right w:val="none" w:sz="0" w:space="0" w:color="auto"/>
              </w:divBdr>
            </w:div>
          </w:divsChild>
        </w:div>
        <w:div w:id="1307319115">
          <w:marLeft w:val="0"/>
          <w:marRight w:val="0"/>
          <w:marTop w:val="0"/>
          <w:marBottom w:val="0"/>
          <w:divBdr>
            <w:top w:val="none" w:sz="0" w:space="0" w:color="auto"/>
            <w:left w:val="none" w:sz="0" w:space="0" w:color="auto"/>
            <w:bottom w:val="none" w:sz="0" w:space="0" w:color="auto"/>
            <w:right w:val="none" w:sz="0" w:space="0" w:color="auto"/>
          </w:divBdr>
          <w:divsChild>
            <w:div w:id="1798719712">
              <w:marLeft w:val="0"/>
              <w:marRight w:val="0"/>
              <w:marTop w:val="0"/>
              <w:marBottom w:val="0"/>
              <w:divBdr>
                <w:top w:val="none" w:sz="0" w:space="0" w:color="auto"/>
                <w:left w:val="none" w:sz="0" w:space="0" w:color="auto"/>
                <w:bottom w:val="none" w:sz="0" w:space="0" w:color="auto"/>
                <w:right w:val="none" w:sz="0" w:space="0" w:color="auto"/>
              </w:divBdr>
            </w:div>
            <w:div w:id="504365868">
              <w:marLeft w:val="0"/>
              <w:marRight w:val="0"/>
              <w:marTop w:val="0"/>
              <w:marBottom w:val="0"/>
              <w:divBdr>
                <w:top w:val="none" w:sz="0" w:space="0" w:color="auto"/>
                <w:left w:val="none" w:sz="0" w:space="0" w:color="auto"/>
                <w:bottom w:val="none" w:sz="0" w:space="0" w:color="auto"/>
                <w:right w:val="none" w:sz="0" w:space="0" w:color="auto"/>
              </w:divBdr>
            </w:div>
            <w:div w:id="1667710688">
              <w:marLeft w:val="0"/>
              <w:marRight w:val="0"/>
              <w:marTop w:val="0"/>
              <w:marBottom w:val="0"/>
              <w:divBdr>
                <w:top w:val="none" w:sz="0" w:space="0" w:color="auto"/>
                <w:left w:val="none" w:sz="0" w:space="0" w:color="auto"/>
                <w:bottom w:val="none" w:sz="0" w:space="0" w:color="auto"/>
                <w:right w:val="none" w:sz="0" w:space="0" w:color="auto"/>
              </w:divBdr>
            </w:div>
            <w:div w:id="840118494">
              <w:marLeft w:val="0"/>
              <w:marRight w:val="0"/>
              <w:marTop w:val="0"/>
              <w:marBottom w:val="0"/>
              <w:divBdr>
                <w:top w:val="none" w:sz="0" w:space="0" w:color="auto"/>
                <w:left w:val="none" w:sz="0" w:space="0" w:color="auto"/>
                <w:bottom w:val="none" w:sz="0" w:space="0" w:color="auto"/>
                <w:right w:val="none" w:sz="0" w:space="0" w:color="auto"/>
              </w:divBdr>
            </w:div>
            <w:div w:id="502865524">
              <w:marLeft w:val="0"/>
              <w:marRight w:val="0"/>
              <w:marTop w:val="0"/>
              <w:marBottom w:val="0"/>
              <w:divBdr>
                <w:top w:val="none" w:sz="0" w:space="0" w:color="auto"/>
                <w:left w:val="none" w:sz="0" w:space="0" w:color="auto"/>
                <w:bottom w:val="none" w:sz="0" w:space="0" w:color="auto"/>
                <w:right w:val="none" w:sz="0" w:space="0" w:color="auto"/>
              </w:divBdr>
            </w:div>
          </w:divsChild>
        </w:div>
        <w:div w:id="1866212504">
          <w:marLeft w:val="0"/>
          <w:marRight w:val="0"/>
          <w:marTop w:val="0"/>
          <w:marBottom w:val="0"/>
          <w:divBdr>
            <w:top w:val="none" w:sz="0" w:space="0" w:color="auto"/>
            <w:left w:val="none" w:sz="0" w:space="0" w:color="auto"/>
            <w:bottom w:val="none" w:sz="0" w:space="0" w:color="auto"/>
            <w:right w:val="none" w:sz="0" w:space="0" w:color="auto"/>
          </w:divBdr>
          <w:divsChild>
            <w:div w:id="443619698">
              <w:marLeft w:val="0"/>
              <w:marRight w:val="0"/>
              <w:marTop w:val="0"/>
              <w:marBottom w:val="0"/>
              <w:divBdr>
                <w:top w:val="none" w:sz="0" w:space="0" w:color="auto"/>
                <w:left w:val="none" w:sz="0" w:space="0" w:color="auto"/>
                <w:bottom w:val="none" w:sz="0" w:space="0" w:color="auto"/>
                <w:right w:val="none" w:sz="0" w:space="0" w:color="auto"/>
              </w:divBdr>
            </w:div>
            <w:div w:id="1913656229">
              <w:marLeft w:val="0"/>
              <w:marRight w:val="0"/>
              <w:marTop w:val="0"/>
              <w:marBottom w:val="0"/>
              <w:divBdr>
                <w:top w:val="none" w:sz="0" w:space="0" w:color="auto"/>
                <w:left w:val="none" w:sz="0" w:space="0" w:color="auto"/>
                <w:bottom w:val="none" w:sz="0" w:space="0" w:color="auto"/>
                <w:right w:val="none" w:sz="0" w:space="0" w:color="auto"/>
              </w:divBdr>
            </w:div>
            <w:div w:id="931740378">
              <w:marLeft w:val="0"/>
              <w:marRight w:val="0"/>
              <w:marTop w:val="0"/>
              <w:marBottom w:val="0"/>
              <w:divBdr>
                <w:top w:val="none" w:sz="0" w:space="0" w:color="auto"/>
                <w:left w:val="none" w:sz="0" w:space="0" w:color="auto"/>
                <w:bottom w:val="none" w:sz="0" w:space="0" w:color="auto"/>
                <w:right w:val="none" w:sz="0" w:space="0" w:color="auto"/>
              </w:divBdr>
            </w:div>
            <w:div w:id="1662808168">
              <w:marLeft w:val="0"/>
              <w:marRight w:val="0"/>
              <w:marTop w:val="0"/>
              <w:marBottom w:val="0"/>
              <w:divBdr>
                <w:top w:val="none" w:sz="0" w:space="0" w:color="auto"/>
                <w:left w:val="none" w:sz="0" w:space="0" w:color="auto"/>
                <w:bottom w:val="none" w:sz="0" w:space="0" w:color="auto"/>
                <w:right w:val="none" w:sz="0" w:space="0" w:color="auto"/>
              </w:divBdr>
            </w:div>
            <w:div w:id="1870338546">
              <w:marLeft w:val="0"/>
              <w:marRight w:val="0"/>
              <w:marTop w:val="0"/>
              <w:marBottom w:val="0"/>
              <w:divBdr>
                <w:top w:val="none" w:sz="0" w:space="0" w:color="auto"/>
                <w:left w:val="none" w:sz="0" w:space="0" w:color="auto"/>
                <w:bottom w:val="none" w:sz="0" w:space="0" w:color="auto"/>
                <w:right w:val="none" w:sz="0" w:space="0" w:color="auto"/>
              </w:divBdr>
            </w:div>
          </w:divsChild>
        </w:div>
        <w:div w:id="1745368912">
          <w:marLeft w:val="0"/>
          <w:marRight w:val="0"/>
          <w:marTop w:val="0"/>
          <w:marBottom w:val="0"/>
          <w:divBdr>
            <w:top w:val="none" w:sz="0" w:space="0" w:color="auto"/>
            <w:left w:val="none" w:sz="0" w:space="0" w:color="auto"/>
            <w:bottom w:val="none" w:sz="0" w:space="0" w:color="auto"/>
            <w:right w:val="none" w:sz="0" w:space="0" w:color="auto"/>
          </w:divBdr>
          <w:divsChild>
            <w:div w:id="1816951314">
              <w:marLeft w:val="0"/>
              <w:marRight w:val="0"/>
              <w:marTop w:val="0"/>
              <w:marBottom w:val="0"/>
              <w:divBdr>
                <w:top w:val="none" w:sz="0" w:space="0" w:color="auto"/>
                <w:left w:val="none" w:sz="0" w:space="0" w:color="auto"/>
                <w:bottom w:val="none" w:sz="0" w:space="0" w:color="auto"/>
                <w:right w:val="none" w:sz="0" w:space="0" w:color="auto"/>
              </w:divBdr>
            </w:div>
            <w:div w:id="675423342">
              <w:marLeft w:val="0"/>
              <w:marRight w:val="0"/>
              <w:marTop w:val="0"/>
              <w:marBottom w:val="0"/>
              <w:divBdr>
                <w:top w:val="none" w:sz="0" w:space="0" w:color="auto"/>
                <w:left w:val="none" w:sz="0" w:space="0" w:color="auto"/>
                <w:bottom w:val="none" w:sz="0" w:space="0" w:color="auto"/>
                <w:right w:val="none" w:sz="0" w:space="0" w:color="auto"/>
              </w:divBdr>
            </w:div>
            <w:div w:id="597249586">
              <w:marLeft w:val="0"/>
              <w:marRight w:val="0"/>
              <w:marTop w:val="0"/>
              <w:marBottom w:val="0"/>
              <w:divBdr>
                <w:top w:val="none" w:sz="0" w:space="0" w:color="auto"/>
                <w:left w:val="none" w:sz="0" w:space="0" w:color="auto"/>
                <w:bottom w:val="none" w:sz="0" w:space="0" w:color="auto"/>
                <w:right w:val="none" w:sz="0" w:space="0" w:color="auto"/>
              </w:divBdr>
            </w:div>
            <w:div w:id="812794703">
              <w:marLeft w:val="0"/>
              <w:marRight w:val="0"/>
              <w:marTop w:val="0"/>
              <w:marBottom w:val="0"/>
              <w:divBdr>
                <w:top w:val="none" w:sz="0" w:space="0" w:color="auto"/>
                <w:left w:val="none" w:sz="0" w:space="0" w:color="auto"/>
                <w:bottom w:val="none" w:sz="0" w:space="0" w:color="auto"/>
                <w:right w:val="none" w:sz="0" w:space="0" w:color="auto"/>
              </w:divBdr>
            </w:div>
            <w:div w:id="1125735873">
              <w:marLeft w:val="0"/>
              <w:marRight w:val="0"/>
              <w:marTop w:val="0"/>
              <w:marBottom w:val="0"/>
              <w:divBdr>
                <w:top w:val="none" w:sz="0" w:space="0" w:color="auto"/>
                <w:left w:val="none" w:sz="0" w:space="0" w:color="auto"/>
                <w:bottom w:val="none" w:sz="0" w:space="0" w:color="auto"/>
                <w:right w:val="none" w:sz="0" w:space="0" w:color="auto"/>
              </w:divBdr>
            </w:div>
          </w:divsChild>
        </w:div>
        <w:div w:id="1302226297">
          <w:marLeft w:val="0"/>
          <w:marRight w:val="0"/>
          <w:marTop w:val="0"/>
          <w:marBottom w:val="0"/>
          <w:divBdr>
            <w:top w:val="none" w:sz="0" w:space="0" w:color="auto"/>
            <w:left w:val="none" w:sz="0" w:space="0" w:color="auto"/>
            <w:bottom w:val="none" w:sz="0" w:space="0" w:color="auto"/>
            <w:right w:val="none" w:sz="0" w:space="0" w:color="auto"/>
          </w:divBdr>
          <w:divsChild>
            <w:div w:id="875316899">
              <w:marLeft w:val="0"/>
              <w:marRight w:val="0"/>
              <w:marTop w:val="0"/>
              <w:marBottom w:val="0"/>
              <w:divBdr>
                <w:top w:val="none" w:sz="0" w:space="0" w:color="auto"/>
                <w:left w:val="none" w:sz="0" w:space="0" w:color="auto"/>
                <w:bottom w:val="none" w:sz="0" w:space="0" w:color="auto"/>
                <w:right w:val="none" w:sz="0" w:space="0" w:color="auto"/>
              </w:divBdr>
            </w:div>
            <w:div w:id="16659576">
              <w:marLeft w:val="0"/>
              <w:marRight w:val="0"/>
              <w:marTop w:val="0"/>
              <w:marBottom w:val="0"/>
              <w:divBdr>
                <w:top w:val="none" w:sz="0" w:space="0" w:color="auto"/>
                <w:left w:val="none" w:sz="0" w:space="0" w:color="auto"/>
                <w:bottom w:val="none" w:sz="0" w:space="0" w:color="auto"/>
                <w:right w:val="none" w:sz="0" w:space="0" w:color="auto"/>
              </w:divBdr>
            </w:div>
            <w:div w:id="338166105">
              <w:marLeft w:val="0"/>
              <w:marRight w:val="0"/>
              <w:marTop w:val="0"/>
              <w:marBottom w:val="0"/>
              <w:divBdr>
                <w:top w:val="none" w:sz="0" w:space="0" w:color="auto"/>
                <w:left w:val="none" w:sz="0" w:space="0" w:color="auto"/>
                <w:bottom w:val="none" w:sz="0" w:space="0" w:color="auto"/>
                <w:right w:val="none" w:sz="0" w:space="0" w:color="auto"/>
              </w:divBdr>
            </w:div>
            <w:div w:id="824660148">
              <w:marLeft w:val="0"/>
              <w:marRight w:val="0"/>
              <w:marTop w:val="0"/>
              <w:marBottom w:val="0"/>
              <w:divBdr>
                <w:top w:val="none" w:sz="0" w:space="0" w:color="auto"/>
                <w:left w:val="none" w:sz="0" w:space="0" w:color="auto"/>
                <w:bottom w:val="none" w:sz="0" w:space="0" w:color="auto"/>
                <w:right w:val="none" w:sz="0" w:space="0" w:color="auto"/>
              </w:divBdr>
            </w:div>
            <w:div w:id="564991710">
              <w:marLeft w:val="0"/>
              <w:marRight w:val="0"/>
              <w:marTop w:val="0"/>
              <w:marBottom w:val="0"/>
              <w:divBdr>
                <w:top w:val="none" w:sz="0" w:space="0" w:color="auto"/>
                <w:left w:val="none" w:sz="0" w:space="0" w:color="auto"/>
                <w:bottom w:val="none" w:sz="0" w:space="0" w:color="auto"/>
                <w:right w:val="none" w:sz="0" w:space="0" w:color="auto"/>
              </w:divBdr>
            </w:div>
          </w:divsChild>
        </w:div>
        <w:div w:id="1417823819">
          <w:marLeft w:val="0"/>
          <w:marRight w:val="0"/>
          <w:marTop w:val="0"/>
          <w:marBottom w:val="0"/>
          <w:divBdr>
            <w:top w:val="none" w:sz="0" w:space="0" w:color="auto"/>
            <w:left w:val="none" w:sz="0" w:space="0" w:color="auto"/>
            <w:bottom w:val="none" w:sz="0" w:space="0" w:color="auto"/>
            <w:right w:val="none" w:sz="0" w:space="0" w:color="auto"/>
          </w:divBdr>
          <w:divsChild>
            <w:div w:id="802887899">
              <w:marLeft w:val="0"/>
              <w:marRight w:val="0"/>
              <w:marTop w:val="0"/>
              <w:marBottom w:val="0"/>
              <w:divBdr>
                <w:top w:val="none" w:sz="0" w:space="0" w:color="auto"/>
                <w:left w:val="none" w:sz="0" w:space="0" w:color="auto"/>
                <w:bottom w:val="none" w:sz="0" w:space="0" w:color="auto"/>
                <w:right w:val="none" w:sz="0" w:space="0" w:color="auto"/>
              </w:divBdr>
            </w:div>
            <w:div w:id="1920485441">
              <w:marLeft w:val="0"/>
              <w:marRight w:val="0"/>
              <w:marTop w:val="0"/>
              <w:marBottom w:val="0"/>
              <w:divBdr>
                <w:top w:val="none" w:sz="0" w:space="0" w:color="auto"/>
                <w:left w:val="none" w:sz="0" w:space="0" w:color="auto"/>
                <w:bottom w:val="none" w:sz="0" w:space="0" w:color="auto"/>
                <w:right w:val="none" w:sz="0" w:space="0" w:color="auto"/>
              </w:divBdr>
            </w:div>
            <w:div w:id="1107119202">
              <w:marLeft w:val="0"/>
              <w:marRight w:val="0"/>
              <w:marTop w:val="0"/>
              <w:marBottom w:val="0"/>
              <w:divBdr>
                <w:top w:val="none" w:sz="0" w:space="0" w:color="auto"/>
                <w:left w:val="none" w:sz="0" w:space="0" w:color="auto"/>
                <w:bottom w:val="none" w:sz="0" w:space="0" w:color="auto"/>
                <w:right w:val="none" w:sz="0" w:space="0" w:color="auto"/>
              </w:divBdr>
            </w:div>
            <w:div w:id="1968580935">
              <w:marLeft w:val="0"/>
              <w:marRight w:val="0"/>
              <w:marTop w:val="0"/>
              <w:marBottom w:val="0"/>
              <w:divBdr>
                <w:top w:val="none" w:sz="0" w:space="0" w:color="auto"/>
                <w:left w:val="none" w:sz="0" w:space="0" w:color="auto"/>
                <w:bottom w:val="none" w:sz="0" w:space="0" w:color="auto"/>
                <w:right w:val="none" w:sz="0" w:space="0" w:color="auto"/>
              </w:divBdr>
            </w:div>
            <w:div w:id="2002343534">
              <w:marLeft w:val="0"/>
              <w:marRight w:val="0"/>
              <w:marTop w:val="0"/>
              <w:marBottom w:val="0"/>
              <w:divBdr>
                <w:top w:val="none" w:sz="0" w:space="0" w:color="auto"/>
                <w:left w:val="none" w:sz="0" w:space="0" w:color="auto"/>
                <w:bottom w:val="none" w:sz="0" w:space="0" w:color="auto"/>
                <w:right w:val="none" w:sz="0" w:space="0" w:color="auto"/>
              </w:divBdr>
            </w:div>
          </w:divsChild>
        </w:div>
        <w:div w:id="2055811702">
          <w:marLeft w:val="0"/>
          <w:marRight w:val="0"/>
          <w:marTop w:val="0"/>
          <w:marBottom w:val="0"/>
          <w:divBdr>
            <w:top w:val="none" w:sz="0" w:space="0" w:color="auto"/>
            <w:left w:val="none" w:sz="0" w:space="0" w:color="auto"/>
            <w:bottom w:val="none" w:sz="0" w:space="0" w:color="auto"/>
            <w:right w:val="none" w:sz="0" w:space="0" w:color="auto"/>
          </w:divBdr>
          <w:divsChild>
            <w:div w:id="1363362187">
              <w:marLeft w:val="0"/>
              <w:marRight w:val="0"/>
              <w:marTop w:val="0"/>
              <w:marBottom w:val="0"/>
              <w:divBdr>
                <w:top w:val="none" w:sz="0" w:space="0" w:color="auto"/>
                <w:left w:val="none" w:sz="0" w:space="0" w:color="auto"/>
                <w:bottom w:val="none" w:sz="0" w:space="0" w:color="auto"/>
                <w:right w:val="none" w:sz="0" w:space="0" w:color="auto"/>
              </w:divBdr>
            </w:div>
            <w:div w:id="450248604">
              <w:marLeft w:val="0"/>
              <w:marRight w:val="0"/>
              <w:marTop w:val="0"/>
              <w:marBottom w:val="0"/>
              <w:divBdr>
                <w:top w:val="none" w:sz="0" w:space="0" w:color="auto"/>
                <w:left w:val="none" w:sz="0" w:space="0" w:color="auto"/>
                <w:bottom w:val="none" w:sz="0" w:space="0" w:color="auto"/>
                <w:right w:val="none" w:sz="0" w:space="0" w:color="auto"/>
              </w:divBdr>
            </w:div>
            <w:div w:id="1554147965">
              <w:marLeft w:val="0"/>
              <w:marRight w:val="0"/>
              <w:marTop w:val="0"/>
              <w:marBottom w:val="0"/>
              <w:divBdr>
                <w:top w:val="none" w:sz="0" w:space="0" w:color="auto"/>
                <w:left w:val="none" w:sz="0" w:space="0" w:color="auto"/>
                <w:bottom w:val="none" w:sz="0" w:space="0" w:color="auto"/>
                <w:right w:val="none" w:sz="0" w:space="0" w:color="auto"/>
              </w:divBdr>
            </w:div>
            <w:div w:id="1473913279">
              <w:marLeft w:val="0"/>
              <w:marRight w:val="0"/>
              <w:marTop w:val="0"/>
              <w:marBottom w:val="0"/>
              <w:divBdr>
                <w:top w:val="none" w:sz="0" w:space="0" w:color="auto"/>
                <w:left w:val="none" w:sz="0" w:space="0" w:color="auto"/>
                <w:bottom w:val="none" w:sz="0" w:space="0" w:color="auto"/>
                <w:right w:val="none" w:sz="0" w:space="0" w:color="auto"/>
              </w:divBdr>
            </w:div>
            <w:div w:id="425469714">
              <w:marLeft w:val="0"/>
              <w:marRight w:val="0"/>
              <w:marTop w:val="0"/>
              <w:marBottom w:val="0"/>
              <w:divBdr>
                <w:top w:val="none" w:sz="0" w:space="0" w:color="auto"/>
                <w:left w:val="none" w:sz="0" w:space="0" w:color="auto"/>
                <w:bottom w:val="none" w:sz="0" w:space="0" w:color="auto"/>
                <w:right w:val="none" w:sz="0" w:space="0" w:color="auto"/>
              </w:divBdr>
            </w:div>
          </w:divsChild>
        </w:div>
        <w:div w:id="161315791">
          <w:marLeft w:val="0"/>
          <w:marRight w:val="0"/>
          <w:marTop w:val="0"/>
          <w:marBottom w:val="0"/>
          <w:divBdr>
            <w:top w:val="none" w:sz="0" w:space="0" w:color="auto"/>
            <w:left w:val="none" w:sz="0" w:space="0" w:color="auto"/>
            <w:bottom w:val="none" w:sz="0" w:space="0" w:color="auto"/>
            <w:right w:val="none" w:sz="0" w:space="0" w:color="auto"/>
          </w:divBdr>
          <w:divsChild>
            <w:div w:id="284312265">
              <w:marLeft w:val="0"/>
              <w:marRight w:val="0"/>
              <w:marTop w:val="0"/>
              <w:marBottom w:val="0"/>
              <w:divBdr>
                <w:top w:val="none" w:sz="0" w:space="0" w:color="auto"/>
                <w:left w:val="none" w:sz="0" w:space="0" w:color="auto"/>
                <w:bottom w:val="none" w:sz="0" w:space="0" w:color="auto"/>
                <w:right w:val="none" w:sz="0" w:space="0" w:color="auto"/>
              </w:divBdr>
            </w:div>
            <w:div w:id="644745110">
              <w:marLeft w:val="0"/>
              <w:marRight w:val="0"/>
              <w:marTop w:val="0"/>
              <w:marBottom w:val="0"/>
              <w:divBdr>
                <w:top w:val="none" w:sz="0" w:space="0" w:color="auto"/>
                <w:left w:val="none" w:sz="0" w:space="0" w:color="auto"/>
                <w:bottom w:val="none" w:sz="0" w:space="0" w:color="auto"/>
                <w:right w:val="none" w:sz="0" w:space="0" w:color="auto"/>
              </w:divBdr>
            </w:div>
            <w:div w:id="374158057">
              <w:marLeft w:val="0"/>
              <w:marRight w:val="0"/>
              <w:marTop w:val="0"/>
              <w:marBottom w:val="0"/>
              <w:divBdr>
                <w:top w:val="none" w:sz="0" w:space="0" w:color="auto"/>
                <w:left w:val="none" w:sz="0" w:space="0" w:color="auto"/>
                <w:bottom w:val="none" w:sz="0" w:space="0" w:color="auto"/>
                <w:right w:val="none" w:sz="0" w:space="0" w:color="auto"/>
              </w:divBdr>
            </w:div>
            <w:div w:id="612202654">
              <w:marLeft w:val="0"/>
              <w:marRight w:val="0"/>
              <w:marTop w:val="0"/>
              <w:marBottom w:val="0"/>
              <w:divBdr>
                <w:top w:val="none" w:sz="0" w:space="0" w:color="auto"/>
                <w:left w:val="none" w:sz="0" w:space="0" w:color="auto"/>
                <w:bottom w:val="none" w:sz="0" w:space="0" w:color="auto"/>
                <w:right w:val="none" w:sz="0" w:space="0" w:color="auto"/>
              </w:divBdr>
            </w:div>
            <w:div w:id="21831399">
              <w:marLeft w:val="0"/>
              <w:marRight w:val="0"/>
              <w:marTop w:val="0"/>
              <w:marBottom w:val="0"/>
              <w:divBdr>
                <w:top w:val="none" w:sz="0" w:space="0" w:color="auto"/>
                <w:left w:val="none" w:sz="0" w:space="0" w:color="auto"/>
                <w:bottom w:val="none" w:sz="0" w:space="0" w:color="auto"/>
                <w:right w:val="none" w:sz="0" w:space="0" w:color="auto"/>
              </w:divBdr>
            </w:div>
          </w:divsChild>
        </w:div>
        <w:div w:id="1392315281">
          <w:marLeft w:val="0"/>
          <w:marRight w:val="0"/>
          <w:marTop w:val="0"/>
          <w:marBottom w:val="0"/>
          <w:divBdr>
            <w:top w:val="none" w:sz="0" w:space="0" w:color="auto"/>
            <w:left w:val="none" w:sz="0" w:space="0" w:color="auto"/>
            <w:bottom w:val="none" w:sz="0" w:space="0" w:color="auto"/>
            <w:right w:val="none" w:sz="0" w:space="0" w:color="auto"/>
          </w:divBdr>
          <w:divsChild>
            <w:div w:id="1726489901">
              <w:marLeft w:val="0"/>
              <w:marRight w:val="0"/>
              <w:marTop w:val="0"/>
              <w:marBottom w:val="0"/>
              <w:divBdr>
                <w:top w:val="none" w:sz="0" w:space="0" w:color="auto"/>
                <w:left w:val="none" w:sz="0" w:space="0" w:color="auto"/>
                <w:bottom w:val="none" w:sz="0" w:space="0" w:color="auto"/>
                <w:right w:val="none" w:sz="0" w:space="0" w:color="auto"/>
              </w:divBdr>
            </w:div>
            <w:div w:id="1822650362">
              <w:marLeft w:val="0"/>
              <w:marRight w:val="0"/>
              <w:marTop w:val="0"/>
              <w:marBottom w:val="0"/>
              <w:divBdr>
                <w:top w:val="none" w:sz="0" w:space="0" w:color="auto"/>
                <w:left w:val="none" w:sz="0" w:space="0" w:color="auto"/>
                <w:bottom w:val="none" w:sz="0" w:space="0" w:color="auto"/>
                <w:right w:val="none" w:sz="0" w:space="0" w:color="auto"/>
              </w:divBdr>
            </w:div>
            <w:div w:id="1944456052">
              <w:marLeft w:val="0"/>
              <w:marRight w:val="0"/>
              <w:marTop w:val="0"/>
              <w:marBottom w:val="0"/>
              <w:divBdr>
                <w:top w:val="none" w:sz="0" w:space="0" w:color="auto"/>
                <w:left w:val="none" w:sz="0" w:space="0" w:color="auto"/>
                <w:bottom w:val="none" w:sz="0" w:space="0" w:color="auto"/>
                <w:right w:val="none" w:sz="0" w:space="0" w:color="auto"/>
              </w:divBdr>
            </w:div>
            <w:div w:id="1579359753">
              <w:marLeft w:val="0"/>
              <w:marRight w:val="0"/>
              <w:marTop w:val="0"/>
              <w:marBottom w:val="0"/>
              <w:divBdr>
                <w:top w:val="none" w:sz="0" w:space="0" w:color="auto"/>
                <w:left w:val="none" w:sz="0" w:space="0" w:color="auto"/>
                <w:bottom w:val="none" w:sz="0" w:space="0" w:color="auto"/>
                <w:right w:val="none" w:sz="0" w:space="0" w:color="auto"/>
              </w:divBdr>
            </w:div>
          </w:divsChild>
        </w:div>
        <w:div w:id="1472551341">
          <w:marLeft w:val="0"/>
          <w:marRight w:val="0"/>
          <w:marTop w:val="0"/>
          <w:marBottom w:val="0"/>
          <w:divBdr>
            <w:top w:val="none" w:sz="0" w:space="0" w:color="auto"/>
            <w:left w:val="none" w:sz="0" w:space="0" w:color="auto"/>
            <w:bottom w:val="none" w:sz="0" w:space="0" w:color="auto"/>
            <w:right w:val="none" w:sz="0" w:space="0" w:color="auto"/>
          </w:divBdr>
        </w:div>
        <w:div w:id="1532913518">
          <w:marLeft w:val="0"/>
          <w:marRight w:val="0"/>
          <w:marTop w:val="0"/>
          <w:marBottom w:val="0"/>
          <w:divBdr>
            <w:top w:val="none" w:sz="0" w:space="0" w:color="auto"/>
            <w:left w:val="none" w:sz="0" w:space="0" w:color="auto"/>
            <w:bottom w:val="none" w:sz="0" w:space="0" w:color="auto"/>
            <w:right w:val="none" w:sz="0" w:space="0" w:color="auto"/>
          </w:divBdr>
        </w:div>
        <w:div w:id="315645067">
          <w:marLeft w:val="0"/>
          <w:marRight w:val="0"/>
          <w:marTop w:val="0"/>
          <w:marBottom w:val="0"/>
          <w:divBdr>
            <w:top w:val="none" w:sz="0" w:space="0" w:color="auto"/>
            <w:left w:val="none" w:sz="0" w:space="0" w:color="auto"/>
            <w:bottom w:val="none" w:sz="0" w:space="0" w:color="auto"/>
            <w:right w:val="none" w:sz="0" w:space="0" w:color="auto"/>
          </w:divBdr>
        </w:div>
        <w:div w:id="1741978328">
          <w:marLeft w:val="0"/>
          <w:marRight w:val="0"/>
          <w:marTop w:val="0"/>
          <w:marBottom w:val="0"/>
          <w:divBdr>
            <w:top w:val="none" w:sz="0" w:space="0" w:color="auto"/>
            <w:left w:val="none" w:sz="0" w:space="0" w:color="auto"/>
            <w:bottom w:val="none" w:sz="0" w:space="0" w:color="auto"/>
            <w:right w:val="none" w:sz="0" w:space="0" w:color="auto"/>
          </w:divBdr>
        </w:div>
        <w:div w:id="1546257849">
          <w:marLeft w:val="0"/>
          <w:marRight w:val="0"/>
          <w:marTop w:val="0"/>
          <w:marBottom w:val="0"/>
          <w:divBdr>
            <w:top w:val="none" w:sz="0" w:space="0" w:color="auto"/>
            <w:left w:val="none" w:sz="0" w:space="0" w:color="auto"/>
            <w:bottom w:val="none" w:sz="0" w:space="0" w:color="auto"/>
            <w:right w:val="none" w:sz="0" w:space="0" w:color="auto"/>
          </w:divBdr>
        </w:div>
        <w:div w:id="35588455">
          <w:marLeft w:val="0"/>
          <w:marRight w:val="0"/>
          <w:marTop w:val="0"/>
          <w:marBottom w:val="0"/>
          <w:divBdr>
            <w:top w:val="none" w:sz="0" w:space="0" w:color="auto"/>
            <w:left w:val="none" w:sz="0" w:space="0" w:color="auto"/>
            <w:bottom w:val="none" w:sz="0" w:space="0" w:color="auto"/>
            <w:right w:val="none" w:sz="0" w:space="0" w:color="auto"/>
          </w:divBdr>
        </w:div>
        <w:div w:id="1099525788">
          <w:marLeft w:val="0"/>
          <w:marRight w:val="0"/>
          <w:marTop w:val="0"/>
          <w:marBottom w:val="0"/>
          <w:divBdr>
            <w:top w:val="none" w:sz="0" w:space="0" w:color="auto"/>
            <w:left w:val="none" w:sz="0" w:space="0" w:color="auto"/>
            <w:bottom w:val="none" w:sz="0" w:space="0" w:color="auto"/>
            <w:right w:val="none" w:sz="0" w:space="0" w:color="auto"/>
          </w:divBdr>
        </w:div>
        <w:div w:id="2131779471">
          <w:marLeft w:val="0"/>
          <w:marRight w:val="0"/>
          <w:marTop w:val="0"/>
          <w:marBottom w:val="0"/>
          <w:divBdr>
            <w:top w:val="none" w:sz="0" w:space="0" w:color="auto"/>
            <w:left w:val="none" w:sz="0" w:space="0" w:color="auto"/>
            <w:bottom w:val="none" w:sz="0" w:space="0" w:color="auto"/>
            <w:right w:val="none" w:sz="0" w:space="0" w:color="auto"/>
          </w:divBdr>
        </w:div>
        <w:div w:id="300040332">
          <w:marLeft w:val="0"/>
          <w:marRight w:val="0"/>
          <w:marTop w:val="0"/>
          <w:marBottom w:val="0"/>
          <w:divBdr>
            <w:top w:val="none" w:sz="0" w:space="0" w:color="auto"/>
            <w:left w:val="none" w:sz="0" w:space="0" w:color="auto"/>
            <w:bottom w:val="none" w:sz="0" w:space="0" w:color="auto"/>
            <w:right w:val="none" w:sz="0" w:space="0" w:color="auto"/>
          </w:divBdr>
        </w:div>
        <w:div w:id="1168712367">
          <w:marLeft w:val="0"/>
          <w:marRight w:val="0"/>
          <w:marTop w:val="0"/>
          <w:marBottom w:val="0"/>
          <w:divBdr>
            <w:top w:val="none" w:sz="0" w:space="0" w:color="auto"/>
            <w:left w:val="none" w:sz="0" w:space="0" w:color="auto"/>
            <w:bottom w:val="none" w:sz="0" w:space="0" w:color="auto"/>
            <w:right w:val="none" w:sz="0" w:space="0" w:color="auto"/>
          </w:divBdr>
        </w:div>
        <w:div w:id="407726103">
          <w:marLeft w:val="0"/>
          <w:marRight w:val="0"/>
          <w:marTop w:val="0"/>
          <w:marBottom w:val="0"/>
          <w:divBdr>
            <w:top w:val="none" w:sz="0" w:space="0" w:color="auto"/>
            <w:left w:val="none" w:sz="0" w:space="0" w:color="auto"/>
            <w:bottom w:val="none" w:sz="0" w:space="0" w:color="auto"/>
            <w:right w:val="none" w:sz="0" w:space="0" w:color="auto"/>
          </w:divBdr>
        </w:div>
        <w:div w:id="1547524273">
          <w:marLeft w:val="0"/>
          <w:marRight w:val="0"/>
          <w:marTop w:val="0"/>
          <w:marBottom w:val="0"/>
          <w:divBdr>
            <w:top w:val="none" w:sz="0" w:space="0" w:color="auto"/>
            <w:left w:val="none" w:sz="0" w:space="0" w:color="auto"/>
            <w:bottom w:val="none" w:sz="0" w:space="0" w:color="auto"/>
            <w:right w:val="none" w:sz="0" w:space="0" w:color="auto"/>
          </w:divBdr>
        </w:div>
        <w:div w:id="779766333">
          <w:marLeft w:val="0"/>
          <w:marRight w:val="0"/>
          <w:marTop w:val="0"/>
          <w:marBottom w:val="0"/>
          <w:divBdr>
            <w:top w:val="none" w:sz="0" w:space="0" w:color="auto"/>
            <w:left w:val="none" w:sz="0" w:space="0" w:color="auto"/>
            <w:bottom w:val="none" w:sz="0" w:space="0" w:color="auto"/>
            <w:right w:val="none" w:sz="0" w:space="0" w:color="auto"/>
          </w:divBdr>
        </w:div>
        <w:div w:id="384454760">
          <w:marLeft w:val="0"/>
          <w:marRight w:val="0"/>
          <w:marTop w:val="0"/>
          <w:marBottom w:val="0"/>
          <w:divBdr>
            <w:top w:val="none" w:sz="0" w:space="0" w:color="auto"/>
            <w:left w:val="none" w:sz="0" w:space="0" w:color="auto"/>
            <w:bottom w:val="none" w:sz="0" w:space="0" w:color="auto"/>
            <w:right w:val="none" w:sz="0" w:space="0" w:color="auto"/>
          </w:divBdr>
        </w:div>
        <w:div w:id="998382975">
          <w:marLeft w:val="0"/>
          <w:marRight w:val="0"/>
          <w:marTop w:val="0"/>
          <w:marBottom w:val="0"/>
          <w:divBdr>
            <w:top w:val="none" w:sz="0" w:space="0" w:color="auto"/>
            <w:left w:val="none" w:sz="0" w:space="0" w:color="auto"/>
            <w:bottom w:val="none" w:sz="0" w:space="0" w:color="auto"/>
            <w:right w:val="none" w:sz="0" w:space="0" w:color="auto"/>
          </w:divBdr>
        </w:div>
        <w:div w:id="776604987">
          <w:marLeft w:val="0"/>
          <w:marRight w:val="0"/>
          <w:marTop w:val="0"/>
          <w:marBottom w:val="0"/>
          <w:divBdr>
            <w:top w:val="none" w:sz="0" w:space="0" w:color="auto"/>
            <w:left w:val="none" w:sz="0" w:space="0" w:color="auto"/>
            <w:bottom w:val="none" w:sz="0" w:space="0" w:color="auto"/>
            <w:right w:val="none" w:sz="0" w:space="0" w:color="auto"/>
          </w:divBdr>
        </w:div>
        <w:div w:id="793449002">
          <w:marLeft w:val="0"/>
          <w:marRight w:val="0"/>
          <w:marTop w:val="0"/>
          <w:marBottom w:val="0"/>
          <w:divBdr>
            <w:top w:val="none" w:sz="0" w:space="0" w:color="auto"/>
            <w:left w:val="none" w:sz="0" w:space="0" w:color="auto"/>
            <w:bottom w:val="none" w:sz="0" w:space="0" w:color="auto"/>
            <w:right w:val="none" w:sz="0" w:space="0" w:color="auto"/>
          </w:divBdr>
        </w:div>
        <w:div w:id="1574505468">
          <w:marLeft w:val="0"/>
          <w:marRight w:val="0"/>
          <w:marTop w:val="0"/>
          <w:marBottom w:val="0"/>
          <w:divBdr>
            <w:top w:val="none" w:sz="0" w:space="0" w:color="auto"/>
            <w:left w:val="none" w:sz="0" w:space="0" w:color="auto"/>
            <w:bottom w:val="none" w:sz="0" w:space="0" w:color="auto"/>
            <w:right w:val="none" w:sz="0" w:space="0" w:color="auto"/>
          </w:divBdr>
        </w:div>
        <w:div w:id="1143962174">
          <w:marLeft w:val="0"/>
          <w:marRight w:val="0"/>
          <w:marTop w:val="0"/>
          <w:marBottom w:val="0"/>
          <w:divBdr>
            <w:top w:val="none" w:sz="0" w:space="0" w:color="auto"/>
            <w:left w:val="none" w:sz="0" w:space="0" w:color="auto"/>
            <w:bottom w:val="none" w:sz="0" w:space="0" w:color="auto"/>
            <w:right w:val="none" w:sz="0" w:space="0" w:color="auto"/>
          </w:divBdr>
        </w:div>
        <w:div w:id="1249850689">
          <w:marLeft w:val="0"/>
          <w:marRight w:val="0"/>
          <w:marTop w:val="0"/>
          <w:marBottom w:val="0"/>
          <w:divBdr>
            <w:top w:val="none" w:sz="0" w:space="0" w:color="auto"/>
            <w:left w:val="none" w:sz="0" w:space="0" w:color="auto"/>
            <w:bottom w:val="none" w:sz="0" w:space="0" w:color="auto"/>
            <w:right w:val="none" w:sz="0" w:space="0" w:color="auto"/>
          </w:divBdr>
        </w:div>
        <w:div w:id="95486279">
          <w:marLeft w:val="0"/>
          <w:marRight w:val="0"/>
          <w:marTop w:val="0"/>
          <w:marBottom w:val="0"/>
          <w:divBdr>
            <w:top w:val="none" w:sz="0" w:space="0" w:color="auto"/>
            <w:left w:val="none" w:sz="0" w:space="0" w:color="auto"/>
            <w:bottom w:val="none" w:sz="0" w:space="0" w:color="auto"/>
            <w:right w:val="none" w:sz="0" w:space="0" w:color="auto"/>
          </w:divBdr>
        </w:div>
        <w:div w:id="357974260">
          <w:marLeft w:val="0"/>
          <w:marRight w:val="0"/>
          <w:marTop w:val="0"/>
          <w:marBottom w:val="0"/>
          <w:divBdr>
            <w:top w:val="none" w:sz="0" w:space="0" w:color="auto"/>
            <w:left w:val="none" w:sz="0" w:space="0" w:color="auto"/>
            <w:bottom w:val="none" w:sz="0" w:space="0" w:color="auto"/>
            <w:right w:val="none" w:sz="0" w:space="0" w:color="auto"/>
          </w:divBdr>
        </w:div>
        <w:div w:id="1955819749">
          <w:marLeft w:val="0"/>
          <w:marRight w:val="0"/>
          <w:marTop w:val="0"/>
          <w:marBottom w:val="0"/>
          <w:divBdr>
            <w:top w:val="none" w:sz="0" w:space="0" w:color="auto"/>
            <w:left w:val="none" w:sz="0" w:space="0" w:color="auto"/>
            <w:bottom w:val="none" w:sz="0" w:space="0" w:color="auto"/>
            <w:right w:val="none" w:sz="0" w:space="0" w:color="auto"/>
          </w:divBdr>
        </w:div>
        <w:div w:id="780998579">
          <w:marLeft w:val="0"/>
          <w:marRight w:val="0"/>
          <w:marTop w:val="0"/>
          <w:marBottom w:val="0"/>
          <w:divBdr>
            <w:top w:val="none" w:sz="0" w:space="0" w:color="auto"/>
            <w:left w:val="none" w:sz="0" w:space="0" w:color="auto"/>
            <w:bottom w:val="none" w:sz="0" w:space="0" w:color="auto"/>
            <w:right w:val="none" w:sz="0" w:space="0" w:color="auto"/>
          </w:divBdr>
        </w:div>
        <w:div w:id="704330249">
          <w:marLeft w:val="0"/>
          <w:marRight w:val="0"/>
          <w:marTop w:val="0"/>
          <w:marBottom w:val="0"/>
          <w:divBdr>
            <w:top w:val="none" w:sz="0" w:space="0" w:color="auto"/>
            <w:left w:val="none" w:sz="0" w:space="0" w:color="auto"/>
            <w:bottom w:val="none" w:sz="0" w:space="0" w:color="auto"/>
            <w:right w:val="none" w:sz="0" w:space="0" w:color="auto"/>
          </w:divBdr>
        </w:div>
        <w:div w:id="164445360">
          <w:marLeft w:val="0"/>
          <w:marRight w:val="0"/>
          <w:marTop w:val="0"/>
          <w:marBottom w:val="0"/>
          <w:divBdr>
            <w:top w:val="none" w:sz="0" w:space="0" w:color="auto"/>
            <w:left w:val="none" w:sz="0" w:space="0" w:color="auto"/>
            <w:bottom w:val="none" w:sz="0" w:space="0" w:color="auto"/>
            <w:right w:val="none" w:sz="0" w:space="0" w:color="auto"/>
          </w:divBdr>
        </w:div>
        <w:div w:id="1190265025">
          <w:marLeft w:val="0"/>
          <w:marRight w:val="0"/>
          <w:marTop w:val="0"/>
          <w:marBottom w:val="0"/>
          <w:divBdr>
            <w:top w:val="none" w:sz="0" w:space="0" w:color="auto"/>
            <w:left w:val="none" w:sz="0" w:space="0" w:color="auto"/>
            <w:bottom w:val="none" w:sz="0" w:space="0" w:color="auto"/>
            <w:right w:val="none" w:sz="0" w:space="0" w:color="auto"/>
          </w:divBdr>
        </w:div>
        <w:div w:id="51851245">
          <w:marLeft w:val="0"/>
          <w:marRight w:val="0"/>
          <w:marTop w:val="0"/>
          <w:marBottom w:val="0"/>
          <w:divBdr>
            <w:top w:val="none" w:sz="0" w:space="0" w:color="auto"/>
            <w:left w:val="none" w:sz="0" w:space="0" w:color="auto"/>
            <w:bottom w:val="none" w:sz="0" w:space="0" w:color="auto"/>
            <w:right w:val="none" w:sz="0" w:space="0" w:color="auto"/>
          </w:divBdr>
        </w:div>
        <w:div w:id="637149045">
          <w:marLeft w:val="0"/>
          <w:marRight w:val="0"/>
          <w:marTop w:val="0"/>
          <w:marBottom w:val="0"/>
          <w:divBdr>
            <w:top w:val="none" w:sz="0" w:space="0" w:color="auto"/>
            <w:left w:val="none" w:sz="0" w:space="0" w:color="auto"/>
            <w:bottom w:val="none" w:sz="0" w:space="0" w:color="auto"/>
            <w:right w:val="none" w:sz="0" w:space="0" w:color="auto"/>
          </w:divBdr>
        </w:div>
        <w:div w:id="1640576911">
          <w:marLeft w:val="0"/>
          <w:marRight w:val="0"/>
          <w:marTop w:val="0"/>
          <w:marBottom w:val="0"/>
          <w:divBdr>
            <w:top w:val="none" w:sz="0" w:space="0" w:color="auto"/>
            <w:left w:val="none" w:sz="0" w:space="0" w:color="auto"/>
            <w:bottom w:val="none" w:sz="0" w:space="0" w:color="auto"/>
            <w:right w:val="none" w:sz="0" w:space="0" w:color="auto"/>
          </w:divBdr>
        </w:div>
        <w:div w:id="2030642736">
          <w:marLeft w:val="0"/>
          <w:marRight w:val="0"/>
          <w:marTop w:val="0"/>
          <w:marBottom w:val="0"/>
          <w:divBdr>
            <w:top w:val="none" w:sz="0" w:space="0" w:color="auto"/>
            <w:left w:val="none" w:sz="0" w:space="0" w:color="auto"/>
            <w:bottom w:val="none" w:sz="0" w:space="0" w:color="auto"/>
            <w:right w:val="none" w:sz="0" w:space="0" w:color="auto"/>
          </w:divBdr>
        </w:div>
        <w:div w:id="520508799">
          <w:marLeft w:val="0"/>
          <w:marRight w:val="0"/>
          <w:marTop w:val="0"/>
          <w:marBottom w:val="0"/>
          <w:divBdr>
            <w:top w:val="none" w:sz="0" w:space="0" w:color="auto"/>
            <w:left w:val="none" w:sz="0" w:space="0" w:color="auto"/>
            <w:bottom w:val="none" w:sz="0" w:space="0" w:color="auto"/>
            <w:right w:val="none" w:sz="0" w:space="0" w:color="auto"/>
          </w:divBdr>
        </w:div>
        <w:div w:id="41636779">
          <w:marLeft w:val="0"/>
          <w:marRight w:val="0"/>
          <w:marTop w:val="0"/>
          <w:marBottom w:val="0"/>
          <w:divBdr>
            <w:top w:val="none" w:sz="0" w:space="0" w:color="auto"/>
            <w:left w:val="none" w:sz="0" w:space="0" w:color="auto"/>
            <w:bottom w:val="none" w:sz="0" w:space="0" w:color="auto"/>
            <w:right w:val="none" w:sz="0" w:space="0" w:color="auto"/>
          </w:divBdr>
        </w:div>
        <w:div w:id="1586525347">
          <w:marLeft w:val="0"/>
          <w:marRight w:val="0"/>
          <w:marTop w:val="0"/>
          <w:marBottom w:val="0"/>
          <w:divBdr>
            <w:top w:val="none" w:sz="0" w:space="0" w:color="auto"/>
            <w:left w:val="none" w:sz="0" w:space="0" w:color="auto"/>
            <w:bottom w:val="none" w:sz="0" w:space="0" w:color="auto"/>
            <w:right w:val="none" w:sz="0" w:space="0" w:color="auto"/>
          </w:divBdr>
        </w:div>
        <w:div w:id="1138646115">
          <w:marLeft w:val="0"/>
          <w:marRight w:val="0"/>
          <w:marTop w:val="0"/>
          <w:marBottom w:val="0"/>
          <w:divBdr>
            <w:top w:val="none" w:sz="0" w:space="0" w:color="auto"/>
            <w:left w:val="none" w:sz="0" w:space="0" w:color="auto"/>
            <w:bottom w:val="none" w:sz="0" w:space="0" w:color="auto"/>
            <w:right w:val="none" w:sz="0" w:space="0" w:color="auto"/>
          </w:divBdr>
        </w:div>
        <w:div w:id="1450199124">
          <w:marLeft w:val="0"/>
          <w:marRight w:val="0"/>
          <w:marTop w:val="0"/>
          <w:marBottom w:val="0"/>
          <w:divBdr>
            <w:top w:val="none" w:sz="0" w:space="0" w:color="auto"/>
            <w:left w:val="none" w:sz="0" w:space="0" w:color="auto"/>
            <w:bottom w:val="none" w:sz="0" w:space="0" w:color="auto"/>
            <w:right w:val="none" w:sz="0" w:space="0" w:color="auto"/>
          </w:divBdr>
        </w:div>
        <w:div w:id="1230925598">
          <w:marLeft w:val="0"/>
          <w:marRight w:val="0"/>
          <w:marTop w:val="0"/>
          <w:marBottom w:val="0"/>
          <w:divBdr>
            <w:top w:val="none" w:sz="0" w:space="0" w:color="auto"/>
            <w:left w:val="none" w:sz="0" w:space="0" w:color="auto"/>
            <w:bottom w:val="none" w:sz="0" w:space="0" w:color="auto"/>
            <w:right w:val="none" w:sz="0" w:space="0" w:color="auto"/>
          </w:divBdr>
        </w:div>
        <w:div w:id="85611355">
          <w:marLeft w:val="0"/>
          <w:marRight w:val="0"/>
          <w:marTop w:val="0"/>
          <w:marBottom w:val="0"/>
          <w:divBdr>
            <w:top w:val="none" w:sz="0" w:space="0" w:color="auto"/>
            <w:left w:val="none" w:sz="0" w:space="0" w:color="auto"/>
            <w:bottom w:val="none" w:sz="0" w:space="0" w:color="auto"/>
            <w:right w:val="none" w:sz="0" w:space="0" w:color="auto"/>
          </w:divBdr>
        </w:div>
        <w:div w:id="1905942905">
          <w:marLeft w:val="0"/>
          <w:marRight w:val="0"/>
          <w:marTop w:val="0"/>
          <w:marBottom w:val="0"/>
          <w:divBdr>
            <w:top w:val="none" w:sz="0" w:space="0" w:color="auto"/>
            <w:left w:val="none" w:sz="0" w:space="0" w:color="auto"/>
            <w:bottom w:val="none" w:sz="0" w:space="0" w:color="auto"/>
            <w:right w:val="none" w:sz="0" w:space="0" w:color="auto"/>
          </w:divBdr>
        </w:div>
        <w:div w:id="104614713">
          <w:marLeft w:val="0"/>
          <w:marRight w:val="0"/>
          <w:marTop w:val="0"/>
          <w:marBottom w:val="0"/>
          <w:divBdr>
            <w:top w:val="none" w:sz="0" w:space="0" w:color="auto"/>
            <w:left w:val="none" w:sz="0" w:space="0" w:color="auto"/>
            <w:bottom w:val="none" w:sz="0" w:space="0" w:color="auto"/>
            <w:right w:val="none" w:sz="0" w:space="0" w:color="auto"/>
          </w:divBdr>
        </w:div>
        <w:div w:id="1562133737">
          <w:marLeft w:val="0"/>
          <w:marRight w:val="0"/>
          <w:marTop w:val="0"/>
          <w:marBottom w:val="0"/>
          <w:divBdr>
            <w:top w:val="none" w:sz="0" w:space="0" w:color="auto"/>
            <w:left w:val="none" w:sz="0" w:space="0" w:color="auto"/>
            <w:bottom w:val="none" w:sz="0" w:space="0" w:color="auto"/>
            <w:right w:val="none" w:sz="0" w:space="0" w:color="auto"/>
          </w:divBdr>
        </w:div>
        <w:div w:id="1296907051">
          <w:marLeft w:val="0"/>
          <w:marRight w:val="0"/>
          <w:marTop w:val="0"/>
          <w:marBottom w:val="0"/>
          <w:divBdr>
            <w:top w:val="none" w:sz="0" w:space="0" w:color="auto"/>
            <w:left w:val="none" w:sz="0" w:space="0" w:color="auto"/>
            <w:bottom w:val="none" w:sz="0" w:space="0" w:color="auto"/>
            <w:right w:val="none" w:sz="0" w:space="0" w:color="auto"/>
          </w:divBdr>
        </w:div>
        <w:div w:id="1933970963">
          <w:marLeft w:val="0"/>
          <w:marRight w:val="0"/>
          <w:marTop w:val="0"/>
          <w:marBottom w:val="0"/>
          <w:divBdr>
            <w:top w:val="none" w:sz="0" w:space="0" w:color="auto"/>
            <w:left w:val="none" w:sz="0" w:space="0" w:color="auto"/>
            <w:bottom w:val="none" w:sz="0" w:space="0" w:color="auto"/>
            <w:right w:val="none" w:sz="0" w:space="0" w:color="auto"/>
          </w:divBdr>
        </w:div>
        <w:div w:id="1932470820">
          <w:marLeft w:val="0"/>
          <w:marRight w:val="0"/>
          <w:marTop w:val="0"/>
          <w:marBottom w:val="0"/>
          <w:divBdr>
            <w:top w:val="none" w:sz="0" w:space="0" w:color="auto"/>
            <w:left w:val="none" w:sz="0" w:space="0" w:color="auto"/>
            <w:bottom w:val="none" w:sz="0" w:space="0" w:color="auto"/>
            <w:right w:val="none" w:sz="0" w:space="0" w:color="auto"/>
          </w:divBdr>
        </w:div>
        <w:div w:id="1234511924">
          <w:marLeft w:val="0"/>
          <w:marRight w:val="0"/>
          <w:marTop w:val="0"/>
          <w:marBottom w:val="0"/>
          <w:divBdr>
            <w:top w:val="none" w:sz="0" w:space="0" w:color="auto"/>
            <w:left w:val="none" w:sz="0" w:space="0" w:color="auto"/>
            <w:bottom w:val="none" w:sz="0" w:space="0" w:color="auto"/>
            <w:right w:val="none" w:sz="0" w:space="0" w:color="auto"/>
          </w:divBdr>
        </w:div>
        <w:div w:id="1891572873">
          <w:marLeft w:val="0"/>
          <w:marRight w:val="0"/>
          <w:marTop w:val="0"/>
          <w:marBottom w:val="0"/>
          <w:divBdr>
            <w:top w:val="none" w:sz="0" w:space="0" w:color="auto"/>
            <w:left w:val="none" w:sz="0" w:space="0" w:color="auto"/>
            <w:bottom w:val="none" w:sz="0" w:space="0" w:color="auto"/>
            <w:right w:val="none" w:sz="0" w:space="0" w:color="auto"/>
          </w:divBdr>
        </w:div>
      </w:divsChild>
    </w:div>
    <w:div w:id="1501196916">
      <w:bodyDiv w:val="1"/>
      <w:marLeft w:val="0"/>
      <w:marRight w:val="0"/>
      <w:marTop w:val="0"/>
      <w:marBottom w:val="0"/>
      <w:divBdr>
        <w:top w:val="none" w:sz="0" w:space="0" w:color="auto"/>
        <w:left w:val="none" w:sz="0" w:space="0" w:color="auto"/>
        <w:bottom w:val="none" w:sz="0" w:space="0" w:color="auto"/>
        <w:right w:val="none" w:sz="0" w:space="0" w:color="auto"/>
      </w:divBdr>
      <w:divsChild>
        <w:div w:id="720977236">
          <w:marLeft w:val="0"/>
          <w:marRight w:val="0"/>
          <w:marTop w:val="0"/>
          <w:marBottom w:val="0"/>
          <w:divBdr>
            <w:top w:val="none" w:sz="0" w:space="0" w:color="auto"/>
            <w:left w:val="none" w:sz="0" w:space="0" w:color="auto"/>
            <w:bottom w:val="none" w:sz="0" w:space="0" w:color="auto"/>
            <w:right w:val="none" w:sz="0" w:space="0" w:color="auto"/>
          </w:divBdr>
        </w:div>
        <w:div w:id="696152110">
          <w:marLeft w:val="0"/>
          <w:marRight w:val="0"/>
          <w:marTop w:val="0"/>
          <w:marBottom w:val="0"/>
          <w:divBdr>
            <w:top w:val="none" w:sz="0" w:space="0" w:color="auto"/>
            <w:left w:val="none" w:sz="0" w:space="0" w:color="auto"/>
            <w:bottom w:val="none" w:sz="0" w:space="0" w:color="auto"/>
            <w:right w:val="none" w:sz="0" w:space="0" w:color="auto"/>
          </w:divBdr>
        </w:div>
        <w:div w:id="2135319999">
          <w:marLeft w:val="0"/>
          <w:marRight w:val="0"/>
          <w:marTop w:val="0"/>
          <w:marBottom w:val="0"/>
          <w:divBdr>
            <w:top w:val="none" w:sz="0" w:space="0" w:color="auto"/>
            <w:left w:val="none" w:sz="0" w:space="0" w:color="auto"/>
            <w:bottom w:val="none" w:sz="0" w:space="0" w:color="auto"/>
            <w:right w:val="none" w:sz="0" w:space="0" w:color="auto"/>
          </w:divBdr>
        </w:div>
        <w:div w:id="265238423">
          <w:marLeft w:val="0"/>
          <w:marRight w:val="0"/>
          <w:marTop w:val="0"/>
          <w:marBottom w:val="0"/>
          <w:divBdr>
            <w:top w:val="none" w:sz="0" w:space="0" w:color="auto"/>
            <w:left w:val="none" w:sz="0" w:space="0" w:color="auto"/>
            <w:bottom w:val="none" w:sz="0" w:space="0" w:color="auto"/>
            <w:right w:val="none" w:sz="0" w:space="0" w:color="auto"/>
          </w:divBdr>
        </w:div>
        <w:div w:id="304743071">
          <w:marLeft w:val="0"/>
          <w:marRight w:val="0"/>
          <w:marTop w:val="0"/>
          <w:marBottom w:val="0"/>
          <w:divBdr>
            <w:top w:val="none" w:sz="0" w:space="0" w:color="auto"/>
            <w:left w:val="none" w:sz="0" w:space="0" w:color="auto"/>
            <w:bottom w:val="none" w:sz="0" w:space="0" w:color="auto"/>
            <w:right w:val="none" w:sz="0" w:space="0" w:color="auto"/>
          </w:divBdr>
        </w:div>
        <w:div w:id="414591515">
          <w:marLeft w:val="0"/>
          <w:marRight w:val="0"/>
          <w:marTop w:val="0"/>
          <w:marBottom w:val="0"/>
          <w:divBdr>
            <w:top w:val="none" w:sz="0" w:space="0" w:color="auto"/>
            <w:left w:val="none" w:sz="0" w:space="0" w:color="auto"/>
            <w:bottom w:val="none" w:sz="0" w:space="0" w:color="auto"/>
            <w:right w:val="none" w:sz="0" w:space="0" w:color="auto"/>
          </w:divBdr>
        </w:div>
      </w:divsChild>
    </w:div>
    <w:div w:id="1744335546">
      <w:bodyDiv w:val="1"/>
      <w:marLeft w:val="0"/>
      <w:marRight w:val="0"/>
      <w:marTop w:val="0"/>
      <w:marBottom w:val="0"/>
      <w:divBdr>
        <w:top w:val="none" w:sz="0" w:space="0" w:color="auto"/>
        <w:left w:val="none" w:sz="0" w:space="0" w:color="auto"/>
        <w:bottom w:val="none" w:sz="0" w:space="0" w:color="auto"/>
        <w:right w:val="none" w:sz="0" w:space="0" w:color="auto"/>
      </w:divBdr>
      <w:divsChild>
        <w:div w:id="972249747">
          <w:marLeft w:val="0"/>
          <w:marRight w:val="0"/>
          <w:marTop w:val="0"/>
          <w:marBottom w:val="0"/>
          <w:divBdr>
            <w:top w:val="none" w:sz="0" w:space="0" w:color="auto"/>
            <w:left w:val="none" w:sz="0" w:space="0" w:color="auto"/>
            <w:bottom w:val="none" w:sz="0" w:space="0" w:color="auto"/>
            <w:right w:val="none" w:sz="0" w:space="0" w:color="auto"/>
          </w:divBdr>
        </w:div>
        <w:div w:id="1753427857">
          <w:marLeft w:val="0"/>
          <w:marRight w:val="0"/>
          <w:marTop w:val="0"/>
          <w:marBottom w:val="0"/>
          <w:divBdr>
            <w:top w:val="none" w:sz="0" w:space="0" w:color="auto"/>
            <w:left w:val="none" w:sz="0" w:space="0" w:color="auto"/>
            <w:bottom w:val="none" w:sz="0" w:space="0" w:color="auto"/>
            <w:right w:val="none" w:sz="0" w:space="0" w:color="auto"/>
          </w:divBdr>
        </w:div>
        <w:div w:id="527135806">
          <w:marLeft w:val="0"/>
          <w:marRight w:val="0"/>
          <w:marTop w:val="0"/>
          <w:marBottom w:val="0"/>
          <w:divBdr>
            <w:top w:val="none" w:sz="0" w:space="0" w:color="auto"/>
            <w:left w:val="none" w:sz="0" w:space="0" w:color="auto"/>
            <w:bottom w:val="none" w:sz="0" w:space="0" w:color="auto"/>
            <w:right w:val="none" w:sz="0" w:space="0" w:color="auto"/>
          </w:divBdr>
          <w:divsChild>
            <w:div w:id="1433625498">
              <w:marLeft w:val="0"/>
              <w:marRight w:val="0"/>
              <w:marTop w:val="0"/>
              <w:marBottom w:val="0"/>
              <w:divBdr>
                <w:top w:val="none" w:sz="0" w:space="0" w:color="auto"/>
                <w:left w:val="none" w:sz="0" w:space="0" w:color="auto"/>
                <w:bottom w:val="none" w:sz="0" w:space="0" w:color="auto"/>
                <w:right w:val="none" w:sz="0" w:space="0" w:color="auto"/>
              </w:divBdr>
            </w:div>
            <w:div w:id="46225140">
              <w:marLeft w:val="0"/>
              <w:marRight w:val="0"/>
              <w:marTop w:val="0"/>
              <w:marBottom w:val="0"/>
              <w:divBdr>
                <w:top w:val="none" w:sz="0" w:space="0" w:color="auto"/>
                <w:left w:val="none" w:sz="0" w:space="0" w:color="auto"/>
                <w:bottom w:val="none" w:sz="0" w:space="0" w:color="auto"/>
                <w:right w:val="none" w:sz="0" w:space="0" w:color="auto"/>
              </w:divBdr>
            </w:div>
            <w:div w:id="471290657">
              <w:marLeft w:val="0"/>
              <w:marRight w:val="0"/>
              <w:marTop w:val="0"/>
              <w:marBottom w:val="0"/>
              <w:divBdr>
                <w:top w:val="none" w:sz="0" w:space="0" w:color="auto"/>
                <w:left w:val="none" w:sz="0" w:space="0" w:color="auto"/>
                <w:bottom w:val="none" w:sz="0" w:space="0" w:color="auto"/>
                <w:right w:val="none" w:sz="0" w:space="0" w:color="auto"/>
              </w:divBdr>
            </w:div>
            <w:div w:id="832379874">
              <w:marLeft w:val="0"/>
              <w:marRight w:val="0"/>
              <w:marTop w:val="0"/>
              <w:marBottom w:val="0"/>
              <w:divBdr>
                <w:top w:val="none" w:sz="0" w:space="0" w:color="auto"/>
                <w:left w:val="none" w:sz="0" w:space="0" w:color="auto"/>
                <w:bottom w:val="none" w:sz="0" w:space="0" w:color="auto"/>
                <w:right w:val="none" w:sz="0" w:space="0" w:color="auto"/>
              </w:divBdr>
            </w:div>
            <w:div w:id="1011301634">
              <w:marLeft w:val="0"/>
              <w:marRight w:val="0"/>
              <w:marTop w:val="0"/>
              <w:marBottom w:val="0"/>
              <w:divBdr>
                <w:top w:val="none" w:sz="0" w:space="0" w:color="auto"/>
                <w:left w:val="none" w:sz="0" w:space="0" w:color="auto"/>
                <w:bottom w:val="none" w:sz="0" w:space="0" w:color="auto"/>
                <w:right w:val="none" w:sz="0" w:space="0" w:color="auto"/>
              </w:divBdr>
            </w:div>
          </w:divsChild>
        </w:div>
        <w:div w:id="632372156">
          <w:marLeft w:val="0"/>
          <w:marRight w:val="0"/>
          <w:marTop w:val="0"/>
          <w:marBottom w:val="0"/>
          <w:divBdr>
            <w:top w:val="none" w:sz="0" w:space="0" w:color="auto"/>
            <w:left w:val="none" w:sz="0" w:space="0" w:color="auto"/>
            <w:bottom w:val="none" w:sz="0" w:space="0" w:color="auto"/>
            <w:right w:val="none" w:sz="0" w:space="0" w:color="auto"/>
          </w:divBdr>
        </w:div>
        <w:div w:id="613832767">
          <w:marLeft w:val="0"/>
          <w:marRight w:val="0"/>
          <w:marTop w:val="0"/>
          <w:marBottom w:val="0"/>
          <w:divBdr>
            <w:top w:val="none" w:sz="0" w:space="0" w:color="auto"/>
            <w:left w:val="none" w:sz="0" w:space="0" w:color="auto"/>
            <w:bottom w:val="none" w:sz="0" w:space="0" w:color="auto"/>
            <w:right w:val="none" w:sz="0" w:space="0" w:color="auto"/>
          </w:divBdr>
        </w:div>
        <w:div w:id="218789952">
          <w:marLeft w:val="0"/>
          <w:marRight w:val="0"/>
          <w:marTop w:val="0"/>
          <w:marBottom w:val="0"/>
          <w:divBdr>
            <w:top w:val="none" w:sz="0" w:space="0" w:color="auto"/>
            <w:left w:val="none" w:sz="0" w:space="0" w:color="auto"/>
            <w:bottom w:val="none" w:sz="0" w:space="0" w:color="auto"/>
            <w:right w:val="none" w:sz="0" w:space="0" w:color="auto"/>
          </w:divBdr>
        </w:div>
      </w:divsChild>
    </w:div>
    <w:div w:id="1864636170">
      <w:bodyDiv w:val="1"/>
      <w:marLeft w:val="0"/>
      <w:marRight w:val="0"/>
      <w:marTop w:val="0"/>
      <w:marBottom w:val="0"/>
      <w:divBdr>
        <w:top w:val="none" w:sz="0" w:space="0" w:color="auto"/>
        <w:left w:val="none" w:sz="0" w:space="0" w:color="auto"/>
        <w:bottom w:val="none" w:sz="0" w:space="0" w:color="auto"/>
        <w:right w:val="none" w:sz="0" w:space="0" w:color="auto"/>
      </w:divBdr>
      <w:divsChild>
        <w:div w:id="412968405">
          <w:marLeft w:val="0"/>
          <w:marRight w:val="0"/>
          <w:marTop w:val="0"/>
          <w:marBottom w:val="0"/>
          <w:divBdr>
            <w:top w:val="none" w:sz="0" w:space="0" w:color="auto"/>
            <w:left w:val="none" w:sz="0" w:space="0" w:color="auto"/>
            <w:bottom w:val="none" w:sz="0" w:space="0" w:color="auto"/>
            <w:right w:val="none" w:sz="0" w:space="0" w:color="auto"/>
          </w:divBdr>
        </w:div>
        <w:div w:id="820925858">
          <w:marLeft w:val="0"/>
          <w:marRight w:val="0"/>
          <w:marTop w:val="0"/>
          <w:marBottom w:val="0"/>
          <w:divBdr>
            <w:top w:val="none" w:sz="0" w:space="0" w:color="auto"/>
            <w:left w:val="none" w:sz="0" w:space="0" w:color="auto"/>
            <w:bottom w:val="none" w:sz="0" w:space="0" w:color="auto"/>
            <w:right w:val="none" w:sz="0" w:space="0" w:color="auto"/>
          </w:divBdr>
        </w:div>
        <w:div w:id="1025207596">
          <w:marLeft w:val="0"/>
          <w:marRight w:val="0"/>
          <w:marTop w:val="0"/>
          <w:marBottom w:val="0"/>
          <w:divBdr>
            <w:top w:val="none" w:sz="0" w:space="0" w:color="auto"/>
            <w:left w:val="none" w:sz="0" w:space="0" w:color="auto"/>
            <w:bottom w:val="none" w:sz="0" w:space="0" w:color="auto"/>
            <w:right w:val="none" w:sz="0" w:space="0" w:color="auto"/>
          </w:divBdr>
        </w:div>
        <w:div w:id="1305311537">
          <w:marLeft w:val="0"/>
          <w:marRight w:val="0"/>
          <w:marTop w:val="0"/>
          <w:marBottom w:val="0"/>
          <w:divBdr>
            <w:top w:val="none" w:sz="0" w:space="0" w:color="auto"/>
            <w:left w:val="none" w:sz="0" w:space="0" w:color="auto"/>
            <w:bottom w:val="none" w:sz="0" w:space="0" w:color="auto"/>
            <w:right w:val="none" w:sz="0" w:space="0" w:color="auto"/>
          </w:divBdr>
        </w:div>
        <w:div w:id="2114788103">
          <w:marLeft w:val="0"/>
          <w:marRight w:val="0"/>
          <w:marTop w:val="0"/>
          <w:marBottom w:val="0"/>
          <w:divBdr>
            <w:top w:val="none" w:sz="0" w:space="0" w:color="auto"/>
            <w:left w:val="none" w:sz="0" w:space="0" w:color="auto"/>
            <w:bottom w:val="none" w:sz="0" w:space="0" w:color="auto"/>
            <w:right w:val="none" w:sz="0" w:space="0" w:color="auto"/>
          </w:divBdr>
        </w:div>
        <w:div w:id="2119106579">
          <w:marLeft w:val="0"/>
          <w:marRight w:val="0"/>
          <w:marTop w:val="0"/>
          <w:marBottom w:val="0"/>
          <w:divBdr>
            <w:top w:val="none" w:sz="0" w:space="0" w:color="auto"/>
            <w:left w:val="none" w:sz="0" w:space="0" w:color="auto"/>
            <w:bottom w:val="none" w:sz="0" w:space="0" w:color="auto"/>
            <w:right w:val="none" w:sz="0" w:space="0" w:color="auto"/>
          </w:divBdr>
        </w:div>
        <w:div w:id="1635255357">
          <w:marLeft w:val="0"/>
          <w:marRight w:val="0"/>
          <w:marTop w:val="0"/>
          <w:marBottom w:val="0"/>
          <w:divBdr>
            <w:top w:val="none" w:sz="0" w:space="0" w:color="auto"/>
            <w:left w:val="none" w:sz="0" w:space="0" w:color="auto"/>
            <w:bottom w:val="none" w:sz="0" w:space="0" w:color="auto"/>
            <w:right w:val="none" w:sz="0" w:space="0" w:color="auto"/>
          </w:divBdr>
        </w:div>
        <w:div w:id="432166861">
          <w:marLeft w:val="0"/>
          <w:marRight w:val="0"/>
          <w:marTop w:val="0"/>
          <w:marBottom w:val="0"/>
          <w:divBdr>
            <w:top w:val="none" w:sz="0" w:space="0" w:color="auto"/>
            <w:left w:val="none" w:sz="0" w:space="0" w:color="auto"/>
            <w:bottom w:val="none" w:sz="0" w:space="0" w:color="auto"/>
            <w:right w:val="none" w:sz="0" w:space="0" w:color="auto"/>
          </w:divBdr>
        </w:div>
        <w:div w:id="1687710851">
          <w:marLeft w:val="0"/>
          <w:marRight w:val="0"/>
          <w:marTop w:val="0"/>
          <w:marBottom w:val="0"/>
          <w:divBdr>
            <w:top w:val="none" w:sz="0" w:space="0" w:color="auto"/>
            <w:left w:val="none" w:sz="0" w:space="0" w:color="auto"/>
            <w:bottom w:val="none" w:sz="0" w:space="0" w:color="auto"/>
            <w:right w:val="none" w:sz="0" w:space="0" w:color="auto"/>
          </w:divBdr>
        </w:div>
        <w:div w:id="1961258899">
          <w:marLeft w:val="0"/>
          <w:marRight w:val="0"/>
          <w:marTop w:val="0"/>
          <w:marBottom w:val="0"/>
          <w:divBdr>
            <w:top w:val="none" w:sz="0" w:space="0" w:color="auto"/>
            <w:left w:val="none" w:sz="0" w:space="0" w:color="auto"/>
            <w:bottom w:val="none" w:sz="0" w:space="0" w:color="auto"/>
            <w:right w:val="none" w:sz="0" w:space="0" w:color="auto"/>
          </w:divBdr>
        </w:div>
        <w:div w:id="894658088">
          <w:marLeft w:val="0"/>
          <w:marRight w:val="0"/>
          <w:marTop w:val="0"/>
          <w:marBottom w:val="0"/>
          <w:divBdr>
            <w:top w:val="none" w:sz="0" w:space="0" w:color="auto"/>
            <w:left w:val="none" w:sz="0" w:space="0" w:color="auto"/>
            <w:bottom w:val="none" w:sz="0" w:space="0" w:color="auto"/>
            <w:right w:val="none" w:sz="0" w:space="0" w:color="auto"/>
          </w:divBdr>
          <w:divsChild>
            <w:div w:id="179316295">
              <w:marLeft w:val="0"/>
              <w:marRight w:val="0"/>
              <w:marTop w:val="0"/>
              <w:marBottom w:val="0"/>
              <w:divBdr>
                <w:top w:val="none" w:sz="0" w:space="0" w:color="auto"/>
                <w:left w:val="none" w:sz="0" w:space="0" w:color="auto"/>
                <w:bottom w:val="none" w:sz="0" w:space="0" w:color="auto"/>
                <w:right w:val="none" w:sz="0" w:space="0" w:color="auto"/>
              </w:divBdr>
            </w:div>
            <w:div w:id="12610051">
              <w:marLeft w:val="0"/>
              <w:marRight w:val="0"/>
              <w:marTop w:val="0"/>
              <w:marBottom w:val="0"/>
              <w:divBdr>
                <w:top w:val="none" w:sz="0" w:space="0" w:color="auto"/>
                <w:left w:val="none" w:sz="0" w:space="0" w:color="auto"/>
                <w:bottom w:val="none" w:sz="0" w:space="0" w:color="auto"/>
                <w:right w:val="none" w:sz="0" w:space="0" w:color="auto"/>
              </w:divBdr>
            </w:div>
            <w:div w:id="273950283">
              <w:marLeft w:val="0"/>
              <w:marRight w:val="0"/>
              <w:marTop w:val="0"/>
              <w:marBottom w:val="0"/>
              <w:divBdr>
                <w:top w:val="none" w:sz="0" w:space="0" w:color="auto"/>
                <w:left w:val="none" w:sz="0" w:space="0" w:color="auto"/>
                <w:bottom w:val="none" w:sz="0" w:space="0" w:color="auto"/>
                <w:right w:val="none" w:sz="0" w:space="0" w:color="auto"/>
              </w:divBdr>
            </w:div>
            <w:div w:id="663433850">
              <w:marLeft w:val="0"/>
              <w:marRight w:val="0"/>
              <w:marTop w:val="0"/>
              <w:marBottom w:val="0"/>
              <w:divBdr>
                <w:top w:val="none" w:sz="0" w:space="0" w:color="auto"/>
                <w:left w:val="none" w:sz="0" w:space="0" w:color="auto"/>
                <w:bottom w:val="none" w:sz="0" w:space="0" w:color="auto"/>
                <w:right w:val="none" w:sz="0" w:space="0" w:color="auto"/>
              </w:divBdr>
            </w:div>
            <w:div w:id="1621719917">
              <w:marLeft w:val="0"/>
              <w:marRight w:val="0"/>
              <w:marTop w:val="0"/>
              <w:marBottom w:val="0"/>
              <w:divBdr>
                <w:top w:val="none" w:sz="0" w:space="0" w:color="auto"/>
                <w:left w:val="none" w:sz="0" w:space="0" w:color="auto"/>
                <w:bottom w:val="none" w:sz="0" w:space="0" w:color="auto"/>
                <w:right w:val="none" w:sz="0" w:space="0" w:color="auto"/>
              </w:divBdr>
            </w:div>
          </w:divsChild>
        </w:div>
        <w:div w:id="1486050159">
          <w:marLeft w:val="0"/>
          <w:marRight w:val="0"/>
          <w:marTop w:val="0"/>
          <w:marBottom w:val="0"/>
          <w:divBdr>
            <w:top w:val="none" w:sz="0" w:space="0" w:color="auto"/>
            <w:left w:val="none" w:sz="0" w:space="0" w:color="auto"/>
            <w:bottom w:val="none" w:sz="0" w:space="0" w:color="auto"/>
            <w:right w:val="none" w:sz="0" w:space="0" w:color="auto"/>
          </w:divBdr>
          <w:divsChild>
            <w:div w:id="321739188">
              <w:marLeft w:val="0"/>
              <w:marRight w:val="0"/>
              <w:marTop w:val="0"/>
              <w:marBottom w:val="0"/>
              <w:divBdr>
                <w:top w:val="none" w:sz="0" w:space="0" w:color="auto"/>
                <w:left w:val="none" w:sz="0" w:space="0" w:color="auto"/>
                <w:bottom w:val="none" w:sz="0" w:space="0" w:color="auto"/>
                <w:right w:val="none" w:sz="0" w:space="0" w:color="auto"/>
              </w:divBdr>
            </w:div>
            <w:div w:id="1785073467">
              <w:marLeft w:val="0"/>
              <w:marRight w:val="0"/>
              <w:marTop w:val="0"/>
              <w:marBottom w:val="0"/>
              <w:divBdr>
                <w:top w:val="none" w:sz="0" w:space="0" w:color="auto"/>
                <w:left w:val="none" w:sz="0" w:space="0" w:color="auto"/>
                <w:bottom w:val="none" w:sz="0" w:space="0" w:color="auto"/>
                <w:right w:val="none" w:sz="0" w:space="0" w:color="auto"/>
              </w:divBdr>
            </w:div>
            <w:div w:id="316809717">
              <w:marLeft w:val="0"/>
              <w:marRight w:val="0"/>
              <w:marTop w:val="0"/>
              <w:marBottom w:val="0"/>
              <w:divBdr>
                <w:top w:val="none" w:sz="0" w:space="0" w:color="auto"/>
                <w:left w:val="none" w:sz="0" w:space="0" w:color="auto"/>
                <w:bottom w:val="none" w:sz="0" w:space="0" w:color="auto"/>
                <w:right w:val="none" w:sz="0" w:space="0" w:color="auto"/>
              </w:divBdr>
            </w:div>
          </w:divsChild>
        </w:div>
        <w:div w:id="1109930114">
          <w:marLeft w:val="0"/>
          <w:marRight w:val="0"/>
          <w:marTop w:val="0"/>
          <w:marBottom w:val="0"/>
          <w:divBdr>
            <w:top w:val="none" w:sz="0" w:space="0" w:color="auto"/>
            <w:left w:val="none" w:sz="0" w:space="0" w:color="auto"/>
            <w:bottom w:val="none" w:sz="0" w:space="0" w:color="auto"/>
            <w:right w:val="none" w:sz="0" w:space="0" w:color="auto"/>
          </w:divBdr>
          <w:divsChild>
            <w:div w:id="85806555">
              <w:marLeft w:val="0"/>
              <w:marRight w:val="0"/>
              <w:marTop w:val="0"/>
              <w:marBottom w:val="0"/>
              <w:divBdr>
                <w:top w:val="none" w:sz="0" w:space="0" w:color="auto"/>
                <w:left w:val="none" w:sz="0" w:space="0" w:color="auto"/>
                <w:bottom w:val="none" w:sz="0" w:space="0" w:color="auto"/>
                <w:right w:val="none" w:sz="0" w:space="0" w:color="auto"/>
              </w:divBdr>
            </w:div>
            <w:div w:id="1879052887">
              <w:marLeft w:val="0"/>
              <w:marRight w:val="0"/>
              <w:marTop w:val="0"/>
              <w:marBottom w:val="0"/>
              <w:divBdr>
                <w:top w:val="none" w:sz="0" w:space="0" w:color="auto"/>
                <w:left w:val="none" w:sz="0" w:space="0" w:color="auto"/>
                <w:bottom w:val="none" w:sz="0" w:space="0" w:color="auto"/>
                <w:right w:val="none" w:sz="0" w:space="0" w:color="auto"/>
              </w:divBdr>
            </w:div>
            <w:div w:id="2086995191">
              <w:marLeft w:val="0"/>
              <w:marRight w:val="0"/>
              <w:marTop w:val="0"/>
              <w:marBottom w:val="0"/>
              <w:divBdr>
                <w:top w:val="none" w:sz="0" w:space="0" w:color="auto"/>
                <w:left w:val="none" w:sz="0" w:space="0" w:color="auto"/>
                <w:bottom w:val="none" w:sz="0" w:space="0" w:color="auto"/>
                <w:right w:val="none" w:sz="0" w:space="0" w:color="auto"/>
              </w:divBdr>
            </w:div>
            <w:div w:id="2026520345">
              <w:marLeft w:val="0"/>
              <w:marRight w:val="0"/>
              <w:marTop w:val="0"/>
              <w:marBottom w:val="0"/>
              <w:divBdr>
                <w:top w:val="none" w:sz="0" w:space="0" w:color="auto"/>
                <w:left w:val="none" w:sz="0" w:space="0" w:color="auto"/>
                <w:bottom w:val="none" w:sz="0" w:space="0" w:color="auto"/>
                <w:right w:val="none" w:sz="0" w:space="0" w:color="auto"/>
              </w:divBdr>
            </w:div>
            <w:div w:id="1158493907">
              <w:marLeft w:val="0"/>
              <w:marRight w:val="0"/>
              <w:marTop w:val="0"/>
              <w:marBottom w:val="0"/>
              <w:divBdr>
                <w:top w:val="none" w:sz="0" w:space="0" w:color="auto"/>
                <w:left w:val="none" w:sz="0" w:space="0" w:color="auto"/>
                <w:bottom w:val="none" w:sz="0" w:space="0" w:color="auto"/>
                <w:right w:val="none" w:sz="0" w:space="0" w:color="auto"/>
              </w:divBdr>
            </w:div>
          </w:divsChild>
        </w:div>
        <w:div w:id="202905761">
          <w:marLeft w:val="0"/>
          <w:marRight w:val="0"/>
          <w:marTop w:val="0"/>
          <w:marBottom w:val="0"/>
          <w:divBdr>
            <w:top w:val="none" w:sz="0" w:space="0" w:color="auto"/>
            <w:left w:val="none" w:sz="0" w:space="0" w:color="auto"/>
            <w:bottom w:val="none" w:sz="0" w:space="0" w:color="auto"/>
            <w:right w:val="none" w:sz="0" w:space="0" w:color="auto"/>
          </w:divBdr>
        </w:div>
        <w:div w:id="1428231748">
          <w:marLeft w:val="0"/>
          <w:marRight w:val="0"/>
          <w:marTop w:val="0"/>
          <w:marBottom w:val="0"/>
          <w:divBdr>
            <w:top w:val="none" w:sz="0" w:space="0" w:color="auto"/>
            <w:left w:val="none" w:sz="0" w:space="0" w:color="auto"/>
            <w:bottom w:val="none" w:sz="0" w:space="0" w:color="auto"/>
            <w:right w:val="none" w:sz="0" w:space="0" w:color="auto"/>
          </w:divBdr>
        </w:div>
        <w:div w:id="868372102">
          <w:marLeft w:val="0"/>
          <w:marRight w:val="0"/>
          <w:marTop w:val="0"/>
          <w:marBottom w:val="0"/>
          <w:divBdr>
            <w:top w:val="none" w:sz="0" w:space="0" w:color="auto"/>
            <w:left w:val="none" w:sz="0" w:space="0" w:color="auto"/>
            <w:bottom w:val="none" w:sz="0" w:space="0" w:color="auto"/>
            <w:right w:val="none" w:sz="0" w:space="0" w:color="auto"/>
          </w:divBdr>
        </w:div>
        <w:div w:id="110899552">
          <w:marLeft w:val="0"/>
          <w:marRight w:val="0"/>
          <w:marTop w:val="0"/>
          <w:marBottom w:val="0"/>
          <w:divBdr>
            <w:top w:val="none" w:sz="0" w:space="0" w:color="auto"/>
            <w:left w:val="none" w:sz="0" w:space="0" w:color="auto"/>
            <w:bottom w:val="none" w:sz="0" w:space="0" w:color="auto"/>
            <w:right w:val="none" w:sz="0" w:space="0" w:color="auto"/>
          </w:divBdr>
        </w:div>
        <w:div w:id="1366174012">
          <w:marLeft w:val="0"/>
          <w:marRight w:val="0"/>
          <w:marTop w:val="0"/>
          <w:marBottom w:val="0"/>
          <w:divBdr>
            <w:top w:val="none" w:sz="0" w:space="0" w:color="auto"/>
            <w:left w:val="none" w:sz="0" w:space="0" w:color="auto"/>
            <w:bottom w:val="none" w:sz="0" w:space="0" w:color="auto"/>
            <w:right w:val="none" w:sz="0" w:space="0" w:color="auto"/>
          </w:divBdr>
        </w:div>
        <w:div w:id="64232414">
          <w:marLeft w:val="0"/>
          <w:marRight w:val="0"/>
          <w:marTop w:val="0"/>
          <w:marBottom w:val="0"/>
          <w:divBdr>
            <w:top w:val="none" w:sz="0" w:space="0" w:color="auto"/>
            <w:left w:val="none" w:sz="0" w:space="0" w:color="auto"/>
            <w:bottom w:val="none" w:sz="0" w:space="0" w:color="auto"/>
            <w:right w:val="none" w:sz="0" w:space="0" w:color="auto"/>
          </w:divBdr>
        </w:div>
        <w:div w:id="917520478">
          <w:marLeft w:val="0"/>
          <w:marRight w:val="0"/>
          <w:marTop w:val="0"/>
          <w:marBottom w:val="0"/>
          <w:divBdr>
            <w:top w:val="none" w:sz="0" w:space="0" w:color="auto"/>
            <w:left w:val="none" w:sz="0" w:space="0" w:color="auto"/>
            <w:bottom w:val="none" w:sz="0" w:space="0" w:color="auto"/>
            <w:right w:val="none" w:sz="0" w:space="0" w:color="auto"/>
          </w:divBdr>
        </w:div>
        <w:div w:id="1693651974">
          <w:marLeft w:val="0"/>
          <w:marRight w:val="0"/>
          <w:marTop w:val="0"/>
          <w:marBottom w:val="0"/>
          <w:divBdr>
            <w:top w:val="none" w:sz="0" w:space="0" w:color="auto"/>
            <w:left w:val="none" w:sz="0" w:space="0" w:color="auto"/>
            <w:bottom w:val="none" w:sz="0" w:space="0" w:color="auto"/>
            <w:right w:val="none" w:sz="0" w:space="0" w:color="auto"/>
          </w:divBdr>
        </w:div>
        <w:div w:id="1125076843">
          <w:marLeft w:val="0"/>
          <w:marRight w:val="0"/>
          <w:marTop w:val="0"/>
          <w:marBottom w:val="0"/>
          <w:divBdr>
            <w:top w:val="none" w:sz="0" w:space="0" w:color="auto"/>
            <w:left w:val="none" w:sz="0" w:space="0" w:color="auto"/>
            <w:bottom w:val="none" w:sz="0" w:space="0" w:color="auto"/>
            <w:right w:val="none" w:sz="0" w:space="0" w:color="auto"/>
          </w:divBdr>
        </w:div>
        <w:div w:id="1406951288">
          <w:marLeft w:val="0"/>
          <w:marRight w:val="0"/>
          <w:marTop w:val="0"/>
          <w:marBottom w:val="0"/>
          <w:divBdr>
            <w:top w:val="none" w:sz="0" w:space="0" w:color="auto"/>
            <w:left w:val="none" w:sz="0" w:space="0" w:color="auto"/>
            <w:bottom w:val="none" w:sz="0" w:space="0" w:color="auto"/>
            <w:right w:val="none" w:sz="0" w:space="0" w:color="auto"/>
          </w:divBdr>
        </w:div>
        <w:div w:id="337731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pps.who.int/iris/bitstream/handle/10665/76173/9789241548397_eng.pdf" TargetMode="External"/><Relationship Id="rId21" Type="http://schemas.openxmlformats.org/officeDocument/2006/relationships/hyperlink" Target="http://www.who.int/medicines/regulation/benchmarking_tool/en/" TargetMode="External"/><Relationship Id="rId42" Type="http://schemas.openxmlformats.org/officeDocument/2006/relationships/hyperlink" Target="http://www.who.int/mental_health/mhgap/evidence/epilepsy/en/" TargetMode="External"/><Relationship Id="rId47" Type="http://schemas.openxmlformats.org/officeDocument/2006/relationships/hyperlink" Target="http://apps.who.int/iris/bitstream/handle/10665/181468/9789241549158_eng.pdf;jsessionid=0B133D3AD9912240BE31344EAC19187C?sequence=1" TargetMode="External"/><Relationship Id="rId63" Type="http://schemas.openxmlformats.org/officeDocument/2006/relationships/hyperlink" Target="http://apps.who.int/medicinedocs/en/d/Js2215e/9.13.html" TargetMode="External"/><Relationship Id="rId68"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www.who.int/ncds/management/pen_tools/en/" TargetMode="External"/><Relationship Id="rId11" Type="http://schemas.openxmlformats.org/officeDocument/2006/relationships/hyperlink" Target="http://haiweb.org/what-we-do/price-availability-affordability/price-availability-data/" TargetMode="External"/><Relationship Id="rId24" Type="http://schemas.openxmlformats.org/officeDocument/2006/relationships/hyperlink" Target="https://doi.org/10.1787/health_glance-2017-en" TargetMode="External"/><Relationship Id="rId32" Type="http://schemas.openxmlformats.org/officeDocument/2006/relationships/hyperlink" Target="http://apps.who.int/iris/bitstream/handle/10665/76173/9789241548397_eng.pdf" TargetMode="External"/><Relationship Id="rId37" Type="http://schemas.openxmlformats.org/officeDocument/2006/relationships/hyperlink" Target="http://apps.who.int/iris/bitstream/handle/10665/76173/9789241548397_eng.pdf" TargetMode="External"/><Relationship Id="rId40" Type="http://schemas.openxmlformats.org/officeDocument/2006/relationships/hyperlink" Target="http://apps.who.int/medicinedocs/en/d/Jh2929e/7.html" TargetMode="External"/><Relationship Id="rId45" Type="http://schemas.openxmlformats.org/officeDocument/2006/relationships/hyperlink" Target="http://apps.who.int/medicinedocs/en/d/Js5406e/16.11.html" TargetMode="External"/><Relationship Id="rId53" Type="http://schemas.openxmlformats.org/officeDocument/2006/relationships/hyperlink" Target="https://www.unfpa.org/sites/default/files/pub-pdf/Key%20Data%20and%20Findings%20Maternal%20Health%20Medicines-FINAL.pdf" TargetMode="External"/><Relationship Id="rId58" Type="http://schemas.openxmlformats.org/officeDocument/2006/relationships/hyperlink" Target="file:///C:\Users\nanneic\AppData\Local\Microsoft\Windows\Temporary%20Internet%20Files\Content.Outlook\HUJABWIN\Treatment%20References:%20http:\apps.who.int\iris\bitstream\handle\10665\44540\9789241548120_Guidelines.pdf;jsessionid=6AF4E039A5576A8C77618EBA7AD07D68%3fsequence=1" TargetMode="External"/><Relationship Id="rId66" Type="http://schemas.openxmlformats.org/officeDocument/2006/relationships/header" Target="header1.xml"/><Relationship Id="rId74" Type="http://schemas.openxmlformats.org/officeDocument/2006/relationships/glossaryDocument" Target="glossary/document.xml"/><Relationship Id="rId5" Type="http://schemas.openxmlformats.org/officeDocument/2006/relationships/numbering" Target="numbering.xml"/><Relationship Id="rId61" Type="http://schemas.openxmlformats.org/officeDocument/2006/relationships/hyperlink" Target="http://www.who.int/selection_medicines/committees/expert/19/applications/Histamine_3_AC_R.pdf" TargetMode="External"/><Relationship Id="rId19" Type="http://schemas.openxmlformats.org/officeDocument/2006/relationships/hyperlink" Target="https://www.ilo.org/global/topics/wages/minimum-wages/definition/lang--en/index.htm" TargetMode="External"/><Relationship Id="rId14" Type="http://schemas.openxmlformats.org/officeDocument/2006/relationships/hyperlink" Target="http://www.who.int/healthinfo/systems/SARA_Reference_Manual_Full.pdf" TargetMode="External"/><Relationship Id="rId22" Type="http://schemas.openxmlformats.org/officeDocument/2006/relationships/hyperlink" Target="http://www.who.int/healthinfo/global_burden_disease/estimates/en/index1.html" TargetMode="External"/><Relationship Id="rId27" Type="http://schemas.openxmlformats.org/officeDocument/2006/relationships/hyperlink" Target="http://www.who.int/ncds/management/pen_tools/en/" TargetMode="External"/><Relationship Id="rId30" Type="http://schemas.openxmlformats.org/officeDocument/2006/relationships/hyperlink" Target="http://apps.who.int/iris/bitstream/handle/10665/76173/9789241548397_eng.pdf" TargetMode="External"/><Relationship Id="rId35" Type="http://schemas.openxmlformats.org/officeDocument/2006/relationships/hyperlink" Target="http://apps.who.int/iris/bitstream/handle/10665/76173/9789241548397_eng.pdf" TargetMode="External"/><Relationship Id="rId43" Type="http://schemas.openxmlformats.org/officeDocument/2006/relationships/hyperlink" Target="http://apps.who.int/medicinedocs/en/d/Js5406e/16.19.html" TargetMode="External"/><Relationship Id="rId48" Type="http://schemas.openxmlformats.org/officeDocument/2006/relationships/hyperlink" Target="http://www.who.int/maternal_child_adolescent/documents/a85500/en/" TargetMode="External"/><Relationship Id="rId56" Type="http://schemas.openxmlformats.org/officeDocument/2006/relationships/hyperlink" Target="http://apps.who.int/iris/bitstream/handle/10665/162441/9789241549127_eng.pdf" TargetMode="External"/><Relationship Id="rId64" Type="http://schemas.openxmlformats.org/officeDocument/2006/relationships/hyperlink" Target="http://apps.who.int/iris/bitstream/handle/10665/37143/9241401052.pdf?sequence=1&amp;isAllowed=y" TargetMode="External"/><Relationship Id="rId69" Type="http://schemas.openxmlformats.org/officeDocument/2006/relationships/image" Target="media/image5.png"/><Relationship Id="rId8" Type="http://schemas.openxmlformats.org/officeDocument/2006/relationships/webSettings" Target="webSettings.xml"/><Relationship Id="rId51" Type="http://schemas.openxmlformats.org/officeDocument/2006/relationships/hyperlink" Target="https://www.unfpa.org/sites/default/files/pub-pdf/Key%20Data%20and%20Findings%20Maternal%20Health%20Medicines-FINAL.pdf" TargetMode="External"/><Relationship Id="rId72"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www.who.int/medicines/areas/access/OMS_Medicine_prices.pdf" TargetMode="External"/><Relationship Id="rId25" Type="http://schemas.openxmlformats.org/officeDocument/2006/relationships/hyperlink" Target="http://www.who.int/ncds/management/pen_tools/en/" TargetMode="External"/><Relationship Id="rId33" Type="http://schemas.openxmlformats.org/officeDocument/2006/relationships/hyperlink" Target="http://www.who.int/ncds/management/pen_tools/en/" TargetMode="External"/><Relationship Id="rId38" Type="http://schemas.openxmlformats.org/officeDocument/2006/relationships/hyperlink" Target="http://www.who.int/ncds/management/pen_tools/en/" TargetMode="External"/><Relationship Id="rId46" Type="http://schemas.openxmlformats.org/officeDocument/2006/relationships/hyperlink" Target="http://apps.who.int/medicinedocs/en/d/Js5406e/16.6.html" TargetMode="External"/><Relationship Id="rId59" Type="http://schemas.openxmlformats.org/officeDocument/2006/relationships/hyperlink" Target="http://www.who.int/selection_medicines/committees/subcommittee/2/chlorhexidine.pdf?ua=1" TargetMode="External"/><Relationship Id="rId67" Type="http://schemas.openxmlformats.org/officeDocument/2006/relationships/image" Target="media/image3.png"/><Relationship Id="rId20" Type="http://schemas.openxmlformats.org/officeDocument/2006/relationships/hyperlink" Target="http://www.who.int/healthinfo/global_burden_disease/2004_report_update/en/" TargetMode="External"/><Relationship Id="rId41" Type="http://schemas.openxmlformats.org/officeDocument/2006/relationships/hyperlink" Target="http://www.who.int/mental_health/mhgap/evidence/depression/en/" TargetMode="External"/><Relationship Id="rId54" Type="http://schemas.openxmlformats.org/officeDocument/2006/relationships/hyperlink" Target="http://www.who.int/elena/titles/folate_periconceptional/en/" TargetMode="External"/><Relationship Id="rId62" Type="http://schemas.openxmlformats.org/officeDocument/2006/relationships/hyperlink" Target="http://www.who.int/selection_medicines/list/WMF2008.pdf?ua=1" TargetMode="External"/><Relationship Id="rId70" Type="http://schemas.openxmlformats.org/officeDocument/2006/relationships/image" Target="media/image6.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who.int/medicines/areas/policy/monitoring/empmedmon" TargetMode="External"/><Relationship Id="rId23" Type="http://schemas.openxmlformats.org/officeDocument/2006/relationships/hyperlink" Target="http://apps.who.int/gho/data/node.main.487" TargetMode="External"/><Relationship Id="rId28" Type="http://schemas.openxmlformats.org/officeDocument/2006/relationships/hyperlink" Target="http://apps.who.int/iris/bitstream/handle/10665/76173/9789241548397_eng.pdf" TargetMode="External"/><Relationship Id="rId36" Type="http://schemas.openxmlformats.org/officeDocument/2006/relationships/hyperlink" Target="http://www.who.int/ncds/management/pen_tools/en/" TargetMode="External"/><Relationship Id="rId49" Type="http://schemas.openxmlformats.org/officeDocument/2006/relationships/hyperlink" Target="http://www.who.int/maternal_child_adolescent/documents/a85500/en/" TargetMode="External"/><Relationship Id="rId57" Type="http://schemas.openxmlformats.org/officeDocument/2006/relationships/hyperlink" Target="http://apps.who.int/iris/bitstream/handle/10665/208825/9789241549684_eng.pdf" TargetMode="External"/><Relationship Id="rId10" Type="http://schemas.openxmlformats.org/officeDocument/2006/relationships/endnotes" Target="endnotes.xml"/><Relationship Id="rId31" Type="http://schemas.openxmlformats.org/officeDocument/2006/relationships/hyperlink" Target="http://www.who.int/ncds/management/pen_tools/en/" TargetMode="External"/><Relationship Id="rId44" Type="http://schemas.openxmlformats.org/officeDocument/2006/relationships/hyperlink" Target="http://apps.who.int/medicinedocs/en/d/Js5406e/16.1.html" TargetMode="External"/><Relationship Id="rId52" Type="http://schemas.openxmlformats.org/officeDocument/2006/relationships/hyperlink" Target="https://extranet.who.int/rhl/topics/preconception-pregnancy-childbirth-and-postpartum-care/medical-problems-during-pregnancy/who-recommendation-magnesium-sulfate-prevention-eclampsia-women-severe-pre-eclampsia" TargetMode="External"/><Relationship Id="rId60" Type="http://schemas.openxmlformats.org/officeDocument/2006/relationships/hyperlink" Target="http://apps.who.int/iris/bitstream/handle/10665/95584/9789241506328_eng.pdf?sequence=1" TargetMode="External"/><Relationship Id="rId65" Type="http://schemas.openxmlformats.org/officeDocument/2006/relationships/hyperlink" Target="http://www.who.int/selection_medicines/list/WMF2008.pdf?ua=1"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who.int/medicines/areas/access/medicines_prices08/en/" TargetMode="External"/><Relationship Id="rId18" Type="http://schemas.openxmlformats.org/officeDocument/2006/relationships/hyperlink" Target="https://www.whocc.no/ddd/definition_and_general_considera/" TargetMode="External"/><Relationship Id="rId39" Type="http://schemas.openxmlformats.org/officeDocument/2006/relationships/hyperlink" Target="http://apps.who.int/medicinedocs/en/d/Jh2929e/7.html" TargetMode="External"/><Relationship Id="rId34" Type="http://schemas.openxmlformats.org/officeDocument/2006/relationships/hyperlink" Target="http://www.who.int/ncds/management/pen_tools/en/" TargetMode="External"/><Relationship Id="rId50" Type="http://schemas.openxmlformats.org/officeDocument/2006/relationships/hyperlink" Target="http://apps.who.int/iris/bitstream/handle/10665/75411/9789241548502_eng.pdf" TargetMode="External"/><Relationship Id="rId55" Type="http://schemas.openxmlformats.org/officeDocument/2006/relationships/hyperlink" Target="http://apps.who.int/iris/bitstream/handle/10665/162441/9789241549127_eng.pdf" TargetMode="External"/><Relationship Id="rId7" Type="http://schemas.openxmlformats.org/officeDocument/2006/relationships/settings" Target="settings.xml"/><Relationship Id="rId71"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ophi.org.uk/wp-content/uploads/OPHIRP046a.pdf" TargetMode="External"/><Relationship Id="rId2" Type="http://schemas.openxmlformats.org/officeDocument/2006/relationships/hyperlink" Target="http://www.who.int/medicines/areas/access/OMS_Medicine_prices.pdf" TargetMode="External"/><Relationship Id="rId1" Type="http://schemas.openxmlformats.org/officeDocument/2006/relationships/hyperlink" Target="http://www.who.int/healthinfo/global_burden_disease/estimates/en/index1.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C35CB74-929D-4623-A3F2-ABBB20F1A15B}"/>
      </w:docPartPr>
      <w:docPartBody>
        <w:p w:rsidR="00000000" w:rsidRDefault="00FA1D3F">
          <w:r w:rsidRPr="0067677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3F"/>
    <w:rsid w:val="00FA1D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1D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d114b01d-ae01-4749-b845-9d88e7ef5c0e"/>
    <ds:schemaRef ds:uri="http://schemas.microsoft.com/office/2006/documentManagement/types"/>
    <ds:schemaRef ds:uri="http://purl.org/dc/elements/1.1/"/>
    <ds:schemaRef ds:uri="http://www.w3.org/XML/1998/namespace"/>
    <ds:schemaRef ds:uri="f2d2d782-0088-4826-96df-71eba56e6d2e"/>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57706C-8194-4569-904B-891E3C97E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30</Pages>
  <Words>11784</Words>
  <Characters>67171</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Harumi Shibata Salazar</cp:lastModifiedBy>
  <cp:revision>12</cp:revision>
  <cp:lastPrinted>2016-07-16T14:25:00Z</cp:lastPrinted>
  <dcterms:created xsi:type="dcterms:W3CDTF">2021-11-18T20:59:00Z</dcterms:created>
  <dcterms:modified xsi:type="dcterms:W3CDTF">2022-12-20T20:55:00Z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