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7F7F9EEE" w14:textId="3DF230D3" w:rsidR="0C479FF1" w:rsidRDefault="0C479FF1" w:rsidP="05B9C47D">
      <w:pPr>
        <w:pStyle w:val="MIndHeader"/>
        <w:rPr>
          <w:rFonts w:ascii="Calibri" w:hAnsi="Calibri"/>
          <w:sz w:val="21"/>
          <w:szCs w:val="21"/>
        </w:rPr>
      </w:pPr>
      <w:r w:rsidRPr="05B9C47D">
        <w:rPr>
          <w:rFonts w:ascii="Calibri" w:eastAsia="Calibri" w:hAnsi="Calibri" w:cs="Calibri"/>
          <w:color w:val="444444"/>
          <w:sz w:val="21"/>
          <w:szCs w:val="21"/>
        </w:rPr>
        <w:t>Goal 3: Ensure healthy lives and promote well-being for all at all ages</w:t>
      </w:r>
    </w:p>
    <w:p w14:paraId="084142D2" w14:textId="13F38579" w:rsidR="00D24330" w:rsidRPr="00A96255" w:rsidRDefault="00D24330" w:rsidP="00D24330">
      <w:pPr>
        <w:pStyle w:val="MIndHeader"/>
      </w:pPr>
      <w:r>
        <w:t xml:space="preserve">0.b. Target </w:t>
      </w:r>
      <w:r>
        <w:rPr>
          <w:color w:val="B4B4B4"/>
          <w:sz w:val="20"/>
        </w:rPr>
        <w:t>(SDG_TARGET)</w:t>
      </w:r>
    </w:p>
    <w:p w14:paraId="19BA6753" w14:textId="77FEF185" w:rsidR="4F885A45" w:rsidRDefault="4F885A45" w:rsidP="05B9C47D">
      <w:pPr>
        <w:pStyle w:val="MIndHeader"/>
        <w:rPr>
          <w:rFonts w:ascii="Calibri" w:hAnsi="Calibri"/>
          <w:sz w:val="21"/>
          <w:szCs w:val="21"/>
        </w:rPr>
      </w:pPr>
      <w:r w:rsidRPr="05B9C47D">
        <w:rPr>
          <w:rFonts w:ascii="Calibri" w:eastAsia="Calibri" w:hAnsi="Calibri" w:cs="Calibri"/>
          <w:color w:val="444444"/>
          <w:sz w:val="21"/>
          <w:szCs w:val="21"/>
        </w:rPr>
        <w:t>Target 3.a: Strengthen the implementation of the World Health Organization Framework Convention on Tobacco Control in all countries, as appropriate</w:t>
      </w:r>
    </w:p>
    <w:p w14:paraId="3E67E7E0" w14:textId="23EBBD46" w:rsidR="00D24330" w:rsidRPr="00A96255" w:rsidRDefault="00D24330" w:rsidP="00D24330">
      <w:pPr>
        <w:pStyle w:val="MIndHeader"/>
      </w:pPr>
      <w:r>
        <w:t xml:space="preserve">0.c. Indicator </w:t>
      </w:r>
      <w:r>
        <w:rPr>
          <w:color w:val="B4B4B4"/>
          <w:sz w:val="20"/>
        </w:rPr>
        <w:t>(SDG_INDICATOR)</w:t>
      </w:r>
    </w:p>
    <w:p w14:paraId="0B80BE28" w14:textId="0D9AE141" w:rsidR="77BB8BE7" w:rsidRDefault="77BB8BE7" w:rsidP="2B85C77E">
      <w:pPr>
        <w:pStyle w:val="MIndHeader"/>
        <w:rPr>
          <w:rFonts w:ascii="Calibri" w:eastAsia="Calibri" w:hAnsi="Calibri" w:cs="Calibri"/>
          <w:color w:val="444444"/>
          <w:sz w:val="21"/>
          <w:szCs w:val="21"/>
        </w:rPr>
      </w:pPr>
      <w:r w:rsidRPr="2B85C77E">
        <w:rPr>
          <w:rFonts w:eastAsia="Calibri" w:cs="Calibri"/>
          <w:color w:val="444444"/>
          <w:sz w:val="21"/>
          <w:szCs w:val="21"/>
        </w:rPr>
        <w:t>Indicator 3.a.1: Age-standardized prevalence of current tobacco use among persons aged 15 years and older</w:t>
      </w:r>
    </w:p>
    <w:p w14:paraId="37E5E4F6" w14:textId="30252C50" w:rsidR="00D24330" w:rsidRPr="00A96255" w:rsidRDefault="00D24330" w:rsidP="00D24330">
      <w:pPr>
        <w:pStyle w:val="MIndHeader"/>
      </w:pPr>
      <w:r w:rsidRPr="00A96255">
        <w:t xml:space="preserve">0.d. Series </w:t>
      </w:r>
      <w:r>
        <w:rPr>
          <w:color w:val="B4B4B4"/>
          <w:sz w:val="20"/>
        </w:rPr>
        <w:t>(SDG_SERIES_DESCR)</w:t>
      </w:r>
    </w:p>
    <w:p w14:paraId="771888BA" w14:textId="72AD8926" w:rsidR="00D24330" w:rsidRPr="00A96255" w:rsidRDefault="00537FC0" w:rsidP="00D24330">
      <w:pPr>
        <w:pStyle w:val="MGTHeader"/>
      </w:pPr>
      <w:r>
        <w:t>Not applicable</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935464915"/>
        <w:placeholder>
          <w:docPart w:val="DefaultPlaceholder_-1854013437"/>
        </w:placeholder>
        <w:date w:fullDate="2021-12-06T00:00:00Z">
          <w:dateFormat w:val="yyyy-MM-dd"/>
          <w:lid w:val="en-US"/>
          <w:storeMappedDataAs w:val="dateTime"/>
          <w:calendar w:val="gregorian"/>
        </w:date>
      </w:sdtPr>
      <w:sdtContent>
        <w:p w14:paraId="03424B60" w14:textId="3F7B22A1" w:rsidR="00D24330" w:rsidRPr="00A96255" w:rsidRDefault="004C3CD1" w:rsidP="00D24330">
          <w:pPr>
            <w:pStyle w:val="MGTHeader"/>
          </w:pPr>
          <w:r>
            <w:rPr>
              <w:lang w:val="en-US"/>
            </w:rPr>
            <w:t>2021-12-06</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B900542" w14:textId="77777777" w:rsidR="006A5FC4" w:rsidRPr="00625E22" w:rsidRDefault="006A5FC4" w:rsidP="00625E22">
      <w:pPr>
        <w:pStyle w:val="MGTHeader"/>
        <w:rPr>
          <w:rStyle w:val="eop"/>
        </w:rPr>
      </w:pPr>
      <w:r w:rsidRPr="00625E22">
        <w:rPr>
          <w:rStyle w:val="normaltextrun"/>
        </w:rPr>
        <w:t xml:space="preserve">3.4.1 Mortality rate attributed to cardiovascular disease, cancer, </w:t>
      </w:r>
      <w:proofErr w:type="gramStart"/>
      <w:r w:rsidRPr="00625E22">
        <w:rPr>
          <w:rStyle w:val="normaltextrun"/>
        </w:rPr>
        <w:t>diabetes</w:t>
      </w:r>
      <w:proofErr w:type="gramEnd"/>
      <w:r w:rsidRPr="00625E22">
        <w:rPr>
          <w:rStyle w:val="normaltextrun"/>
        </w:rPr>
        <w:t xml:space="preserve"> or chronic respiratory disease</w:t>
      </w:r>
      <w:r w:rsidRPr="00625E22">
        <w:rPr>
          <w:rStyle w:val="eop"/>
        </w:rPr>
        <w:t> </w:t>
      </w:r>
    </w:p>
    <w:p w14:paraId="077BC49E" w14:textId="0C76FB36"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69113616" w:rsidR="008D1D39" w:rsidRPr="00625E22" w:rsidRDefault="006A5FC4" w:rsidP="00625E22">
      <w:pPr>
        <w:pStyle w:val="MGTHeader"/>
        <w:rPr>
          <w:rStyle w:val="eop"/>
        </w:rPr>
      </w:pPr>
      <w:bookmarkStart w:id="0" w:name="_Hlk58314137"/>
      <w:r w:rsidRPr="00625E22">
        <w:rPr>
          <w:rStyle w:val="normaltextrun"/>
        </w:rPr>
        <w:t>World Health Organization; Secretariat of the WHO Framework Convention on Tobacco Control (co-custodians)</w:t>
      </w:r>
      <w:r w:rsidRPr="00625E22">
        <w:rPr>
          <w:rStyle w:val="eop"/>
        </w:rPr>
        <w:t> </w:t>
      </w:r>
    </w:p>
    <w:p w14:paraId="5454DBF5" w14:textId="77777777" w:rsidR="00625E22" w:rsidRPr="00A96255" w:rsidRDefault="00625E22"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bookmarkEnd w:id="0"/>
      <w:r w:rsidRPr="00EA05D3">
        <w:t xml:space="preserve">1. Data reporter </w:t>
      </w:r>
      <w:bookmarkEnd w:id="1"/>
      <w:bookmarkEnd w:id="2"/>
      <w:bookmarkEnd w:id="3"/>
      <w:bookmarkEnd w:id="4"/>
      <w:bookmarkEnd w:id="5"/>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A164FE5" w14:textId="77777777" w:rsidR="006A5FC4" w:rsidRPr="00A96255" w:rsidRDefault="006A5FC4" w:rsidP="006A5FC4">
      <w:pPr>
        <w:shd w:val="clear" w:color="auto" w:fill="FFFFFF"/>
        <w:spacing w:after="0"/>
        <w:rPr>
          <w:rFonts w:eastAsia="Times New Roman" w:cs="Times New Roman"/>
          <w:color w:val="4A4A4A"/>
          <w:sz w:val="21"/>
          <w:szCs w:val="21"/>
          <w:lang w:eastAsia="en-GB"/>
        </w:rPr>
      </w:pPr>
      <w:r>
        <w:rPr>
          <w:rStyle w:val="normaltextrun"/>
          <w:rFonts w:ascii="Calibri" w:hAnsi="Calibri" w:cs="Calibri"/>
          <w:color w:val="4A4A4A"/>
          <w:sz w:val="21"/>
          <w:szCs w:val="21"/>
          <w:shd w:val="clear" w:color="auto" w:fill="FFFFFF"/>
        </w:rPr>
        <w:t>World Health Organization</w:t>
      </w:r>
      <w:r>
        <w:rPr>
          <w:rStyle w:val="normaltextrun"/>
          <w:color w:val="4A4A4A"/>
          <w:sz w:val="21"/>
          <w:szCs w:val="21"/>
          <w:shd w:val="clear" w:color="auto" w:fill="FFFFFF"/>
        </w:rPr>
        <w:t>;</w:t>
      </w:r>
      <w:r>
        <w:rPr>
          <w:rStyle w:val="normaltextrun"/>
          <w:rFonts w:ascii="Calibri" w:hAnsi="Calibri" w:cs="Calibri"/>
          <w:color w:val="4A4A4A"/>
          <w:sz w:val="21"/>
          <w:szCs w:val="21"/>
          <w:shd w:val="clear" w:color="auto" w:fill="FFFFFF"/>
        </w:rPr>
        <w:t> Secretariat of the WHO Framework Convention on Tobacco Control</w:t>
      </w:r>
      <w:r>
        <w:rPr>
          <w:rStyle w:val="normaltextrun"/>
          <w:color w:val="4A4A4A"/>
          <w:sz w:val="21"/>
          <w:szCs w:val="21"/>
          <w:shd w:val="clear" w:color="auto" w:fill="FFFFFF"/>
        </w:rPr>
        <w:t> (</w:t>
      </w:r>
      <w:r>
        <w:rPr>
          <w:rStyle w:val="normaltextrun"/>
          <w:rFonts w:ascii="Calibri" w:hAnsi="Calibri" w:cs="Calibri"/>
          <w:color w:val="4A4A4A"/>
          <w:sz w:val="21"/>
          <w:szCs w:val="21"/>
          <w:shd w:val="clear" w:color="auto" w:fill="FFFFFF"/>
        </w:rPr>
        <w:t>co-custodians)</w:t>
      </w:r>
      <w:r>
        <w:rPr>
          <w:rStyle w:val="eop"/>
          <w:rFonts w:ascii="Calibri" w:hAnsi="Calibri" w:cs="Calibri"/>
          <w:color w:val="4A4A4A"/>
          <w:sz w:val="21"/>
          <w:szCs w:val="21"/>
          <w:shd w:val="clear" w:color="auto" w:fill="FFFFFF"/>
        </w:rPr>
        <w:t> </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6D4D6D4"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normaltextrun"/>
          <w:b/>
          <w:bCs/>
          <w:color w:val="4A4A4A"/>
          <w:sz w:val="21"/>
          <w:szCs w:val="21"/>
          <w:lang w:val="en-GB"/>
        </w:rPr>
        <w:t> </w:t>
      </w:r>
      <w:r>
        <w:rPr>
          <w:rStyle w:val="eop"/>
          <w:color w:val="4A4A4A"/>
          <w:sz w:val="21"/>
          <w:szCs w:val="21"/>
        </w:rPr>
        <w:t> </w:t>
      </w:r>
    </w:p>
    <w:p w14:paraId="6E426582"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indicator is defined as the percentage of the population aged 15 years and over who currently use</w:t>
      </w:r>
      <w:r>
        <w:rPr>
          <w:rStyle w:val="normaltextrun"/>
          <w:color w:val="4A4A4A"/>
          <w:sz w:val="21"/>
          <w:szCs w:val="21"/>
          <w:lang w:val="en-GB"/>
        </w:rPr>
        <w:t> </w:t>
      </w:r>
      <w:r>
        <w:rPr>
          <w:rStyle w:val="normaltextrun"/>
          <w:rFonts w:ascii="Calibri" w:hAnsi="Calibri" w:cs="Calibri"/>
          <w:color w:val="4A4A4A"/>
          <w:sz w:val="21"/>
          <w:szCs w:val="21"/>
          <w:lang w:val="en-GB"/>
        </w:rPr>
        <w:t>any tobacco product (smoked and/or smokeless tobacco) on a daily or non-daily</w:t>
      </w:r>
      <w:r>
        <w:rPr>
          <w:rStyle w:val="normaltextrun"/>
          <w:color w:val="4A4A4A"/>
          <w:sz w:val="21"/>
          <w:szCs w:val="21"/>
          <w:lang w:val="en-GB"/>
        </w:rPr>
        <w:t> </w:t>
      </w:r>
      <w:r>
        <w:rPr>
          <w:rStyle w:val="normaltextrun"/>
          <w:rFonts w:ascii="Calibri" w:hAnsi="Calibri" w:cs="Calibri"/>
          <w:color w:val="4A4A4A"/>
          <w:sz w:val="21"/>
          <w:szCs w:val="21"/>
          <w:lang w:val="en-GB"/>
        </w:rPr>
        <w:t>basis.</w:t>
      </w:r>
      <w:r>
        <w:rPr>
          <w:rStyle w:val="normaltextrun"/>
          <w:color w:val="4A4A4A"/>
          <w:sz w:val="21"/>
          <w:szCs w:val="21"/>
          <w:lang w:val="en-GB"/>
        </w:rPr>
        <w:t> </w:t>
      </w:r>
      <w:r>
        <w:rPr>
          <w:rStyle w:val="eop"/>
          <w:color w:val="4A4A4A"/>
          <w:sz w:val="21"/>
          <w:szCs w:val="21"/>
        </w:rPr>
        <w:t> </w:t>
      </w:r>
    </w:p>
    <w:p w14:paraId="043D1056"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96DCED"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3BA64511"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Tobacco use means use of smoked and/or smokeless tobacco products.  “Current use” means use within the previous 30 days at the time of the survey, whether daily or non-daily use.</w:t>
      </w:r>
      <w:r>
        <w:rPr>
          <w:rStyle w:val="eop"/>
          <w:rFonts w:ascii="Calibri" w:hAnsi="Calibri" w:cs="Calibri"/>
          <w:color w:val="4A4A4A"/>
          <w:sz w:val="21"/>
          <w:szCs w:val="21"/>
        </w:rPr>
        <w:t> </w:t>
      </w:r>
    </w:p>
    <w:p w14:paraId="74B47643"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eop"/>
          <w:color w:val="4A4A4A"/>
          <w:sz w:val="21"/>
          <w:szCs w:val="21"/>
        </w:rPr>
        <w:t> </w:t>
      </w:r>
    </w:p>
    <w:p w14:paraId="4A29E76B"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Tobacco products means products entirely or partly made of the leaf tobacco as raw material intended for human consumption through smoking, sucking, </w:t>
      </w:r>
      <w:proofErr w:type="gramStart"/>
      <w:r>
        <w:rPr>
          <w:rStyle w:val="normaltextrun"/>
          <w:rFonts w:ascii="Calibri" w:hAnsi="Calibri" w:cs="Calibri"/>
          <w:color w:val="4A4A4A"/>
          <w:sz w:val="21"/>
          <w:szCs w:val="21"/>
          <w:lang w:val="en-GB"/>
        </w:rPr>
        <w:t>chewing</w:t>
      </w:r>
      <w:proofErr w:type="gramEnd"/>
      <w:r>
        <w:rPr>
          <w:rStyle w:val="normaltextrun"/>
          <w:rFonts w:ascii="Calibri" w:hAnsi="Calibri" w:cs="Calibri"/>
          <w:color w:val="4A4A4A"/>
          <w:sz w:val="21"/>
          <w:szCs w:val="21"/>
          <w:lang w:val="en-GB"/>
        </w:rPr>
        <w:t xml:space="preserve"> or sniffing. </w:t>
      </w:r>
      <w:r>
        <w:rPr>
          <w:rStyle w:val="eop"/>
          <w:rFonts w:ascii="Calibri" w:hAnsi="Calibri" w:cs="Calibri"/>
          <w:color w:val="4A4A4A"/>
          <w:sz w:val="21"/>
          <w:szCs w:val="21"/>
        </w:rPr>
        <w:t> </w:t>
      </w:r>
    </w:p>
    <w:p w14:paraId="449FD01C" w14:textId="5C16B723"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“Smoked tobacco products” include cigarettes, cigarillos, cigars, cheroots, bidis, pipes, shisha (water pipes), roll-your-own tobacco, kretek</w:t>
      </w:r>
      <w:r w:rsidR="00E907DC">
        <w:rPr>
          <w:rStyle w:val="normaltextrun"/>
          <w:rFonts w:ascii="Calibri" w:hAnsi="Calibri" w:cs="Calibri"/>
          <w:color w:val="4A4A4A"/>
          <w:sz w:val="21"/>
          <w:szCs w:val="21"/>
          <w:lang w:val="en-GB"/>
        </w:rPr>
        <w:t>, heated tobacco products</w:t>
      </w:r>
      <w:r>
        <w:rPr>
          <w:rStyle w:val="normaltextrun"/>
          <w:rFonts w:ascii="Calibri" w:hAnsi="Calibri" w:cs="Calibri"/>
          <w:color w:val="4A4A4A"/>
          <w:sz w:val="21"/>
          <w:szCs w:val="21"/>
          <w:lang w:val="en-GB"/>
        </w:rPr>
        <w:t xml:space="preserve"> and any other form of tobacco that is consumed by smoking.</w:t>
      </w:r>
      <w:r>
        <w:rPr>
          <w:rStyle w:val="eop"/>
          <w:rFonts w:ascii="Calibri" w:hAnsi="Calibri" w:cs="Calibri"/>
          <w:color w:val="4A4A4A"/>
          <w:sz w:val="21"/>
          <w:szCs w:val="21"/>
        </w:rPr>
        <w:t> </w:t>
      </w:r>
    </w:p>
    <w:p w14:paraId="41FF8CA7"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eop"/>
          <w:color w:val="4A4A4A"/>
          <w:sz w:val="21"/>
          <w:szCs w:val="21"/>
        </w:rPr>
        <w:t> </w:t>
      </w:r>
    </w:p>
    <w:p w14:paraId="03C3AB47" w14:textId="5D10B9FA"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"Smokeless tobacco product" includes moist snuff, creamy snuff, dry snuff, plug, </w:t>
      </w:r>
      <w:proofErr w:type="spellStart"/>
      <w:r>
        <w:rPr>
          <w:rStyle w:val="normaltextrun"/>
          <w:rFonts w:ascii="Calibri" w:hAnsi="Calibri" w:cs="Calibri"/>
          <w:color w:val="4A4A4A"/>
          <w:sz w:val="21"/>
          <w:szCs w:val="21"/>
          <w:lang w:val="en-GB"/>
        </w:rPr>
        <w:t>dissolvables</w:t>
      </w:r>
      <w:proofErr w:type="spellEnd"/>
      <w:r>
        <w:rPr>
          <w:rStyle w:val="normaltextrun"/>
          <w:rFonts w:ascii="Calibri" w:hAnsi="Calibri" w:cs="Calibri"/>
          <w:color w:val="4A4A4A"/>
          <w:sz w:val="21"/>
          <w:szCs w:val="21"/>
          <w:lang w:val="en-GB"/>
        </w:rPr>
        <w:t>, gul, loose leaf, red tooth powder, snus, </w:t>
      </w:r>
      <w:proofErr w:type="spellStart"/>
      <w:r>
        <w:rPr>
          <w:rStyle w:val="normaltextrun"/>
          <w:rFonts w:ascii="Calibri" w:hAnsi="Calibri" w:cs="Calibri"/>
          <w:color w:val="4A4A4A"/>
          <w:sz w:val="21"/>
          <w:szCs w:val="21"/>
          <w:lang w:val="en-GB"/>
        </w:rPr>
        <w:t>chimo</w:t>
      </w:r>
      <w:proofErr w:type="spellEnd"/>
      <w:r>
        <w:rPr>
          <w:rStyle w:val="normaltextrun"/>
          <w:rFonts w:ascii="Calibri" w:hAnsi="Calibri" w:cs="Calibri"/>
          <w:color w:val="4A4A4A"/>
          <w:sz w:val="21"/>
          <w:szCs w:val="21"/>
          <w:lang w:val="en-GB"/>
        </w:rPr>
        <w:t>, gutkha,</w:t>
      </w:r>
      <w:r w:rsidR="00E907DC">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khaini, gudakhu, zarda, quiwam, dohra, tuibur, nasway, naas, naswar, shammah, toombak, paan (betel quid with tobacco), </w:t>
      </w:r>
      <w:proofErr w:type="spellStart"/>
      <w:r>
        <w:rPr>
          <w:rStyle w:val="normaltextrun"/>
          <w:rFonts w:ascii="Calibri" w:hAnsi="Calibri" w:cs="Calibri"/>
          <w:color w:val="4A4A4A"/>
          <w:sz w:val="21"/>
          <w:szCs w:val="21"/>
          <w:lang w:val="en-GB"/>
        </w:rPr>
        <w:t>iq’mik</w:t>
      </w:r>
      <w:proofErr w:type="spellEnd"/>
      <w:r>
        <w:rPr>
          <w:rStyle w:val="normaltextrun"/>
          <w:rFonts w:ascii="Calibri" w:hAnsi="Calibri" w:cs="Calibri"/>
          <w:color w:val="4A4A4A"/>
          <w:sz w:val="21"/>
          <w:szCs w:val="21"/>
          <w:lang w:val="en-GB"/>
        </w:rPr>
        <w:t>, </w:t>
      </w:r>
      <w:proofErr w:type="spellStart"/>
      <w:r>
        <w:rPr>
          <w:rStyle w:val="normaltextrun"/>
          <w:rFonts w:ascii="Calibri" w:hAnsi="Calibri" w:cs="Calibri"/>
          <w:color w:val="4A4A4A"/>
          <w:sz w:val="21"/>
          <w:szCs w:val="21"/>
          <w:lang w:val="en-GB"/>
        </w:rPr>
        <w:t>mishri</w:t>
      </w:r>
      <w:proofErr w:type="spellEnd"/>
      <w:r>
        <w:rPr>
          <w:rStyle w:val="normaltextrun"/>
          <w:rFonts w:ascii="Calibri" w:hAnsi="Calibri" w:cs="Calibri"/>
          <w:color w:val="4A4A4A"/>
          <w:sz w:val="21"/>
          <w:szCs w:val="21"/>
          <w:lang w:val="en-GB"/>
        </w:rPr>
        <w:t>, </w:t>
      </w:r>
      <w:proofErr w:type="spellStart"/>
      <w:r>
        <w:rPr>
          <w:rStyle w:val="normaltextrun"/>
          <w:rFonts w:ascii="Calibri" w:hAnsi="Calibri" w:cs="Calibri"/>
          <w:color w:val="4A4A4A"/>
          <w:sz w:val="21"/>
          <w:szCs w:val="21"/>
          <w:lang w:val="en-GB"/>
        </w:rPr>
        <w:t>tapkeer</w:t>
      </w:r>
      <w:proofErr w:type="spellEnd"/>
      <w:r>
        <w:rPr>
          <w:rStyle w:val="normaltextrun"/>
          <w:rFonts w:ascii="Calibri" w:hAnsi="Calibri" w:cs="Calibri"/>
          <w:color w:val="4A4A4A"/>
          <w:sz w:val="21"/>
          <w:szCs w:val="21"/>
          <w:lang w:val="en-GB"/>
        </w:rPr>
        <w:t>, </w:t>
      </w:r>
      <w:proofErr w:type="spellStart"/>
      <w:r>
        <w:rPr>
          <w:rStyle w:val="normaltextrun"/>
          <w:rFonts w:ascii="Calibri" w:hAnsi="Calibri" w:cs="Calibri"/>
          <w:color w:val="4A4A4A"/>
          <w:sz w:val="21"/>
          <w:szCs w:val="21"/>
          <w:lang w:val="en-GB"/>
        </w:rPr>
        <w:t>tombol</w:t>
      </w:r>
      <w:proofErr w:type="spellEnd"/>
      <w:r>
        <w:rPr>
          <w:rStyle w:val="normaltextrun"/>
          <w:rFonts w:ascii="Calibri" w:hAnsi="Calibri" w:cs="Calibri"/>
          <w:color w:val="4A4A4A"/>
          <w:sz w:val="21"/>
          <w:szCs w:val="21"/>
          <w:lang w:val="en-GB"/>
        </w:rPr>
        <w:t xml:space="preserve"> and any other tobacco product that consumed by sniffing, holding in the </w:t>
      </w:r>
      <w:proofErr w:type="gramStart"/>
      <w:r>
        <w:rPr>
          <w:rStyle w:val="normaltextrun"/>
          <w:rFonts w:ascii="Calibri" w:hAnsi="Calibri" w:cs="Calibri"/>
          <w:color w:val="4A4A4A"/>
          <w:sz w:val="21"/>
          <w:szCs w:val="21"/>
          <w:lang w:val="en-GB"/>
        </w:rPr>
        <w:t>mouth</w:t>
      </w:r>
      <w:proofErr w:type="gramEnd"/>
      <w:r>
        <w:rPr>
          <w:rStyle w:val="normaltextrun"/>
          <w:rFonts w:ascii="Calibri" w:hAnsi="Calibri" w:cs="Calibri"/>
          <w:color w:val="4A4A4A"/>
          <w:sz w:val="21"/>
          <w:szCs w:val="21"/>
          <w:lang w:val="en-GB"/>
        </w:rPr>
        <w:t xml:space="preserve"> or chewing.</w:t>
      </w:r>
      <w:r>
        <w:rPr>
          <w:rStyle w:val="eop"/>
          <w:rFonts w:ascii="Calibri" w:hAnsi="Calibri" w:cs="Calibri"/>
          <w:color w:val="4A4A4A"/>
          <w:sz w:val="21"/>
          <w:szCs w:val="21"/>
        </w:rPr>
        <w:t> </w:t>
      </w:r>
    </w:p>
    <w:p w14:paraId="048E76A6"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eop"/>
          <w:color w:val="4A4A4A"/>
          <w:sz w:val="21"/>
          <w:szCs w:val="21"/>
        </w:rPr>
        <w:t> </w:t>
      </w:r>
    </w:p>
    <w:p w14:paraId="686A6617"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Prevalence estimates have been “age-standardized”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for one country</w:t>
      </w:r>
      <w:r>
        <w:rPr>
          <w:rStyle w:val="eop"/>
          <w:rFonts w:ascii="Calibri" w:hAnsi="Calibri" w:cs="Calibri"/>
          <w:color w:val="4A4A4A"/>
          <w:sz w:val="21"/>
          <w:szCs w:val="21"/>
        </w:rPr>
        <w:t> </w:t>
      </w:r>
    </w:p>
    <w:p w14:paraId="54DB6B81"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with those obtained for another country.</w:t>
      </w:r>
      <w:r>
        <w:rPr>
          <w:rStyle w:val="eop"/>
          <w:rFonts w:ascii="Calibri" w:hAnsi="Calibri" w:cs="Calibri"/>
          <w:color w:val="4A4A4A"/>
          <w:sz w:val="21"/>
          <w:szCs w:val="21"/>
        </w:rPr>
        <w:t> </w:t>
      </w:r>
    </w:p>
    <w:p w14:paraId="6E54D3D6" w14:textId="4D503DF1"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5D85801" w:rsidR="00576CFA" w:rsidRPr="00A96255" w:rsidRDefault="00E907DC" w:rsidP="00576CFA">
      <w:pPr>
        <w:pStyle w:val="MText"/>
      </w:pPr>
      <w:r w:rsidRPr="009D6B41">
        <w:t xml:space="preserve">Proportion (per cent)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5829754" w14:textId="5E91D808" w:rsidR="00537FC0" w:rsidRDefault="00537FC0" w:rsidP="00576CFA">
      <w:pPr>
        <w:pStyle w:val="MText"/>
      </w:pPr>
      <w:r w:rsidRPr="00537FC0">
        <w:t>“</w:t>
      </w:r>
      <w:r>
        <w:t>T</w:t>
      </w:r>
      <w:r w:rsidRPr="00537FC0">
        <w:t>obacco products”</w:t>
      </w:r>
      <w:r>
        <w:t xml:space="preserve"> are defined</w:t>
      </w:r>
      <w:r w:rsidRPr="00537FC0">
        <w:t xml:space="preserve"> in Article 1 (f) of the WHO FCTC</w:t>
      </w:r>
      <w:r>
        <w:t xml:space="preserve">, see </w:t>
      </w:r>
      <w:hyperlink r:id="rId12" w:history="1">
        <w:r w:rsidR="005C7B9C" w:rsidRPr="00A70EE4">
          <w:rPr>
            <w:rStyle w:val="Hyperlink"/>
          </w:rPr>
          <w:t>https://www.who.int/fctc/text_download/en/</w:t>
        </w:r>
      </w:hyperlink>
      <w:r>
        <w:t xml:space="preserve">. </w:t>
      </w:r>
      <w:r w:rsidRPr="00537FC0">
        <w:t>H</w:t>
      </w:r>
      <w:r>
        <w:t>eated tobacco products</w:t>
      </w:r>
      <w:r w:rsidRPr="00537FC0">
        <w:t xml:space="preserve"> </w:t>
      </w:r>
      <w:r>
        <w:t xml:space="preserve">are classified </w:t>
      </w:r>
      <w:r w:rsidRPr="00537FC0">
        <w:t>as tobacco products</w:t>
      </w:r>
      <w:r>
        <w:t xml:space="preserve"> in decision FCTC/CIO8(22), see </w:t>
      </w:r>
      <w:hyperlink r:id="rId13" w:history="1">
        <w:r w:rsidR="005C7B9C" w:rsidRPr="00A70EE4">
          <w:rPr>
            <w:rStyle w:val="Hyperlink"/>
          </w:rPr>
          <w:t>https://www.who.int/fctc/cop/sessions/cop8/FCTC__COP8(22).pdf</w:t>
        </w:r>
      </w:hyperlink>
      <w:r w:rsidR="005C7B9C">
        <w:t xml:space="preserve"> </w:t>
      </w:r>
    </w:p>
    <w:p w14:paraId="50F2493B" w14:textId="5DE2F711" w:rsidR="009D6B41" w:rsidRDefault="009D6B41" w:rsidP="00576CFA">
      <w:pPr>
        <w:pStyle w:val="MText"/>
      </w:pPr>
      <w:r w:rsidRPr="009D6B41">
        <w:t>WHO Standard population</w:t>
      </w:r>
      <w:r w:rsidR="007432BE">
        <w:t xml:space="preserve"> is used for age-standardisation</w:t>
      </w:r>
      <w:r>
        <w:t xml:space="preserve">, </w:t>
      </w:r>
      <w:r w:rsidR="00537FC0">
        <w:t xml:space="preserve">see </w:t>
      </w:r>
      <w:hyperlink r:id="rId14" w:history="1">
        <w:r w:rsidR="005C7B9C" w:rsidRPr="00A70EE4">
          <w:rPr>
            <w:rStyle w:val="Hyperlink"/>
          </w:rPr>
          <w:t>https://www.who.int/healthinfo/paper31.pdf</w:t>
        </w:r>
      </w:hyperlink>
      <w:r w:rsidR="005C7B9C">
        <w:t xml:space="preserve"> </w:t>
      </w:r>
    </w:p>
    <w:p w14:paraId="25F0559E" w14:textId="0BA8536D" w:rsidR="009D6B41" w:rsidRPr="009D6B41" w:rsidRDefault="009D6B41" w:rsidP="00576CFA">
      <w:pPr>
        <w:pStyle w:val="MText"/>
      </w:pPr>
      <w:r>
        <w:t>World Population Prospects (population aged 15 years or more per country)</w:t>
      </w:r>
      <w:r w:rsidR="007432BE">
        <w:t xml:space="preserve"> is used in the denominator of the indicator</w:t>
      </w:r>
      <w:r>
        <w:t xml:space="preserve">, </w:t>
      </w:r>
      <w:r w:rsidR="00537FC0">
        <w:t xml:space="preserve">see </w:t>
      </w:r>
      <w:hyperlink r:id="rId15" w:history="1">
        <w:r w:rsidR="005C7B9C" w:rsidRPr="00A70EE4">
          <w:rPr>
            <w:rStyle w:val="Hyperlink"/>
          </w:rPr>
          <w:t>https://population.un.org/wpp/</w:t>
        </w:r>
      </w:hyperlink>
      <w:r w:rsidR="005C7B9C">
        <w:t xml:space="preserve"> </w:t>
      </w:r>
    </w:p>
    <w:p w14:paraId="123172F4" w14:textId="3E97DE73"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538927A"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Prevalence rates by age-by-sex from national representative population surveys conducted since 1990:</w:t>
      </w:r>
      <w:r>
        <w:rPr>
          <w:rStyle w:val="eop"/>
          <w:rFonts w:ascii="Calibri" w:hAnsi="Calibri" w:cs="Calibri"/>
          <w:color w:val="4A4A4A"/>
          <w:sz w:val="21"/>
          <w:szCs w:val="21"/>
        </w:rPr>
        <w:t> </w:t>
      </w:r>
    </w:p>
    <w:p w14:paraId="76582351" w14:textId="77777777" w:rsidR="006A5FC4" w:rsidRDefault="006A5FC4" w:rsidP="009A7EFE">
      <w:pPr>
        <w:pStyle w:val="paragraph"/>
        <w:spacing w:before="0" w:beforeAutospacing="0" w:after="0" w:afterAutospacing="0"/>
        <w:ind w:left="450" w:hanging="120"/>
        <w:textAlignment w:val="baseline"/>
        <w:rPr>
          <w:rFonts w:ascii="Segoe UI" w:hAnsi="Segoe UI" w:cs="Segoe UI"/>
          <w:sz w:val="18"/>
          <w:szCs w:val="18"/>
        </w:rPr>
      </w:pPr>
      <w:r>
        <w:rPr>
          <w:rStyle w:val="normaltextrun"/>
          <w:color w:val="4A4A4A"/>
          <w:sz w:val="21"/>
          <w:szCs w:val="21"/>
          <w:lang w:val="en-GB"/>
        </w:rPr>
        <w:t>• </w:t>
      </w:r>
      <w:r>
        <w:rPr>
          <w:rStyle w:val="normaltextrun"/>
          <w:rFonts w:ascii="Calibri" w:hAnsi="Calibri" w:cs="Calibri"/>
          <w:color w:val="4A4A4A"/>
          <w:sz w:val="21"/>
          <w:szCs w:val="21"/>
          <w:lang w:val="en-GB"/>
        </w:rPr>
        <w:t>officially recognized by the national health </w:t>
      </w:r>
      <w:proofErr w:type="gramStart"/>
      <w:r>
        <w:rPr>
          <w:rStyle w:val="normaltextrun"/>
          <w:rFonts w:ascii="Calibri" w:hAnsi="Calibri" w:cs="Calibri"/>
          <w:color w:val="4A4A4A"/>
          <w:sz w:val="21"/>
          <w:szCs w:val="21"/>
          <w:lang w:val="en-GB"/>
        </w:rPr>
        <w:t>authority;</w:t>
      </w:r>
      <w:proofErr w:type="gramEnd"/>
      <w:r>
        <w:rPr>
          <w:rStyle w:val="eop"/>
          <w:rFonts w:ascii="Calibri" w:hAnsi="Calibri" w:cs="Calibri"/>
          <w:color w:val="4A4A4A"/>
          <w:sz w:val="21"/>
          <w:szCs w:val="21"/>
        </w:rPr>
        <w:t> </w:t>
      </w:r>
    </w:p>
    <w:p w14:paraId="2E4FC1D4" w14:textId="77777777" w:rsidR="006A5FC4" w:rsidRDefault="006A5FC4" w:rsidP="009A7EFE">
      <w:pPr>
        <w:pStyle w:val="paragraph"/>
        <w:spacing w:before="0" w:beforeAutospacing="0" w:after="0" w:afterAutospacing="0"/>
        <w:ind w:left="450" w:hanging="120"/>
        <w:textAlignment w:val="baseline"/>
        <w:rPr>
          <w:rFonts w:ascii="Segoe UI" w:hAnsi="Segoe UI" w:cs="Segoe UI"/>
          <w:sz w:val="18"/>
          <w:szCs w:val="18"/>
        </w:rPr>
      </w:pPr>
      <w:r>
        <w:rPr>
          <w:rStyle w:val="normaltextrun"/>
          <w:color w:val="4A4A4A"/>
          <w:sz w:val="21"/>
          <w:szCs w:val="21"/>
          <w:lang w:val="en-GB"/>
        </w:rPr>
        <w:t>• </w:t>
      </w:r>
      <w:r>
        <w:rPr>
          <w:rStyle w:val="normaltextrun"/>
          <w:rFonts w:ascii="Calibri" w:hAnsi="Calibri" w:cs="Calibri"/>
          <w:color w:val="4A4A4A"/>
          <w:sz w:val="21"/>
          <w:szCs w:val="21"/>
          <w:lang w:val="en-GB"/>
        </w:rPr>
        <w:t>of randomly selected participants representative of the general population; and</w:t>
      </w:r>
      <w:r>
        <w:rPr>
          <w:rStyle w:val="eop"/>
          <w:rFonts w:ascii="Calibri" w:hAnsi="Calibri" w:cs="Calibri"/>
          <w:color w:val="4A4A4A"/>
          <w:sz w:val="21"/>
          <w:szCs w:val="21"/>
        </w:rPr>
        <w:t> </w:t>
      </w:r>
    </w:p>
    <w:p w14:paraId="44CBAEF8" w14:textId="77777777" w:rsidR="006A5FC4" w:rsidRDefault="006A5FC4" w:rsidP="009A7EFE">
      <w:pPr>
        <w:pStyle w:val="paragraph"/>
        <w:spacing w:before="0" w:beforeAutospacing="0" w:after="0" w:afterAutospacing="0"/>
        <w:ind w:left="450" w:hanging="120"/>
        <w:textAlignment w:val="baseline"/>
        <w:rPr>
          <w:rFonts w:ascii="Segoe UI" w:hAnsi="Segoe UI" w:cs="Segoe UI"/>
          <w:sz w:val="18"/>
          <w:szCs w:val="18"/>
        </w:rPr>
      </w:pPr>
      <w:r>
        <w:rPr>
          <w:rStyle w:val="normaltextrun"/>
          <w:color w:val="4A4A4A"/>
          <w:sz w:val="21"/>
          <w:szCs w:val="21"/>
          <w:lang w:val="en-GB"/>
        </w:rPr>
        <w:t>• </w:t>
      </w:r>
      <w:r>
        <w:rPr>
          <w:rStyle w:val="normaltextrun"/>
          <w:rFonts w:ascii="Calibri" w:hAnsi="Calibri" w:cs="Calibri"/>
          <w:color w:val="4A4A4A"/>
          <w:sz w:val="21"/>
          <w:szCs w:val="21"/>
          <w:lang w:val="en-GB"/>
        </w:rPr>
        <w:t>reporting at least one indicator measuring current tobacco use, daily tobacco use, current tobacco smoking, daily tobacco smoking</w:t>
      </w:r>
      <w:r>
        <w:rPr>
          <w:rStyle w:val="normaltextrun"/>
          <w:color w:val="4A4A4A"/>
          <w:sz w:val="21"/>
          <w:szCs w:val="21"/>
          <w:lang w:val="en-GB"/>
        </w:rPr>
        <w:t>, </w:t>
      </w:r>
      <w:r>
        <w:rPr>
          <w:rStyle w:val="normaltextrun"/>
          <w:rFonts w:ascii="Calibri" w:hAnsi="Calibri" w:cs="Calibri"/>
          <w:color w:val="4A4A4A"/>
          <w:sz w:val="21"/>
          <w:szCs w:val="21"/>
          <w:lang w:val="en-GB"/>
        </w:rPr>
        <w:t>current cigarette smoking</w:t>
      </w:r>
      <w:r>
        <w:rPr>
          <w:rStyle w:val="normaltextrun"/>
          <w:color w:val="4A4A4A"/>
          <w:sz w:val="21"/>
          <w:szCs w:val="21"/>
          <w:lang w:val="en-GB"/>
        </w:rPr>
        <w:t> </w:t>
      </w:r>
      <w:r>
        <w:rPr>
          <w:rStyle w:val="normaltextrun"/>
          <w:rFonts w:ascii="Calibri" w:hAnsi="Calibri" w:cs="Calibri"/>
          <w:color w:val="4A4A4A"/>
          <w:sz w:val="21"/>
          <w:szCs w:val="21"/>
          <w:lang w:val="en-GB"/>
        </w:rPr>
        <w:t>or daily cigarette smoking.</w:t>
      </w:r>
      <w:r>
        <w:rPr>
          <w:rStyle w:val="eop"/>
          <w:rFonts w:ascii="Calibri" w:hAnsi="Calibri" w:cs="Calibri"/>
          <w:color w:val="4A4A4A"/>
          <w:sz w:val="21"/>
          <w:szCs w:val="21"/>
        </w:rPr>
        <w:t> </w:t>
      </w:r>
    </w:p>
    <w:p w14:paraId="55042879"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eop"/>
          <w:color w:val="4A4A4A"/>
          <w:sz w:val="21"/>
          <w:szCs w:val="21"/>
        </w:rPr>
        <w:t> </w:t>
      </w:r>
    </w:p>
    <w:p w14:paraId="1B9195A2"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Official survey reports are gathered from Member States by one or more of the following methods:</w:t>
      </w:r>
      <w:r>
        <w:rPr>
          <w:rStyle w:val="eop"/>
          <w:rFonts w:ascii="Calibri" w:hAnsi="Calibri" w:cs="Calibri"/>
          <w:color w:val="4A4A4A"/>
          <w:sz w:val="21"/>
          <w:szCs w:val="21"/>
        </w:rPr>
        <w:t> </w:t>
      </w:r>
    </w:p>
    <w:p w14:paraId="3B261C01" w14:textId="1A635CD1" w:rsidR="006A5FC4" w:rsidRPr="009A7EFE" w:rsidRDefault="006A5FC4" w:rsidP="009A7EFE">
      <w:pPr>
        <w:pStyle w:val="paragraph"/>
        <w:spacing w:before="0" w:beforeAutospacing="0" w:after="0" w:afterAutospacing="0"/>
        <w:ind w:left="450" w:hanging="120"/>
        <w:textAlignment w:val="baseline"/>
        <w:rPr>
          <w:rStyle w:val="normaltextrun"/>
          <w:color w:val="4A4A4A"/>
          <w:sz w:val="21"/>
          <w:szCs w:val="21"/>
          <w:lang w:val="en-GB"/>
        </w:rPr>
      </w:pPr>
      <w:r>
        <w:rPr>
          <w:rStyle w:val="normaltextrun"/>
          <w:color w:val="4A4A4A"/>
          <w:sz w:val="21"/>
          <w:szCs w:val="21"/>
          <w:lang w:val="en-GB"/>
        </w:rPr>
        <w:t>• </w:t>
      </w:r>
      <w:r w:rsidRPr="009A7EFE">
        <w:rPr>
          <w:rStyle w:val="normaltextrun"/>
          <w:color w:val="4A4A4A"/>
          <w:sz w:val="21"/>
          <w:szCs w:val="21"/>
          <w:lang w:val="en-GB"/>
        </w:rPr>
        <w:t>reporting system of the WHO FCTC</w:t>
      </w:r>
      <w:r w:rsidR="0080396D" w:rsidRPr="009A7EFE">
        <w:rPr>
          <w:rStyle w:val="normaltextrun"/>
          <w:color w:val="4A4A4A"/>
          <w:sz w:val="21"/>
          <w:szCs w:val="21"/>
          <w:lang w:val="en-GB"/>
        </w:rPr>
        <w:t xml:space="preserve"> on the progress in implementation of the </w:t>
      </w:r>
      <w:proofErr w:type="gramStart"/>
      <w:r w:rsidR="0080396D" w:rsidRPr="009A7EFE">
        <w:rPr>
          <w:rStyle w:val="normaltextrun"/>
          <w:color w:val="4A4A4A"/>
          <w:sz w:val="21"/>
          <w:szCs w:val="21"/>
          <w:lang w:val="en-GB"/>
        </w:rPr>
        <w:t>Convention</w:t>
      </w:r>
      <w:r w:rsidRPr="009A7EFE">
        <w:rPr>
          <w:rStyle w:val="normaltextrun"/>
          <w:color w:val="4A4A4A"/>
          <w:sz w:val="21"/>
          <w:szCs w:val="21"/>
          <w:lang w:val="en-GB"/>
        </w:rPr>
        <w:t>;</w:t>
      </w:r>
      <w:proofErr w:type="gramEnd"/>
      <w:r w:rsidRPr="009A7EFE">
        <w:rPr>
          <w:rStyle w:val="normaltextrun"/>
          <w:lang w:val="en-GB"/>
        </w:rPr>
        <w:t> </w:t>
      </w:r>
    </w:p>
    <w:p w14:paraId="400D1606" w14:textId="77777777" w:rsidR="006A5FC4" w:rsidRPr="009A7EFE" w:rsidRDefault="006A5FC4" w:rsidP="009A7EFE">
      <w:pPr>
        <w:pStyle w:val="paragraph"/>
        <w:spacing w:before="0" w:beforeAutospacing="0" w:after="0" w:afterAutospacing="0"/>
        <w:ind w:left="450" w:hanging="120"/>
        <w:textAlignment w:val="baseline"/>
        <w:rPr>
          <w:rStyle w:val="normaltextrun"/>
          <w:color w:val="4A4A4A"/>
          <w:sz w:val="21"/>
          <w:szCs w:val="21"/>
          <w:lang w:val="en-GB"/>
        </w:rPr>
      </w:pPr>
      <w:r>
        <w:rPr>
          <w:rStyle w:val="normaltextrun"/>
          <w:color w:val="4A4A4A"/>
          <w:sz w:val="21"/>
          <w:szCs w:val="21"/>
          <w:lang w:val="en-GB"/>
        </w:rPr>
        <w:t>• </w:t>
      </w:r>
      <w:r w:rsidRPr="009A7EFE">
        <w:rPr>
          <w:rStyle w:val="normaltextrun"/>
          <w:color w:val="4A4A4A"/>
          <w:sz w:val="21"/>
          <w:szCs w:val="21"/>
          <w:lang w:val="en-GB"/>
        </w:rPr>
        <w:t>review of surveys conducted under the aegis of the Global Tobacco Surveillance </w:t>
      </w:r>
      <w:proofErr w:type="gramStart"/>
      <w:r w:rsidRPr="009A7EFE">
        <w:rPr>
          <w:rStyle w:val="normaltextrun"/>
          <w:color w:val="4A4A4A"/>
          <w:sz w:val="21"/>
          <w:szCs w:val="21"/>
          <w:lang w:val="en-GB"/>
        </w:rPr>
        <w:t>System</w:t>
      </w:r>
      <w:r>
        <w:rPr>
          <w:rStyle w:val="normaltextrun"/>
          <w:color w:val="4A4A4A"/>
          <w:sz w:val="21"/>
          <w:szCs w:val="21"/>
          <w:lang w:val="en-GB"/>
        </w:rPr>
        <w:t>;</w:t>
      </w:r>
      <w:proofErr w:type="gramEnd"/>
      <w:r w:rsidRPr="009A7EFE">
        <w:rPr>
          <w:rStyle w:val="normaltextrun"/>
          <w:lang w:val="en-GB"/>
        </w:rPr>
        <w:t> </w:t>
      </w:r>
    </w:p>
    <w:p w14:paraId="5112BED8" w14:textId="77777777" w:rsidR="006A5FC4" w:rsidRPr="009A7EFE" w:rsidRDefault="006A5FC4" w:rsidP="009A7EFE">
      <w:pPr>
        <w:pStyle w:val="paragraph"/>
        <w:spacing w:before="0" w:beforeAutospacing="0" w:after="0" w:afterAutospacing="0"/>
        <w:ind w:left="450" w:hanging="120"/>
        <w:textAlignment w:val="baseline"/>
        <w:rPr>
          <w:rStyle w:val="normaltextrun"/>
          <w:color w:val="4A4A4A"/>
          <w:sz w:val="21"/>
          <w:szCs w:val="21"/>
          <w:lang w:val="en-GB"/>
        </w:rPr>
      </w:pPr>
      <w:r>
        <w:rPr>
          <w:rStyle w:val="normaltextrun"/>
          <w:color w:val="4A4A4A"/>
          <w:sz w:val="21"/>
          <w:szCs w:val="21"/>
          <w:lang w:val="en-GB"/>
        </w:rPr>
        <w:t>• </w:t>
      </w:r>
      <w:r w:rsidRPr="009A7EFE">
        <w:rPr>
          <w:rStyle w:val="normaltextrun"/>
          <w:color w:val="4A4A4A"/>
          <w:sz w:val="21"/>
          <w:szCs w:val="21"/>
          <w:lang w:val="en-GB"/>
        </w:rPr>
        <w:t>review of other surveys conducted in collaboration with WHO such as </w:t>
      </w:r>
      <w:proofErr w:type="spellStart"/>
      <w:r w:rsidRPr="009A7EFE">
        <w:rPr>
          <w:rStyle w:val="normaltextrun"/>
          <w:color w:val="4A4A4A"/>
          <w:sz w:val="21"/>
          <w:szCs w:val="21"/>
          <w:lang w:val="en-GB"/>
        </w:rPr>
        <w:t>STEPwise</w:t>
      </w:r>
      <w:proofErr w:type="spellEnd"/>
      <w:r w:rsidRPr="009A7EFE">
        <w:rPr>
          <w:rStyle w:val="normaltextrun"/>
          <w:color w:val="4A4A4A"/>
          <w:sz w:val="21"/>
          <w:szCs w:val="21"/>
          <w:lang w:val="en-GB"/>
        </w:rPr>
        <w:t> surveys and World Health </w:t>
      </w:r>
      <w:proofErr w:type="gramStart"/>
      <w:r w:rsidRPr="009A7EFE">
        <w:rPr>
          <w:rStyle w:val="normaltextrun"/>
          <w:color w:val="4A4A4A"/>
          <w:sz w:val="21"/>
          <w:szCs w:val="21"/>
          <w:lang w:val="en-GB"/>
        </w:rPr>
        <w:t>Surveys;</w:t>
      </w:r>
      <w:proofErr w:type="gramEnd"/>
      <w:r w:rsidRPr="009A7EFE">
        <w:rPr>
          <w:rStyle w:val="normaltextrun"/>
          <w:lang w:val="en-GB"/>
        </w:rPr>
        <w:t> </w:t>
      </w:r>
    </w:p>
    <w:p w14:paraId="57303611" w14:textId="77777777" w:rsidR="006A5FC4" w:rsidRPr="009A7EFE" w:rsidRDefault="006A5FC4" w:rsidP="009A7EFE">
      <w:pPr>
        <w:pStyle w:val="paragraph"/>
        <w:spacing w:before="0" w:beforeAutospacing="0" w:after="0" w:afterAutospacing="0"/>
        <w:ind w:left="450" w:hanging="120"/>
        <w:textAlignment w:val="baseline"/>
        <w:rPr>
          <w:rStyle w:val="normaltextrun"/>
          <w:color w:val="4A4A4A"/>
          <w:sz w:val="21"/>
          <w:szCs w:val="21"/>
          <w:lang w:val="en-GB"/>
        </w:rPr>
      </w:pPr>
      <w:r>
        <w:rPr>
          <w:rStyle w:val="normaltextrun"/>
          <w:color w:val="4A4A4A"/>
          <w:sz w:val="21"/>
          <w:szCs w:val="21"/>
          <w:lang w:val="en-GB"/>
        </w:rPr>
        <w:t>• </w:t>
      </w:r>
      <w:r w:rsidRPr="009A7EFE">
        <w:rPr>
          <w:rStyle w:val="normaltextrun"/>
          <w:color w:val="4A4A4A"/>
          <w:sz w:val="21"/>
          <w:szCs w:val="21"/>
          <w:lang w:val="en-GB"/>
        </w:rPr>
        <w:t>scanning of international surveillance databases such as those of the Demographic and Health</w:t>
      </w:r>
      <w:r>
        <w:rPr>
          <w:rStyle w:val="normaltextrun"/>
          <w:color w:val="4A4A4A"/>
          <w:sz w:val="21"/>
          <w:szCs w:val="21"/>
          <w:lang w:val="en-GB"/>
        </w:rPr>
        <w:t> </w:t>
      </w:r>
      <w:r w:rsidRPr="009A7EFE">
        <w:rPr>
          <w:rStyle w:val="normaltextrun"/>
          <w:color w:val="4A4A4A"/>
          <w:sz w:val="21"/>
          <w:szCs w:val="21"/>
          <w:lang w:val="en-GB"/>
        </w:rPr>
        <w:t>Survey (DHS)</w:t>
      </w:r>
      <w:r>
        <w:rPr>
          <w:rStyle w:val="normaltextrun"/>
          <w:color w:val="4A4A4A"/>
          <w:sz w:val="21"/>
          <w:szCs w:val="21"/>
          <w:lang w:val="en-GB"/>
        </w:rPr>
        <w:t>,</w:t>
      </w:r>
      <w:r w:rsidRPr="009A7EFE">
        <w:rPr>
          <w:rStyle w:val="normaltextrun"/>
          <w:color w:val="4A4A4A"/>
          <w:sz w:val="21"/>
          <w:szCs w:val="21"/>
          <w:lang w:val="en-GB"/>
        </w:rPr>
        <w:t> Multiple Indicator Cluster Survey (MICS) and the World Bank Living Standards</w:t>
      </w:r>
      <w:r>
        <w:rPr>
          <w:rStyle w:val="normaltextrun"/>
          <w:color w:val="4A4A4A"/>
          <w:sz w:val="21"/>
          <w:szCs w:val="21"/>
          <w:lang w:val="en-GB"/>
        </w:rPr>
        <w:t> </w:t>
      </w:r>
      <w:r w:rsidRPr="009A7EFE">
        <w:rPr>
          <w:rStyle w:val="normaltextrun"/>
          <w:color w:val="4A4A4A"/>
          <w:sz w:val="21"/>
          <w:szCs w:val="21"/>
          <w:lang w:val="en-GB"/>
        </w:rPr>
        <w:t>Measurement Survey (LSMS); and</w:t>
      </w:r>
      <w:r w:rsidRPr="009A7EFE">
        <w:rPr>
          <w:rStyle w:val="normaltextrun"/>
          <w:lang w:val="en-GB"/>
        </w:rPr>
        <w:t> </w:t>
      </w:r>
    </w:p>
    <w:p w14:paraId="6F96FC98" w14:textId="77777777" w:rsidR="006A5FC4" w:rsidRPr="009A7EFE" w:rsidRDefault="006A5FC4" w:rsidP="009A7EFE">
      <w:pPr>
        <w:pStyle w:val="paragraph"/>
        <w:spacing w:before="0" w:beforeAutospacing="0" w:after="0" w:afterAutospacing="0"/>
        <w:ind w:left="450" w:hanging="120"/>
        <w:textAlignment w:val="baseline"/>
        <w:rPr>
          <w:rStyle w:val="normaltextrun"/>
          <w:color w:val="4A4A4A"/>
          <w:sz w:val="21"/>
          <w:szCs w:val="21"/>
          <w:lang w:val="en-GB"/>
        </w:rPr>
      </w:pPr>
      <w:r>
        <w:rPr>
          <w:rStyle w:val="normaltextrun"/>
          <w:color w:val="4A4A4A"/>
          <w:sz w:val="21"/>
          <w:szCs w:val="21"/>
          <w:lang w:val="en-GB"/>
        </w:rPr>
        <w:lastRenderedPageBreak/>
        <w:t>• </w:t>
      </w:r>
      <w:r w:rsidRPr="009A7EFE">
        <w:rPr>
          <w:rStyle w:val="normaltextrun"/>
          <w:color w:val="4A4A4A"/>
          <w:sz w:val="21"/>
          <w:szCs w:val="21"/>
          <w:lang w:val="en-GB"/>
        </w:rPr>
        <w:t>identification and review of country-specific surveys that are</w:t>
      </w:r>
      <w:r>
        <w:rPr>
          <w:rStyle w:val="normaltextrun"/>
          <w:color w:val="4A4A4A"/>
          <w:sz w:val="21"/>
          <w:szCs w:val="21"/>
          <w:lang w:val="en-GB"/>
        </w:rPr>
        <w:t> </w:t>
      </w:r>
      <w:r w:rsidRPr="009A7EFE">
        <w:rPr>
          <w:rStyle w:val="normaltextrun"/>
          <w:color w:val="4A4A4A"/>
          <w:sz w:val="21"/>
          <w:szCs w:val="21"/>
          <w:lang w:val="en-GB"/>
        </w:rPr>
        <w:t>not part of international surveillance systems</w:t>
      </w:r>
      <w:r>
        <w:rPr>
          <w:rStyle w:val="normaltextrun"/>
          <w:color w:val="4A4A4A"/>
          <w:sz w:val="21"/>
          <w:szCs w:val="21"/>
          <w:lang w:val="en-GB"/>
        </w:rPr>
        <w:t>.</w:t>
      </w:r>
      <w:r w:rsidRPr="009A7EFE">
        <w:rPr>
          <w:rStyle w:val="normaltextrun"/>
          <w:lang w:val="en-GB"/>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015A5C24" w:rsidR="00576CFA" w:rsidRPr="00A96255" w:rsidRDefault="006A5FC4" w:rsidP="00576CFA">
      <w:pPr>
        <w:pStyle w:val="MText"/>
      </w:pPr>
      <w:r>
        <w:rPr>
          <w:rStyle w:val="normaltextrun"/>
          <w:rFonts w:ascii="Calibri" w:hAnsi="Calibri" w:cs="Calibri"/>
          <w:shd w:val="clear" w:color="auto" w:fill="FFFFFF"/>
        </w:rPr>
        <w:t>Reports either downloaded from websites</w:t>
      </w:r>
      <w:r w:rsidR="0080396D">
        <w:rPr>
          <w:rStyle w:val="normaltextrun"/>
          <w:rFonts w:ascii="Calibri" w:hAnsi="Calibri" w:cs="Calibri"/>
          <w:shd w:val="clear" w:color="auto" w:fill="FFFFFF"/>
        </w:rPr>
        <w:t>, submitted through the WHO FCTC reporting platform</w:t>
      </w:r>
      <w:r>
        <w:rPr>
          <w:rStyle w:val="normaltextrun"/>
          <w:rFonts w:ascii="Calibri" w:hAnsi="Calibri" w:cs="Calibri"/>
          <w:shd w:val="clear" w:color="auto" w:fill="FFFFFF"/>
        </w:rPr>
        <w:t xml:space="preserve"> or emailed by national counterparts. WHO shares and makes public the methodologies for its estimates through the WHO global report on trends in tobacco use</w:t>
      </w:r>
      <w:r>
        <w:rPr>
          <w:rStyle w:val="normaltextrun"/>
          <w:shd w:val="clear" w:color="auto" w:fill="FFFFFF"/>
        </w:rPr>
        <w:t> </w:t>
      </w:r>
      <w:r>
        <w:rPr>
          <w:rStyle w:val="normaltextrun"/>
          <w:rFonts w:ascii="Calibri" w:hAnsi="Calibri" w:cs="Calibri"/>
          <w:shd w:val="clear" w:color="auto" w:fill="FFFFFF"/>
        </w:rPr>
        <w:t>2000-2025 and the WHO Report on the Global Tobacco </w:t>
      </w:r>
      <w:proofErr w:type="gramStart"/>
      <w:r>
        <w:rPr>
          <w:rStyle w:val="normaltextrun"/>
          <w:rFonts w:ascii="Calibri" w:hAnsi="Calibri" w:cs="Calibri"/>
          <w:shd w:val="clear" w:color="auto" w:fill="FFFFFF"/>
        </w:rPr>
        <w:t>Epidemic.</w:t>
      </w:r>
      <w:proofErr w:type="gramEnd"/>
      <w:r>
        <w:rPr>
          <w:rStyle w:val="normaltextrun"/>
          <w:rFonts w:ascii="Calibri" w:hAnsi="Calibri" w:cs="Calibri"/>
          <w:shd w:val="clear" w:color="auto" w:fill="FFFFFF"/>
        </w:rPr>
        <w:t> The WHO estimates undergo country consultation prior to publication</w:t>
      </w:r>
      <w:r>
        <w:rPr>
          <w:rStyle w:val="normaltextrun"/>
          <w:shd w:val="clear" w:color="auto" w:fill="FFFFFF"/>
        </w:rPr>
        <w:t>.</w:t>
      </w:r>
      <w:r>
        <w:rPr>
          <w:rStyle w:val="eop"/>
          <w:shd w:val="clear" w:color="auto" w:fill="FFFFFF"/>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76C8BC47" w:rsidR="00EC2915" w:rsidRDefault="006A5FC4" w:rsidP="00576CFA">
      <w:pPr>
        <w:pStyle w:val="MText"/>
        <w:rPr>
          <w:rStyle w:val="eop"/>
          <w:rFonts w:ascii="Calibri" w:hAnsi="Calibri" w:cs="Calibri"/>
          <w:shd w:val="clear" w:color="auto" w:fill="FFFFFF"/>
        </w:rPr>
      </w:pPr>
      <w:r>
        <w:rPr>
          <w:rStyle w:val="normaltextrun"/>
          <w:rFonts w:ascii="Calibri" w:hAnsi="Calibri" w:cs="Calibri"/>
          <w:shd w:val="clear" w:color="auto" w:fill="FFFFFF"/>
        </w:rPr>
        <w:t>Continual data collection.</w:t>
      </w:r>
      <w:r>
        <w:rPr>
          <w:rStyle w:val="eop"/>
          <w:rFonts w:ascii="Calibri" w:hAnsi="Calibri" w:cs="Calibri"/>
          <w:shd w:val="clear" w:color="auto" w:fill="FFFFFF"/>
        </w:rPr>
        <w:t> </w:t>
      </w:r>
    </w:p>
    <w:p w14:paraId="0DEBF2D9" w14:textId="77777777" w:rsidR="00625E22" w:rsidRPr="00A96255" w:rsidRDefault="00625E22"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A438CDB" w:rsidR="00EC2915" w:rsidRDefault="006A5FC4" w:rsidP="00576CFA">
      <w:pPr>
        <w:pStyle w:val="MText"/>
        <w:rPr>
          <w:rStyle w:val="normaltextrun"/>
          <w:rFonts w:ascii="Calibri" w:hAnsi="Calibri" w:cs="Calibri"/>
          <w:shd w:val="clear" w:color="auto" w:fill="FFFFFF"/>
        </w:rPr>
      </w:pPr>
      <w:r>
        <w:rPr>
          <w:rStyle w:val="normaltextrun"/>
          <w:rFonts w:ascii="Calibri" w:hAnsi="Calibri" w:cs="Calibri"/>
          <w:shd w:val="clear" w:color="auto" w:fill="FFFFFF"/>
        </w:rPr>
        <w:t>Biennial release via the WHO Global Report on Trends in Tobacco Use</w:t>
      </w:r>
      <w:r>
        <w:rPr>
          <w:rStyle w:val="normaltextrun"/>
          <w:shd w:val="clear" w:color="auto" w:fill="FFFFFF"/>
        </w:rPr>
        <w:t> </w:t>
      </w:r>
      <w:r>
        <w:rPr>
          <w:rStyle w:val="normaltextrun"/>
          <w:rFonts w:ascii="Calibri" w:hAnsi="Calibri" w:cs="Calibri"/>
          <w:shd w:val="clear" w:color="auto" w:fill="FFFFFF"/>
        </w:rPr>
        <w:t>2000-2025, the WHO Global Health Observatory and the</w:t>
      </w:r>
      <w:r w:rsidR="0080396D">
        <w:rPr>
          <w:rStyle w:val="normaltextrun"/>
          <w:rFonts w:ascii="Calibri" w:hAnsi="Calibri" w:cs="Calibri"/>
          <w:shd w:val="clear" w:color="auto" w:fill="FFFFFF"/>
        </w:rPr>
        <w:t xml:space="preserve"> </w:t>
      </w:r>
      <w:r w:rsidR="00874C69" w:rsidRPr="00874C69">
        <w:rPr>
          <w:rStyle w:val="normaltextrun"/>
          <w:rFonts w:ascii="Calibri" w:hAnsi="Calibri" w:cs="Calibri"/>
          <w:shd w:val="clear" w:color="auto" w:fill="FFFFFF"/>
        </w:rPr>
        <w:t>Global Progress Report on Implementation of the WHO FCTC</w:t>
      </w:r>
      <w:r>
        <w:rPr>
          <w:rStyle w:val="normaltextrun"/>
          <w:rFonts w:ascii="Calibri" w:hAnsi="Calibri" w:cs="Calibri"/>
          <w:shd w:val="clear" w:color="auto" w:fill="FFFFFF"/>
        </w:rPr>
        <w:t>.</w:t>
      </w:r>
    </w:p>
    <w:p w14:paraId="0C8A1CF2" w14:textId="77777777" w:rsidR="006A5FC4" w:rsidRPr="00A96255" w:rsidRDefault="006A5FC4"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2E319EF0" w:rsidR="00EC2915" w:rsidRDefault="006A5FC4" w:rsidP="00576CFA">
      <w:pPr>
        <w:pStyle w:val="MText"/>
        <w:rPr>
          <w:rStyle w:val="eop"/>
          <w:rFonts w:ascii="Calibri" w:hAnsi="Calibri" w:cs="Calibri"/>
          <w:shd w:val="clear" w:color="auto" w:fill="FFFFFF"/>
        </w:rPr>
      </w:pPr>
      <w:r>
        <w:rPr>
          <w:rStyle w:val="normaltextrun"/>
          <w:rFonts w:ascii="Calibri" w:hAnsi="Calibri" w:cs="Calibri"/>
          <w:shd w:val="clear" w:color="auto" w:fill="FFFFFF"/>
        </w:rPr>
        <w:t>WHO Member States, Parties to the WHO FCTC.</w:t>
      </w:r>
      <w:r>
        <w:rPr>
          <w:rStyle w:val="eop"/>
          <w:rFonts w:ascii="Calibri" w:hAnsi="Calibri" w:cs="Calibri"/>
          <w:shd w:val="clear" w:color="auto" w:fill="FFFFFF"/>
        </w:rPr>
        <w:t> </w:t>
      </w:r>
    </w:p>
    <w:p w14:paraId="40AB1E5F" w14:textId="77777777" w:rsidR="006A5FC4" w:rsidRPr="00A96255" w:rsidRDefault="006A5FC4"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4B87613D" w:rsidR="00EC2915" w:rsidRDefault="006A5FC4" w:rsidP="00576CFA">
      <w:pPr>
        <w:pStyle w:val="MText"/>
        <w:rPr>
          <w:rStyle w:val="eop"/>
          <w:shd w:val="clear" w:color="auto" w:fill="FFFFFF"/>
        </w:rPr>
      </w:pPr>
      <w:r>
        <w:rPr>
          <w:rStyle w:val="normaltextrun"/>
          <w:rFonts w:ascii="Calibri" w:hAnsi="Calibri" w:cs="Calibri"/>
          <w:shd w:val="clear" w:color="auto" w:fill="FFFFFF"/>
        </w:rPr>
        <w:t>WHO</w:t>
      </w:r>
      <w:r>
        <w:rPr>
          <w:rStyle w:val="normaltextrun"/>
          <w:shd w:val="clear" w:color="auto" w:fill="FFFFFF"/>
        </w:rPr>
        <w:t> </w:t>
      </w:r>
      <w:r>
        <w:rPr>
          <w:rStyle w:val="normaltextrun"/>
          <w:rFonts w:ascii="Calibri" w:hAnsi="Calibri" w:cs="Calibri"/>
          <w:shd w:val="clear" w:color="auto" w:fill="FFFFFF"/>
        </w:rPr>
        <w:t>Tobacco Free Initiative</w:t>
      </w:r>
      <w:r>
        <w:rPr>
          <w:rStyle w:val="normaltextrun"/>
          <w:shd w:val="clear" w:color="auto" w:fill="FFFFFF"/>
        </w:rPr>
        <w:t>;</w:t>
      </w:r>
      <w:r>
        <w:rPr>
          <w:rStyle w:val="normaltextrun"/>
          <w:rFonts w:ascii="Calibri" w:hAnsi="Calibri" w:cs="Calibri"/>
          <w:shd w:val="clear" w:color="auto" w:fill="FFFFFF"/>
        </w:rPr>
        <w:t> Secretariat of the WHO Framework Convention on Tobacco Control and the Protocol to Eliminate Illicit Trade in Tobacco Products</w:t>
      </w:r>
      <w:r>
        <w:rPr>
          <w:rStyle w:val="normaltextrun"/>
          <w:shd w:val="clear" w:color="auto" w:fill="FFFFFF"/>
        </w:rPr>
        <w:t>.</w:t>
      </w:r>
      <w:r>
        <w:rPr>
          <w:rStyle w:val="eop"/>
          <w:shd w:val="clear" w:color="auto" w:fill="FFFFFF"/>
        </w:rPr>
        <w:t> </w:t>
      </w:r>
    </w:p>
    <w:p w14:paraId="23AA499D" w14:textId="77777777" w:rsidR="006A5FC4" w:rsidRPr="00A96255" w:rsidRDefault="006A5FC4"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0010139B" w14:textId="0693DB3A" w:rsidR="0082301B" w:rsidRDefault="00E71DB1" w:rsidP="0082301B">
      <w:pPr>
        <w:pStyle w:val="MText"/>
      </w:pPr>
      <w:r w:rsidRPr="00E71DB1">
        <w:t xml:space="preserve">The WHO Framework Convention on Tobacco Control (WHO FCTC) was adopted by the World Health Assembly on 21 May 2003 </w:t>
      </w:r>
      <w:r>
        <w:t>(</w:t>
      </w:r>
      <w:r w:rsidR="009B11E3" w:rsidRPr="009B11E3">
        <w:t>Resolution 56.1</w:t>
      </w:r>
      <w:r>
        <w:t xml:space="preserve">) </w:t>
      </w:r>
      <w:r w:rsidRPr="00E71DB1">
        <w:t>and entered into force on 27 February 2005.</w:t>
      </w:r>
      <w:r w:rsidR="009B11E3">
        <w:t xml:space="preserve"> </w:t>
      </w:r>
      <w:r w:rsidR="00907F8D">
        <w:t>In 2010, Conference of the Parties</w:t>
      </w:r>
      <w:r w:rsidR="00264ADC">
        <w:t xml:space="preserve"> adopted</w:t>
      </w:r>
      <w:r w:rsidR="00907F8D">
        <w:t xml:space="preserve"> Decision FCTC/COP4(16)</w:t>
      </w:r>
      <w:r w:rsidR="00264ADC">
        <w:t>, which</w:t>
      </w:r>
      <w:r w:rsidR="00907F8D">
        <w:t xml:space="preserve"> </w:t>
      </w:r>
      <w:r w:rsidR="0082301B">
        <w:t xml:space="preserve">requests the Convention Secretariat, in cooperation with competent authorities within WHO, </w:t>
      </w:r>
      <w:proofErr w:type="gramStart"/>
      <w:r w:rsidR="0082301B">
        <w:t>in particular the</w:t>
      </w:r>
      <w:proofErr w:type="gramEnd"/>
      <w:r w:rsidR="0082301B">
        <w:t xml:space="preserve"> Tobacco Free Initiative, to further </w:t>
      </w:r>
      <w:r w:rsidR="00A61DDB">
        <w:t>standardize</w:t>
      </w:r>
      <w:r w:rsidR="0082301B">
        <w:t xml:space="preserve"> definitions and indicators and facilitat</w:t>
      </w:r>
      <w:r w:rsidR="00A61DDB">
        <w:t>e</w:t>
      </w:r>
      <w:r w:rsidR="0082301B">
        <w:t xml:space="preserve"> regular review of progress in implementation of the Convention</w:t>
      </w:r>
      <w:r w:rsidR="00264ADC">
        <w:t>.</w:t>
      </w:r>
      <w:r w:rsidR="00907F8D">
        <w:t xml:space="preserve"> </w:t>
      </w:r>
      <w:r w:rsidR="00264ADC">
        <w:t>S</w:t>
      </w:r>
      <w:r w:rsidR="00907F8D">
        <w:t xml:space="preserve">ee </w:t>
      </w:r>
      <w:hyperlink r:id="rId16" w:history="1">
        <w:r w:rsidR="001246A7" w:rsidRPr="00A70EE4">
          <w:rPr>
            <w:rStyle w:val="Hyperlink"/>
          </w:rPr>
          <w:t>https://apps.who.int/gb/fctc/PDF/cop4/FCTC_COP4_DIV6-en.pdf</w:t>
        </w:r>
      </w:hyperlink>
      <w:r w:rsidR="001246A7">
        <w:t xml:space="preserve"> </w:t>
      </w:r>
      <w:r w:rsidR="00907F8D">
        <w:t xml:space="preserve"> </w:t>
      </w:r>
      <w:r w:rsidR="001246A7">
        <w:t xml:space="preserve"> </w:t>
      </w:r>
      <w:r w:rsidRPr="00E71DB1">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FF07A1B" w14:textId="17891F60" w:rsidR="006A5FC4" w:rsidRDefault="006A5FC4" w:rsidP="006A5FC4">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4A4A4A"/>
          <w:sz w:val="21"/>
          <w:szCs w:val="21"/>
          <w:lang w:val="en-GB"/>
        </w:rPr>
        <w:t xml:space="preserve">Tobacco use is a major contributor to illness and death from non-communicable diseases (NCDs). There is no proven safe level of tobacco use or of second-hand smoke exposure.  All daily and non-daily users of tobacco are at risk of a variety of poor health outcomes across the life-course, including NCDs. Reducing the prevalence of current tobacco use will make a large contribution to reducing premature mortality from NCDs (Target 3.4). Routine and regular monitoring of this indicator is necessary to enable accurate monitoring and evaluation of the impact of implementation of the WHO Framework Convention on Tobacco Control (WHO FCTC), or tobacco control policies in the countries that are not yet Parties to the WHO FCTC, over time. Tobacco use prevalence levels are an appropriate indicator of implementation </w:t>
      </w:r>
      <w:r>
        <w:rPr>
          <w:rStyle w:val="normaltextrun"/>
          <w:rFonts w:ascii="Calibri" w:hAnsi="Calibri" w:cs="Calibri"/>
          <w:color w:val="4A4A4A"/>
          <w:sz w:val="21"/>
          <w:szCs w:val="21"/>
          <w:lang w:val="en-GB"/>
        </w:rPr>
        <w:lastRenderedPageBreak/>
        <w:t>of SDG Target 3.a “Strengthen the implementation of the World Health Organization Framework Convention on Tobacco Control in all countries, as appropriate”.</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C5B8330"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Raw data collected through nationally representative population-based surveys in the countries are used to calculate comparable estimates for this indicator.  Information from subnational surveys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not used. </w:t>
      </w:r>
      <w:r>
        <w:rPr>
          <w:rStyle w:val="eop"/>
          <w:rFonts w:ascii="Calibri" w:hAnsi="Calibri" w:cs="Calibri"/>
          <w:color w:val="4A4A4A"/>
          <w:sz w:val="21"/>
          <w:szCs w:val="21"/>
        </w:rPr>
        <w:t> </w:t>
      </w:r>
    </w:p>
    <w:p w14:paraId="7DC4794A"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eop"/>
          <w:color w:val="4A4A4A"/>
          <w:sz w:val="21"/>
          <w:szCs w:val="21"/>
        </w:rPr>
        <w:t> </w:t>
      </w:r>
    </w:p>
    <w:p w14:paraId="756DF634"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In some countries, all tobacco </w:t>
      </w:r>
      <w:proofErr w:type="gramStart"/>
      <w:r>
        <w:rPr>
          <w:rStyle w:val="normaltextrun"/>
          <w:rFonts w:ascii="Calibri" w:hAnsi="Calibri" w:cs="Calibri"/>
          <w:color w:val="4A4A4A"/>
          <w:sz w:val="21"/>
          <w:szCs w:val="21"/>
          <w:lang w:val="en-GB"/>
        </w:rPr>
        <w:t>use</w:t>
      </w:r>
      <w:proofErr w:type="gramEnd"/>
      <w:r>
        <w:rPr>
          <w:rStyle w:val="normaltextrun"/>
          <w:rFonts w:ascii="Calibri" w:hAnsi="Calibri" w:cs="Calibri"/>
          <w:color w:val="4A4A4A"/>
          <w:sz w:val="21"/>
          <w:szCs w:val="21"/>
          <w:lang w:val="en-GB"/>
        </w:rPr>
        <w:t> and tobacco smoking may be equivalent, but for many countries where other forms of tobacco are also being consumed, smoking rates will be lower than tobacco use rates to some degree.  </w:t>
      </w:r>
      <w:r>
        <w:rPr>
          <w:rStyle w:val="eop"/>
          <w:rFonts w:ascii="Calibri" w:hAnsi="Calibri" w:cs="Calibri"/>
          <w:color w:val="4A4A4A"/>
          <w:sz w:val="21"/>
          <w:szCs w:val="21"/>
        </w:rPr>
        <w:t> </w:t>
      </w:r>
    </w:p>
    <w:p w14:paraId="168B1F81"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eop"/>
          <w:color w:val="4A4A4A"/>
          <w:sz w:val="21"/>
          <w:szCs w:val="21"/>
        </w:rPr>
        <w:t> </w:t>
      </w:r>
    </w:p>
    <w:p w14:paraId="72446004"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comparability, quality and frequency of household surveys affects the accuracy and quality of the estimates</w:t>
      </w:r>
      <w:r>
        <w:rPr>
          <w:rStyle w:val="normaltextrun"/>
          <w:color w:val="4A4A4A"/>
          <w:sz w:val="21"/>
          <w:szCs w:val="21"/>
          <w:lang w:val="en-GB"/>
        </w:rPr>
        <w:t>. </w:t>
      </w:r>
      <w:r>
        <w:rPr>
          <w:rStyle w:val="normaltextrun"/>
          <w:rFonts w:ascii="Calibri" w:hAnsi="Calibri" w:cs="Calibri"/>
          <w:color w:val="4A4A4A"/>
          <w:sz w:val="21"/>
          <w:szCs w:val="21"/>
          <w:lang w:val="en-GB"/>
        </w:rPr>
        <w:t>Non-comparability of data can arise from the use of different survey instruments, sampling and analysis methods</w:t>
      </w:r>
      <w:r>
        <w:rPr>
          <w:rStyle w:val="normaltextrun"/>
          <w:color w:val="4A4A4A"/>
          <w:sz w:val="21"/>
          <w:szCs w:val="21"/>
          <w:lang w:val="en-GB"/>
        </w:rPr>
        <w:t>,</w:t>
      </w:r>
      <w:r>
        <w:rPr>
          <w:rStyle w:val="normaltextrun"/>
          <w:rFonts w:ascii="Calibri" w:hAnsi="Calibri" w:cs="Calibri"/>
          <w:color w:val="4A4A4A"/>
          <w:sz w:val="21"/>
          <w:szCs w:val="21"/>
          <w:lang w:val="en-GB"/>
        </w:rPr>
        <w:t> and indicator definitions across Member States. Surveys may</w:t>
      </w:r>
      <w:r>
        <w:rPr>
          <w:rStyle w:val="normaltextrun"/>
          <w:color w:val="4A4A4A"/>
          <w:sz w:val="21"/>
          <w:szCs w:val="21"/>
          <w:lang w:val="en-GB"/>
        </w:rPr>
        <w:t> </w:t>
      </w:r>
      <w:r>
        <w:rPr>
          <w:rStyle w:val="normaltextrun"/>
          <w:rFonts w:ascii="Calibri" w:hAnsi="Calibri" w:cs="Calibri"/>
          <w:color w:val="4A4A4A"/>
          <w:sz w:val="21"/>
          <w:szCs w:val="21"/>
          <w:lang w:val="en-GB"/>
        </w:rPr>
        <w:t>cover a variety of age ranges (not always 15+) and be repeated at irregular intervals. Surveys may include a variety of different tobacco products, or sometimes only one product such as cigarettes, based on the country’s perception of which products are important to monitor. Unless both smoked and smokeless products are monitored simultaneously, tobacco use prevalence will be underreported. Countries have begun to monitor use of e-cigarettes and other emerging products, which may confound countries’ definitions of tobacco use</w:t>
      </w:r>
      <w:r>
        <w:rPr>
          <w:rStyle w:val="normaltextrun"/>
          <w:color w:val="4A4A4A"/>
          <w:sz w:val="21"/>
          <w:szCs w:val="21"/>
          <w:lang w:val="en-GB"/>
        </w:rPr>
        <w:t>. </w:t>
      </w:r>
      <w:r>
        <w:rPr>
          <w:rStyle w:val="normaltextrun"/>
          <w:rFonts w:ascii="Calibri" w:hAnsi="Calibri" w:cs="Calibri"/>
          <w:color w:val="4A4A4A"/>
          <w:sz w:val="21"/>
          <w:szCs w:val="21"/>
          <w:lang w:val="en-GB"/>
        </w:rPr>
        <w:t>The definition of current use may not always be restricted to the 30 days prior to the survey. In addition, surveys ask people to self-report their tobacco use</w:t>
      </w:r>
      <w:r>
        <w:rPr>
          <w:rStyle w:val="normaltextrun"/>
          <w:color w:val="4A4A4A"/>
          <w:sz w:val="21"/>
          <w:szCs w:val="21"/>
          <w:lang w:val="en-GB"/>
        </w:rPr>
        <w:t>,</w:t>
      </w:r>
      <w:r>
        <w:rPr>
          <w:rStyle w:val="normaltextrun"/>
          <w:rFonts w:ascii="Calibri" w:hAnsi="Calibri" w:cs="Calibri"/>
          <w:color w:val="4A4A4A"/>
          <w:sz w:val="21"/>
          <w:szCs w:val="21"/>
          <w:lang w:val="en-GB"/>
        </w:rPr>
        <w:t> which can lead to under-reporting of tobacco use</w:t>
      </w:r>
      <w:r>
        <w:rPr>
          <w:rStyle w:val="normaltextrun"/>
          <w:color w:val="4A4A4A"/>
          <w:sz w:val="21"/>
          <w:szCs w:val="21"/>
          <w:lang w:val="en-GB"/>
        </w:rPr>
        <w:t>. </w:t>
      </w:r>
      <w:r>
        <w:rPr>
          <w:rStyle w:val="eop"/>
          <w:color w:val="4A4A4A"/>
          <w:sz w:val="21"/>
          <w:szCs w:val="21"/>
        </w:rPr>
        <w:t> </w:t>
      </w:r>
    </w:p>
    <w:p w14:paraId="44247695"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eop"/>
          <w:color w:val="4A4A4A"/>
          <w:sz w:val="21"/>
          <w:szCs w:val="21"/>
        </w:rPr>
        <w:t> </w:t>
      </w:r>
    </w:p>
    <w:p w14:paraId="45E61928"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There is no standard protocol used across Member States to ask people about their tobacco use. </w:t>
      </w:r>
      <w:r>
        <w:rPr>
          <w:rStyle w:val="normaltextrun"/>
          <w:color w:val="4A4A4A"/>
          <w:sz w:val="21"/>
          <w:szCs w:val="21"/>
          <w:lang w:val="en-GB"/>
        </w:rPr>
        <w:t> </w:t>
      </w:r>
      <w:r>
        <w:rPr>
          <w:rStyle w:val="normaltextrun"/>
          <w:rFonts w:ascii="Calibri" w:hAnsi="Calibri" w:cs="Calibri"/>
          <w:color w:val="4A4A4A"/>
          <w:sz w:val="21"/>
          <w:szCs w:val="21"/>
          <w:lang w:val="en-GB"/>
        </w:rPr>
        <w:t>WHO’s Tobacco Questions for Surveys (TQS) have been adopted in many surveys, which helps improve</w:t>
      </w:r>
      <w:r>
        <w:rPr>
          <w:rStyle w:val="normaltextrun"/>
          <w:color w:val="4A4A4A"/>
          <w:sz w:val="21"/>
          <w:szCs w:val="21"/>
          <w:lang w:val="en-GB"/>
        </w:rPr>
        <w:t> </w:t>
      </w:r>
      <w:r>
        <w:rPr>
          <w:rStyle w:val="normaltextrun"/>
          <w:rFonts w:ascii="Calibri" w:hAnsi="Calibri" w:cs="Calibri"/>
          <w:color w:val="4A4A4A"/>
          <w:sz w:val="21"/>
          <w:szCs w:val="21"/>
          <w:lang w:val="en-GB"/>
        </w:rPr>
        <w:t>comparability of indicators across countries.</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C23094F" w14:textId="0994E9C7" w:rsidR="003441CF" w:rsidRDefault="006A5FC4" w:rsidP="006A5FC4">
      <w:pPr>
        <w:pStyle w:val="paragraph"/>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A statistical model based on a Bayesian negative binomial meta-regression is used to model prevalence of current tobacco use</w:t>
      </w:r>
      <w:r>
        <w:rPr>
          <w:rStyle w:val="normaltextrun"/>
          <w:color w:val="4A4A4A"/>
          <w:sz w:val="21"/>
          <w:szCs w:val="21"/>
          <w:lang w:val="en-GB"/>
        </w:rPr>
        <w:t> </w:t>
      </w:r>
      <w:r>
        <w:rPr>
          <w:rStyle w:val="normaltextrun"/>
          <w:rFonts w:ascii="Calibri" w:hAnsi="Calibri" w:cs="Calibri"/>
          <w:color w:val="4A4A4A"/>
          <w:sz w:val="21"/>
          <w:szCs w:val="21"/>
          <w:lang w:val="en-GB"/>
        </w:rPr>
        <w:t xml:space="preserve">for each country, separately for men and women. A full description of the method is available as a peer-reviewed article in The Lancet, volume 385, No. 9972, p966–976 (2015).  Once the age-and-sex-specific prevalence rates from national surveys </w:t>
      </w:r>
      <w:r w:rsidR="003441CF">
        <w:rPr>
          <w:rStyle w:val="normaltextrun"/>
          <w:rFonts w:ascii="Calibri" w:hAnsi="Calibri" w:cs="Calibri"/>
          <w:color w:val="4A4A4A"/>
          <w:sz w:val="21"/>
          <w:szCs w:val="21"/>
          <w:lang w:val="en-GB"/>
        </w:rPr>
        <w:t xml:space="preserve">are </w:t>
      </w:r>
      <w:r>
        <w:rPr>
          <w:rStyle w:val="normaltextrun"/>
          <w:rFonts w:ascii="Calibri" w:hAnsi="Calibri" w:cs="Calibri"/>
          <w:color w:val="4A4A4A"/>
          <w:sz w:val="21"/>
          <w:szCs w:val="21"/>
          <w:lang w:val="en-GB"/>
        </w:rPr>
        <w:t xml:space="preserve">compiled into a dataset, the model </w:t>
      </w:r>
      <w:r w:rsidR="003441CF">
        <w:rPr>
          <w:rStyle w:val="normaltextrun"/>
          <w:rFonts w:ascii="Calibri" w:hAnsi="Calibri" w:cs="Calibri"/>
          <w:color w:val="4A4A4A"/>
          <w:sz w:val="21"/>
          <w:szCs w:val="21"/>
          <w:lang w:val="en-GB"/>
        </w:rPr>
        <w:t xml:space="preserve">is </w:t>
      </w:r>
      <w:r>
        <w:rPr>
          <w:rStyle w:val="normaltextrun"/>
          <w:rFonts w:ascii="Calibri" w:hAnsi="Calibri" w:cs="Calibri"/>
          <w:color w:val="4A4A4A"/>
          <w:sz w:val="21"/>
          <w:szCs w:val="21"/>
          <w:lang w:val="en-GB"/>
        </w:rPr>
        <w:t>fit to calculate trend estimates from the year 2000 to 2030. The model has two main components: (a) adjusting for missing indicators and age groups, and (b) generating an estimate of trends over time as well as the 95% credible interval around the estimate. Depending on the</w:t>
      </w:r>
      <w:r w:rsidR="003441CF">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completeness/comprehensiveness of survey data from a particular country, the model at times makes use of data from other countries to fill information gaps. To fill</w:t>
      </w:r>
      <w:r>
        <w:rPr>
          <w:rStyle w:val="normaltextrun"/>
          <w:color w:val="4A4A4A"/>
          <w:sz w:val="21"/>
          <w:szCs w:val="21"/>
          <w:lang w:val="en-GB"/>
        </w:rPr>
        <w:t> </w:t>
      </w:r>
      <w:r>
        <w:rPr>
          <w:rStyle w:val="normaltextrun"/>
          <w:rFonts w:ascii="Calibri" w:hAnsi="Calibri" w:cs="Calibri"/>
          <w:color w:val="4A4A4A"/>
          <w:sz w:val="21"/>
          <w:szCs w:val="21"/>
          <w:lang w:val="en-GB"/>
        </w:rPr>
        <w:t>data gaps, information is “borrowed” from countries in the same UN subregion</w:t>
      </w:r>
      <w:r>
        <w:rPr>
          <w:rStyle w:val="normaltextrun"/>
          <w:color w:val="4A4A4A"/>
          <w:sz w:val="21"/>
          <w:szCs w:val="21"/>
          <w:lang w:val="en-GB"/>
        </w:rPr>
        <w:t>.</w:t>
      </w:r>
      <w:r>
        <w:rPr>
          <w:rStyle w:val="normaltextrun"/>
          <w:rFonts w:ascii="Calibri" w:hAnsi="Calibri" w:cs="Calibri"/>
          <w:color w:val="4A4A4A"/>
          <w:sz w:val="21"/>
          <w:szCs w:val="21"/>
          <w:lang w:val="en-GB"/>
        </w:rPr>
        <w:t> </w:t>
      </w:r>
    </w:p>
    <w:p w14:paraId="4C1FF690" w14:textId="77777777" w:rsidR="00271A64" w:rsidRDefault="00271A64" w:rsidP="006A5FC4">
      <w:pPr>
        <w:pStyle w:val="paragraph"/>
        <w:spacing w:before="0" w:beforeAutospacing="0" w:after="0" w:afterAutospacing="0"/>
        <w:textAlignment w:val="baseline"/>
        <w:rPr>
          <w:rStyle w:val="normaltextrun"/>
          <w:rFonts w:ascii="Calibri" w:hAnsi="Calibri" w:cs="Calibri"/>
          <w:color w:val="4A4A4A"/>
          <w:sz w:val="21"/>
          <w:szCs w:val="21"/>
          <w:lang w:val="en-GB"/>
        </w:rPr>
      </w:pPr>
    </w:p>
    <w:p w14:paraId="789B5044" w14:textId="57BD81A2"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resulting trend lines are used to derive estimates for single years, so that a number can be reported even if the country did not run a survey in that year.  </w:t>
      </w:r>
      <w:proofErr w:type="gramStart"/>
      <w:r>
        <w:rPr>
          <w:rStyle w:val="normaltextrun"/>
          <w:rFonts w:ascii="Calibri" w:hAnsi="Calibri" w:cs="Calibri"/>
          <w:color w:val="4A4A4A"/>
          <w:sz w:val="21"/>
          <w:szCs w:val="21"/>
          <w:lang w:val="en-GB"/>
        </w:rPr>
        <w:t>In order to</w:t>
      </w:r>
      <w:proofErr w:type="gramEnd"/>
      <w:r>
        <w:rPr>
          <w:rStyle w:val="normaltextrun"/>
          <w:rFonts w:ascii="Calibri" w:hAnsi="Calibri" w:cs="Calibri"/>
          <w:color w:val="4A4A4A"/>
          <w:sz w:val="21"/>
          <w:szCs w:val="21"/>
          <w:lang w:val="en-GB"/>
        </w:rPr>
        <w:t xml:space="preserve"> make the results comparable between countries, the prevalence rates are age-standardized to the WHO Standard Population.</w:t>
      </w:r>
      <w:r>
        <w:rPr>
          <w:rStyle w:val="eop"/>
          <w:rFonts w:ascii="Calibri" w:hAnsi="Calibri" w:cs="Calibri"/>
          <w:color w:val="4A4A4A"/>
          <w:sz w:val="21"/>
          <w:szCs w:val="21"/>
        </w:rPr>
        <w:t> </w:t>
      </w:r>
    </w:p>
    <w:p w14:paraId="79633BA8"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Estimates for countries with irregular surveys or many data gaps will have large uncertainty ranges, and such results should be interpreted with caution.</w:t>
      </w:r>
      <w:r>
        <w:rPr>
          <w:rStyle w:val="normaltextrun"/>
          <w:color w:val="4A4A4A"/>
          <w:sz w:val="21"/>
          <w:szCs w:val="21"/>
          <w:lang w:val="en-GB"/>
        </w:rPr>
        <w:t> </w:t>
      </w:r>
      <w:r>
        <w:rPr>
          <w:rStyle w:val="eop"/>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EC1EF5C" w14:textId="72205E79" w:rsidR="00654C92" w:rsidRPr="00FB71E7" w:rsidRDefault="00FB71E7" w:rsidP="00576CFA">
      <w:pPr>
        <w:pStyle w:val="MText"/>
      </w:pPr>
      <w:r>
        <w:t>The results of the modelling</w:t>
      </w:r>
      <w:r w:rsidR="00885730">
        <w:t xml:space="preserve"> described in the</w:t>
      </w:r>
      <w:r w:rsidR="00885730" w:rsidRPr="00885730">
        <w:t xml:space="preserve"> </w:t>
      </w:r>
      <w:r w:rsidR="00885730" w:rsidRPr="00C148E4">
        <w:rPr>
          <w:i/>
          <w:iCs/>
        </w:rPr>
        <w:t>Method of Computation</w:t>
      </w:r>
      <w:r>
        <w:t xml:space="preserve"> </w:t>
      </w:r>
      <w:r w:rsidR="008C5864">
        <w:t>are compared with</w:t>
      </w:r>
      <w:r>
        <w:t xml:space="preserve"> the input data</w:t>
      </w:r>
      <w:r w:rsidR="008C5864">
        <w:t xml:space="preserve"> to assure a good model fit.</w:t>
      </w:r>
      <w:r>
        <w:t xml:space="preserve"> </w:t>
      </w:r>
      <w:r w:rsidR="008C5864">
        <w:t xml:space="preserve">The results and input data </w:t>
      </w:r>
      <w:r>
        <w:t xml:space="preserve">are shared with countries via the tobacco control focal point for country consultation prior to publication in the biennial reports </w:t>
      </w:r>
      <w:r w:rsidRPr="00FB71E7">
        <w:rPr>
          <w:i/>
          <w:iCs/>
        </w:rPr>
        <w:t xml:space="preserve">WHO global report on </w:t>
      </w:r>
      <w:r w:rsidRPr="00FB71E7">
        <w:rPr>
          <w:i/>
          <w:iCs/>
        </w:rPr>
        <w:lastRenderedPageBreak/>
        <w:t xml:space="preserve">trends in tobacco use 2000-2025 </w:t>
      </w:r>
      <w:r w:rsidRPr="00FB71E7">
        <w:t>and</w:t>
      </w:r>
      <w:r w:rsidRPr="00FB71E7">
        <w:rPr>
          <w:i/>
          <w:iCs/>
        </w:rPr>
        <w:t xml:space="preserve"> WHO Report on the Global Tobacco Epidemic</w:t>
      </w:r>
      <w:r>
        <w:t xml:space="preserve">. </w:t>
      </w:r>
      <w:r w:rsidR="00885730">
        <w:t>During</w:t>
      </w:r>
      <w:r>
        <w:t xml:space="preserve"> country consultation, sometimes additional data are made available to WHO</w:t>
      </w:r>
      <w:r w:rsidR="00885730">
        <w:t xml:space="preserve"> by the country</w:t>
      </w:r>
      <w:r>
        <w:t xml:space="preserve"> for the purposes of modelling indicator 3.a.1.</w:t>
      </w:r>
    </w:p>
    <w:p w14:paraId="0025F830" w14:textId="02A6576C"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3A1B9D76" w:rsidR="00576CFA" w:rsidRPr="00A96255" w:rsidRDefault="00885730" w:rsidP="00576CFA">
      <w:pPr>
        <w:pStyle w:val="MText"/>
      </w:pPr>
      <w:r>
        <w:t xml:space="preserve">Except for adjustments made during modelling as described in the </w:t>
      </w:r>
      <w:r w:rsidRPr="004945D4">
        <w:rPr>
          <w:i/>
          <w:iCs/>
        </w:rPr>
        <w:t>Method of Computation</w:t>
      </w:r>
      <w:r>
        <w:t>, no other adjustments are made.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E0E8013" w14:textId="77777777" w:rsidR="006A5FC4" w:rsidRPr="009A7EFE" w:rsidRDefault="006A5FC4" w:rsidP="00944982">
      <w:pPr>
        <w:pStyle w:val="paragraph"/>
        <w:spacing w:before="0" w:beforeAutospacing="0" w:after="0" w:afterAutospacing="0"/>
        <w:textAlignment w:val="baseline"/>
        <w:rPr>
          <w:rFonts w:ascii="Segoe UI" w:hAnsi="Segoe UI" w:cs="Segoe UI"/>
          <w:b/>
          <w:bCs/>
          <w:sz w:val="18"/>
          <w:szCs w:val="18"/>
        </w:rPr>
      </w:pPr>
      <w:r w:rsidRPr="009A7EFE">
        <w:rPr>
          <w:rStyle w:val="normaltextrun"/>
          <w:rFonts w:ascii="Symbol" w:hAnsi="Symbol" w:cs="Segoe UI"/>
          <w:b/>
          <w:bCs/>
          <w:color w:val="1C75BC"/>
          <w:sz w:val="21"/>
          <w:szCs w:val="21"/>
          <w:lang w:val="en-GB"/>
        </w:rPr>
        <w:t></w:t>
      </w:r>
      <w:r w:rsidRPr="009A7EFE">
        <w:rPr>
          <w:rStyle w:val="normaltextrun"/>
          <w:rFonts w:ascii="Calibri" w:hAnsi="Calibri" w:cs="Calibri"/>
          <w:b/>
          <w:bCs/>
          <w:sz w:val="22"/>
          <w:szCs w:val="22"/>
        </w:rPr>
        <w:t> </w:t>
      </w:r>
      <w:r w:rsidRPr="009A7EFE">
        <w:rPr>
          <w:rStyle w:val="normaltextrun"/>
          <w:rFonts w:ascii="Calibri" w:hAnsi="Calibri" w:cs="Calibri"/>
          <w:b/>
          <w:bCs/>
          <w:color w:val="1C75BC"/>
          <w:sz w:val="21"/>
          <w:szCs w:val="21"/>
          <w:lang w:val="en-GB"/>
        </w:rPr>
        <w:t>At country level</w:t>
      </w:r>
      <w:r w:rsidRPr="009A7EFE">
        <w:rPr>
          <w:rStyle w:val="normaltextrun"/>
          <w:rFonts w:ascii="Calibri" w:hAnsi="Calibri" w:cs="Calibri"/>
          <w:b/>
          <w:bCs/>
          <w:sz w:val="22"/>
          <w:szCs w:val="22"/>
        </w:rPr>
        <w:t> </w:t>
      </w:r>
      <w:r w:rsidRPr="009A7EFE">
        <w:rPr>
          <w:rStyle w:val="eop"/>
          <w:rFonts w:ascii="Calibri" w:hAnsi="Calibri" w:cs="Calibri"/>
          <w:b/>
          <w:bCs/>
          <w:sz w:val="22"/>
          <w:szCs w:val="22"/>
        </w:rPr>
        <w:t> </w:t>
      </w:r>
    </w:p>
    <w:p w14:paraId="4D542302" w14:textId="30D92107" w:rsidR="006A5FC4" w:rsidRDefault="006A5FC4" w:rsidP="009A7EFE">
      <w:pPr>
        <w:pStyle w:val="paragraph"/>
        <w:spacing w:before="0" w:beforeAutospacing="0" w:after="0" w:afterAutospacing="0"/>
        <w:ind w:left="18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less than two</w:t>
      </w:r>
      <w:r>
        <w:rPr>
          <w:rStyle w:val="normaltextrun"/>
          <w:color w:val="4A4A4A"/>
          <w:sz w:val="21"/>
          <w:szCs w:val="21"/>
          <w:lang w:val="en-GB"/>
        </w:rPr>
        <w:t> </w:t>
      </w:r>
      <w:r>
        <w:rPr>
          <w:rStyle w:val="normaltextrun"/>
          <w:rFonts w:ascii="Calibri" w:hAnsi="Calibri" w:cs="Calibri"/>
          <w:color w:val="4A4A4A"/>
          <w:sz w:val="21"/>
          <w:szCs w:val="21"/>
          <w:lang w:val="en-GB"/>
        </w:rPr>
        <w:t>national</w:t>
      </w:r>
      <w:r>
        <w:rPr>
          <w:rStyle w:val="normaltextrun"/>
          <w:color w:val="4A4A4A"/>
          <w:sz w:val="21"/>
          <w:szCs w:val="21"/>
          <w:lang w:val="en-GB"/>
        </w:rPr>
        <w:t> </w:t>
      </w:r>
      <w:r>
        <w:rPr>
          <w:rStyle w:val="normaltextrun"/>
          <w:rFonts w:ascii="Calibri" w:hAnsi="Calibri" w:cs="Calibri"/>
          <w:color w:val="4A4A4A"/>
          <w:sz w:val="21"/>
          <w:szCs w:val="21"/>
          <w:lang w:val="en-GB"/>
        </w:rPr>
        <w:t>surveys completed in different years since 1990, no estimate is calculated, since no trend can be determined.  For countries with data from two or more</w:t>
      </w:r>
      <w:r>
        <w:rPr>
          <w:rStyle w:val="normaltextrun"/>
          <w:color w:val="4A4A4A"/>
          <w:sz w:val="21"/>
          <w:szCs w:val="21"/>
          <w:lang w:val="en-GB"/>
        </w:rPr>
        <w:t> </w:t>
      </w:r>
      <w:r>
        <w:rPr>
          <w:rStyle w:val="normaltextrun"/>
          <w:rFonts w:ascii="Calibri" w:hAnsi="Calibri" w:cs="Calibri"/>
          <w:color w:val="4A4A4A"/>
          <w:sz w:val="21"/>
          <w:szCs w:val="21"/>
          <w:lang w:val="en-GB"/>
        </w:rPr>
        <w:t>national</w:t>
      </w:r>
      <w:r>
        <w:rPr>
          <w:rStyle w:val="normaltextrun"/>
          <w:color w:val="4A4A4A"/>
          <w:sz w:val="21"/>
          <w:szCs w:val="21"/>
          <w:lang w:val="en-GB"/>
        </w:rPr>
        <w:t> </w:t>
      </w:r>
      <w:r>
        <w:rPr>
          <w:rStyle w:val="normaltextrun"/>
          <w:rFonts w:ascii="Calibri" w:hAnsi="Calibri" w:cs="Calibri"/>
          <w:color w:val="4A4A4A"/>
          <w:sz w:val="21"/>
          <w:szCs w:val="21"/>
          <w:lang w:val="en-GB"/>
        </w:rPr>
        <w:t xml:space="preserve">surveys, data gaps, if any, are filled as described in </w:t>
      </w:r>
      <w:bookmarkStart w:id="6" w:name="_Hlk84466985"/>
      <w:r>
        <w:rPr>
          <w:rStyle w:val="normaltextrun"/>
          <w:rFonts w:ascii="Calibri" w:hAnsi="Calibri" w:cs="Calibri"/>
          <w:color w:val="4A4A4A"/>
          <w:sz w:val="21"/>
          <w:szCs w:val="21"/>
          <w:lang w:val="en-GB"/>
        </w:rPr>
        <w:t xml:space="preserve">the </w:t>
      </w:r>
      <w:r w:rsidR="00885730" w:rsidRPr="004945D4">
        <w:rPr>
          <w:i/>
          <w:iCs/>
        </w:rPr>
        <w:t xml:space="preserve">Method of </w:t>
      </w:r>
      <w:r w:rsidR="00885730" w:rsidRPr="009A7EFE">
        <w:rPr>
          <w:i/>
        </w:rPr>
        <w:t>Computation</w:t>
      </w:r>
      <w:bookmarkEnd w:id="6"/>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2FCFCFDB" w14:textId="77777777" w:rsidR="006A5FC4" w:rsidRDefault="006A5FC4" w:rsidP="006A5FC4">
      <w:pPr>
        <w:pStyle w:val="paragraph"/>
        <w:spacing w:before="0" w:beforeAutospacing="0" w:after="0" w:afterAutospacing="0"/>
        <w:ind w:left="1440"/>
        <w:textAlignment w:val="baseline"/>
        <w:rPr>
          <w:rFonts w:ascii="Segoe UI" w:hAnsi="Segoe UI" w:cs="Segoe UI"/>
          <w:sz w:val="18"/>
          <w:szCs w:val="18"/>
        </w:rPr>
      </w:pPr>
      <w:r>
        <w:rPr>
          <w:rStyle w:val="eop"/>
          <w:color w:val="4A4A4A"/>
          <w:sz w:val="21"/>
          <w:szCs w:val="21"/>
        </w:rPr>
        <w:t> </w:t>
      </w:r>
    </w:p>
    <w:p w14:paraId="5265CD03" w14:textId="77777777" w:rsidR="006A5FC4" w:rsidRPr="009A7EFE" w:rsidRDefault="006A5FC4" w:rsidP="009A7EFE">
      <w:pPr>
        <w:pStyle w:val="paragraph"/>
        <w:spacing w:before="0" w:beforeAutospacing="0" w:after="0" w:afterAutospacing="0"/>
        <w:textAlignment w:val="baseline"/>
        <w:rPr>
          <w:rFonts w:ascii="Segoe UI" w:hAnsi="Segoe UI" w:cs="Segoe UI"/>
          <w:b/>
          <w:bCs/>
          <w:sz w:val="18"/>
          <w:szCs w:val="18"/>
        </w:rPr>
      </w:pPr>
      <w:r w:rsidRPr="009A7EFE">
        <w:rPr>
          <w:rStyle w:val="normaltextrun"/>
          <w:rFonts w:ascii="Symbol" w:hAnsi="Symbol" w:cs="Segoe UI"/>
          <w:b/>
          <w:bCs/>
          <w:color w:val="1C75BC"/>
          <w:sz w:val="21"/>
          <w:szCs w:val="21"/>
          <w:lang w:val="en-GB"/>
        </w:rPr>
        <w:t></w:t>
      </w:r>
      <w:r w:rsidRPr="009A7EFE">
        <w:rPr>
          <w:rStyle w:val="normaltextrun"/>
          <w:b/>
          <w:bCs/>
          <w:color w:val="1C75BC"/>
          <w:sz w:val="21"/>
          <w:szCs w:val="21"/>
          <w:lang w:val="en-GB"/>
        </w:rPr>
        <w:t> </w:t>
      </w:r>
      <w:r w:rsidRPr="009A7EFE">
        <w:rPr>
          <w:rStyle w:val="normaltextrun"/>
          <w:rFonts w:ascii="Calibri" w:hAnsi="Calibri" w:cs="Calibri"/>
          <w:b/>
          <w:bCs/>
          <w:color w:val="1C75BC"/>
          <w:sz w:val="21"/>
          <w:szCs w:val="21"/>
          <w:lang w:val="en-GB"/>
        </w:rPr>
        <w:t>At regional and global levels</w:t>
      </w:r>
      <w:r w:rsidRPr="009A7EFE">
        <w:rPr>
          <w:rStyle w:val="eop"/>
          <w:rFonts w:ascii="Calibri" w:hAnsi="Calibri" w:cs="Calibri"/>
          <w:b/>
          <w:bCs/>
          <w:color w:val="1C75BC"/>
          <w:sz w:val="21"/>
          <w:szCs w:val="21"/>
        </w:rPr>
        <w:t> </w:t>
      </w:r>
    </w:p>
    <w:p w14:paraId="2676DEBB" w14:textId="77777777" w:rsidR="006A5FC4" w:rsidRPr="009A7EFE" w:rsidRDefault="006A5FC4" w:rsidP="009A7EFE">
      <w:pPr>
        <w:pStyle w:val="paragraph"/>
        <w:spacing w:before="0" w:beforeAutospacing="0" w:after="0" w:afterAutospacing="0"/>
        <w:ind w:left="18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Countries where no estimate can be calculated are included in regional and global averages by assuming their prevalence rates for men and women are equal to the average rates for men and women seen in the UN subregion</w:t>
      </w:r>
      <w:r w:rsidRPr="009A7EFE">
        <w:rPr>
          <w:rStyle w:val="normaltextrun"/>
          <w:rFonts w:ascii="Calibri" w:hAnsi="Calibri" w:cs="Calibri"/>
          <w:color w:val="4A4A4A"/>
          <w:sz w:val="21"/>
          <w:szCs w:val="21"/>
          <w:lang w:val="en-GB"/>
        </w:rPr>
        <w:t>1</w:t>
      </w:r>
      <w:r>
        <w:rPr>
          <w:rStyle w:val="normaltextrun"/>
          <w:rFonts w:ascii="Calibri" w:hAnsi="Calibri" w:cs="Calibri"/>
          <w:color w:val="4A4A4A"/>
          <w:sz w:val="21"/>
          <w:szCs w:val="21"/>
          <w:lang w:val="en-GB"/>
        </w:rPr>
        <w:t> in which they are located.  Where fewer than 50% of a UN subregion’s population was surveyed, UN subregions are grouped with neighbouring subregions until at least 50% of the grouped population has contributed data to the region’s average rates</w:t>
      </w:r>
      <w:r w:rsidRPr="009A7EFE">
        <w:rPr>
          <w:rStyle w:val="normaltextrun"/>
          <w:rFonts w:ascii="Calibri" w:hAnsi="Calibri" w:cs="Calibri"/>
          <w:color w:val="4A4A4A"/>
          <w:sz w:val="21"/>
          <w:szCs w:val="21"/>
          <w:lang w:val="en-GB"/>
        </w:rPr>
        <w:t>.</w:t>
      </w:r>
      <w:r w:rsidRPr="009A7EFE">
        <w:rPr>
          <w:rStyle w:val="normaltextrun"/>
          <w:rFonts w:ascii="Calibri" w:hAnsi="Calibri" w:cs="Calibri"/>
          <w:lang w:val="en-GB"/>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1281700E"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Average prevalence rates for regions are calculated by population-weighting the age-specific prevalence rates in countries, then age-standardizing the age-specific average rates of the region.</w:t>
      </w:r>
      <w:r>
        <w:rPr>
          <w:rStyle w:val="eop"/>
          <w:rFonts w:ascii="Calibri" w:hAnsi="Calibri" w:cs="Calibri"/>
          <w:color w:val="4A4A4A"/>
          <w:sz w:val="21"/>
          <w:szCs w:val="21"/>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2078906F" w:rsidR="00576CFA" w:rsidRDefault="003441CF" w:rsidP="00576CFA">
      <w:pPr>
        <w:pStyle w:val="MText"/>
      </w:pPr>
      <w:r>
        <w:t>Countries use a variety of population-based survey protocols to monitor tobacco use</w:t>
      </w:r>
      <w:r w:rsidR="00FC7804">
        <w:t xml:space="preserve"> at national level</w:t>
      </w:r>
      <w:r>
        <w:t xml:space="preserve">. Examples of internationally supported protocols include </w:t>
      </w:r>
      <w:r w:rsidR="00FC7804">
        <w:t>Tobacco Questions for Surveys (</w:t>
      </w:r>
      <w:hyperlink r:id="rId17" w:history="1">
        <w:r w:rsidR="00245B8B" w:rsidRPr="00A70EE4">
          <w:rPr>
            <w:rStyle w:val="Hyperlink"/>
          </w:rPr>
          <w:t>https://www.gtssacademy.org/survey-tools/tqs/</w:t>
        </w:r>
      </w:hyperlink>
      <w:r w:rsidR="00FC7804">
        <w:t>)</w:t>
      </w:r>
      <w:r w:rsidR="008620DE">
        <w:t>;</w:t>
      </w:r>
      <w:r w:rsidR="00FC7804">
        <w:t xml:space="preserve"> </w:t>
      </w:r>
      <w:r>
        <w:t xml:space="preserve">the Global Adult Tobacco Survey </w:t>
      </w:r>
      <w:r w:rsidR="00FC7804">
        <w:t>(</w:t>
      </w:r>
      <w:hyperlink r:id="rId18" w:history="1">
        <w:r w:rsidR="00245B8B" w:rsidRPr="00A70EE4">
          <w:rPr>
            <w:rStyle w:val="Hyperlink"/>
          </w:rPr>
          <w:t>https://www.gtssacademy.org/survey-tools/gats/</w:t>
        </w:r>
      </w:hyperlink>
      <w:r w:rsidR="008620DE">
        <w:t xml:space="preserve">); </w:t>
      </w:r>
      <w:r w:rsidR="00FC7804">
        <w:t>the WHO STEPS survey (</w:t>
      </w:r>
      <w:hyperlink r:id="rId19" w:history="1">
        <w:r w:rsidR="00245B8B" w:rsidRPr="00A70EE4">
          <w:rPr>
            <w:rStyle w:val="Hyperlink"/>
          </w:rPr>
          <w:t>https://www.who.int/teams/noncommunicable-diseases/surveillance/systems-tools/steps</w:t>
        </w:r>
      </w:hyperlink>
      <w:r w:rsidR="00FC7804">
        <w:t>)</w:t>
      </w:r>
      <w:r w:rsidR="008620DE">
        <w:t>; the World Health Survey (</w:t>
      </w:r>
      <w:hyperlink r:id="rId20" w:history="1">
        <w:r w:rsidR="00245B8B" w:rsidRPr="00A70EE4">
          <w:rPr>
            <w:rStyle w:val="Hyperlink"/>
          </w:rPr>
          <w:t>https://www.who.int/data/data-collection-tools/world-health-survey-plus</w:t>
        </w:r>
      </w:hyperlink>
      <w:r w:rsidR="008620DE">
        <w:t>);</w:t>
      </w:r>
      <w:r w:rsidR="00FC7804">
        <w:t xml:space="preserve"> the Multiple Indicator Cluster survey (</w:t>
      </w:r>
      <w:hyperlink r:id="rId21" w:history="1">
        <w:r w:rsidR="00245B8B" w:rsidRPr="00A70EE4">
          <w:rPr>
            <w:rStyle w:val="Hyperlink"/>
          </w:rPr>
          <w:t>https://mics.unicef.org/tools</w:t>
        </w:r>
      </w:hyperlink>
      <w:r w:rsidR="00FC7804">
        <w:t>)</w:t>
      </w:r>
      <w:r w:rsidR="008620DE">
        <w:t>; and</w:t>
      </w:r>
      <w:r w:rsidR="00FC7804">
        <w:t xml:space="preserve"> the Demographic and Health Survey (</w:t>
      </w:r>
      <w:hyperlink r:id="rId22" w:history="1">
        <w:r w:rsidR="00245B8B" w:rsidRPr="00A70EE4">
          <w:rPr>
            <w:rStyle w:val="Hyperlink"/>
          </w:rPr>
          <w:t>https://www.dhsprogram.com/Methodology/index.cfm</w:t>
        </w:r>
      </w:hyperlink>
      <w:r w:rsidR="00FC7804">
        <w:t xml:space="preserve">). </w:t>
      </w:r>
      <w:r>
        <w:t>Sampling for national representativeness is the preserve of National Statistics Offices.</w:t>
      </w:r>
      <w:r w:rsidR="00FC7804">
        <w:t xml:space="preserve"> </w:t>
      </w:r>
      <w:r w:rsidR="00976592">
        <w:t>Survey d</w:t>
      </w:r>
      <w:r w:rsidR="00FC7804">
        <w:t xml:space="preserve">ata submitted by </w:t>
      </w:r>
      <w:r w:rsidR="008347AC">
        <w:t>the WHO FCT P</w:t>
      </w:r>
      <w:r w:rsidR="00FC7804">
        <w:t xml:space="preserve">arties biennially to the </w:t>
      </w:r>
      <w:r w:rsidR="0080396D">
        <w:t>Convention</w:t>
      </w:r>
      <w:r w:rsidR="00FC7804">
        <w:t xml:space="preserve"> Secretariat via the WHO FCTC Reporting Instrument (</w:t>
      </w:r>
      <w:hyperlink r:id="rId23" w:history="1">
        <w:r w:rsidR="00245B8B" w:rsidRPr="00A70EE4">
          <w:rPr>
            <w:rStyle w:val="Hyperlink"/>
          </w:rPr>
          <w:t>https://fctc.who.int/who-fctc/reporting/reporting-instrument</w:t>
        </w:r>
      </w:hyperlink>
      <w:r w:rsidR="00FC7804">
        <w:t>) are shared with WHO. Additional data are obtained by WHO through contact with tobacco focal points at the Ministries of Health or by searching in the public domain.</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1982EE9" w:rsidR="00576CFA" w:rsidRPr="00A96255" w:rsidRDefault="00362A1C" w:rsidP="00576CFA">
      <w:pPr>
        <w:pStyle w:val="MText"/>
      </w:pPr>
      <w:r>
        <w:lastRenderedPageBreak/>
        <w:t>Clearance of statistical methods and publications through WHO D</w:t>
      </w:r>
      <w:r w:rsidRPr="00362A1C">
        <w:t>ivision of Data, Analytics, and Delivery for Impact</w:t>
      </w:r>
      <w:r>
        <w:t>.</w:t>
      </w:r>
      <w:r w:rsidRPr="00362A1C">
        <w:t xml:space="preserve"> </w:t>
      </w:r>
      <w:r>
        <w:t>Adherence to GATHER guidelines (</w:t>
      </w:r>
      <w:hyperlink r:id="rId24" w:history="1">
        <w:r w:rsidR="000D2E4B" w:rsidRPr="00A70EE4">
          <w:rPr>
            <w:rStyle w:val="Hyperlink"/>
          </w:rPr>
          <w:t>http://gather-statement.org/</w:t>
        </w:r>
      </w:hyperlink>
      <w:r>
        <w:t xml:space="preserve">) is required for clearance. Data, </w:t>
      </w:r>
      <w:proofErr w:type="gramStart"/>
      <w:r>
        <w:t>estimates</w:t>
      </w:r>
      <w:proofErr w:type="gramEnd"/>
      <w:r>
        <w:t xml:space="preserve"> and metadata are published through the Global Health Observatory.</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4123F54E" w:rsidR="00EC2915" w:rsidRDefault="00C00AE6" w:rsidP="00576CFA">
      <w:pPr>
        <w:pStyle w:val="MText"/>
      </w:pPr>
      <w:r>
        <w:t xml:space="preserve">The </w:t>
      </w:r>
      <w:r w:rsidR="00697D64">
        <w:t>survey</w:t>
      </w:r>
      <w:r>
        <w:t xml:space="preserve"> data reported by WHO member states </w:t>
      </w:r>
      <w:r w:rsidR="00697D64">
        <w:t xml:space="preserve">and by Parties to the WHO-FCTC </w:t>
      </w:r>
      <w:r>
        <w:t>is checked</w:t>
      </w:r>
      <w:r w:rsidR="00697D64">
        <w:t xml:space="preserve"> against published reports</w:t>
      </w:r>
      <w:r>
        <w:t xml:space="preserve"> and</w:t>
      </w:r>
      <w:r w:rsidR="00697D64">
        <w:t xml:space="preserve"> for</w:t>
      </w:r>
      <w:r>
        <w:t xml:space="preserve"> internal consistency.</w:t>
      </w:r>
      <w:r w:rsidR="00697D64">
        <w:t xml:space="preserve"> Modelling results, together with input data, are </w:t>
      </w:r>
      <w:r w:rsidR="00697D64" w:rsidRPr="00AE58AE">
        <w:t>shared</w:t>
      </w:r>
      <w:r w:rsidR="00697D64">
        <w:t xml:space="preserve"> with tobacco surveillance and policy experts in WHO Regions prior to being shared with tobacco focal points in Ministries of Health</w:t>
      </w:r>
      <w:r>
        <w:t>.</w:t>
      </w:r>
      <w:r w:rsidR="00697D64">
        <w:t xml:space="preserve"> The pertinent WHO collaborating centre also reviews the results prior to publication.</w:t>
      </w:r>
      <w:r w:rsidRPr="00A96255" w:rsidDel="00C00AE6">
        <w:rPr>
          <w:highlight w:val="yellow"/>
        </w:rPr>
        <w:t xml:space="preserve"> </w:t>
      </w:r>
    </w:p>
    <w:p w14:paraId="1B86942B" w14:textId="77777777" w:rsidR="00AE58AE" w:rsidRPr="00A96255" w:rsidRDefault="00AE58AE"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9A7EFE" w:rsidRDefault="00D51E7C" w:rsidP="00576CFA">
      <w:pPr>
        <w:pStyle w:val="MText"/>
        <w:rPr>
          <w:b/>
          <w:bCs/>
        </w:rPr>
      </w:pPr>
      <w:r w:rsidRPr="009A7EFE">
        <w:rPr>
          <w:b/>
          <w:bCs/>
        </w:rPr>
        <w:t>Data availability:</w:t>
      </w:r>
    </w:p>
    <w:p w14:paraId="2D0542F7" w14:textId="42DE7F81" w:rsidR="00D51E7C" w:rsidRDefault="008C5864" w:rsidP="00576CFA">
      <w:pPr>
        <w:pStyle w:val="MText"/>
        <w:rPr>
          <w:rStyle w:val="eop"/>
          <w:rFonts w:ascii="Calibri" w:hAnsi="Calibri" w:cs="Calibri"/>
          <w:shd w:val="clear" w:color="auto" w:fill="FFFFFF"/>
        </w:rPr>
      </w:pPr>
      <w:r>
        <w:rPr>
          <w:rStyle w:val="normaltextrun"/>
          <w:rFonts w:ascii="Calibri" w:hAnsi="Calibri" w:cs="Calibri"/>
          <w:shd w:val="clear" w:color="auto" w:fill="FFFFFF"/>
        </w:rPr>
        <w:t>Availability d</w:t>
      </w:r>
      <w:r w:rsidR="00A33040">
        <w:rPr>
          <w:rStyle w:val="normaltextrun"/>
          <w:rFonts w:ascii="Calibri" w:hAnsi="Calibri" w:cs="Calibri"/>
          <w:shd w:val="clear" w:color="auto" w:fill="FFFFFF"/>
        </w:rPr>
        <w:t>epends on each country’s schedule for publishing their nationally representative population survey results</w:t>
      </w:r>
      <w:r w:rsidR="006A5FC4">
        <w:rPr>
          <w:rStyle w:val="normaltextrun"/>
          <w:rFonts w:ascii="Calibri" w:hAnsi="Calibri" w:cs="Calibri"/>
          <w:shd w:val="clear" w:color="auto" w:fill="FFFFFF"/>
        </w:rPr>
        <w:t>.</w:t>
      </w:r>
      <w:r w:rsidR="006A5FC4">
        <w:rPr>
          <w:rStyle w:val="eop"/>
          <w:rFonts w:ascii="Calibri" w:hAnsi="Calibri" w:cs="Calibri"/>
          <w:shd w:val="clear" w:color="auto" w:fill="FFFFFF"/>
        </w:rPr>
        <w:t> </w:t>
      </w:r>
      <w:r w:rsidR="00A33040">
        <w:rPr>
          <w:rStyle w:val="eop"/>
          <w:rFonts w:ascii="Calibri" w:hAnsi="Calibri" w:cs="Calibri"/>
          <w:shd w:val="clear" w:color="auto" w:fill="FFFFFF"/>
        </w:rPr>
        <w:t xml:space="preserve">WHO calculates estimates every two </w:t>
      </w:r>
      <w:proofErr w:type="gramStart"/>
      <w:r w:rsidR="00A33040">
        <w:rPr>
          <w:rStyle w:val="eop"/>
          <w:rFonts w:ascii="Calibri" w:hAnsi="Calibri" w:cs="Calibri"/>
          <w:shd w:val="clear" w:color="auto" w:fill="FFFFFF"/>
        </w:rPr>
        <w:t>years.</w:t>
      </w:r>
      <w:proofErr w:type="gramEnd"/>
    </w:p>
    <w:p w14:paraId="71814821" w14:textId="77777777" w:rsidR="006A5FC4" w:rsidRPr="00C019E5" w:rsidRDefault="006A5FC4" w:rsidP="00576CFA">
      <w:pPr>
        <w:pStyle w:val="MText"/>
        <w:rPr>
          <w:highlight w:val="cyan"/>
        </w:rPr>
      </w:pPr>
    </w:p>
    <w:p w14:paraId="5853D6F7" w14:textId="4B0A534C" w:rsidR="00D51E7C" w:rsidRPr="009A7EFE" w:rsidRDefault="00D51E7C" w:rsidP="00576CFA">
      <w:pPr>
        <w:pStyle w:val="MText"/>
        <w:rPr>
          <w:b/>
          <w:bCs/>
        </w:rPr>
      </w:pPr>
      <w:r w:rsidRPr="009A7EFE">
        <w:rPr>
          <w:b/>
          <w:bCs/>
        </w:rPr>
        <w:t>Time series:</w:t>
      </w:r>
    </w:p>
    <w:p w14:paraId="23A6B2BF" w14:textId="01824800" w:rsidR="00A33040" w:rsidRDefault="00A33040" w:rsidP="00A33040">
      <w:pPr>
        <w:pStyle w:val="MText"/>
        <w:rPr>
          <w:rStyle w:val="eop"/>
          <w:rFonts w:ascii="Calibri" w:hAnsi="Calibri" w:cs="Calibri"/>
          <w:shd w:val="clear" w:color="auto" w:fill="FFFFFF"/>
        </w:rPr>
      </w:pPr>
      <w:r>
        <w:rPr>
          <w:rStyle w:val="normaltextrun"/>
          <w:rFonts w:ascii="Calibri" w:hAnsi="Calibri" w:cs="Calibri"/>
          <w:shd w:val="clear" w:color="auto" w:fill="FFFFFF"/>
        </w:rPr>
        <w:t>The indicator is calculated for all countries from 2000 to the current year</w:t>
      </w:r>
      <w:r w:rsidR="008C5864">
        <w:rPr>
          <w:rStyle w:val="normaltextrun"/>
          <w:rFonts w:ascii="Calibri" w:hAnsi="Calibri" w:cs="Calibri"/>
          <w:shd w:val="clear" w:color="auto" w:fill="FFFFFF"/>
        </w:rPr>
        <w:t>. Where the current year is later than the most recent national survey year</w:t>
      </w:r>
      <w:r>
        <w:rPr>
          <w:rStyle w:val="normaltextrun"/>
          <w:rFonts w:ascii="Calibri" w:hAnsi="Calibri" w:cs="Calibri"/>
          <w:shd w:val="clear" w:color="auto" w:fill="FFFFFF"/>
        </w:rPr>
        <w:t xml:space="preserve">, </w:t>
      </w:r>
      <w:r w:rsidR="008C5864">
        <w:rPr>
          <w:rStyle w:val="normaltextrun"/>
          <w:rFonts w:ascii="Calibri" w:hAnsi="Calibri" w:cs="Calibri"/>
          <w:shd w:val="clear" w:color="auto" w:fill="FFFFFF"/>
        </w:rPr>
        <w:t xml:space="preserve">projections are made according to the </w:t>
      </w:r>
      <w:r w:rsidR="008C5864" w:rsidRPr="00C148E4">
        <w:rPr>
          <w:i/>
          <w:iCs/>
        </w:rPr>
        <w:t>Method of Computation</w:t>
      </w:r>
      <w:r w:rsidR="008C5864">
        <w:t xml:space="preserve"> described above</w:t>
      </w:r>
      <w:r w:rsidR="008C5864">
        <w:rPr>
          <w:rStyle w:val="normaltextrun"/>
          <w:rFonts w:ascii="Calibri" w:hAnsi="Calibri" w:cs="Calibri"/>
          <w:shd w:val="clear" w:color="auto" w:fill="FFFFFF"/>
        </w:rPr>
        <w:t>.</w:t>
      </w:r>
      <w:r>
        <w:rPr>
          <w:rStyle w:val="eop"/>
          <w:rFonts w:ascii="Calibri" w:hAnsi="Calibri" w:cs="Calibri"/>
          <w:shd w:val="clear" w:color="auto" w:fill="FFFFFF"/>
        </w:rPr>
        <w:t> </w:t>
      </w:r>
    </w:p>
    <w:p w14:paraId="662A656C" w14:textId="77777777" w:rsidR="00A33040" w:rsidRPr="009A7EFE" w:rsidRDefault="00A33040" w:rsidP="00576CFA">
      <w:pPr>
        <w:pStyle w:val="MText"/>
        <w:rPr>
          <w:highlight w:val="cyan"/>
        </w:rPr>
      </w:pPr>
    </w:p>
    <w:p w14:paraId="72C7C370" w14:textId="26761BC7" w:rsidR="00D51E7C" w:rsidRPr="009A7EFE" w:rsidRDefault="00D51E7C" w:rsidP="00576CFA">
      <w:pPr>
        <w:pStyle w:val="MText"/>
        <w:rPr>
          <w:b/>
          <w:bCs/>
        </w:rPr>
      </w:pPr>
      <w:r w:rsidRPr="009A7EFE">
        <w:rPr>
          <w:b/>
          <w:bCs/>
        </w:rPr>
        <w:t>Disaggregation:</w:t>
      </w:r>
    </w:p>
    <w:p w14:paraId="1C145A3E" w14:textId="1CA53671" w:rsidR="006A5FC4" w:rsidRDefault="006A5FC4" w:rsidP="00576CFA">
      <w:pPr>
        <w:pStyle w:val="MText"/>
        <w:rPr>
          <w:rStyle w:val="eop"/>
          <w:rFonts w:ascii="Calibri" w:hAnsi="Calibri" w:cs="Calibri"/>
          <w:shd w:val="clear" w:color="auto" w:fill="FFFFFF"/>
        </w:rPr>
      </w:pPr>
      <w:r>
        <w:rPr>
          <w:rStyle w:val="normaltextrun"/>
          <w:rFonts w:ascii="Calibri" w:hAnsi="Calibri" w:cs="Calibri"/>
          <w:shd w:val="clear" w:color="auto" w:fill="FFFFFF"/>
        </w:rPr>
        <w:t>Sex</w:t>
      </w:r>
      <w:r>
        <w:rPr>
          <w:rStyle w:val="eop"/>
          <w:rFonts w:ascii="Calibri" w:hAnsi="Calibri" w:cs="Calibri"/>
          <w:shd w:val="clear" w:color="auto" w:fill="FFFFFF"/>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0F50AE2"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Sources of discrepancies:</w:t>
      </w:r>
      <w:r>
        <w:rPr>
          <w:rStyle w:val="eop"/>
          <w:rFonts w:ascii="Calibri" w:hAnsi="Calibri" w:cs="Calibri"/>
          <w:color w:val="4A4A4A"/>
          <w:sz w:val="21"/>
          <w:szCs w:val="21"/>
        </w:rPr>
        <w:t> </w:t>
      </w:r>
    </w:p>
    <w:p w14:paraId="63AF69AC"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estimates differ from national estimates in that they are (</w:t>
      </w:r>
      <w:proofErr w:type="spellStart"/>
      <w:r>
        <w:rPr>
          <w:rStyle w:val="normaltextrun"/>
          <w:rFonts w:ascii="Calibri" w:hAnsi="Calibri" w:cs="Calibri"/>
          <w:color w:val="4A4A4A"/>
          <w:sz w:val="21"/>
          <w:szCs w:val="21"/>
          <w:lang w:val="en-GB"/>
        </w:rPr>
        <w:t>i</w:t>
      </w:r>
      <w:proofErr w:type="spellEnd"/>
      <w:r>
        <w:rPr>
          <w:rStyle w:val="normaltextrun"/>
          <w:rFonts w:ascii="Calibri" w:hAnsi="Calibri" w:cs="Calibri"/>
          <w:color w:val="4A4A4A"/>
          <w:sz w:val="21"/>
          <w:szCs w:val="21"/>
          <w:lang w:val="en-GB"/>
        </w:rPr>
        <w:t>) age-standardised to improve international comparability and (ii) calculated using one standard method for all </w:t>
      </w:r>
      <w:proofErr w:type="gramStart"/>
      <w:r>
        <w:rPr>
          <w:rStyle w:val="normaltextrun"/>
          <w:rFonts w:ascii="Calibri" w:hAnsi="Calibri" w:cs="Calibri"/>
          <w:color w:val="4A4A4A"/>
          <w:sz w:val="21"/>
          <w:szCs w:val="21"/>
          <w:lang w:val="en-GB"/>
        </w:rPr>
        <w:t>countries</w:t>
      </w:r>
      <w:r>
        <w:rPr>
          <w:rStyle w:val="normaltextrun"/>
          <w:color w:val="4A4A4A"/>
          <w:sz w:val="21"/>
          <w:szCs w:val="21"/>
          <w:lang w:val="en-GB"/>
        </w:rPr>
        <w:t>.</w:t>
      </w:r>
      <w:proofErr w:type="gramEnd"/>
      <w:r>
        <w:rPr>
          <w:rStyle w:val="normaltextrun"/>
          <w:color w:val="4A4A4A"/>
          <w:sz w:val="21"/>
          <w:szCs w:val="21"/>
          <w:lang w:val="en-GB"/>
        </w:rPr>
        <w:t> </w:t>
      </w:r>
      <w:r>
        <w:rPr>
          <w:rStyle w:val="normaltextrun"/>
          <w:rFonts w:ascii="Calibri" w:hAnsi="Calibri" w:cs="Calibri"/>
          <w:color w:val="4A4A4A"/>
          <w:sz w:val="21"/>
          <w:szCs w:val="21"/>
          <w:lang w:val="en-GB"/>
        </w:rPr>
        <w:t>Infrequent surveys or unavailability of recent surveys lead to more reliance on modelling. As the data set for each country improves over time with addition of new surveys, recent estimates may seem inconsistent with earlier estimates. WHO estimates undergo country consultation prior to </w:t>
      </w:r>
      <w:proofErr w:type="gramStart"/>
      <w:r>
        <w:rPr>
          <w:rStyle w:val="normaltextrun"/>
          <w:rFonts w:ascii="Calibri" w:hAnsi="Calibri" w:cs="Calibri"/>
          <w:color w:val="4A4A4A"/>
          <w:sz w:val="21"/>
          <w:szCs w:val="21"/>
          <w:lang w:val="en-GB"/>
        </w:rPr>
        <w:t>release.</w:t>
      </w:r>
      <w:proofErr w:type="gramEnd"/>
      <w:r>
        <w:rPr>
          <w:rStyle w:val="normaltextrun"/>
          <w:color w:val="4A4A4A"/>
          <w:sz w:val="21"/>
          <w:szCs w:val="21"/>
          <w:lang w:val="en-GB"/>
        </w:rPr>
        <w:t> </w:t>
      </w:r>
      <w:r>
        <w:rPr>
          <w:rStyle w:val="eop"/>
          <w:color w:val="4A4A4A"/>
          <w:sz w:val="21"/>
          <w:szCs w:val="21"/>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FF8542D" w14:textId="77777777" w:rsidR="006A5FC4" w:rsidRDefault="006A5FC4" w:rsidP="006A5FC4">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4A4A4A"/>
          <w:sz w:val="21"/>
          <w:szCs w:val="21"/>
          <w:lang w:val="en-GB"/>
        </w:rPr>
        <w:t>URL: </w:t>
      </w:r>
      <w:r>
        <w:rPr>
          <w:rStyle w:val="eop"/>
          <w:rFonts w:ascii="Calibri" w:hAnsi="Calibri" w:cs="Calibri"/>
          <w:color w:val="4A4A4A"/>
          <w:sz w:val="21"/>
          <w:szCs w:val="21"/>
        </w:rPr>
        <w:t> </w:t>
      </w:r>
    </w:p>
    <w:p w14:paraId="7389E895" w14:textId="77777777" w:rsidR="006A5FC4" w:rsidRDefault="00B60775" w:rsidP="006A5FC4">
      <w:pPr>
        <w:pStyle w:val="paragraph"/>
        <w:spacing w:before="0" w:beforeAutospacing="0" w:after="0" w:afterAutospacing="0"/>
        <w:textAlignment w:val="baseline"/>
        <w:rPr>
          <w:rFonts w:ascii="Segoe UI" w:hAnsi="Segoe UI" w:cs="Segoe UI"/>
          <w:sz w:val="18"/>
          <w:szCs w:val="18"/>
        </w:rPr>
      </w:pPr>
      <w:hyperlink r:id="rId25" w:tgtFrame="_blank" w:history="1">
        <w:r w:rsidR="006A5FC4">
          <w:rPr>
            <w:rStyle w:val="normaltextrun"/>
            <w:rFonts w:ascii="Calibri" w:hAnsi="Calibri" w:cs="Calibri"/>
            <w:color w:val="0000FF"/>
            <w:sz w:val="21"/>
            <w:szCs w:val="21"/>
            <w:u w:val="single"/>
          </w:rPr>
          <w:t>http://www.who.int/gho/en/</w:t>
        </w:r>
      </w:hyperlink>
      <w:r w:rsidR="006A5FC4">
        <w:rPr>
          <w:rStyle w:val="eop"/>
          <w:rFonts w:ascii="Calibri" w:hAnsi="Calibri" w:cs="Calibri"/>
          <w:color w:val="0000FF"/>
          <w:sz w:val="21"/>
          <w:szCs w:val="21"/>
        </w:rPr>
        <w:t> </w:t>
      </w:r>
    </w:p>
    <w:p w14:paraId="0CACA21B" w14:textId="71B2E678" w:rsidR="006A5FC4" w:rsidRDefault="00B60775" w:rsidP="006A5FC4">
      <w:pPr>
        <w:pStyle w:val="paragraph"/>
        <w:spacing w:before="0" w:beforeAutospacing="0" w:after="0" w:afterAutospacing="0"/>
        <w:textAlignment w:val="baseline"/>
        <w:rPr>
          <w:rStyle w:val="eop"/>
          <w:rFonts w:ascii="Calibri" w:hAnsi="Calibri" w:cs="Calibri"/>
          <w:sz w:val="21"/>
          <w:szCs w:val="21"/>
        </w:rPr>
      </w:pPr>
      <w:hyperlink r:id="rId26" w:tgtFrame="_blank" w:history="1">
        <w:r w:rsidR="006A5FC4">
          <w:rPr>
            <w:rStyle w:val="normaltextrun"/>
            <w:rFonts w:ascii="Calibri" w:hAnsi="Calibri" w:cs="Calibri"/>
            <w:color w:val="0000FF"/>
            <w:sz w:val="21"/>
            <w:szCs w:val="21"/>
            <w:u w:val="single"/>
          </w:rPr>
          <w:t>http://apps.who.int/fctc/implementation/database/</w:t>
        </w:r>
      </w:hyperlink>
      <w:r w:rsidR="006A5FC4">
        <w:rPr>
          <w:rStyle w:val="eop"/>
          <w:rFonts w:ascii="Calibri" w:hAnsi="Calibri" w:cs="Calibri"/>
          <w:sz w:val="21"/>
          <w:szCs w:val="21"/>
        </w:rPr>
        <w:t> </w:t>
      </w:r>
    </w:p>
    <w:p w14:paraId="55D39097" w14:textId="2FCC4B24" w:rsidR="006A5FC4" w:rsidRDefault="006A5FC4" w:rsidP="006A5FC4">
      <w:pPr>
        <w:pStyle w:val="paragraph"/>
        <w:spacing w:before="0" w:beforeAutospacing="0" w:after="0" w:afterAutospacing="0"/>
        <w:textAlignment w:val="baseline"/>
        <w:rPr>
          <w:rFonts w:ascii="Segoe UI" w:hAnsi="Segoe UI" w:cs="Segoe UI"/>
          <w:sz w:val="18"/>
          <w:szCs w:val="18"/>
        </w:rPr>
      </w:pPr>
    </w:p>
    <w:p w14:paraId="0B1093E0" w14:textId="77777777"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Notes:</w:t>
      </w:r>
      <w:r>
        <w:rPr>
          <w:rStyle w:val="eop"/>
          <w:rFonts w:ascii="Calibri" w:hAnsi="Calibri" w:cs="Calibri"/>
          <w:color w:val="4A4A4A"/>
          <w:sz w:val="21"/>
          <w:szCs w:val="21"/>
        </w:rPr>
        <w:t> </w:t>
      </w:r>
    </w:p>
    <w:p w14:paraId="1605A5B6" w14:textId="74D5B87A" w:rsidR="006A5FC4" w:rsidRDefault="006A5FC4" w:rsidP="006A5F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14"/>
          <w:szCs w:val="14"/>
          <w:vertAlign w:val="superscript"/>
        </w:rPr>
        <w:lastRenderedPageBreak/>
        <w:t>1</w:t>
      </w:r>
      <w:r>
        <w:rPr>
          <w:rStyle w:val="normaltextrun"/>
          <w:rFonts w:ascii="Calibri" w:hAnsi="Calibri" w:cs="Calibri"/>
          <w:sz w:val="18"/>
          <w:szCs w:val="18"/>
        </w:rPr>
        <w:t> </w:t>
      </w:r>
      <w:r>
        <w:rPr>
          <w:rStyle w:val="normaltextrun"/>
          <w:rFonts w:ascii="Calibri" w:hAnsi="Calibri" w:cs="Calibri"/>
          <w:color w:val="4A4A4A"/>
          <w:sz w:val="21"/>
          <w:szCs w:val="21"/>
          <w:lang w:val="en-GB"/>
        </w:rPr>
        <w:t>For a listing of countries by UN region, please refer to World Population Prospects, published by the UN Department of Economic and Social Affairs</w:t>
      </w:r>
      <w:r>
        <w:rPr>
          <w:rStyle w:val="normaltextrun"/>
          <w:color w:val="4A4A4A"/>
          <w:sz w:val="21"/>
          <w:szCs w:val="21"/>
          <w:lang w:val="en-GB"/>
        </w:rPr>
        <w:t>. </w:t>
      </w:r>
      <w:r>
        <w:rPr>
          <w:rStyle w:val="normaltextrun"/>
          <w:rFonts w:ascii="Calibri" w:hAnsi="Calibri" w:cs="Calibri"/>
          <w:color w:val="4A4A4A"/>
          <w:sz w:val="21"/>
          <w:szCs w:val="21"/>
          <w:lang w:val="en-GB"/>
        </w:rPr>
        <w:t>For the purposes of tobacco use analysis, the following adjustments were made: (</w:t>
      </w:r>
      <w:proofErr w:type="spellStart"/>
      <w:r>
        <w:rPr>
          <w:rStyle w:val="normaltextrun"/>
          <w:rFonts w:ascii="Calibri" w:hAnsi="Calibri" w:cs="Calibri"/>
          <w:color w:val="4A4A4A"/>
          <w:sz w:val="21"/>
          <w:szCs w:val="21"/>
          <w:lang w:val="en-GB"/>
        </w:rPr>
        <w:t>i</w:t>
      </w:r>
      <w:proofErr w:type="spellEnd"/>
      <w:r>
        <w:rPr>
          <w:rStyle w:val="normaltextrun"/>
          <w:rFonts w:ascii="Calibri" w:hAnsi="Calibri" w:cs="Calibri"/>
          <w:color w:val="4A4A4A"/>
          <w:sz w:val="21"/>
          <w:szCs w:val="21"/>
          <w:lang w:val="en-GB"/>
        </w:rPr>
        <w:t>) Eastern Africa subregion was divided into two regions: Eastern Africa Islands and Remainder of Eastern Africa; (ii) Armenia, Azerbaijan, Estonia, Georgia, Kazakhstan, Kyrgyzstan, Latvia, Lithuania, Tajikistan, Uzbekistan and Turkmenistan were classified with Eastern Europe, (iii); Cyprus, Israel and Turkey were classified with Southern Europe, and (iv) Melanesia, Micronesia and Polynesia subregions were combined into one subregion</w:t>
      </w:r>
      <w:r w:rsidR="00362A1C">
        <w:rPr>
          <w:rStyle w:val="normaltextrun"/>
          <w:rFonts w:ascii="Calibri" w:hAnsi="Calibri" w:cs="Calibri"/>
          <w:color w:val="4A4A4A"/>
          <w:sz w:val="21"/>
          <w:szCs w:val="21"/>
          <w:lang w:val="en-GB"/>
        </w:rPr>
        <w:t>.</w:t>
      </w:r>
    </w:p>
    <w:p w14:paraId="3467436D" w14:textId="77777777" w:rsidR="006A5FC4" w:rsidRDefault="006A5FC4"/>
    <w:sectPr w:rsidR="006A5FC4">
      <w:head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8863" w14:textId="77777777" w:rsidR="00874420" w:rsidRDefault="00874420" w:rsidP="00573C0B">
      <w:pPr>
        <w:spacing w:after="0" w:line="240" w:lineRule="auto"/>
      </w:pPr>
      <w:r>
        <w:separator/>
      </w:r>
    </w:p>
  </w:endnote>
  <w:endnote w:type="continuationSeparator" w:id="0">
    <w:p w14:paraId="2C61B68F" w14:textId="77777777" w:rsidR="00874420" w:rsidRDefault="00874420" w:rsidP="00573C0B">
      <w:pPr>
        <w:spacing w:after="0" w:line="240" w:lineRule="auto"/>
      </w:pPr>
      <w:r>
        <w:continuationSeparator/>
      </w:r>
    </w:p>
  </w:endnote>
  <w:endnote w:type="continuationNotice" w:id="1">
    <w:p w14:paraId="50DD6379" w14:textId="77777777" w:rsidR="00874420" w:rsidRDefault="008744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F778C" w14:textId="77777777" w:rsidR="00874420" w:rsidRDefault="00874420" w:rsidP="00573C0B">
      <w:pPr>
        <w:spacing w:after="0" w:line="240" w:lineRule="auto"/>
      </w:pPr>
      <w:r>
        <w:separator/>
      </w:r>
    </w:p>
  </w:footnote>
  <w:footnote w:type="continuationSeparator" w:id="0">
    <w:p w14:paraId="04687A38" w14:textId="77777777" w:rsidR="00874420" w:rsidRDefault="00874420" w:rsidP="00573C0B">
      <w:pPr>
        <w:spacing w:after="0" w:line="240" w:lineRule="auto"/>
      </w:pPr>
      <w:r>
        <w:continuationSeparator/>
      </w:r>
    </w:p>
  </w:footnote>
  <w:footnote w:type="continuationNotice" w:id="1">
    <w:p w14:paraId="2E73D054" w14:textId="77777777" w:rsidR="00874420" w:rsidRDefault="008744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6116C1B" w:rsidR="006A5FC4" w:rsidRPr="00757E8A" w:rsidRDefault="006A5FC4"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605AA3">
      <w:rPr>
        <w:color w:val="404040" w:themeColor="text1" w:themeTint="BF"/>
        <w:sz w:val="18"/>
        <w:szCs w:val="18"/>
      </w:rPr>
      <w:t>2021</w:t>
    </w:r>
    <w:r w:rsidR="00440055">
      <w:rPr>
        <w:color w:val="404040" w:themeColor="text1" w:themeTint="BF"/>
        <w:sz w:val="18"/>
        <w:szCs w:val="18"/>
      </w:rPr>
      <w:t>-12-06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66B9F"/>
    <w:rsid w:val="00071F07"/>
    <w:rsid w:val="0007759D"/>
    <w:rsid w:val="000777AB"/>
    <w:rsid w:val="00077F46"/>
    <w:rsid w:val="000879AA"/>
    <w:rsid w:val="00090FB1"/>
    <w:rsid w:val="00096186"/>
    <w:rsid w:val="000A72E4"/>
    <w:rsid w:val="000B0E2F"/>
    <w:rsid w:val="000B2430"/>
    <w:rsid w:val="000D0B30"/>
    <w:rsid w:val="000D2E4B"/>
    <w:rsid w:val="000E21F1"/>
    <w:rsid w:val="000F703E"/>
    <w:rsid w:val="00105179"/>
    <w:rsid w:val="00120E86"/>
    <w:rsid w:val="001246A7"/>
    <w:rsid w:val="00125DE9"/>
    <w:rsid w:val="001332E0"/>
    <w:rsid w:val="001341ED"/>
    <w:rsid w:val="00134DE7"/>
    <w:rsid w:val="00185354"/>
    <w:rsid w:val="001854DC"/>
    <w:rsid w:val="00186795"/>
    <w:rsid w:val="001869A4"/>
    <w:rsid w:val="00194D09"/>
    <w:rsid w:val="001A7D5C"/>
    <w:rsid w:val="001B60AA"/>
    <w:rsid w:val="001B63C8"/>
    <w:rsid w:val="001C1972"/>
    <w:rsid w:val="001C421F"/>
    <w:rsid w:val="001D360D"/>
    <w:rsid w:val="001E58B2"/>
    <w:rsid w:val="00233179"/>
    <w:rsid w:val="00245B8B"/>
    <w:rsid w:val="00261A8D"/>
    <w:rsid w:val="00264ADC"/>
    <w:rsid w:val="00271A64"/>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41CF"/>
    <w:rsid w:val="00347F5E"/>
    <w:rsid w:val="00353C98"/>
    <w:rsid w:val="00362A1C"/>
    <w:rsid w:val="00371A20"/>
    <w:rsid w:val="003821B4"/>
    <w:rsid w:val="00382CF3"/>
    <w:rsid w:val="00387D52"/>
    <w:rsid w:val="003A6EE8"/>
    <w:rsid w:val="003A7CEA"/>
    <w:rsid w:val="003B1780"/>
    <w:rsid w:val="003F0BD3"/>
    <w:rsid w:val="003F278A"/>
    <w:rsid w:val="003F7A02"/>
    <w:rsid w:val="00400954"/>
    <w:rsid w:val="0042023F"/>
    <w:rsid w:val="0042194F"/>
    <w:rsid w:val="00422EA5"/>
    <w:rsid w:val="00422EFA"/>
    <w:rsid w:val="0042791F"/>
    <w:rsid w:val="00440055"/>
    <w:rsid w:val="004456ED"/>
    <w:rsid w:val="0048045A"/>
    <w:rsid w:val="004841B8"/>
    <w:rsid w:val="004930F2"/>
    <w:rsid w:val="004B0F1C"/>
    <w:rsid w:val="004C3CD1"/>
    <w:rsid w:val="004D495C"/>
    <w:rsid w:val="004E2984"/>
    <w:rsid w:val="004F2EE6"/>
    <w:rsid w:val="00502DBA"/>
    <w:rsid w:val="005040C4"/>
    <w:rsid w:val="00507637"/>
    <w:rsid w:val="00507852"/>
    <w:rsid w:val="00514DBF"/>
    <w:rsid w:val="00537FC0"/>
    <w:rsid w:val="00550921"/>
    <w:rsid w:val="00563712"/>
    <w:rsid w:val="00573631"/>
    <w:rsid w:val="00573C0B"/>
    <w:rsid w:val="005768D7"/>
    <w:rsid w:val="00576CFA"/>
    <w:rsid w:val="00584EEF"/>
    <w:rsid w:val="0058556D"/>
    <w:rsid w:val="00592AF2"/>
    <w:rsid w:val="005947AD"/>
    <w:rsid w:val="00597748"/>
    <w:rsid w:val="005979E8"/>
    <w:rsid w:val="005C7B9C"/>
    <w:rsid w:val="005D0AF4"/>
    <w:rsid w:val="005E54BD"/>
    <w:rsid w:val="005F12D1"/>
    <w:rsid w:val="005F6CCA"/>
    <w:rsid w:val="00605AA3"/>
    <w:rsid w:val="006104AF"/>
    <w:rsid w:val="00621893"/>
    <w:rsid w:val="00625E22"/>
    <w:rsid w:val="006351E1"/>
    <w:rsid w:val="006447B1"/>
    <w:rsid w:val="00654C92"/>
    <w:rsid w:val="00662775"/>
    <w:rsid w:val="006852FC"/>
    <w:rsid w:val="00697D64"/>
    <w:rsid w:val="006A5FC4"/>
    <w:rsid w:val="006B40AB"/>
    <w:rsid w:val="006B5DC5"/>
    <w:rsid w:val="006C4BFD"/>
    <w:rsid w:val="006C7D30"/>
    <w:rsid w:val="006E3C08"/>
    <w:rsid w:val="006F2571"/>
    <w:rsid w:val="00700ACF"/>
    <w:rsid w:val="00712487"/>
    <w:rsid w:val="007432BE"/>
    <w:rsid w:val="007530CA"/>
    <w:rsid w:val="00756D68"/>
    <w:rsid w:val="007578D9"/>
    <w:rsid w:val="00757E8A"/>
    <w:rsid w:val="00763E43"/>
    <w:rsid w:val="00764EB5"/>
    <w:rsid w:val="00777A95"/>
    <w:rsid w:val="00782416"/>
    <w:rsid w:val="00787490"/>
    <w:rsid w:val="007B0364"/>
    <w:rsid w:val="007D0981"/>
    <w:rsid w:val="007D1929"/>
    <w:rsid w:val="007E3952"/>
    <w:rsid w:val="0080396D"/>
    <w:rsid w:val="00803CF1"/>
    <w:rsid w:val="008104BB"/>
    <w:rsid w:val="00822DE8"/>
    <w:rsid w:val="0082301B"/>
    <w:rsid w:val="008249C5"/>
    <w:rsid w:val="008347AC"/>
    <w:rsid w:val="008526F9"/>
    <w:rsid w:val="0085285E"/>
    <w:rsid w:val="00853023"/>
    <w:rsid w:val="008534D4"/>
    <w:rsid w:val="00857A39"/>
    <w:rsid w:val="008620DE"/>
    <w:rsid w:val="00874420"/>
    <w:rsid w:val="00874C69"/>
    <w:rsid w:val="00881E28"/>
    <w:rsid w:val="00885730"/>
    <w:rsid w:val="00894C4B"/>
    <w:rsid w:val="008A12E3"/>
    <w:rsid w:val="008A42FA"/>
    <w:rsid w:val="008A7E67"/>
    <w:rsid w:val="008B0AC7"/>
    <w:rsid w:val="008C2335"/>
    <w:rsid w:val="008C5864"/>
    <w:rsid w:val="008C67C1"/>
    <w:rsid w:val="008D1D39"/>
    <w:rsid w:val="008E4728"/>
    <w:rsid w:val="008F07D2"/>
    <w:rsid w:val="00907F8D"/>
    <w:rsid w:val="00917851"/>
    <w:rsid w:val="00917F65"/>
    <w:rsid w:val="009311E7"/>
    <w:rsid w:val="00942694"/>
    <w:rsid w:val="00944982"/>
    <w:rsid w:val="00976592"/>
    <w:rsid w:val="009A7E3A"/>
    <w:rsid w:val="009A7EFE"/>
    <w:rsid w:val="009B11E3"/>
    <w:rsid w:val="009B1265"/>
    <w:rsid w:val="009B4A15"/>
    <w:rsid w:val="009B5693"/>
    <w:rsid w:val="009C61A2"/>
    <w:rsid w:val="009C78E4"/>
    <w:rsid w:val="009D687E"/>
    <w:rsid w:val="009D6B41"/>
    <w:rsid w:val="009F6DE7"/>
    <w:rsid w:val="00A070D6"/>
    <w:rsid w:val="00A10583"/>
    <w:rsid w:val="00A33040"/>
    <w:rsid w:val="00A37FCB"/>
    <w:rsid w:val="00A54863"/>
    <w:rsid w:val="00A61D74"/>
    <w:rsid w:val="00A61DDB"/>
    <w:rsid w:val="00A8688B"/>
    <w:rsid w:val="00A91163"/>
    <w:rsid w:val="00A9286F"/>
    <w:rsid w:val="00A96255"/>
    <w:rsid w:val="00AB285B"/>
    <w:rsid w:val="00AE393E"/>
    <w:rsid w:val="00AE58AE"/>
    <w:rsid w:val="00AF5552"/>
    <w:rsid w:val="00AF5CB4"/>
    <w:rsid w:val="00AF5ED1"/>
    <w:rsid w:val="00AF71D6"/>
    <w:rsid w:val="00B216EE"/>
    <w:rsid w:val="00B3175F"/>
    <w:rsid w:val="00B31E2C"/>
    <w:rsid w:val="00B329B0"/>
    <w:rsid w:val="00B402D8"/>
    <w:rsid w:val="00B41405"/>
    <w:rsid w:val="00B4237C"/>
    <w:rsid w:val="00B42FE8"/>
    <w:rsid w:val="00B52AFD"/>
    <w:rsid w:val="00B54077"/>
    <w:rsid w:val="00B6421F"/>
    <w:rsid w:val="00B8087E"/>
    <w:rsid w:val="00BB646E"/>
    <w:rsid w:val="00BD1BA1"/>
    <w:rsid w:val="00BF7DA2"/>
    <w:rsid w:val="00C00AE6"/>
    <w:rsid w:val="00C019E5"/>
    <w:rsid w:val="00C148E4"/>
    <w:rsid w:val="00C17E20"/>
    <w:rsid w:val="00C35BC4"/>
    <w:rsid w:val="00C43F5B"/>
    <w:rsid w:val="00CB4371"/>
    <w:rsid w:val="00CC516D"/>
    <w:rsid w:val="00CDC75B"/>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71DB1"/>
    <w:rsid w:val="00E81D5B"/>
    <w:rsid w:val="00E907DC"/>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B71E7"/>
    <w:rsid w:val="00FC18DA"/>
    <w:rsid w:val="00FC3917"/>
    <w:rsid w:val="00FC7804"/>
    <w:rsid w:val="00FD60DA"/>
    <w:rsid w:val="00FF07B4"/>
    <w:rsid w:val="05B9C47D"/>
    <w:rsid w:val="0C479FF1"/>
    <w:rsid w:val="2B85C77E"/>
    <w:rsid w:val="37BB7AAE"/>
    <w:rsid w:val="4F885A45"/>
    <w:rsid w:val="77BB8BE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6A5FC4"/>
  </w:style>
  <w:style w:type="character" w:customStyle="1" w:styleId="eop">
    <w:name w:val="eop"/>
    <w:basedOn w:val="DefaultParagraphFont"/>
    <w:rsid w:val="006A5FC4"/>
  </w:style>
  <w:style w:type="paragraph" w:customStyle="1" w:styleId="paragraph">
    <w:name w:val="paragraph"/>
    <w:basedOn w:val="Normal"/>
    <w:rsid w:val="006A5FC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cxw172951964">
    <w:name w:val="scxw172951964"/>
    <w:basedOn w:val="DefaultParagraphFont"/>
    <w:rsid w:val="006A5FC4"/>
  </w:style>
  <w:style w:type="character" w:styleId="FollowedHyperlink">
    <w:name w:val="FollowedHyperlink"/>
    <w:basedOn w:val="DefaultParagraphFont"/>
    <w:uiPriority w:val="99"/>
    <w:semiHidden/>
    <w:unhideWhenUsed/>
    <w:rsid w:val="00537FC0"/>
    <w:rPr>
      <w:color w:val="800080" w:themeColor="followedHyperlink"/>
      <w:u w:val="single"/>
    </w:rPr>
  </w:style>
  <w:style w:type="paragraph" w:styleId="Revision">
    <w:name w:val="Revision"/>
    <w:hidden/>
    <w:uiPriority w:val="99"/>
    <w:semiHidden/>
    <w:rsid w:val="00066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5594">
      <w:bodyDiv w:val="1"/>
      <w:marLeft w:val="0"/>
      <w:marRight w:val="0"/>
      <w:marTop w:val="0"/>
      <w:marBottom w:val="0"/>
      <w:divBdr>
        <w:top w:val="none" w:sz="0" w:space="0" w:color="auto"/>
        <w:left w:val="none" w:sz="0" w:space="0" w:color="auto"/>
        <w:bottom w:val="none" w:sz="0" w:space="0" w:color="auto"/>
        <w:right w:val="none" w:sz="0" w:space="0" w:color="auto"/>
      </w:divBdr>
      <w:divsChild>
        <w:div w:id="806582857">
          <w:marLeft w:val="0"/>
          <w:marRight w:val="0"/>
          <w:marTop w:val="0"/>
          <w:marBottom w:val="0"/>
          <w:divBdr>
            <w:top w:val="none" w:sz="0" w:space="0" w:color="auto"/>
            <w:left w:val="none" w:sz="0" w:space="0" w:color="auto"/>
            <w:bottom w:val="none" w:sz="0" w:space="0" w:color="auto"/>
            <w:right w:val="none" w:sz="0" w:space="0" w:color="auto"/>
          </w:divBdr>
        </w:div>
        <w:div w:id="1730882147">
          <w:marLeft w:val="0"/>
          <w:marRight w:val="0"/>
          <w:marTop w:val="0"/>
          <w:marBottom w:val="0"/>
          <w:divBdr>
            <w:top w:val="none" w:sz="0" w:space="0" w:color="auto"/>
            <w:left w:val="none" w:sz="0" w:space="0" w:color="auto"/>
            <w:bottom w:val="none" w:sz="0" w:space="0" w:color="auto"/>
            <w:right w:val="none" w:sz="0" w:space="0" w:color="auto"/>
          </w:divBdr>
        </w:div>
        <w:div w:id="814489076">
          <w:marLeft w:val="0"/>
          <w:marRight w:val="0"/>
          <w:marTop w:val="0"/>
          <w:marBottom w:val="0"/>
          <w:divBdr>
            <w:top w:val="none" w:sz="0" w:space="0" w:color="auto"/>
            <w:left w:val="none" w:sz="0" w:space="0" w:color="auto"/>
            <w:bottom w:val="none" w:sz="0" w:space="0" w:color="auto"/>
            <w:right w:val="none" w:sz="0" w:space="0" w:color="auto"/>
          </w:divBdr>
        </w:div>
        <w:div w:id="552667279">
          <w:marLeft w:val="0"/>
          <w:marRight w:val="0"/>
          <w:marTop w:val="0"/>
          <w:marBottom w:val="0"/>
          <w:divBdr>
            <w:top w:val="none" w:sz="0" w:space="0" w:color="auto"/>
            <w:left w:val="none" w:sz="0" w:space="0" w:color="auto"/>
            <w:bottom w:val="none" w:sz="0" w:space="0" w:color="auto"/>
            <w:right w:val="none" w:sz="0" w:space="0" w:color="auto"/>
          </w:divBdr>
        </w:div>
        <w:div w:id="1871649446">
          <w:marLeft w:val="0"/>
          <w:marRight w:val="0"/>
          <w:marTop w:val="0"/>
          <w:marBottom w:val="0"/>
          <w:divBdr>
            <w:top w:val="none" w:sz="0" w:space="0" w:color="auto"/>
            <w:left w:val="none" w:sz="0" w:space="0" w:color="auto"/>
            <w:bottom w:val="none" w:sz="0" w:space="0" w:color="auto"/>
            <w:right w:val="none" w:sz="0" w:space="0" w:color="auto"/>
          </w:divBdr>
        </w:div>
        <w:div w:id="1391612108">
          <w:marLeft w:val="0"/>
          <w:marRight w:val="0"/>
          <w:marTop w:val="0"/>
          <w:marBottom w:val="0"/>
          <w:divBdr>
            <w:top w:val="none" w:sz="0" w:space="0" w:color="auto"/>
            <w:left w:val="none" w:sz="0" w:space="0" w:color="auto"/>
            <w:bottom w:val="none" w:sz="0" w:space="0" w:color="auto"/>
            <w:right w:val="none" w:sz="0" w:space="0" w:color="auto"/>
          </w:divBdr>
        </w:div>
        <w:div w:id="1363945812">
          <w:marLeft w:val="0"/>
          <w:marRight w:val="0"/>
          <w:marTop w:val="0"/>
          <w:marBottom w:val="0"/>
          <w:divBdr>
            <w:top w:val="none" w:sz="0" w:space="0" w:color="auto"/>
            <w:left w:val="none" w:sz="0" w:space="0" w:color="auto"/>
            <w:bottom w:val="none" w:sz="0" w:space="0" w:color="auto"/>
            <w:right w:val="none" w:sz="0" w:space="0" w:color="auto"/>
          </w:divBdr>
        </w:div>
        <w:div w:id="2096508590">
          <w:marLeft w:val="0"/>
          <w:marRight w:val="0"/>
          <w:marTop w:val="0"/>
          <w:marBottom w:val="0"/>
          <w:divBdr>
            <w:top w:val="none" w:sz="0" w:space="0" w:color="auto"/>
            <w:left w:val="none" w:sz="0" w:space="0" w:color="auto"/>
            <w:bottom w:val="none" w:sz="0" w:space="0" w:color="auto"/>
            <w:right w:val="none" w:sz="0" w:space="0" w:color="auto"/>
          </w:divBdr>
        </w:div>
        <w:div w:id="1914201002">
          <w:marLeft w:val="0"/>
          <w:marRight w:val="0"/>
          <w:marTop w:val="0"/>
          <w:marBottom w:val="0"/>
          <w:divBdr>
            <w:top w:val="none" w:sz="0" w:space="0" w:color="auto"/>
            <w:left w:val="none" w:sz="0" w:space="0" w:color="auto"/>
            <w:bottom w:val="none" w:sz="0" w:space="0" w:color="auto"/>
            <w:right w:val="none" w:sz="0" w:space="0" w:color="auto"/>
          </w:divBdr>
        </w:div>
        <w:div w:id="338898636">
          <w:marLeft w:val="0"/>
          <w:marRight w:val="0"/>
          <w:marTop w:val="0"/>
          <w:marBottom w:val="0"/>
          <w:divBdr>
            <w:top w:val="none" w:sz="0" w:space="0" w:color="auto"/>
            <w:left w:val="none" w:sz="0" w:space="0" w:color="auto"/>
            <w:bottom w:val="none" w:sz="0" w:space="0" w:color="auto"/>
            <w:right w:val="none" w:sz="0" w:space="0" w:color="auto"/>
          </w:divBdr>
        </w:div>
        <w:div w:id="1811900279">
          <w:marLeft w:val="0"/>
          <w:marRight w:val="0"/>
          <w:marTop w:val="0"/>
          <w:marBottom w:val="0"/>
          <w:divBdr>
            <w:top w:val="none" w:sz="0" w:space="0" w:color="auto"/>
            <w:left w:val="none" w:sz="0" w:space="0" w:color="auto"/>
            <w:bottom w:val="none" w:sz="0" w:space="0" w:color="auto"/>
            <w:right w:val="none" w:sz="0" w:space="0" w:color="auto"/>
          </w:divBdr>
        </w:div>
        <w:div w:id="1979914333">
          <w:marLeft w:val="0"/>
          <w:marRight w:val="0"/>
          <w:marTop w:val="0"/>
          <w:marBottom w:val="0"/>
          <w:divBdr>
            <w:top w:val="none" w:sz="0" w:space="0" w:color="auto"/>
            <w:left w:val="none" w:sz="0" w:space="0" w:color="auto"/>
            <w:bottom w:val="none" w:sz="0" w:space="0" w:color="auto"/>
            <w:right w:val="none" w:sz="0" w:space="0" w:color="auto"/>
          </w:divBdr>
        </w:div>
        <w:div w:id="1209613313">
          <w:marLeft w:val="0"/>
          <w:marRight w:val="0"/>
          <w:marTop w:val="0"/>
          <w:marBottom w:val="0"/>
          <w:divBdr>
            <w:top w:val="none" w:sz="0" w:space="0" w:color="auto"/>
            <w:left w:val="none" w:sz="0" w:space="0" w:color="auto"/>
            <w:bottom w:val="none" w:sz="0" w:space="0" w:color="auto"/>
            <w:right w:val="none" w:sz="0" w:space="0" w:color="auto"/>
          </w:divBdr>
        </w:div>
      </w:divsChild>
    </w:div>
    <w:div w:id="457843493">
      <w:bodyDiv w:val="1"/>
      <w:marLeft w:val="0"/>
      <w:marRight w:val="0"/>
      <w:marTop w:val="0"/>
      <w:marBottom w:val="0"/>
      <w:divBdr>
        <w:top w:val="none" w:sz="0" w:space="0" w:color="auto"/>
        <w:left w:val="none" w:sz="0" w:space="0" w:color="auto"/>
        <w:bottom w:val="none" w:sz="0" w:space="0" w:color="auto"/>
        <w:right w:val="none" w:sz="0" w:space="0" w:color="auto"/>
      </w:divBdr>
      <w:divsChild>
        <w:div w:id="565264448">
          <w:marLeft w:val="0"/>
          <w:marRight w:val="0"/>
          <w:marTop w:val="0"/>
          <w:marBottom w:val="0"/>
          <w:divBdr>
            <w:top w:val="none" w:sz="0" w:space="0" w:color="auto"/>
            <w:left w:val="none" w:sz="0" w:space="0" w:color="auto"/>
            <w:bottom w:val="none" w:sz="0" w:space="0" w:color="auto"/>
            <w:right w:val="none" w:sz="0" w:space="0" w:color="auto"/>
          </w:divBdr>
        </w:div>
        <w:div w:id="2027556459">
          <w:marLeft w:val="0"/>
          <w:marRight w:val="0"/>
          <w:marTop w:val="0"/>
          <w:marBottom w:val="0"/>
          <w:divBdr>
            <w:top w:val="none" w:sz="0" w:space="0" w:color="auto"/>
            <w:left w:val="none" w:sz="0" w:space="0" w:color="auto"/>
            <w:bottom w:val="none" w:sz="0" w:space="0" w:color="auto"/>
            <w:right w:val="none" w:sz="0" w:space="0" w:color="auto"/>
          </w:divBdr>
        </w:div>
      </w:divsChild>
    </w:div>
    <w:div w:id="498815067">
      <w:bodyDiv w:val="1"/>
      <w:marLeft w:val="0"/>
      <w:marRight w:val="0"/>
      <w:marTop w:val="0"/>
      <w:marBottom w:val="0"/>
      <w:divBdr>
        <w:top w:val="none" w:sz="0" w:space="0" w:color="auto"/>
        <w:left w:val="none" w:sz="0" w:space="0" w:color="auto"/>
        <w:bottom w:val="none" w:sz="0" w:space="0" w:color="auto"/>
        <w:right w:val="none" w:sz="0" w:space="0" w:color="auto"/>
      </w:divBdr>
      <w:divsChild>
        <w:div w:id="1054231189">
          <w:marLeft w:val="0"/>
          <w:marRight w:val="0"/>
          <w:marTop w:val="0"/>
          <w:marBottom w:val="0"/>
          <w:divBdr>
            <w:top w:val="none" w:sz="0" w:space="0" w:color="auto"/>
            <w:left w:val="none" w:sz="0" w:space="0" w:color="auto"/>
            <w:bottom w:val="none" w:sz="0" w:space="0" w:color="auto"/>
            <w:right w:val="none" w:sz="0" w:space="0" w:color="auto"/>
          </w:divBdr>
        </w:div>
        <w:div w:id="1125808986">
          <w:marLeft w:val="0"/>
          <w:marRight w:val="0"/>
          <w:marTop w:val="0"/>
          <w:marBottom w:val="0"/>
          <w:divBdr>
            <w:top w:val="none" w:sz="0" w:space="0" w:color="auto"/>
            <w:left w:val="none" w:sz="0" w:space="0" w:color="auto"/>
            <w:bottom w:val="none" w:sz="0" w:space="0" w:color="auto"/>
            <w:right w:val="none" w:sz="0" w:space="0" w:color="auto"/>
          </w:divBdr>
        </w:div>
        <w:div w:id="1258831168">
          <w:marLeft w:val="0"/>
          <w:marRight w:val="0"/>
          <w:marTop w:val="0"/>
          <w:marBottom w:val="0"/>
          <w:divBdr>
            <w:top w:val="none" w:sz="0" w:space="0" w:color="auto"/>
            <w:left w:val="none" w:sz="0" w:space="0" w:color="auto"/>
            <w:bottom w:val="none" w:sz="0" w:space="0" w:color="auto"/>
            <w:right w:val="none" w:sz="0" w:space="0" w:color="auto"/>
          </w:divBdr>
        </w:div>
        <w:div w:id="1788037305">
          <w:marLeft w:val="0"/>
          <w:marRight w:val="0"/>
          <w:marTop w:val="0"/>
          <w:marBottom w:val="0"/>
          <w:divBdr>
            <w:top w:val="none" w:sz="0" w:space="0" w:color="auto"/>
            <w:left w:val="none" w:sz="0" w:space="0" w:color="auto"/>
            <w:bottom w:val="none" w:sz="0" w:space="0" w:color="auto"/>
            <w:right w:val="none" w:sz="0" w:space="0" w:color="auto"/>
          </w:divBdr>
        </w:div>
        <w:div w:id="236088081">
          <w:marLeft w:val="0"/>
          <w:marRight w:val="0"/>
          <w:marTop w:val="0"/>
          <w:marBottom w:val="0"/>
          <w:divBdr>
            <w:top w:val="none" w:sz="0" w:space="0" w:color="auto"/>
            <w:left w:val="none" w:sz="0" w:space="0" w:color="auto"/>
            <w:bottom w:val="none" w:sz="0" w:space="0" w:color="auto"/>
            <w:right w:val="none" w:sz="0" w:space="0" w:color="auto"/>
          </w:divBdr>
        </w:div>
      </w:divsChild>
    </w:div>
    <w:div w:id="1016612684">
      <w:bodyDiv w:val="1"/>
      <w:marLeft w:val="0"/>
      <w:marRight w:val="0"/>
      <w:marTop w:val="0"/>
      <w:marBottom w:val="0"/>
      <w:divBdr>
        <w:top w:val="none" w:sz="0" w:space="0" w:color="auto"/>
        <w:left w:val="none" w:sz="0" w:space="0" w:color="auto"/>
        <w:bottom w:val="none" w:sz="0" w:space="0" w:color="auto"/>
        <w:right w:val="none" w:sz="0" w:space="0" w:color="auto"/>
      </w:divBdr>
      <w:divsChild>
        <w:div w:id="594484802">
          <w:marLeft w:val="0"/>
          <w:marRight w:val="0"/>
          <w:marTop w:val="0"/>
          <w:marBottom w:val="0"/>
          <w:divBdr>
            <w:top w:val="none" w:sz="0" w:space="0" w:color="auto"/>
            <w:left w:val="none" w:sz="0" w:space="0" w:color="auto"/>
            <w:bottom w:val="none" w:sz="0" w:space="0" w:color="auto"/>
            <w:right w:val="none" w:sz="0" w:space="0" w:color="auto"/>
          </w:divBdr>
        </w:div>
        <w:div w:id="1215234868">
          <w:marLeft w:val="0"/>
          <w:marRight w:val="0"/>
          <w:marTop w:val="0"/>
          <w:marBottom w:val="0"/>
          <w:divBdr>
            <w:top w:val="none" w:sz="0" w:space="0" w:color="auto"/>
            <w:left w:val="none" w:sz="0" w:space="0" w:color="auto"/>
            <w:bottom w:val="none" w:sz="0" w:space="0" w:color="auto"/>
            <w:right w:val="none" w:sz="0" w:space="0" w:color="auto"/>
          </w:divBdr>
        </w:div>
        <w:div w:id="1569458214">
          <w:marLeft w:val="0"/>
          <w:marRight w:val="0"/>
          <w:marTop w:val="0"/>
          <w:marBottom w:val="0"/>
          <w:divBdr>
            <w:top w:val="none" w:sz="0" w:space="0" w:color="auto"/>
            <w:left w:val="none" w:sz="0" w:space="0" w:color="auto"/>
            <w:bottom w:val="none" w:sz="0" w:space="0" w:color="auto"/>
            <w:right w:val="none" w:sz="0" w:space="0" w:color="auto"/>
          </w:divBdr>
        </w:div>
        <w:div w:id="859007696">
          <w:marLeft w:val="0"/>
          <w:marRight w:val="0"/>
          <w:marTop w:val="0"/>
          <w:marBottom w:val="0"/>
          <w:divBdr>
            <w:top w:val="none" w:sz="0" w:space="0" w:color="auto"/>
            <w:left w:val="none" w:sz="0" w:space="0" w:color="auto"/>
            <w:bottom w:val="none" w:sz="0" w:space="0" w:color="auto"/>
            <w:right w:val="none" w:sz="0" w:space="0" w:color="auto"/>
          </w:divBdr>
        </w:div>
        <w:div w:id="1575093069">
          <w:marLeft w:val="0"/>
          <w:marRight w:val="0"/>
          <w:marTop w:val="0"/>
          <w:marBottom w:val="0"/>
          <w:divBdr>
            <w:top w:val="none" w:sz="0" w:space="0" w:color="auto"/>
            <w:left w:val="none" w:sz="0" w:space="0" w:color="auto"/>
            <w:bottom w:val="none" w:sz="0" w:space="0" w:color="auto"/>
            <w:right w:val="none" w:sz="0" w:space="0" w:color="auto"/>
          </w:divBdr>
        </w:div>
        <w:div w:id="452022040">
          <w:marLeft w:val="0"/>
          <w:marRight w:val="0"/>
          <w:marTop w:val="0"/>
          <w:marBottom w:val="0"/>
          <w:divBdr>
            <w:top w:val="none" w:sz="0" w:space="0" w:color="auto"/>
            <w:left w:val="none" w:sz="0" w:space="0" w:color="auto"/>
            <w:bottom w:val="none" w:sz="0" w:space="0" w:color="auto"/>
            <w:right w:val="none" w:sz="0" w:space="0" w:color="auto"/>
          </w:divBdr>
        </w:div>
        <w:div w:id="1756586227">
          <w:marLeft w:val="0"/>
          <w:marRight w:val="0"/>
          <w:marTop w:val="0"/>
          <w:marBottom w:val="0"/>
          <w:divBdr>
            <w:top w:val="none" w:sz="0" w:space="0" w:color="auto"/>
            <w:left w:val="none" w:sz="0" w:space="0" w:color="auto"/>
            <w:bottom w:val="none" w:sz="0" w:space="0" w:color="auto"/>
            <w:right w:val="none" w:sz="0" w:space="0" w:color="auto"/>
          </w:divBdr>
        </w:div>
        <w:div w:id="1727219645">
          <w:marLeft w:val="0"/>
          <w:marRight w:val="0"/>
          <w:marTop w:val="0"/>
          <w:marBottom w:val="0"/>
          <w:divBdr>
            <w:top w:val="none" w:sz="0" w:space="0" w:color="auto"/>
            <w:left w:val="none" w:sz="0" w:space="0" w:color="auto"/>
            <w:bottom w:val="none" w:sz="0" w:space="0" w:color="auto"/>
            <w:right w:val="none" w:sz="0" w:space="0" w:color="auto"/>
          </w:divBdr>
        </w:div>
        <w:div w:id="769202041">
          <w:marLeft w:val="0"/>
          <w:marRight w:val="0"/>
          <w:marTop w:val="0"/>
          <w:marBottom w:val="0"/>
          <w:divBdr>
            <w:top w:val="none" w:sz="0" w:space="0" w:color="auto"/>
            <w:left w:val="none" w:sz="0" w:space="0" w:color="auto"/>
            <w:bottom w:val="none" w:sz="0" w:space="0" w:color="auto"/>
            <w:right w:val="none" w:sz="0" w:space="0" w:color="auto"/>
          </w:divBdr>
        </w:div>
        <w:div w:id="228736712">
          <w:marLeft w:val="0"/>
          <w:marRight w:val="0"/>
          <w:marTop w:val="0"/>
          <w:marBottom w:val="0"/>
          <w:divBdr>
            <w:top w:val="none" w:sz="0" w:space="0" w:color="auto"/>
            <w:left w:val="none" w:sz="0" w:space="0" w:color="auto"/>
            <w:bottom w:val="none" w:sz="0" w:space="0" w:color="auto"/>
            <w:right w:val="none" w:sz="0" w:space="0" w:color="auto"/>
          </w:divBdr>
        </w:div>
        <w:div w:id="104539190">
          <w:marLeft w:val="0"/>
          <w:marRight w:val="0"/>
          <w:marTop w:val="0"/>
          <w:marBottom w:val="0"/>
          <w:divBdr>
            <w:top w:val="none" w:sz="0" w:space="0" w:color="auto"/>
            <w:left w:val="none" w:sz="0" w:space="0" w:color="auto"/>
            <w:bottom w:val="none" w:sz="0" w:space="0" w:color="auto"/>
            <w:right w:val="none" w:sz="0" w:space="0" w:color="auto"/>
          </w:divBdr>
        </w:div>
        <w:div w:id="1351491691">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7962554">
      <w:bodyDiv w:val="1"/>
      <w:marLeft w:val="0"/>
      <w:marRight w:val="0"/>
      <w:marTop w:val="0"/>
      <w:marBottom w:val="0"/>
      <w:divBdr>
        <w:top w:val="none" w:sz="0" w:space="0" w:color="auto"/>
        <w:left w:val="none" w:sz="0" w:space="0" w:color="auto"/>
        <w:bottom w:val="none" w:sz="0" w:space="0" w:color="auto"/>
        <w:right w:val="none" w:sz="0" w:space="0" w:color="auto"/>
      </w:divBdr>
      <w:divsChild>
        <w:div w:id="2167412">
          <w:marLeft w:val="0"/>
          <w:marRight w:val="0"/>
          <w:marTop w:val="0"/>
          <w:marBottom w:val="0"/>
          <w:divBdr>
            <w:top w:val="none" w:sz="0" w:space="0" w:color="auto"/>
            <w:left w:val="none" w:sz="0" w:space="0" w:color="auto"/>
            <w:bottom w:val="none" w:sz="0" w:space="0" w:color="auto"/>
            <w:right w:val="none" w:sz="0" w:space="0" w:color="auto"/>
          </w:divBdr>
        </w:div>
        <w:div w:id="1728261171">
          <w:marLeft w:val="0"/>
          <w:marRight w:val="0"/>
          <w:marTop w:val="0"/>
          <w:marBottom w:val="0"/>
          <w:divBdr>
            <w:top w:val="none" w:sz="0" w:space="0" w:color="auto"/>
            <w:left w:val="none" w:sz="0" w:space="0" w:color="auto"/>
            <w:bottom w:val="none" w:sz="0" w:space="0" w:color="auto"/>
            <w:right w:val="none" w:sz="0" w:space="0" w:color="auto"/>
          </w:divBdr>
        </w:div>
      </w:divsChild>
    </w:div>
    <w:div w:id="1302887738">
      <w:bodyDiv w:val="1"/>
      <w:marLeft w:val="0"/>
      <w:marRight w:val="0"/>
      <w:marTop w:val="0"/>
      <w:marBottom w:val="0"/>
      <w:divBdr>
        <w:top w:val="none" w:sz="0" w:space="0" w:color="auto"/>
        <w:left w:val="none" w:sz="0" w:space="0" w:color="auto"/>
        <w:bottom w:val="none" w:sz="0" w:space="0" w:color="auto"/>
        <w:right w:val="none" w:sz="0" w:space="0" w:color="auto"/>
      </w:divBdr>
      <w:divsChild>
        <w:div w:id="1182282320">
          <w:marLeft w:val="0"/>
          <w:marRight w:val="0"/>
          <w:marTop w:val="0"/>
          <w:marBottom w:val="0"/>
          <w:divBdr>
            <w:top w:val="none" w:sz="0" w:space="0" w:color="auto"/>
            <w:left w:val="none" w:sz="0" w:space="0" w:color="auto"/>
            <w:bottom w:val="none" w:sz="0" w:space="0" w:color="auto"/>
            <w:right w:val="none" w:sz="0" w:space="0" w:color="auto"/>
          </w:divBdr>
        </w:div>
        <w:div w:id="1353265694">
          <w:marLeft w:val="0"/>
          <w:marRight w:val="0"/>
          <w:marTop w:val="0"/>
          <w:marBottom w:val="0"/>
          <w:divBdr>
            <w:top w:val="none" w:sz="0" w:space="0" w:color="auto"/>
            <w:left w:val="none" w:sz="0" w:space="0" w:color="auto"/>
            <w:bottom w:val="none" w:sz="0" w:space="0" w:color="auto"/>
            <w:right w:val="none" w:sz="0" w:space="0" w:color="auto"/>
          </w:divBdr>
        </w:div>
        <w:div w:id="1337228266">
          <w:marLeft w:val="0"/>
          <w:marRight w:val="0"/>
          <w:marTop w:val="0"/>
          <w:marBottom w:val="0"/>
          <w:divBdr>
            <w:top w:val="none" w:sz="0" w:space="0" w:color="auto"/>
            <w:left w:val="none" w:sz="0" w:space="0" w:color="auto"/>
            <w:bottom w:val="none" w:sz="0" w:space="0" w:color="auto"/>
            <w:right w:val="none" w:sz="0" w:space="0" w:color="auto"/>
          </w:divBdr>
        </w:div>
        <w:div w:id="1596598259">
          <w:marLeft w:val="0"/>
          <w:marRight w:val="0"/>
          <w:marTop w:val="0"/>
          <w:marBottom w:val="0"/>
          <w:divBdr>
            <w:top w:val="none" w:sz="0" w:space="0" w:color="auto"/>
            <w:left w:val="none" w:sz="0" w:space="0" w:color="auto"/>
            <w:bottom w:val="none" w:sz="0" w:space="0" w:color="auto"/>
            <w:right w:val="none" w:sz="0" w:space="0" w:color="auto"/>
          </w:divBdr>
        </w:div>
        <w:div w:id="745880424">
          <w:marLeft w:val="0"/>
          <w:marRight w:val="0"/>
          <w:marTop w:val="0"/>
          <w:marBottom w:val="0"/>
          <w:divBdr>
            <w:top w:val="none" w:sz="0" w:space="0" w:color="auto"/>
            <w:left w:val="none" w:sz="0" w:space="0" w:color="auto"/>
            <w:bottom w:val="none" w:sz="0" w:space="0" w:color="auto"/>
            <w:right w:val="none" w:sz="0" w:space="0" w:color="auto"/>
          </w:divBdr>
        </w:div>
        <w:div w:id="821123178">
          <w:marLeft w:val="0"/>
          <w:marRight w:val="0"/>
          <w:marTop w:val="0"/>
          <w:marBottom w:val="0"/>
          <w:divBdr>
            <w:top w:val="none" w:sz="0" w:space="0" w:color="auto"/>
            <w:left w:val="none" w:sz="0" w:space="0" w:color="auto"/>
            <w:bottom w:val="none" w:sz="0" w:space="0" w:color="auto"/>
            <w:right w:val="none" w:sz="0" w:space="0" w:color="auto"/>
          </w:divBdr>
        </w:div>
        <w:div w:id="1957633489">
          <w:marLeft w:val="0"/>
          <w:marRight w:val="0"/>
          <w:marTop w:val="0"/>
          <w:marBottom w:val="0"/>
          <w:divBdr>
            <w:top w:val="none" w:sz="0" w:space="0" w:color="auto"/>
            <w:left w:val="none" w:sz="0" w:space="0" w:color="auto"/>
            <w:bottom w:val="none" w:sz="0" w:space="0" w:color="auto"/>
            <w:right w:val="none" w:sz="0" w:space="0" w:color="auto"/>
          </w:divBdr>
        </w:div>
        <w:div w:id="1778210824">
          <w:marLeft w:val="0"/>
          <w:marRight w:val="0"/>
          <w:marTop w:val="0"/>
          <w:marBottom w:val="0"/>
          <w:divBdr>
            <w:top w:val="none" w:sz="0" w:space="0" w:color="auto"/>
            <w:left w:val="none" w:sz="0" w:space="0" w:color="auto"/>
            <w:bottom w:val="none" w:sz="0" w:space="0" w:color="auto"/>
            <w:right w:val="none" w:sz="0" w:space="0" w:color="auto"/>
          </w:divBdr>
        </w:div>
        <w:div w:id="1411580579">
          <w:marLeft w:val="0"/>
          <w:marRight w:val="0"/>
          <w:marTop w:val="0"/>
          <w:marBottom w:val="0"/>
          <w:divBdr>
            <w:top w:val="none" w:sz="0" w:space="0" w:color="auto"/>
            <w:left w:val="none" w:sz="0" w:space="0" w:color="auto"/>
            <w:bottom w:val="none" w:sz="0" w:space="0" w:color="auto"/>
            <w:right w:val="none" w:sz="0" w:space="0" w:color="auto"/>
          </w:divBdr>
        </w:div>
        <w:div w:id="526794632">
          <w:marLeft w:val="0"/>
          <w:marRight w:val="0"/>
          <w:marTop w:val="0"/>
          <w:marBottom w:val="0"/>
          <w:divBdr>
            <w:top w:val="none" w:sz="0" w:space="0" w:color="auto"/>
            <w:left w:val="none" w:sz="0" w:space="0" w:color="auto"/>
            <w:bottom w:val="none" w:sz="0" w:space="0" w:color="auto"/>
            <w:right w:val="none" w:sz="0" w:space="0" w:color="auto"/>
          </w:divBdr>
        </w:div>
        <w:div w:id="1600287082">
          <w:marLeft w:val="0"/>
          <w:marRight w:val="0"/>
          <w:marTop w:val="0"/>
          <w:marBottom w:val="0"/>
          <w:divBdr>
            <w:top w:val="none" w:sz="0" w:space="0" w:color="auto"/>
            <w:left w:val="none" w:sz="0" w:space="0" w:color="auto"/>
            <w:bottom w:val="none" w:sz="0" w:space="0" w:color="auto"/>
            <w:right w:val="none" w:sz="0" w:space="0" w:color="auto"/>
          </w:divBdr>
        </w:div>
        <w:div w:id="449209586">
          <w:marLeft w:val="0"/>
          <w:marRight w:val="0"/>
          <w:marTop w:val="0"/>
          <w:marBottom w:val="0"/>
          <w:divBdr>
            <w:top w:val="none" w:sz="0" w:space="0" w:color="auto"/>
            <w:left w:val="none" w:sz="0" w:space="0" w:color="auto"/>
            <w:bottom w:val="none" w:sz="0" w:space="0" w:color="auto"/>
            <w:right w:val="none" w:sz="0" w:space="0" w:color="auto"/>
          </w:divBdr>
        </w:div>
        <w:div w:id="1114522727">
          <w:marLeft w:val="0"/>
          <w:marRight w:val="0"/>
          <w:marTop w:val="0"/>
          <w:marBottom w:val="0"/>
          <w:divBdr>
            <w:top w:val="none" w:sz="0" w:space="0" w:color="auto"/>
            <w:left w:val="none" w:sz="0" w:space="0" w:color="auto"/>
            <w:bottom w:val="none" w:sz="0" w:space="0" w:color="auto"/>
            <w:right w:val="none" w:sz="0" w:space="0" w:color="auto"/>
          </w:divBdr>
        </w:div>
        <w:div w:id="1183325323">
          <w:marLeft w:val="0"/>
          <w:marRight w:val="0"/>
          <w:marTop w:val="0"/>
          <w:marBottom w:val="0"/>
          <w:divBdr>
            <w:top w:val="none" w:sz="0" w:space="0" w:color="auto"/>
            <w:left w:val="none" w:sz="0" w:space="0" w:color="auto"/>
            <w:bottom w:val="none" w:sz="0" w:space="0" w:color="auto"/>
            <w:right w:val="none" w:sz="0" w:space="0" w:color="auto"/>
          </w:divBdr>
        </w:div>
        <w:div w:id="320693591">
          <w:marLeft w:val="0"/>
          <w:marRight w:val="0"/>
          <w:marTop w:val="0"/>
          <w:marBottom w:val="0"/>
          <w:divBdr>
            <w:top w:val="none" w:sz="0" w:space="0" w:color="auto"/>
            <w:left w:val="none" w:sz="0" w:space="0" w:color="auto"/>
            <w:bottom w:val="none" w:sz="0" w:space="0" w:color="auto"/>
            <w:right w:val="none" w:sz="0" w:space="0" w:color="auto"/>
          </w:divBdr>
        </w:div>
        <w:div w:id="1551500473">
          <w:marLeft w:val="0"/>
          <w:marRight w:val="0"/>
          <w:marTop w:val="0"/>
          <w:marBottom w:val="0"/>
          <w:divBdr>
            <w:top w:val="none" w:sz="0" w:space="0" w:color="auto"/>
            <w:left w:val="none" w:sz="0" w:space="0" w:color="auto"/>
            <w:bottom w:val="none" w:sz="0" w:space="0" w:color="auto"/>
            <w:right w:val="none" w:sz="0" w:space="0" w:color="auto"/>
          </w:divBdr>
        </w:div>
        <w:div w:id="1212040689">
          <w:marLeft w:val="0"/>
          <w:marRight w:val="0"/>
          <w:marTop w:val="0"/>
          <w:marBottom w:val="0"/>
          <w:divBdr>
            <w:top w:val="none" w:sz="0" w:space="0" w:color="auto"/>
            <w:left w:val="none" w:sz="0" w:space="0" w:color="auto"/>
            <w:bottom w:val="none" w:sz="0" w:space="0" w:color="auto"/>
            <w:right w:val="none" w:sz="0" w:space="0" w:color="auto"/>
          </w:divBdr>
        </w:div>
      </w:divsChild>
    </w:div>
    <w:div w:id="1452480397">
      <w:bodyDiv w:val="1"/>
      <w:marLeft w:val="0"/>
      <w:marRight w:val="0"/>
      <w:marTop w:val="0"/>
      <w:marBottom w:val="0"/>
      <w:divBdr>
        <w:top w:val="none" w:sz="0" w:space="0" w:color="auto"/>
        <w:left w:val="none" w:sz="0" w:space="0" w:color="auto"/>
        <w:bottom w:val="none" w:sz="0" w:space="0" w:color="auto"/>
        <w:right w:val="none" w:sz="0" w:space="0" w:color="auto"/>
      </w:divBdr>
      <w:divsChild>
        <w:div w:id="972104087">
          <w:marLeft w:val="0"/>
          <w:marRight w:val="0"/>
          <w:marTop w:val="0"/>
          <w:marBottom w:val="0"/>
          <w:divBdr>
            <w:top w:val="none" w:sz="0" w:space="0" w:color="auto"/>
            <w:left w:val="none" w:sz="0" w:space="0" w:color="auto"/>
            <w:bottom w:val="none" w:sz="0" w:space="0" w:color="auto"/>
            <w:right w:val="none" w:sz="0" w:space="0" w:color="auto"/>
          </w:divBdr>
        </w:div>
        <w:div w:id="1024867398">
          <w:marLeft w:val="0"/>
          <w:marRight w:val="0"/>
          <w:marTop w:val="0"/>
          <w:marBottom w:val="0"/>
          <w:divBdr>
            <w:top w:val="none" w:sz="0" w:space="0" w:color="auto"/>
            <w:left w:val="none" w:sz="0" w:space="0" w:color="auto"/>
            <w:bottom w:val="none" w:sz="0" w:space="0" w:color="auto"/>
            <w:right w:val="none" w:sz="0" w:space="0" w:color="auto"/>
          </w:divBdr>
        </w:div>
        <w:div w:id="1964338840">
          <w:marLeft w:val="0"/>
          <w:marRight w:val="0"/>
          <w:marTop w:val="0"/>
          <w:marBottom w:val="0"/>
          <w:divBdr>
            <w:top w:val="none" w:sz="0" w:space="0" w:color="auto"/>
            <w:left w:val="none" w:sz="0" w:space="0" w:color="auto"/>
            <w:bottom w:val="none" w:sz="0" w:space="0" w:color="auto"/>
            <w:right w:val="none" w:sz="0" w:space="0" w:color="auto"/>
          </w:divBdr>
        </w:div>
        <w:div w:id="1794254130">
          <w:marLeft w:val="0"/>
          <w:marRight w:val="0"/>
          <w:marTop w:val="0"/>
          <w:marBottom w:val="0"/>
          <w:divBdr>
            <w:top w:val="none" w:sz="0" w:space="0" w:color="auto"/>
            <w:left w:val="none" w:sz="0" w:space="0" w:color="auto"/>
            <w:bottom w:val="none" w:sz="0" w:space="0" w:color="auto"/>
            <w:right w:val="none" w:sz="0" w:space="0" w:color="auto"/>
          </w:divBdr>
        </w:div>
        <w:div w:id="2035501459">
          <w:marLeft w:val="0"/>
          <w:marRight w:val="0"/>
          <w:marTop w:val="0"/>
          <w:marBottom w:val="0"/>
          <w:divBdr>
            <w:top w:val="none" w:sz="0" w:space="0" w:color="auto"/>
            <w:left w:val="none" w:sz="0" w:space="0" w:color="auto"/>
            <w:bottom w:val="none" w:sz="0" w:space="0" w:color="auto"/>
            <w:right w:val="none" w:sz="0" w:space="0" w:color="auto"/>
          </w:divBdr>
        </w:div>
        <w:div w:id="993681578">
          <w:marLeft w:val="0"/>
          <w:marRight w:val="0"/>
          <w:marTop w:val="0"/>
          <w:marBottom w:val="0"/>
          <w:divBdr>
            <w:top w:val="none" w:sz="0" w:space="0" w:color="auto"/>
            <w:left w:val="none" w:sz="0" w:space="0" w:color="auto"/>
            <w:bottom w:val="none" w:sz="0" w:space="0" w:color="auto"/>
            <w:right w:val="none" w:sz="0" w:space="0" w:color="auto"/>
          </w:divBdr>
        </w:div>
        <w:div w:id="92479162">
          <w:marLeft w:val="0"/>
          <w:marRight w:val="0"/>
          <w:marTop w:val="0"/>
          <w:marBottom w:val="0"/>
          <w:divBdr>
            <w:top w:val="none" w:sz="0" w:space="0" w:color="auto"/>
            <w:left w:val="none" w:sz="0" w:space="0" w:color="auto"/>
            <w:bottom w:val="none" w:sz="0" w:space="0" w:color="auto"/>
            <w:right w:val="none" w:sz="0" w:space="0" w:color="auto"/>
          </w:divBdr>
        </w:div>
      </w:divsChild>
    </w:div>
    <w:div w:id="1473136828">
      <w:bodyDiv w:val="1"/>
      <w:marLeft w:val="0"/>
      <w:marRight w:val="0"/>
      <w:marTop w:val="0"/>
      <w:marBottom w:val="0"/>
      <w:divBdr>
        <w:top w:val="none" w:sz="0" w:space="0" w:color="auto"/>
        <w:left w:val="none" w:sz="0" w:space="0" w:color="auto"/>
        <w:bottom w:val="none" w:sz="0" w:space="0" w:color="auto"/>
        <w:right w:val="none" w:sz="0" w:space="0" w:color="auto"/>
      </w:divBdr>
      <w:divsChild>
        <w:div w:id="1151798974">
          <w:marLeft w:val="0"/>
          <w:marRight w:val="0"/>
          <w:marTop w:val="0"/>
          <w:marBottom w:val="0"/>
          <w:divBdr>
            <w:top w:val="none" w:sz="0" w:space="0" w:color="auto"/>
            <w:left w:val="none" w:sz="0" w:space="0" w:color="auto"/>
            <w:bottom w:val="none" w:sz="0" w:space="0" w:color="auto"/>
            <w:right w:val="none" w:sz="0" w:space="0" w:color="auto"/>
          </w:divBdr>
        </w:div>
        <w:div w:id="663977521">
          <w:marLeft w:val="0"/>
          <w:marRight w:val="0"/>
          <w:marTop w:val="0"/>
          <w:marBottom w:val="0"/>
          <w:divBdr>
            <w:top w:val="none" w:sz="0" w:space="0" w:color="auto"/>
            <w:left w:val="none" w:sz="0" w:space="0" w:color="auto"/>
            <w:bottom w:val="none" w:sz="0" w:space="0" w:color="auto"/>
            <w:right w:val="none" w:sz="0" w:space="0" w:color="auto"/>
          </w:divBdr>
        </w:div>
      </w:divsChild>
    </w:div>
    <w:div w:id="1606382345">
      <w:bodyDiv w:val="1"/>
      <w:marLeft w:val="0"/>
      <w:marRight w:val="0"/>
      <w:marTop w:val="0"/>
      <w:marBottom w:val="0"/>
      <w:divBdr>
        <w:top w:val="none" w:sz="0" w:space="0" w:color="auto"/>
        <w:left w:val="none" w:sz="0" w:space="0" w:color="auto"/>
        <w:bottom w:val="none" w:sz="0" w:space="0" w:color="auto"/>
        <w:right w:val="none" w:sz="0" w:space="0" w:color="auto"/>
      </w:divBdr>
      <w:divsChild>
        <w:div w:id="1841501117">
          <w:marLeft w:val="0"/>
          <w:marRight w:val="0"/>
          <w:marTop w:val="0"/>
          <w:marBottom w:val="0"/>
          <w:divBdr>
            <w:top w:val="none" w:sz="0" w:space="0" w:color="auto"/>
            <w:left w:val="none" w:sz="0" w:space="0" w:color="auto"/>
            <w:bottom w:val="none" w:sz="0" w:space="0" w:color="auto"/>
            <w:right w:val="none" w:sz="0" w:space="0" w:color="auto"/>
          </w:divBdr>
        </w:div>
        <w:div w:id="1411997778">
          <w:marLeft w:val="0"/>
          <w:marRight w:val="0"/>
          <w:marTop w:val="0"/>
          <w:marBottom w:val="0"/>
          <w:divBdr>
            <w:top w:val="none" w:sz="0" w:space="0" w:color="auto"/>
            <w:left w:val="none" w:sz="0" w:space="0" w:color="auto"/>
            <w:bottom w:val="none" w:sz="0" w:space="0" w:color="auto"/>
            <w:right w:val="none" w:sz="0" w:space="0" w:color="auto"/>
          </w:divBdr>
        </w:div>
      </w:divsChild>
    </w:div>
    <w:div w:id="1997298188">
      <w:bodyDiv w:val="1"/>
      <w:marLeft w:val="0"/>
      <w:marRight w:val="0"/>
      <w:marTop w:val="0"/>
      <w:marBottom w:val="0"/>
      <w:divBdr>
        <w:top w:val="none" w:sz="0" w:space="0" w:color="auto"/>
        <w:left w:val="none" w:sz="0" w:space="0" w:color="auto"/>
        <w:bottom w:val="none" w:sz="0" w:space="0" w:color="auto"/>
        <w:right w:val="none" w:sz="0" w:space="0" w:color="auto"/>
      </w:divBdr>
      <w:divsChild>
        <w:div w:id="315498796">
          <w:marLeft w:val="0"/>
          <w:marRight w:val="0"/>
          <w:marTop w:val="0"/>
          <w:marBottom w:val="0"/>
          <w:divBdr>
            <w:top w:val="none" w:sz="0" w:space="0" w:color="auto"/>
            <w:left w:val="none" w:sz="0" w:space="0" w:color="auto"/>
            <w:bottom w:val="none" w:sz="0" w:space="0" w:color="auto"/>
            <w:right w:val="none" w:sz="0" w:space="0" w:color="auto"/>
          </w:divBdr>
        </w:div>
        <w:div w:id="458105935">
          <w:marLeft w:val="0"/>
          <w:marRight w:val="0"/>
          <w:marTop w:val="0"/>
          <w:marBottom w:val="0"/>
          <w:divBdr>
            <w:top w:val="none" w:sz="0" w:space="0" w:color="auto"/>
            <w:left w:val="none" w:sz="0" w:space="0" w:color="auto"/>
            <w:bottom w:val="none" w:sz="0" w:space="0" w:color="auto"/>
            <w:right w:val="none" w:sz="0" w:space="0" w:color="auto"/>
          </w:divBdr>
        </w:div>
        <w:div w:id="192113667">
          <w:marLeft w:val="0"/>
          <w:marRight w:val="0"/>
          <w:marTop w:val="0"/>
          <w:marBottom w:val="0"/>
          <w:divBdr>
            <w:top w:val="none" w:sz="0" w:space="0" w:color="auto"/>
            <w:left w:val="none" w:sz="0" w:space="0" w:color="auto"/>
            <w:bottom w:val="none" w:sz="0" w:space="0" w:color="auto"/>
            <w:right w:val="none" w:sz="0" w:space="0" w:color="auto"/>
          </w:divBdr>
        </w:div>
        <w:div w:id="1412851184">
          <w:marLeft w:val="0"/>
          <w:marRight w:val="0"/>
          <w:marTop w:val="0"/>
          <w:marBottom w:val="0"/>
          <w:divBdr>
            <w:top w:val="none" w:sz="0" w:space="0" w:color="auto"/>
            <w:left w:val="none" w:sz="0" w:space="0" w:color="auto"/>
            <w:bottom w:val="none" w:sz="0" w:space="0" w:color="auto"/>
            <w:right w:val="none" w:sz="0" w:space="0" w:color="auto"/>
          </w:divBdr>
        </w:div>
        <w:div w:id="1447115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ho.int/fctc/cop/sessions/cop8/FCTC__COP8(22).pdf" TargetMode="External"/><Relationship Id="rId18" Type="http://schemas.openxmlformats.org/officeDocument/2006/relationships/hyperlink" Target="https://www.gtssacademy.org/survey-tools/gats/" TargetMode="External"/><Relationship Id="rId26" Type="http://schemas.openxmlformats.org/officeDocument/2006/relationships/hyperlink" Target="http://apps.who.int/fctc/implementation/database/" TargetMode="External"/><Relationship Id="rId3" Type="http://schemas.openxmlformats.org/officeDocument/2006/relationships/customXml" Target="../customXml/item3.xml"/><Relationship Id="rId21" Type="http://schemas.openxmlformats.org/officeDocument/2006/relationships/hyperlink" Target="https://mics.unicef.org/tools" TargetMode="External"/><Relationship Id="rId7" Type="http://schemas.openxmlformats.org/officeDocument/2006/relationships/styles" Target="styles.xml"/><Relationship Id="rId12" Type="http://schemas.openxmlformats.org/officeDocument/2006/relationships/hyperlink" Target="https://www.who.int/fctc/text_download/en/" TargetMode="External"/><Relationship Id="rId17" Type="http://schemas.openxmlformats.org/officeDocument/2006/relationships/hyperlink" Target="https://www.gtssacademy.org/survey-tools/tqs/" TargetMode="External"/><Relationship Id="rId25" Type="http://schemas.openxmlformats.org/officeDocument/2006/relationships/hyperlink" Target="http://www.who.int/gho/en/" TargetMode="External"/><Relationship Id="rId2" Type="http://schemas.openxmlformats.org/officeDocument/2006/relationships/customXml" Target="../customXml/item2.xml"/><Relationship Id="rId16" Type="http://schemas.openxmlformats.org/officeDocument/2006/relationships/hyperlink" Target="https://apps.who.int/gb/fctc/PDF/cop4/FCTC_COP4_DIV6-en.pdf" TargetMode="External"/><Relationship Id="rId20" Type="http://schemas.openxmlformats.org/officeDocument/2006/relationships/hyperlink" Target="https://www.who.int/data/data-collection-tools/world-health-survey-plu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gather-statement.org/" TargetMode="External"/><Relationship Id="rId5" Type="http://schemas.openxmlformats.org/officeDocument/2006/relationships/customXml" Target="../customXml/item5.xml"/><Relationship Id="rId15" Type="http://schemas.openxmlformats.org/officeDocument/2006/relationships/hyperlink" Target="https://population.un.org/wpp/" TargetMode="External"/><Relationship Id="rId23" Type="http://schemas.openxmlformats.org/officeDocument/2006/relationships/hyperlink" Target="https://fctc.who.int/who-fctc/reporting/reporting-instrument"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who.int/teams/noncommunicable-diseases/surveillance/systems-tools/step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ho.int/healthinfo/paper31.pdf" TargetMode="External"/><Relationship Id="rId22" Type="http://schemas.openxmlformats.org/officeDocument/2006/relationships/hyperlink" Target="https://www.dhsprogram.com/Methodology/index.cfm"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52F187E-E3B5-44BD-8A35-4097133FA6AB}"/>
      </w:docPartPr>
      <w:docPartBody>
        <w:p w:rsidR="00000000" w:rsidRDefault="000863B8">
          <w:r w:rsidRPr="00B3416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B8"/>
    <w:rsid w:val="000863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63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BBF6EB8CC097D4D9FFF2090D7B7BAFB" ma:contentTypeVersion="14" ma:contentTypeDescription="Create a new document." ma:contentTypeScope="" ma:versionID="a4d5262425e6bcf0f419d9133a4abd3c">
  <xsd:schema xmlns:xsd="http://www.w3.org/2001/XMLSchema" xmlns:xs="http://www.w3.org/2001/XMLSchema" xmlns:p="http://schemas.microsoft.com/office/2006/metadata/properties" xmlns:ns3="fb00a440-16a7-4b3d-89d6-4a551466631c" xmlns:ns4="4953f6e4-8bd4-4326-b6ca-e3f4f00ccdde" targetNamespace="http://schemas.microsoft.com/office/2006/metadata/properties" ma:root="true" ma:fieldsID="39fdfa640b4bcbe22fa82711519592f9" ns3:_="" ns4:_="">
    <xsd:import namespace="fb00a440-16a7-4b3d-89d6-4a551466631c"/>
    <xsd:import namespace="4953f6e4-8bd4-4326-b6ca-e3f4f00ccd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0a440-16a7-4b3d-89d6-4a55146663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53f6e4-8bd4-4326-b6ca-e3f4f00ccd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E32E2F-A7D9-4A60-9639-14ED00335BD8}">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http://purl.org/dc/elements/1.1/"/>
    <ds:schemaRef ds:uri="http://schemas.microsoft.com/office/2006/documentManagement/types"/>
    <ds:schemaRef ds:uri="http://schemas.microsoft.com/office/infopath/2007/PartnerControls"/>
    <ds:schemaRef ds:uri="f2d2d782-0088-4826-96df-71eba56e6d2e"/>
    <ds:schemaRef ds:uri="http://schemas.microsoft.com/office/2006/metadata/properties"/>
    <ds:schemaRef ds:uri="d114b01d-ae01-4749-b845-9d88e7ef5c0e"/>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5.xml><?xml version="1.0" encoding="utf-8"?>
<ds:datastoreItem xmlns:ds="http://schemas.openxmlformats.org/officeDocument/2006/customXml" ds:itemID="{4A294C6E-F071-481C-910D-0A30B6035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0a440-16a7-4b3d-89d6-4a551466631c"/>
    <ds:schemaRef ds:uri="4953f6e4-8bd4-4326-b6ca-e3f4f00ccd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21</cp:revision>
  <cp:lastPrinted>2016-07-16T14:25:00Z</cp:lastPrinted>
  <dcterms:created xsi:type="dcterms:W3CDTF">2021-10-20T13:02:00Z</dcterms:created>
  <dcterms:modified xsi:type="dcterms:W3CDTF">2022-12-20T20:56:00Z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0x0101000BBF6EB8CC097D4D9FFF2090D7B7BAFB</vt:lpwstr>
  </property>
</Properties>
</file>