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A43F81A" w:rsidR="00D24330" w:rsidRPr="00B903CA" w:rsidRDefault="00B903CA" w:rsidP="002F5F0C">
      <w:pPr>
        <w:pStyle w:val="MGTHeader"/>
      </w:pPr>
      <w:r w:rsidRPr="00B903CA">
        <w:t>Goal 3: Ensure healthy lives and promote well-being for all at all ages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BA8A168" w14:textId="77777777" w:rsidR="009A43EE" w:rsidRDefault="009A43EE" w:rsidP="00D24330">
      <w:pPr>
        <w:pStyle w:val="MIndHeader"/>
        <w:rPr>
          <w:color w:val="333333"/>
          <w:sz w:val="21"/>
          <w:szCs w:val="21"/>
        </w:rPr>
      </w:pPr>
      <w:r w:rsidRPr="009A43EE">
        <w:rPr>
          <w:color w:val="333333"/>
          <w:sz w:val="21"/>
          <w:szCs w:val="21"/>
        </w:rPr>
        <w:t>Target 3.b: Support the research and development of vaccines and medicines for the communicable and non</w:t>
      </w:r>
      <w:r w:rsidRPr="009A43EE">
        <w:rPr>
          <w:rFonts w:ascii="Cambria Math" w:hAnsi="Cambria Math" w:cs="Cambria Math"/>
          <w:color w:val="333333"/>
          <w:sz w:val="21"/>
          <w:szCs w:val="21"/>
        </w:rPr>
        <w:t>‑</w:t>
      </w:r>
      <w:r w:rsidRPr="009A43EE">
        <w:rPr>
          <w:color w:val="333333"/>
          <w:sz w:val="21"/>
          <w:szCs w:val="21"/>
        </w:rPr>
        <w:t xml:space="preserve">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 </w:t>
      </w:r>
    </w:p>
    <w:p w14:paraId="3E67E7E0" w14:textId="50AC438F" w:rsidR="00D24330" w:rsidRPr="00A96255" w:rsidRDefault="00D24330" w:rsidP="00D24330">
      <w:pPr>
        <w:pStyle w:val="MIndHeader"/>
      </w:pPr>
      <w:r w:rsidRPr="00A96255">
        <w:t xml:space="preserve">0.c. Indicator </w:t>
      </w:r>
      <w:r>
        <w:rPr>
          <w:color w:val="B4B4B4"/>
          <w:sz w:val="20"/>
        </w:rPr>
        <w:t>(SDG_INDICATOR)</w:t>
      </w:r>
    </w:p>
    <w:p w14:paraId="6045F6C3" w14:textId="392EEA9C" w:rsidR="00D24330" w:rsidRPr="00A96255" w:rsidRDefault="00101C81" w:rsidP="00D24330">
      <w:pPr>
        <w:pStyle w:val="MGTHeader"/>
      </w:pPr>
      <w:r w:rsidRPr="00101C81">
        <w:t>3.b.3</w:t>
      </w:r>
      <w:r>
        <w:t>:</w:t>
      </w:r>
      <w:r w:rsidRPr="00101C81">
        <w:t xml:space="preserve"> Health product access index</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68CAD5B9" w:rsidR="00D24330" w:rsidRPr="00A95912" w:rsidRDefault="009F464E" w:rsidP="00A95912">
      <w:pPr>
        <w:pStyle w:val="MGTHeader"/>
      </w:pPr>
      <w:r>
        <w:t xml:space="preserve"> </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186480725"/>
        <w:placeholder>
          <w:docPart w:val="DefaultPlaceholder_-1854013437"/>
        </w:placeholder>
        <w:date w:fullDate="2025-07-14T00:00:00Z">
          <w:dateFormat w:val="yyyy-MM-dd"/>
          <w:lid w:val="en-US"/>
          <w:storeMappedDataAs w:val="dateTime"/>
          <w:calendar w:val="gregorian"/>
        </w:date>
      </w:sdtPr>
      <w:sdtEndPr/>
      <w:sdtContent>
        <w:p w14:paraId="03424B60" w14:textId="1F41B224" w:rsidR="00D24330" w:rsidRPr="00A96255" w:rsidRDefault="00101C81" w:rsidP="00D24330">
          <w:pPr>
            <w:pStyle w:val="MGTHeader"/>
          </w:pPr>
          <w:r w:rsidRPr="00101C81">
            <w:t>2025-07-14</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0ED658C" w14:textId="77777777" w:rsidR="00820072" w:rsidRDefault="00820072" w:rsidP="00D24330">
      <w:pPr>
        <w:pStyle w:val="MGTHeader"/>
      </w:pPr>
      <w:r w:rsidRPr="00820072">
        <w:t xml:space="preserve">3.b.1- Proportion of the target population covered by all vaccines included in their national programme 3.b.2- Total net official development assistance to medical research and basic health sectors 3.8.1-Coverage of essential health services (defined as the average coverage of essential services based on tracer interventions that include reproductive, maternal, new born and child health, infectious diseases, non-communicable diseases and service capacity and access, among the general and the most disadvantaged population) </w:t>
      </w:r>
    </w:p>
    <w:p w14:paraId="21524279" w14:textId="0E6CD9D4" w:rsidR="00D24330" w:rsidRPr="00A96255" w:rsidRDefault="00820072" w:rsidP="00D24330">
      <w:pPr>
        <w:pStyle w:val="MGTHeader"/>
      </w:pPr>
      <w:r w:rsidRPr="00820072">
        <w:t>3.8.2-Proportion of population with large household expenditures on health as a share of total household expenditure or income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0F0D0DC7" w:rsidR="008D1D39" w:rsidRPr="00101C81" w:rsidRDefault="00820072" w:rsidP="00101C81">
      <w:pPr>
        <w:pStyle w:val="MGTHeader"/>
      </w:pPr>
      <w:r w:rsidRPr="00820072">
        <w:t>World Health Organization (WHO)</w:t>
      </w:r>
    </w:p>
    <w:p w14:paraId="505A8FF2" w14:textId="77777777" w:rsidR="00101C81" w:rsidRDefault="00101C81" w:rsidP="00EA05D3">
      <w:pPr>
        <w:pStyle w:val="MHeader"/>
      </w:pPr>
      <w:bookmarkStart w:id="0" w:name="_Toc37932744"/>
      <w:bookmarkStart w:id="1" w:name="_Toc36813072"/>
      <w:bookmarkStart w:id="2" w:name="_Toc36812685"/>
      <w:bookmarkStart w:id="3" w:name="_Toc36812572"/>
      <w:bookmarkStart w:id="4" w:name="_Toc36655609"/>
    </w:p>
    <w:bookmarkEnd w:id="0"/>
    <w:bookmarkEnd w:id="1"/>
    <w:bookmarkEnd w:id="2"/>
    <w:bookmarkEnd w:id="3"/>
    <w:bookmarkEnd w:id="4"/>
    <w:p w14:paraId="13039E4A" w14:textId="77777777" w:rsidR="00266F6A" w:rsidRPr="00EA05D3" w:rsidRDefault="00266F6A" w:rsidP="00266F6A">
      <w:pPr>
        <w:pStyle w:val="MHeader"/>
      </w:pPr>
      <w:r w:rsidRPr="00EA05D3">
        <w:t xml:space="preserve">1. Data reporter </w:t>
      </w:r>
      <w:r>
        <w:rPr>
          <w:color w:val="B4B4B4"/>
          <w:sz w:val="20"/>
        </w:rPr>
        <w:t>(CONTACT)</w:t>
      </w:r>
    </w:p>
    <w:p w14:paraId="0CDC3B9A" w14:textId="77777777" w:rsidR="00266F6A" w:rsidRPr="00A96255" w:rsidRDefault="00266F6A" w:rsidP="00266F6A">
      <w:pPr>
        <w:pStyle w:val="MHeader2"/>
      </w:pPr>
      <w:r w:rsidRPr="00A96255">
        <w:t xml:space="preserve">1.a. Organisation </w:t>
      </w:r>
      <w:r>
        <w:rPr>
          <w:color w:val="B4B4B4"/>
          <w:sz w:val="20"/>
        </w:rPr>
        <w:t>(CONTACT_ORGANISATION)</w:t>
      </w:r>
    </w:p>
    <w:p w14:paraId="6E829FD0" w14:textId="7FAE63B1" w:rsidR="00F719A8" w:rsidRPr="00101C81" w:rsidRDefault="0FB8CD3B" w:rsidP="153C7502">
      <w:pPr>
        <w:pStyle w:val="MText"/>
      </w:pPr>
      <w:r w:rsidRPr="00101C81">
        <w:t>World Health Organization (WHO)</w:t>
      </w:r>
    </w:p>
    <w:p w14:paraId="680FAC37" w14:textId="1D705830" w:rsidR="2C38F817" w:rsidRPr="00101C81" w:rsidRDefault="2C38F817" w:rsidP="153C7502">
      <w:pPr>
        <w:pStyle w:val="MText"/>
        <w:shd w:val="clear" w:color="auto" w:fill="FFFFFF" w:themeFill="background1"/>
        <w:rPr>
          <w:rFonts w:ascii="Calibri" w:hAnsi="Calibri" w:cs="Calibri"/>
        </w:rPr>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bookmarkStart w:id="5" w:name="_Hlk203386817"/>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bookmarkEnd w:id="5"/>
    <w:p w14:paraId="6F0E8ADC" w14:textId="77AB090B" w:rsidR="00D51C8A" w:rsidRPr="00101C81" w:rsidRDefault="00D51C8A" w:rsidP="00576CFA">
      <w:pPr>
        <w:pStyle w:val="MText"/>
        <w:rPr>
          <w:color w:val="000000" w:themeColor="text1"/>
        </w:rPr>
      </w:pPr>
      <w:r w:rsidRPr="00101C81">
        <w:rPr>
          <w:color w:val="000000" w:themeColor="text1"/>
        </w:rPr>
        <w:lastRenderedPageBreak/>
        <w:t xml:space="preserve">The </w:t>
      </w:r>
      <w:r w:rsidR="00757F54" w:rsidRPr="00101C81">
        <w:rPr>
          <w:color w:val="000000" w:themeColor="text1"/>
        </w:rPr>
        <w:t>h</w:t>
      </w:r>
      <w:r w:rsidR="00757F54" w:rsidRPr="00101C81">
        <w:rPr>
          <w:rStyle w:val="ui-provider"/>
          <w:color w:val="000000" w:themeColor="text1"/>
        </w:rPr>
        <w:t>ealth product access index</w:t>
      </w:r>
      <w:r w:rsidR="00757F54" w:rsidRPr="00101C81">
        <w:rPr>
          <w:color w:val="000000" w:themeColor="text1"/>
        </w:rPr>
        <w:t xml:space="preserve"> </w:t>
      </w:r>
      <w:r w:rsidR="00BD47E1" w:rsidRPr="00101C81">
        <w:rPr>
          <w:color w:val="000000" w:themeColor="text1"/>
        </w:rPr>
        <w:t>is based on a series of h</w:t>
      </w:r>
      <w:r w:rsidR="00452241" w:rsidRPr="00101C81">
        <w:rPr>
          <w:color w:val="000000" w:themeColor="text1"/>
        </w:rPr>
        <w:t>ealth services coverage indicators that involve the use of any or a combination of health products</w:t>
      </w:r>
      <w:r w:rsidR="00BD47E1" w:rsidRPr="00101C81">
        <w:rPr>
          <w:color w:val="000000" w:themeColor="text1"/>
        </w:rPr>
        <w:t xml:space="preserve"> for their </w:t>
      </w:r>
      <w:r w:rsidR="001D12DA" w:rsidRPr="00101C81">
        <w:rPr>
          <w:color w:val="000000" w:themeColor="text1"/>
        </w:rPr>
        <w:t xml:space="preserve">fruition. </w:t>
      </w:r>
    </w:p>
    <w:p w14:paraId="3C88CEB3" w14:textId="46FD1455" w:rsidR="00D51C8A" w:rsidRPr="00101C81" w:rsidRDefault="00BA4875" w:rsidP="00576CFA">
      <w:pPr>
        <w:pStyle w:val="MText"/>
        <w:rPr>
          <w:color w:val="000000" w:themeColor="text1"/>
        </w:rPr>
      </w:pPr>
      <w:r w:rsidRPr="00101C81">
        <w:rPr>
          <w:color w:val="000000" w:themeColor="text1"/>
        </w:rPr>
        <w:t xml:space="preserve">The </w:t>
      </w:r>
      <w:r w:rsidR="000B667C" w:rsidRPr="00101C81">
        <w:rPr>
          <w:color w:val="000000" w:themeColor="text1"/>
        </w:rPr>
        <w:t>list of the included indicators is as follow</w:t>
      </w:r>
      <w:r w:rsidR="00D51C8A" w:rsidRPr="00101C81">
        <w:rPr>
          <w:color w:val="000000" w:themeColor="text1"/>
        </w:rPr>
        <w:t>s</w:t>
      </w:r>
      <w:r w:rsidR="000B667C" w:rsidRPr="00101C81">
        <w:rPr>
          <w:color w:val="000000" w:themeColor="text1"/>
        </w:rPr>
        <w:t>:</w:t>
      </w:r>
    </w:p>
    <w:p w14:paraId="4E28A58B" w14:textId="7601D4A5" w:rsidR="00C53A36" w:rsidRPr="00101C81" w:rsidRDefault="00C53A36" w:rsidP="00101C81">
      <w:pPr>
        <w:pStyle w:val="MText"/>
        <w:numPr>
          <w:ilvl w:val="0"/>
          <w:numId w:val="6"/>
        </w:numPr>
        <w:rPr>
          <w:color w:val="000000" w:themeColor="text1"/>
        </w:rPr>
      </w:pPr>
      <w:r w:rsidRPr="00101C81">
        <w:rPr>
          <w:color w:val="000000" w:themeColor="text1"/>
        </w:rPr>
        <w:t xml:space="preserve">Prevalence of cervical cancer screening among women aged 30-49 years (%) - </w:t>
      </w:r>
    </w:p>
    <w:p w14:paraId="6AA11E3D" w14:textId="3F47C0FE" w:rsidR="00C53A36" w:rsidRPr="00101C81" w:rsidRDefault="00C53A36" w:rsidP="00101C81">
      <w:pPr>
        <w:pStyle w:val="MText"/>
        <w:numPr>
          <w:ilvl w:val="0"/>
          <w:numId w:val="6"/>
        </w:numPr>
        <w:rPr>
          <w:color w:val="000000" w:themeColor="text1"/>
        </w:rPr>
      </w:pPr>
      <w:r w:rsidRPr="00101C81">
        <w:rPr>
          <w:color w:val="000000" w:themeColor="text1"/>
        </w:rPr>
        <w:t xml:space="preserve">Women accessing antenatal care (ANC) services who were tested for syphilis (%), reported </w:t>
      </w:r>
    </w:p>
    <w:p w14:paraId="5BCB30DA" w14:textId="3EC39E46" w:rsidR="00C53A36" w:rsidRPr="00101C81" w:rsidRDefault="00C53A36" w:rsidP="00101C81">
      <w:pPr>
        <w:pStyle w:val="MText"/>
        <w:numPr>
          <w:ilvl w:val="0"/>
          <w:numId w:val="6"/>
        </w:numPr>
        <w:rPr>
          <w:color w:val="000000" w:themeColor="text1"/>
        </w:rPr>
      </w:pPr>
      <w:r w:rsidRPr="00101C81">
        <w:rPr>
          <w:color w:val="000000" w:themeColor="text1"/>
        </w:rPr>
        <w:t xml:space="preserve">New cases tested for RR-/MDR-TB (%) </w:t>
      </w:r>
    </w:p>
    <w:p w14:paraId="1D1E036C" w14:textId="719BC0A3" w:rsidR="00C53A36" w:rsidRPr="00101C81" w:rsidRDefault="00C53A36" w:rsidP="00101C81">
      <w:pPr>
        <w:pStyle w:val="MText"/>
        <w:numPr>
          <w:ilvl w:val="0"/>
          <w:numId w:val="6"/>
        </w:numPr>
        <w:rPr>
          <w:color w:val="000000" w:themeColor="text1"/>
        </w:rPr>
      </w:pPr>
      <w:r w:rsidRPr="00101C81">
        <w:rPr>
          <w:color w:val="000000" w:themeColor="text1"/>
        </w:rPr>
        <w:t xml:space="preserve">Tuberculosis treatment coverage </w:t>
      </w:r>
    </w:p>
    <w:p w14:paraId="2376131D" w14:textId="7F3A2BEA" w:rsidR="00C53A36" w:rsidRPr="00101C81" w:rsidRDefault="00C53A36" w:rsidP="00101C81">
      <w:pPr>
        <w:pStyle w:val="MText"/>
        <w:numPr>
          <w:ilvl w:val="0"/>
          <w:numId w:val="6"/>
        </w:numPr>
        <w:rPr>
          <w:color w:val="000000" w:themeColor="text1"/>
        </w:rPr>
      </w:pPr>
      <w:r w:rsidRPr="00101C81">
        <w:rPr>
          <w:color w:val="000000" w:themeColor="text1"/>
        </w:rPr>
        <w:t xml:space="preserve">Estimated antiretroviral therapy coverage among people living with HIV (%) </w:t>
      </w:r>
    </w:p>
    <w:p w14:paraId="03C800F4" w14:textId="75B3B634" w:rsidR="00C53A36" w:rsidRPr="00101C81" w:rsidRDefault="00C53A36" w:rsidP="00101C81">
      <w:pPr>
        <w:pStyle w:val="MText"/>
        <w:numPr>
          <w:ilvl w:val="0"/>
          <w:numId w:val="6"/>
        </w:numPr>
        <w:rPr>
          <w:color w:val="000000" w:themeColor="text1"/>
        </w:rPr>
      </w:pPr>
      <w:r w:rsidRPr="00101C81">
        <w:rPr>
          <w:color w:val="000000" w:themeColor="text1"/>
        </w:rPr>
        <w:t xml:space="preserve">Antenatal care attendees positive for syphilis who received treatment (%), reported </w:t>
      </w:r>
    </w:p>
    <w:p w14:paraId="2AD933B5" w14:textId="0A61CF06" w:rsidR="00C53A36" w:rsidRPr="00101C81" w:rsidRDefault="4195D1C7" w:rsidP="00101C81">
      <w:pPr>
        <w:pStyle w:val="MText"/>
        <w:numPr>
          <w:ilvl w:val="0"/>
          <w:numId w:val="6"/>
        </w:numPr>
        <w:rPr>
          <w:color w:val="000000" w:themeColor="text1"/>
        </w:rPr>
      </w:pPr>
      <w:r w:rsidRPr="00101C81">
        <w:rPr>
          <w:color w:val="000000" w:themeColor="text1"/>
        </w:rPr>
        <w:t>Tuberculosis effective treatment coverage</w:t>
      </w:r>
    </w:p>
    <w:p w14:paraId="69A180E4" w14:textId="654FBC78" w:rsidR="00C53A36" w:rsidRPr="00101C81" w:rsidRDefault="00C53A36" w:rsidP="00101C81">
      <w:pPr>
        <w:pStyle w:val="MText"/>
        <w:numPr>
          <w:ilvl w:val="0"/>
          <w:numId w:val="6"/>
        </w:numPr>
        <w:rPr>
          <w:color w:val="000000" w:themeColor="text1"/>
        </w:rPr>
      </w:pPr>
      <w:r w:rsidRPr="00101C81">
        <w:rPr>
          <w:color w:val="000000" w:themeColor="text1"/>
        </w:rPr>
        <w:t xml:space="preserve">Women of reproductive age (aged 15-49 years) who have their need for family planning satisfied with modern methods (%) </w:t>
      </w:r>
    </w:p>
    <w:p w14:paraId="73DA985F" w14:textId="3982EC66" w:rsidR="00C53A36" w:rsidRPr="00101C81" w:rsidRDefault="00C53A36" w:rsidP="00101C81">
      <w:pPr>
        <w:pStyle w:val="MText"/>
        <w:numPr>
          <w:ilvl w:val="0"/>
          <w:numId w:val="6"/>
        </w:numPr>
        <w:rPr>
          <w:color w:val="000000" w:themeColor="text1"/>
        </w:rPr>
      </w:pPr>
      <w:r w:rsidRPr="00101C81">
        <w:rPr>
          <w:color w:val="000000" w:themeColor="text1"/>
        </w:rPr>
        <w:t xml:space="preserve">Measles-containing-vaccine </w:t>
      </w:r>
      <w:proofErr w:type="gramStart"/>
      <w:r w:rsidRPr="00101C81">
        <w:rPr>
          <w:color w:val="000000" w:themeColor="text1"/>
        </w:rPr>
        <w:t>second-dose</w:t>
      </w:r>
      <w:proofErr w:type="gramEnd"/>
      <w:r w:rsidRPr="00101C81">
        <w:rPr>
          <w:color w:val="000000" w:themeColor="text1"/>
        </w:rPr>
        <w:t xml:space="preserve"> (MCV2) immunization coverage by the nationally</w:t>
      </w:r>
      <w:r w:rsidR="00D51C8A" w:rsidRPr="00101C81">
        <w:rPr>
          <w:color w:val="000000" w:themeColor="text1"/>
        </w:rPr>
        <w:t xml:space="preserve"> </w:t>
      </w:r>
      <w:r w:rsidRPr="00101C81">
        <w:rPr>
          <w:color w:val="000000" w:themeColor="text1"/>
        </w:rPr>
        <w:t xml:space="preserve">recommended age (%)  </w:t>
      </w:r>
    </w:p>
    <w:p w14:paraId="241463C8" w14:textId="6EB3CF15" w:rsidR="00C53A36" w:rsidRPr="00101C81" w:rsidRDefault="00C53A36" w:rsidP="00101C81">
      <w:pPr>
        <w:pStyle w:val="MText"/>
        <w:numPr>
          <w:ilvl w:val="0"/>
          <w:numId w:val="6"/>
        </w:numPr>
        <w:rPr>
          <w:color w:val="000000" w:themeColor="text1"/>
        </w:rPr>
      </w:pPr>
      <w:r w:rsidRPr="00101C81">
        <w:rPr>
          <w:color w:val="000000" w:themeColor="text1"/>
        </w:rPr>
        <w:t xml:space="preserve">Pneumococcal conjugate vaccines (PCV3) immunization coverage among 1-year-olds (%) </w:t>
      </w:r>
    </w:p>
    <w:p w14:paraId="3D44BF75" w14:textId="031C4428" w:rsidR="00C53A36" w:rsidRPr="00101C81" w:rsidRDefault="00C53A36" w:rsidP="00101C81">
      <w:pPr>
        <w:pStyle w:val="MText"/>
        <w:numPr>
          <w:ilvl w:val="0"/>
          <w:numId w:val="6"/>
        </w:numPr>
        <w:rPr>
          <w:color w:val="000000" w:themeColor="text1"/>
        </w:rPr>
      </w:pPr>
      <w:r w:rsidRPr="00101C81">
        <w:rPr>
          <w:color w:val="000000" w:themeColor="text1"/>
        </w:rPr>
        <w:t xml:space="preserve">HPV immunization coverage estimates among primary target cohort (9-14 years old girls) (%) </w:t>
      </w:r>
    </w:p>
    <w:p w14:paraId="1171B024" w14:textId="6E6F58D1" w:rsidR="00C53A36" w:rsidRPr="00101C81" w:rsidRDefault="00C53A36" w:rsidP="00101C81">
      <w:pPr>
        <w:pStyle w:val="MText"/>
        <w:numPr>
          <w:ilvl w:val="0"/>
          <w:numId w:val="6"/>
        </w:numPr>
        <w:rPr>
          <w:color w:val="000000" w:themeColor="text1"/>
        </w:rPr>
      </w:pPr>
      <w:r w:rsidRPr="00101C81">
        <w:rPr>
          <w:color w:val="000000" w:themeColor="text1"/>
        </w:rPr>
        <w:t>Diphtheria tetanus toxoid and pertussis (DTP3) immunization coverage among 1-year-olds (%)</w:t>
      </w:r>
    </w:p>
    <w:p w14:paraId="517F173D" w14:textId="40AF432A" w:rsidR="00C53A36" w:rsidRPr="00101C81" w:rsidRDefault="00C53A36" w:rsidP="00101C81">
      <w:pPr>
        <w:pStyle w:val="MText"/>
        <w:numPr>
          <w:ilvl w:val="0"/>
          <w:numId w:val="6"/>
        </w:numPr>
        <w:rPr>
          <w:color w:val="000000" w:themeColor="text1"/>
        </w:rPr>
      </w:pPr>
      <w:r w:rsidRPr="00101C81">
        <w:rPr>
          <w:color w:val="000000" w:themeColor="text1"/>
        </w:rPr>
        <w:t>Hepatitis B (HepB3) immunization coverage among 1-year-olds (%)</w:t>
      </w:r>
    </w:p>
    <w:p w14:paraId="67CEBE1D" w14:textId="1EB068C5" w:rsidR="00C53A36" w:rsidRPr="00101C81" w:rsidRDefault="00C53A36" w:rsidP="00101C81">
      <w:pPr>
        <w:pStyle w:val="MText"/>
        <w:numPr>
          <w:ilvl w:val="0"/>
          <w:numId w:val="6"/>
        </w:numPr>
        <w:rPr>
          <w:color w:val="000000" w:themeColor="text1"/>
        </w:rPr>
      </w:pPr>
      <w:r w:rsidRPr="00101C81">
        <w:rPr>
          <w:color w:val="000000" w:themeColor="text1"/>
        </w:rPr>
        <w:t xml:space="preserve">Neonates protected at birth against neonatal tetanus (PAB) (%) </w:t>
      </w:r>
    </w:p>
    <w:p w14:paraId="016050F4" w14:textId="70AFFE1E" w:rsidR="00C53A36" w:rsidRPr="00101C81" w:rsidRDefault="00C53A36" w:rsidP="00101C81">
      <w:pPr>
        <w:pStyle w:val="MText"/>
        <w:numPr>
          <w:ilvl w:val="0"/>
          <w:numId w:val="6"/>
        </w:numPr>
        <w:rPr>
          <w:color w:val="000000" w:themeColor="text1"/>
        </w:rPr>
      </w:pPr>
      <w:r w:rsidRPr="00101C81">
        <w:rPr>
          <w:color w:val="000000" w:themeColor="text1"/>
        </w:rPr>
        <w:t xml:space="preserve">Hib (Hib3) immunization coverage among 1-year-olds (%) </w:t>
      </w:r>
    </w:p>
    <w:p w14:paraId="670E6220" w14:textId="2AB4B9B7" w:rsidR="00C53A36" w:rsidRPr="00101C81" w:rsidRDefault="00C53A36" w:rsidP="00101C81">
      <w:pPr>
        <w:pStyle w:val="MText"/>
        <w:numPr>
          <w:ilvl w:val="0"/>
          <w:numId w:val="6"/>
        </w:numPr>
        <w:rPr>
          <w:color w:val="000000" w:themeColor="text1"/>
        </w:rPr>
      </w:pPr>
      <w:r w:rsidRPr="00101C81">
        <w:rPr>
          <w:color w:val="000000" w:themeColor="text1"/>
        </w:rPr>
        <w:t xml:space="preserve">Polio (Pol3) immunization coverage among 1-year-olds (%)  </w:t>
      </w:r>
    </w:p>
    <w:p w14:paraId="2DD75C64" w14:textId="72455BD9" w:rsidR="00C53A36" w:rsidRPr="00101C81" w:rsidRDefault="00C53A36" w:rsidP="00101C81">
      <w:pPr>
        <w:pStyle w:val="MText"/>
        <w:numPr>
          <w:ilvl w:val="0"/>
          <w:numId w:val="6"/>
        </w:numPr>
        <w:rPr>
          <w:color w:val="000000" w:themeColor="text1"/>
        </w:rPr>
      </w:pPr>
      <w:r w:rsidRPr="00101C81">
        <w:rPr>
          <w:color w:val="000000" w:themeColor="text1"/>
        </w:rPr>
        <w:t xml:space="preserve">Measles-containing-vaccine first-dose (MCV1) immunization coverage by the nationally recommended age (%)  </w:t>
      </w:r>
    </w:p>
    <w:p w14:paraId="3A002372" w14:textId="69E180C7" w:rsidR="00C53A36" w:rsidRPr="00101C81" w:rsidRDefault="00C53A36" w:rsidP="00101C81">
      <w:pPr>
        <w:pStyle w:val="MText"/>
        <w:numPr>
          <w:ilvl w:val="0"/>
          <w:numId w:val="6"/>
        </w:numPr>
        <w:rPr>
          <w:color w:val="000000" w:themeColor="text1"/>
        </w:rPr>
      </w:pPr>
      <w:r w:rsidRPr="00101C81">
        <w:rPr>
          <w:color w:val="000000" w:themeColor="text1"/>
        </w:rPr>
        <w:t xml:space="preserve">Population with access to an insecticide-treated bed net (ITN) for malaria protection (%)  </w:t>
      </w:r>
    </w:p>
    <w:p w14:paraId="325CB251" w14:textId="0B163055" w:rsidR="00C53A36" w:rsidRPr="00D51C8A" w:rsidRDefault="00C53A36" w:rsidP="00101C81">
      <w:pPr>
        <w:pStyle w:val="MText"/>
        <w:numPr>
          <w:ilvl w:val="0"/>
          <w:numId w:val="6"/>
        </w:numPr>
      </w:pPr>
      <w:r w:rsidRPr="00101C81">
        <w:rPr>
          <w:color w:val="000000" w:themeColor="text1"/>
        </w:rPr>
        <w:t xml:space="preserve">Prevalence of met need of assistive products (%) </w:t>
      </w:r>
      <w:r w:rsidRPr="00D51C8A">
        <w:t xml:space="preserve"> </w:t>
      </w:r>
    </w:p>
    <w:p w14:paraId="2B9F39C9" w14:textId="77777777" w:rsidR="0085790D" w:rsidRDefault="0085790D" w:rsidP="00F719A8">
      <w:pPr>
        <w:pStyle w:val="MHeader2"/>
      </w:pPr>
    </w:p>
    <w:p w14:paraId="7932F8BD" w14:textId="52B2ACE2" w:rsidR="008B0AC7" w:rsidRPr="00A96255" w:rsidRDefault="00576CFA" w:rsidP="00F719A8">
      <w:pPr>
        <w:pStyle w:val="MHeader2"/>
      </w:pPr>
      <w:bookmarkStart w:id="6" w:name="_Hlk203386832"/>
      <w:r w:rsidRPr="00A96255">
        <w:t xml:space="preserve">2.b. Unit of measure </w:t>
      </w:r>
      <w:r>
        <w:rPr>
          <w:color w:val="B4B4B4"/>
          <w:sz w:val="20"/>
        </w:rPr>
        <w:t>(UNIT_MEASURE)</w:t>
      </w:r>
    </w:p>
    <w:bookmarkEnd w:id="6"/>
    <w:p w14:paraId="1CAE3771" w14:textId="1F977773" w:rsidR="00576CFA" w:rsidRPr="00D51C8A" w:rsidRDefault="0085790D" w:rsidP="00576CFA">
      <w:pPr>
        <w:pStyle w:val="MText"/>
      </w:pPr>
      <w:r w:rsidRPr="00D51C8A">
        <w:rPr>
          <w:rStyle w:val="ui-provider"/>
        </w:rPr>
        <w:t>The index is computed with geometric means, using the mean scores calculated for each tracer indicator group (</w:t>
      </w:r>
      <w:r w:rsidR="00D51C8A" w:rsidRPr="00D51C8A">
        <w:rPr>
          <w:rStyle w:val="ui-provider"/>
        </w:rPr>
        <w:t>o</w:t>
      </w:r>
      <w:r w:rsidRPr="00D51C8A">
        <w:rPr>
          <w:rStyle w:val="ui-provider"/>
        </w:rPr>
        <w:t>r category of product) that is linked to the use of different health products. The index is reported on a unitless scale of 0 to 100, with 100 being the optimal value</w:t>
      </w:r>
      <w:r w:rsidR="000761E8" w:rsidRPr="00D51C8A">
        <w:rPr>
          <w:rStyle w:val="ui-provider"/>
        </w:rP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bookmarkStart w:id="7" w:name="_Hlk203386837"/>
      <w:r w:rsidRPr="00A96255">
        <w:t xml:space="preserve">2.c. Classifications </w:t>
      </w:r>
      <w:r>
        <w:rPr>
          <w:color w:val="B4B4B4"/>
          <w:sz w:val="20"/>
        </w:rPr>
        <w:t>(CLASS_SYSTEM)</w:t>
      </w:r>
    </w:p>
    <w:bookmarkEnd w:id="7"/>
    <w:p w14:paraId="123172F4" w14:textId="77777777" w:rsidR="00F719A8" w:rsidRDefault="00F719A8" w:rsidP="00576CFA">
      <w:pPr>
        <w:pStyle w:val="MText"/>
      </w:pPr>
    </w:p>
    <w:p w14:paraId="088D9FAA" w14:textId="77777777" w:rsidR="00266F6A" w:rsidRPr="00A96255" w:rsidRDefault="00266F6A" w:rsidP="00576CFA">
      <w:pPr>
        <w:pStyle w:val="MText"/>
      </w:pPr>
    </w:p>
    <w:p w14:paraId="1D3AEECA" w14:textId="4C5EC949" w:rsidR="00B31E2C" w:rsidRPr="00F719A8" w:rsidRDefault="00B31E2C" w:rsidP="00F719A8">
      <w:pPr>
        <w:pStyle w:val="MHeader"/>
      </w:pPr>
      <w:bookmarkStart w:id="8" w:name="_Hlk203386847"/>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bookmarkEnd w:id="8"/>
    <w:p w14:paraId="266B15F5" w14:textId="532947D3" w:rsidR="001268F8" w:rsidRPr="00101C81" w:rsidRDefault="001268F8" w:rsidP="00576CFA">
      <w:pPr>
        <w:pStyle w:val="MText"/>
        <w:rPr>
          <w:color w:val="auto"/>
        </w:rPr>
      </w:pPr>
      <w:r w:rsidRPr="00101C81">
        <w:rPr>
          <w:color w:val="auto"/>
        </w:rPr>
        <w:t xml:space="preserve">Tracer indicators </w:t>
      </w:r>
      <w:r w:rsidR="006133D3" w:rsidRPr="00101C81">
        <w:rPr>
          <w:color w:val="auto"/>
        </w:rPr>
        <w:t xml:space="preserve">are measured by </w:t>
      </w:r>
      <w:r w:rsidR="00196B87" w:rsidRPr="00101C81">
        <w:rPr>
          <w:color w:val="auto"/>
        </w:rPr>
        <w:t xml:space="preserve">household surveys, facility data, sentinel surveillance systems </w:t>
      </w:r>
      <w:r w:rsidR="00951BE7" w:rsidRPr="00101C81">
        <w:rPr>
          <w:color w:val="auto"/>
        </w:rPr>
        <w:t>and administrative data</w:t>
      </w:r>
      <w:r w:rsidR="00FE6E34" w:rsidRPr="00101C81">
        <w:rPr>
          <w:color w:val="auto"/>
        </w:rPr>
        <w:t xml:space="preserve">. </w:t>
      </w:r>
      <w:r w:rsidR="00FE6E34" w:rsidRPr="00101C81">
        <w:rPr>
          <w:rStyle w:val="normaltextrun"/>
          <w:rFonts w:ascii="Calibri" w:hAnsi="Calibri" w:cs="Calibri"/>
          <w:color w:val="auto"/>
          <w:bdr w:val="none" w:sz="0" w:space="0" w:color="auto" w:frame="1"/>
        </w:rPr>
        <w:t>In terms of values used to compute the index, values are taken from existing published sources.</w:t>
      </w:r>
      <w:r w:rsidR="000E0913" w:rsidRPr="00101C81">
        <w:rPr>
          <w:rStyle w:val="normaltextrun"/>
          <w:rFonts w:ascii="Calibri" w:hAnsi="Calibri" w:cs="Calibri"/>
          <w:color w:val="auto"/>
          <w:bdr w:val="none" w:sz="0" w:space="0" w:color="auto" w:frame="1"/>
        </w:rPr>
        <w:t xml:space="preserve"> See Annex 1 for details.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bookmarkStart w:id="9" w:name="_Hlk203386855"/>
      <w:r w:rsidRPr="00A96255">
        <w:t xml:space="preserve">3.b. Data collection method </w:t>
      </w:r>
      <w:r>
        <w:rPr>
          <w:color w:val="B4B4B4"/>
          <w:sz w:val="20"/>
        </w:rPr>
        <w:t>(COLL_METHOD)</w:t>
      </w:r>
    </w:p>
    <w:bookmarkEnd w:id="9"/>
    <w:p w14:paraId="5823FBC8" w14:textId="0DD33186" w:rsidR="00576CFA" w:rsidRPr="00101C81" w:rsidRDefault="006C5164" w:rsidP="00576CFA">
      <w:pPr>
        <w:pStyle w:val="MText"/>
        <w:rPr>
          <w:color w:val="auto"/>
        </w:rPr>
      </w:pPr>
      <w:r w:rsidRPr="00101C81">
        <w:rPr>
          <w:rStyle w:val="normaltextrun"/>
          <w:rFonts w:ascii="Calibri" w:hAnsi="Calibri" w:cs="Calibri"/>
          <w:color w:val="auto"/>
        </w:rPr>
        <w:t xml:space="preserve">The mechanisms for collecting data from countries vary across the 19 tracer indicators, however in many cases a UN agency or interagency group has assembled and analysed relevant national data sources and </w:t>
      </w:r>
      <w:r w:rsidRPr="00101C81">
        <w:rPr>
          <w:rStyle w:val="normaltextrun"/>
          <w:rFonts w:ascii="Calibri" w:hAnsi="Calibri" w:cs="Calibri"/>
          <w:color w:val="auto"/>
        </w:rPr>
        <w:lastRenderedPageBreak/>
        <w:t>then conducted a formal country consultation with country governments to review or produce comparable country estimates.</w:t>
      </w:r>
      <w:r w:rsidR="00297348" w:rsidRPr="00101C81">
        <w:rPr>
          <w:color w:val="auto"/>
        </w:rPr>
        <w:t xml:space="preserve"> </w:t>
      </w:r>
      <w:r w:rsidR="00297348" w:rsidRPr="00101C81">
        <w:rPr>
          <w:rStyle w:val="normaltextrun"/>
          <w:rFonts w:ascii="Calibri" w:hAnsi="Calibri" w:cs="Calibri"/>
          <w:color w:val="auto"/>
        </w:rPr>
        <w:t xml:space="preserve">WHO does not undertake new estimation activities to produce tracer indicator values for the </w:t>
      </w:r>
      <w:r w:rsidR="00C9156C" w:rsidRPr="00101C81">
        <w:rPr>
          <w:rStyle w:val="normaltextrun"/>
          <w:rFonts w:ascii="Calibri" w:hAnsi="Calibri" w:cs="Calibri"/>
          <w:color w:val="auto"/>
        </w:rPr>
        <w:t>health products access</w:t>
      </w:r>
      <w:r w:rsidR="00297348" w:rsidRPr="00101C81">
        <w:rPr>
          <w:rStyle w:val="normaltextrun"/>
          <w:rFonts w:ascii="Calibri" w:hAnsi="Calibri" w:cs="Calibri"/>
          <w:color w:val="auto"/>
        </w:rPr>
        <w:t xml:space="preserve"> index; rather, the index is designed to make use of existing and well-established indicator data series to reduce reporting burden.</w:t>
      </w:r>
      <w:r w:rsidR="000E0913" w:rsidRPr="00101C81">
        <w:rPr>
          <w:rStyle w:val="normaltextrun"/>
          <w:rFonts w:ascii="Calibri" w:hAnsi="Calibri" w:cs="Calibri"/>
          <w:color w:val="auto"/>
        </w:rPr>
        <w:t xml:space="preserve"> </w:t>
      </w:r>
      <w:r w:rsidR="000E0913" w:rsidRPr="00101C81">
        <w:rPr>
          <w:rStyle w:val="normaltextrun"/>
          <w:rFonts w:ascii="Calibri" w:hAnsi="Calibri" w:cs="Calibri"/>
          <w:color w:val="auto"/>
          <w:bdr w:val="none" w:sz="0" w:space="0" w:color="auto" w:frame="1"/>
        </w:rPr>
        <w:t>See Annex 1 for details.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bookmarkStart w:id="10" w:name="_Hlk203386863"/>
      <w:r w:rsidRPr="00A96255">
        <w:t xml:space="preserve">3.c. Data collection calendar </w:t>
      </w:r>
      <w:r>
        <w:rPr>
          <w:color w:val="B4B4B4"/>
          <w:sz w:val="20"/>
        </w:rPr>
        <w:t>(FREQ_COLL)</w:t>
      </w:r>
    </w:p>
    <w:bookmarkEnd w:id="10"/>
    <w:p w14:paraId="01BA862E" w14:textId="4C04AB24" w:rsidR="00EC2915" w:rsidRPr="00101C81" w:rsidRDefault="003B131E" w:rsidP="00576CFA">
      <w:pPr>
        <w:pStyle w:val="MText"/>
        <w:rPr>
          <w:rStyle w:val="normaltextrun"/>
          <w:rFonts w:ascii="Calibri" w:hAnsi="Calibri" w:cs="Calibri"/>
          <w:color w:val="auto"/>
          <w:bdr w:val="none" w:sz="0" w:space="0" w:color="auto" w:frame="1"/>
        </w:rPr>
      </w:pPr>
      <w:r w:rsidRPr="00101C81">
        <w:rPr>
          <w:rStyle w:val="normaltextrun"/>
          <w:rFonts w:ascii="Calibri" w:hAnsi="Calibri" w:cs="Calibri"/>
          <w:color w:val="auto"/>
          <w:bdr w:val="none" w:sz="0" w:space="0" w:color="auto" w:frame="1"/>
        </w:rPr>
        <w:t>Data collection varies from every 1 to 5 years across tracer indicators. For example, country data on immunizations and HIV treatment are reported annually.</w:t>
      </w:r>
      <w:r w:rsidR="00CC4B33" w:rsidRPr="00101C81">
        <w:rPr>
          <w:rStyle w:val="normaltextrun"/>
          <w:rFonts w:ascii="Calibri" w:hAnsi="Calibri" w:cs="Calibri"/>
          <w:color w:val="auto"/>
          <w:bdr w:val="none" w:sz="0" w:space="0" w:color="auto" w:frame="1"/>
        </w:rPr>
        <w:t xml:space="preserve"> See Annex 1 for details.</w:t>
      </w:r>
    </w:p>
    <w:p w14:paraId="5CF95186" w14:textId="77777777" w:rsidR="00CC4B33" w:rsidRPr="00A96255" w:rsidRDefault="00CC4B33" w:rsidP="00576CFA">
      <w:pPr>
        <w:pStyle w:val="MText"/>
      </w:pPr>
    </w:p>
    <w:p w14:paraId="7D466604" w14:textId="674844F0" w:rsidR="00E46D96" w:rsidRPr="00F719A8" w:rsidRDefault="00E46D96" w:rsidP="00F719A8">
      <w:pPr>
        <w:pStyle w:val="MHeader2"/>
      </w:pPr>
      <w:bookmarkStart w:id="11" w:name="_Hlk203386869"/>
      <w:r w:rsidRPr="00A96255">
        <w:t xml:space="preserve">3.d. Data release calendar </w:t>
      </w:r>
      <w:r>
        <w:rPr>
          <w:color w:val="B4B4B4"/>
          <w:sz w:val="20"/>
        </w:rPr>
        <w:t>(REL_CAL_POLICY)</w:t>
      </w:r>
    </w:p>
    <w:bookmarkEnd w:id="11"/>
    <w:p w14:paraId="5EAB53D5" w14:textId="10CE33B2" w:rsidR="00576CFA" w:rsidRPr="00101C81" w:rsidRDefault="41B401EF" w:rsidP="00576CFA">
      <w:pPr>
        <w:pStyle w:val="MText"/>
        <w:rPr>
          <w:rFonts w:ascii="Calibri" w:hAnsi="Calibri" w:cs="Calibri"/>
          <w:color w:val="000000" w:themeColor="text1"/>
        </w:rPr>
      </w:pPr>
      <w:r w:rsidRPr="00101C81">
        <w:rPr>
          <w:rStyle w:val="normaltextrun"/>
          <w:rFonts w:ascii="Calibri" w:hAnsi="Calibri" w:cs="Calibri"/>
          <w:color w:val="000000" w:themeColor="text1"/>
        </w:rPr>
        <w:t xml:space="preserve">The first release of baseline values for the </w:t>
      </w:r>
      <w:r w:rsidRPr="00101C81">
        <w:rPr>
          <w:rStyle w:val="ui-provider"/>
          <w:color w:val="000000" w:themeColor="text1"/>
        </w:rPr>
        <w:t xml:space="preserve">health product access </w:t>
      </w:r>
      <w:r w:rsidR="71693A44" w:rsidRPr="00101C81">
        <w:rPr>
          <w:rStyle w:val="normaltextrun"/>
          <w:rFonts w:ascii="Calibri" w:hAnsi="Calibri" w:cs="Calibri"/>
          <w:color w:val="000000" w:themeColor="text1"/>
        </w:rPr>
        <w:t>index takes</w:t>
      </w:r>
      <w:r w:rsidRPr="00101C81">
        <w:rPr>
          <w:rStyle w:val="normaltextrun"/>
          <w:rFonts w:ascii="Calibri" w:hAnsi="Calibri" w:cs="Calibri"/>
          <w:color w:val="000000" w:themeColor="text1"/>
        </w:rPr>
        <w:t xml:space="preserve"> place </w:t>
      </w:r>
      <w:r w:rsidR="0072368D">
        <w:rPr>
          <w:rStyle w:val="normaltextrun"/>
          <w:rFonts w:ascii="Calibri" w:hAnsi="Calibri" w:cs="Calibri"/>
          <w:color w:val="000000" w:themeColor="text1"/>
        </w:rPr>
        <w:t>upon approval of the indicator</w:t>
      </w:r>
      <w:r w:rsidRPr="00101C81">
        <w:rPr>
          <w:rStyle w:val="normaltextrun"/>
          <w:rFonts w:ascii="Calibri" w:hAnsi="Calibri" w:cs="Calibri"/>
          <w:color w:val="000000" w:themeColor="text1"/>
        </w:rPr>
        <w:t>. Updates are released every two years.</w:t>
      </w:r>
    </w:p>
    <w:p w14:paraId="64C749BD" w14:textId="77777777" w:rsidR="00EC2915" w:rsidRPr="00A96255" w:rsidRDefault="00EC2915" w:rsidP="00576CFA">
      <w:pPr>
        <w:pStyle w:val="MText"/>
      </w:pPr>
    </w:p>
    <w:p w14:paraId="3A4F3065" w14:textId="3AD52F9D" w:rsidR="00E46D96" w:rsidRPr="00B544F2" w:rsidRDefault="00E46D96" w:rsidP="00F719A8">
      <w:pPr>
        <w:pStyle w:val="MHeader2"/>
        <w:rPr>
          <w:lang w:val="it-IT"/>
        </w:rPr>
      </w:pPr>
      <w:bookmarkStart w:id="12" w:name="_Hlk203386875"/>
      <w:r w:rsidRPr="00B544F2">
        <w:rPr>
          <w:lang w:val="it-IT"/>
        </w:rPr>
        <w:t xml:space="preserve">3.e. Data providers </w:t>
      </w:r>
      <w:r w:rsidRPr="00B544F2">
        <w:rPr>
          <w:color w:val="B4B4B4"/>
          <w:sz w:val="20"/>
          <w:lang w:val="it-IT"/>
        </w:rPr>
        <w:t>(DATA_SOURCE)</w:t>
      </w:r>
    </w:p>
    <w:bookmarkEnd w:id="12"/>
    <w:p w14:paraId="50A66E64" w14:textId="3C0191BA" w:rsidR="00EC2915" w:rsidRPr="00101C81" w:rsidRDefault="008B79FC" w:rsidP="00576CFA">
      <w:pPr>
        <w:pStyle w:val="MText"/>
        <w:rPr>
          <w:rStyle w:val="normaltextrun"/>
          <w:rFonts w:ascii="Calibri" w:hAnsi="Calibri" w:cs="Calibri"/>
          <w:color w:val="000000" w:themeColor="text1"/>
        </w:rPr>
      </w:pPr>
      <w:r w:rsidRPr="00101C81">
        <w:rPr>
          <w:rStyle w:val="normaltextrun"/>
          <w:rFonts w:ascii="Calibri" w:hAnsi="Calibri" w:cs="Calibri"/>
          <w:color w:val="000000" w:themeColor="text1"/>
        </w:rPr>
        <w:t>In most cases, Ministries of Health and National Statistical Offices oversee data collection and reporting for health service coverage indicators. </w:t>
      </w:r>
    </w:p>
    <w:p w14:paraId="5C0AF241" w14:textId="77777777" w:rsidR="008B79FC" w:rsidRPr="00A96255" w:rsidRDefault="008B79FC" w:rsidP="00576CFA">
      <w:pPr>
        <w:pStyle w:val="MText"/>
      </w:pPr>
    </w:p>
    <w:p w14:paraId="30DC8E05" w14:textId="484D6EC2" w:rsidR="00E46D96" w:rsidRPr="00A96255" w:rsidRDefault="00E46D96" w:rsidP="00F719A8">
      <w:pPr>
        <w:pStyle w:val="MHeader2"/>
      </w:pPr>
      <w:bookmarkStart w:id="13" w:name="_Hlk203386883"/>
      <w:r w:rsidRPr="00A96255">
        <w:t xml:space="preserve">3.f. Data compilers </w:t>
      </w:r>
      <w:r>
        <w:rPr>
          <w:color w:val="B4B4B4"/>
          <w:sz w:val="20"/>
        </w:rPr>
        <w:t>(COMPILING_ORG)</w:t>
      </w:r>
    </w:p>
    <w:bookmarkEnd w:id="13"/>
    <w:p w14:paraId="5C43435B" w14:textId="5331F1EA" w:rsidR="00EC2915" w:rsidRPr="00101C81" w:rsidRDefault="008B79FC" w:rsidP="00576CFA">
      <w:pPr>
        <w:pStyle w:val="MText"/>
        <w:rPr>
          <w:rStyle w:val="eop"/>
          <w:rFonts w:ascii="Calibri" w:hAnsi="Calibri" w:cs="Calibri"/>
          <w:color w:val="000000" w:themeColor="text1"/>
        </w:rPr>
      </w:pPr>
      <w:r w:rsidRPr="00101C81">
        <w:rPr>
          <w:rStyle w:val="normaltextrun"/>
          <w:rFonts w:ascii="Calibri" w:hAnsi="Calibri" w:cs="Calibri"/>
          <w:color w:val="000000" w:themeColor="text1"/>
          <w:shd w:val="clear" w:color="auto" w:fill="FFFFFF"/>
        </w:rPr>
        <w:t>The World Health Organization, drawing on inputs from other international agencies such as UNICEF, UNAIDS, UN DESA. </w:t>
      </w:r>
      <w:r w:rsidRPr="00101C81">
        <w:rPr>
          <w:rStyle w:val="eop"/>
          <w:rFonts w:ascii="Calibri" w:hAnsi="Calibri" w:cs="Calibri"/>
          <w:color w:val="000000" w:themeColor="text1"/>
        </w:rPr>
        <w:t> </w:t>
      </w:r>
    </w:p>
    <w:p w14:paraId="5E988B91" w14:textId="77777777" w:rsidR="008B79FC" w:rsidRPr="00A96255" w:rsidRDefault="008B79FC" w:rsidP="00576CFA">
      <w:pPr>
        <w:pStyle w:val="MText"/>
      </w:pPr>
    </w:p>
    <w:p w14:paraId="5655E768" w14:textId="5429F32E" w:rsidR="00E46D96" w:rsidRPr="00A96255" w:rsidRDefault="00E46D96" w:rsidP="00F719A8">
      <w:pPr>
        <w:pStyle w:val="MHeader2"/>
      </w:pPr>
      <w:bookmarkStart w:id="14" w:name="_Hlk203386890"/>
      <w:r w:rsidRPr="00A96255">
        <w:t xml:space="preserve">3.g. Institutional mandate </w:t>
      </w:r>
      <w:r>
        <w:rPr>
          <w:color w:val="B4B4B4"/>
          <w:sz w:val="20"/>
        </w:rPr>
        <w:t>(INST_MANDATE)</w:t>
      </w:r>
    </w:p>
    <w:bookmarkEnd w:id="14"/>
    <w:p w14:paraId="26B863C3" w14:textId="7BBA746D" w:rsidR="00576CFA" w:rsidRPr="00101C81" w:rsidRDefault="00717A65" w:rsidP="00576CFA">
      <w:pPr>
        <w:pStyle w:val="MText"/>
        <w:rPr>
          <w:color w:val="000000" w:themeColor="text1"/>
        </w:rPr>
      </w:pPr>
      <w:r w:rsidRPr="00101C81">
        <w:rPr>
          <w:color w:val="000000" w:themeColor="text1"/>
        </w:rPr>
        <w:t>The General Programme of Work</w:t>
      </w:r>
      <w:r w:rsidR="00483B58" w:rsidRPr="00101C81">
        <w:rPr>
          <w:color w:val="000000" w:themeColor="text1"/>
        </w:rPr>
        <w:t xml:space="preserve"> (GPW)</w:t>
      </w:r>
      <w:r w:rsidRPr="00101C81">
        <w:rPr>
          <w:color w:val="000000" w:themeColor="text1"/>
        </w:rPr>
        <w:t xml:space="preserve"> </w:t>
      </w:r>
      <w:r w:rsidR="007860FD" w:rsidRPr="00101C81">
        <w:rPr>
          <w:color w:val="000000" w:themeColor="text1"/>
        </w:rPr>
        <w:t>approved by</w:t>
      </w:r>
      <w:r w:rsidRPr="00101C81">
        <w:rPr>
          <w:color w:val="000000" w:themeColor="text1"/>
        </w:rPr>
        <w:t xml:space="preserve"> WHO</w:t>
      </w:r>
      <w:r w:rsidR="007860FD" w:rsidRPr="00101C81">
        <w:rPr>
          <w:color w:val="000000" w:themeColor="text1"/>
        </w:rPr>
        <w:t xml:space="preserve">’s Member States requires the Secretariat to monitor access to </w:t>
      </w:r>
      <w:r w:rsidR="00483B58" w:rsidRPr="00101C81">
        <w:rPr>
          <w:color w:val="000000" w:themeColor="text1"/>
        </w:rPr>
        <w:t xml:space="preserve">health products and technologies.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bookmarkStart w:id="15" w:name="_Hlk203386898"/>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bookmarkEnd w:id="15"/>
    <w:p w14:paraId="0AD7EEA2" w14:textId="3E8068A9" w:rsidR="00576CFA" w:rsidRPr="00101C81" w:rsidRDefault="008F7F34" w:rsidP="00576CFA">
      <w:pPr>
        <w:pStyle w:val="MText"/>
        <w:rPr>
          <w:rFonts w:ascii="Calibri" w:hAnsi="Calibri" w:cs="Calibri"/>
          <w:color w:val="000000" w:themeColor="text1"/>
        </w:rPr>
      </w:pPr>
      <w:r w:rsidRPr="00101C81">
        <w:rPr>
          <w:rFonts w:ascii="Calibri" w:eastAsia="Source Sans Pro" w:hAnsi="Calibri" w:cs="Calibri"/>
          <w:color w:val="000000" w:themeColor="text1"/>
        </w:rPr>
        <w:t>Access to health products (medicines, vaccines, medical devices including diagnostics, assistive products, blood and other products of human origin) is a core element of providing</w:t>
      </w:r>
      <w:r w:rsidRPr="00101C81">
        <w:rPr>
          <w:rFonts w:ascii="Calibri" w:hAnsi="Calibri" w:cs="Calibri"/>
          <w:color w:val="000000" w:themeColor="text1"/>
        </w:rPr>
        <w:t xml:space="preserve"> quality health services that people need.  The health product access index is designed to summarize data from existing essential health service coverage indicators to reduce duplication and reporting burden.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bookmarkStart w:id="16" w:name="_Hlk203386907"/>
      <w:r w:rsidRPr="00A96255">
        <w:t xml:space="preserve">4.b. Comment and limitations </w:t>
      </w:r>
      <w:r>
        <w:rPr>
          <w:color w:val="B4B4B4"/>
          <w:sz w:val="20"/>
        </w:rPr>
        <w:t>(REC_USE_LIM)</w:t>
      </w:r>
    </w:p>
    <w:bookmarkEnd w:id="16"/>
    <w:p w14:paraId="398C00AE" w14:textId="48AE5D93" w:rsidR="00EC2915" w:rsidRPr="00101C81" w:rsidRDefault="0306C164" w:rsidP="00967B40">
      <w:pPr>
        <w:rPr>
          <w:color w:val="000000" w:themeColor="text1"/>
          <w:sz w:val="21"/>
          <w:szCs w:val="21"/>
        </w:rPr>
      </w:pPr>
      <w:r w:rsidRPr="00101C81">
        <w:rPr>
          <w:color w:val="000000" w:themeColor="text1"/>
          <w:sz w:val="21"/>
          <w:szCs w:val="21"/>
        </w:rPr>
        <w:t>These tracer indicators are meant to be indicative of access to health products and not a complete or exhaustive list of all health products required to deliver essential health services, under universal health coverage. The 19 tracer indicators were selected because they are well-established. Therefore, the index can be computed with existing data sources and does not require initiating new data collection.</w:t>
      </w:r>
    </w:p>
    <w:p w14:paraId="79EEEE38" w14:textId="75AB172D" w:rsidR="00E1050F" w:rsidRPr="00A96255" w:rsidRDefault="1A459CA1" w:rsidP="00F719A8">
      <w:pPr>
        <w:pStyle w:val="MHeader2"/>
      </w:pPr>
      <w:bookmarkStart w:id="17" w:name="_Hlk203386918"/>
      <w:r>
        <w:t xml:space="preserve">4.c. Method of computation </w:t>
      </w:r>
      <w:r w:rsidRPr="153C7502">
        <w:rPr>
          <w:color w:val="B4B4B4"/>
          <w:sz w:val="20"/>
          <w:szCs w:val="20"/>
        </w:rPr>
        <w:t>(DATA_COMP)</w:t>
      </w:r>
    </w:p>
    <w:bookmarkEnd w:id="17"/>
    <w:p w14:paraId="78C02CD6" w14:textId="51A200FD" w:rsidR="002057A3" w:rsidRDefault="000B372D" w:rsidP="2C7966AB">
      <w:pPr>
        <w:pStyle w:val="MText"/>
        <w:shd w:val="clear" w:color="auto" w:fill="FFFFFF" w:themeFill="background1"/>
        <w:rPr>
          <w:rStyle w:val="ui-provider"/>
          <w:rFonts w:eastAsiaTheme="minorEastAsia" w:cstheme="minorBidi"/>
          <w:color w:val="000000" w:themeColor="text1"/>
        </w:rPr>
      </w:pPr>
      <w:r w:rsidRPr="00101C81">
        <w:rPr>
          <w:rStyle w:val="ui-provider"/>
          <w:color w:val="000000" w:themeColor="text1"/>
        </w:rPr>
        <w:lastRenderedPageBreak/>
        <w:t>The index is computed with geometric means, using the mean scores calculated for each tracer indicator group (er category of product) that is linked to the use of different health products.</w:t>
      </w:r>
      <w:r w:rsidR="002057A3">
        <w:rPr>
          <w:rStyle w:val="ui-provider"/>
          <w:color w:val="000000" w:themeColor="text1"/>
        </w:rPr>
        <w:t xml:space="preserve"> </w:t>
      </w:r>
      <w:r w:rsidRPr="00101C81">
        <w:rPr>
          <w:rStyle w:val="ui-provider"/>
          <w:color w:val="000000" w:themeColor="text1"/>
        </w:rPr>
        <w:t>The index is reported on a unitless scale of 0 to 100, with 100 being the optimal value</w:t>
      </w:r>
      <w:r w:rsidRPr="00101C81">
        <w:rPr>
          <w:rStyle w:val="ui-provider"/>
          <w:rFonts w:eastAsiaTheme="minorEastAsia" w:cstheme="minorBidi"/>
          <w:color w:val="000000" w:themeColor="text1"/>
        </w:rPr>
        <w:t>.</w:t>
      </w:r>
      <w:r w:rsidR="07DE39AC" w:rsidRPr="00101C81">
        <w:rPr>
          <w:rStyle w:val="ui-provider"/>
          <w:rFonts w:eastAsiaTheme="minorEastAsia" w:cstheme="minorBidi"/>
          <w:color w:val="000000" w:themeColor="text1"/>
        </w:rPr>
        <w:t xml:space="preserve"> </w:t>
      </w:r>
    </w:p>
    <w:p w14:paraId="62D2C27A" w14:textId="77777777" w:rsidR="002057A3" w:rsidRDefault="002057A3" w:rsidP="2C7966AB">
      <w:pPr>
        <w:pStyle w:val="MText"/>
        <w:shd w:val="clear" w:color="auto" w:fill="FFFFFF" w:themeFill="background1"/>
        <w:rPr>
          <w:rStyle w:val="ui-provider"/>
          <w:rFonts w:eastAsiaTheme="minorEastAsia" w:cstheme="minorBidi"/>
          <w:color w:val="000000" w:themeColor="text1"/>
        </w:rPr>
      </w:pPr>
    </w:p>
    <w:p w14:paraId="350FBF40" w14:textId="3A59506B" w:rsidR="557B14E5" w:rsidRPr="00101C81" w:rsidRDefault="002057A3" w:rsidP="2C7966AB">
      <w:pPr>
        <w:pStyle w:val="MText"/>
        <w:shd w:val="clear" w:color="auto" w:fill="FFFFFF" w:themeFill="background1"/>
        <w:rPr>
          <w:rStyle w:val="ui-provider"/>
          <w:color w:val="000000" w:themeColor="text1"/>
        </w:rPr>
      </w:pPr>
      <w:r>
        <w:rPr>
          <w:rStyle w:val="ui-provider"/>
          <w:rFonts w:eastAsiaTheme="minorEastAsia" w:cstheme="minorBidi"/>
          <w:color w:val="000000" w:themeColor="text1"/>
        </w:rPr>
        <w:t>The</w:t>
      </w:r>
      <w:r w:rsidR="07DE39AC" w:rsidRPr="00101C81">
        <w:rPr>
          <w:rStyle w:val="ui-provider"/>
          <w:rFonts w:eastAsiaTheme="minorEastAsia" w:cstheme="minorBidi"/>
          <w:color w:val="000000" w:themeColor="text1"/>
        </w:rPr>
        <w:t xml:space="preserve"> 19 tracer indicators </w:t>
      </w:r>
      <w:r>
        <w:rPr>
          <w:rStyle w:val="ui-provider"/>
          <w:rFonts w:eastAsiaTheme="minorEastAsia" w:cstheme="minorBidi"/>
          <w:color w:val="000000" w:themeColor="text1"/>
        </w:rPr>
        <w:t xml:space="preserve">were first standardized </w:t>
      </w:r>
      <w:r w:rsidR="07DE39AC" w:rsidRPr="00101C81">
        <w:rPr>
          <w:rStyle w:val="ui-provider"/>
          <w:rFonts w:eastAsiaTheme="minorEastAsia" w:cstheme="minorBidi"/>
          <w:color w:val="000000" w:themeColor="text1"/>
        </w:rPr>
        <w:t xml:space="preserve">so that they can be combined into the </w:t>
      </w:r>
      <w:proofErr w:type="gramStart"/>
      <w:r w:rsidR="07DE39AC" w:rsidRPr="00101C81">
        <w:rPr>
          <w:rStyle w:val="ui-provider"/>
          <w:rFonts w:eastAsiaTheme="minorEastAsia" w:cstheme="minorBidi"/>
          <w:color w:val="000000" w:themeColor="text1"/>
        </w:rPr>
        <w:t>index, and</w:t>
      </w:r>
      <w:proofErr w:type="gramEnd"/>
      <w:r w:rsidR="07DE39AC" w:rsidRPr="00101C81">
        <w:rPr>
          <w:rStyle w:val="ui-provider"/>
          <w:rFonts w:eastAsiaTheme="minorEastAsia" w:cstheme="minorBidi"/>
          <w:color w:val="000000" w:themeColor="text1"/>
        </w:rPr>
        <w:t xml:space="preserve"> then computing the index from those values.  </w:t>
      </w:r>
      <w:r w:rsidR="557B14E5" w:rsidRPr="00101C81">
        <w:rPr>
          <w:rStyle w:val="ui-provider"/>
          <w:rFonts w:eastAsiaTheme="minorEastAsia" w:cstheme="minorBidi"/>
          <w:color w:val="000000" w:themeColor="text1"/>
        </w:rPr>
        <w:t>A squared dataset was generated by extrapolating missing data periods for all countries and indicators, provided that each country had at least one data point available. Interpolation models then applied between existing data points to fill in missing values, effectively bridging the gaps between years. Subsequently, the dataset underwent a hierarchical mean calculation process, initially aggregating data from 2010 to 2022 for each indicator, followed by grouping indicators and calculating means at that level. Finally, means were computed for each country and region.</w:t>
      </w:r>
    </w:p>
    <w:p w14:paraId="6A89839E" w14:textId="77777777" w:rsidR="00576CFA" w:rsidRPr="00A96255" w:rsidRDefault="00576CFA" w:rsidP="2C7966AB">
      <w:pPr>
        <w:pStyle w:val="MText"/>
        <w:shd w:val="clear" w:color="auto" w:fill="FFFFFF" w:themeFill="background1"/>
        <w:rPr>
          <w:rStyle w:val="ui-provider"/>
        </w:rPr>
      </w:pPr>
    </w:p>
    <w:p w14:paraId="514CE3C0" w14:textId="3F3F7A53" w:rsidR="00E1050F" w:rsidRPr="00A96255" w:rsidRDefault="00576CFA" w:rsidP="00F719A8">
      <w:pPr>
        <w:pStyle w:val="MHeader2"/>
      </w:pPr>
      <w:bookmarkStart w:id="18" w:name="_Hlk203386926"/>
      <w:r w:rsidRPr="00A96255">
        <w:t xml:space="preserve">4.d. Validation </w:t>
      </w:r>
      <w:r>
        <w:rPr>
          <w:color w:val="B4B4B4"/>
          <w:sz w:val="20"/>
        </w:rPr>
        <w:t>(DATA_VALIDATION)</w:t>
      </w:r>
    </w:p>
    <w:bookmarkEnd w:id="18"/>
    <w:p w14:paraId="746FA91F" w14:textId="694E156C" w:rsidR="00F719A8" w:rsidRPr="00101C81" w:rsidRDefault="00792CAF" w:rsidP="00576CFA">
      <w:pPr>
        <w:pStyle w:val="MText"/>
        <w:rPr>
          <w:color w:val="000000" w:themeColor="text1"/>
        </w:rPr>
      </w:pPr>
      <w:r w:rsidRPr="00101C81">
        <w:rPr>
          <w:rStyle w:val="normaltextrun"/>
          <w:rFonts w:ascii="Calibri" w:hAnsi="Calibri" w:cs="Calibri"/>
          <w:color w:val="000000" w:themeColor="text1"/>
        </w:rPr>
        <w:t>The data obtained to calculate the index have typically already been checked for quality through separated processes.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bookmarkStart w:id="19" w:name="_Hlk203386934"/>
      <w:r w:rsidRPr="00A96255">
        <w:t xml:space="preserve">4.e. Adjustments </w:t>
      </w:r>
      <w:r>
        <w:rPr>
          <w:color w:val="B4B4B4"/>
          <w:sz w:val="20"/>
        </w:rPr>
        <w:t>(ADJUSTMENT)</w:t>
      </w:r>
    </w:p>
    <w:bookmarkEnd w:id="19"/>
    <w:p w14:paraId="7FBAEBBA" w14:textId="12733D35" w:rsidR="00EC2915" w:rsidRPr="00101C81" w:rsidRDefault="007B1559" w:rsidP="00576CFA">
      <w:pPr>
        <w:pStyle w:val="MText"/>
        <w:rPr>
          <w:rStyle w:val="normaltextrun"/>
          <w:rFonts w:ascii="Calibri" w:hAnsi="Calibri" w:cs="Calibri"/>
          <w:color w:val="000000" w:themeColor="text1"/>
          <w:bdr w:val="none" w:sz="0" w:space="0" w:color="auto" w:frame="1"/>
        </w:rPr>
      </w:pPr>
      <w:r w:rsidRPr="00101C81">
        <w:rPr>
          <w:rStyle w:val="normaltextrun"/>
          <w:rFonts w:ascii="Calibri" w:hAnsi="Calibri" w:cs="Calibri"/>
          <w:color w:val="000000" w:themeColor="text1"/>
          <w:bdr w:val="none" w:sz="0" w:space="0" w:color="auto" w:frame="1"/>
        </w:rPr>
        <w:t>Not applicable</w:t>
      </w:r>
    </w:p>
    <w:p w14:paraId="6569501D" w14:textId="77777777" w:rsidR="007B1559" w:rsidRPr="00A96255" w:rsidRDefault="007B1559" w:rsidP="00576CFA">
      <w:pPr>
        <w:pStyle w:val="MText"/>
      </w:pPr>
    </w:p>
    <w:p w14:paraId="17735630" w14:textId="3387C27D" w:rsidR="00E1050F" w:rsidRPr="00A96255" w:rsidRDefault="079E356F" w:rsidP="00F719A8">
      <w:pPr>
        <w:pStyle w:val="MHeader2"/>
      </w:pPr>
      <w:bookmarkStart w:id="20" w:name="_Hlk203386942"/>
      <w:r>
        <w:t xml:space="preserve">4.f. Treatment of missing values (i) at country level and (ii) at regional level </w:t>
      </w:r>
      <w:r w:rsidRPr="153C7502">
        <w:rPr>
          <w:color w:val="B4B4B4"/>
          <w:sz w:val="20"/>
          <w:szCs w:val="20"/>
        </w:rPr>
        <w:t>(IMPUTATION)</w:t>
      </w:r>
    </w:p>
    <w:bookmarkEnd w:id="20"/>
    <w:p w14:paraId="53FC1831" w14:textId="1CA19594" w:rsidR="33AF7331" w:rsidRPr="00101C81" w:rsidRDefault="33AF7331" w:rsidP="2C7966AB">
      <w:pPr>
        <w:pStyle w:val="MText"/>
        <w:numPr>
          <w:ilvl w:val="0"/>
          <w:numId w:val="1"/>
        </w:numPr>
        <w:rPr>
          <w:color w:val="auto"/>
        </w:rPr>
      </w:pPr>
      <w:r w:rsidRPr="00101C81">
        <w:rPr>
          <w:color w:val="auto"/>
        </w:rPr>
        <w:t>Identify Missing Data: Begin by identifying which data points are missing within your dataset. This typically involves examining your dataset and identifying any gaps or missing values.</w:t>
      </w:r>
    </w:p>
    <w:p w14:paraId="1FB7151E" w14:textId="61FE3D1E" w:rsidR="33AF7331" w:rsidRPr="00101C81" w:rsidRDefault="33AF7331" w:rsidP="2C7966AB">
      <w:pPr>
        <w:pStyle w:val="MText"/>
        <w:numPr>
          <w:ilvl w:val="0"/>
          <w:numId w:val="1"/>
        </w:numPr>
        <w:rPr>
          <w:color w:val="auto"/>
        </w:rPr>
      </w:pPr>
      <w:r w:rsidRPr="00101C81">
        <w:rPr>
          <w:color w:val="auto"/>
        </w:rPr>
        <w:t>Extrapolation: Extrapolation involves estimating missing values based on the trend or pattern observed in the available data. In the context of time series data, extrapolation predicts missing values by extending the trend observed before and after the missing data points.</w:t>
      </w:r>
    </w:p>
    <w:p w14:paraId="66D777C2" w14:textId="152285AF" w:rsidR="33AF7331" w:rsidRPr="00101C81" w:rsidRDefault="33AF7331" w:rsidP="2C7966AB">
      <w:pPr>
        <w:pStyle w:val="MText"/>
        <w:numPr>
          <w:ilvl w:val="0"/>
          <w:numId w:val="1"/>
        </w:numPr>
        <w:rPr>
          <w:color w:val="auto"/>
        </w:rPr>
      </w:pPr>
      <w:r w:rsidRPr="00101C81">
        <w:rPr>
          <w:color w:val="auto"/>
        </w:rPr>
        <w:t xml:space="preserve">Choose Extrapolation Method: There are various methods for extrapolating missing data, such as linear extrapolation, exponential smoothing, or curve fitting techniques like polynomial regression. The choice of method depends on the nature of the </w:t>
      </w:r>
      <w:r w:rsidR="741B208B" w:rsidRPr="00101C81">
        <w:rPr>
          <w:color w:val="auto"/>
        </w:rPr>
        <w:t>available</w:t>
      </w:r>
      <w:r w:rsidRPr="00101C81">
        <w:rPr>
          <w:color w:val="auto"/>
        </w:rPr>
        <w:t xml:space="preserve"> data and the underlying patterns.</w:t>
      </w:r>
    </w:p>
    <w:p w14:paraId="130B26D2" w14:textId="5AD4FCD0" w:rsidR="33AF7331" w:rsidRPr="00101C81" w:rsidRDefault="33AF7331" w:rsidP="2C7966AB">
      <w:pPr>
        <w:pStyle w:val="MText"/>
        <w:numPr>
          <w:ilvl w:val="0"/>
          <w:numId w:val="1"/>
        </w:numPr>
        <w:rPr>
          <w:color w:val="auto"/>
        </w:rPr>
      </w:pPr>
      <w:r w:rsidRPr="00101C81">
        <w:rPr>
          <w:color w:val="auto"/>
        </w:rPr>
        <w:t>Apply Extrapolation: Once selected an appropriate extrapolation method, apply it to estimate the missing values in your dataset. This involves using the available data points to predict the values for the missing time periods.</w:t>
      </w:r>
    </w:p>
    <w:p w14:paraId="7889FA08" w14:textId="2199DC50" w:rsidR="33AF7331" w:rsidRPr="00101C81" w:rsidRDefault="33AF7331" w:rsidP="2C7966AB">
      <w:pPr>
        <w:pStyle w:val="MText"/>
        <w:numPr>
          <w:ilvl w:val="0"/>
          <w:numId w:val="1"/>
        </w:numPr>
        <w:rPr>
          <w:color w:val="auto"/>
        </w:rPr>
      </w:pPr>
      <w:r w:rsidRPr="00101C81">
        <w:rPr>
          <w:color w:val="auto"/>
        </w:rPr>
        <w:t>Validate Extrapolated Values: After extrapolating the missing values, it's important to validate the accuracy of the estimates. You can do this by comparing the extrapolated values to actual observed data, if available, or by assessing the reasonableness of the estimates based on domain knowledge.</w:t>
      </w:r>
    </w:p>
    <w:p w14:paraId="0D8A73CD" w14:textId="5686D8CE" w:rsidR="33AF7331" w:rsidRPr="00101C81" w:rsidRDefault="33AF7331" w:rsidP="2C7966AB">
      <w:pPr>
        <w:pStyle w:val="MText"/>
        <w:numPr>
          <w:ilvl w:val="0"/>
          <w:numId w:val="1"/>
        </w:numPr>
        <w:rPr>
          <w:color w:val="auto"/>
        </w:rPr>
      </w:pPr>
      <w:r w:rsidRPr="00101C81">
        <w:rPr>
          <w:color w:val="auto"/>
        </w:rPr>
        <w:t xml:space="preserve">Create Squared Dataset: Once missing values have been extrapolated and </w:t>
      </w:r>
      <w:r w:rsidR="41DF78CE" w:rsidRPr="00101C81">
        <w:rPr>
          <w:color w:val="auto"/>
        </w:rPr>
        <w:t>validated, a</w:t>
      </w:r>
      <w:r w:rsidRPr="00101C81">
        <w:rPr>
          <w:color w:val="auto"/>
        </w:rPr>
        <w:t xml:space="preserve"> squared dataset</w:t>
      </w:r>
      <w:r w:rsidR="2377EEDF" w:rsidRPr="00101C81">
        <w:rPr>
          <w:color w:val="auto"/>
        </w:rPr>
        <w:t xml:space="preserve"> created</w:t>
      </w:r>
      <w:r w:rsidRPr="00101C81">
        <w:rPr>
          <w:color w:val="auto"/>
        </w:rPr>
        <w:t xml:space="preserve"> by ensuring that each country and indicator has complete data for all time periods of interest.</w:t>
      </w:r>
    </w:p>
    <w:p w14:paraId="52C7FA3B" w14:textId="74DF9C42" w:rsidR="33AF7331" w:rsidRPr="00101C81" w:rsidRDefault="33AF7331" w:rsidP="2C7966AB">
      <w:pPr>
        <w:pStyle w:val="MText"/>
        <w:numPr>
          <w:ilvl w:val="0"/>
          <w:numId w:val="1"/>
        </w:numPr>
        <w:rPr>
          <w:color w:val="auto"/>
        </w:rPr>
      </w:pPr>
      <w:r w:rsidRPr="00101C81">
        <w:rPr>
          <w:color w:val="auto"/>
        </w:rPr>
        <w:t xml:space="preserve">Interpolation: After creating the squared </w:t>
      </w:r>
      <w:r w:rsidR="63474070" w:rsidRPr="00101C81">
        <w:rPr>
          <w:color w:val="auto"/>
        </w:rPr>
        <w:t>dataset, further</w:t>
      </w:r>
      <w:r w:rsidRPr="00101C81">
        <w:rPr>
          <w:color w:val="auto"/>
        </w:rPr>
        <w:t xml:space="preserve"> refine the data</w:t>
      </w:r>
      <w:r w:rsidR="6FB2899E" w:rsidRPr="00101C81">
        <w:rPr>
          <w:color w:val="auto"/>
        </w:rPr>
        <w:t xml:space="preserve"> may apply</w:t>
      </w:r>
      <w:r w:rsidRPr="00101C81">
        <w:rPr>
          <w:color w:val="auto"/>
        </w:rPr>
        <w:t xml:space="preserve"> by using interpolation techniques to fill in any remaining gaps between existing data points. Interpolation helps smooth out the dataset and provides more accurate estimates for missing values between known data points.</w:t>
      </w:r>
    </w:p>
    <w:p w14:paraId="66B8557A" w14:textId="2555B4AD" w:rsidR="33AF7331" w:rsidRPr="00101C81" w:rsidRDefault="33AF7331" w:rsidP="2C7966AB">
      <w:pPr>
        <w:pStyle w:val="MText"/>
        <w:numPr>
          <w:ilvl w:val="0"/>
          <w:numId w:val="1"/>
        </w:numPr>
        <w:rPr>
          <w:color w:val="auto"/>
        </w:rPr>
      </w:pPr>
      <w:r w:rsidRPr="00101C81">
        <w:rPr>
          <w:color w:val="auto"/>
        </w:rPr>
        <w:lastRenderedPageBreak/>
        <w:t xml:space="preserve">Data Analysis: With the squared dataset containing extrapolated and interpolated values, </w:t>
      </w:r>
      <w:r w:rsidR="09A31094" w:rsidRPr="00101C81">
        <w:rPr>
          <w:color w:val="auto"/>
        </w:rPr>
        <w:t xml:space="preserve">a </w:t>
      </w:r>
      <w:r w:rsidRPr="00101C81">
        <w:rPr>
          <w:color w:val="auto"/>
        </w:rPr>
        <w:t>data analysis</w:t>
      </w:r>
      <w:r w:rsidR="6F61125C" w:rsidRPr="00101C81">
        <w:rPr>
          <w:color w:val="auto"/>
        </w:rPr>
        <w:t xml:space="preserve"> can be started with proper model</w:t>
      </w:r>
      <w:r w:rsidRPr="00101C81">
        <w:rPr>
          <w:color w:val="auto"/>
        </w:rPr>
        <w:t>, such as calculating means</w:t>
      </w:r>
      <w:r w:rsidR="732DA188" w:rsidRPr="00101C81">
        <w:rPr>
          <w:color w:val="auto"/>
        </w:rPr>
        <w:t>.</w:t>
      </w:r>
    </w:p>
    <w:p w14:paraId="27033367" w14:textId="77777777" w:rsidR="00EC2915" w:rsidRPr="00A96255" w:rsidRDefault="00EC2915" w:rsidP="00576CFA">
      <w:pPr>
        <w:pStyle w:val="MText"/>
      </w:pPr>
    </w:p>
    <w:p w14:paraId="51FCD280" w14:textId="0DAB30E3" w:rsidR="00E1050F" w:rsidRPr="00A96255" w:rsidRDefault="1A459CA1" w:rsidP="00F719A8">
      <w:pPr>
        <w:pStyle w:val="MHeader2"/>
      </w:pPr>
      <w:bookmarkStart w:id="21" w:name="_Hlk203386957"/>
      <w:r>
        <w:t xml:space="preserve">4.g. </w:t>
      </w:r>
      <w:proofErr w:type="gramStart"/>
      <w:r>
        <w:t>Regional</w:t>
      </w:r>
      <w:proofErr w:type="gramEnd"/>
      <w:r>
        <w:t xml:space="preserve"> aggregations </w:t>
      </w:r>
      <w:r w:rsidRPr="153C7502">
        <w:rPr>
          <w:color w:val="B4B4B4"/>
          <w:sz w:val="20"/>
          <w:szCs w:val="20"/>
        </w:rPr>
        <w:t>(REG_AGG)</w:t>
      </w:r>
    </w:p>
    <w:bookmarkEnd w:id="21"/>
    <w:p w14:paraId="71479732" w14:textId="07EDA9B7" w:rsidR="2CE6A6F0" w:rsidRPr="00101C81" w:rsidRDefault="2CE6A6F0" w:rsidP="2C7966AB">
      <w:pPr>
        <w:pStyle w:val="MText"/>
        <w:rPr>
          <w:color w:val="auto"/>
        </w:rPr>
      </w:pPr>
      <w:r w:rsidRPr="00101C81">
        <w:rPr>
          <w:color w:val="auto"/>
        </w:rPr>
        <w:t xml:space="preserve">Any needed imputation is done at country level. These country values can then be used to compute regional and global values.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bookmarkStart w:id="22" w:name="_Hlk203386964"/>
      <w:r w:rsidRPr="00A96255">
        <w:t xml:space="preserve">4.h. Methods and guidance available to countries for the compilation of the data at the national level </w:t>
      </w:r>
      <w:r>
        <w:rPr>
          <w:color w:val="B4B4B4"/>
          <w:sz w:val="20"/>
        </w:rPr>
        <w:t>(DOC_METHOD)</w:t>
      </w:r>
    </w:p>
    <w:bookmarkEnd w:id="22"/>
    <w:p w14:paraId="61C749EB" w14:textId="3372727D" w:rsidR="00576CFA" w:rsidRPr="00101C81" w:rsidRDefault="00DC1EC0" w:rsidP="00576CFA">
      <w:pPr>
        <w:pStyle w:val="MText"/>
        <w:rPr>
          <w:color w:val="auto"/>
        </w:rPr>
      </w:pPr>
      <w:r w:rsidRPr="00101C81">
        <w:rPr>
          <w:rStyle w:val="normaltextrun"/>
          <w:rFonts w:ascii="Calibri" w:hAnsi="Calibri" w:cs="Calibri"/>
          <w:color w:val="auto"/>
          <w:bdr w:val="none" w:sz="0" w:space="0" w:color="auto" w:frame="1"/>
        </w:rP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bookmarkStart w:id="23" w:name="_Hlk203386971"/>
      <w:r w:rsidRPr="00A96255">
        <w:t xml:space="preserve">4.i. Quality management </w:t>
      </w:r>
      <w:r>
        <w:rPr>
          <w:color w:val="B4B4B4"/>
          <w:sz w:val="20"/>
        </w:rPr>
        <w:t>(QUALITY_MGMNT)</w:t>
      </w:r>
    </w:p>
    <w:bookmarkEnd w:id="23"/>
    <w:p w14:paraId="356BAA24" w14:textId="43CECB2C" w:rsidR="00576CFA" w:rsidRPr="00101C81" w:rsidRDefault="00DC1EC0" w:rsidP="00576CFA">
      <w:pPr>
        <w:pStyle w:val="MText"/>
        <w:rPr>
          <w:color w:val="auto"/>
        </w:rPr>
      </w:pPr>
      <w:r w:rsidRPr="00101C81">
        <w:rPr>
          <w:rStyle w:val="normaltextrun"/>
          <w:rFonts w:ascii="Calibri" w:hAnsi="Calibri" w:cs="Calibri"/>
          <w:color w:val="auto"/>
          <w:bdr w:val="none" w:sz="0" w:space="0" w:color="auto" w:frame="1"/>
        </w:rP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bookmarkStart w:id="24" w:name="_Hlk203386985"/>
      <w:r w:rsidRPr="00A96255">
        <w:t xml:space="preserve">4.j Quality assurance </w:t>
      </w:r>
      <w:r>
        <w:rPr>
          <w:color w:val="B4B4B4"/>
          <w:sz w:val="20"/>
        </w:rPr>
        <w:t>(QUALITY_ASSURE)</w:t>
      </w:r>
    </w:p>
    <w:bookmarkEnd w:id="24"/>
    <w:p w14:paraId="7E6B04E3" w14:textId="450AA0FC" w:rsidR="00576CFA" w:rsidRPr="00101C81" w:rsidRDefault="00CF7706" w:rsidP="00576CFA">
      <w:pPr>
        <w:pStyle w:val="MText"/>
        <w:rPr>
          <w:color w:val="auto"/>
        </w:rPr>
      </w:pPr>
      <w:r w:rsidRPr="00101C81">
        <w:rPr>
          <w:rStyle w:val="normaltextrun"/>
          <w:rFonts w:ascii="Calibri" w:hAnsi="Calibri" w:cs="Calibri"/>
          <w:color w:val="auto"/>
          <w:bdr w:val="none" w:sz="0" w:space="0" w:color="auto" w:frame="1"/>
        </w:rP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bookmarkStart w:id="25" w:name="_Hlk203386991"/>
      <w:r w:rsidRPr="00A96255">
        <w:t xml:space="preserve">4.k Quality assessment </w:t>
      </w:r>
      <w:r>
        <w:rPr>
          <w:color w:val="B4B4B4"/>
          <w:sz w:val="20"/>
        </w:rPr>
        <w:t>(QUALITY_ASSMNT)</w:t>
      </w:r>
    </w:p>
    <w:bookmarkEnd w:id="25"/>
    <w:p w14:paraId="326EB0AB" w14:textId="0A5048EF" w:rsidR="00576CFA" w:rsidRPr="00101C81" w:rsidRDefault="00CF7706" w:rsidP="00576CFA">
      <w:pPr>
        <w:pStyle w:val="MText"/>
        <w:rPr>
          <w:color w:val="auto"/>
        </w:rPr>
      </w:pPr>
      <w:r w:rsidRPr="00101C81">
        <w:rPr>
          <w:rStyle w:val="normaltextrun"/>
          <w:rFonts w:ascii="Calibri" w:hAnsi="Calibri" w:cs="Calibri"/>
          <w:color w:val="auto"/>
          <w:bdr w:val="none" w:sz="0" w:space="0" w:color="auto" w:frame="1"/>
        </w:rPr>
        <w:t>Not applicable</w:t>
      </w:r>
    </w:p>
    <w:p w14:paraId="5B7C52CE" w14:textId="77777777" w:rsidR="00576CFA" w:rsidRPr="00A96255" w:rsidRDefault="00576CFA" w:rsidP="00576CFA">
      <w:pPr>
        <w:pStyle w:val="MText"/>
      </w:pPr>
    </w:p>
    <w:p w14:paraId="17787B3C" w14:textId="03FE81A9" w:rsidR="00E1050F" w:rsidRPr="00A96255" w:rsidRDefault="5EA39BB9" w:rsidP="67D5692B">
      <w:pPr>
        <w:pStyle w:val="MHeader"/>
        <w:spacing w:after="100"/>
        <w:rPr>
          <w:color w:val="B4B4B4"/>
          <w:sz w:val="20"/>
          <w:szCs w:val="20"/>
        </w:rPr>
      </w:pPr>
      <w:bookmarkStart w:id="26" w:name="_Hlk203387006"/>
      <w:r>
        <w:t xml:space="preserve">5. Data availability and disaggregation </w:t>
      </w:r>
      <w:r w:rsidRPr="153C7502">
        <w:rPr>
          <w:color w:val="B4B4B4"/>
          <w:sz w:val="20"/>
          <w:szCs w:val="20"/>
        </w:rPr>
        <w:t>(COVERAGE)</w:t>
      </w:r>
    </w:p>
    <w:bookmarkEnd w:id="26"/>
    <w:p w14:paraId="4B819C00" w14:textId="0F6EF543" w:rsidR="00576CFA" w:rsidRDefault="3EC42CE0" w:rsidP="00E1050F">
      <w:pPr>
        <w:pStyle w:val="MText"/>
        <w:rPr>
          <w:color w:val="auto"/>
        </w:rPr>
      </w:pPr>
      <w:r w:rsidRPr="00101C81">
        <w:rPr>
          <w:color w:val="auto"/>
        </w:rPr>
        <w:t xml:space="preserve">Data </w:t>
      </w:r>
      <w:r w:rsidR="14C6ED54" w:rsidRPr="00101C81">
        <w:rPr>
          <w:color w:val="auto"/>
        </w:rPr>
        <w:t>availability</w:t>
      </w:r>
      <w:r w:rsidR="200A9D23" w:rsidRPr="00101C81">
        <w:rPr>
          <w:color w:val="auto"/>
        </w:rPr>
        <w:t xml:space="preserve"> for the 19 tracer indicators </w:t>
      </w:r>
      <w:r w:rsidR="11469E97" w:rsidRPr="00101C81">
        <w:rPr>
          <w:color w:val="auto"/>
        </w:rPr>
        <w:t xml:space="preserve">has been reviewed </w:t>
      </w:r>
      <w:r w:rsidR="501152E3" w:rsidRPr="00101C81">
        <w:rPr>
          <w:color w:val="auto"/>
        </w:rPr>
        <w:t>between 2010</w:t>
      </w:r>
      <w:r w:rsidR="2A2BCDA5" w:rsidRPr="00101C81">
        <w:rPr>
          <w:color w:val="auto"/>
        </w:rPr>
        <w:t xml:space="preserve"> to 202</w:t>
      </w:r>
      <w:r w:rsidR="3D85691F" w:rsidRPr="00101C81">
        <w:rPr>
          <w:color w:val="auto"/>
        </w:rPr>
        <w:t>0</w:t>
      </w:r>
      <w:r w:rsidR="066CED0F" w:rsidRPr="00101C81">
        <w:rPr>
          <w:color w:val="auto"/>
        </w:rPr>
        <w:t xml:space="preserve"> and found </w:t>
      </w:r>
      <w:r w:rsidR="00D51C8A">
        <w:rPr>
          <w:color w:val="auto"/>
        </w:rPr>
        <w:t>to vary</w:t>
      </w:r>
      <w:r w:rsidR="066CED0F" w:rsidRPr="00101C81">
        <w:rPr>
          <w:color w:val="auto"/>
        </w:rPr>
        <w:t>.</w:t>
      </w:r>
    </w:p>
    <w:p w14:paraId="04AC24B7" w14:textId="77777777" w:rsidR="00D51C8A" w:rsidRPr="00101C81" w:rsidRDefault="00D51C8A" w:rsidP="00E1050F">
      <w:pPr>
        <w:pStyle w:val="MText"/>
        <w:rPr>
          <w:color w:val="auto"/>
        </w:rPr>
      </w:pPr>
    </w:p>
    <w:p w14:paraId="5316AE4E" w14:textId="76F4DB5E" w:rsidR="00F719A8" w:rsidRPr="00101C81" w:rsidRDefault="7DB8571A" w:rsidP="00E1050F">
      <w:pPr>
        <w:pStyle w:val="MText"/>
        <w:rPr>
          <w:color w:val="auto"/>
        </w:rPr>
      </w:pPr>
      <w:r w:rsidRPr="00101C81">
        <w:rPr>
          <w:color w:val="auto"/>
        </w:rPr>
        <w:t>In 2010, among the indicators with available country data, the highest were:</w:t>
      </w:r>
      <w:r w:rsidR="2E244D06" w:rsidRPr="00101C81">
        <w:rPr>
          <w:color w:val="auto"/>
        </w:rPr>
        <w:t xml:space="preserve"> (</w:t>
      </w:r>
      <w:r w:rsidR="7071395E" w:rsidRPr="00101C81">
        <w:rPr>
          <w:color w:val="auto"/>
        </w:rPr>
        <w:t>Estimated antiretroviral therapy coverage among people living with HIV</w:t>
      </w:r>
      <w:r w:rsidR="7C7E08E5" w:rsidRPr="00101C81">
        <w:rPr>
          <w:color w:val="auto"/>
        </w:rPr>
        <w:t>)</w:t>
      </w:r>
      <w:r w:rsidR="7071395E" w:rsidRPr="00101C81">
        <w:rPr>
          <w:color w:val="auto"/>
        </w:rPr>
        <w:t xml:space="preserve">, </w:t>
      </w:r>
      <w:r w:rsidR="4BCD7654" w:rsidRPr="00101C81">
        <w:rPr>
          <w:color w:val="auto"/>
        </w:rPr>
        <w:t>(Diphtheria tetanus toxoid and pertussis (DTP3) immunization coverage among 1-year-olds),</w:t>
      </w:r>
      <w:r w:rsidR="1D9A550E" w:rsidRPr="00101C81">
        <w:rPr>
          <w:color w:val="auto"/>
        </w:rPr>
        <w:t>(</w:t>
      </w:r>
      <w:r w:rsidR="56A0807E" w:rsidRPr="00101C81">
        <w:rPr>
          <w:color w:val="auto"/>
        </w:rPr>
        <w:t>Polio (Pol3) immunization coverage among 1-year-olds</w:t>
      </w:r>
      <w:r w:rsidR="733ADCC5" w:rsidRPr="00101C81">
        <w:rPr>
          <w:color w:val="auto"/>
        </w:rPr>
        <w:t>) and</w:t>
      </w:r>
      <w:r w:rsidR="56A0807E" w:rsidRPr="00101C81">
        <w:rPr>
          <w:color w:val="auto"/>
        </w:rPr>
        <w:t xml:space="preserve"> </w:t>
      </w:r>
      <w:r w:rsidR="00E27782" w:rsidRPr="00101C81">
        <w:rPr>
          <w:color w:val="auto"/>
        </w:rPr>
        <w:t>(</w:t>
      </w:r>
      <w:r w:rsidR="56A0807E" w:rsidRPr="00101C81">
        <w:rPr>
          <w:color w:val="auto"/>
        </w:rPr>
        <w:t>Measles-containing-vaccine first-dose (MCV1) immunization coverage among 1-year-olds</w:t>
      </w:r>
      <w:r w:rsidR="0A82346B" w:rsidRPr="00101C81">
        <w:rPr>
          <w:color w:val="auto"/>
        </w:rPr>
        <w:t>)</w:t>
      </w:r>
      <w:r w:rsidR="75F7866F" w:rsidRPr="00101C81">
        <w:rPr>
          <w:color w:val="auto"/>
        </w:rPr>
        <w:t xml:space="preserve"> </w:t>
      </w:r>
      <w:r w:rsidR="43229446" w:rsidRPr="00101C81">
        <w:rPr>
          <w:color w:val="auto"/>
        </w:rPr>
        <w:t xml:space="preserve">reported </w:t>
      </w:r>
      <w:r w:rsidR="75F7866F" w:rsidRPr="00101C81">
        <w:rPr>
          <w:color w:val="auto"/>
        </w:rPr>
        <w:t xml:space="preserve">by 194 countries followed by </w:t>
      </w:r>
      <w:r w:rsidR="36F709BE" w:rsidRPr="00101C81">
        <w:rPr>
          <w:color w:val="auto"/>
        </w:rPr>
        <w:t xml:space="preserve">(Tuberculosis treatment coverage) by </w:t>
      </w:r>
      <w:r w:rsidR="760E4C78" w:rsidRPr="00101C81">
        <w:rPr>
          <w:color w:val="auto"/>
        </w:rPr>
        <w:t>189 countries then (Hepatitis B (HepB3) immunization coverage among 1-year-olds</w:t>
      </w:r>
      <w:r w:rsidR="79EF1A5F" w:rsidRPr="00101C81">
        <w:rPr>
          <w:color w:val="auto"/>
        </w:rPr>
        <w:t>) by 180 countries</w:t>
      </w:r>
      <w:r w:rsidR="1A7A6EEF" w:rsidRPr="00101C81">
        <w:rPr>
          <w:color w:val="auto"/>
        </w:rPr>
        <w:t>.</w:t>
      </w:r>
    </w:p>
    <w:p w14:paraId="6B50B690" w14:textId="177EFA96" w:rsidR="153C7502" w:rsidRPr="00101C81" w:rsidRDefault="153C7502" w:rsidP="153C7502">
      <w:pPr>
        <w:pStyle w:val="MText"/>
        <w:rPr>
          <w:color w:val="auto"/>
        </w:rPr>
      </w:pPr>
    </w:p>
    <w:p w14:paraId="2AF8BAD5" w14:textId="311D68C6" w:rsidR="00F719A8" w:rsidRPr="00101C81" w:rsidRDefault="14E89FD8" w:rsidP="00E1050F">
      <w:pPr>
        <w:pStyle w:val="MText"/>
        <w:rPr>
          <w:color w:val="auto"/>
        </w:rPr>
      </w:pPr>
      <w:r w:rsidRPr="00101C81">
        <w:rPr>
          <w:color w:val="auto"/>
        </w:rPr>
        <w:t>By 2020, in addition to the indicators dominating in 2010, several vaccine indicators emerged as the highest with the most country data, including:</w:t>
      </w:r>
      <w:r w:rsidR="78DC7E1D" w:rsidRPr="00101C81">
        <w:rPr>
          <w:color w:val="auto"/>
        </w:rPr>
        <w:t xml:space="preserve"> </w:t>
      </w:r>
      <w:r w:rsidR="79EA4147" w:rsidRPr="00101C81">
        <w:rPr>
          <w:color w:val="auto"/>
        </w:rPr>
        <w:t>(</w:t>
      </w:r>
      <w:r w:rsidR="4683192A" w:rsidRPr="00101C81">
        <w:rPr>
          <w:color w:val="auto"/>
        </w:rPr>
        <w:t>Hepatitis B (HepB3) immunization coverage among 1-year-olds</w:t>
      </w:r>
      <w:r w:rsidR="1538396D" w:rsidRPr="00101C81">
        <w:rPr>
          <w:color w:val="auto"/>
        </w:rPr>
        <w:t>)</w:t>
      </w:r>
      <w:r w:rsidR="66CFCB21" w:rsidRPr="00101C81">
        <w:rPr>
          <w:color w:val="auto"/>
        </w:rPr>
        <w:t xml:space="preserve"> </w:t>
      </w:r>
      <w:r w:rsidR="7FE355A5" w:rsidRPr="00101C81">
        <w:rPr>
          <w:color w:val="auto"/>
        </w:rPr>
        <w:t>reported</w:t>
      </w:r>
      <w:r w:rsidR="66CFCB21" w:rsidRPr="00101C81">
        <w:rPr>
          <w:color w:val="auto"/>
        </w:rPr>
        <w:t xml:space="preserve"> by 194 countries </w:t>
      </w:r>
      <w:r w:rsidR="28AD8B57" w:rsidRPr="00101C81">
        <w:rPr>
          <w:color w:val="auto"/>
        </w:rPr>
        <w:t>and (</w:t>
      </w:r>
      <w:r w:rsidR="4683192A" w:rsidRPr="00101C81">
        <w:rPr>
          <w:color w:val="auto"/>
        </w:rPr>
        <w:t>Hib (Hib3) immunization coverage among 1-year-olds</w:t>
      </w:r>
      <w:r w:rsidR="23B51F17" w:rsidRPr="00101C81">
        <w:rPr>
          <w:color w:val="auto"/>
        </w:rPr>
        <w:t>)</w:t>
      </w:r>
      <w:r w:rsidR="7EF32226" w:rsidRPr="00101C81">
        <w:rPr>
          <w:color w:val="auto"/>
        </w:rPr>
        <w:t xml:space="preserve"> reported by 191 countries. </w:t>
      </w:r>
    </w:p>
    <w:p w14:paraId="6668F8CE" w14:textId="695B2BCE" w:rsidR="153C7502" w:rsidRPr="00101C81" w:rsidRDefault="153C7502" w:rsidP="153C7502">
      <w:pPr>
        <w:pStyle w:val="MText"/>
        <w:rPr>
          <w:color w:val="auto"/>
        </w:rPr>
      </w:pPr>
    </w:p>
    <w:p w14:paraId="6418EC36" w14:textId="4C2C2145" w:rsidR="463EB4FA" w:rsidRPr="00101C81" w:rsidRDefault="463EB4FA" w:rsidP="153C7502">
      <w:pPr>
        <w:pStyle w:val="MText"/>
        <w:rPr>
          <w:color w:val="auto"/>
        </w:rPr>
      </w:pPr>
      <w:r w:rsidRPr="00101C81">
        <w:rPr>
          <w:color w:val="auto"/>
        </w:rPr>
        <w:t xml:space="preserve">On the other hand, the lowest indicator in 2010 </w:t>
      </w:r>
      <w:proofErr w:type="gramStart"/>
      <w:r w:rsidRPr="00101C81">
        <w:rPr>
          <w:color w:val="auto"/>
        </w:rPr>
        <w:t xml:space="preserve">was  </w:t>
      </w:r>
      <w:r w:rsidR="00D51C8A">
        <w:rPr>
          <w:color w:val="auto"/>
        </w:rPr>
        <w:t>(</w:t>
      </w:r>
      <w:proofErr w:type="gramEnd"/>
      <w:r w:rsidRPr="00101C81">
        <w:rPr>
          <w:color w:val="auto"/>
        </w:rPr>
        <w:t>Antenatal care attendees positive for syphilis who received treatment</w:t>
      </w:r>
      <w:r w:rsidR="00D51C8A">
        <w:rPr>
          <w:color w:val="auto"/>
        </w:rPr>
        <w:t>)</w:t>
      </w:r>
      <w:r w:rsidRPr="00101C81">
        <w:rPr>
          <w:color w:val="auto"/>
        </w:rPr>
        <w:t xml:space="preserve"> reported by </w:t>
      </w:r>
      <w:r w:rsidR="1BFE9B3D" w:rsidRPr="00101C81">
        <w:rPr>
          <w:color w:val="auto"/>
        </w:rPr>
        <w:t>9 countries</w:t>
      </w:r>
      <w:r w:rsidR="002057A3">
        <w:rPr>
          <w:color w:val="auto"/>
        </w:rPr>
        <w:t xml:space="preserve">. This </w:t>
      </w:r>
      <w:r w:rsidR="1BFE9B3D" w:rsidRPr="00101C81">
        <w:rPr>
          <w:color w:val="auto"/>
        </w:rPr>
        <w:t xml:space="preserve">indicator </w:t>
      </w:r>
      <w:r w:rsidR="002057A3">
        <w:rPr>
          <w:color w:val="auto"/>
        </w:rPr>
        <w:t>remained the least reported in</w:t>
      </w:r>
      <w:r w:rsidR="1BFE9B3D" w:rsidRPr="00101C81">
        <w:rPr>
          <w:color w:val="auto"/>
        </w:rPr>
        <w:t xml:space="preserve"> 2022</w:t>
      </w:r>
      <w:r w:rsidR="002057A3">
        <w:rPr>
          <w:color w:val="auto"/>
        </w:rPr>
        <w:t xml:space="preserve">, though reporting improved to </w:t>
      </w:r>
      <w:r w:rsidR="1BFE9B3D" w:rsidRPr="00101C81">
        <w:rPr>
          <w:color w:val="auto"/>
        </w:rPr>
        <w:t>49 countries.</w:t>
      </w:r>
    </w:p>
    <w:p w14:paraId="1A12A7B8" w14:textId="7383B155" w:rsidR="153C7502" w:rsidRDefault="153C7502" w:rsidP="153C7502">
      <w:pPr>
        <w:pStyle w:val="MText"/>
      </w:pPr>
    </w:p>
    <w:p w14:paraId="113DB38C" w14:textId="6C9F41EA" w:rsidR="00F719A8" w:rsidRPr="00F719A8" w:rsidRDefault="00F719A8" w:rsidP="00E1050F">
      <w:pPr>
        <w:pStyle w:val="MText"/>
      </w:pPr>
    </w:p>
    <w:p w14:paraId="4CD8F3EF" w14:textId="650D8067" w:rsidR="00F719A8" w:rsidRPr="00F719A8" w:rsidRDefault="00F719A8" w:rsidP="00E1050F">
      <w:pPr>
        <w:pStyle w:val="MText"/>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bookmarkStart w:id="27" w:name="_Hlk203387016"/>
      <w:r w:rsidRPr="00A96255">
        <w:lastRenderedPageBreak/>
        <w:t xml:space="preserve">6. Comparability / deviation from international standards </w:t>
      </w:r>
      <w:r>
        <w:rPr>
          <w:color w:val="B4B4B4"/>
          <w:sz w:val="20"/>
        </w:rPr>
        <w:t>(COMPARABILITY)</w:t>
      </w:r>
    </w:p>
    <w:bookmarkEnd w:id="27"/>
    <w:p w14:paraId="33CAB7BE" w14:textId="4C310D11" w:rsidR="00EC2915" w:rsidRPr="00101C81" w:rsidRDefault="00717900" w:rsidP="00576CFA">
      <w:pPr>
        <w:pStyle w:val="MText"/>
        <w:rPr>
          <w:color w:val="auto"/>
        </w:rPr>
      </w:pPr>
      <w:r w:rsidRPr="00101C81">
        <w:rPr>
          <w:rStyle w:val="normaltextrun"/>
          <w:rFonts w:ascii="Calibri" w:hAnsi="Calibri" w:cs="Calibri"/>
          <w:color w:val="auto"/>
          <w:bdr w:val="none" w:sz="0" w:space="0" w:color="auto" w:frame="1"/>
        </w:rPr>
        <w:t>The health product access index draws on existing, publicly available data and estimates for tracer indicators. These numbers have already been through a country consultation process (e.g., for immunization coverage), or are taken directly from country reported data.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bookmarkStart w:id="28" w:name="_Hlk203387023"/>
      <w:r w:rsidRPr="00A96255">
        <w:t xml:space="preserve">7. References and Documentation </w:t>
      </w:r>
      <w:r>
        <w:rPr>
          <w:color w:val="B4B4B4"/>
          <w:sz w:val="20"/>
        </w:rPr>
        <w:t>(OTHER_DOC)</w:t>
      </w:r>
    </w:p>
    <w:bookmarkStart w:id="29" w:name="_Toc37932752"/>
    <w:bookmarkEnd w:id="28"/>
    <w:p w14:paraId="7B6D874C" w14:textId="65B436C1" w:rsidR="009D722E" w:rsidRPr="001B22EA" w:rsidRDefault="001B22EA">
      <w:pPr>
        <w:rPr>
          <w:sz w:val="24"/>
          <w:szCs w:val="24"/>
        </w:rPr>
      </w:pPr>
      <w:r w:rsidRPr="001B22EA">
        <w:rPr>
          <w:color w:val="2B579A"/>
          <w:sz w:val="24"/>
          <w:szCs w:val="24"/>
          <w:shd w:val="clear" w:color="auto" w:fill="E6E6E6"/>
        </w:rPr>
        <w:fldChar w:fldCharType="begin"/>
      </w:r>
      <w:r w:rsidRPr="001B22EA">
        <w:rPr>
          <w:sz w:val="24"/>
          <w:szCs w:val="24"/>
        </w:rPr>
        <w:instrText xml:space="preserve"> HYPERLINK "https://www.who.int/data/gho" </w:instrText>
      </w:r>
      <w:r w:rsidRPr="001B22EA">
        <w:rPr>
          <w:color w:val="2B579A"/>
          <w:sz w:val="24"/>
          <w:szCs w:val="24"/>
          <w:shd w:val="clear" w:color="auto" w:fill="E6E6E6"/>
        </w:rPr>
      </w:r>
      <w:r w:rsidRPr="001B22EA">
        <w:rPr>
          <w:color w:val="2B579A"/>
          <w:sz w:val="24"/>
          <w:szCs w:val="24"/>
          <w:shd w:val="clear" w:color="auto" w:fill="E6E6E6"/>
        </w:rPr>
        <w:fldChar w:fldCharType="separate"/>
      </w:r>
      <w:r w:rsidRPr="001B22EA">
        <w:rPr>
          <w:rStyle w:val="Hyperlink"/>
          <w:sz w:val="24"/>
          <w:szCs w:val="24"/>
        </w:rPr>
        <w:t>https://www.who.int/data/gho</w:t>
      </w:r>
      <w:r w:rsidRPr="001B22EA">
        <w:rPr>
          <w:color w:val="2B579A"/>
          <w:sz w:val="24"/>
          <w:szCs w:val="24"/>
          <w:shd w:val="clear" w:color="auto" w:fill="E6E6E6"/>
        </w:rPr>
        <w:fldChar w:fldCharType="end"/>
      </w:r>
      <w:r w:rsidRPr="001B22EA">
        <w:rPr>
          <w:sz w:val="24"/>
          <w:szCs w:val="24"/>
        </w:rPr>
        <w:t xml:space="preserve"> </w:t>
      </w:r>
      <w:r w:rsidR="009D722E" w:rsidRPr="001B22EA">
        <w:rPr>
          <w:sz w:val="24"/>
          <w:szCs w:val="24"/>
        </w:rPr>
        <w:br w:type="page"/>
      </w:r>
    </w:p>
    <w:p w14:paraId="7FF3ECB2" w14:textId="6FE9187C" w:rsidR="00D73C6C" w:rsidRDefault="009D722E">
      <w:pPr>
        <w:rPr>
          <w:rStyle w:val="eop"/>
          <w:rFonts w:ascii="Calibri" w:hAnsi="Calibri" w:cs="Calibri"/>
          <w:color w:val="1C75BC"/>
          <w:sz w:val="36"/>
          <w:szCs w:val="36"/>
        </w:rPr>
      </w:pPr>
      <w:r w:rsidRPr="00430B90">
        <w:rPr>
          <w:rStyle w:val="normaltextrun"/>
          <w:rFonts w:ascii="Calibri" w:hAnsi="Calibri" w:cs="Calibri"/>
          <w:color w:val="1C75BC"/>
          <w:sz w:val="36"/>
          <w:szCs w:val="36"/>
        </w:rPr>
        <w:lastRenderedPageBreak/>
        <w:t xml:space="preserve">Annex 1: </w:t>
      </w:r>
      <w:r w:rsidR="00430B90">
        <w:rPr>
          <w:rStyle w:val="normaltextrun"/>
          <w:rFonts w:ascii="Calibri" w:hAnsi="Calibri" w:cs="Calibri"/>
          <w:color w:val="1C75BC"/>
          <w:sz w:val="36"/>
          <w:szCs w:val="36"/>
        </w:rPr>
        <w:t xml:space="preserve">Metadata for tracer indicators used to </w:t>
      </w:r>
      <w:r w:rsidR="001B22EA">
        <w:rPr>
          <w:rStyle w:val="normaltextrun"/>
          <w:rFonts w:ascii="Calibri" w:hAnsi="Calibri" w:cs="Calibri"/>
          <w:color w:val="1C75BC"/>
          <w:sz w:val="36"/>
          <w:szCs w:val="36"/>
        </w:rPr>
        <w:t>calculate</w:t>
      </w:r>
      <w:r w:rsidR="00430B90">
        <w:rPr>
          <w:rStyle w:val="normaltextrun"/>
          <w:rFonts w:ascii="Calibri" w:hAnsi="Calibri" w:cs="Calibri"/>
          <w:color w:val="1C75BC"/>
          <w:sz w:val="36"/>
          <w:szCs w:val="36"/>
        </w:rPr>
        <w:t xml:space="preserve"> the health products access index for monitoring SDG indicator 3.b.3.</w:t>
      </w:r>
      <w:r w:rsidR="00430B90">
        <w:rPr>
          <w:rStyle w:val="eop"/>
          <w:rFonts w:ascii="Calibri" w:hAnsi="Calibri" w:cs="Calibri"/>
          <w:color w:val="1C75BC"/>
          <w:sz w:val="36"/>
          <w:szCs w:val="36"/>
        </w:rPr>
        <w:t> </w:t>
      </w:r>
    </w:p>
    <w:p w14:paraId="1184EB29" w14:textId="77777777" w:rsidR="00F123B3" w:rsidRDefault="00F123B3" w:rsidP="00F123B3">
      <w:pPr>
        <w:pStyle w:val="MText"/>
      </w:pPr>
    </w:p>
    <w:p w14:paraId="2522EAFA" w14:textId="0714DB9A" w:rsidR="00F123B3" w:rsidRDefault="00F123B3" w:rsidP="00F123B3">
      <w:pPr>
        <w:pStyle w:val="MText"/>
      </w:pPr>
      <w:r w:rsidRPr="00E72EDD">
        <w:t>1. Prevalence of cervical cancer screening among women aged 30-49 years (%)</w:t>
      </w:r>
      <w:r>
        <w:t xml:space="preserve"> </w:t>
      </w:r>
      <w:r w:rsidR="0021163B">
        <w:t xml:space="preserve">- </w:t>
      </w:r>
      <w:hyperlink r:id="rId11" w:history="1">
        <w:r w:rsidR="0021163B" w:rsidRPr="00E65FCD">
          <w:rPr>
            <w:rStyle w:val="Hyperlink"/>
          </w:rPr>
          <w:t>https://www.who.int/data/gho/data/indicators/indicator-details/GHO/prevalence-of-cervical-cancer-screening-among-women-aged-30-49-years-(-)</w:t>
        </w:r>
      </w:hyperlink>
      <w:r w:rsidR="0021163B">
        <w:t xml:space="preserve"> </w:t>
      </w:r>
    </w:p>
    <w:p w14:paraId="479D3D88" w14:textId="57771911" w:rsidR="00F123B3" w:rsidRDefault="00F123B3" w:rsidP="00F123B3">
      <w:pPr>
        <w:pStyle w:val="MText"/>
      </w:pPr>
      <w:r w:rsidRPr="00E72EDD">
        <w:t>2. Women accessing antenatal care (ANC) services who were tested for syphilis (%), reported</w:t>
      </w:r>
      <w:r w:rsidR="0021163B">
        <w:t xml:space="preserve"> </w:t>
      </w:r>
      <w:hyperlink r:id="rId12" w:history="1">
        <w:r w:rsidR="00C5014D" w:rsidRPr="00E65FCD">
          <w:rPr>
            <w:rStyle w:val="Hyperlink"/>
          </w:rPr>
          <w:t>https://www.who.int/data/gho/data/indicators/indicator-details/GHO/women-accessing-antenatal-care-(anc)-services-who-were-tested-for-syphilis-(-)</w:t>
        </w:r>
      </w:hyperlink>
      <w:r w:rsidR="00C5014D">
        <w:t xml:space="preserve"> </w:t>
      </w:r>
    </w:p>
    <w:p w14:paraId="764E5389" w14:textId="714940BE" w:rsidR="00F123B3" w:rsidRDefault="00F123B3" w:rsidP="00F123B3">
      <w:pPr>
        <w:pStyle w:val="MText"/>
      </w:pPr>
      <w:r w:rsidRPr="00E72EDD">
        <w:t>3. New cases tested for RR-/MDR-TB (%)</w:t>
      </w:r>
      <w:r w:rsidR="005A56D0">
        <w:t xml:space="preserve"> </w:t>
      </w:r>
      <w:hyperlink r:id="rId13" w:history="1">
        <w:r w:rsidR="005A56D0" w:rsidRPr="00E65FCD">
          <w:rPr>
            <w:rStyle w:val="Hyperlink"/>
          </w:rPr>
          <w:t>https://www.who.int/data/gho/data/indicators/indicator-details/GHO/new-cases-tested-for-rr--mdr-tb-(-)</w:t>
        </w:r>
      </w:hyperlink>
      <w:r w:rsidR="005A56D0">
        <w:t xml:space="preserve"> </w:t>
      </w:r>
    </w:p>
    <w:p w14:paraId="77999D09" w14:textId="347EF50C" w:rsidR="008F65DF" w:rsidRDefault="1F14EACF" w:rsidP="00F123B3">
      <w:pPr>
        <w:pStyle w:val="MText"/>
      </w:pPr>
      <w:r w:rsidRPr="153C7502">
        <w:t>4. Tuberculosis treatment coverage</w:t>
      </w:r>
      <w:r>
        <w:t xml:space="preserve"> </w:t>
      </w:r>
      <w:hyperlink r:id="rId14" w:history="1">
        <w:r w:rsidR="47E8312A" w:rsidRPr="67D5692B">
          <w:rPr>
            <w:rStyle w:val="Hyperlink"/>
          </w:rPr>
          <w:t>https://www.who.int/data/gho/data/indicators/indicator-details/GHO/tuberculosis-treatment-coverage</w:t>
        </w:r>
      </w:hyperlink>
    </w:p>
    <w:p w14:paraId="1B2835C1" w14:textId="77777777" w:rsidR="008F65DF" w:rsidRDefault="008F65DF" w:rsidP="00F123B3">
      <w:pPr>
        <w:pStyle w:val="MText"/>
      </w:pPr>
      <w:r>
        <w:t>5</w:t>
      </w:r>
      <w:r w:rsidRPr="00A17B2D">
        <w:t>. Estimated antiretroviral therapy coverage among people living with HIV (%)</w:t>
      </w:r>
      <w:r>
        <w:t xml:space="preserve"> </w:t>
      </w:r>
      <w:hyperlink r:id="rId15" w:history="1">
        <w:r w:rsidRPr="00E65FCD">
          <w:rPr>
            <w:rStyle w:val="Hyperlink"/>
          </w:rPr>
          <w:t>https://www.who.int/data/gho/data/indicators/indicator-details/GHO/estimated-antiretroviral-therapy-coverage-among-people-living-with-hiv-(-)</w:t>
        </w:r>
      </w:hyperlink>
      <w:r w:rsidR="00F123B3" w:rsidRPr="003D3D33">
        <w:t xml:space="preserve">. </w:t>
      </w:r>
    </w:p>
    <w:p w14:paraId="4A0EE01D" w14:textId="6BC95665" w:rsidR="00D44BC8" w:rsidRDefault="00D44BC8" w:rsidP="00D44BC8">
      <w:pPr>
        <w:pStyle w:val="MText"/>
      </w:pPr>
      <w:r>
        <w:t>6</w:t>
      </w:r>
      <w:r w:rsidRPr="00E72EDD">
        <w:t>. Antenatal care attendees positive for syphilis who received treatment (%), reported</w:t>
      </w:r>
      <w:r>
        <w:t xml:space="preserve"> </w:t>
      </w:r>
      <w:hyperlink r:id="rId16" w:history="1">
        <w:r w:rsidRPr="00E65FCD">
          <w:rPr>
            <w:rStyle w:val="Hyperlink"/>
          </w:rPr>
          <w:t>https://www.who.int/data/gho/data/indicators/indicator-details/GHO/antenatal-care-attendees-positive-for-syphilis-who-received-treatment-(-)</w:t>
        </w:r>
      </w:hyperlink>
      <w:r>
        <w:t xml:space="preserve"> </w:t>
      </w:r>
    </w:p>
    <w:p w14:paraId="7F2E84DF" w14:textId="4D4A7B2C" w:rsidR="356E1819" w:rsidRDefault="5F286EB4" w:rsidP="67D5692B">
      <w:pPr>
        <w:pStyle w:val="MText"/>
      </w:pPr>
      <w:r>
        <w:t>7. Tuberculosis effective treatment coverage</w:t>
      </w:r>
      <w:r w:rsidR="2FD4497D">
        <w:t xml:space="preserve"> </w:t>
      </w:r>
      <w:r w:rsidR="3D9D86F7">
        <w:t>https://www.who.int/data/gho/data/indicators/indicator-details/GHO/treatment-success-rate-new-tb-cases</w:t>
      </w:r>
    </w:p>
    <w:p w14:paraId="5CEEE5A7" w14:textId="0FD0B7A9" w:rsidR="003D3D33" w:rsidRDefault="00D44BC8" w:rsidP="00F123B3">
      <w:pPr>
        <w:pStyle w:val="MText"/>
      </w:pPr>
      <w:r>
        <w:t xml:space="preserve">8. </w:t>
      </w:r>
      <w:r w:rsidR="00F123B3" w:rsidRPr="003D3D33">
        <w:t>Women of reproductive age (aged 15-49 years) who have their need for family planning satisfied with modern methods (%)</w:t>
      </w:r>
      <w:r w:rsidR="003D3D33">
        <w:t xml:space="preserve"> </w:t>
      </w:r>
      <w:hyperlink r:id="rId17" w:history="1">
        <w:r w:rsidR="003D3D33" w:rsidRPr="00E65FCD">
          <w:rPr>
            <w:rStyle w:val="Hyperlink"/>
          </w:rPr>
          <w:t>https://www.who.int/data/gho/data/indicators/indicator-details/GHO/married-or-in-union-women-of-reproductive-age-who-have-their-need-for-family-planning-satisfied-with-modern-methods-(-)</w:t>
        </w:r>
      </w:hyperlink>
      <w:r w:rsidR="003D3D33">
        <w:t xml:space="preserve"> </w:t>
      </w:r>
    </w:p>
    <w:p w14:paraId="100E87CD" w14:textId="27226AC9" w:rsidR="00F123B3" w:rsidRDefault="00D44BC8" w:rsidP="00F123B3">
      <w:pPr>
        <w:pStyle w:val="MText"/>
      </w:pPr>
      <w:r>
        <w:t>9</w:t>
      </w:r>
      <w:r w:rsidRPr="00802A25">
        <w:t>.  Measles-containing-vaccine second-dose (MCV2) immunization coverage by the nationally recommended age (%)</w:t>
      </w:r>
      <w:r>
        <w:t xml:space="preserve">  </w:t>
      </w:r>
      <w:hyperlink r:id="rId18" w:history="1">
        <w:r w:rsidRPr="00E65FCD">
          <w:rPr>
            <w:rStyle w:val="Hyperlink"/>
          </w:rPr>
          <w:t>https://www.who.int/data/gho/data/indicators/indicator-details/GHO/measles-containing-vaccine-second-dose-(mcv2)-immunization-coverage-by-the-nationally-recommended-age-(-)</w:t>
        </w:r>
      </w:hyperlink>
    </w:p>
    <w:p w14:paraId="11D3C229" w14:textId="77777777" w:rsidR="0049103A" w:rsidRDefault="0049103A" w:rsidP="0049103A">
      <w:pPr>
        <w:pStyle w:val="MText"/>
      </w:pPr>
      <w:r w:rsidRPr="00E72EDD">
        <w:t>10. Pneumococcal conjugate vaccines (PCV3) immunization coverage among 1-year-olds (%)</w:t>
      </w:r>
      <w:r>
        <w:t xml:space="preserve"> </w:t>
      </w:r>
      <w:hyperlink r:id="rId19" w:history="1">
        <w:r w:rsidRPr="00E65FCD">
          <w:rPr>
            <w:rStyle w:val="Hyperlink"/>
          </w:rPr>
          <w:t>https://www.who.int/data/gho/data/indicators/indicator-details/GHO/pneumoccocal-conjugate-vaccines-(pcv3)-immunization-coverage-among-1-year-olds-(-)</w:t>
        </w:r>
      </w:hyperlink>
      <w:r>
        <w:t xml:space="preserve"> </w:t>
      </w:r>
    </w:p>
    <w:p w14:paraId="06789233" w14:textId="62E52A75" w:rsidR="0049103A" w:rsidRPr="00802A25" w:rsidRDefault="0049103A" w:rsidP="0049103A">
      <w:pPr>
        <w:pStyle w:val="MText"/>
      </w:pPr>
      <w:r w:rsidRPr="00802A25">
        <w:t>1</w:t>
      </w:r>
      <w:r>
        <w:t>1</w:t>
      </w:r>
      <w:r w:rsidRPr="00802A25">
        <w:t>. HPV immunization coverage estimates among primary target cohort (9-14 years old girls) (%)</w:t>
      </w:r>
      <w:r>
        <w:t xml:space="preserve"> </w:t>
      </w:r>
      <w:hyperlink r:id="rId20" w:history="1">
        <w:r w:rsidRPr="00E65FCD">
          <w:rPr>
            <w:rStyle w:val="Hyperlink"/>
          </w:rPr>
          <w:t>https://www.who.int/data/gho/data/indicators/indicator-details/GHO/girls-aged-15-years-old-that-received-the-recommended-doses-of-hpv-vaccine</w:t>
        </w:r>
      </w:hyperlink>
      <w:r>
        <w:t xml:space="preserve"> </w:t>
      </w:r>
    </w:p>
    <w:p w14:paraId="78344DBC" w14:textId="4FCA0195" w:rsidR="00F123B3" w:rsidRDefault="0049103A" w:rsidP="00F123B3">
      <w:pPr>
        <w:pStyle w:val="MText"/>
      </w:pPr>
      <w:r w:rsidRPr="00802A25">
        <w:t>1</w:t>
      </w:r>
      <w:r>
        <w:t>2</w:t>
      </w:r>
      <w:r w:rsidRPr="00802A25">
        <w:t>. Diphtheria tetanus toxoid and pertussis (DTP3) immunization coverage among 1-year-olds (%)</w:t>
      </w:r>
      <w:r>
        <w:t xml:space="preserve"> </w:t>
      </w:r>
      <w:hyperlink r:id="rId21" w:history="1">
        <w:r w:rsidRPr="00E65FCD">
          <w:rPr>
            <w:rStyle w:val="Hyperlink"/>
          </w:rPr>
          <w:t>https://www.who.int/data/gho/data/indicators/indicator-details/GHO/diphtheria-tetanus-toxoid-and-pertussis-(dtp3)-immunization-coverage-among-1-year-olds-(-)</w:t>
        </w:r>
      </w:hyperlink>
    </w:p>
    <w:p w14:paraId="1032D3F4" w14:textId="4BD7D8F2" w:rsidR="00300BF3" w:rsidRDefault="00300BF3" w:rsidP="00F123B3">
      <w:pPr>
        <w:pStyle w:val="MText"/>
      </w:pPr>
      <w:r w:rsidRPr="00802A25">
        <w:t>1</w:t>
      </w:r>
      <w:r>
        <w:t>3</w:t>
      </w:r>
      <w:r w:rsidRPr="00802A25">
        <w:t>. Hepatitis B (HepB3) immunization coverage among 1-year-olds (%)</w:t>
      </w:r>
      <w:r>
        <w:t xml:space="preserve"> </w:t>
      </w:r>
      <w:hyperlink r:id="rId22" w:history="1">
        <w:r w:rsidRPr="00E65FCD">
          <w:rPr>
            <w:rStyle w:val="Hyperlink"/>
          </w:rPr>
          <w:t>https://www.who.int/data/gho/data/indicators/indicator-details/GHO/hepatitis-b-(hepb3)-immunization-coverage-among-1-year-olds-(-)</w:t>
        </w:r>
      </w:hyperlink>
    </w:p>
    <w:p w14:paraId="03367754" w14:textId="5519D9BD" w:rsidR="00F123B3" w:rsidRDefault="00300BF3" w:rsidP="00F123B3">
      <w:pPr>
        <w:pStyle w:val="MText"/>
      </w:pPr>
      <w:r>
        <w:t>14</w:t>
      </w:r>
      <w:r w:rsidR="00F123B3" w:rsidRPr="00E72EDD">
        <w:t>. Neonates protected at birth against neonatal tetanus (PAB) (%)</w:t>
      </w:r>
      <w:r w:rsidR="004F3B08">
        <w:t xml:space="preserve"> </w:t>
      </w:r>
      <w:hyperlink r:id="rId23" w:history="1">
        <w:r w:rsidR="004F3B08" w:rsidRPr="00E65FCD">
          <w:rPr>
            <w:rStyle w:val="Hyperlink"/>
          </w:rPr>
          <w:t>https://www.who.int/data/gho/data/indicators/indicator-details/GHO/neonates-protected-at-birth-against-neonatal-tetanus-(pab)-(-)</w:t>
        </w:r>
      </w:hyperlink>
      <w:r w:rsidR="004F3B08">
        <w:t xml:space="preserve"> </w:t>
      </w:r>
    </w:p>
    <w:p w14:paraId="36FC8B4A" w14:textId="3627C4F8" w:rsidR="00F123B3" w:rsidRPr="00802A25" w:rsidRDefault="00F123B3" w:rsidP="00F123B3">
      <w:pPr>
        <w:pStyle w:val="MText"/>
      </w:pPr>
    </w:p>
    <w:p w14:paraId="1178555A" w14:textId="70FB0C22" w:rsidR="00F123B3" w:rsidRPr="00802A25" w:rsidRDefault="00F123B3" w:rsidP="00F123B3">
      <w:pPr>
        <w:pStyle w:val="MText"/>
      </w:pPr>
    </w:p>
    <w:p w14:paraId="506F0B67" w14:textId="64CC89C5" w:rsidR="00F123B3" w:rsidRPr="00802A25" w:rsidRDefault="00F123B3" w:rsidP="00F123B3">
      <w:pPr>
        <w:pStyle w:val="MText"/>
      </w:pPr>
      <w:r w:rsidRPr="00802A25">
        <w:t>1</w:t>
      </w:r>
      <w:r w:rsidR="00300BF3">
        <w:t>5</w:t>
      </w:r>
      <w:r w:rsidRPr="00802A25">
        <w:t>. Hib (Hib3) immunization coverage among 1-year-olds (%)</w:t>
      </w:r>
      <w:r w:rsidR="00152904">
        <w:t xml:space="preserve"> </w:t>
      </w:r>
      <w:hyperlink r:id="rId24" w:history="1">
        <w:r w:rsidR="00152904" w:rsidRPr="00E65FCD">
          <w:rPr>
            <w:rStyle w:val="Hyperlink"/>
          </w:rPr>
          <w:t>https://www.who.int/data/gho/data/indicators/indicator-details/GHO/hib-hib3-immunization-coverage-among-1-year-olds</w:t>
        </w:r>
      </w:hyperlink>
      <w:r w:rsidR="00152904">
        <w:t xml:space="preserve"> </w:t>
      </w:r>
    </w:p>
    <w:p w14:paraId="4F15409D" w14:textId="255F4184" w:rsidR="00F123B3" w:rsidRPr="00802A25" w:rsidRDefault="00F123B3" w:rsidP="00F123B3">
      <w:pPr>
        <w:pStyle w:val="MText"/>
      </w:pPr>
      <w:r w:rsidRPr="00802A25">
        <w:t>1</w:t>
      </w:r>
      <w:r w:rsidR="00300BF3">
        <w:t>6</w:t>
      </w:r>
      <w:r w:rsidRPr="00802A25">
        <w:t>. Polio (Pol3) immunization coverage among 1-year-olds (%)</w:t>
      </w:r>
      <w:r w:rsidR="00152904">
        <w:t xml:space="preserve"> </w:t>
      </w:r>
      <w:r w:rsidR="002E0314">
        <w:t xml:space="preserve"> </w:t>
      </w:r>
      <w:hyperlink r:id="rId25" w:history="1">
        <w:r w:rsidR="002E0314" w:rsidRPr="00E65FCD">
          <w:rPr>
            <w:rStyle w:val="Hyperlink"/>
          </w:rPr>
          <w:t>https://www.who.int/data/gho/data/indicators/indicator-details/GHO/polio-(pol3)-immunization-coverage-among-1-year-olds-(-)</w:t>
        </w:r>
      </w:hyperlink>
      <w:r w:rsidR="002E0314">
        <w:t xml:space="preserve"> </w:t>
      </w:r>
    </w:p>
    <w:p w14:paraId="7D5CAAD6" w14:textId="3F1F737C" w:rsidR="00F123B3" w:rsidRPr="00802A25" w:rsidRDefault="00F123B3" w:rsidP="00F123B3">
      <w:pPr>
        <w:pStyle w:val="MText"/>
      </w:pPr>
      <w:r w:rsidRPr="00802A25">
        <w:t>1</w:t>
      </w:r>
      <w:r w:rsidR="00355D00">
        <w:t>7</w:t>
      </w:r>
      <w:r w:rsidRPr="00802A25">
        <w:t>. Measles-containing-vaccine first-dose (MCV1) immunization coverage by the nationally recommended age (%)</w:t>
      </w:r>
      <w:r w:rsidR="002E0314">
        <w:t xml:space="preserve"> </w:t>
      </w:r>
      <w:r w:rsidR="003F17A5">
        <w:t xml:space="preserve"> </w:t>
      </w:r>
      <w:hyperlink r:id="rId26" w:history="1">
        <w:r w:rsidR="003F17A5" w:rsidRPr="00E65FCD">
          <w:rPr>
            <w:rStyle w:val="Hyperlink"/>
          </w:rPr>
          <w:t>https://www.who.int/data/gho/data/indicators/indicator-details/GHO/measles-containing-vaccine-first-dose-(mcv1)-immunization-coverage-among-1-year-olds-(-)</w:t>
        </w:r>
      </w:hyperlink>
      <w:r w:rsidR="003F17A5">
        <w:t xml:space="preserve"> </w:t>
      </w:r>
    </w:p>
    <w:p w14:paraId="75F3EAD0" w14:textId="631746F0" w:rsidR="00F123B3" w:rsidRPr="00802A25" w:rsidRDefault="00F123B3" w:rsidP="00F123B3">
      <w:pPr>
        <w:pStyle w:val="MText"/>
      </w:pPr>
      <w:r w:rsidRPr="00802A25">
        <w:t>18. Population with access to an insecticide-treated bed net (ITN) for malaria protection (%)</w:t>
      </w:r>
      <w:r w:rsidR="00FF2883">
        <w:t xml:space="preserve"> </w:t>
      </w:r>
      <w:r w:rsidR="00877E4A">
        <w:t xml:space="preserve"> </w:t>
      </w:r>
      <w:hyperlink r:id="rId27" w:history="1">
        <w:r w:rsidR="00877E4A" w:rsidRPr="00E65FCD">
          <w:rPr>
            <w:rStyle w:val="Hyperlink"/>
          </w:rPr>
          <w:t>https://www.who.int/data/gho/data/indicators/indicator-details/GHO/population-with-access-to-an-insecticide-treated-bed-net-(itn)-for-malaria-protection-modelled</w:t>
        </w:r>
      </w:hyperlink>
      <w:r w:rsidR="00877E4A">
        <w:t xml:space="preserve"> </w:t>
      </w:r>
    </w:p>
    <w:p w14:paraId="2984138B" w14:textId="5F14C485" w:rsidR="00F123B3" w:rsidRDefault="00F123B3" w:rsidP="00F123B3">
      <w:pPr>
        <w:pStyle w:val="MText"/>
      </w:pPr>
      <w:r w:rsidRPr="00802A25">
        <w:t>19. Prevalence of met need of assistive products (%)</w:t>
      </w:r>
      <w:r w:rsidR="00877E4A">
        <w:t xml:space="preserve"> </w:t>
      </w:r>
      <w:r w:rsidR="00185ECC">
        <w:t xml:space="preserve"> </w:t>
      </w:r>
      <w:hyperlink r:id="rId28" w:history="1">
        <w:r w:rsidR="00185ECC" w:rsidRPr="00E65FCD">
          <w:rPr>
            <w:rStyle w:val="Hyperlink"/>
          </w:rPr>
          <w:t>https://www.who.int/data/gho/data/indicators/indicator-details/GHO/met-need-of-assistive-products-as-proportion-of-need-(-)</w:t>
        </w:r>
      </w:hyperlink>
      <w:r w:rsidR="00185ECC">
        <w:t xml:space="preserve"> </w:t>
      </w:r>
    </w:p>
    <w:p w14:paraId="5C17E3D9" w14:textId="77777777" w:rsidR="00245258" w:rsidRDefault="00245258">
      <w:pPr>
        <w:rPr>
          <w:sz w:val="28"/>
          <w:szCs w:val="28"/>
        </w:rPr>
      </w:pPr>
    </w:p>
    <w:p w14:paraId="5D2156D3" w14:textId="77777777" w:rsidR="003C2AF0" w:rsidRDefault="003C2AF0">
      <w:pPr>
        <w:rPr>
          <w:sz w:val="28"/>
          <w:szCs w:val="28"/>
        </w:rPr>
      </w:pPr>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29"/>
    </w:p>
    <w:p w14:paraId="74F088B2" w14:textId="77777777" w:rsidR="00A96255" w:rsidRDefault="00A96255" w:rsidP="00A96255">
      <w:bookmarkStart w:id="30" w:name="_Hlk55339290"/>
      <w:r>
        <w:rPr>
          <w:b/>
          <w:bCs/>
          <w:i/>
          <w:iCs/>
        </w:rPr>
        <w:t>0.a. Goal</w:t>
      </w:r>
      <w:r>
        <w:t xml:space="preserve">: </w:t>
      </w:r>
      <w:bookmarkStart w:id="31" w:name="_Hlk55341783"/>
      <w:r>
        <w:rPr>
          <w:rFonts w:ascii="Calibri" w:eastAsia="Times New Roman" w:hAnsi="Calibri" w:cs="Calibri"/>
          <w:color w:val="000000"/>
        </w:rPr>
        <w:t>SDG Goal number and name.</w:t>
      </w:r>
      <w:bookmarkEnd w:id="31"/>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FB19C8E" w:rsidR="00A96255" w:rsidRDefault="00A96255" w:rsidP="16D1DA77">
      <w:pPr>
        <w:rPr>
          <w:b/>
          <w:bCs/>
          <w:i/>
          <w:iCs/>
        </w:rPr>
      </w:pPr>
      <w:r w:rsidRPr="16D1DA77">
        <w:rPr>
          <w:b/>
          <w:bCs/>
          <w:i/>
          <w:iCs/>
        </w:rPr>
        <w:t>0.d. Series</w:t>
      </w:r>
      <w:r>
        <w:t xml:space="preserve">: </w:t>
      </w:r>
      <w:r w:rsidR="00926665">
        <w:t>C</w:t>
      </w:r>
      <w:r w:rsidR="00FD6180" w:rsidRPr="00FD6180">
        <w:t>odes and descriptions of all series to which the metadata set applies</w:t>
      </w:r>
      <w:r>
        <w:t>.</w:t>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0B8AE5C7" w:rsidR="00A96255" w:rsidRDefault="00A96255" w:rsidP="00A96255">
      <w:r w:rsidRPr="16D1DA77">
        <w:rPr>
          <w:b/>
          <w:bCs/>
          <w:i/>
          <w:iCs/>
        </w:rPr>
        <w:t xml:space="preserve">0.g. </w:t>
      </w:r>
      <w:proofErr w:type="gramStart"/>
      <w:r w:rsidRPr="16D1DA77">
        <w:rPr>
          <w:b/>
          <w:bCs/>
          <w:i/>
          <w:iCs/>
        </w:rPr>
        <w:t>International</w:t>
      </w:r>
      <w:proofErr w:type="gramEnd"/>
      <w:r w:rsidRPr="16D1DA77">
        <w:rPr>
          <w:b/>
          <w:bCs/>
          <w:i/>
          <w:iCs/>
        </w:rPr>
        <w:t xml:space="preserve"> organisation(s) responsible for global monitoring</w:t>
      </w:r>
      <w:r>
        <w:t xml:space="preserve">: </w:t>
      </w:r>
      <w:r w:rsidR="0071238D" w:rsidRPr="00D3013B">
        <w:rPr>
          <w:i/>
          <w:iCs/>
        </w:rPr>
        <w:t>(also</w:t>
      </w:r>
      <w:r w:rsidR="00900A73" w:rsidRPr="00D3013B">
        <w:rPr>
          <w:i/>
          <w:iCs/>
        </w:rPr>
        <w:t xml:space="preserve"> known as </w:t>
      </w:r>
      <w:r w:rsidR="00900A73" w:rsidRPr="00D3013B">
        <w:rPr>
          <w:b/>
          <w:bCs/>
          <w:i/>
          <w:iCs/>
        </w:rPr>
        <w:t>custodian agency(</w:t>
      </w:r>
      <w:proofErr w:type="spellStart"/>
      <w:r w:rsidR="00900A73" w:rsidRPr="00D3013B">
        <w:rPr>
          <w:b/>
          <w:bCs/>
          <w:i/>
          <w:iCs/>
        </w:rPr>
        <w:t>ies</w:t>
      </w:r>
      <w:proofErr w:type="spellEnd"/>
      <w:r w:rsidR="00900A73" w:rsidRPr="00D3013B">
        <w:rPr>
          <w:b/>
          <w:bCs/>
          <w:i/>
          <w:iCs/>
        </w:rPr>
        <w:t>)</w:t>
      </w:r>
      <w:r w:rsidR="00342CF5" w:rsidRPr="00D3013B">
        <w:rPr>
          <w:i/>
          <w:iCs/>
        </w:rPr>
        <w:t>)</w:t>
      </w:r>
      <w:r w:rsidR="00342CF5">
        <w:t xml:space="preserve"> </w:t>
      </w:r>
      <w:r>
        <w:t>Global reporting: International organizations (departments/offices) responsible for monitoring this indicator at the global level.  Country reporting: This concept has no national counterpart.</w:t>
      </w:r>
      <w:bookmarkEnd w:id="30"/>
    </w:p>
    <w:p w14:paraId="43B5146D" w14:textId="77777777" w:rsidR="00A96255" w:rsidRDefault="00A96255" w:rsidP="00A96255">
      <w:bookmarkStart w:id="32" w:name="_Hlk55339449"/>
      <w:r>
        <w:rPr>
          <w:b/>
          <w:bCs/>
          <w:i/>
          <w:iCs/>
        </w:rPr>
        <w:t>1.a. Organisation</w:t>
      </w:r>
      <w:r>
        <w:t>: Organisation unit information of the contact points for the data or metadata.</w:t>
      </w:r>
    </w:p>
    <w:p w14:paraId="14DD6CD9" w14:textId="0CCA69C3" w:rsidR="00A96255" w:rsidRDefault="00A96255" w:rsidP="16D1DA77">
      <w:pPr>
        <w:rPr>
          <w:b/>
          <w:bCs/>
          <w:i/>
          <w:iCs/>
        </w:rPr>
      </w:pPr>
      <w:r w:rsidRPr="16D1DA77">
        <w:rPr>
          <w:b/>
          <w:bCs/>
          <w:i/>
          <w:iCs/>
        </w:rPr>
        <w:t>1.d. Contact person function</w:t>
      </w:r>
      <w:r>
        <w:t>: Functional title(s) of the contact points for the data or metadata.</w:t>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32"/>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4C4818E2" w:rsidR="00A96255" w:rsidRDefault="00A96255" w:rsidP="16D1DA77">
      <w:pPr>
        <w:rPr>
          <w:b/>
          <w:bCs/>
          <w:i/>
          <w:iCs/>
        </w:rPr>
      </w:pPr>
      <w:r w:rsidRPr="16D1DA77">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04EF750A" w:rsidR="00A96255" w:rsidRDefault="00A96255" w:rsidP="00A96255">
      <w:pPr>
        <w:pStyle w:val="EndnoteText"/>
        <w:spacing w:after="240"/>
        <w:rPr>
          <w:sz w:val="22"/>
          <w:szCs w:val="22"/>
        </w:rPr>
      </w:pPr>
      <w:r w:rsidRPr="16D1DA77">
        <w:rPr>
          <w:b/>
          <w:bCs/>
          <w:i/>
          <w:iCs/>
          <w:sz w:val="22"/>
          <w:szCs w:val="22"/>
        </w:rPr>
        <w:lastRenderedPageBreak/>
        <w:t>3.c. Data collection calendar</w:t>
      </w:r>
      <w:r>
        <w:t xml:space="preserve">: </w:t>
      </w:r>
      <w:r w:rsidRPr="16D1DA77">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169B96D" w:rsidR="00A96255" w:rsidRDefault="00A96255" w:rsidP="16D1DA77">
      <w:pPr>
        <w:spacing w:after="240"/>
        <w:rPr>
          <w:b/>
          <w:bCs/>
          <w:i/>
          <w:iCs/>
        </w:rPr>
      </w:pPr>
      <w:r w:rsidRPr="16D1DA77">
        <w:rPr>
          <w:b/>
          <w:bCs/>
          <w:i/>
          <w:iCs/>
        </w:rPr>
        <w:t>3.e. Data providers</w:t>
      </w:r>
      <w:r>
        <w:t>: Identification of national and/or international data provider(s), specifying the organization(s) responsible for producing the data.</w:t>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FFB7EA8" w:rsidR="00A96255" w:rsidRDefault="00A96255" w:rsidP="16D1DA77">
      <w:pPr>
        <w:rPr>
          <w:b/>
          <w:bCs/>
          <w:i/>
          <w:iCs/>
        </w:rPr>
      </w:pPr>
      <w:r w:rsidRPr="16D1DA77">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 xml:space="preserve">4.g. </w:t>
      </w:r>
      <w:proofErr w:type="gramStart"/>
      <w:r>
        <w:rPr>
          <w:b/>
          <w:bCs/>
          <w:i/>
          <w:iCs/>
        </w:rPr>
        <w:t>Regional</w:t>
      </w:r>
      <w:proofErr w:type="gramEnd"/>
      <w:r>
        <w:rPr>
          <w:b/>
          <w:bCs/>
          <w:i/>
          <w:iCs/>
        </w:rPr>
        <w:t xml:space="preserve">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292F258D" w:rsidR="00A96255" w:rsidRDefault="00A96255" w:rsidP="00A96255">
      <w:pPr>
        <w:pStyle w:val="EndnoteText"/>
        <w:rPr>
          <w:sz w:val="22"/>
          <w:szCs w:val="22"/>
        </w:rPr>
      </w:pPr>
      <w:r w:rsidRPr="16D1DA77">
        <w:rPr>
          <w:b/>
          <w:bCs/>
          <w:i/>
          <w:iCs/>
          <w:sz w:val="22"/>
          <w:szCs w:val="22"/>
        </w:rPr>
        <w:t>5. Data availability and disaggregation:</w:t>
      </w:r>
      <w:r w:rsidRPr="16D1DA77">
        <w:rPr>
          <w:b/>
          <w:bCs/>
          <w:i/>
          <w:iCs/>
        </w:rPr>
        <w:t xml:space="preserve"> </w:t>
      </w:r>
      <w:r w:rsidRPr="16D1DA77">
        <w:rPr>
          <w:sz w:val="22"/>
          <w:szCs w:val="22"/>
        </w:rPr>
        <w:t>Global reporting: Indicate for how many countries the data for this indicator are already currently available on a regular basis. Data availability by regional breakdowns and time periods can also be desc</w:t>
      </w:r>
      <w:r w:rsidR="718D2BFF" w:rsidRPr="16D1DA77">
        <w:rPr>
          <w:sz w:val="22"/>
          <w:szCs w:val="22"/>
        </w:rPr>
        <w:t>r</w:t>
      </w:r>
      <w:r w:rsidRPr="16D1DA77">
        <w:rPr>
          <w:sz w:val="22"/>
          <w:szCs w:val="22"/>
        </w:rPr>
        <w:t>ibed here. Describe the specification of the dimensions and levels used for disaggregation of the indicator (e.g., income, sex, age group, geographic location, disability status, etc.). National reporting: Data availability by sub-national breakdowns and time periods can be desc</w:t>
      </w:r>
      <w:r w:rsidR="63499D5B" w:rsidRPr="16D1DA77">
        <w:rPr>
          <w:sz w:val="22"/>
          <w:szCs w:val="22"/>
        </w:rPr>
        <w:t>r</w:t>
      </w:r>
      <w:r w:rsidRPr="16D1DA77">
        <w:rPr>
          <w:sz w:val="22"/>
          <w:szCs w:val="22"/>
        </w:rPr>
        <w:t>ibed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2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C4B70" w14:textId="77777777" w:rsidR="00DE6C06" w:rsidRDefault="00DE6C06" w:rsidP="00573C0B">
      <w:pPr>
        <w:spacing w:after="0" w:line="240" w:lineRule="auto"/>
      </w:pPr>
      <w:r>
        <w:separator/>
      </w:r>
    </w:p>
  </w:endnote>
  <w:endnote w:type="continuationSeparator" w:id="0">
    <w:p w14:paraId="05337E06" w14:textId="77777777" w:rsidR="00DE6C06" w:rsidRDefault="00DE6C06" w:rsidP="00573C0B">
      <w:pPr>
        <w:spacing w:after="0" w:line="240" w:lineRule="auto"/>
      </w:pPr>
      <w:r>
        <w:continuationSeparator/>
      </w:r>
    </w:p>
  </w:endnote>
  <w:endnote w:type="continuationNotice" w:id="1">
    <w:p w14:paraId="0E68EB68" w14:textId="77777777" w:rsidR="00DE6C06" w:rsidRDefault="00DE6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CCF35" w14:textId="64C1F641" w:rsidR="00FF27E6" w:rsidRDefault="00FF27E6" w:rsidP="00D3013B">
    <w:pPr>
      <w:spacing w:before="100" w:beforeAutospacing="1" w:after="100" w:afterAutospacing="1"/>
      <w:jc w:val="right"/>
      <w:outlineLvl w:val="0"/>
    </w:pPr>
    <w:r w:rsidRPr="00D3013B">
      <w:rPr>
        <w:rFonts w:ascii="Roboto" w:eastAsia="Times New Roman" w:hAnsi="Roboto"/>
        <w:color w:val="505050"/>
        <w:kern w:val="36"/>
        <w:sz w:val="16"/>
        <w:szCs w:val="16"/>
        <w:lang w:eastAsia="en-GB"/>
      </w:rPr>
      <w:t>(Harmonized metadata template - format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EBA5E" w14:textId="77777777" w:rsidR="00DE6C06" w:rsidRDefault="00DE6C06" w:rsidP="00573C0B">
      <w:pPr>
        <w:spacing w:after="0" w:line="240" w:lineRule="auto"/>
      </w:pPr>
      <w:r>
        <w:separator/>
      </w:r>
    </w:p>
  </w:footnote>
  <w:footnote w:type="continuationSeparator" w:id="0">
    <w:p w14:paraId="44745B9D" w14:textId="77777777" w:rsidR="00DE6C06" w:rsidRDefault="00DE6C06" w:rsidP="00573C0B">
      <w:pPr>
        <w:spacing w:after="0" w:line="240" w:lineRule="auto"/>
      </w:pPr>
      <w:r>
        <w:continuationSeparator/>
      </w:r>
    </w:p>
  </w:footnote>
  <w:footnote w:type="continuationNotice" w:id="1">
    <w:p w14:paraId="6BDEB723" w14:textId="77777777" w:rsidR="00DE6C06" w:rsidRDefault="00DE6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4C0A933" w:rsidR="00077F46" w:rsidRPr="00757E8A" w:rsidRDefault="00101C81" w:rsidP="00101C81">
    <w:pPr>
      <w:pStyle w:val="Header"/>
      <w:jc w:val="right"/>
      <w:rPr>
        <w:color w:val="404040" w:themeColor="text1" w:themeTint="BF"/>
        <w:sz w:val="18"/>
        <w:szCs w:val="18"/>
      </w:rPr>
    </w:pPr>
    <w:bookmarkStart w:id="33" w:name="_Hlk506197003"/>
    <w:bookmarkStart w:id="34" w:name="_Hlk506197004"/>
    <w:bookmarkStart w:id="35" w:name="_Hlk506197005"/>
    <w:bookmarkStart w:id="36" w:name="_Hlk516233502"/>
    <w:bookmarkStart w:id="37" w:name="_Hlk516233503"/>
    <w:bookmarkStart w:id="38" w:name="_Hlk516233504"/>
    <w:r w:rsidRPr="00757E8A">
      <w:rPr>
        <w:color w:val="404040" w:themeColor="text1" w:themeTint="BF"/>
        <w:sz w:val="18"/>
        <w:szCs w:val="18"/>
      </w:rPr>
      <w:t>Last updated:</w:t>
    </w:r>
    <w:bookmarkEnd w:id="33"/>
    <w:bookmarkEnd w:id="34"/>
    <w:bookmarkEnd w:id="35"/>
    <w:bookmarkEnd w:id="36"/>
    <w:bookmarkEnd w:id="37"/>
    <w:bookmarkEnd w:id="38"/>
    <w:r>
      <w:rPr>
        <w:color w:val="404040" w:themeColor="text1" w:themeTint="BF"/>
        <w:sz w:val="18"/>
        <w:szCs w:val="18"/>
      </w:rPr>
      <w:t xml:space="preserve"> 2025-07-14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6CD1"/>
    <w:multiLevelType w:val="hybridMultilevel"/>
    <w:tmpl w:val="FFFFFFFF"/>
    <w:lvl w:ilvl="0" w:tplc="AB043794">
      <w:start w:val="1"/>
      <w:numFmt w:val="decimal"/>
      <w:lvlText w:val="%1."/>
      <w:lvlJc w:val="left"/>
      <w:pPr>
        <w:ind w:left="720" w:hanging="360"/>
      </w:pPr>
    </w:lvl>
    <w:lvl w:ilvl="1" w:tplc="B142BDDA">
      <w:start w:val="1"/>
      <w:numFmt w:val="lowerLetter"/>
      <w:lvlText w:val="%2."/>
      <w:lvlJc w:val="left"/>
      <w:pPr>
        <w:ind w:left="1440" w:hanging="360"/>
      </w:pPr>
    </w:lvl>
    <w:lvl w:ilvl="2" w:tplc="E586C32C">
      <w:start w:val="1"/>
      <w:numFmt w:val="lowerRoman"/>
      <w:lvlText w:val="%3."/>
      <w:lvlJc w:val="right"/>
      <w:pPr>
        <w:ind w:left="2160" w:hanging="180"/>
      </w:pPr>
    </w:lvl>
    <w:lvl w:ilvl="3" w:tplc="FFF4C3CA">
      <w:start w:val="1"/>
      <w:numFmt w:val="decimal"/>
      <w:lvlText w:val="%4."/>
      <w:lvlJc w:val="left"/>
      <w:pPr>
        <w:ind w:left="2880" w:hanging="360"/>
      </w:pPr>
    </w:lvl>
    <w:lvl w:ilvl="4" w:tplc="8EC0F65A">
      <w:start w:val="1"/>
      <w:numFmt w:val="lowerLetter"/>
      <w:lvlText w:val="%5."/>
      <w:lvlJc w:val="left"/>
      <w:pPr>
        <w:ind w:left="3600" w:hanging="360"/>
      </w:pPr>
    </w:lvl>
    <w:lvl w:ilvl="5" w:tplc="5F5CE3B2">
      <w:start w:val="1"/>
      <w:numFmt w:val="lowerRoman"/>
      <w:lvlText w:val="%6."/>
      <w:lvlJc w:val="right"/>
      <w:pPr>
        <w:ind w:left="4320" w:hanging="180"/>
      </w:pPr>
    </w:lvl>
    <w:lvl w:ilvl="6" w:tplc="D21290C0">
      <w:start w:val="1"/>
      <w:numFmt w:val="decimal"/>
      <w:lvlText w:val="%7."/>
      <w:lvlJc w:val="left"/>
      <w:pPr>
        <w:ind w:left="5040" w:hanging="360"/>
      </w:pPr>
    </w:lvl>
    <w:lvl w:ilvl="7" w:tplc="86D63E72">
      <w:start w:val="1"/>
      <w:numFmt w:val="lowerLetter"/>
      <w:lvlText w:val="%8."/>
      <w:lvlJc w:val="left"/>
      <w:pPr>
        <w:ind w:left="5760" w:hanging="360"/>
      </w:pPr>
    </w:lvl>
    <w:lvl w:ilvl="8" w:tplc="EB98B0D6">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203247"/>
    <w:multiLevelType w:val="hybridMultilevel"/>
    <w:tmpl w:val="FED4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564973">
    <w:abstractNumId w:val="0"/>
  </w:num>
  <w:num w:numId="2" w16cid:durableId="1725567816">
    <w:abstractNumId w:val="3"/>
  </w:num>
  <w:num w:numId="3" w16cid:durableId="106975216">
    <w:abstractNumId w:val="1"/>
  </w:num>
  <w:num w:numId="4" w16cid:durableId="1809662398">
    <w:abstractNumId w:val="4"/>
  </w:num>
  <w:num w:numId="5" w16cid:durableId="955260955">
    <w:abstractNumId w:val="2"/>
  </w:num>
  <w:num w:numId="6" w16cid:durableId="1182625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D5"/>
    <w:rsid w:val="000070BA"/>
    <w:rsid w:val="0001159F"/>
    <w:rsid w:val="000173F9"/>
    <w:rsid w:val="000211A2"/>
    <w:rsid w:val="000412A0"/>
    <w:rsid w:val="00047DDA"/>
    <w:rsid w:val="0005455A"/>
    <w:rsid w:val="00057127"/>
    <w:rsid w:val="00071F07"/>
    <w:rsid w:val="00075FCE"/>
    <w:rsid w:val="000761E8"/>
    <w:rsid w:val="0007759D"/>
    <w:rsid w:val="000777AB"/>
    <w:rsid w:val="00077F46"/>
    <w:rsid w:val="000836E1"/>
    <w:rsid w:val="00090FB1"/>
    <w:rsid w:val="00096186"/>
    <w:rsid w:val="000A0CC6"/>
    <w:rsid w:val="000A72E4"/>
    <w:rsid w:val="000B0E2F"/>
    <w:rsid w:val="000B2430"/>
    <w:rsid w:val="000B372D"/>
    <w:rsid w:val="000B667C"/>
    <w:rsid w:val="000C4734"/>
    <w:rsid w:val="000C5336"/>
    <w:rsid w:val="000D0B30"/>
    <w:rsid w:val="000E0913"/>
    <w:rsid w:val="000E587E"/>
    <w:rsid w:val="000F2D32"/>
    <w:rsid w:val="000F703E"/>
    <w:rsid w:val="00101C81"/>
    <w:rsid w:val="00120E86"/>
    <w:rsid w:val="00125DE9"/>
    <w:rsid w:val="001268F8"/>
    <w:rsid w:val="00130C2C"/>
    <w:rsid w:val="001332E0"/>
    <w:rsid w:val="00134B23"/>
    <w:rsid w:val="00134DE7"/>
    <w:rsid w:val="0014754B"/>
    <w:rsid w:val="00152904"/>
    <w:rsid w:val="00185354"/>
    <w:rsid w:val="001854DC"/>
    <w:rsid w:val="00185ECC"/>
    <w:rsid w:val="00186795"/>
    <w:rsid w:val="0019168F"/>
    <w:rsid w:val="00194D09"/>
    <w:rsid w:val="00196B87"/>
    <w:rsid w:val="001A5C7D"/>
    <w:rsid w:val="001A6236"/>
    <w:rsid w:val="001A7D5C"/>
    <w:rsid w:val="001B0CE0"/>
    <w:rsid w:val="001B22EA"/>
    <w:rsid w:val="001B60AA"/>
    <w:rsid w:val="001B63C8"/>
    <w:rsid w:val="001C1972"/>
    <w:rsid w:val="001C421F"/>
    <w:rsid w:val="001D12DA"/>
    <w:rsid w:val="001D360D"/>
    <w:rsid w:val="001F3DBF"/>
    <w:rsid w:val="002057A3"/>
    <w:rsid w:val="00205ED6"/>
    <w:rsid w:val="0021163B"/>
    <w:rsid w:val="00236EE6"/>
    <w:rsid w:val="00245258"/>
    <w:rsid w:val="00247E01"/>
    <w:rsid w:val="00261A8D"/>
    <w:rsid w:val="002659AE"/>
    <w:rsid w:val="00266F6A"/>
    <w:rsid w:val="00283C1C"/>
    <w:rsid w:val="00287994"/>
    <w:rsid w:val="00291A00"/>
    <w:rsid w:val="00291A11"/>
    <w:rsid w:val="00297348"/>
    <w:rsid w:val="002A315C"/>
    <w:rsid w:val="002A3342"/>
    <w:rsid w:val="002A64BA"/>
    <w:rsid w:val="002B4989"/>
    <w:rsid w:val="002C08AE"/>
    <w:rsid w:val="002C14DA"/>
    <w:rsid w:val="002C2510"/>
    <w:rsid w:val="002D714E"/>
    <w:rsid w:val="002E0314"/>
    <w:rsid w:val="002E53C3"/>
    <w:rsid w:val="002E65F2"/>
    <w:rsid w:val="002F1468"/>
    <w:rsid w:val="002F1B3C"/>
    <w:rsid w:val="002F5F0C"/>
    <w:rsid w:val="00300BF3"/>
    <w:rsid w:val="0030418B"/>
    <w:rsid w:val="003142E8"/>
    <w:rsid w:val="003216FD"/>
    <w:rsid w:val="003265EB"/>
    <w:rsid w:val="00342CF5"/>
    <w:rsid w:val="0034329E"/>
    <w:rsid w:val="00343FAA"/>
    <w:rsid w:val="00347F5E"/>
    <w:rsid w:val="00351CDE"/>
    <w:rsid w:val="00353C98"/>
    <w:rsid w:val="00355D00"/>
    <w:rsid w:val="00371A20"/>
    <w:rsid w:val="003821B4"/>
    <w:rsid w:val="00382CF3"/>
    <w:rsid w:val="00383DA5"/>
    <w:rsid w:val="00387D52"/>
    <w:rsid w:val="00395360"/>
    <w:rsid w:val="003A1B43"/>
    <w:rsid w:val="003A7CEA"/>
    <w:rsid w:val="003B131E"/>
    <w:rsid w:val="003B3F4B"/>
    <w:rsid w:val="003B7605"/>
    <w:rsid w:val="003C2AF0"/>
    <w:rsid w:val="003D3D33"/>
    <w:rsid w:val="003F0BD3"/>
    <w:rsid w:val="003F17A5"/>
    <w:rsid w:val="003F278A"/>
    <w:rsid w:val="003F54D5"/>
    <w:rsid w:val="003F7A02"/>
    <w:rsid w:val="00400DD6"/>
    <w:rsid w:val="00410CDC"/>
    <w:rsid w:val="00422EA5"/>
    <w:rsid w:val="00422EC4"/>
    <w:rsid w:val="00422EFA"/>
    <w:rsid w:val="0042370A"/>
    <w:rsid w:val="0042791F"/>
    <w:rsid w:val="00430B90"/>
    <w:rsid w:val="0043A3F0"/>
    <w:rsid w:val="004456ED"/>
    <w:rsid w:val="00451722"/>
    <w:rsid w:val="00452241"/>
    <w:rsid w:val="00461B0C"/>
    <w:rsid w:val="0048045A"/>
    <w:rsid w:val="00483B58"/>
    <w:rsid w:val="004841B8"/>
    <w:rsid w:val="0049103A"/>
    <w:rsid w:val="004927B2"/>
    <w:rsid w:val="004930F2"/>
    <w:rsid w:val="004A6451"/>
    <w:rsid w:val="004B0F1C"/>
    <w:rsid w:val="004C1A64"/>
    <w:rsid w:val="004C7559"/>
    <w:rsid w:val="004E3446"/>
    <w:rsid w:val="004E7252"/>
    <w:rsid w:val="004F2EE6"/>
    <w:rsid w:val="004F3B08"/>
    <w:rsid w:val="00502DBA"/>
    <w:rsid w:val="005040C4"/>
    <w:rsid w:val="00507637"/>
    <w:rsid w:val="00507852"/>
    <w:rsid w:val="00514DBF"/>
    <w:rsid w:val="00520590"/>
    <w:rsid w:val="005227E1"/>
    <w:rsid w:val="00542C21"/>
    <w:rsid w:val="00550921"/>
    <w:rsid w:val="00563712"/>
    <w:rsid w:val="005652FA"/>
    <w:rsid w:val="005668E5"/>
    <w:rsid w:val="00571FD9"/>
    <w:rsid w:val="00573631"/>
    <w:rsid w:val="00573C0B"/>
    <w:rsid w:val="00576CFA"/>
    <w:rsid w:val="00580162"/>
    <w:rsid w:val="00580FB3"/>
    <w:rsid w:val="005813B1"/>
    <w:rsid w:val="0058556D"/>
    <w:rsid w:val="00592AF2"/>
    <w:rsid w:val="005947AD"/>
    <w:rsid w:val="00597748"/>
    <w:rsid w:val="005979E8"/>
    <w:rsid w:val="005A4446"/>
    <w:rsid w:val="005A56D0"/>
    <w:rsid w:val="005C399E"/>
    <w:rsid w:val="005D0AF4"/>
    <w:rsid w:val="005D237C"/>
    <w:rsid w:val="005D6B08"/>
    <w:rsid w:val="005E54BD"/>
    <w:rsid w:val="005F1D16"/>
    <w:rsid w:val="005F6CCA"/>
    <w:rsid w:val="006104AF"/>
    <w:rsid w:val="006133D3"/>
    <w:rsid w:val="00621434"/>
    <w:rsid w:val="00621893"/>
    <w:rsid w:val="00624279"/>
    <w:rsid w:val="00625E59"/>
    <w:rsid w:val="00630ADB"/>
    <w:rsid w:val="006351E1"/>
    <w:rsid w:val="006447B1"/>
    <w:rsid w:val="00662775"/>
    <w:rsid w:val="006852FC"/>
    <w:rsid w:val="00695E59"/>
    <w:rsid w:val="006B40AB"/>
    <w:rsid w:val="006B5DC5"/>
    <w:rsid w:val="006C3AFE"/>
    <w:rsid w:val="006C4BFD"/>
    <w:rsid w:val="006C5164"/>
    <w:rsid w:val="006C7D30"/>
    <w:rsid w:val="006E1637"/>
    <w:rsid w:val="006E3C08"/>
    <w:rsid w:val="006F277C"/>
    <w:rsid w:val="006F41EA"/>
    <w:rsid w:val="00700ACF"/>
    <w:rsid w:val="0071062A"/>
    <w:rsid w:val="0071238D"/>
    <w:rsid w:val="00712487"/>
    <w:rsid w:val="00717900"/>
    <w:rsid w:val="00717A65"/>
    <w:rsid w:val="0072368D"/>
    <w:rsid w:val="00741840"/>
    <w:rsid w:val="007530CA"/>
    <w:rsid w:val="0075577E"/>
    <w:rsid w:val="007578D9"/>
    <w:rsid w:val="00757E8A"/>
    <w:rsid w:val="00757F54"/>
    <w:rsid w:val="00763E43"/>
    <w:rsid w:val="00764EB5"/>
    <w:rsid w:val="00771AB4"/>
    <w:rsid w:val="00777A95"/>
    <w:rsid w:val="00782416"/>
    <w:rsid w:val="007860FD"/>
    <w:rsid w:val="00792CAF"/>
    <w:rsid w:val="007B0364"/>
    <w:rsid w:val="007B1559"/>
    <w:rsid w:val="007D0981"/>
    <w:rsid w:val="007D1929"/>
    <w:rsid w:val="007D64CE"/>
    <w:rsid w:val="007E4102"/>
    <w:rsid w:val="007F025B"/>
    <w:rsid w:val="00802A25"/>
    <w:rsid w:val="00803CF1"/>
    <w:rsid w:val="008104BB"/>
    <w:rsid w:val="00820072"/>
    <w:rsid w:val="00823558"/>
    <w:rsid w:val="008249C5"/>
    <w:rsid w:val="00824C93"/>
    <w:rsid w:val="0082534B"/>
    <w:rsid w:val="0082638E"/>
    <w:rsid w:val="00827307"/>
    <w:rsid w:val="008355DA"/>
    <w:rsid w:val="008526F9"/>
    <w:rsid w:val="0085285E"/>
    <w:rsid w:val="00853023"/>
    <w:rsid w:val="008534D4"/>
    <w:rsid w:val="0085790D"/>
    <w:rsid w:val="00863820"/>
    <w:rsid w:val="008727E5"/>
    <w:rsid w:val="00877E4A"/>
    <w:rsid w:val="00881E28"/>
    <w:rsid w:val="00894C4B"/>
    <w:rsid w:val="008A0E32"/>
    <w:rsid w:val="008A12E3"/>
    <w:rsid w:val="008A40EF"/>
    <w:rsid w:val="008A42FA"/>
    <w:rsid w:val="008B0AC7"/>
    <w:rsid w:val="008B35E1"/>
    <w:rsid w:val="008B79FC"/>
    <w:rsid w:val="008C2335"/>
    <w:rsid w:val="008C67C1"/>
    <w:rsid w:val="008D1721"/>
    <w:rsid w:val="008D1D39"/>
    <w:rsid w:val="008D5E6C"/>
    <w:rsid w:val="008F07D2"/>
    <w:rsid w:val="008F65DF"/>
    <w:rsid w:val="008F7F34"/>
    <w:rsid w:val="009000F0"/>
    <w:rsid w:val="00900A73"/>
    <w:rsid w:val="00914BB7"/>
    <w:rsid w:val="00917851"/>
    <w:rsid w:val="00917F65"/>
    <w:rsid w:val="00926665"/>
    <w:rsid w:val="009266E0"/>
    <w:rsid w:val="009311E7"/>
    <w:rsid w:val="009317C8"/>
    <w:rsid w:val="00942694"/>
    <w:rsid w:val="00944B80"/>
    <w:rsid w:val="00951BE7"/>
    <w:rsid w:val="009613AF"/>
    <w:rsid w:val="00967B40"/>
    <w:rsid w:val="009772C9"/>
    <w:rsid w:val="009918FC"/>
    <w:rsid w:val="00991C7E"/>
    <w:rsid w:val="009A006E"/>
    <w:rsid w:val="009A43EE"/>
    <w:rsid w:val="009A7E3A"/>
    <w:rsid w:val="009B1265"/>
    <w:rsid w:val="009B4A15"/>
    <w:rsid w:val="009B5693"/>
    <w:rsid w:val="009C61A2"/>
    <w:rsid w:val="009C78E4"/>
    <w:rsid w:val="009D5EC5"/>
    <w:rsid w:val="009D687E"/>
    <w:rsid w:val="009D722E"/>
    <w:rsid w:val="009F464E"/>
    <w:rsid w:val="009F6DE7"/>
    <w:rsid w:val="00A00CDD"/>
    <w:rsid w:val="00A10583"/>
    <w:rsid w:val="00A17B2D"/>
    <w:rsid w:val="00A27F17"/>
    <w:rsid w:val="00A37FCB"/>
    <w:rsid w:val="00A54863"/>
    <w:rsid w:val="00A57B64"/>
    <w:rsid w:val="00A61D74"/>
    <w:rsid w:val="00A8688B"/>
    <w:rsid w:val="00A879A3"/>
    <w:rsid w:val="00A91163"/>
    <w:rsid w:val="00A9286F"/>
    <w:rsid w:val="00A95912"/>
    <w:rsid w:val="00A96255"/>
    <w:rsid w:val="00AB0822"/>
    <w:rsid w:val="00AB285B"/>
    <w:rsid w:val="00AB2F57"/>
    <w:rsid w:val="00AC2BD9"/>
    <w:rsid w:val="00AD0766"/>
    <w:rsid w:val="00AD3E0A"/>
    <w:rsid w:val="00AF0041"/>
    <w:rsid w:val="00AF20BA"/>
    <w:rsid w:val="00AF5552"/>
    <w:rsid w:val="00AF5CB4"/>
    <w:rsid w:val="00AF5ED1"/>
    <w:rsid w:val="00AF71D6"/>
    <w:rsid w:val="00B233B8"/>
    <w:rsid w:val="00B3175F"/>
    <w:rsid w:val="00B31E2C"/>
    <w:rsid w:val="00B329B0"/>
    <w:rsid w:val="00B33271"/>
    <w:rsid w:val="00B36CE4"/>
    <w:rsid w:val="00B402D8"/>
    <w:rsid w:val="00B4237C"/>
    <w:rsid w:val="00B42FE8"/>
    <w:rsid w:val="00B52AFD"/>
    <w:rsid w:val="00B54077"/>
    <w:rsid w:val="00B544F2"/>
    <w:rsid w:val="00B63AD5"/>
    <w:rsid w:val="00B67A87"/>
    <w:rsid w:val="00B8087E"/>
    <w:rsid w:val="00B81D73"/>
    <w:rsid w:val="00B903CA"/>
    <w:rsid w:val="00B92748"/>
    <w:rsid w:val="00BA4875"/>
    <w:rsid w:val="00BB646E"/>
    <w:rsid w:val="00BD1BA1"/>
    <w:rsid w:val="00BD47E1"/>
    <w:rsid w:val="00BD7807"/>
    <w:rsid w:val="00BE1C9B"/>
    <w:rsid w:val="00C24DB2"/>
    <w:rsid w:val="00C35BC4"/>
    <w:rsid w:val="00C43F5B"/>
    <w:rsid w:val="00C4612A"/>
    <w:rsid w:val="00C4766D"/>
    <w:rsid w:val="00C5014D"/>
    <w:rsid w:val="00C50CD1"/>
    <w:rsid w:val="00C53A36"/>
    <w:rsid w:val="00C7229D"/>
    <w:rsid w:val="00C845F8"/>
    <w:rsid w:val="00C85445"/>
    <w:rsid w:val="00C9156C"/>
    <w:rsid w:val="00C92382"/>
    <w:rsid w:val="00CA3F8A"/>
    <w:rsid w:val="00CB4371"/>
    <w:rsid w:val="00CB5746"/>
    <w:rsid w:val="00CC4B33"/>
    <w:rsid w:val="00CC516D"/>
    <w:rsid w:val="00CF7706"/>
    <w:rsid w:val="00D24330"/>
    <w:rsid w:val="00D3013B"/>
    <w:rsid w:val="00D40056"/>
    <w:rsid w:val="00D44BC8"/>
    <w:rsid w:val="00D51C8A"/>
    <w:rsid w:val="00D52BCF"/>
    <w:rsid w:val="00D54F29"/>
    <w:rsid w:val="00D573C5"/>
    <w:rsid w:val="00D61C11"/>
    <w:rsid w:val="00D63F43"/>
    <w:rsid w:val="00D70AD9"/>
    <w:rsid w:val="00D72152"/>
    <w:rsid w:val="00D72B51"/>
    <w:rsid w:val="00D73C6C"/>
    <w:rsid w:val="00D8256B"/>
    <w:rsid w:val="00D85C28"/>
    <w:rsid w:val="00D93CF5"/>
    <w:rsid w:val="00D94BA5"/>
    <w:rsid w:val="00D9510F"/>
    <w:rsid w:val="00DA615C"/>
    <w:rsid w:val="00DA767E"/>
    <w:rsid w:val="00DC1EC0"/>
    <w:rsid w:val="00DC1F60"/>
    <w:rsid w:val="00DD1BC6"/>
    <w:rsid w:val="00DE5DC3"/>
    <w:rsid w:val="00DE6C06"/>
    <w:rsid w:val="00DE7610"/>
    <w:rsid w:val="00E00D8A"/>
    <w:rsid w:val="00E1050F"/>
    <w:rsid w:val="00E11604"/>
    <w:rsid w:val="00E11D92"/>
    <w:rsid w:val="00E130A0"/>
    <w:rsid w:val="00E210C4"/>
    <w:rsid w:val="00E23DB7"/>
    <w:rsid w:val="00E266A2"/>
    <w:rsid w:val="00E27782"/>
    <w:rsid w:val="00E46D96"/>
    <w:rsid w:val="00E52CCA"/>
    <w:rsid w:val="00E57A33"/>
    <w:rsid w:val="00E60068"/>
    <w:rsid w:val="00E66409"/>
    <w:rsid w:val="00E81D5B"/>
    <w:rsid w:val="00E976B9"/>
    <w:rsid w:val="00EA05D3"/>
    <w:rsid w:val="00EB19AD"/>
    <w:rsid w:val="00EB2F31"/>
    <w:rsid w:val="00EB6493"/>
    <w:rsid w:val="00EC2915"/>
    <w:rsid w:val="00EC6F47"/>
    <w:rsid w:val="00ED05A9"/>
    <w:rsid w:val="00ED1BA0"/>
    <w:rsid w:val="00ED421E"/>
    <w:rsid w:val="00EE2930"/>
    <w:rsid w:val="00EF086B"/>
    <w:rsid w:val="00F05922"/>
    <w:rsid w:val="00F123B3"/>
    <w:rsid w:val="00F17257"/>
    <w:rsid w:val="00F34D24"/>
    <w:rsid w:val="00F4130B"/>
    <w:rsid w:val="00F556A2"/>
    <w:rsid w:val="00F719A8"/>
    <w:rsid w:val="00F878B9"/>
    <w:rsid w:val="00FB24E8"/>
    <w:rsid w:val="00FB3B2B"/>
    <w:rsid w:val="00FC18DA"/>
    <w:rsid w:val="00FC3917"/>
    <w:rsid w:val="00FD4691"/>
    <w:rsid w:val="00FD60DA"/>
    <w:rsid w:val="00FD6180"/>
    <w:rsid w:val="00FE6E34"/>
    <w:rsid w:val="00FF07B4"/>
    <w:rsid w:val="00FF27E6"/>
    <w:rsid w:val="00FF2883"/>
    <w:rsid w:val="014A52B7"/>
    <w:rsid w:val="01664437"/>
    <w:rsid w:val="01B483C5"/>
    <w:rsid w:val="0258952A"/>
    <w:rsid w:val="0306C164"/>
    <w:rsid w:val="0359945A"/>
    <w:rsid w:val="03DF2B43"/>
    <w:rsid w:val="0444988D"/>
    <w:rsid w:val="0547E253"/>
    <w:rsid w:val="066CED0F"/>
    <w:rsid w:val="06D8B945"/>
    <w:rsid w:val="06E9B04E"/>
    <w:rsid w:val="0747CC1D"/>
    <w:rsid w:val="079E356F"/>
    <w:rsid w:val="07DE39AC"/>
    <w:rsid w:val="09A31094"/>
    <w:rsid w:val="09C18F85"/>
    <w:rsid w:val="09EE81BE"/>
    <w:rsid w:val="0A360276"/>
    <w:rsid w:val="0A7FA60F"/>
    <w:rsid w:val="0A82346B"/>
    <w:rsid w:val="0C1B44B4"/>
    <w:rsid w:val="0C435181"/>
    <w:rsid w:val="0D728190"/>
    <w:rsid w:val="0E678E31"/>
    <w:rsid w:val="0E979410"/>
    <w:rsid w:val="0FB8CD3B"/>
    <w:rsid w:val="0FBAF578"/>
    <w:rsid w:val="1045B1EA"/>
    <w:rsid w:val="1134BB31"/>
    <w:rsid w:val="113B321C"/>
    <w:rsid w:val="11469E97"/>
    <w:rsid w:val="147B23B1"/>
    <w:rsid w:val="14C6ED54"/>
    <w:rsid w:val="14E89FD8"/>
    <w:rsid w:val="1538396D"/>
    <w:rsid w:val="153C7502"/>
    <w:rsid w:val="15F69AE0"/>
    <w:rsid w:val="16D1DA77"/>
    <w:rsid w:val="187C6726"/>
    <w:rsid w:val="19692E5F"/>
    <w:rsid w:val="198593A0"/>
    <w:rsid w:val="19B8950E"/>
    <w:rsid w:val="1A459CA1"/>
    <w:rsid w:val="1A7A6EEF"/>
    <w:rsid w:val="1B2D789D"/>
    <w:rsid w:val="1B5DA568"/>
    <w:rsid w:val="1BFE9B3D"/>
    <w:rsid w:val="1CF82228"/>
    <w:rsid w:val="1D9A550E"/>
    <w:rsid w:val="1E316F1C"/>
    <w:rsid w:val="1E8C0631"/>
    <w:rsid w:val="1F14EACF"/>
    <w:rsid w:val="200A9D23"/>
    <w:rsid w:val="20750B30"/>
    <w:rsid w:val="22A7FD82"/>
    <w:rsid w:val="2377EEDF"/>
    <w:rsid w:val="23B51F17"/>
    <w:rsid w:val="2693CDA8"/>
    <w:rsid w:val="26971816"/>
    <w:rsid w:val="26978227"/>
    <w:rsid w:val="27535583"/>
    <w:rsid w:val="28AD8B57"/>
    <w:rsid w:val="28FD0ECF"/>
    <w:rsid w:val="298EF324"/>
    <w:rsid w:val="2A2BCDA5"/>
    <w:rsid w:val="2B383B90"/>
    <w:rsid w:val="2B52CF0A"/>
    <w:rsid w:val="2C38F817"/>
    <w:rsid w:val="2C7966AB"/>
    <w:rsid w:val="2CE6A6F0"/>
    <w:rsid w:val="2D346F2B"/>
    <w:rsid w:val="2D884A8F"/>
    <w:rsid w:val="2E244D06"/>
    <w:rsid w:val="2F429FE6"/>
    <w:rsid w:val="2FBC2348"/>
    <w:rsid w:val="2FD4497D"/>
    <w:rsid w:val="31D0E03C"/>
    <w:rsid w:val="3253A03D"/>
    <w:rsid w:val="326675A8"/>
    <w:rsid w:val="326A2F71"/>
    <w:rsid w:val="33AF7331"/>
    <w:rsid w:val="33EC597F"/>
    <w:rsid w:val="34CE896E"/>
    <w:rsid w:val="34D3DB01"/>
    <w:rsid w:val="356E1819"/>
    <w:rsid w:val="366489FD"/>
    <w:rsid w:val="36F709BE"/>
    <w:rsid w:val="398F6639"/>
    <w:rsid w:val="3999725A"/>
    <w:rsid w:val="39F3F6DF"/>
    <w:rsid w:val="3A476813"/>
    <w:rsid w:val="3A614BA1"/>
    <w:rsid w:val="3A8EBD26"/>
    <w:rsid w:val="3C1D7A10"/>
    <w:rsid w:val="3D85691F"/>
    <w:rsid w:val="3D9D86F7"/>
    <w:rsid w:val="3EC42CE0"/>
    <w:rsid w:val="40960EB9"/>
    <w:rsid w:val="40C45535"/>
    <w:rsid w:val="40FBDD6D"/>
    <w:rsid w:val="411A32A8"/>
    <w:rsid w:val="4195D1C7"/>
    <w:rsid w:val="41B401EF"/>
    <w:rsid w:val="41DF78CE"/>
    <w:rsid w:val="424F4A59"/>
    <w:rsid w:val="42602596"/>
    <w:rsid w:val="43229446"/>
    <w:rsid w:val="43431354"/>
    <w:rsid w:val="43488E6D"/>
    <w:rsid w:val="43BCB8BC"/>
    <w:rsid w:val="43FBCEA6"/>
    <w:rsid w:val="463EB4FA"/>
    <w:rsid w:val="4683192A"/>
    <w:rsid w:val="470CA606"/>
    <w:rsid w:val="4729EF81"/>
    <w:rsid w:val="476AF2F8"/>
    <w:rsid w:val="47E8312A"/>
    <w:rsid w:val="4861BC18"/>
    <w:rsid w:val="4A076F85"/>
    <w:rsid w:val="4A8A3B80"/>
    <w:rsid w:val="4BCD7654"/>
    <w:rsid w:val="4CC2E264"/>
    <w:rsid w:val="4D4275B1"/>
    <w:rsid w:val="4EAD65A1"/>
    <w:rsid w:val="4ECD9C5E"/>
    <w:rsid w:val="501152E3"/>
    <w:rsid w:val="5050BFDB"/>
    <w:rsid w:val="512D8862"/>
    <w:rsid w:val="5140F0AA"/>
    <w:rsid w:val="51CCBC0F"/>
    <w:rsid w:val="523A9AFF"/>
    <w:rsid w:val="529EFC8D"/>
    <w:rsid w:val="557B14E5"/>
    <w:rsid w:val="568884B8"/>
    <w:rsid w:val="5697E813"/>
    <w:rsid w:val="56A0807E"/>
    <w:rsid w:val="58CE369B"/>
    <w:rsid w:val="5CC69C0C"/>
    <w:rsid w:val="5EA39BB9"/>
    <w:rsid w:val="5EE8C281"/>
    <w:rsid w:val="5F286EB4"/>
    <w:rsid w:val="61178E54"/>
    <w:rsid w:val="630D55EA"/>
    <w:rsid w:val="63474070"/>
    <w:rsid w:val="63499D5B"/>
    <w:rsid w:val="66CFCB21"/>
    <w:rsid w:val="66E7723A"/>
    <w:rsid w:val="67D5692B"/>
    <w:rsid w:val="6A576818"/>
    <w:rsid w:val="6BB6C619"/>
    <w:rsid w:val="6BFDBCB6"/>
    <w:rsid w:val="6C4F90F0"/>
    <w:rsid w:val="6CC4F428"/>
    <w:rsid w:val="6ED44521"/>
    <w:rsid w:val="6F61125C"/>
    <w:rsid w:val="6FB2899E"/>
    <w:rsid w:val="7015AB0B"/>
    <w:rsid w:val="7071395E"/>
    <w:rsid w:val="71693A44"/>
    <w:rsid w:val="718D2BFF"/>
    <w:rsid w:val="732DA188"/>
    <w:rsid w:val="733ADCC5"/>
    <w:rsid w:val="740DE767"/>
    <w:rsid w:val="741B208B"/>
    <w:rsid w:val="755B9222"/>
    <w:rsid w:val="7572249B"/>
    <w:rsid w:val="75F7866F"/>
    <w:rsid w:val="760E4C78"/>
    <w:rsid w:val="782347A6"/>
    <w:rsid w:val="78ABC198"/>
    <w:rsid w:val="78DC7E1D"/>
    <w:rsid w:val="795A794B"/>
    <w:rsid w:val="79EA4147"/>
    <w:rsid w:val="79EF1A5F"/>
    <w:rsid w:val="7B51F41A"/>
    <w:rsid w:val="7C7E08E5"/>
    <w:rsid w:val="7DB41149"/>
    <w:rsid w:val="7DB8571A"/>
    <w:rsid w:val="7EF32226"/>
    <w:rsid w:val="7F3E2C8E"/>
    <w:rsid w:val="7FE355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93824761-B37A-40AB-98BD-FD79D391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B81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D73"/>
    <w:rPr>
      <w:sz w:val="20"/>
      <w:szCs w:val="20"/>
    </w:rPr>
  </w:style>
  <w:style w:type="character" w:styleId="FootnoteReference">
    <w:name w:val="footnote reference"/>
    <w:basedOn w:val="DefaultParagraphFont"/>
    <w:uiPriority w:val="99"/>
    <w:semiHidden/>
    <w:unhideWhenUsed/>
    <w:rsid w:val="00B81D73"/>
    <w:rPr>
      <w:vertAlign w:val="superscript"/>
    </w:rPr>
  </w:style>
  <w:style w:type="character" w:customStyle="1" w:styleId="ui-provider">
    <w:name w:val="ui-provider"/>
    <w:basedOn w:val="DefaultParagraphFont"/>
    <w:rsid w:val="009266E0"/>
  </w:style>
  <w:style w:type="character" w:customStyle="1" w:styleId="normaltextrun">
    <w:name w:val="normaltextrun"/>
    <w:basedOn w:val="DefaultParagraphFont"/>
    <w:rsid w:val="00FE6E34"/>
  </w:style>
  <w:style w:type="character" w:customStyle="1" w:styleId="eop">
    <w:name w:val="eop"/>
    <w:basedOn w:val="DefaultParagraphFont"/>
    <w:rsid w:val="008B79FC"/>
  </w:style>
  <w:style w:type="paragraph" w:customStyle="1" w:styleId="paragraph">
    <w:name w:val="paragraph"/>
    <w:basedOn w:val="Normal"/>
    <w:rsid w:val="00D73C6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866185">
      <w:bodyDiv w:val="1"/>
      <w:marLeft w:val="0"/>
      <w:marRight w:val="0"/>
      <w:marTop w:val="0"/>
      <w:marBottom w:val="0"/>
      <w:divBdr>
        <w:top w:val="none" w:sz="0" w:space="0" w:color="auto"/>
        <w:left w:val="none" w:sz="0" w:space="0" w:color="auto"/>
        <w:bottom w:val="none" w:sz="0" w:space="0" w:color="auto"/>
        <w:right w:val="none" w:sz="0" w:space="0" w:color="auto"/>
      </w:divBdr>
      <w:divsChild>
        <w:div w:id="54670122">
          <w:marLeft w:val="0"/>
          <w:marRight w:val="0"/>
          <w:marTop w:val="0"/>
          <w:marBottom w:val="0"/>
          <w:divBdr>
            <w:top w:val="none" w:sz="0" w:space="0" w:color="auto"/>
            <w:left w:val="none" w:sz="0" w:space="0" w:color="auto"/>
            <w:bottom w:val="none" w:sz="0" w:space="0" w:color="auto"/>
            <w:right w:val="none" w:sz="0" w:space="0" w:color="auto"/>
          </w:divBdr>
          <w:divsChild>
            <w:div w:id="1994605483">
              <w:marLeft w:val="0"/>
              <w:marRight w:val="0"/>
              <w:marTop w:val="0"/>
              <w:marBottom w:val="0"/>
              <w:divBdr>
                <w:top w:val="none" w:sz="0" w:space="0" w:color="auto"/>
                <w:left w:val="none" w:sz="0" w:space="0" w:color="auto"/>
                <w:bottom w:val="none" w:sz="0" w:space="0" w:color="auto"/>
                <w:right w:val="none" w:sz="0" w:space="0" w:color="auto"/>
              </w:divBdr>
            </w:div>
          </w:divsChild>
        </w:div>
        <w:div w:id="388653358">
          <w:marLeft w:val="0"/>
          <w:marRight w:val="0"/>
          <w:marTop w:val="0"/>
          <w:marBottom w:val="0"/>
          <w:divBdr>
            <w:top w:val="none" w:sz="0" w:space="0" w:color="auto"/>
            <w:left w:val="none" w:sz="0" w:space="0" w:color="auto"/>
            <w:bottom w:val="none" w:sz="0" w:space="0" w:color="auto"/>
            <w:right w:val="none" w:sz="0" w:space="0" w:color="auto"/>
          </w:divBdr>
          <w:divsChild>
            <w:div w:id="1541237264">
              <w:marLeft w:val="0"/>
              <w:marRight w:val="0"/>
              <w:marTop w:val="0"/>
              <w:marBottom w:val="0"/>
              <w:divBdr>
                <w:top w:val="none" w:sz="0" w:space="0" w:color="auto"/>
                <w:left w:val="none" w:sz="0" w:space="0" w:color="auto"/>
                <w:bottom w:val="none" w:sz="0" w:space="0" w:color="auto"/>
                <w:right w:val="none" w:sz="0" w:space="0" w:color="auto"/>
              </w:divBdr>
            </w:div>
          </w:divsChild>
        </w:div>
        <w:div w:id="499273426">
          <w:marLeft w:val="0"/>
          <w:marRight w:val="0"/>
          <w:marTop w:val="0"/>
          <w:marBottom w:val="0"/>
          <w:divBdr>
            <w:top w:val="none" w:sz="0" w:space="0" w:color="auto"/>
            <w:left w:val="none" w:sz="0" w:space="0" w:color="auto"/>
            <w:bottom w:val="none" w:sz="0" w:space="0" w:color="auto"/>
            <w:right w:val="none" w:sz="0" w:space="0" w:color="auto"/>
          </w:divBdr>
          <w:divsChild>
            <w:div w:id="1203976093">
              <w:marLeft w:val="0"/>
              <w:marRight w:val="0"/>
              <w:marTop w:val="0"/>
              <w:marBottom w:val="0"/>
              <w:divBdr>
                <w:top w:val="none" w:sz="0" w:space="0" w:color="auto"/>
                <w:left w:val="none" w:sz="0" w:space="0" w:color="auto"/>
                <w:bottom w:val="none" w:sz="0" w:space="0" w:color="auto"/>
                <w:right w:val="none" w:sz="0" w:space="0" w:color="auto"/>
              </w:divBdr>
            </w:div>
          </w:divsChild>
        </w:div>
        <w:div w:id="547185673">
          <w:marLeft w:val="0"/>
          <w:marRight w:val="0"/>
          <w:marTop w:val="0"/>
          <w:marBottom w:val="0"/>
          <w:divBdr>
            <w:top w:val="none" w:sz="0" w:space="0" w:color="auto"/>
            <w:left w:val="none" w:sz="0" w:space="0" w:color="auto"/>
            <w:bottom w:val="none" w:sz="0" w:space="0" w:color="auto"/>
            <w:right w:val="none" w:sz="0" w:space="0" w:color="auto"/>
          </w:divBdr>
          <w:divsChild>
            <w:div w:id="1501265646">
              <w:marLeft w:val="0"/>
              <w:marRight w:val="0"/>
              <w:marTop w:val="0"/>
              <w:marBottom w:val="0"/>
              <w:divBdr>
                <w:top w:val="none" w:sz="0" w:space="0" w:color="auto"/>
                <w:left w:val="none" w:sz="0" w:space="0" w:color="auto"/>
                <w:bottom w:val="none" w:sz="0" w:space="0" w:color="auto"/>
                <w:right w:val="none" w:sz="0" w:space="0" w:color="auto"/>
              </w:divBdr>
            </w:div>
          </w:divsChild>
        </w:div>
        <w:div w:id="778720397">
          <w:marLeft w:val="0"/>
          <w:marRight w:val="0"/>
          <w:marTop w:val="0"/>
          <w:marBottom w:val="0"/>
          <w:divBdr>
            <w:top w:val="none" w:sz="0" w:space="0" w:color="auto"/>
            <w:left w:val="none" w:sz="0" w:space="0" w:color="auto"/>
            <w:bottom w:val="none" w:sz="0" w:space="0" w:color="auto"/>
            <w:right w:val="none" w:sz="0" w:space="0" w:color="auto"/>
          </w:divBdr>
          <w:divsChild>
            <w:div w:id="2004576948">
              <w:marLeft w:val="0"/>
              <w:marRight w:val="0"/>
              <w:marTop w:val="0"/>
              <w:marBottom w:val="0"/>
              <w:divBdr>
                <w:top w:val="none" w:sz="0" w:space="0" w:color="auto"/>
                <w:left w:val="none" w:sz="0" w:space="0" w:color="auto"/>
                <w:bottom w:val="none" w:sz="0" w:space="0" w:color="auto"/>
                <w:right w:val="none" w:sz="0" w:space="0" w:color="auto"/>
              </w:divBdr>
            </w:div>
          </w:divsChild>
        </w:div>
        <w:div w:id="893464590">
          <w:marLeft w:val="0"/>
          <w:marRight w:val="0"/>
          <w:marTop w:val="0"/>
          <w:marBottom w:val="0"/>
          <w:divBdr>
            <w:top w:val="none" w:sz="0" w:space="0" w:color="auto"/>
            <w:left w:val="none" w:sz="0" w:space="0" w:color="auto"/>
            <w:bottom w:val="none" w:sz="0" w:space="0" w:color="auto"/>
            <w:right w:val="none" w:sz="0" w:space="0" w:color="auto"/>
          </w:divBdr>
          <w:divsChild>
            <w:div w:id="215048437">
              <w:marLeft w:val="0"/>
              <w:marRight w:val="0"/>
              <w:marTop w:val="0"/>
              <w:marBottom w:val="0"/>
              <w:divBdr>
                <w:top w:val="none" w:sz="0" w:space="0" w:color="auto"/>
                <w:left w:val="none" w:sz="0" w:space="0" w:color="auto"/>
                <w:bottom w:val="none" w:sz="0" w:space="0" w:color="auto"/>
                <w:right w:val="none" w:sz="0" w:space="0" w:color="auto"/>
              </w:divBdr>
            </w:div>
          </w:divsChild>
        </w:div>
        <w:div w:id="903219833">
          <w:marLeft w:val="0"/>
          <w:marRight w:val="0"/>
          <w:marTop w:val="0"/>
          <w:marBottom w:val="0"/>
          <w:divBdr>
            <w:top w:val="none" w:sz="0" w:space="0" w:color="auto"/>
            <w:left w:val="none" w:sz="0" w:space="0" w:color="auto"/>
            <w:bottom w:val="none" w:sz="0" w:space="0" w:color="auto"/>
            <w:right w:val="none" w:sz="0" w:space="0" w:color="auto"/>
          </w:divBdr>
          <w:divsChild>
            <w:div w:id="852497427">
              <w:marLeft w:val="0"/>
              <w:marRight w:val="0"/>
              <w:marTop w:val="0"/>
              <w:marBottom w:val="0"/>
              <w:divBdr>
                <w:top w:val="none" w:sz="0" w:space="0" w:color="auto"/>
                <w:left w:val="none" w:sz="0" w:space="0" w:color="auto"/>
                <w:bottom w:val="none" w:sz="0" w:space="0" w:color="auto"/>
                <w:right w:val="none" w:sz="0" w:space="0" w:color="auto"/>
              </w:divBdr>
            </w:div>
          </w:divsChild>
        </w:div>
        <w:div w:id="1056926811">
          <w:marLeft w:val="0"/>
          <w:marRight w:val="0"/>
          <w:marTop w:val="0"/>
          <w:marBottom w:val="0"/>
          <w:divBdr>
            <w:top w:val="none" w:sz="0" w:space="0" w:color="auto"/>
            <w:left w:val="none" w:sz="0" w:space="0" w:color="auto"/>
            <w:bottom w:val="none" w:sz="0" w:space="0" w:color="auto"/>
            <w:right w:val="none" w:sz="0" w:space="0" w:color="auto"/>
          </w:divBdr>
          <w:divsChild>
            <w:div w:id="2104262046">
              <w:marLeft w:val="0"/>
              <w:marRight w:val="0"/>
              <w:marTop w:val="0"/>
              <w:marBottom w:val="0"/>
              <w:divBdr>
                <w:top w:val="none" w:sz="0" w:space="0" w:color="auto"/>
                <w:left w:val="none" w:sz="0" w:space="0" w:color="auto"/>
                <w:bottom w:val="none" w:sz="0" w:space="0" w:color="auto"/>
                <w:right w:val="none" w:sz="0" w:space="0" w:color="auto"/>
              </w:divBdr>
            </w:div>
          </w:divsChild>
        </w:div>
        <w:div w:id="1191919796">
          <w:marLeft w:val="0"/>
          <w:marRight w:val="0"/>
          <w:marTop w:val="0"/>
          <w:marBottom w:val="0"/>
          <w:divBdr>
            <w:top w:val="none" w:sz="0" w:space="0" w:color="auto"/>
            <w:left w:val="none" w:sz="0" w:space="0" w:color="auto"/>
            <w:bottom w:val="none" w:sz="0" w:space="0" w:color="auto"/>
            <w:right w:val="none" w:sz="0" w:space="0" w:color="auto"/>
          </w:divBdr>
          <w:divsChild>
            <w:div w:id="1380010645">
              <w:marLeft w:val="0"/>
              <w:marRight w:val="0"/>
              <w:marTop w:val="0"/>
              <w:marBottom w:val="0"/>
              <w:divBdr>
                <w:top w:val="none" w:sz="0" w:space="0" w:color="auto"/>
                <w:left w:val="none" w:sz="0" w:space="0" w:color="auto"/>
                <w:bottom w:val="none" w:sz="0" w:space="0" w:color="auto"/>
                <w:right w:val="none" w:sz="0" w:space="0" w:color="auto"/>
              </w:divBdr>
            </w:div>
          </w:divsChild>
        </w:div>
        <w:div w:id="1195194592">
          <w:marLeft w:val="0"/>
          <w:marRight w:val="0"/>
          <w:marTop w:val="0"/>
          <w:marBottom w:val="0"/>
          <w:divBdr>
            <w:top w:val="none" w:sz="0" w:space="0" w:color="auto"/>
            <w:left w:val="none" w:sz="0" w:space="0" w:color="auto"/>
            <w:bottom w:val="none" w:sz="0" w:space="0" w:color="auto"/>
            <w:right w:val="none" w:sz="0" w:space="0" w:color="auto"/>
          </w:divBdr>
          <w:divsChild>
            <w:div w:id="1312060659">
              <w:marLeft w:val="0"/>
              <w:marRight w:val="0"/>
              <w:marTop w:val="0"/>
              <w:marBottom w:val="0"/>
              <w:divBdr>
                <w:top w:val="none" w:sz="0" w:space="0" w:color="auto"/>
                <w:left w:val="none" w:sz="0" w:space="0" w:color="auto"/>
                <w:bottom w:val="none" w:sz="0" w:space="0" w:color="auto"/>
                <w:right w:val="none" w:sz="0" w:space="0" w:color="auto"/>
              </w:divBdr>
            </w:div>
          </w:divsChild>
        </w:div>
        <w:div w:id="1499613712">
          <w:marLeft w:val="0"/>
          <w:marRight w:val="0"/>
          <w:marTop w:val="0"/>
          <w:marBottom w:val="0"/>
          <w:divBdr>
            <w:top w:val="none" w:sz="0" w:space="0" w:color="auto"/>
            <w:left w:val="none" w:sz="0" w:space="0" w:color="auto"/>
            <w:bottom w:val="none" w:sz="0" w:space="0" w:color="auto"/>
            <w:right w:val="none" w:sz="0" w:space="0" w:color="auto"/>
          </w:divBdr>
          <w:divsChild>
            <w:div w:id="374814936">
              <w:marLeft w:val="0"/>
              <w:marRight w:val="0"/>
              <w:marTop w:val="0"/>
              <w:marBottom w:val="0"/>
              <w:divBdr>
                <w:top w:val="none" w:sz="0" w:space="0" w:color="auto"/>
                <w:left w:val="none" w:sz="0" w:space="0" w:color="auto"/>
                <w:bottom w:val="none" w:sz="0" w:space="0" w:color="auto"/>
                <w:right w:val="none" w:sz="0" w:space="0" w:color="auto"/>
              </w:divBdr>
            </w:div>
          </w:divsChild>
        </w:div>
        <w:div w:id="1615360569">
          <w:marLeft w:val="0"/>
          <w:marRight w:val="0"/>
          <w:marTop w:val="0"/>
          <w:marBottom w:val="0"/>
          <w:divBdr>
            <w:top w:val="none" w:sz="0" w:space="0" w:color="auto"/>
            <w:left w:val="none" w:sz="0" w:space="0" w:color="auto"/>
            <w:bottom w:val="none" w:sz="0" w:space="0" w:color="auto"/>
            <w:right w:val="none" w:sz="0" w:space="0" w:color="auto"/>
          </w:divBdr>
          <w:divsChild>
            <w:div w:id="1609967391">
              <w:marLeft w:val="0"/>
              <w:marRight w:val="0"/>
              <w:marTop w:val="0"/>
              <w:marBottom w:val="0"/>
              <w:divBdr>
                <w:top w:val="none" w:sz="0" w:space="0" w:color="auto"/>
                <w:left w:val="none" w:sz="0" w:space="0" w:color="auto"/>
                <w:bottom w:val="none" w:sz="0" w:space="0" w:color="auto"/>
                <w:right w:val="none" w:sz="0" w:space="0" w:color="auto"/>
              </w:divBdr>
            </w:div>
          </w:divsChild>
        </w:div>
        <w:div w:id="1658264960">
          <w:marLeft w:val="0"/>
          <w:marRight w:val="0"/>
          <w:marTop w:val="0"/>
          <w:marBottom w:val="0"/>
          <w:divBdr>
            <w:top w:val="none" w:sz="0" w:space="0" w:color="auto"/>
            <w:left w:val="none" w:sz="0" w:space="0" w:color="auto"/>
            <w:bottom w:val="none" w:sz="0" w:space="0" w:color="auto"/>
            <w:right w:val="none" w:sz="0" w:space="0" w:color="auto"/>
          </w:divBdr>
          <w:divsChild>
            <w:div w:id="220872517">
              <w:marLeft w:val="0"/>
              <w:marRight w:val="0"/>
              <w:marTop w:val="0"/>
              <w:marBottom w:val="0"/>
              <w:divBdr>
                <w:top w:val="none" w:sz="0" w:space="0" w:color="auto"/>
                <w:left w:val="none" w:sz="0" w:space="0" w:color="auto"/>
                <w:bottom w:val="none" w:sz="0" w:space="0" w:color="auto"/>
                <w:right w:val="none" w:sz="0" w:space="0" w:color="auto"/>
              </w:divBdr>
            </w:div>
            <w:div w:id="523398598">
              <w:marLeft w:val="0"/>
              <w:marRight w:val="0"/>
              <w:marTop w:val="0"/>
              <w:marBottom w:val="0"/>
              <w:divBdr>
                <w:top w:val="none" w:sz="0" w:space="0" w:color="auto"/>
                <w:left w:val="none" w:sz="0" w:space="0" w:color="auto"/>
                <w:bottom w:val="none" w:sz="0" w:space="0" w:color="auto"/>
                <w:right w:val="none" w:sz="0" w:space="0" w:color="auto"/>
              </w:divBdr>
            </w:div>
            <w:div w:id="645016485">
              <w:marLeft w:val="0"/>
              <w:marRight w:val="0"/>
              <w:marTop w:val="0"/>
              <w:marBottom w:val="0"/>
              <w:divBdr>
                <w:top w:val="none" w:sz="0" w:space="0" w:color="auto"/>
                <w:left w:val="none" w:sz="0" w:space="0" w:color="auto"/>
                <w:bottom w:val="none" w:sz="0" w:space="0" w:color="auto"/>
                <w:right w:val="none" w:sz="0" w:space="0" w:color="auto"/>
              </w:divBdr>
            </w:div>
            <w:div w:id="804007653">
              <w:marLeft w:val="0"/>
              <w:marRight w:val="0"/>
              <w:marTop w:val="0"/>
              <w:marBottom w:val="0"/>
              <w:divBdr>
                <w:top w:val="none" w:sz="0" w:space="0" w:color="auto"/>
                <w:left w:val="none" w:sz="0" w:space="0" w:color="auto"/>
                <w:bottom w:val="none" w:sz="0" w:space="0" w:color="auto"/>
                <w:right w:val="none" w:sz="0" w:space="0" w:color="auto"/>
              </w:divBdr>
            </w:div>
            <w:div w:id="1230270977">
              <w:marLeft w:val="0"/>
              <w:marRight w:val="0"/>
              <w:marTop w:val="0"/>
              <w:marBottom w:val="0"/>
              <w:divBdr>
                <w:top w:val="none" w:sz="0" w:space="0" w:color="auto"/>
                <w:left w:val="none" w:sz="0" w:space="0" w:color="auto"/>
                <w:bottom w:val="none" w:sz="0" w:space="0" w:color="auto"/>
                <w:right w:val="none" w:sz="0" w:space="0" w:color="auto"/>
              </w:divBdr>
            </w:div>
            <w:div w:id="1466001432">
              <w:marLeft w:val="0"/>
              <w:marRight w:val="0"/>
              <w:marTop w:val="0"/>
              <w:marBottom w:val="0"/>
              <w:divBdr>
                <w:top w:val="none" w:sz="0" w:space="0" w:color="auto"/>
                <w:left w:val="none" w:sz="0" w:space="0" w:color="auto"/>
                <w:bottom w:val="none" w:sz="0" w:space="0" w:color="auto"/>
                <w:right w:val="none" w:sz="0" w:space="0" w:color="auto"/>
              </w:divBdr>
            </w:div>
            <w:div w:id="1968004439">
              <w:marLeft w:val="0"/>
              <w:marRight w:val="0"/>
              <w:marTop w:val="0"/>
              <w:marBottom w:val="0"/>
              <w:divBdr>
                <w:top w:val="none" w:sz="0" w:space="0" w:color="auto"/>
                <w:left w:val="none" w:sz="0" w:space="0" w:color="auto"/>
                <w:bottom w:val="none" w:sz="0" w:space="0" w:color="auto"/>
                <w:right w:val="none" w:sz="0" w:space="0" w:color="auto"/>
              </w:divBdr>
            </w:div>
            <w:div w:id="2026713155">
              <w:marLeft w:val="0"/>
              <w:marRight w:val="0"/>
              <w:marTop w:val="0"/>
              <w:marBottom w:val="0"/>
              <w:divBdr>
                <w:top w:val="none" w:sz="0" w:space="0" w:color="auto"/>
                <w:left w:val="none" w:sz="0" w:space="0" w:color="auto"/>
                <w:bottom w:val="none" w:sz="0" w:space="0" w:color="auto"/>
                <w:right w:val="none" w:sz="0" w:space="0" w:color="auto"/>
              </w:divBdr>
            </w:div>
          </w:divsChild>
        </w:div>
        <w:div w:id="1727606402">
          <w:marLeft w:val="0"/>
          <w:marRight w:val="0"/>
          <w:marTop w:val="0"/>
          <w:marBottom w:val="0"/>
          <w:divBdr>
            <w:top w:val="none" w:sz="0" w:space="0" w:color="auto"/>
            <w:left w:val="none" w:sz="0" w:space="0" w:color="auto"/>
            <w:bottom w:val="none" w:sz="0" w:space="0" w:color="auto"/>
            <w:right w:val="none" w:sz="0" w:space="0" w:color="auto"/>
          </w:divBdr>
          <w:divsChild>
            <w:div w:id="1916814380">
              <w:marLeft w:val="0"/>
              <w:marRight w:val="0"/>
              <w:marTop w:val="0"/>
              <w:marBottom w:val="0"/>
              <w:divBdr>
                <w:top w:val="none" w:sz="0" w:space="0" w:color="auto"/>
                <w:left w:val="none" w:sz="0" w:space="0" w:color="auto"/>
                <w:bottom w:val="none" w:sz="0" w:space="0" w:color="auto"/>
                <w:right w:val="none" w:sz="0" w:space="0" w:color="auto"/>
              </w:divBdr>
            </w:div>
          </w:divsChild>
        </w:div>
        <w:div w:id="1742680944">
          <w:marLeft w:val="0"/>
          <w:marRight w:val="0"/>
          <w:marTop w:val="0"/>
          <w:marBottom w:val="0"/>
          <w:divBdr>
            <w:top w:val="none" w:sz="0" w:space="0" w:color="auto"/>
            <w:left w:val="none" w:sz="0" w:space="0" w:color="auto"/>
            <w:bottom w:val="none" w:sz="0" w:space="0" w:color="auto"/>
            <w:right w:val="none" w:sz="0" w:space="0" w:color="auto"/>
          </w:divBdr>
          <w:divsChild>
            <w:div w:id="1596786374">
              <w:marLeft w:val="0"/>
              <w:marRight w:val="0"/>
              <w:marTop w:val="0"/>
              <w:marBottom w:val="0"/>
              <w:divBdr>
                <w:top w:val="none" w:sz="0" w:space="0" w:color="auto"/>
                <w:left w:val="none" w:sz="0" w:space="0" w:color="auto"/>
                <w:bottom w:val="none" w:sz="0" w:space="0" w:color="auto"/>
                <w:right w:val="none" w:sz="0" w:space="0" w:color="auto"/>
              </w:divBdr>
            </w:div>
          </w:divsChild>
        </w:div>
        <w:div w:id="2019967136">
          <w:marLeft w:val="0"/>
          <w:marRight w:val="0"/>
          <w:marTop w:val="0"/>
          <w:marBottom w:val="0"/>
          <w:divBdr>
            <w:top w:val="none" w:sz="0" w:space="0" w:color="auto"/>
            <w:left w:val="none" w:sz="0" w:space="0" w:color="auto"/>
            <w:bottom w:val="none" w:sz="0" w:space="0" w:color="auto"/>
            <w:right w:val="none" w:sz="0" w:space="0" w:color="auto"/>
          </w:divBdr>
          <w:divsChild>
            <w:div w:id="14577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4799943">
      <w:bodyDiv w:val="1"/>
      <w:marLeft w:val="0"/>
      <w:marRight w:val="0"/>
      <w:marTop w:val="0"/>
      <w:marBottom w:val="0"/>
      <w:divBdr>
        <w:top w:val="none" w:sz="0" w:space="0" w:color="auto"/>
        <w:left w:val="none" w:sz="0" w:space="0" w:color="auto"/>
        <w:bottom w:val="none" w:sz="0" w:space="0" w:color="auto"/>
        <w:right w:val="none" w:sz="0" w:space="0" w:color="auto"/>
      </w:divBdr>
      <w:divsChild>
        <w:div w:id="338773475">
          <w:marLeft w:val="0"/>
          <w:marRight w:val="0"/>
          <w:marTop w:val="0"/>
          <w:marBottom w:val="0"/>
          <w:divBdr>
            <w:top w:val="none" w:sz="0" w:space="0" w:color="auto"/>
            <w:left w:val="none" w:sz="0" w:space="0" w:color="auto"/>
            <w:bottom w:val="none" w:sz="0" w:space="0" w:color="auto"/>
            <w:right w:val="none" w:sz="0" w:space="0" w:color="auto"/>
          </w:divBdr>
          <w:divsChild>
            <w:div w:id="140313541">
              <w:marLeft w:val="0"/>
              <w:marRight w:val="0"/>
              <w:marTop w:val="0"/>
              <w:marBottom w:val="0"/>
              <w:divBdr>
                <w:top w:val="none" w:sz="0" w:space="0" w:color="auto"/>
                <w:left w:val="none" w:sz="0" w:space="0" w:color="auto"/>
                <w:bottom w:val="none" w:sz="0" w:space="0" w:color="auto"/>
                <w:right w:val="none" w:sz="0" w:space="0" w:color="auto"/>
              </w:divBdr>
            </w:div>
          </w:divsChild>
        </w:div>
        <w:div w:id="527259570">
          <w:marLeft w:val="0"/>
          <w:marRight w:val="0"/>
          <w:marTop w:val="0"/>
          <w:marBottom w:val="0"/>
          <w:divBdr>
            <w:top w:val="none" w:sz="0" w:space="0" w:color="auto"/>
            <w:left w:val="none" w:sz="0" w:space="0" w:color="auto"/>
            <w:bottom w:val="none" w:sz="0" w:space="0" w:color="auto"/>
            <w:right w:val="none" w:sz="0" w:space="0" w:color="auto"/>
          </w:divBdr>
          <w:divsChild>
            <w:div w:id="417558847">
              <w:marLeft w:val="0"/>
              <w:marRight w:val="0"/>
              <w:marTop w:val="0"/>
              <w:marBottom w:val="0"/>
              <w:divBdr>
                <w:top w:val="none" w:sz="0" w:space="0" w:color="auto"/>
                <w:left w:val="none" w:sz="0" w:space="0" w:color="auto"/>
                <w:bottom w:val="none" w:sz="0" w:space="0" w:color="auto"/>
                <w:right w:val="none" w:sz="0" w:space="0" w:color="auto"/>
              </w:divBdr>
            </w:div>
          </w:divsChild>
        </w:div>
        <w:div w:id="549803474">
          <w:marLeft w:val="0"/>
          <w:marRight w:val="0"/>
          <w:marTop w:val="0"/>
          <w:marBottom w:val="0"/>
          <w:divBdr>
            <w:top w:val="none" w:sz="0" w:space="0" w:color="auto"/>
            <w:left w:val="none" w:sz="0" w:space="0" w:color="auto"/>
            <w:bottom w:val="none" w:sz="0" w:space="0" w:color="auto"/>
            <w:right w:val="none" w:sz="0" w:space="0" w:color="auto"/>
          </w:divBdr>
          <w:divsChild>
            <w:div w:id="862354537">
              <w:marLeft w:val="0"/>
              <w:marRight w:val="0"/>
              <w:marTop w:val="0"/>
              <w:marBottom w:val="0"/>
              <w:divBdr>
                <w:top w:val="none" w:sz="0" w:space="0" w:color="auto"/>
                <w:left w:val="none" w:sz="0" w:space="0" w:color="auto"/>
                <w:bottom w:val="none" w:sz="0" w:space="0" w:color="auto"/>
                <w:right w:val="none" w:sz="0" w:space="0" w:color="auto"/>
              </w:divBdr>
            </w:div>
            <w:div w:id="1706365955">
              <w:marLeft w:val="0"/>
              <w:marRight w:val="0"/>
              <w:marTop w:val="0"/>
              <w:marBottom w:val="0"/>
              <w:divBdr>
                <w:top w:val="none" w:sz="0" w:space="0" w:color="auto"/>
                <w:left w:val="none" w:sz="0" w:space="0" w:color="auto"/>
                <w:bottom w:val="none" w:sz="0" w:space="0" w:color="auto"/>
                <w:right w:val="none" w:sz="0" w:space="0" w:color="auto"/>
              </w:divBdr>
            </w:div>
            <w:div w:id="2093694961">
              <w:marLeft w:val="0"/>
              <w:marRight w:val="0"/>
              <w:marTop w:val="0"/>
              <w:marBottom w:val="0"/>
              <w:divBdr>
                <w:top w:val="none" w:sz="0" w:space="0" w:color="auto"/>
                <w:left w:val="none" w:sz="0" w:space="0" w:color="auto"/>
                <w:bottom w:val="none" w:sz="0" w:space="0" w:color="auto"/>
                <w:right w:val="none" w:sz="0" w:space="0" w:color="auto"/>
              </w:divBdr>
            </w:div>
          </w:divsChild>
        </w:div>
        <w:div w:id="838236837">
          <w:marLeft w:val="0"/>
          <w:marRight w:val="0"/>
          <w:marTop w:val="0"/>
          <w:marBottom w:val="0"/>
          <w:divBdr>
            <w:top w:val="none" w:sz="0" w:space="0" w:color="auto"/>
            <w:left w:val="none" w:sz="0" w:space="0" w:color="auto"/>
            <w:bottom w:val="none" w:sz="0" w:space="0" w:color="auto"/>
            <w:right w:val="none" w:sz="0" w:space="0" w:color="auto"/>
          </w:divBdr>
          <w:divsChild>
            <w:div w:id="637807670">
              <w:marLeft w:val="0"/>
              <w:marRight w:val="0"/>
              <w:marTop w:val="0"/>
              <w:marBottom w:val="0"/>
              <w:divBdr>
                <w:top w:val="none" w:sz="0" w:space="0" w:color="auto"/>
                <w:left w:val="none" w:sz="0" w:space="0" w:color="auto"/>
                <w:bottom w:val="none" w:sz="0" w:space="0" w:color="auto"/>
                <w:right w:val="none" w:sz="0" w:space="0" w:color="auto"/>
              </w:divBdr>
            </w:div>
          </w:divsChild>
        </w:div>
        <w:div w:id="842548232">
          <w:marLeft w:val="0"/>
          <w:marRight w:val="0"/>
          <w:marTop w:val="0"/>
          <w:marBottom w:val="0"/>
          <w:divBdr>
            <w:top w:val="none" w:sz="0" w:space="0" w:color="auto"/>
            <w:left w:val="none" w:sz="0" w:space="0" w:color="auto"/>
            <w:bottom w:val="none" w:sz="0" w:space="0" w:color="auto"/>
            <w:right w:val="none" w:sz="0" w:space="0" w:color="auto"/>
          </w:divBdr>
          <w:divsChild>
            <w:div w:id="623736004">
              <w:marLeft w:val="0"/>
              <w:marRight w:val="0"/>
              <w:marTop w:val="0"/>
              <w:marBottom w:val="0"/>
              <w:divBdr>
                <w:top w:val="none" w:sz="0" w:space="0" w:color="auto"/>
                <w:left w:val="none" w:sz="0" w:space="0" w:color="auto"/>
                <w:bottom w:val="none" w:sz="0" w:space="0" w:color="auto"/>
                <w:right w:val="none" w:sz="0" w:space="0" w:color="auto"/>
              </w:divBdr>
            </w:div>
          </w:divsChild>
        </w:div>
        <w:div w:id="859468239">
          <w:marLeft w:val="0"/>
          <w:marRight w:val="0"/>
          <w:marTop w:val="0"/>
          <w:marBottom w:val="0"/>
          <w:divBdr>
            <w:top w:val="none" w:sz="0" w:space="0" w:color="auto"/>
            <w:left w:val="none" w:sz="0" w:space="0" w:color="auto"/>
            <w:bottom w:val="none" w:sz="0" w:space="0" w:color="auto"/>
            <w:right w:val="none" w:sz="0" w:space="0" w:color="auto"/>
          </w:divBdr>
          <w:divsChild>
            <w:div w:id="1127964209">
              <w:marLeft w:val="0"/>
              <w:marRight w:val="0"/>
              <w:marTop w:val="0"/>
              <w:marBottom w:val="0"/>
              <w:divBdr>
                <w:top w:val="none" w:sz="0" w:space="0" w:color="auto"/>
                <w:left w:val="none" w:sz="0" w:space="0" w:color="auto"/>
                <w:bottom w:val="none" w:sz="0" w:space="0" w:color="auto"/>
                <w:right w:val="none" w:sz="0" w:space="0" w:color="auto"/>
              </w:divBdr>
            </w:div>
          </w:divsChild>
        </w:div>
        <w:div w:id="913472896">
          <w:marLeft w:val="0"/>
          <w:marRight w:val="0"/>
          <w:marTop w:val="0"/>
          <w:marBottom w:val="0"/>
          <w:divBdr>
            <w:top w:val="none" w:sz="0" w:space="0" w:color="auto"/>
            <w:left w:val="none" w:sz="0" w:space="0" w:color="auto"/>
            <w:bottom w:val="none" w:sz="0" w:space="0" w:color="auto"/>
            <w:right w:val="none" w:sz="0" w:space="0" w:color="auto"/>
          </w:divBdr>
          <w:divsChild>
            <w:div w:id="1404913337">
              <w:marLeft w:val="0"/>
              <w:marRight w:val="0"/>
              <w:marTop w:val="0"/>
              <w:marBottom w:val="0"/>
              <w:divBdr>
                <w:top w:val="none" w:sz="0" w:space="0" w:color="auto"/>
                <w:left w:val="none" w:sz="0" w:space="0" w:color="auto"/>
                <w:bottom w:val="none" w:sz="0" w:space="0" w:color="auto"/>
                <w:right w:val="none" w:sz="0" w:space="0" w:color="auto"/>
              </w:divBdr>
            </w:div>
          </w:divsChild>
        </w:div>
        <w:div w:id="960037722">
          <w:marLeft w:val="0"/>
          <w:marRight w:val="0"/>
          <w:marTop w:val="0"/>
          <w:marBottom w:val="0"/>
          <w:divBdr>
            <w:top w:val="none" w:sz="0" w:space="0" w:color="auto"/>
            <w:left w:val="none" w:sz="0" w:space="0" w:color="auto"/>
            <w:bottom w:val="none" w:sz="0" w:space="0" w:color="auto"/>
            <w:right w:val="none" w:sz="0" w:space="0" w:color="auto"/>
          </w:divBdr>
          <w:divsChild>
            <w:div w:id="1821775802">
              <w:marLeft w:val="0"/>
              <w:marRight w:val="0"/>
              <w:marTop w:val="0"/>
              <w:marBottom w:val="0"/>
              <w:divBdr>
                <w:top w:val="none" w:sz="0" w:space="0" w:color="auto"/>
                <w:left w:val="none" w:sz="0" w:space="0" w:color="auto"/>
                <w:bottom w:val="none" w:sz="0" w:space="0" w:color="auto"/>
                <w:right w:val="none" w:sz="0" w:space="0" w:color="auto"/>
              </w:divBdr>
            </w:div>
          </w:divsChild>
        </w:div>
        <w:div w:id="1266035871">
          <w:marLeft w:val="0"/>
          <w:marRight w:val="0"/>
          <w:marTop w:val="0"/>
          <w:marBottom w:val="0"/>
          <w:divBdr>
            <w:top w:val="none" w:sz="0" w:space="0" w:color="auto"/>
            <w:left w:val="none" w:sz="0" w:space="0" w:color="auto"/>
            <w:bottom w:val="none" w:sz="0" w:space="0" w:color="auto"/>
            <w:right w:val="none" w:sz="0" w:space="0" w:color="auto"/>
          </w:divBdr>
          <w:divsChild>
            <w:div w:id="98915626">
              <w:marLeft w:val="0"/>
              <w:marRight w:val="0"/>
              <w:marTop w:val="0"/>
              <w:marBottom w:val="0"/>
              <w:divBdr>
                <w:top w:val="none" w:sz="0" w:space="0" w:color="auto"/>
                <w:left w:val="none" w:sz="0" w:space="0" w:color="auto"/>
                <w:bottom w:val="none" w:sz="0" w:space="0" w:color="auto"/>
                <w:right w:val="none" w:sz="0" w:space="0" w:color="auto"/>
              </w:divBdr>
            </w:div>
          </w:divsChild>
        </w:div>
        <w:div w:id="1414011052">
          <w:marLeft w:val="0"/>
          <w:marRight w:val="0"/>
          <w:marTop w:val="0"/>
          <w:marBottom w:val="0"/>
          <w:divBdr>
            <w:top w:val="none" w:sz="0" w:space="0" w:color="auto"/>
            <w:left w:val="none" w:sz="0" w:space="0" w:color="auto"/>
            <w:bottom w:val="none" w:sz="0" w:space="0" w:color="auto"/>
            <w:right w:val="none" w:sz="0" w:space="0" w:color="auto"/>
          </w:divBdr>
          <w:divsChild>
            <w:div w:id="2082412047">
              <w:marLeft w:val="0"/>
              <w:marRight w:val="0"/>
              <w:marTop w:val="0"/>
              <w:marBottom w:val="0"/>
              <w:divBdr>
                <w:top w:val="none" w:sz="0" w:space="0" w:color="auto"/>
                <w:left w:val="none" w:sz="0" w:space="0" w:color="auto"/>
                <w:bottom w:val="none" w:sz="0" w:space="0" w:color="auto"/>
                <w:right w:val="none" w:sz="0" w:space="0" w:color="auto"/>
              </w:divBdr>
            </w:div>
          </w:divsChild>
        </w:div>
        <w:div w:id="1414429832">
          <w:marLeft w:val="0"/>
          <w:marRight w:val="0"/>
          <w:marTop w:val="0"/>
          <w:marBottom w:val="0"/>
          <w:divBdr>
            <w:top w:val="none" w:sz="0" w:space="0" w:color="auto"/>
            <w:left w:val="none" w:sz="0" w:space="0" w:color="auto"/>
            <w:bottom w:val="none" w:sz="0" w:space="0" w:color="auto"/>
            <w:right w:val="none" w:sz="0" w:space="0" w:color="auto"/>
          </w:divBdr>
          <w:divsChild>
            <w:div w:id="2059353158">
              <w:marLeft w:val="0"/>
              <w:marRight w:val="0"/>
              <w:marTop w:val="0"/>
              <w:marBottom w:val="0"/>
              <w:divBdr>
                <w:top w:val="none" w:sz="0" w:space="0" w:color="auto"/>
                <w:left w:val="none" w:sz="0" w:space="0" w:color="auto"/>
                <w:bottom w:val="none" w:sz="0" w:space="0" w:color="auto"/>
                <w:right w:val="none" w:sz="0" w:space="0" w:color="auto"/>
              </w:divBdr>
            </w:div>
          </w:divsChild>
        </w:div>
        <w:div w:id="1599557651">
          <w:marLeft w:val="0"/>
          <w:marRight w:val="0"/>
          <w:marTop w:val="0"/>
          <w:marBottom w:val="0"/>
          <w:divBdr>
            <w:top w:val="none" w:sz="0" w:space="0" w:color="auto"/>
            <w:left w:val="none" w:sz="0" w:space="0" w:color="auto"/>
            <w:bottom w:val="none" w:sz="0" w:space="0" w:color="auto"/>
            <w:right w:val="none" w:sz="0" w:space="0" w:color="auto"/>
          </w:divBdr>
          <w:divsChild>
            <w:div w:id="1190141049">
              <w:marLeft w:val="0"/>
              <w:marRight w:val="0"/>
              <w:marTop w:val="0"/>
              <w:marBottom w:val="0"/>
              <w:divBdr>
                <w:top w:val="none" w:sz="0" w:space="0" w:color="auto"/>
                <w:left w:val="none" w:sz="0" w:space="0" w:color="auto"/>
                <w:bottom w:val="none" w:sz="0" w:space="0" w:color="auto"/>
                <w:right w:val="none" w:sz="0" w:space="0" w:color="auto"/>
              </w:divBdr>
            </w:div>
          </w:divsChild>
        </w:div>
        <w:div w:id="1824928165">
          <w:marLeft w:val="0"/>
          <w:marRight w:val="0"/>
          <w:marTop w:val="0"/>
          <w:marBottom w:val="0"/>
          <w:divBdr>
            <w:top w:val="none" w:sz="0" w:space="0" w:color="auto"/>
            <w:left w:val="none" w:sz="0" w:space="0" w:color="auto"/>
            <w:bottom w:val="none" w:sz="0" w:space="0" w:color="auto"/>
            <w:right w:val="none" w:sz="0" w:space="0" w:color="auto"/>
          </w:divBdr>
          <w:divsChild>
            <w:div w:id="1494179539">
              <w:marLeft w:val="0"/>
              <w:marRight w:val="0"/>
              <w:marTop w:val="0"/>
              <w:marBottom w:val="0"/>
              <w:divBdr>
                <w:top w:val="none" w:sz="0" w:space="0" w:color="auto"/>
                <w:left w:val="none" w:sz="0" w:space="0" w:color="auto"/>
                <w:bottom w:val="none" w:sz="0" w:space="0" w:color="auto"/>
                <w:right w:val="none" w:sz="0" w:space="0" w:color="auto"/>
              </w:divBdr>
            </w:div>
          </w:divsChild>
        </w:div>
        <w:div w:id="1924146634">
          <w:marLeft w:val="0"/>
          <w:marRight w:val="0"/>
          <w:marTop w:val="0"/>
          <w:marBottom w:val="0"/>
          <w:divBdr>
            <w:top w:val="none" w:sz="0" w:space="0" w:color="auto"/>
            <w:left w:val="none" w:sz="0" w:space="0" w:color="auto"/>
            <w:bottom w:val="none" w:sz="0" w:space="0" w:color="auto"/>
            <w:right w:val="none" w:sz="0" w:space="0" w:color="auto"/>
          </w:divBdr>
          <w:divsChild>
            <w:div w:id="1107237195">
              <w:marLeft w:val="0"/>
              <w:marRight w:val="0"/>
              <w:marTop w:val="0"/>
              <w:marBottom w:val="0"/>
              <w:divBdr>
                <w:top w:val="none" w:sz="0" w:space="0" w:color="auto"/>
                <w:left w:val="none" w:sz="0" w:space="0" w:color="auto"/>
                <w:bottom w:val="none" w:sz="0" w:space="0" w:color="auto"/>
                <w:right w:val="none" w:sz="0" w:space="0" w:color="auto"/>
              </w:divBdr>
            </w:div>
          </w:divsChild>
        </w:div>
        <w:div w:id="2087998469">
          <w:marLeft w:val="0"/>
          <w:marRight w:val="0"/>
          <w:marTop w:val="0"/>
          <w:marBottom w:val="0"/>
          <w:divBdr>
            <w:top w:val="none" w:sz="0" w:space="0" w:color="auto"/>
            <w:left w:val="none" w:sz="0" w:space="0" w:color="auto"/>
            <w:bottom w:val="none" w:sz="0" w:space="0" w:color="auto"/>
            <w:right w:val="none" w:sz="0" w:space="0" w:color="auto"/>
          </w:divBdr>
          <w:divsChild>
            <w:div w:id="959804013">
              <w:marLeft w:val="0"/>
              <w:marRight w:val="0"/>
              <w:marTop w:val="0"/>
              <w:marBottom w:val="0"/>
              <w:divBdr>
                <w:top w:val="none" w:sz="0" w:space="0" w:color="auto"/>
                <w:left w:val="none" w:sz="0" w:space="0" w:color="auto"/>
                <w:bottom w:val="none" w:sz="0" w:space="0" w:color="auto"/>
                <w:right w:val="none" w:sz="0" w:space="0" w:color="auto"/>
              </w:divBdr>
            </w:div>
          </w:divsChild>
        </w:div>
        <w:div w:id="2093038051">
          <w:marLeft w:val="0"/>
          <w:marRight w:val="0"/>
          <w:marTop w:val="0"/>
          <w:marBottom w:val="0"/>
          <w:divBdr>
            <w:top w:val="none" w:sz="0" w:space="0" w:color="auto"/>
            <w:left w:val="none" w:sz="0" w:space="0" w:color="auto"/>
            <w:bottom w:val="none" w:sz="0" w:space="0" w:color="auto"/>
            <w:right w:val="none" w:sz="0" w:space="0" w:color="auto"/>
          </w:divBdr>
          <w:divsChild>
            <w:div w:id="2057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data/gho/data/indicators/indicator-details/GHO/new-cases-tested-for-rr--mdr-tb-(-)" TargetMode="External"/><Relationship Id="rId18" Type="http://schemas.openxmlformats.org/officeDocument/2006/relationships/hyperlink" Target="https://www.who.int/data/gho/data/indicators/indicator-details/GHO/measles-containing-vaccine-second-dose-(mcv2)-immunization-coverage-by-the-nationally-recommended-age-(-)" TargetMode="External"/><Relationship Id="rId26" Type="http://schemas.openxmlformats.org/officeDocument/2006/relationships/hyperlink" Target="https://www.who.int/data/gho/data/indicators/indicator-details/GHO/measles-containing-vaccine-first-dose-(mcv1)-immunization-coverage-among-1-year-olds-(-)" TargetMode="External"/><Relationship Id="rId3" Type="http://schemas.openxmlformats.org/officeDocument/2006/relationships/customXml" Target="../customXml/item3.xml"/><Relationship Id="rId21" Type="http://schemas.openxmlformats.org/officeDocument/2006/relationships/hyperlink" Target="https://www.who.int/data/gho/data/indicators/indicator-details/GHO/diphtheria-tetanus-toxoid-and-pertussis-(dtp3)-immunization-coverage-among-1-year-olds-(-)" TargetMode="External"/><Relationship Id="rId7" Type="http://schemas.openxmlformats.org/officeDocument/2006/relationships/settings" Target="settings.xml"/><Relationship Id="rId12" Type="http://schemas.openxmlformats.org/officeDocument/2006/relationships/hyperlink" Target="https://www.who.int/data/gho/data/indicators/indicator-details/GHO/women-accessing-antenatal-care-(anc)-services-who-were-tested-for-syphilis-(-)" TargetMode="External"/><Relationship Id="rId17" Type="http://schemas.openxmlformats.org/officeDocument/2006/relationships/hyperlink" Target="https://www.who.int/data/gho/data/indicators/indicator-details/GHO/married-or-in-union-women-of-reproductive-age-who-have-their-need-for-family-planning-satisfied-with-modern-methods-(-)" TargetMode="External"/><Relationship Id="rId25" Type="http://schemas.openxmlformats.org/officeDocument/2006/relationships/hyperlink" Target="https://www.who.int/data/gho/data/indicators/indicator-details/GHO/polio-(pol3)-immunization-coverage-among-1-year-old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ho.int/data/gho/data/indicators/indicator-details/GHO/antenatal-care-attendees-positive-for-syphilis-who-received-treatment-(-)" TargetMode="External"/><Relationship Id="rId20" Type="http://schemas.openxmlformats.org/officeDocument/2006/relationships/hyperlink" Target="https://www.who.int/data/gho/data/indicators/indicator-details/GHO/girls-aged-15-years-old-that-received-the-recommended-doses-of-hpv-vaccin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ata/gho/data/indicators/indicator-details/GHO/prevalence-of-cervical-cancer-screening-among-women-aged-30-49-years-(-)" TargetMode="External"/><Relationship Id="rId24" Type="http://schemas.openxmlformats.org/officeDocument/2006/relationships/hyperlink" Target="https://www.who.int/data/gho/data/indicators/indicator-details/GHO/hib-hib3-immunization-coverage-among-1-year-old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who.int/data/gho/data/indicators/indicator-details/GHO/estimated-antiretroviral-therapy-coverage-among-people-living-with-hiv-(-)" TargetMode="External"/><Relationship Id="rId23" Type="http://schemas.openxmlformats.org/officeDocument/2006/relationships/hyperlink" Target="https://www.who.int/data/gho/data/indicators/indicator-details/GHO/neonates-protected-at-birth-against-neonatal-tetanus-(pab)-(-)" TargetMode="External"/><Relationship Id="rId28" Type="http://schemas.openxmlformats.org/officeDocument/2006/relationships/hyperlink" Target="https://www.who.int/data/gho/data/indicators/indicator-details/GHO/met-need-of-assistive-products-as-proportion-of-need-(-)" TargetMode="External"/><Relationship Id="rId10" Type="http://schemas.openxmlformats.org/officeDocument/2006/relationships/endnotes" Target="endnotes.xml"/><Relationship Id="rId19" Type="http://schemas.openxmlformats.org/officeDocument/2006/relationships/hyperlink" Target="https://www.who.int/data/gho/data/indicators/indicator-details/GHO/pneumoccocal-conjugate-vaccines-(pcv3)-immunization-coverage-among-1-year-old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data/gho/data/indicators/indicator-details/GHO/tuberculosis-treatment-coverage" TargetMode="External"/><Relationship Id="rId22" Type="http://schemas.openxmlformats.org/officeDocument/2006/relationships/hyperlink" Target="https://www.who.int/data/gho/data/indicators/indicator-details/GHO/hepatitis-b-(hepb3)-immunization-coverage-among-1-year-olds-(-)" TargetMode="External"/><Relationship Id="rId27" Type="http://schemas.openxmlformats.org/officeDocument/2006/relationships/hyperlink" Target="https://www.who.int/data/gho/data/indicators/indicator-details/GHO/population-with-access-to-an-insecticide-treated-bed-net-(itn)-for-malaria-protection-modelled"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C50102"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01210B"/>
    <w:rsid w:val="0006040B"/>
    <w:rsid w:val="00126E0C"/>
    <w:rsid w:val="001744AD"/>
    <w:rsid w:val="0021215D"/>
    <w:rsid w:val="00247E01"/>
    <w:rsid w:val="002F0F7C"/>
    <w:rsid w:val="0030418B"/>
    <w:rsid w:val="003B7605"/>
    <w:rsid w:val="004375E3"/>
    <w:rsid w:val="00461B0C"/>
    <w:rsid w:val="0055166C"/>
    <w:rsid w:val="006C3AFE"/>
    <w:rsid w:val="00741840"/>
    <w:rsid w:val="009B07AA"/>
    <w:rsid w:val="00AE1720"/>
    <w:rsid w:val="00C50102"/>
    <w:rsid w:val="00CD0E9D"/>
    <w:rsid w:val="00D61C11"/>
    <w:rsid w:val="00D72B51"/>
    <w:rsid w:val="00E43FF2"/>
    <w:rsid w:val="00F101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3146</Words>
  <Characters>24753</Characters>
  <Application>Microsoft Office Word</Application>
  <DocSecurity>0</DocSecurity>
  <Lines>206</Lines>
  <Paragraphs>55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176</cp:revision>
  <cp:lastPrinted>2016-07-16T20:25:00Z</cp:lastPrinted>
  <dcterms:created xsi:type="dcterms:W3CDTF">2024-03-13T19:47:00Z</dcterms:created>
  <dcterms:modified xsi:type="dcterms:W3CDTF">2025-07-14T16:05:00Z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d049f95ace32e894acf198752f0414bf52077d0deb13fb1cd6d82e2c4e4e17ca</vt:lpwstr>
  </property>
</Properties>
</file>