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3FB0D396" w:rsidR="006C4BFD" w:rsidRPr="00A96255" w:rsidRDefault="006C4BFD" w:rsidP="00280DB4">
      <w:pPr>
        <w:jc w:val="center"/>
        <w:rPr>
          <w:rFonts w:cs="Calibri"/>
        </w:rPr>
      </w:pPr>
      <w:r w:rsidRPr="00A96255">
        <w:rPr>
          <w:rFonts w:eastAsia="Times New Roman" w:cs="Calibri"/>
          <w:color w:val="1C75BC"/>
          <w:sz w:val="36"/>
          <w:szCs w:val="36"/>
          <w:lang w:eastAsia="en-GB"/>
        </w:rPr>
        <w:t>SDG indicator metadata</w:t>
      </w:r>
    </w:p>
    <w:p w14:paraId="129054E9" w14:textId="6DF5B38E"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04001510" w:rsidR="00D24330" w:rsidRPr="00A96255" w:rsidRDefault="005C13BC" w:rsidP="00D339BF">
      <w:pPr>
        <w:pStyle w:val="MGTHeader"/>
      </w:pPr>
      <w:r w:rsidRPr="00604BCB">
        <w:t xml:space="preserve">Goal 3: Ensure healthy lives and promote well-being for all at all </w:t>
      </w:r>
      <w:proofErr w:type="gramStart"/>
      <w:r w:rsidRPr="00604BCB">
        <w:t>ages</w:t>
      </w:r>
      <w:proofErr w:type="gramEnd"/>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5822EE44" w:rsidR="00D24330" w:rsidRPr="00701A0B" w:rsidRDefault="005C13BC" w:rsidP="00D339BF">
      <w:pPr>
        <w:pStyle w:val="MGTHeader"/>
      </w:pPr>
      <w:r w:rsidRPr="00701A0B">
        <w:t xml:space="preserve">Target 3.d: Strengthen the capacity of all countries, in particular developing countries, for early warning, risk reduction and management of national and global health </w:t>
      </w:r>
      <w:proofErr w:type="gramStart"/>
      <w:r w:rsidRPr="00701A0B">
        <w:t>risks</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4F1B7CDF" w:rsidR="00D24330" w:rsidRPr="00701A0B" w:rsidRDefault="005C13BC" w:rsidP="00D339BF">
      <w:pPr>
        <w:pStyle w:val="MGTHeader"/>
      </w:pPr>
      <w:r w:rsidRPr="00701A0B">
        <w:t>Indicator 3.d.1: International Health Regulations (IHR) capacity and health emergency preparedness</w:t>
      </w:r>
    </w:p>
    <w:p w14:paraId="37E5E4F6" w14:textId="77777777" w:rsidR="00D24330" w:rsidRPr="00C71268" w:rsidRDefault="00D24330" w:rsidP="00D24330">
      <w:pPr>
        <w:pStyle w:val="MIndHeader"/>
        <w:rPr>
          <w:lang w:val="en-US"/>
        </w:rPr>
      </w:pPr>
      <w:r w:rsidRPr="00C71268">
        <w:rPr>
          <w:lang w:val="en-US"/>
        </w:rPr>
        <w:t xml:space="preserve">0.d. Series </w:t>
      </w:r>
      <w:r>
        <w:rPr>
          <w:color w:val="B4B4B4"/>
          <w:sz w:val="20"/>
        </w:rPr>
        <w:t>(SDG_SERIES_DESCR)</w:t>
      </w:r>
    </w:p>
    <w:p w14:paraId="64AE5A0A" w14:textId="3ABCA685" w:rsidR="005014BD" w:rsidRPr="00C71268" w:rsidRDefault="00E466E5" w:rsidP="00280DB4">
      <w:pPr>
        <w:pStyle w:val="MGTHeader"/>
        <w:spacing w:after="0"/>
        <w:rPr>
          <w:lang w:val="en-US"/>
        </w:rPr>
      </w:pPr>
      <w:r w:rsidRPr="00E466E5">
        <w:rPr>
          <w:lang w:val="en-US"/>
        </w:rPr>
        <w:t>SH_IHR_CAPS - International Health Regulations (IHR) capacity, by type of IHR capacity [3.d.1]</w:t>
      </w:r>
    </w:p>
    <w:p w14:paraId="157DACE7" w14:textId="77777777" w:rsidR="00D24330" w:rsidRPr="00C71268" w:rsidRDefault="00D24330" w:rsidP="00D24330">
      <w:pPr>
        <w:pStyle w:val="MIndHeader"/>
        <w:rPr>
          <w:lang w:val="en-US"/>
        </w:rPr>
      </w:pPr>
      <w:r w:rsidRPr="00C71268">
        <w:rPr>
          <w:lang w:val="en-US"/>
        </w:rPr>
        <w:t xml:space="preserve">0.e. Metadata update </w:t>
      </w:r>
      <w:r>
        <w:rPr>
          <w:color w:val="B4B4B4"/>
          <w:sz w:val="20"/>
        </w:rPr>
        <w:t>(META_LAST_UPDATE)</w:t>
      </w:r>
    </w:p>
    <w:sdt>
      <w:sdtPr>
        <w:rPr>
          <w:rFonts w:cs="Arial"/>
          <w:lang w:val="en-US"/>
        </w:rPr>
        <w:id w:val="-525102217"/>
        <w:placeholder>
          <w:docPart w:val="DefaultPlaceholder_-1854013437"/>
        </w:placeholder>
        <w:date w:fullDate="2024-05-24T00:00:00Z">
          <w:dateFormat w:val="yyyy-MM-dd"/>
          <w:lid w:val="en-US"/>
          <w:storeMappedDataAs w:val="dateTime"/>
          <w:calendar w:val="gregorian"/>
        </w:date>
      </w:sdtPr>
      <w:sdtContent>
        <w:p w14:paraId="03424B60" w14:textId="40546469" w:rsidR="00D24330" w:rsidRPr="00C71268" w:rsidRDefault="002D3C09" w:rsidP="00D24330">
          <w:pPr>
            <w:pStyle w:val="MGTHeader"/>
            <w:rPr>
              <w:rFonts w:cs="Arial"/>
              <w:lang w:val="en-US"/>
            </w:rPr>
          </w:pPr>
          <w:r>
            <w:rPr>
              <w:rFonts w:cs="Arial"/>
              <w:lang w:val="en-US"/>
            </w:rPr>
            <w:t>2024-05-24</w:t>
          </w:r>
        </w:p>
      </w:sdtContent>
    </w:sdt>
    <w:p w14:paraId="415C9FF1" w14:textId="682CEC3D" w:rsidR="00D24330" w:rsidRPr="00A96255" w:rsidRDefault="00D24330" w:rsidP="00D24330">
      <w:pPr>
        <w:pStyle w:val="MIndHeader"/>
      </w:pPr>
      <w:r w:rsidRPr="00A96255">
        <w:t xml:space="preserve">0.f. Related indicators </w:t>
      </w:r>
      <w:r>
        <w:rPr>
          <w:color w:val="B4B4B4"/>
          <w:sz w:val="20"/>
        </w:rPr>
        <w:t>(SDG_RELATED_INDICATORS)</w:t>
      </w:r>
    </w:p>
    <w:p w14:paraId="6F0BCD5C" w14:textId="77777777" w:rsidR="0035292D" w:rsidRPr="00A96255" w:rsidRDefault="0035292D" w:rsidP="0035292D">
      <w:pPr>
        <w:pStyle w:val="MGTHeader"/>
        <w:spacing w:after="0"/>
      </w:pP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317960C3" w14:textId="3E56E7C0" w:rsidR="005C13BC" w:rsidRPr="00C71268" w:rsidRDefault="005C13BC" w:rsidP="00D339BF">
      <w:pPr>
        <w:pStyle w:val="MGTHeader"/>
      </w:pPr>
      <w:r w:rsidRPr="00C71268">
        <w:t>World Health Organization (WHO)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76184EA4" w14:textId="27057D67" w:rsidR="005C13BC" w:rsidRPr="00CA1A19" w:rsidRDefault="005C13BC" w:rsidP="00CA1A19">
      <w:pPr>
        <w:pStyle w:val="MText"/>
      </w:pPr>
      <w:r w:rsidRPr="00CA1A19">
        <w:t xml:space="preserve">Country Capacity Assessment and Planning Group (CAP) </w:t>
      </w:r>
    </w:p>
    <w:p w14:paraId="1D8DE24A" w14:textId="18A8AB4B" w:rsidR="005C13BC" w:rsidRPr="00CA1A19" w:rsidRDefault="005C13BC" w:rsidP="00CA1A19">
      <w:pPr>
        <w:pStyle w:val="MText"/>
      </w:pPr>
      <w:r w:rsidRPr="00CA1A19">
        <w:t>Department of Health Security Preparedness (HSP)</w:t>
      </w:r>
    </w:p>
    <w:p w14:paraId="065F26D2" w14:textId="778CC4DC" w:rsidR="00576CFA" w:rsidRPr="00CA1A19" w:rsidRDefault="005C13BC" w:rsidP="00CA1A19">
      <w:pPr>
        <w:pStyle w:val="MText"/>
      </w:pPr>
      <w:r w:rsidRPr="00CA1A19">
        <w:t>WHO Health Emergency Programme</w:t>
      </w:r>
    </w:p>
    <w:p w14:paraId="27917BB3" w14:textId="1343538D" w:rsidR="00576CFA" w:rsidRPr="00A96255" w:rsidRDefault="00576CFA"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3F27172E" w14:textId="1D221473" w:rsidR="0028536C" w:rsidRPr="0012413D" w:rsidRDefault="0076498B" w:rsidP="008D7602">
      <w:pPr>
        <w:pStyle w:val="MText"/>
      </w:pPr>
      <w:r w:rsidRPr="0012413D">
        <w:t xml:space="preserve">The revised International Health Regulations (IHR) were adopted in 2005 and entered into force in 2007. Under the IHR, States Parties are obliged to develop and maintain minimum core capacities for surveillance and response, including at points of entry, </w:t>
      </w:r>
      <w:r w:rsidR="00402FB7" w:rsidRPr="0012413D">
        <w:t>to</w:t>
      </w:r>
      <w:r w:rsidRPr="0012413D">
        <w:t xml:space="preserve"> detect, assess, notify, and respond to any potential public health events of international concern.</w:t>
      </w:r>
    </w:p>
    <w:p w14:paraId="3BB60F87" w14:textId="03A0C6DA" w:rsidR="0076498B" w:rsidRPr="0012413D" w:rsidRDefault="0076498B" w:rsidP="008D7602">
      <w:pPr>
        <w:pStyle w:val="MText"/>
      </w:pPr>
      <w:r w:rsidRPr="0012413D">
        <w:t>Article 54 of the IHR states</w:t>
      </w:r>
      <w:r w:rsidR="00622F62">
        <w:t>, "</w:t>
      </w:r>
      <w:r w:rsidRPr="0012413D">
        <w:t>States Parties and the Director-General shall report to the Health Assembly on the implementation of these Regulations as decided by the Health Assembly.</w:t>
      </w:r>
      <w:r w:rsidR="00622F62">
        <w:t>"</w:t>
      </w:r>
    </w:p>
    <w:p w14:paraId="5564C602" w14:textId="0FACB201" w:rsidR="0076498B" w:rsidRPr="00A00A39" w:rsidRDefault="0076498B" w:rsidP="00C71268">
      <w:pPr>
        <w:pStyle w:val="MText"/>
      </w:pPr>
      <w:r w:rsidRPr="00A00A39">
        <w:t xml:space="preserve">The </w:t>
      </w:r>
      <w:r w:rsidR="001A77B3">
        <w:t xml:space="preserve">IHR </w:t>
      </w:r>
      <w:r w:rsidR="003E4D00">
        <w:t>State</w:t>
      </w:r>
      <w:r w:rsidR="001A77B3">
        <w:t>s</w:t>
      </w:r>
      <w:r w:rsidR="003E4D00">
        <w:t xml:space="preserve"> </w:t>
      </w:r>
      <w:r w:rsidR="001A77B3">
        <w:t>Parties</w:t>
      </w:r>
      <w:r w:rsidR="001A77B3" w:rsidRPr="00A00A39">
        <w:t xml:space="preserve"> </w:t>
      </w:r>
      <w:r w:rsidR="001A77B3">
        <w:t>S</w:t>
      </w:r>
      <w:r w:rsidR="001A77B3" w:rsidRPr="00A00A39">
        <w:t>elf</w:t>
      </w:r>
      <w:r w:rsidRPr="00A00A39">
        <w:t>-</w:t>
      </w:r>
      <w:proofErr w:type="gramStart"/>
      <w:r w:rsidRPr="00A00A39">
        <w:t>assessment</w:t>
      </w:r>
      <w:proofErr w:type="gramEnd"/>
      <w:r w:rsidRPr="00A00A39">
        <w:t xml:space="preserve"> </w:t>
      </w:r>
      <w:r w:rsidR="001A77B3">
        <w:t>Annual</w:t>
      </w:r>
      <w:r w:rsidR="001A77B3" w:rsidRPr="00A00A39">
        <w:t xml:space="preserve"> </w:t>
      </w:r>
      <w:r w:rsidR="001A77B3">
        <w:t>R</w:t>
      </w:r>
      <w:r w:rsidR="001A77B3" w:rsidRPr="00A00A39">
        <w:t xml:space="preserve">eporting </w:t>
      </w:r>
      <w:r w:rsidRPr="00A00A39">
        <w:t xml:space="preserve">tool </w:t>
      </w:r>
      <w:r w:rsidR="003E4D00" w:rsidRPr="00A00A39">
        <w:t>captures</w:t>
      </w:r>
      <w:r w:rsidRPr="00A00A39">
        <w:t xml:space="preserve"> the level of self-assessed national capacities. They are essential public health capacities that States Parties are required to </w:t>
      </w:r>
      <w:r w:rsidR="0001737D">
        <w:t>put</w:t>
      </w:r>
      <w:r w:rsidRPr="00A00A39">
        <w:t xml:space="preserve"> in place throughout their territories </w:t>
      </w:r>
      <w:r w:rsidR="00C95E9B" w:rsidRPr="0012413D">
        <w:t>according</w:t>
      </w:r>
      <w:r w:rsidR="00C95E9B" w:rsidRPr="00A00A39">
        <w:t xml:space="preserve"> to</w:t>
      </w:r>
      <w:r w:rsidRPr="00A00A39">
        <w:t xml:space="preserve"> Articles 5 and 12 and Annex 1A of the IHR (2005) requirements. </w:t>
      </w:r>
    </w:p>
    <w:p w14:paraId="54E57213" w14:textId="728886DA" w:rsidR="006300BE" w:rsidRDefault="00197A89" w:rsidP="008D7602">
      <w:pPr>
        <w:pStyle w:val="MText"/>
      </w:pPr>
      <w:r w:rsidRPr="0012413D">
        <w:lastRenderedPageBreak/>
        <w:t>Based on</w:t>
      </w:r>
      <w:r w:rsidR="003E4D00">
        <w:t xml:space="preserve"> the</w:t>
      </w:r>
      <w:r w:rsidRPr="0012413D">
        <w:t xml:space="preserve"> lessons learned from</w:t>
      </w:r>
      <w:r w:rsidR="007C03F2" w:rsidRPr="0012413D">
        <w:t xml:space="preserve"> the COVID-19 pandemic, </w:t>
      </w:r>
      <w:r w:rsidR="0086709B" w:rsidRPr="0012413D">
        <w:t xml:space="preserve">WHO </w:t>
      </w:r>
      <w:r w:rsidR="00662B2C" w:rsidRPr="0012413D">
        <w:t xml:space="preserve">published </w:t>
      </w:r>
      <w:r w:rsidR="007C03F2" w:rsidRPr="0012413D">
        <w:t xml:space="preserve">the </w:t>
      </w:r>
      <w:r w:rsidRPr="0012413D">
        <w:t>revised</w:t>
      </w:r>
      <w:r w:rsidR="007C03F2" w:rsidRPr="0012413D">
        <w:t xml:space="preserve"> second edition of the IHR State Parties Self-</w:t>
      </w:r>
      <w:proofErr w:type="gramStart"/>
      <w:r w:rsidR="001A77B3">
        <w:t>a</w:t>
      </w:r>
      <w:r w:rsidR="007C03F2" w:rsidRPr="0012413D">
        <w:t>ssessment</w:t>
      </w:r>
      <w:proofErr w:type="gramEnd"/>
      <w:r w:rsidR="001A77B3">
        <w:t xml:space="preserve"> Annual Reporting</w:t>
      </w:r>
      <w:r w:rsidR="007C03F2" w:rsidRPr="0012413D">
        <w:t xml:space="preserve"> Tool </w:t>
      </w:r>
      <w:r w:rsidR="00060504" w:rsidRPr="0012413D">
        <w:t>in 2021</w:t>
      </w:r>
      <w:r w:rsidR="00487513">
        <w:t xml:space="preserve"> with new indicators related to gender equality in health emergencies, advocacy for IHR implementation, </w:t>
      </w:r>
      <w:r w:rsidR="007C5A24">
        <w:t xml:space="preserve">and </w:t>
      </w:r>
      <w:r w:rsidR="00487513">
        <w:t>community engagement</w:t>
      </w:r>
      <w:r w:rsidR="00622F62">
        <w:t>,</w:t>
      </w:r>
      <w:r w:rsidR="007C5A24">
        <w:t xml:space="preserve"> to name a few</w:t>
      </w:r>
      <w:r w:rsidR="00BE309E" w:rsidRPr="0012413D">
        <w:t xml:space="preserve">. </w:t>
      </w:r>
      <w:r w:rsidR="00552242" w:rsidRPr="0012413D">
        <w:t xml:space="preserve">The revisions are intended to improve </w:t>
      </w:r>
      <w:r w:rsidR="00C95E9B" w:rsidRPr="0012413D">
        <w:t xml:space="preserve">the </w:t>
      </w:r>
      <w:r w:rsidR="003313D6" w:rsidRPr="0012413D">
        <w:t>assessment</w:t>
      </w:r>
      <w:r w:rsidR="00552242" w:rsidRPr="0012413D">
        <w:t xml:space="preserve"> </w:t>
      </w:r>
      <w:r w:rsidR="00194F98">
        <w:t xml:space="preserve">of </w:t>
      </w:r>
      <w:r w:rsidR="00552242" w:rsidRPr="0012413D">
        <w:t xml:space="preserve">the IHR core capacities and </w:t>
      </w:r>
      <w:r w:rsidR="00C95E9B" w:rsidRPr="0012413D">
        <w:t xml:space="preserve">the </w:t>
      </w:r>
      <w:r w:rsidR="003313D6" w:rsidRPr="0012413D">
        <w:t>preparedness</w:t>
      </w:r>
      <w:r w:rsidR="00913018" w:rsidRPr="0012413D">
        <w:t xml:space="preserve"> of State</w:t>
      </w:r>
      <w:r w:rsidR="001A77B3">
        <w:t>s</w:t>
      </w:r>
      <w:r w:rsidR="00913018" w:rsidRPr="0012413D">
        <w:t xml:space="preserve"> </w:t>
      </w:r>
      <w:r w:rsidR="001A77B3">
        <w:t>P</w:t>
      </w:r>
      <w:r w:rsidR="001A77B3" w:rsidRPr="0012413D">
        <w:t xml:space="preserve">arties </w:t>
      </w:r>
      <w:r w:rsidR="00913018" w:rsidRPr="0012413D">
        <w:t>for health emergencies</w:t>
      </w:r>
      <w:r w:rsidR="00060504" w:rsidRPr="0012413D">
        <w:t>.</w:t>
      </w:r>
      <w:r w:rsidR="007C5A24">
        <w:t xml:space="preserve"> The </w:t>
      </w:r>
      <w:r w:rsidR="007C5A24" w:rsidRPr="0012413D">
        <w:t xml:space="preserve">indicator </w:t>
      </w:r>
      <w:r w:rsidR="0095724F" w:rsidRPr="0012413D">
        <w:t>SDG 3.d.1</w:t>
      </w:r>
      <w:r w:rsidR="007C5A24">
        <w:t xml:space="preserve"> </w:t>
      </w:r>
      <w:r w:rsidR="0095724F" w:rsidRPr="0012413D">
        <w:t xml:space="preserve">reflects the capacities State Parties of the International Health Regulations (2005) (IHR) had agreed and committed to </w:t>
      </w:r>
      <w:r w:rsidR="00C95E9B" w:rsidRPr="0012413D">
        <w:t>developing</w:t>
      </w:r>
      <w:r w:rsidR="0095724F" w:rsidRPr="0012413D">
        <w:t>.</w:t>
      </w:r>
    </w:p>
    <w:p w14:paraId="19B84B10" w14:textId="77777777" w:rsidR="00962DE8" w:rsidRDefault="00962DE8" w:rsidP="008D7602">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B2DAE22" w14:textId="77777777" w:rsidR="00EC187F" w:rsidRPr="0012413D" w:rsidRDefault="003E2ACB" w:rsidP="009D33E3">
      <w:pPr>
        <w:pStyle w:val="MText"/>
      </w:pPr>
      <w:r w:rsidRPr="0012413D">
        <w:t>Percentage</w:t>
      </w:r>
    </w:p>
    <w:p w14:paraId="548E9AAA" w14:textId="72F0CE77" w:rsidR="00EC2915" w:rsidRPr="00A96255" w:rsidRDefault="003E2ACB" w:rsidP="00576CFA">
      <w:pPr>
        <w:pStyle w:val="MText"/>
      </w:pPr>
      <w:r>
        <w:t xml:space="preserve"> </w:t>
      </w: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123172F4" w14:textId="3B69A29C" w:rsidR="00F719A8" w:rsidRPr="0012413D" w:rsidRDefault="00C669D9" w:rsidP="009D33E3">
      <w:pPr>
        <w:pStyle w:val="MText"/>
      </w:pPr>
      <w:r w:rsidRPr="0012413D">
        <w:t>We use the WHO Official list of countries that are State</w:t>
      </w:r>
      <w:r w:rsidR="0039093A">
        <w:t>s</w:t>
      </w:r>
      <w:r w:rsidRPr="0012413D">
        <w:t xml:space="preserve"> Parties of the International Health Regulations (IHR2005)</w:t>
      </w:r>
      <w:r w:rsidR="00701A0B" w:rsidRPr="0012413D">
        <w:t>,</w:t>
      </w:r>
      <w:r w:rsidRPr="0012413D">
        <w:t xml:space="preserve"> distributed according to </w:t>
      </w:r>
      <w:r w:rsidR="00853C2D">
        <w:t>the six</w:t>
      </w:r>
      <w:r w:rsidRPr="0012413D">
        <w:t xml:space="preserve"> WHO administrative regions (</w:t>
      </w:r>
      <w:hyperlink r:id="rId11" w:history="1">
        <w:r w:rsidRPr="00C71268">
          <w:t>www.who.int</w:t>
        </w:r>
      </w:hyperlink>
      <w:r w:rsidRPr="0012413D">
        <w:t xml:space="preserve"> ). </w:t>
      </w:r>
    </w:p>
    <w:p w14:paraId="1513581C" w14:textId="3748FA48" w:rsidR="00D25EB5" w:rsidRDefault="007C03F2" w:rsidP="009D33E3">
      <w:pPr>
        <w:pStyle w:val="MText"/>
      </w:pPr>
      <w:r w:rsidRPr="0012413D">
        <w:t xml:space="preserve">The second edition SPAR tool </w:t>
      </w:r>
      <w:r w:rsidR="00D25EB5" w:rsidRPr="0012413D">
        <w:t xml:space="preserve">has been expanded </w:t>
      </w:r>
      <w:r w:rsidR="00BA28E2" w:rsidRPr="0012413D">
        <w:t xml:space="preserve">from 13 </w:t>
      </w:r>
      <w:r w:rsidR="00D25EB5" w:rsidRPr="0012413D">
        <w:t>to 15 capacities. The 15 core capacities are (1) Policy, legal and normative instruments to implement IHR; (2) IHR Coordination and National Focal Point Functions; (3) Financing; (4) Laboratory; (5) Surveillance; (6) Human resources; (7) Health emergency management (8) Health Service Provision; (9) Infection Prevention and Control; (10) Risk communication and community engagement; (11) Points of entry and border health; (12) Zoonotic diseases; (13) Food safety; (14) Chemical events; (15) Radiation emergencies.</w:t>
      </w:r>
      <w:r w:rsidR="00D23640">
        <w:t xml:space="preserve"> </w:t>
      </w:r>
    </w:p>
    <w:p w14:paraId="7A9D20EE" w14:textId="383231B8" w:rsidR="00A828DF" w:rsidRPr="0012413D" w:rsidRDefault="00EE6F04" w:rsidP="009D33E3">
      <w:pPr>
        <w:pStyle w:val="MText"/>
      </w:pPr>
      <w:r w:rsidRPr="0012413D">
        <w:t>The</w:t>
      </w:r>
      <w:r w:rsidR="00324AE9" w:rsidRPr="0012413D">
        <w:t xml:space="preserve"> </w:t>
      </w:r>
      <w:r w:rsidR="00492612" w:rsidRPr="0012413D">
        <w:t>13 core capacities</w:t>
      </w:r>
      <w:r w:rsidRPr="0012413D">
        <w:t xml:space="preserve"> of the first edition of the IHR</w:t>
      </w:r>
      <w:r w:rsidR="00A56EA0" w:rsidRPr="0012413D">
        <w:t xml:space="preserve"> State</w:t>
      </w:r>
      <w:r w:rsidR="0039093A">
        <w:t>s</w:t>
      </w:r>
      <w:r w:rsidR="00A56EA0" w:rsidRPr="0012413D">
        <w:t xml:space="preserve"> Parties </w:t>
      </w:r>
      <w:r w:rsidR="00B944F6">
        <w:t xml:space="preserve">Self-assessment </w:t>
      </w:r>
      <w:r w:rsidR="0039093A">
        <w:t>Annual</w:t>
      </w:r>
      <w:r w:rsidR="0039093A" w:rsidRPr="0012413D">
        <w:t xml:space="preserve"> </w:t>
      </w:r>
      <w:r w:rsidR="00A56EA0" w:rsidRPr="0012413D">
        <w:t xml:space="preserve">Reporting Tool </w:t>
      </w:r>
      <w:r w:rsidR="00492612" w:rsidRPr="0012413D">
        <w:t>are (1) Legislation and financing; (2) IHR Coordination and National Focal Point Functions; (3) Zoonotic events and the Human-Animal Health Interface; (4) Food safety; (5) Laboratory; (6) Surveillance; (7) Human resources; (8) National Health Emergency Framework; (9) Health Service Provision; (10) Risk communication; (11) Points of entry; (12) Chemical events; (13) Radiation emergencies. </w:t>
      </w:r>
    </w:p>
    <w:p w14:paraId="53E98E26" w14:textId="4804760C" w:rsidR="00F65B36" w:rsidRPr="0012413D" w:rsidRDefault="00E72330" w:rsidP="009D33E3">
      <w:pPr>
        <w:pStyle w:val="MText"/>
      </w:pPr>
      <w:r w:rsidRPr="0012413D">
        <w:t>Both SPAR</w:t>
      </w:r>
      <w:r w:rsidR="00905D02">
        <w:t xml:space="preserve"> questionnaires (</w:t>
      </w:r>
      <w:r w:rsidRPr="0012413D">
        <w:t>1st and 2nd editions</w:t>
      </w:r>
      <w:r w:rsidR="00905D02">
        <w:t>)</w:t>
      </w:r>
      <w:r w:rsidRPr="0012413D">
        <w:t xml:space="preserve"> use</w:t>
      </w:r>
      <w:r w:rsidR="00413E2A" w:rsidRPr="0012413D">
        <w:t xml:space="preserve"> a five-level scoring </w:t>
      </w:r>
      <w:r w:rsidR="0064495A" w:rsidRPr="0012413D">
        <w:t>with</w:t>
      </w:r>
      <w:r w:rsidR="002E3A20" w:rsidRPr="0012413D">
        <w:t xml:space="preserve"> </w:t>
      </w:r>
      <w:r w:rsidR="001040A0" w:rsidRPr="0012413D">
        <w:t>indicators</w:t>
      </w:r>
      <w:r w:rsidR="002E3A20" w:rsidRPr="0012413D">
        <w:t xml:space="preserve"> </w:t>
      </w:r>
      <w:r w:rsidR="001040A0" w:rsidRPr="00280DB4">
        <w:t xml:space="preserve">based on five cumulative levels </w:t>
      </w:r>
      <w:r w:rsidR="002E3A20" w:rsidRPr="0012413D">
        <w:t xml:space="preserve">to measure the </w:t>
      </w:r>
      <w:r w:rsidR="00905D02">
        <w:t>implementation status</w:t>
      </w:r>
      <w:r w:rsidR="001040A0" w:rsidRPr="0012413D">
        <w:t xml:space="preserve"> for each capacity. </w:t>
      </w:r>
      <w:r w:rsidRPr="00280DB4">
        <w:t>For each indicator, the reporting State Party is asked to select which of the five levels best describes the State Party</w:t>
      </w:r>
      <w:r w:rsidR="00622F62">
        <w:t>'</w:t>
      </w:r>
      <w:r w:rsidRPr="00280DB4">
        <w:t xml:space="preserve">s </w:t>
      </w:r>
      <w:proofErr w:type="gramStart"/>
      <w:r w:rsidRPr="00280DB4">
        <w:t>current status</w:t>
      </w:r>
      <w:proofErr w:type="gramEnd"/>
      <w:r w:rsidRPr="00280DB4">
        <w:t xml:space="preserve">. </w:t>
      </w:r>
      <w:r w:rsidR="00622F62">
        <w:t>To move to the next level, all capacities described in previous levels should be in place for each indicator</w:t>
      </w:r>
      <w:r w:rsidRPr="00280DB4">
        <w:t>.</w:t>
      </w:r>
    </w:p>
    <w:p w14:paraId="11339668" w14:textId="10C13B73" w:rsidR="00BD32F1" w:rsidRPr="0012413D" w:rsidRDefault="00C543B9" w:rsidP="009D33E3">
      <w:pPr>
        <w:pStyle w:val="MText"/>
      </w:pPr>
      <w:r w:rsidRPr="0012413D">
        <w:t xml:space="preserve">For </w:t>
      </w:r>
      <w:r w:rsidR="00C95E9B" w:rsidRPr="0012413D">
        <w:t xml:space="preserve">the </w:t>
      </w:r>
      <w:r w:rsidRPr="0012413D">
        <w:t>years 2010 to 2017</w:t>
      </w:r>
      <w:r w:rsidR="00ED32A3" w:rsidRPr="0012413D">
        <w:t>,</w:t>
      </w:r>
      <w:r w:rsidR="00FF3322" w:rsidRPr="0012413D">
        <w:t xml:space="preserve"> </w:t>
      </w:r>
      <w:r w:rsidR="00E67FBE" w:rsidRPr="0012413D">
        <w:t xml:space="preserve">Member </w:t>
      </w:r>
      <w:r w:rsidR="00FF3322" w:rsidRPr="0012413D">
        <w:t xml:space="preserve">States used the IHR monitoring questionnaire. </w:t>
      </w:r>
      <w:r w:rsidR="006121B4" w:rsidRPr="0012413D">
        <w:t xml:space="preserve">The questionnaire is divided into thirteen sections, one for each of the eight core capacities, PoE and four hazards. Individual questions are grouped by </w:t>
      </w:r>
      <w:r w:rsidR="00905D02">
        <w:t>c</w:t>
      </w:r>
      <w:r w:rsidR="006121B4" w:rsidRPr="0012413D">
        <w:t xml:space="preserve">omponents and </w:t>
      </w:r>
      <w:r w:rsidR="00905D02">
        <w:t>i</w:t>
      </w:r>
      <w:r w:rsidR="006121B4" w:rsidRPr="0012413D">
        <w:t xml:space="preserve">ndicators in the questionnaires. </w:t>
      </w:r>
      <w:r w:rsidR="00FC497A">
        <w:t>States Parties can provide a</w:t>
      </w:r>
      <w:r w:rsidR="006121B4" w:rsidRPr="0012413D">
        <w:t xml:space="preserve">dditional information on the questions in the comment boxes. Responses to the questions include marking one appropriate value (Yes, </w:t>
      </w:r>
      <w:proofErr w:type="gramStart"/>
      <w:r w:rsidR="006121B4" w:rsidRPr="0012413D">
        <w:t>No</w:t>
      </w:r>
      <w:proofErr w:type="gramEnd"/>
      <w:r w:rsidR="006121B4" w:rsidRPr="0012413D">
        <w:t xml:space="preserve">, or Not Known) or the appropriate percentages. For statistical purposes, the "Not Known" value </w:t>
      </w:r>
      <w:r w:rsidR="00822DE0">
        <w:t>is</w:t>
      </w:r>
      <w:r w:rsidR="006121B4" w:rsidRPr="0012413D">
        <w:t xml:space="preserve"> computed as a "No" value. </w:t>
      </w:r>
      <w:r w:rsidR="00C738FC" w:rsidRPr="0012413D">
        <w:t>T</w:t>
      </w:r>
      <w:r w:rsidR="00FC41DB" w:rsidRPr="0012413D">
        <w:t>he</w:t>
      </w:r>
      <w:r w:rsidR="001A01DA" w:rsidRPr="0012413D">
        <w:t xml:space="preserve"> </w:t>
      </w:r>
      <w:r w:rsidR="00C738FC" w:rsidRPr="0012413D">
        <w:t xml:space="preserve">IHR monitoring </w:t>
      </w:r>
      <w:r w:rsidRPr="0012413D">
        <w:t xml:space="preserve">questionnaire </w:t>
      </w:r>
      <w:r w:rsidR="00E67FBE" w:rsidRPr="0012413D">
        <w:t xml:space="preserve">includes the following: </w:t>
      </w:r>
      <w:r w:rsidR="00582952" w:rsidRPr="0012413D">
        <w:t xml:space="preserve">IHR01. National legislation, </w:t>
      </w:r>
      <w:proofErr w:type="gramStart"/>
      <w:r w:rsidR="00582952" w:rsidRPr="0012413D">
        <w:t>policy</w:t>
      </w:r>
      <w:proofErr w:type="gramEnd"/>
      <w:r w:rsidR="00582952" w:rsidRPr="0012413D">
        <w:t xml:space="preserve"> and financing; IHR02. Coordination and National Focal Point communications; IHR03. Surveillance; IHR04. Response; IHR05. Preparedness; IHR06. Risk communication; IHR07. Human resources; IHR08. Laboratory; IHR09. Points of entry; IHR10. Zoonotic events; IHR11. Food safety; IHR12. Chemical events; IHR13. </w:t>
      </w:r>
      <w:r w:rsidR="004474DE" w:rsidRPr="0012413D">
        <w:t>Radio nuclear</w:t>
      </w:r>
      <w:r w:rsidR="00582952" w:rsidRPr="0012413D">
        <w:t xml:space="preserve"> emergencies</w:t>
      </w:r>
      <w:r w:rsidR="00E67FBE" w:rsidRPr="0012413D">
        <w:t>.</w:t>
      </w:r>
    </w:p>
    <w:p w14:paraId="621BE3A7" w14:textId="77777777" w:rsidR="00C669D9" w:rsidRPr="00A96255" w:rsidRDefault="00C669D9" w:rsidP="00C669D9">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2C3FCFA8" w14:textId="0605A0CF" w:rsidR="00DE7FEB" w:rsidRDefault="00C669D9" w:rsidP="00576CFA">
      <w:pPr>
        <w:pStyle w:val="MText"/>
      </w:pPr>
      <w:r>
        <w:lastRenderedPageBreak/>
        <w:t xml:space="preserve">The data is collected annually from State Parties since 2010 and registered and available </w:t>
      </w:r>
      <w:r w:rsidR="00BE6F70">
        <w:t>on</w:t>
      </w:r>
      <w:r>
        <w:t xml:space="preserve"> </w:t>
      </w:r>
      <w:r w:rsidR="001A01DA">
        <w:t xml:space="preserve">the </w:t>
      </w:r>
      <w:r>
        <w:t>e-SPAR platform (</w:t>
      </w:r>
      <w:hyperlink r:id="rId12" w:history="1">
        <w:r w:rsidRPr="00853C2D">
          <w:rPr>
            <w:rStyle w:val="Hyperlink"/>
          </w:rPr>
          <w:t>https://extranet.who.int/e-spa</w:t>
        </w:r>
        <w:r w:rsidRPr="00C71268">
          <w:t>r</w:t>
        </w:r>
      </w:hyperlink>
      <w:r>
        <w:t>). The</w:t>
      </w:r>
      <w:r w:rsidR="00556B1D">
        <w:t xml:space="preserve">re are </w:t>
      </w:r>
      <w:r w:rsidR="00F805BD">
        <w:t xml:space="preserve">196 States Parties that are signatory to the International Health Regulations </w:t>
      </w:r>
      <w:r w:rsidR="00D70790">
        <w:t xml:space="preserve">and </w:t>
      </w:r>
      <w:r>
        <w:t xml:space="preserve">are </w:t>
      </w:r>
      <w:r w:rsidR="00D70790">
        <w:t xml:space="preserve">mandated </w:t>
      </w:r>
      <w:r>
        <w:t xml:space="preserve">to </w:t>
      </w:r>
      <w:r w:rsidR="004D4618">
        <w:t>reporting</w:t>
      </w:r>
      <w:r>
        <w:t xml:space="preserve"> annually to </w:t>
      </w:r>
      <w:r w:rsidR="004D4618">
        <w:t xml:space="preserve">the </w:t>
      </w:r>
      <w:r w:rsidR="0076498B">
        <w:t xml:space="preserve">WHO to report </w:t>
      </w:r>
      <w:r w:rsidR="007311E8">
        <w:t xml:space="preserve">to </w:t>
      </w:r>
      <w:r>
        <w:t xml:space="preserve">the </w:t>
      </w:r>
      <w:r w:rsidR="0076498B">
        <w:t xml:space="preserve">World Health Assembly. The number of reports received </w:t>
      </w:r>
      <w:r w:rsidR="004D4618">
        <w:t>has</w:t>
      </w:r>
      <w:r w:rsidR="00C860FC">
        <w:t xml:space="preserve"> </w:t>
      </w:r>
      <w:r w:rsidR="00FC41DB">
        <w:t>increased annually</w:t>
      </w:r>
      <w:r w:rsidR="00853C2D">
        <w:t>. By</w:t>
      </w:r>
      <w:r w:rsidR="00C860FC">
        <w:t xml:space="preserve"> 2021, WHO received </w:t>
      </w:r>
      <w:r w:rsidR="00B0071B">
        <w:t>SPAR data from 184 (out of 196) Member States</w:t>
      </w:r>
      <w:r w:rsidR="004269E6">
        <w:t>,</w:t>
      </w:r>
      <w:r w:rsidR="00B0071B">
        <w:t xml:space="preserve"> reflecting </w:t>
      </w:r>
      <w:r w:rsidR="003B7989">
        <w:t xml:space="preserve">94% of </w:t>
      </w:r>
      <w:r w:rsidR="004D4618">
        <w:t>submissions</w:t>
      </w:r>
      <w:r w:rsidR="008A425B">
        <w:t xml:space="preserve">. In 2022, SPAR submission reached 95% and </w:t>
      </w:r>
      <w:r w:rsidR="003536F0">
        <w:t xml:space="preserve">in 2023, SPAR submission rate reached </w:t>
      </w:r>
      <w:r w:rsidR="008A425B">
        <w:t>99</w:t>
      </w:r>
      <w:proofErr w:type="gramStart"/>
      <w:r w:rsidR="008A425B">
        <w:t>%,</w:t>
      </w:r>
      <w:r w:rsidR="003B7989">
        <w:t>the</w:t>
      </w:r>
      <w:proofErr w:type="gramEnd"/>
      <w:r w:rsidR="003B7989">
        <w:t xml:space="preserve"> highest </w:t>
      </w:r>
      <w:r w:rsidR="006B3E6F">
        <w:t xml:space="preserve">number </w:t>
      </w:r>
      <w:r w:rsidR="00E67B2D">
        <w:t xml:space="preserve">for a SPAR reporting </w:t>
      </w:r>
      <w:r w:rsidR="0004105D">
        <w:t>cycle</w:t>
      </w:r>
      <w:r w:rsidR="00C11103">
        <w:t xml:space="preserve"> since 2010</w:t>
      </w:r>
      <w:r w:rsidR="004D4618">
        <w:t>.</w:t>
      </w:r>
      <w:r w:rsidR="006B3E6F">
        <w:t xml:space="preserve"> </w:t>
      </w:r>
    </w:p>
    <w:p w14:paraId="3018A8D8" w14:textId="341F34F8" w:rsidR="00EC2915" w:rsidRPr="00A96255" w:rsidRDefault="0076498B" w:rsidP="00576CFA">
      <w:pPr>
        <w:pStyle w:val="MText"/>
      </w:pPr>
      <w:r>
        <w:t xml:space="preserve"> </w:t>
      </w: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02446B4" w14:textId="22CDD93A" w:rsidR="009628B2" w:rsidRPr="00740DE3" w:rsidRDefault="009628B2" w:rsidP="00280DB4">
      <w:pPr>
        <w:pStyle w:val="MText"/>
      </w:pPr>
      <w:r w:rsidRPr="0012413D">
        <w:t xml:space="preserve">The data is collected using </w:t>
      </w:r>
      <w:r w:rsidR="008F0418" w:rsidRPr="0012413D">
        <w:t>an online</w:t>
      </w:r>
      <w:r w:rsidRPr="0012413D">
        <w:t xml:space="preserve"> questionnaire</w:t>
      </w:r>
      <w:r w:rsidR="008A2666" w:rsidRPr="0012413D">
        <w:t xml:space="preserve"> (</w:t>
      </w:r>
      <w:hyperlink r:id="rId13" w:history="1">
        <w:r w:rsidR="008A2666" w:rsidRPr="00853C2D">
          <w:rPr>
            <w:rStyle w:val="Hyperlink"/>
          </w:rPr>
          <w:t>https://extranet.who.int/e-spar</w:t>
        </w:r>
      </w:hyperlink>
      <w:r w:rsidR="008A2666" w:rsidRPr="0012413D">
        <w:t>). A</w:t>
      </w:r>
      <w:r w:rsidR="00D16082" w:rsidRPr="0012413D">
        <w:t>n</w:t>
      </w:r>
      <w:r w:rsidRPr="0012413D">
        <w:t xml:space="preserve"> interactive </w:t>
      </w:r>
      <w:r w:rsidR="00F82D2C">
        <w:t xml:space="preserve">questionnaire in </w:t>
      </w:r>
      <w:r w:rsidRPr="0012413D">
        <w:t xml:space="preserve">PDF and </w:t>
      </w:r>
      <w:r w:rsidR="008F0418" w:rsidRPr="0012413D">
        <w:t>MS E</w:t>
      </w:r>
      <w:r w:rsidR="00B06026" w:rsidRPr="0012413D">
        <w:t>xcel</w:t>
      </w:r>
      <w:r w:rsidR="008F0418" w:rsidRPr="0012413D">
        <w:t xml:space="preserve"> </w:t>
      </w:r>
      <w:r w:rsidRPr="0012413D">
        <w:t>forms</w:t>
      </w:r>
      <w:r w:rsidR="00B06026" w:rsidRPr="0012413D">
        <w:t xml:space="preserve"> for Points of Entry</w:t>
      </w:r>
      <w:r w:rsidR="00D16082" w:rsidRPr="0012413D">
        <w:t xml:space="preserve"> are available in case of limitations in internet connectivity</w:t>
      </w:r>
      <w:r w:rsidR="00B87AD1" w:rsidRPr="0012413D">
        <w:t xml:space="preserve">. </w:t>
      </w:r>
      <w:r w:rsidR="00046A2B" w:rsidRPr="00046A2B">
        <w:t>The multisectoral approach remains critical to completing the IHR State</w:t>
      </w:r>
      <w:r w:rsidR="00F82AF4">
        <w:t>s</w:t>
      </w:r>
      <w:r w:rsidR="00046A2B" w:rsidRPr="00046A2B">
        <w:t xml:space="preserve"> </w:t>
      </w:r>
      <w:r w:rsidR="00F82AF4" w:rsidRPr="00046A2B">
        <w:t>Part</w:t>
      </w:r>
      <w:r w:rsidR="00F82AF4">
        <w:t>ies</w:t>
      </w:r>
      <w:r w:rsidR="00F82AF4" w:rsidRPr="00046A2B">
        <w:t xml:space="preserve"> </w:t>
      </w:r>
      <w:r w:rsidR="00046A2B" w:rsidRPr="00046A2B">
        <w:t>Self-</w:t>
      </w:r>
      <w:proofErr w:type="gramStart"/>
      <w:r w:rsidR="00046A2B" w:rsidRPr="00046A2B">
        <w:t>assessment</w:t>
      </w:r>
      <w:proofErr w:type="gramEnd"/>
      <w:r w:rsidR="00046A2B" w:rsidRPr="00046A2B">
        <w:t xml:space="preserve"> Annual Report</w:t>
      </w:r>
      <w:r w:rsidR="001762CF">
        <w:t xml:space="preserve">. </w:t>
      </w:r>
      <w:r w:rsidR="00046A2B" w:rsidRPr="00046A2B">
        <w:t xml:space="preserve"> </w:t>
      </w:r>
    </w:p>
    <w:p w14:paraId="763C54AB" w14:textId="77777777" w:rsidR="009628B2" w:rsidRPr="00A96255" w:rsidRDefault="009628B2"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40D19272" w:rsidR="00EC2915" w:rsidRDefault="0047016C" w:rsidP="00576CFA">
      <w:pPr>
        <w:pStyle w:val="MText"/>
      </w:pPr>
      <w:r>
        <w:t>The IHR States Parties Self-</w:t>
      </w:r>
      <w:proofErr w:type="gramStart"/>
      <w:r>
        <w:t>assessment</w:t>
      </w:r>
      <w:proofErr w:type="gramEnd"/>
      <w:r>
        <w:t xml:space="preserve"> Annual Reporting questionnaire is sent out in August every year and must be submitted by February 28th of the following year.,</w:t>
      </w:r>
    </w:p>
    <w:p w14:paraId="726FD9BD" w14:textId="77777777" w:rsidR="00DE7FEB" w:rsidRPr="00A96255" w:rsidRDefault="00DE7FEB"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24750C95" w14:textId="76436E41" w:rsidR="00DE7FEB" w:rsidRDefault="00651C42" w:rsidP="0028536C">
      <w:pPr>
        <w:pStyle w:val="MText"/>
      </w:pPr>
      <w:r w:rsidRPr="00651C42">
        <w:rPr>
          <w:lang w:val="en-US"/>
        </w:rPr>
        <w:t xml:space="preserve">Results of the </w:t>
      </w:r>
      <w:r w:rsidR="0047016C">
        <w:rPr>
          <w:lang w:val="en-US"/>
        </w:rPr>
        <w:t xml:space="preserve">IHR </w:t>
      </w:r>
      <w:r w:rsidR="0096137C">
        <w:rPr>
          <w:lang w:val="en-US"/>
        </w:rPr>
        <w:t>States Parties Self-Assessment</w:t>
      </w:r>
      <w:r w:rsidRPr="00651C42">
        <w:rPr>
          <w:lang w:val="en-US"/>
        </w:rPr>
        <w:t xml:space="preserve"> A</w:t>
      </w:r>
      <w:r>
        <w:rPr>
          <w:lang w:val="en-US"/>
        </w:rPr>
        <w:t xml:space="preserve">nnual Report </w:t>
      </w:r>
      <w:r w:rsidR="00141A34">
        <w:rPr>
          <w:lang w:val="en-US"/>
        </w:rPr>
        <w:t>are readily available</w:t>
      </w:r>
      <w:r w:rsidR="000472F4">
        <w:rPr>
          <w:lang w:val="en-US"/>
        </w:rPr>
        <w:t xml:space="preserve"> in the e-SPAR platform</w:t>
      </w:r>
      <w:r>
        <w:rPr>
          <w:lang w:val="en-US"/>
        </w:rPr>
        <w:t xml:space="preserve"> </w:t>
      </w:r>
      <w:hyperlink r:id="rId14" w:history="1">
        <w:r w:rsidRPr="00F97A38">
          <w:rPr>
            <w:rStyle w:val="Hyperlink"/>
          </w:rPr>
          <w:t>https://extranet.who.int/e-spar</w:t>
        </w:r>
      </w:hyperlink>
      <w:r>
        <w:t xml:space="preserve"> </w:t>
      </w:r>
      <w:r w:rsidR="00141A34">
        <w:t xml:space="preserve">after the submission deadline </w:t>
      </w:r>
      <w:r>
        <w:t xml:space="preserve">and disseminated to other WHO homepages </w:t>
      </w:r>
      <w:r w:rsidR="000472F4">
        <w:t>on</w:t>
      </w:r>
      <w:r>
        <w:t xml:space="preserve"> WHO </w:t>
      </w:r>
      <w:r w:rsidR="000472F4">
        <w:t>w</w:t>
      </w:r>
      <w:r>
        <w:t>ebsite</w:t>
      </w:r>
      <w:r w:rsidR="000472F4">
        <w:t>s</w:t>
      </w:r>
      <w:r w:rsidR="003F4847">
        <w:t>,</w:t>
      </w:r>
      <w:r>
        <w:t xml:space="preserve"> </w:t>
      </w:r>
      <w:r w:rsidR="003F4847">
        <w:t xml:space="preserve">including </w:t>
      </w:r>
      <w:r w:rsidR="0028536C">
        <w:t>the Strategic Partnership for</w:t>
      </w:r>
      <w:r w:rsidR="003F4847">
        <w:t xml:space="preserve"> </w:t>
      </w:r>
      <w:r w:rsidR="0028536C">
        <w:t>Health Security and Emergency Preparedness (SPH) Portal (</w:t>
      </w:r>
      <w:hyperlink r:id="rId15" w:history="1">
        <w:r w:rsidR="0028536C" w:rsidRPr="00F97A38">
          <w:rPr>
            <w:rStyle w:val="Hyperlink"/>
          </w:rPr>
          <w:t>https://extranet.who.int/sph/</w:t>
        </w:r>
      </w:hyperlink>
      <w:r w:rsidR="0028536C">
        <w:t>),</w:t>
      </w:r>
      <w:r w:rsidR="003F4847">
        <w:t xml:space="preserve"> </w:t>
      </w:r>
      <w:r>
        <w:t>the Global Health Observatory (</w:t>
      </w:r>
      <w:hyperlink r:id="rId16" w:history="1">
        <w:r w:rsidRPr="00F97A38">
          <w:rPr>
            <w:rStyle w:val="Hyperlink"/>
          </w:rPr>
          <w:t>https://www.who.int/data/gho</w:t>
        </w:r>
      </w:hyperlink>
      <w:r>
        <w:t xml:space="preserve"> ), </w:t>
      </w:r>
      <w:r w:rsidR="0028536C">
        <w:t>WHO GPW13 triple billion targets dashboard (</w:t>
      </w:r>
      <w:hyperlink r:id="rId17" w:history="1">
        <w:r w:rsidR="0028536C" w:rsidRPr="00F97A38">
          <w:rPr>
            <w:rStyle w:val="Hyperlink"/>
          </w:rPr>
          <w:t>https://portal.who.int/triplebillions/</w:t>
        </w:r>
      </w:hyperlink>
      <w:r w:rsidR="0028536C">
        <w:t xml:space="preserve"> ).</w:t>
      </w:r>
    </w:p>
    <w:p w14:paraId="64C749BD" w14:textId="4D7BE10A" w:rsidR="00EC2915" w:rsidRPr="00651C42" w:rsidRDefault="0028536C" w:rsidP="0028536C">
      <w:pPr>
        <w:pStyle w:val="MText"/>
        <w:rPr>
          <w:lang w:val="en-US"/>
        </w:rPr>
      </w:pPr>
      <w:r>
        <w:t xml:space="preserve"> </w:t>
      </w:r>
    </w:p>
    <w:p w14:paraId="3A4F3065" w14:textId="3AD52F9D" w:rsidR="00E46D96" w:rsidRPr="004654DB" w:rsidRDefault="00E46D96" w:rsidP="00F719A8">
      <w:pPr>
        <w:pStyle w:val="MHeader2"/>
        <w:rPr>
          <w:lang w:val="en-US"/>
        </w:rPr>
      </w:pPr>
      <w:r w:rsidRPr="004654DB">
        <w:rPr>
          <w:lang w:val="en-US"/>
        </w:rPr>
        <w:t xml:space="preserve">3.e. Data providers </w:t>
      </w:r>
      <w:r>
        <w:rPr>
          <w:color w:val="B4B4B4"/>
          <w:sz w:val="20"/>
        </w:rPr>
        <w:t>(DATA_SOURCE)</w:t>
      </w:r>
    </w:p>
    <w:p w14:paraId="50A66E64" w14:textId="13E99ED7" w:rsidR="00EC2915" w:rsidRDefault="0028536C" w:rsidP="00576CFA">
      <w:pPr>
        <w:pStyle w:val="MText"/>
      </w:pPr>
      <w:r>
        <w:t xml:space="preserve">All data is collected </w:t>
      </w:r>
      <w:r w:rsidR="00B92F61">
        <w:t xml:space="preserve">from 196 </w:t>
      </w:r>
      <w:r w:rsidR="0047016C">
        <w:t>States Parties</w:t>
      </w:r>
      <w:r w:rsidR="00B92F61">
        <w:t xml:space="preserve"> </w:t>
      </w:r>
      <w:r>
        <w:t>and disseminated by WHO.</w:t>
      </w:r>
    </w:p>
    <w:p w14:paraId="2C52ED50" w14:textId="77777777" w:rsidR="00DE7FEB" w:rsidRPr="00A96255" w:rsidRDefault="00DE7FEB"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0466D934" w:rsidR="00EC2915" w:rsidRDefault="0028536C" w:rsidP="0028536C">
      <w:pPr>
        <w:pStyle w:val="MText"/>
      </w:pPr>
      <w:r>
        <w:t>All data is compiled and disseminated by WHO.</w:t>
      </w:r>
    </w:p>
    <w:p w14:paraId="78A749C6" w14:textId="77777777" w:rsidR="00DE7FEB" w:rsidRPr="00A96255" w:rsidRDefault="00DE7FEB" w:rsidP="0028536C">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43359157" w14:textId="146C5F46" w:rsidR="0036025F" w:rsidRDefault="0036025F" w:rsidP="0028536C">
      <w:pPr>
        <w:pStyle w:val="MText"/>
      </w:pPr>
      <w:r w:rsidRPr="0036025F">
        <w:t>The IHR State</w:t>
      </w:r>
      <w:r w:rsidR="00BC7718">
        <w:t>s</w:t>
      </w:r>
      <w:r w:rsidRPr="0036025F">
        <w:t xml:space="preserve"> Parties Self-</w:t>
      </w:r>
      <w:proofErr w:type="gramStart"/>
      <w:r w:rsidRPr="0036025F">
        <w:t>assessment</w:t>
      </w:r>
      <w:proofErr w:type="gramEnd"/>
      <w:r w:rsidRPr="0036025F">
        <w:t xml:space="preserve"> Annual Reporting (SPAR) Tool is the only mandatory tool that assesses countries’ progress in implementing the IHR (Article 54.1). SPAR tool provides an interpretation of the national capacities required under the IHR for self-assessment and monitoring purposes, specifically those outlined in Annex 1. It is the primary tool for ensuring mutual accountability between States Parties and the WHO Secretariat.</w:t>
      </w:r>
    </w:p>
    <w:p w14:paraId="79A12E3A" w14:textId="4236966C" w:rsidR="0028536C" w:rsidRDefault="0028536C" w:rsidP="0028536C">
      <w:pPr>
        <w:pStyle w:val="MText"/>
      </w:pPr>
      <w:r>
        <w:t xml:space="preserve">In 2008, the World Health Assembly, through the adoption of Resolution WHA61(2), and later </w:t>
      </w:r>
      <w:r w:rsidR="00B92F61">
        <w:t>in</w:t>
      </w:r>
      <w:r>
        <w:t xml:space="preserve"> 2018 with the Resolution WHA71(15), decided that </w:t>
      </w:r>
      <w:r w:rsidR="00622F62">
        <w:t>"</w:t>
      </w:r>
      <w:r>
        <w:t xml:space="preserve">that States Parties and the Director-General shall continue to report annually to the Health Assembly on the implementation of the International Health Regulations </w:t>
      </w:r>
      <w:r>
        <w:lastRenderedPageBreak/>
        <w:t>(2005), using the self-assessment annual reporting tool</w:t>
      </w:r>
      <w:r w:rsidR="00622F62">
        <w:t>"</w:t>
      </w:r>
      <w:r>
        <w:t>.</w:t>
      </w:r>
      <w:r w:rsidR="001C0FB0">
        <w:t xml:space="preserve"> </w:t>
      </w:r>
      <w:r w:rsidR="00003DF7">
        <w:t xml:space="preserve">In </w:t>
      </w:r>
      <w:r w:rsidR="008B7385">
        <w:t>December</w:t>
      </w:r>
      <w:r w:rsidR="00003DF7">
        <w:t xml:space="preserve"> </w:t>
      </w:r>
      <w:r w:rsidR="00954053">
        <w:t>2021</w:t>
      </w:r>
      <w:r w:rsidR="0097301B">
        <w:t>,</w:t>
      </w:r>
      <w:r w:rsidR="00794878">
        <w:t xml:space="preserve"> </w:t>
      </w:r>
      <w:r w:rsidR="00BB1ABC">
        <w:t xml:space="preserve">and </w:t>
      </w:r>
      <w:r w:rsidR="00AD196F">
        <w:t>under</w:t>
      </w:r>
      <w:r w:rsidR="00DB1EEA">
        <w:t xml:space="preserve"> </w:t>
      </w:r>
      <w:r w:rsidR="00794878">
        <w:t>Resolution WHA</w:t>
      </w:r>
      <w:r w:rsidR="00661881">
        <w:t xml:space="preserve">75, </w:t>
      </w:r>
      <w:r w:rsidR="00F169FA">
        <w:t>an update</w:t>
      </w:r>
      <w:r w:rsidR="002F4B1B">
        <w:t xml:space="preserve">d SPAR tool second edition </w:t>
      </w:r>
      <w:r w:rsidR="00BB1ABC">
        <w:t xml:space="preserve">was </w:t>
      </w:r>
      <w:r w:rsidR="000468E7">
        <w:t>published</w:t>
      </w:r>
      <w:r w:rsidR="00125377" w:rsidRPr="00125377">
        <w:t>.</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8EA7892" w14:textId="047F4EE3" w:rsidR="00576CFA" w:rsidRDefault="0028536C" w:rsidP="00576CFA">
      <w:pPr>
        <w:pStyle w:val="MText"/>
        <w:rPr>
          <w:rFonts w:cs="Arial"/>
          <w:lang w:val="en-US"/>
        </w:rPr>
      </w:pPr>
      <w:r w:rsidRPr="00853C2D">
        <w:t>The indicators used represent</w:t>
      </w:r>
      <w:r w:rsidR="00103360">
        <w:t xml:space="preserve"> the essential public health capacity that States Parties must</w:t>
      </w:r>
      <w:r w:rsidRPr="00853C2D">
        <w:t xml:space="preserve"> have in place throughout their territories </w:t>
      </w:r>
      <w:r w:rsidR="00E421D6" w:rsidRPr="00853C2D">
        <w:t>under</w:t>
      </w:r>
      <w:r w:rsidRPr="00853C2D">
        <w:t xml:space="preserve"> Articles 5 and 12 and Annex 1A of the IHR (2005) requirements.</w:t>
      </w:r>
      <w:r w:rsidR="0076246C" w:rsidRPr="00853C2D">
        <w:t xml:space="preserve"> Further detailed information and guidance </w:t>
      </w:r>
      <w:r w:rsidR="00E421D6" w:rsidRPr="00853C2D">
        <w:t xml:space="preserve">on </w:t>
      </w:r>
      <w:r w:rsidR="0076246C" w:rsidRPr="00853C2D">
        <w:t xml:space="preserve">how to use the State Parties Self-Assessment </w:t>
      </w:r>
      <w:r w:rsidR="0036025F">
        <w:t>Annual</w:t>
      </w:r>
      <w:r w:rsidR="0036025F" w:rsidRPr="00853C2D">
        <w:t xml:space="preserve"> </w:t>
      </w:r>
      <w:r w:rsidR="0076246C" w:rsidRPr="00853C2D">
        <w:t>Reporting Tool – SPAR indicators, can be found in a guidance document at:</w:t>
      </w:r>
      <w:r w:rsidR="0097692C" w:rsidRPr="00C71268">
        <w:rPr>
          <w:lang w:val="en-US"/>
        </w:rPr>
        <w:t xml:space="preserve"> </w:t>
      </w:r>
      <w:hyperlink r:id="rId18" w:history="1">
        <w:r w:rsidR="0097692C" w:rsidRPr="008A2666">
          <w:rPr>
            <w:rStyle w:val="Hyperlink"/>
          </w:rPr>
          <w:t>https://extranet.who.int/e-spar</w:t>
        </w:r>
      </w:hyperlink>
    </w:p>
    <w:p w14:paraId="43EE0DD2" w14:textId="77777777" w:rsidR="0076246C" w:rsidRPr="00A96255" w:rsidRDefault="0076246C"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63AD95FC" w14:textId="78017214" w:rsidR="0076246C" w:rsidRPr="00A00A39" w:rsidRDefault="0076246C" w:rsidP="00C71268">
      <w:pPr>
        <w:pStyle w:val="MText"/>
      </w:pPr>
      <w:r w:rsidRPr="00A00A39">
        <w:t>1) it is based on a self-assessment and reporting by the State Party</w:t>
      </w:r>
    </w:p>
    <w:p w14:paraId="40194D64" w14:textId="1BDA8866" w:rsidR="00185989" w:rsidRDefault="0076246C" w:rsidP="00221595">
      <w:pPr>
        <w:pStyle w:val="MText"/>
      </w:pPr>
      <w:r w:rsidRPr="00853C2D">
        <w:t xml:space="preserve">2) </w:t>
      </w:r>
      <w:r w:rsidR="0097692C" w:rsidRPr="00853C2D">
        <w:t xml:space="preserve">There are three datasets </w:t>
      </w:r>
      <w:r w:rsidR="00BF1026" w:rsidRPr="00853C2D">
        <w:t xml:space="preserve">based on the </w:t>
      </w:r>
      <w:r w:rsidR="00964C2D">
        <w:t>different tools to collect data for SPAR</w:t>
      </w:r>
      <w:r w:rsidR="00BF1026" w:rsidRPr="00853C2D">
        <w:t>.</w:t>
      </w:r>
      <w:r w:rsidR="00D4271B">
        <w:t xml:space="preserve"> </w:t>
      </w:r>
      <w:r w:rsidR="00BF1026" w:rsidRPr="00853C2D">
        <w:t xml:space="preserve">For the period 2010 to 2017, the questionnaire, known as </w:t>
      </w:r>
      <w:r w:rsidR="00853C2D">
        <w:t xml:space="preserve">the </w:t>
      </w:r>
      <w:r w:rsidR="00BF1026" w:rsidRPr="00853C2D">
        <w:t xml:space="preserve">IHR </w:t>
      </w:r>
      <w:r w:rsidR="00E60F22" w:rsidRPr="00853C2D">
        <w:t xml:space="preserve">monitoring </w:t>
      </w:r>
      <w:r w:rsidR="00BF1026" w:rsidRPr="00853C2D">
        <w:t>questionnaire</w:t>
      </w:r>
      <w:r w:rsidR="00853C2D">
        <w:t>, is</w:t>
      </w:r>
      <w:r w:rsidR="00BF1026" w:rsidRPr="00853C2D">
        <w:t xml:space="preserve"> </w:t>
      </w:r>
      <w:r w:rsidR="00E943E8" w:rsidRPr="00853C2D">
        <w:t xml:space="preserve">divided into thirteen sections, one for each of the eight core capacities, PoE and four hazards and information on </w:t>
      </w:r>
      <w:r w:rsidR="005117A9" w:rsidRPr="00853C2D">
        <w:t xml:space="preserve">the </w:t>
      </w:r>
      <w:r w:rsidR="002B3B36" w:rsidRPr="00853C2D">
        <w:t>status of implementation</w:t>
      </w:r>
      <w:r w:rsidR="005117A9" w:rsidRPr="00853C2D">
        <w:t xml:space="preserve"> for each capacity.</w:t>
      </w:r>
      <w:r w:rsidR="00ED5060">
        <w:t xml:space="preserve"> </w:t>
      </w:r>
      <w:r w:rsidR="005117A9" w:rsidRPr="00853C2D">
        <w:t xml:space="preserve">The </w:t>
      </w:r>
      <w:r w:rsidR="00665F57" w:rsidRPr="00853C2D">
        <w:t xml:space="preserve">IHR monitoring </w:t>
      </w:r>
      <w:r w:rsidR="005117A9" w:rsidRPr="00853C2D">
        <w:t xml:space="preserve">questionnaire </w:t>
      </w:r>
      <w:proofErr w:type="gramStart"/>
      <w:r w:rsidR="00665F57" w:rsidRPr="00853C2D">
        <w:t>(</w:t>
      </w:r>
      <w:r w:rsidR="005117A9" w:rsidRPr="00853C2D">
        <w:t xml:space="preserve"> 2010</w:t>
      </w:r>
      <w:proofErr w:type="gramEnd"/>
      <w:r w:rsidR="005117A9" w:rsidRPr="00853C2D">
        <w:t xml:space="preserve"> to 2017</w:t>
      </w:r>
      <w:r w:rsidR="00665F57" w:rsidRPr="00853C2D">
        <w:t>)</w:t>
      </w:r>
      <w:r w:rsidR="005117A9" w:rsidRPr="00853C2D">
        <w:t xml:space="preserve"> was replaced by the IHR State Parties Self-Assessment Tool – SPAR, published in July 2018</w:t>
      </w:r>
      <w:r w:rsidR="00185989" w:rsidRPr="00853C2D">
        <w:t xml:space="preserve"> also known as SPAR 1st </w:t>
      </w:r>
      <w:r w:rsidR="001D14EF" w:rsidRPr="00853C2D">
        <w:t>edition</w:t>
      </w:r>
      <w:r w:rsidR="005117A9" w:rsidRPr="00853C2D">
        <w:t>.</w:t>
      </w:r>
      <w:r w:rsidR="00D66DB4" w:rsidRPr="00853C2D">
        <w:t xml:space="preserve"> The </w:t>
      </w:r>
      <w:r w:rsidR="00C80CCB">
        <w:t xml:space="preserve">States Parties used the </w:t>
      </w:r>
      <w:r w:rsidR="007759DA">
        <w:t xml:space="preserve">SPAR </w:t>
      </w:r>
      <w:r w:rsidR="001916FD">
        <w:t>first edition</w:t>
      </w:r>
      <w:r w:rsidR="00AD7E9F">
        <w:t xml:space="preserve"> </w:t>
      </w:r>
      <w:r w:rsidR="00D53F81">
        <w:t>during</w:t>
      </w:r>
      <w:r w:rsidR="00D53F81" w:rsidRPr="00853C2D">
        <w:t xml:space="preserve"> </w:t>
      </w:r>
      <w:r w:rsidR="00853C2D">
        <w:t xml:space="preserve">the </w:t>
      </w:r>
      <w:r w:rsidR="00A70715" w:rsidRPr="00853C2D">
        <w:t>2018 – 2020 SPAR reporting cycle.</w:t>
      </w:r>
      <w:r w:rsidR="00ED5060">
        <w:t xml:space="preserve"> </w:t>
      </w:r>
      <w:r w:rsidR="001D14EF" w:rsidRPr="00853C2D">
        <w:t xml:space="preserve">The current questionnaire </w:t>
      </w:r>
      <w:r w:rsidR="00D66DB4" w:rsidRPr="00853C2D">
        <w:t>replace</w:t>
      </w:r>
      <w:r w:rsidR="00C80CCB">
        <w:t>d</w:t>
      </w:r>
      <w:r w:rsidR="00D66DB4" w:rsidRPr="00853C2D">
        <w:t xml:space="preserve"> the SPAR 1st edition and was used </w:t>
      </w:r>
      <w:r w:rsidR="007558A7" w:rsidRPr="00853C2D">
        <w:t xml:space="preserve">by </w:t>
      </w:r>
      <w:r w:rsidR="00853C2D">
        <w:t xml:space="preserve">the </w:t>
      </w:r>
      <w:r w:rsidR="00D53F81">
        <w:t>States Parties</w:t>
      </w:r>
      <w:r w:rsidR="007558A7" w:rsidRPr="00853C2D">
        <w:t xml:space="preserve"> </w:t>
      </w:r>
      <w:r w:rsidR="00D53F81" w:rsidRPr="00853C2D">
        <w:t>f</w:t>
      </w:r>
      <w:r w:rsidR="00D53F81">
        <w:t>rom</w:t>
      </w:r>
      <w:r w:rsidR="00D53F81" w:rsidRPr="00853C2D">
        <w:t xml:space="preserve"> </w:t>
      </w:r>
      <w:r w:rsidR="00A70715" w:rsidRPr="00853C2D">
        <w:t>2021</w:t>
      </w:r>
      <w:r w:rsidR="00D53F81">
        <w:t xml:space="preserve"> up to present (2024)</w:t>
      </w:r>
      <w:r w:rsidR="007558A7" w:rsidRPr="00853C2D">
        <w:t xml:space="preserve">. </w:t>
      </w:r>
      <w:r w:rsidR="009C5DBA">
        <w:t xml:space="preserve">Under each capacity, the indicators were either retained, </w:t>
      </w:r>
      <w:proofErr w:type="gramStart"/>
      <w:r w:rsidR="009C5DBA">
        <w:t>replaced</w:t>
      </w:r>
      <w:proofErr w:type="gramEnd"/>
      <w:r w:rsidR="009C5DBA">
        <w:t xml:space="preserve"> or added</w:t>
      </w:r>
      <w:r w:rsidR="00287627">
        <w:t xml:space="preserve">. Historical trends </w:t>
      </w:r>
      <w:r w:rsidR="00C772B3">
        <w:t xml:space="preserve">and data analysis </w:t>
      </w:r>
      <w:r w:rsidR="001011FE">
        <w:t>of scores</w:t>
      </w:r>
      <w:r w:rsidR="00287627">
        <w:t xml:space="preserve"> for similar </w:t>
      </w:r>
      <w:r w:rsidR="006C6943">
        <w:t xml:space="preserve">capacity titles </w:t>
      </w:r>
      <w:r w:rsidR="0092135C">
        <w:t xml:space="preserve">should </w:t>
      </w:r>
      <w:r w:rsidR="006C6943">
        <w:t>be taken with caution.</w:t>
      </w:r>
      <w:r w:rsidR="00812C39">
        <w:t xml:space="preserve"> </w:t>
      </w:r>
    </w:p>
    <w:p w14:paraId="001407B5" w14:textId="77777777" w:rsidR="00221595" w:rsidRPr="00853C2D" w:rsidRDefault="00221595" w:rsidP="00221595">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71EB4734" w14:textId="6E76F4EF" w:rsidR="009628B2" w:rsidRPr="00C71268" w:rsidRDefault="009628B2" w:rsidP="00C71268">
      <w:pPr>
        <w:pStyle w:val="MText"/>
      </w:pPr>
      <w:r w:rsidRPr="00C71268">
        <w:t xml:space="preserve">All data are from </w:t>
      </w:r>
      <w:r w:rsidR="00F86A8A" w:rsidRPr="00C71268">
        <w:t xml:space="preserve">the </w:t>
      </w:r>
      <w:r w:rsidRPr="00C71268">
        <w:t xml:space="preserve">questionnaires </w:t>
      </w:r>
      <w:r w:rsidR="00CC3761">
        <w:t>submitted</w:t>
      </w:r>
      <w:r w:rsidR="00CC3761" w:rsidRPr="00C71268">
        <w:t xml:space="preserve"> by </w:t>
      </w:r>
      <w:r w:rsidR="00CC3761">
        <w:t xml:space="preserve">States Parties annually. </w:t>
      </w:r>
    </w:p>
    <w:p w14:paraId="3DC8F841" w14:textId="26512D61" w:rsidR="009628B2" w:rsidRPr="00C71268" w:rsidRDefault="00B11796" w:rsidP="00C71268">
      <w:pPr>
        <w:pStyle w:val="MText"/>
      </w:pPr>
      <w:r w:rsidRPr="006C6943">
        <w:t xml:space="preserve">For each of the 15 capacities, one to five indicators are used to measure </w:t>
      </w:r>
      <w:r w:rsidR="007F44E7">
        <w:t>implementation</w:t>
      </w:r>
      <w:r w:rsidRPr="006C6943">
        <w:t xml:space="preserve"> status. For each indicator, the reporting State Party is asked to select which of the five levels best describes the State Party</w:t>
      </w:r>
      <w:r w:rsidR="00622F62">
        <w:t>'</w:t>
      </w:r>
      <w:r w:rsidRPr="006C6943">
        <w:t xml:space="preserve">s </w:t>
      </w:r>
      <w:proofErr w:type="gramStart"/>
      <w:r w:rsidRPr="006C6943">
        <w:t>current status</w:t>
      </w:r>
      <w:proofErr w:type="gramEnd"/>
      <w:r w:rsidRPr="006C6943">
        <w:t xml:space="preserve">. </w:t>
      </w:r>
      <w:r w:rsidR="008E039D">
        <w:t>To move to the next level, all capacities described in previous levels should be in place for each indicator</w:t>
      </w:r>
      <w:r w:rsidRPr="006C6943">
        <w:t>.</w:t>
      </w:r>
      <w:r w:rsidR="005B6B5C">
        <w:t xml:space="preserve"> </w:t>
      </w:r>
      <w:r w:rsidR="009628B2" w:rsidRPr="00C71268">
        <w:t xml:space="preserve">The score of each indicator level </w:t>
      </w:r>
      <w:r w:rsidR="00D427C7">
        <w:t>is</w:t>
      </w:r>
      <w:r w:rsidR="009628B2" w:rsidRPr="00C71268">
        <w:t xml:space="preserve"> classified as a percentage of performance along the </w:t>
      </w:r>
      <w:r w:rsidR="00622F62">
        <w:t>"</w:t>
      </w:r>
      <w:r w:rsidR="009628B2" w:rsidRPr="00C71268">
        <w:t>1 to 5</w:t>
      </w:r>
      <w:r w:rsidR="00622F62">
        <w:t>"</w:t>
      </w:r>
      <w:r w:rsidR="009628B2" w:rsidRPr="00C71268">
        <w:t xml:space="preserve"> scale. </w:t>
      </w:r>
      <w:proofErr w:type="gramStart"/>
      <w:r w:rsidR="009628B2" w:rsidRPr="00C71268">
        <w:t>e.g.</w:t>
      </w:r>
      <w:proofErr w:type="gramEnd"/>
      <w:r w:rsidR="009628B2" w:rsidRPr="00C71268">
        <w:t xml:space="preserve"> for a country selecting level 3 for indicator 2.1, the indicator level </w:t>
      </w:r>
      <w:r w:rsidR="008E039D">
        <w:t>is</w:t>
      </w:r>
      <w:r w:rsidR="009628B2" w:rsidRPr="00C71268">
        <w:t xml:space="preserve"> expressed as: 3/5*100=60%</w:t>
      </w:r>
    </w:p>
    <w:p w14:paraId="61E8A303" w14:textId="6E26F855" w:rsidR="009628B2" w:rsidRPr="00C71268" w:rsidRDefault="009628B2" w:rsidP="00C71268">
      <w:pPr>
        <w:pStyle w:val="MText"/>
      </w:pPr>
      <w:r w:rsidRPr="00C71268">
        <w:t>CAPACITY LEVEL</w:t>
      </w:r>
    </w:p>
    <w:p w14:paraId="34C29C48" w14:textId="3161F928" w:rsidR="009628B2" w:rsidRPr="00C71268" w:rsidRDefault="009628B2" w:rsidP="00C71268">
      <w:pPr>
        <w:pStyle w:val="MText"/>
      </w:pPr>
      <w:r w:rsidRPr="00C71268">
        <w:t xml:space="preserve">The level of capacity </w:t>
      </w:r>
      <w:r w:rsidR="00D4271B">
        <w:t>is</w:t>
      </w:r>
      <w:r w:rsidRPr="00C71268">
        <w:t xml:space="preserve"> expressed as the average of all indicators. </w:t>
      </w:r>
      <w:proofErr w:type="gramStart"/>
      <w:r w:rsidRPr="00C71268">
        <w:t>e.g.</w:t>
      </w:r>
      <w:proofErr w:type="gramEnd"/>
      <w:r w:rsidRPr="00C71268">
        <w:t xml:space="preserve"> for a country selecting level 3 for indicator 2.1 and level 4 for indicator 2.2. </w:t>
      </w:r>
      <w:r w:rsidR="006C6943">
        <w:t>The indicator</w:t>
      </w:r>
      <w:r w:rsidRPr="00C71268">
        <w:t xml:space="preserve"> level for 2.1 </w:t>
      </w:r>
      <w:r w:rsidR="008E039D">
        <w:t>is</w:t>
      </w:r>
      <w:r w:rsidRPr="00C71268">
        <w:t xml:space="preserve"> expressed as 3/5*100=60%, </w:t>
      </w:r>
      <w:r w:rsidR="006C6943">
        <w:t xml:space="preserve">the </w:t>
      </w:r>
      <w:r w:rsidRPr="00C71268">
        <w:t xml:space="preserve">indicator level for 2.2 will be expressed as 4/5*100=80% and </w:t>
      </w:r>
      <w:r w:rsidR="006C6943">
        <w:t xml:space="preserve">the </w:t>
      </w:r>
      <w:r w:rsidRPr="00C71268">
        <w:t xml:space="preserve">capacity level for </w:t>
      </w:r>
      <w:r w:rsidR="006C6943" w:rsidRPr="00C71268">
        <w:t>2</w:t>
      </w:r>
      <w:r w:rsidRPr="00C71268">
        <w:t xml:space="preserve"> will be expressed as (60+80)/2=70%</w:t>
      </w:r>
    </w:p>
    <w:p w14:paraId="6A89839E" w14:textId="77777777" w:rsidR="00576CFA" w:rsidRPr="00C71268"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49CB8337" w14:textId="76A7DF0D" w:rsidR="00EC2915" w:rsidRPr="00221595" w:rsidRDefault="0076246C" w:rsidP="00221595">
      <w:pPr>
        <w:pStyle w:val="MText"/>
      </w:pPr>
      <w:r w:rsidRPr="00221595">
        <w:t xml:space="preserve">The e-SPAR electronic platform </w:t>
      </w:r>
      <w:r w:rsidR="00B75E2F" w:rsidRPr="00221595">
        <w:t>has</w:t>
      </w:r>
      <w:r w:rsidRPr="00221595">
        <w:t xml:space="preserve"> mechanisms </w:t>
      </w:r>
      <w:r w:rsidR="00B75E2F" w:rsidRPr="00221595">
        <w:t xml:space="preserve">and </w:t>
      </w:r>
      <w:r w:rsidR="00B10A65" w:rsidRPr="00221595">
        <w:t>check</w:t>
      </w:r>
      <w:r w:rsidR="00BA276C" w:rsidRPr="00221595">
        <w:t>s</w:t>
      </w:r>
      <w:r w:rsidR="00B75E2F" w:rsidRPr="00221595">
        <w:t xml:space="preserve"> </w:t>
      </w:r>
      <w:r w:rsidRPr="00221595">
        <w:t>to monitor reports received and</w:t>
      </w:r>
      <w:r w:rsidR="00B75E2F" w:rsidRPr="00221595">
        <w:t xml:space="preserve"> </w:t>
      </w:r>
      <w:r w:rsidR="005A5E34">
        <w:t xml:space="preserve">proceed with quality checks. The </w:t>
      </w:r>
      <w:proofErr w:type="spellStart"/>
      <w:r w:rsidR="005A5E34">
        <w:t>eSPAR</w:t>
      </w:r>
      <w:proofErr w:type="spellEnd"/>
      <w:r w:rsidR="005A5E34">
        <w:t xml:space="preserve"> is also accessible to WHO staff working with the Member States on SPAR (all levels). When the national authority fills in the questionnaire, electronic checks (pop-up alerts) are automatically available </w:t>
      </w:r>
      <w:r w:rsidR="00B75E2F" w:rsidRPr="00221595">
        <w:t xml:space="preserve">to </w:t>
      </w:r>
      <w:r w:rsidR="00630FF7" w:rsidRPr="00221595">
        <w:t xml:space="preserve">avoid </w:t>
      </w:r>
      <w:r w:rsidR="00B75E2F" w:rsidRPr="00221595">
        <w:t xml:space="preserve">potential mistakes and missing critical information on the report before final submission. </w:t>
      </w:r>
    </w:p>
    <w:p w14:paraId="32D250D5" w14:textId="14B28EF5" w:rsidR="00B75E2F" w:rsidRPr="00221595" w:rsidRDefault="00B75E2F" w:rsidP="00221595">
      <w:pPr>
        <w:pStyle w:val="MText"/>
      </w:pPr>
      <w:r w:rsidRPr="00221595">
        <w:lastRenderedPageBreak/>
        <w:t>Seminars are promoted</w:t>
      </w:r>
      <w:r w:rsidR="00D5482F" w:rsidRPr="00221595">
        <w:t>,</w:t>
      </w:r>
      <w:r w:rsidRPr="00221595">
        <w:t xml:space="preserve"> tutorials are available</w:t>
      </w:r>
      <w:r w:rsidR="00D5482F" w:rsidRPr="00221595">
        <w:t xml:space="preserve"> (under revision)</w:t>
      </w:r>
      <w:r w:rsidRPr="00221595">
        <w:t xml:space="preserve"> and consultation with national authorities can be made in coordination with all levels of WHO. More details with references, short </w:t>
      </w:r>
      <w:proofErr w:type="gramStart"/>
      <w:r w:rsidRPr="00221595">
        <w:t>videos</w:t>
      </w:r>
      <w:proofErr w:type="gramEnd"/>
      <w:r w:rsidRPr="00221595">
        <w:t xml:space="preserve"> and links in several languages at: </w:t>
      </w:r>
      <w:hyperlink r:id="rId19" w:history="1">
        <w:r w:rsidRPr="00C71268">
          <w:rPr>
            <w:rStyle w:val="Hyperlink"/>
            <w:color w:val="4A4A4A"/>
            <w:u w:val="none"/>
          </w:rPr>
          <w:t>https://extranet.who.int/e-spar/</w:t>
        </w:r>
      </w:hyperlink>
      <w:r w:rsidRPr="00221595">
        <w:t xml:space="preserve">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DF2A164" w14:textId="2AD06225" w:rsidR="00DE7FEB" w:rsidRDefault="00D01833" w:rsidP="00576CFA">
      <w:pPr>
        <w:pStyle w:val="MText"/>
      </w:pPr>
      <w:r>
        <w:t>Based on the result</w:t>
      </w:r>
      <w:r w:rsidR="00AE505A">
        <w:t xml:space="preserve"> of the SPAR Consultation Meeting in July 3-5, 2023, there were two capacities </w:t>
      </w:r>
      <w:r w:rsidR="00C83EFC">
        <w:t>where adjustments were made: Points of Entry and Border Health and the Health Services Provision.</w:t>
      </w:r>
    </w:p>
    <w:p w14:paraId="7FBAEBBA" w14:textId="7043391B" w:rsidR="00EC2915" w:rsidRPr="00A96255" w:rsidRDefault="00A263E0" w:rsidP="00576CFA">
      <w:pPr>
        <w:pStyle w:val="MText"/>
      </w:pPr>
      <w:r>
        <w:t xml:space="preserve"> </w:t>
      </w: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2C45D1D0" w14:textId="6BEAD1E3" w:rsidR="00DE7FEB" w:rsidRDefault="00B75E2F" w:rsidP="00576CFA">
      <w:pPr>
        <w:pStyle w:val="MText"/>
      </w:pPr>
      <w:r>
        <w:t>Usually</w:t>
      </w:r>
      <w:r w:rsidR="00D86739">
        <w:t>,</w:t>
      </w:r>
      <w:r>
        <w:t xml:space="preserve"> no methodology is employed to replace missing reports. Eventually</w:t>
      </w:r>
      <w:r w:rsidR="00D86739">
        <w:t>,</w:t>
      </w:r>
      <w:r>
        <w:t xml:space="preserve"> </w:t>
      </w:r>
      <w:r w:rsidR="00D86739">
        <w:t>on an</w:t>
      </w:r>
      <w:r>
        <w:t xml:space="preserve"> ad-hoc basis</w:t>
      </w:r>
      <w:r w:rsidR="00D86739">
        <w:t>,</w:t>
      </w:r>
      <w:r>
        <w:t xml:space="preserve"> </w:t>
      </w:r>
      <w:r w:rsidR="00BC26E3">
        <w:t xml:space="preserve">the last report received </w:t>
      </w:r>
      <w:r>
        <w:t xml:space="preserve">can be used just for </w:t>
      </w:r>
      <w:r w:rsidR="00BC26E3">
        <w:t xml:space="preserve">a </w:t>
      </w:r>
      <w:r>
        <w:t>specific request for data analysis.</w:t>
      </w:r>
    </w:p>
    <w:p w14:paraId="27033367" w14:textId="1D0A3952" w:rsidR="00EC2915" w:rsidRPr="00A96255" w:rsidRDefault="00B75E2F" w:rsidP="00576CFA">
      <w:pPr>
        <w:pStyle w:val="MText"/>
      </w:pPr>
      <w:r>
        <w:t xml:space="preserve"> </w:t>
      </w: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EA010B7" w14:textId="1560176D" w:rsidR="00EC2915" w:rsidRDefault="00B75E2F" w:rsidP="00576CFA">
      <w:pPr>
        <w:pStyle w:val="MText"/>
      </w:pPr>
      <w:r>
        <w:t xml:space="preserve">The regional aggregation </w:t>
      </w:r>
      <w:r w:rsidR="00981170">
        <w:t>is</w:t>
      </w:r>
      <w:r>
        <w:t xml:space="preserve"> based on the list of WHO State Parties on each administrative region as the denominator.</w:t>
      </w:r>
    </w:p>
    <w:p w14:paraId="226F61E7" w14:textId="77777777" w:rsidR="00881DCB" w:rsidRPr="00A96255" w:rsidRDefault="00881DCB"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4211B4A5" w14:textId="7CCB9B73" w:rsidR="00981170" w:rsidRDefault="00B75E2F" w:rsidP="00981170">
      <w:pPr>
        <w:pStyle w:val="MText"/>
      </w:pPr>
      <w:r>
        <w:t xml:space="preserve">There are specific </w:t>
      </w:r>
      <w:r w:rsidR="00BE6456">
        <w:t>tutorials</w:t>
      </w:r>
      <w:r>
        <w:t xml:space="preserve"> and guidance for national </w:t>
      </w:r>
      <w:r w:rsidR="00BE6456">
        <w:t>authorities</w:t>
      </w:r>
      <w:r>
        <w:t xml:space="preserve"> to use the e-SPAR platform and to report using the State Parties Self-Assessment and Reporting Tool – SPAR</w:t>
      </w:r>
      <w:r w:rsidR="00981170">
        <w:t xml:space="preserve">, accessible from the e-SPAR public page at: </w:t>
      </w:r>
      <w:bookmarkStart w:id="5" w:name="_Hlk68199644"/>
      <w:r w:rsidR="00981170">
        <w:fldChar w:fldCharType="begin"/>
      </w:r>
      <w:r w:rsidR="00981170">
        <w:instrText xml:space="preserve"> HYPERLINK "</w:instrText>
      </w:r>
      <w:r w:rsidR="00981170" w:rsidRPr="00B75E2F">
        <w:instrText>https://extranet.who.int/e-spar/</w:instrText>
      </w:r>
      <w:r w:rsidR="00981170">
        <w:instrText xml:space="preserve">" </w:instrText>
      </w:r>
      <w:r w:rsidR="00981170">
        <w:fldChar w:fldCharType="separate"/>
      </w:r>
      <w:r w:rsidR="00981170" w:rsidRPr="00F97A38">
        <w:rPr>
          <w:rStyle w:val="Hyperlink"/>
        </w:rPr>
        <w:t>https://extranet.who.int/e-spar/</w:t>
      </w:r>
      <w:r w:rsidR="00981170">
        <w:fldChar w:fldCharType="end"/>
      </w:r>
      <w:r w:rsidR="00981170">
        <w:t xml:space="preserve"> </w:t>
      </w:r>
      <w:bookmarkEnd w:id="5"/>
    </w:p>
    <w:p w14:paraId="2939895F" w14:textId="4604D2A4"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175201D5" w:rsidR="00EC2915" w:rsidRDefault="00A263E0" w:rsidP="00576CFA">
      <w:pPr>
        <w:pStyle w:val="MText"/>
      </w:pPr>
      <w:r>
        <w:t xml:space="preserve">WHO have specific teams </w:t>
      </w:r>
      <w:r w:rsidR="002F7BA8">
        <w:t xml:space="preserve">working in a collaborative </w:t>
      </w:r>
      <w:r w:rsidR="00810137">
        <w:t xml:space="preserve">manner </w:t>
      </w:r>
      <w:r w:rsidR="002F7BA8">
        <w:t xml:space="preserve">to manage the quality of the statistical products and process, such as the </w:t>
      </w:r>
      <w:r w:rsidR="002F7BA8" w:rsidRPr="002F7BA8">
        <w:t>Division of Data Analytics and Delivery for Impact (more details at</w:t>
      </w:r>
      <w:r w:rsidR="002F7BA8">
        <w:rPr>
          <w:color w:val="0070C0"/>
        </w:rPr>
        <w:t xml:space="preserve"> </w:t>
      </w:r>
      <w:hyperlink r:id="rId20" w:history="1">
        <w:r w:rsidR="002F7BA8" w:rsidRPr="00F97A38">
          <w:rPr>
            <w:rStyle w:val="Hyperlink"/>
          </w:rPr>
          <w:t>https://www.who.int/data/ddi</w:t>
        </w:r>
      </w:hyperlink>
      <w:r w:rsidR="002F7BA8">
        <w:rPr>
          <w:color w:val="0070C0"/>
        </w:rPr>
        <w:t xml:space="preserve"> </w:t>
      </w:r>
      <w:r w:rsidR="002F7BA8" w:rsidRPr="002F7BA8">
        <w:t>)</w:t>
      </w:r>
    </w:p>
    <w:p w14:paraId="2818502B" w14:textId="77777777" w:rsidR="00881DCB" w:rsidRPr="00A96255" w:rsidRDefault="00881DCB"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5CD07A97" w14:textId="19C16293" w:rsidR="002F7BA8" w:rsidRPr="00A96255" w:rsidRDefault="002F7BA8" w:rsidP="00576CFA">
      <w:pPr>
        <w:pStyle w:val="MText"/>
      </w:pPr>
      <w:r>
        <w:t xml:space="preserve">Please see details from the statistical WHO Programmes at </w:t>
      </w:r>
      <w:hyperlink r:id="rId21" w:history="1">
        <w:r w:rsidRPr="00F97A38">
          <w:rPr>
            <w:rStyle w:val="Hyperlink"/>
          </w:rPr>
          <w:t>https://www.who.int/data/ddi</w:t>
        </w:r>
      </w:hyperlink>
      <w:r>
        <w:t xml:space="preserve">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C94D0D9" w14:textId="77777777" w:rsidR="002F7BA8" w:rsidRPr="00A96255" w:rsidRDefault="002F7BA8" w:rsidP="002F7BA8">
      <w:pPr>
        <w:pStyle w:val="MText"/>
      </w:pPr>
      <w:r>
        <w:t xml:space="preserve">Please see details from the statistical WHO Programmes at </w:t>
      </w:r>
      <w:hyperlink r:id="rId22" w:history="1">
        <w:r w:rsidRPr="00F97A38">
          <w:rPr>
            <w:rStyle w:val="Hyperlink"/>
          </w:rPr>
          <w:t>https://www.who.int/data/ddi</w:t>
        </w:r>
      </w:hyperlink>
      <w:r>
        <w:t xml:space="preserve"> </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703ADE8" w14:textId="401CFA6E" w:rsidR="00981170" w:rsidRPr="00651C42" w:rsidRDefault="00981170" w:rsidP="00981170">
      <w:pPr>
        <w:pStyle w:val="MText"/>
        <w:rPr>
          <w:lang w:val="en-US"/>
        </w:rPr>
      </w:pPr>
      <w:r>
        <w:t xml:space="preserve">Since 2010, when the IHR Annual Reporting was implemented, all 196 State Parties </w:t>
      </w:r>
      <w:r w:rsidR="00B038CD">
        <w:t xml:space="preserve">have </w:t>
      </w:r>
      <w:r>
        <w:t xml:space="preserve">reported at least once. All reports and regional breakdowns are available, including for download of excel spreadsheet with all countries capacities reported since 2010 at: </w:t>
      </w:r>
      <w:hyperlink r:id="rId23" w:history="1">
        <w:r w:rsidRPr="00F97A38">
          <w:rPr>
            <w:rStyle w:val="Hyperlink"/>
          </w:rPr>
          <w:t>https://extranet.who.int/e-spar/</w:t>
        </w:r>
      </w:hyperlink>
      <w:r>
        <w:t xml:space="preserve"> , at Health Security and Emergency Preparedness (SPH) Portal (</w:t>
      </w:r>
      <w:hyperlink r:id="rId24" w:history="1">
        <w:r w:rsidRPr="00F97A38">
          <w:rPr>
            <w:rStyle w:val="Hyperlink"/>
          </w:rPr>
          <w:t>https://extranet.who.int/sph/</w:t>
        </w:r>
      </w:hyperlink>
      <w:r>
        <w:t xml:space="preserve"> ) and</w:t>
      </w:r>
    </w:p>
    <w:p w14:paraId="464A8CCF" w14:textId="54694B31" w:rsidR="00576CFA" w:rsidRDefault="00981170" w:rsidP="00981170">
      <w:pPr>
        <w:pStyle w:val="MText"/>
      </w:pPr>
      <w:r>
        <w:t>the Global Health Observatory (</w:t>
      </w:r>
      <w:hyperlink r:id="rId25" w:history="1">
        <w:r w:rsidRPr="00F97A38">
          <w:rPr>
            <w:rStyle w:val="Hyperlink"/>
          </w:rPr>
          <w:t>https://www.who.int/data/gho</w:t>
        </w:r>
      </w:hyperlink>
      <w:r>
        <w:t xml:space="preserve"> ).</w:t>
      </w:r>
    </w:p>
    <w:p w14:paraId="518B58B3" w14:textId="77777777" w:rsidR="00981170" w:rsidRPr="00A96255" w:rsidRDefault="00981170"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3CAB7BE" w14:textId="12B21EE7" w:rsidR="00EC2915" w:rsidRDefault="00256DE1" w:rsidP="00576CFA">
      <w:pPr>
        <w:pStyle w:val="MText"/>
      </w:pPr>
      <w:r>
        <w:t xml:space="preserve">The </w:t>
      </w:r>
      <w:r w:rsidR="00913B86">
        <w:t>IHR States Parties Self-</w:t>
      </w:r>
      <w:proofErr w:type="gramStart"/>
      <w:r w:rsidR="00913B86">
        <w:t>assessment</w:t>
      </w:r>
      <w:proofErr w:type="gramEnd"/>
      <w:r w:rsidR="00913B86">
        <w:t xml:space="preserve"> Annual Reporting</w:t>
      </w:r>
      <w:r>
        <w:t xml:space="preserve"> </w:t>
      </w:r>
      <w:r w:rsidR="00AE35DA">
        <w:t xml:space="preserve">has </w:t>
      </w:r>
      <w:r>
        <w:t xml:space="preserve">specific indicators based on IHR requirements for core capacities </w:t>
      </w:r>
      <w:r w:rsidRPr="00256DE1">
        <w:t xml:space="preserve">needed to detect, assess, notify, report and respond, including at points of entry, to public health </w:t>
      </w:r>
      <w:r w:rsidR="00B005FE">
        <w:t>risks</w:t>
      </w:r>
      <w:r w:rsidRPr="00256DE1">
        <w:t xml:space="preserve"> and acute events of domestic and international concern. </w:t>
      </w:r>
    </w:p>
    <w:p w14:paraId="7BEB8C34" w14:textId="6B68FB87" w:rsidR="00256DE1" w:rsidRDefault="00256DE1" w:rsidP="00576CFA">
      <w:pPr>
        <w:pStyle w:val="MText"/>
      </w:pPr>
      <w:r>
        <w:t xml:space="preserve">External voluntary evaluation of similar capacities can be done by the same country, such as using the Joint external evaluation </w:t>
      </w:r>
      <w:r w:rsidR="00B005FE">
        <w:t xml:space="preserve">(JEE) </w:t>
      </w:r>
      <w:r>
        <w:t xml:space="preserve">tool, supported by several countries, </w:t>
      </w:r>
      <w:r w:rsidR="0078085E">
        <w:t xml:space="preserve">to </w:t>
      </w:r>
      <w:r>
        <w:t xml:space="preserve">complement the self-assessment. More details </w:t>
      </w:r>
      <w:r w:rsidR="00B005FE">
        <w:t xml:space="preserve">are available </w:t>
      </w:r>
      <w:r>
        <w:t xml:space="preserve">at </w:t>
      </w:r>
      <w:r w:rsidR="00221595">
        <w:t xml:space="preserve">the </w:t>
      </w:r>
      <w:r>
        <w:t>Health Security and Emergency Preparedness (SPH) Portal (</w:t>
      </w:r>
      <w:hyperlink r:id="rId26" w:history="1">
        <w:r w:rsidRPr="00F97A38">
          <w:rPr>
            <w:rStyle w:val="Hyperlink"/>
          </w:rPr>
          <w:t>https://extranet.who.int/sph/</w:t>
        </w:r>
      </w:hyperlink>
      <w:r>
        <w:t>)</w:t>
      </w:r>
    </w:p>
    <w:p w14:paraId="5AB6DD91" w14:textId="77777777" w:rsidR="00F719A8" w:rsidRPr="00A96255" w:rsidRDefault="00F719A8" w:rsidP="00576CFA">
      <w:pPr>
        <w:pStyle w:val="MText"/>
      </w:pPr>
    </w:p>
    <w:p w14:paraId="39C3346C" w14:textId="1E547A2D" w:rsidR="00382CF3" w:rsidRPr="00C71268" w:rsidRDefault="00576CFA" w:rsidP="000412A0">
      <w:pPr>
        <w:pStyle w:val="MHeader"/>
        <w:spacing w:after="100"/>
        <w:rPr>
          <w:lang w:val="en-US"/>
        </w:rPr>
      </w:pPr>
      <w:r w:rsidRPr="00A96255">
        <w:t xml:space="preserve">7. References and Documentation </w:t>
      </w:r>
      <w:r>
        <w:rPr>
          <w:color w:val="B4B4B4"/>
          <w:sz w:val="20"/>
        </w:rPr>
        <w:t>(OTHER_DOC)</w:t>
      </w:r>
    </w:p>
    <w:p w14:paraId="0C44CD86" w14:textId="3F4C1446" w:rsidR="001B16DD" w:rsidRPr="00A263E0" w:rsidRDefault="00A263E0" w:rsidP="17916792">
      <w:pPr>
        <w:pStyle w:val="MHeader"/>
        <w:spacing w:after="100"/>
        <w:rPr>
          <w:lang w:val="en-US"/>
        </w:rPr>
      </w:pPr>
      <w:r w:rsidRPr="00A263E0">
        <w:rPr>
          <w:lang w:val="en-US"/>
        </w:rPr>
        <w:t> </w:t>
      </w:r>
    </w:p>
    <w:tbl>
      <w:tblPr>
        <w:tblW w:w="9026" w:type="dxa"/>
        <w:tblLook w:val="04A0" w:firstRow="1" w:lastRow="0" w:firstColumn="1" w:lastColumn="0" w:noHBand="0" w:noVBand="1"/>
      </w:tblPr>
      <w:tblGrid>
        <w:gridCol w:w="3231"/>
        <w:gridCol w:w="49"/>
        <w:gridCol w:w="49"/>
        <w:gridCol w:w="49"/>
        <w:gridCol w:w="1005"/>
        <w:gridCol w:w="49"/>
        <w:gridCol w:w="49"/>
        <w:gridCol w:w="49"/>
        <w:gridCol w:w="4496"/>
      </w:tblGrid>
      <w:tr w:rsidR="00A00A39" w:rsidRPr="002334B6" w14:paraId="354E3E97" w14:textId="50F36458" w:rsidTr="001B16DD">
        <w:trPr>
          <w:trHeight w:val="2520"/>
        </w:trPr>
        <w:tc>
          <w:tcPr>
            <w:tcW w:w="4112" w:type="dxa"/>
            <w:tcBorders>
              <w:top w:val="single" w:sz="4" w:space="0" w:color="4472C4"/>
              <w:left w:val="nil"/>
              <w:bottom w:val="nil"/>
              <w:right w:val="nil"/>
            </w:tcBorders>
            <w:shd w:val="clear" w:color="000000" w:fill="D9E1F2"/>
            <w:vAlign w:val="center"/>
            <w:hideMark/>
          </w:tcPr>
          <w:p w14:paraId="468D499F" w14:textId="22A1933E" w:rsidR="001B16DD" w:rsidRPr="00C71268" w:rsidRDefault="001B16DD" w:rsidP="00C71268">
            <w:pPr>
              <w:spacing w:after="0" w:line="240" w:lineRule="auto"/>
              <w:rPr>
                <w:rFonts w:ascii="Calibri" w:hAnsi="Calibri"/>
                <w:b/>
                <w:color w:val="000000"/>
              </w:rPr>
            </w:pPr>
            <w:r w:rsidRPr="00C71268">
              <w:rPr>
                <w:rFonts w:ascii="Calibri" w:hAnsi="Calibri"/>
                <w:b/>
                <w:color w:val="000000"/>
              </w:rPr>
              <w:t xml:space="preserve">International </w:t>
            </w:r>
            <w:r w:rsidRPr="001B16DD">
              <w:rPr>
                <w:rFonts w:ascii="Calibri" w:eastAsia="Times New Roman" w:hAnsi="Calibri" w:cs="Calibri"/>
                <w:b/>
                <w:bCs/>
                <w:color w:val="000000"/>
              </w:rPr>
              <w:t>health regulations (</w:t>
            </w:r>
            <w:r w:rsidRPr="001B16DD">
              <w:rPr>
                <w:rFonts w:ascii="Calibri" w:eastAsia="Times New Roman" w:hAnsi="Calibri" w:cs="Calibri"/>
                <w:b/>
                <w:bCs/>
                <w:color w:val="000000"/>
                <w:cs/>
              </w:rPr>
              <w:t>‎</w:t>
            </w:r>
            <w:r w:rsidRPr="00C71268">
              <w:rPr>
                <w:rFonts w:ascii="Calibri" w:hAnsi="Calibri"/>
                <w:b/>
                <w:color w:val="000000"/>
              </w:rPr>
              <w:t>2005</w:t>
            </w:r>
            <w:r w:rsidRPr="001B16DD">
              <w:rPr>
                <w:rFonts w:ascii="Calibri" w:eastAsia="Times New Roman" w:hAnsi="Calibri" w:cs="Calibri"/>
                <w:b/>
                <w:bCs/>
                <w:color w:val="000000"/>
              </w:rPr>
              <w:t>)</w:t>
            </w:r>
            <w:r w:rsidRPr="001B16DD">
              <w:rPr>
                <w:rFonts w:ascii="Calibri" w:eastAsia="Times New Roman" w:hAnsi="Calibri" w:cs="Calibri"/>
                <w:b/>
                <w:bCs/>
                <w:color w:val="000000"/>
                <w:cs/>
              </w:rPr>
              <w:t>‎</w:t>
            </w:r>
            <w:r w:rsidRPr="001B16DD">
              <w:rPr>
                <w:rFonts w:ascii="Calibri" w:eastAsia="Times New Roman" w:hAnsi="Calibri" w:cs="Calibri"/>
                <w:b/>
                <w:bCs/>
                <w:color w:val="000000"/>
              </w:rPr>
              <w:t>: state party</w:t>
            </w:r>
            <w:r w:rsidRPr="00C71268">
              <w:rPr>
                <w:rFonts w:ascii="Calibri" w:hAnsi="Calibri"/>
                <w:b/>
                <w:color w:val="000000"/>
              </w:rPr>
              <w:t xml:space="preserve"> self-assessment annual reporting tool</w:t>
            </w:r>
            <w:r w:rsidRPr="001B16DD">
              <w:rPr>
                <w:rFonts w:ascii="Calibri" w:eastAsia="Times New Roman" w:hAnsi="Calibri" w:cs="Calibri"/>
                <w:b/>
                <w:bCs/>
                <w:color w:val="000000"/>
              </w:rPr>
              <w:t>, 2nd ed</w:t>
            </w:r>
          </w:p>
        </w:tc>
        <w:tc>
          <w:tcPr>
            <w:tcW w:w="1236" w:type="dxa"/>
            <w:gridSpan w:val="7"/>
            <w:tcBorders>
              <w:top w:val="single" w:sz="4" w:space="0" w:color="4472C4"/>
              <w:left w:val="nil"/>
              <w:bottom w:val="nil"/>
              <w:right w:val="nil"/>
            </w:tcBorders>
            <w:shd w:val="clear" w:color="000000" w:fill="D9E1F2"/>
            <w:vAlign w:val="center"/>
          </w:tcPr>
          <w:p w14:paraId="70B12FFE" w14:textId="48AC9736" w:rsidR="001B16DD" w:rsidRPr="00C71268" w:rsidRDefault="001B16DD" w:rsidP="00C71268">
            <w:pPr>
              <w:spacing w:after="0" w:line="240" w:lineRule="auto"/>
              <w:rPr>
                <w:rFonts w:ascii="Calibri" w:hAnsi="Calibri"/>
                <w:b/>
                <w:color w:val="000000"/>
              </w:rPr>
            </w:pPr>
            <w:r w:rsidRPr="00C71268">
              <w:rPr>
                <w:rFonts w:ascii="Calibri" w:hAnsi="Calibri"/>
                <w:b/>
                <w:color w:val="000000"/>
              </w:rPr>
              <w:t>English</w:t>
            </w:r>
          </w:p>
        </w:tc>
        <w:tc>
          <w:tcPr>
            <w:tcW w:w="3678" w:type="dxa"/>
            <w:tcBorders>
              <w:top w:val="single" w:sz="4" w:space="0" w:color="4472C4"/>
              <w:left w:val="nil"/>
              <w:bottom w:val="nil"/>
              <w:right w:val="nil"/>
            </w:tcBorders>
            <w:shd w:val="clear" w:color="000000" w:fill="D9E1F2"/>
            <w:vAlign w:val="center"/>
          </w:tcPr>
          <w:p w14:paraId="245D5C3C" w14:textId="2B9A7303" w:rsidR="001B16DD" w:rsidRPr="00C71268" w:rsidRDefault="00000000" w:rsidP="00C71268">
            <w:pPr>
              <w:spacing w:after="0" w:line="240" w:lineRule="auto"/>
              <w:rPr>
                <w:rFonts w:ascii="Calibri" w:hAnsi="Calibri"/>
                <w:b/>
                <w:color w:val="000000"/>
              </w:rPr>
            </w:pPr>
            <w:hyperlink r:id="rId27" w:history="1">
              <w:r w:rsidR="001B16DD" w:rsidRPr="001B16DD">
                <w:rPr>
                  <w:rStyle w:val="Hyperlink"/>
                  <w:rFonts w:ascii="Calibri" w:hAnsi="Calibri" w:cs="Calibri"/>
                </w:rPr>
                <w:t>https://www.who.int/publications/i/item/9789240040120</w:t>
              </w:r>
            </w:hyperlink>
          </w:p>
        </w:tc>
      </w:tr>
      <w:tr w:rsidR="001B16DD" w:rsidRPr="002334B6" w14:paraId="1A7E284C" w14:textId="2CA84297" w:rsidTr="001B16DD">
        <w:trPr>
          <w:trHeight w:val="315"/>
        </w:trPr>
        <w:tc>
          <w:tcPr>
            <w:tcW w:w="4112" w:type="dxa"/>
            <w:gridSpan w:val="2"/>
            <w:tcBorders>
              <w:top w:val="single" w:sz="4" w:space="0" w:color="4472C4"/>
              <w:left w:val="nil"/>
              <w:bottom w:val="nil"/>
              <w:right w:val="nil"/>
            </w:tcBorders>
            <w:shd w:val="clear" w:color="000000" w:fill="D9E1F2"/>
            <w:noWrap/>
            <w:hideMark/>
          </w:tcPr>
          <w:p w14:paraId="15C3FAEE" w14:textId="77777777" w:rsidR="001B16DD" w:rsidRPr="00A13F0D" w:rsidRDefault="001B16DD" w:rsidP="001B16DD">
            <w:pPr>
              <w:spacing w:after="0" w:line="240" w:lineRule="auto"/>
              <w:rPr>
                <w:rFonts w:ascii="Calibri" w:eastAsia="Times New Roman" w:hAnsi="Calibri" w:cs="Calibri"/>
                <w:color w:val="000000"/>
                <w:lang w:val="ru-RU"/>
              </w:rPr>
            </w:pPr>
            <w:r w:rsidRPr="00A13F0D">
              <w:rPr>
                <w:rFonts w:ascii="Calibri" w:eastAsia="Times New Roman" w:hAnsi="Calibri" w:cs="Calibri"/>
                <w:color w:val="000000"/>
                <w:lang w:val="ru-RU"/>
              </w:rPr>
              <w:t>Международные медико-санитарные правила (</w:t>
            </w:r>
            <w:r w:rsidRPr="001B16DD">
              <w:rPr>
                <w:rFonts w:ascii="Calibri" w:eastAsia="Times New Roman" w:hAnsi="Calibri" w:cs="Calibri"/>
                <w:color w:val="000000"/>
                <w:cs/>
              </w:rPr>
              <w:t>‎</w:t>
            </w:r>
            <w:r w:rsidRPr="00A13F0D">
              <w:rPr>
                <w:rFonts w:ascii="Calibri" w:eastAsia="Times New Roman" w:hAnsi="Calibri" w:cs="Calibri"/>
                <w:color w:val="000000"/>
                <w:lang w:val="ru-RU"/>
              </w:rPr>
              <w:t>2005 г.)</w:t>
            </w:r>
            <w:r w:rsidRPr="001B16DD">
              <w:rPr>
                <w:rFonts w:ascii="Calibri" w:eastAsia="Times New Roman" w:hAnsi="Calibri" w:cs="Calibri"/>
                <w:color w:val="000000"/>
                <w:cs/>
              </w:rPr>
              <w:t>‎</w:t>
            </w:r>
            <w:r w:rsidRPr="00A13F0D">
              <w:rPr>
                <w:rFonts w:ascii="Calibri" w:eastAsia="Times New Roman" w:hAnsi="Calibri" w:cs="Calibri"/>
                <w:color w:val="000000"/>
                <w:lang w:val="ru-RU"/>
              </w:rPr>
              <w:t>: Инструмент ежегодной отчетности государств-участников на основе самооценки, 2-е издание</w:t>
            </w:r>
          </w:p>
        </w:tc>
        <w:tc>
          <w:tcPr>
            <w:tcW w:w="1236" w:type="dxa"/>
            <w:gridSpan w:val="5"/>
            <w:tcBorders>
              <w:top w:val="single" w:sz="4" w:space="0" w:color="4472C4"/>
              <w:left w:val="nil"/>
              <w:bottom w:val="nil"/>
              <w:right w:val="nil"/>
            </w:tcBorders>
            <w:shd w:val="clear" w:color="000000" w:fill="D9E1F2"/>
            <w:vAlign w:val="center"/>
          </w:tcPr>
          <w:p w14:paraId="68C68024" w14:textId="2031D992" w:rsidR="001B16DD" w:rsidRPr="001B16DD" w:rsidRDefault="001B16DD" w:rsidP="001B16DD">
            <w:pPr>
              <w:spacing w:after="0" w:line="240" w:lineRule="auto"/>
              <w:rPr>
                <w:rFonts w:ascii="Calibri" w:eastAsia="Times New Roman" w:hAnsi="Calibri" w:cs="Calibri"/>
                <w:color w:val="000000"/>
              </w:rPr>
            </w:pPr>
            <w:r>
              <w:rPr>
                <w:rFonts w:ascii="Calibri" w:hAnsi="Calibri" w:cs="Calibri"/>
                <w:color w:val="000000"/>
              </w:rPr>
              <w:t>Russian</w:t>
            </w:r>
          </w:p>
        </w:tc>
        <w:tc>
          <w:tcPr>
            <w:tcW w:w="3678" w:type="dxa"/>
            <w:gridSpan w:val="2"/>
            <w:tcBorders>
              <w:top w:val="single" w:sz="4" w:space="0" w:color="4472C4"/>
              <w:left w:val="nil"/>
              <w:bottom w:val="nil"/>
              <w:right w:val="nil"/>
            </w:tcBorders>
            <w:shd w:val="clear" w:color="000000" w:fill="D9E1F2"/>
            <w:vAlign w:val="bottom"/>
          </w:tcPr>
          <w:p w14:paraId="4E0F57B2" w14:textId="40A8C36C" w:rsidR="001B16DD" w:rsidRPr="001B16DD" w:rsidRDefault="00000000" w:rsidP="001B16DD">
            <w:pPr>
              <w:spacing w:after="0" w:line="240" w:lineRule="auto"/>
              <w:rPr>
                <w:rFonts w:ascii="Calibri" w:eastAsia="Times New Roman" w:hAnsi="Calibri" w:cs="Calibri"/>
                <w:color w:val="000000"/>
              </w:rPr>
            </w:pPr>
            <w:hyperlink r:id="rId28" w:history="1">
              <w:r w:rsidR="001B16DD" w:rsidRPr="001B16DD">
                <w:rPr>
                  <w:rStyle w:val="Hyperlink"/>
                  <w:rFonts w:ascii="Calibri" w:hAnsi="Calibri" w:cs="Calibri"/>
                </w:rPr>
                <w:t>https://www.who.int/ru/publications/i/item/9789240040120</w:t>
              </w:r>
            </w:hyperlink>
          </w:p>
        </w:tc>
      </w:tr>
      <w:tr w:rsidR="00A00A39" w:rsidRPr="002334B6" w14:paraId="504E2F77" w14:textId="3DA43463" w:rsidTr="001B16DD">
        <w:trPr>
          <w:trHeight w:val="315"/>
        </w:trPr>
        <w:tc>
          <w:tcPr>
            <w:tcW w:w="4112" w:type="dxa"/>
            <w:tcBorders>
              <w:top w:val="single" w:sz="4" w:space="0" w:color="4472C4"/>
              <w:left w:val="nil"/>
              <w:bottom w:val="nil"/>
              <w:right w:val="nil"/>
            </w:tcBorders>
            <w:shd w:val="clear" w:color="000000" w:fill="D9E1F2"/>
            <w:noWrap/>
            <w:hideMark/>
          </w:tcPr>
          <w:p w14:paraId="74DCA90C" w14:textId="2F688BE4" w:rsidR="001B16DD" w:rsidRPr="00C71268" w:rsidRDefault="001B16DD" w:rsidP="00C71268">
            <w:pPr>
              <w:spacing w:after="0" w:line="240" w:lineRule="auto"/>
              <w:rPr>
                <w:rFonts w:ascii="Calibri" w:hAnsi="Calibri"/>
                <w:color w:val="000000"/>
                <w:lang w:val="fr-CH"/>
              </w:rPr>
            </w:pPr>
            <w:r w:rsidRPr="00C71268">
              <w:rPr>
                <w:rFonts w:ascii="Calibri" w:hAnsi="Calibri"/>
                <w:color w:val="000000"/>
                <w:lang w:val="fr-CH"/>
              </w:rPr>
              <w:t xml:space="preserve">Règlement sanitaire international </w:t>
            </w:r>
            <w:r w:rsidRPr="00BA24ED">
              <w:rPr>
                <w:rFonts w:ascii="Calibri" w:eastAsia="Times New Roman" w:hAnsi="Calibri" w:cs="Calibri"/>
                <w:color w:val="000000"/>
                <w:lang w:val="fr-CH"/>
              </w:rPr>
              <w:t>(</w:t>
            </w:r>
            <w:r w:rsidRPr="001B16DD">
              <w:rPr>
                <w:rFonts w:ascii="Calibri" w:eastAsia="Times New Roman" w:hAnsi="Calibri" w:cs="Calibri"/>
                <w:color w:val="000000"/>
                <w:cs/>
              </w:rPr>
              <w:t>‎</w:t>
            </w:r>
            <w:r w:rsidRPr="00BA24ED">
              <w:rPr>
                <w:rFonts w:ascii="Calibri" w:eastAsia="Times New Roman" w:hAnsi="Calibri" w:cs="Calibri"/>
                <w:color w:val="000000"/>
                <w:lang w:val="fr-CH"/>
              </w:rPr>
              <w:t>2005)</w:t>
            </w:r>
            <w:r w:rsidRPr="001B16DD">
              <w:rPr>
                <w:rFonts w:ascii="Calibri" w:eastAsia="Times New Roman" w:hAnsi="Calibri" w:cs="Calibri"/>
                <w:color w:val="000000"/>
                <w:cs/>
              </w:rPr>
              <w:t>‎</w:t>
            </w:r>
            <w:r w:rsidRPr="00BA24ED">
              <w:rPr>
                <w:rFonts w:ascii="Calibri" w:eastAsia="Times New Roman" w:hAnsi="Calibri" w:cs="Calibri"/>
                <w:color w:val="000000"/>
                <w:lang w:val="fr-CH"/>
              </w:rPr>
              <w:t xml:space="preserve"> </w:t>
            </w:r>
            <w:r w:rsidRPr="00C71268">
              <w:rPr>
                <w:rFonts w:ascii="Calibri" w:hAnsi="Calibri"/>
                <w:color w:val="000000"/>
                <w:lang w:val="fr-CH"/>
              </w:rPr>
              <w:t xml:space="preserve">: outil d’autoévaluation pour l’établissement de rapports annuels par les </w:t>
            </w:r>
            <w:r w:rsidRPr="00BA24ED">
              <w:rPr>
                <w:rFonts w:ascii="Calibri" w:eastAsia="Times New Roman" w:hAnsi="Calibri" w:cs="Calibri"/>
                <w:color w:val="000000"/>
                <w:lang w:val="fr-CH"/>
              </w:rPr>
              <w:t xml:space="preserve">états parties, 2e </w:t>
            </w:r>
            <w:proofErr w:type="spellStart"/>
            <w:r w:rsidRPr="00BA24ED">
              <w:rPr>
                <w:rFonts w:ascii="Calibri" w:eastAsia="Times New Roman" w:hAnsi="Calibri" w:cs="Calibri"/>
                <w:color w:val="000000"/>
                <w:lang w:val="fr-CH"/>
              </w:rPr>
              <w:t>ed</w:t>
            </w:r>
            <w:proofErr w:type="spellEnd"/>
          </w:p>
        </w:tc>
        <w:tc>
          <w:tcPr>
            <w:tcW w:w="1236" w:type="dxa"/>
            <w:gridSpan w:val="7"/>
            <w:tcBorders>
              <w:top w:val="single" w:sz="4" w:space="0" w:color="4472C4"/>
              <w:left w:val="nil"/>
              <w:bottom w:val="nil"/>
              <w:right w:val="nil"/>
            </w:tcBorders>
            <w:shd w:val="clear" w:color="000000" w:fill="D9E1F2"/>
            <w:vAlign w:val="center"/>
          </w:tcPr>
          <w:p w14:paraId="77EE9D10" w14:textId="33747F8B" w:rsidR="001B16DD" w:rsidRPr="00C71268" w:rsidRDefault="001B16DD" w:rsidP="00C71268">
            <w:pPr>
              <w:spacing w:after="0" w:line="240" w:lineRule="auto"/>
              <w:rPr>
                <w:rFonts w:ascii="Calibri" w:hAnsi="Calibri"/>
                <w:color w:val="000000"/>
              </w:rPr>
            </w:pPr>
            <w:r w:rsidRPr="00C71268">
              <w:rPr>
                <w:rFonts w:ascii="Calibri" w:hAnsi="Calibri"/>
                <w:color w:val="000000"/>
              </w:rPr>
              <w:t>French</w:t>
            </w:r>
          </w:p>
        </w:tc>
        <w:tc>
          <w:tcPr>
            <w:tcW w:w="3678" w:type="dxa"/>
            <w:tcBorders>
              <w:top w:val="single" w:sz="4" w:space="0" w:color="4472C4"/>
              <w:left w:val="nil"/>
              <w:bottom w:val="nil"/>
              <w:right w:val="nil"/>
            </w:tcBorders>
            <w:shd w:val="clear" w:color="000000" w:fill="D9E1F2"/>
            <w:vAlign w:val="center"/>
          </w:tcPr>
          <w:p w14:paraId="5F7A82F2" w14:textId="58CB811E" w:rsidR="001B16DD" w:rsidRPr="00C71268" w:rsidRDefault="00000000" w:rsidP="00C71268">
            <w:pPr>
              <w:spacing w:after="0" w:line="240" w:lineRule="auto"/>
              <w:rPr>
                <w:rFonts w:ascii="Calibri" w:hAnsi="Calibri"/>
                <w:color w:val="000000"/>
              </w:rPr>
            </w:pPr>
            <w:hyperlink r:id="rId29" w:history="1">
              <w:r w:rsidR="001B16DD" w:rsidRPr="001B16DD">
                <w:rPr>
                  <w:rStyle w:val="Hyperlink"/>
                  <w:rFonts w:ascii="Calibri" w:hAnsi="Calibri" w:cs="Calibri"/>
                </w:rPr>
                <w:t>https://www.who.int/fr/publications/i/item/9789240040120</w:t>
              </w:r>
            </w:hyperlink>
          </w:p>
        </w:tc>
      </w:tr>
      <w:tr w:rsidR="00A00A39" w:rsidRPr="002334B6" w14:paraId="589011DE" w14:textId="79FE549A" w:rsidTr="001B16DD">
        <w:trPr>
          <w:trHeight w:val="315"/>
        </w:trPr>
        <w:tc>
          <w:tcPr>
            <w:tcW w:w="4112" w:type="dxa"/>
            <w:tcBorders>
              <w:top w:val="single" w:sz="4" w:space="0" w:color="4472C4"/>
              <w:left w:val="nil"/>
              <w:bottom w:val="nil"/>
              <w:right w:val="nil"/>
            </w:tcBorders>
            <w:shd w:val="clear" w:color="000000" w:fill="D9E1F2"/>
            <w:noWrap/>
            <w:hideMark/>
          </w:tcPr>
          <w:p w14:paraId="627FB6AE" w14:textId="71F7FFC1" w:rsidR="001B16DD" w:rsidRPr="00C71268" w:rsidRDefault="001B16DD" w:rsidP="00C71268">
            <w:pPr>
              <w:spacing w:after="0" w:line="240" w:lineRule="auto"/>
              <w:rPr>
                <w:rFonts w:ascii="Calibri" w:hAnsi="Calibri"/>
                <w:color w:val="000000"/>
                <w:lang w:val="es-ES"/>
              </w:rPr>
            </w:pPr>
            <w:proofErr w:type="spellStart"/>
            <w:r w:rsidRPr="00A13F0D">
              <w:rPr>
                <w:rFonts w:ascii="Calibri" w:eastAsia="Times New Roman" w:hAnsi="Calibri" w:cs="Calibri"/>
                <w:color w:val="000000"/>
                <w:lang w:val="es-ES"/>
              </w:rPr>
              <w:t>Regulamento</w:t>
            </w:r>
            <w:proofErr w:type="spellEnd"/>
            <w:r w:rsidRPr="00A13F0D">
              <w:rPr>
                <w:rFonts w:ascii="Calibri" w:eastAsia="Times New Roman" w:hAnsi="Calibri" w:cs="Calibri"/>
                <w:color w:val="000000"/>
                <w:lang w:val="es-ES"/>
              </w:rPr>
              <w:t xml:space="preserve"> </w:t>
            </w:r>
            <w:proofErr w:type="spellStart"/>
            <w:r w:rsidRPr="00A13F0D">
              <w:rPr>
                <w:rFonts w:ascii="Calibri" w:eastAsia="Times New Roman" w:hAnsi="Calibri" w:cs="Calibri"/>
                <w:color w:val="000000"/>
                <w:lang w:val="es-ES"/>
              </w:rPr>
              <w:t>Sanitário</w:t>
            </w:r>
            <w:proofErr w:type="spellEnd"/>
            <w:r w:rsidRPr="00C71268">
              <w:rPr>
                <w:rFonts w:ascii="Calibri" w:hAnsi="Calibri"/>
                <w:color w:val="000000"/>
                <w:lang w:val="es-ES"/>
              </w:rPr>
              <w:t xml:space="preserve"> Internacional (</w:t>
            </w:r>
            <w:r w:rsidRPr="00C71268">
              <w:rPr>
                <w:rFonts w:ascii="Calibri" w:hAnsi="Calibri" w:cs="Calibri"/>
                <w:color w:val="000000"/>
                <w:cs/>
              </w:rPr>
              <w:t>‎</w:t>
            </w:r>
            <w:r w:rsidRPr="00C71268">
              <w:rPr>
                <w:rFonts w:ascii="Calibri" w:hAnsi="Calibri"/>
                <w:color w:val="000000"/>
                <w:lang w:val="es-ES"/>
              </w:rPr>
              <w:t>2005)</w:t>
            </w:r>
            <w:r w:rsidRPr="00C71268">
              <w:rPr>
                <w:rFonts w:ascii="Calibri" w:hAnsi="Calibri" w:cs="Calibri"/>
                <w:color w:val="000000"/>
                <w:cs/>
              </w:rPr>
              <w:t>‎</w:t>
            </w:r>
            <w:r w:rsidRPr="00C71268">
              <w:rPr>
                <w:rFonts w:ascii="Calibri" w:hAnsi="Calibri"/>
                <w:color w:val="000000"/>
                <w:lang w:val="es-ES"/>
              </w:rPr>
              <w:t xml:space="preserve">: </w:t>
            </w:r>
            <w:proofErr w:type="spellStart"/>
            <w:r w:rsidRPr="00A13F0D">
              <w:rPr>
                <w:rFonts w:ascii="Calibri" w:eastAsia="Times New Roman" w:hAnsi="Calibri" w:cs="Calibri"/>
                <w:color w:val="000000"/>
                <w:lang w:val="es-ES"/>
              </w:rPr>
              <w:t>ferramenta</w:t>
            </w:r>
            <w:proofErr w:type="spellEnd"/>
            <w:r w:rsidRPr="00C71268">
              <w:rPr>
                <w:rFonts w:ascii="Calibri" w:hAnsi="Calibri"/>
                <w:color w:val="000000"/>
                <w:lang w:val="es-ES"/>
              </w:rPr>
              <w:t xml:space="preserve"> de </w:t>
            </w:r>
            <w:proofErr w:type="spellStart"/>
            <w:r w:rsidRPr="00A13F0D">
              <w:rPr>
                <w:rFonts w:ascii="Calibri" w:eastAsia="Times New Roman" w:hAnsi="Calibri" w:cs="Calibri"/>
                <w:color w:val="000000"/>
                <w:lang w:val="es-ES"/>
              </w:rPr>
              <w:t>auto-avaliação</w:t>
            </w:r>
            <w:proofErr w:type="spellEnd"/>
            <w:r w:rsidRPr="00A13F0D">
              <w:rPr>
                <w:rFonts w:ascii="Calibri" w:eastAsia="Times New Roman" w:hAnsi="Calibri" w:cs="Calibri"/>
                <w:color w:val="000000"/>
                <w:lang w:val="es-ES"/>
              </w:rPr>
              <w:t xml:space="preserve"> e </w:t>
            </w:r>
            <w:proofErr w:type="spellStart"/>
            <w:r w:rsidRPr="00A13F0D">
              <w:rPr>
                <w:rFonts w:ascii="Calibri" w:eastAsia="Times New Roman" w:hAnsi="Calibri" w:cs="Calibri"/>
                <w:color w:val="000000"/>
                <w:lang w:val="es-ES"/>
              </w:rPr>
              <w:t>relatório</w:t>
            </w:r>
            <w:proofErr w:type="spellEnd"/>
            <w:r w:rsidRPr="00C71268">
              <w:rPr>
                <w:rFonts w:ascii="Calibri" w:hAnsi="Calibri"/>
                <w:color w:val="000000"/>
                <w:lang w:val="es-ES"/>
              </w:rPr>
              <w:t xml:space="preserve"> anual </w:t>
            </w:r>
            <w:r w:rsidRPr="00A13F0D">
              <w:rPr>
                <w:rFonts w:ascii="Calibri" w:eastAsia="Times New Roman" w:hAnsi="Calibri" w:cs="Calibri"/>
                <w:color w:val="000000"/>
                <w:lang w:val="es-ES"/>
              </w:rPr>
              <w:t>dos</w:t>
            </w:r>
            <w:r w:rsidRPr="00C71268">
              <w:rPr>
                <w:rFonts w:ascii="Calibri" w:hAnsi="Calibri"/>
                <w:color w:val="000000"/>
                <w:lang w:val="es-ES"/>
              </w:rPr>
              <w:t xml:space="preserve"> </w:t>
            </w:r>
            <w:proofErr w:type="gramStart"/>
            <w:r w:rsidRPr="00C71268">
              <w:rPr>
                <w:rFonts w:ascii="Calibri" w:hAnsi="Calibri"/>
                <w:color w:val="000000"/>
                <w:lang w:val="es-ES"/>
              </w:rPr>
              <w:t>Estados Partes</w:t>
            </w:r>
            <w:proofErr w:type="gramEnd"/>
            <w:r w:rsidRPr="00A13F0D">
              <w:rPr>
                <w:rFonts w:ascii="Calibri" w:eastAsia="Times New Roman" w:hAnsi="Calibri" w:cs="Calibri"/>
                <w:color w:val="000000"/>
                <w:lang w:val="es-ES"/>
              </w:rPr>
              <w:t xml:space="preserve">, segunda </w:t>
            </w:r>
            <w:proofErr w:type="spellStart"/>
            <w:r w:rsidRPr="00A13F0D">
              <w:rPr>
                <w:rFonts w:ascii="Calibri" w:eastAsia="Times New Roman" w:hAnsi="Calibri" w:cs="Calibri"/>
                <w:color w:val="000000"/>
                <w:lang w:val="es-ES"/>
              </w:rPr>
              <w:t>edição</w:t>
            </w:r>
            <w:proofErr w:type="spellEnd"/>
          </w:p>
        </w:tc>
        <w:tc>
          <w:tcPr>
            <w:tcW w:w="1236" w:type="dxa"/>
            <w:gridSpan w:val="7"/>
            <w:tcBorders>
              <w:top w:val="single" w:sz="4" w:space="0" w:color="4472C4"/>
              <w:left w:val="nil"/>
              <w:bottom w:val="nil"/>
              <w:right w:val="nil"/>
            </w:tcBorders>
            <w:shd w:val="clear" w:color="000000" w:fill="D9E1F2"/>
            <w:vAlign w:val="center"/>
          </w:tcPr>
          <w:p w14:paraId="305F1A60" w14:textId="3C3D55D7" w:rsidR="001B16DD" w:rsidRPr="00C71268" w:rsidRDefault="001B16DD" w:rsidP="00C71268">
            <w:pPr>
              <w:spacing w:after="0" w:line="240" w:lineRule="auto"/>
              <w:rPr>
                <w:rFonts w:ascii="Calibri" w:hAnsi="Calibri"/>
                <w:color w:val="000000"/>
              </w:rPr>
            </w:pPr>
            <w:r>
              <w:rPr>
                <w:rFonts w:ascii="Calibri" w:hAnsi="Calibri" w:cs="Calibri"/>
                <w:color w:val="000000"/>
              </w:rPr>
              <w:t>Portuguese</w:t>
            </w:r>
          </w:p>
        </w:tc>
        <w:tc>
          <w:tcPr>
            <w:tcW w:w="3678" w:type="dxa"/>
            <w:tcBorders>
              <w:top w:val="single" w:sz="4" w:space="0" w:color="4472C4"/>
              <w:left w:val="nil"/>
              <w:bottom w:val="nil"/>
              <w:right w:val="nil"/>
            </w:tcBorders>
            <w:shd w:val="clear" w:color="000000" w:fill="D9E1F2"/>
            <w:vAlign w:val="bottom"/>
          </w:tcPr>
          <w:p w14:paraId="2D009E38" w14:textId="1812FF03" w:rsidR="001B16DD" w:rsidRPr="00C71268" w:rsidRDefault="00000000" w:rsidP="00C71268">
            <w:pPr>
              <w:spacing w:after="0" w:line="240" w:lineRule="auto"/>
              <w:rPr>
                <w:rFonts w:ascii="Calibri" w:hAnsi="Calibri"/>
                <w:color w:val="000000"/>
              </w:rPr>
            </w:pPr>
            <w:hyperlink r:id="rId30" w:history="1">
              <w:r w:rsidR="001B16DD" w:rsidRPr="001B16DD">
                <w:rPr>
                  <w:rStyle w:val="Hyperlink"/>
                  <w:rFonts w:ascii="Calibri" w:hAnsi="Calibri" w:cs="Calibri"/>
                </w:rPr>
                <w:t>https://www.who.int/pt/publications/i/item/9789240040120</w:t>
              </w:r>
            </w:hyperlink>
          </w:p>
        </w:tc>
      </w:tr>
      <w:tr w:rsidR="00A00A39" w:rsidRPr="001B16DD" w14:paraId="69D07721" w14:textId="0BC29101" w:rsidTr="00BA24ED">
        <w:trPr>
          <w:trHeight w:val="315"/>
        </w:trPr>
        <w:tc>
          <w:tcPr>
            <w:tcW w:w="4112" w:type="dxa"/>
            <w:tcBorders>
              <w:top w:val="single" w:sz="4" w:space="0" w:color="4472C4"/>
              <w:left w:val="nil"/>
              <w:bottom w:val="nil"/>
              <w:right w:val="nil"/>
            </w:tcBorders>
            <w:shd w:val="clear" w:color="000000" w:fill="D9E1F2"/>
            <w:noWrap/>
            <w:hideMark/>
          </w:tcPr>
          <w:p w14:paraId="2A0A57A1" w14:textId="25804412" w:rsidR="001B16DD" w:rsidRPr="00C71268" w:rsidRDefault="001B16DD" w:rsidP="00C71268">
            <w:pPr>
              <w:bidi/>
              <w:spacing w:after="0" w:line="240" w:lineRule="auto"/>
              <w:jc w:val="right"/>
              <w:rPr>
                <w:rFonts w:ascii="Calibri" w:hAnsi="Calibri"/>
                <w:color w:val="000000"/>
              </w:rPr>
            </w:pPr>
            <w:r w:rsidRPr="00C71268">
              <w:rPr>
                <w:rFonts w:ascii="Calibri" w:hAnsi="Calibri" w:cs="Calibri"/>
                <w:color w:val="000000"/>
                <w:rtl/>
              </w:rPr>
              <w:t xml:space="preserve">اللوائح الصحية الدولية (2005): أداة </w:t>
            </w:r>
            <w:r w:rsidRPr="001B16DD">
              <w:rPr>
                <w:rFonts w:ascii="Calibri" w:eastAsia="Times New Roman" w:hAnsi="Calibri" w:cs="Calibri"/>
                <w:color w:val="000000"/>
                <w:rtl/>
              </w:rPr>
              <w:t>إعداد التقارير السنوية</w:t>
            </w:r>
            <w:r w:rsidRPr="00C71268">
              <w:rPr>
                <w:rFonts w:ascii="Calibri" w:hAnsi="Calibri" w:cs="Calibri"/>
                <w:color w:val="000000"/>
                <w:rtl/>
              </w:rPr>
              <w:t xml:space="preserve"> للتقييم الذاتي </w:t>
            </w:r>
            <w:r w:rsidRPr="001B16DD">
              <w:rPr>
                <w:rFonts w:ascii="Calibri" w:eastAsia="Times New Roman" w:hAnsi="Calibri" w:cs="Calibri"/>
                <w:color w:val="000000"/>
                <w:rtl/>
              </w:rPr>
              <w:t xml:space="preserve">للدولة </w:t>
            </w:r>
            <w:proofErr w:type="gramStart"/>
            <w:r w:rsidRPr="001B16DD">
              <w:rPr>
                <w:rFonts w:ascii="Calibri" w:eastAsia="Times New Roman" w:hAnsi="Calibri" w:cs="Calibri"/>
                <w:color w:val="000000"/>
                <w:rtl/>
              </w:rPr>
              <w:t>الطرف ،</w:t>
            </w:r>
            <w:proofErr w:type="gramEnd"/>
            <w:r w:rsidRPr="001B16DD">
              <w:rPr>
                <w:rFonts w:ascii="Calibri" w:eastAsia="Times New Roman" w:hAnsi="Calibri" w:cs="Calibri"/>
                <w:color w:val="000000"/>
                <w:rtl/>
              </w:rPr>
              <w:t xml:space="preserve"> الإصدار الثاني</w:t>
            </w:r>
          </w:p>
        </w:tc>
        <w:tc>
          <w:tcPr>
            <w:tcW w:w="1236" w:type="dxa"/>
            <w:gridSpan w:val="7"/>
            <w:tcBorders>
              <w:top w:val="single" w:sz="4" w:space="0" w:color="4472C4"/>
              <w:left w:val="nil"/>
              <w:bottom w:val="nil"/>
              <w:right w:val="nil"/>
            </w:tcBorders>
            <w:shd w:val="clear" w:color="000000" w:fill="D9E1F2"/>
            <w:vAlign w:val="center"/>
          </w:tcPr>
          <w:p w14:paraId="15179C90" w14:textId="207B755F" w:rsidR="001B16DD" w:rsidRPr="00C71268" w:rsidRDefault="001B16DD" w:rsidP="00C71268">
            <w:pPr>
              <w:bidi/>
              <w:spacing w:after="0" w:line="240" w:lineRule="auto"/>
              <w:jc w:val="right"/>
              <w:rPr>
                <w:rFonts w:ascii="Calibri" w:hAnsi="Calibri" w:cs="Calibri"/>
                <w:color w:val="000000"/>
                <w:rtl/>
              </w:rPr>
            </w:pPr>
            <w:r w:rsidRPr="00C71268">
              <w:rPr>
                <w:rFonts w:ascii="Calibri" w:hAnsi="Calibri"/>
                <w:color w:val="000000"/>
              </w:rPr>
              <w:t>Arabic</w:t>
            </w:r>
          </w:p>
        </w:tc>
        <w:tc>
          <w:tcPr>
            <w:tcW w:w="3678" w:type="dxa"/>
            <w:tcBorders>
              <w:top w:val="single" w:sz="4" w:space="0" w:color="4472C4"/>
              <w:left w:val="nil"/>
              <w:bottom w:val="nil"/>
              <w:right w:val="nil"/>
            </w:tcBorders>
            <w:shd w:val="clear" w:color="000000" w:fill="D9E1F2"/>
            <w:vAlign w:val="bottom"/>
          </w:tcPr>
          <w:p w14:paraId="424191DB" w14:textId="44C03D62" w:rsidR="001B16DD" w:rsidRPr="00C71268" w:rsidRDefault="00000000" w:rsidP="00C71268">
            <w:pPr>
              <w:bidi/>
              <w:spacing w:after="0" w:line="240" w:lineRule="auto"/>
              <w:jc w:val="right"/>
              <w:rPr>
                <w:rFonts w:ascii="Calibri" w:hAnsi="Calibri" w:cs="Calibri"/>
                <w:color w:val="000000"/>
                <w:rtl/>
              </w:rPr>
            </w:pPr>
            <w:hyperlink r:id="rId31" w:history="1">
              <w:r w:rsidR="001B16DD">
                <w:rPr>
                  <w:rStyle w:val="Hyperlink"/>
                  <w:rFonts w:ascii="Calibri" w:hAnsi="Calibri" w:cs="Calibri"/>
                </w:rPr>
                <w:t>https://www.who.int/ar/publications/i/item/9789240040120</w:t>
              </w:r>
            </w:hyperlink>
          </w:p>
        </w:tc>
      </w:tr>
      <w:tr w:rsidR="00A00A39" w:rsidRPr="002334B6" w14:paraId="5DAC1DE3" w14:textId="688544C4" w:rsidTr="001B16DD">
        <w:trPr>
          <w:trHeight w:val="315"/>
        </w:trPr>
        <w:tc>
          <w:tcPr>
            <w:tcW w:w="4112" w:type="dxa"/>
            <w:gridSpan w:val="3"/>
            <w:tcBorders>
              <w:top w:val="single" w:sz="4" w:space="0" w:color="4472C4"/>
              <w:left w:val="nil"/>
              <w:bottom w:val="nil"/>
              <w:right w:val="nil"/>
            </w:tcBorders>
            <w:shd w:val="clear" w:color="000000" w:fill="D9E1F2"/>
            <w:noWrap/>
            <w:hideMark/>
          </w:tcPr>
          <w:p w14:paraId="7D771D4D" w14:textId="11ED4FFD" w:rsidR="001B16DD" w:rsidRPr="00C71268" w:rsidRDefault="001B16DD" w:rsidP="00C71268">
            <w:pPr>
              <w:spacing w:after="0" w:line="240" w:lineRule="auto"/>
              <w:rPr>
                <w:rFonts w:ascii="Calibri" w:hAnsi="Calibri" w:cs="Calibri"/>
                <w:color w:val="000000"/>
                <w:rtl/>
              </w:rPr>
            </w:pPr>
            <w:r w:rsidRPr="001B16DD">
              <w:rPr>
                <w:rFonts w:ascii="MS Gothic" w:eastAsia="MS Gothic" w:hAnsi="MS Gothic" w:cs="MS Gothic"/>
                <w:color w:val="000000"/>
              </w:rPr>
              <w:t>国</w:t>
            </w:r>
            <w:r w:rsidRPr="001B16DD">
              <w:rPr>
                <w:rFonts w:ascii="Microsoft JhengHei" w:eastAsia="Microsoft JhengHei" w:hAnsi="Microsoft JhengHei" w:cs="Microsoft JhengHei"/>
                <w:color w:val="000000"/>
              </w:rPr>
              <w:t>际卫生条例（</w:t>
            </w:r>
            <w:r w:rsidRPr="001B16DD">
              <w:rPr>
                <w:rFonts w:ascii="Calibri" w:eastAsia="Times New Roman" w:hAnsi="Calibri" w:cs="Calibri"/>
                <w:color w:val="000000"/>
              </w:rPr>
              <w:t>2005)</w:t>
            </w:r>
            <w:r w:rsidRPr="001B16DD">
              <w:rPr>
                <w:rFonts w:ascii="Calibri" w:eastAsia="Times New Roman" w:hAnsi="Calibri" w:cs="Calibri"/>
                <w:color w:val="000000"/>
                <w:cs/>
              </w:rPr>
              <w:t>‎</w:t>
            </w:r>
            <w:r w:rsidRPr="001B16DD">
              <w:rPr>
                <w:rFonts w:ascii="Calibri" w:eastAsia="Times New Roman" w:hAnsi="Calibri" w:cs="Calibri"/>
                <w:color w:val="000000"/>
              </w:rPr>
              <w:t xml:space="preserve">: </w:t>
            </w:r>
            <w:r w:rsidRPr="00C71268">
              <w:rPr>
                <w:rFonts w:ascii="Microsoft JhengHei" w:hAnsi="Microsoft JhengHei" w:hint="eastAsia"/>
                <w:color w:val="000000"/>
              </w:rPr>
              <w:t>缔约国自评年度报告工具</w:t>
            </w:r>
            <w:r w:rsidRPr="001B16DD">
              <w:rPr>
                <w:rFonts w:ascii="Calibri" w:eastAsia="Times New Roman" w:hAnsi="Calibri" w:cs="Calibri"/>
                <w:color w:val="000000"/>
              </w:rPr>
              <w:t xml:space="preserve">, </w:t>
            </w:r>
            <w:r w:rsidRPr="001B16DD">
              <w:rPr>
                <w:rFonts w:ascii="MS Gothic" w:eastAsia="MS Gothic" w:hAnsi="MS Gothic" w:cs="MS Gothic"/>
                <w:color w:val="000000"/>
              </w:rPr>
              <w:t>第二版</w:t>
            </w:r>
          </w:p>
        </w:tc>
        <w:tc>
          <w:tcPr>
            <w:tcW w:w="1236" w:type="dxa"/>
            <w:gridSpan w:val="2"/>
            <w:tcBorders>
              <w:top w:val="single" w:sz="4" w:space="0" w:color="4472C4"/>
              <w:left w:val="nil"/>
              <w:bottom w:val="nil"/>
              <w:right w:val="nil"/>
            </w:tcBorders>
            <w:shd w:val="clear" w:color="000000" w:fill="D9E1F2"/>
            <w:vAlign w:val="center"/>
          </w:tcPr>
          <w:p w14:paraId="6EB33FFE" w14:textId="3B5286CB" w:rsidR="001B16DD" w:rsidRPr="00C71268" w:rsidRDefault="001B16DD" w:rsidP="00C71268">
            <w:pPr>
              <w:spacing w:after="0" w:line="240" w:lineRule="auto"/>
              <w:rPr>
                <w:rFonts w:ascii="MS Gothic" w:hAnsi="MS Gothic"/>
                <w:color w:val="000000"/>
              </w:rPr>
            </w:pPr>
            <w:r w:rsidRPr="00C71268">
              <w:rPr>
                <w:rFonts w:ascii="Calibri" w:hAnsi="Calibri"/>
                <w:color w:val="000000"/>
              </w:rPr>
              <w:t>Chinese</w:t>
            </w:r>
          </w:p>
        </w:tc>
        <w:tc>
          <w:tcPr>
            <w:tcW w:w="3678" w:type="dxa"/>
            <w:gridSpan w:val="4"/>
            <w:tcBorders>
              <w:top w:val="single" w:sz="4" w:space="0" w:color="4472C4"/>
              <w:left w:val="nil"/>
              <w:bottom w:val="nil"/>
              <w:right w:val="nil"/>
            </w:tcBorders>
            <w:shd w:val="clear" w:color="000000" w:fill="D9E1F2"/>
            <w:vAlign w:val="bottom"/>
          </w:tcPr>
          <w:p w14:paraId="5BABF49C" w14:textId="58224A9E" w:rsidR="001B16DD" w:rsidRPr="00C71268" w:rsidRDefault="00000000" w:rsidP="00C71268">
            <w:pPr>
              <w:spacing w:after="0" w:line="240" w:lineRule="auto"/>
              <w:rPr>
                <w:rFonts w:ascii="MS Gothic" w:hAnsi="MS Gothic"/>
                <w:color w:val="000000"/>
              </w:rPr>
            </w:pPr>
            <w:hyperlink r:id="rId32" w:history="1">
              <w:r w:rsidR="001B16DD" w:rsidRPr="001B16DD">
                <w:rPr>
                  <w:rStyle w:val="Hyperlink"/>
                  <w:rFonts w:ascii="Calibri" w:hAnsi="Calibri" w:cs="Calibri"/>
                </w:rPr>
                <w:t>https://www.who.int/zh/publications/i/item/9789240040120</w:t>
              </w:r>
            </w:hyperlink>
          </w:p>
        </w:tc>
      </w:tr>
      <w:tr w:rsidR="001B16DD" w:rsidRPr="002334B6" w14:paraId="3505BA50" w14:textId="6ED3E39A" w:rsidTr="001B16DD">
        <w:trPr>
          <w:trHeight w:val="420"/>
        </w:trPr>
        <w:tc>
          <w:tcPr>
            <w:tcW w:w="4112" w:type="dxa"/>
            <w:gridSpan w:val="4"/>
            <w:tcBorders>
              <w:top w:val="single" w:sz="4" w:space="0" w:color="4472C4"/>
              <w:left w:val="nil"/>
              <w:bottom w:val="nil"/>
              <w:right w:val="nil"/>
            </w:tcBorders>
            <w:shd w:val="clear" w:color="000000" w:fill="D9E1F2"/>
            <w:noWrap/>
            <w:hideMark/>
          </w:tcPr>
          <w:p w14:paraId="2F0384AD" w14:textId="77777777" w:rsidR="001B16DD" w:rsidRPr="00A13F0D" w:rsidRDefault="001B16DD" w:rsidP="001B16DD">
            <w:pPr>
              <w:spacing w:after="0" w:line="240" w:lineRule="auto"/>
              <w:rPr>
                <w:rFonts w:ascii="Calibri" w:eastAsia="Times New Roman" w:hAnsi="Calibri" w:cs="Calibri"/>
                <w:color w:val="000000"/>
                <w:lang w:val="es-ES"/>
              </w:rPr>
            </w:pPr>
            <w:r w:rsidRPr="00A13F0D">
              <w:rPr>
                <w:rFonts w:ascii="Calibri" w:eastAsia="Times New Roman" w:hAnsi="Calibri" w:cs="Calibri"/>
                <w:color w:val="000000"/>
                <w:lang w:val="es-ES"/>
              </w:rPr>
              <w:t>Reglamento sanitario internacional (</w:t>
            </w:r>
            <w:r w:rsidRPr="001B16DD">
              <w:rPr>
                <w:rFonts w:ascii="Calibri" w:eastAsia="Times New Roman" w:hAnsi="Calibri" w:cs="Calibri"/>
                <w:color w:val="000000"/>
                <w:cs/>
              </w:rPr>
              <w:t>‎</w:t>
            </w:r>
            <w:r w:rsidRPr="00A13F0D">
              <w:rPr>
                <w:rFonts w:ascii="Calibri" w:eastAsia="Times New Roman" w:hAnsi="Calibri" w:cs="Calibri"/>
                <w:color w:val="000000"/>
                <w:lang w:val="es-ES"/>
              </w:rPr>
              <w:t>2005)</w:t>
            </w:r>
            <w:r w:rsidRPr="001B16DD">
              <w:rPr>
                <w:rFonts w:ascii="Calibri" w:eastAsia="Times New Roman" w:hAnsi="Calibri" w:cs="Calibri"/>
                <w:color w:val="000000"/>
                <w:cs/>
              </w:rPr>
              <w:t>‎</w:t>
            </w:r>
            <w:r w:rsidRPr="00A13F0D">
              <w:rPr>
                <w:rFonts w:ascii="Calibri" w:eastAsia="Times New Roman" w:hAnsi="Calibri" w:cs="Calibri"/>
                <w:color w:val="000000"/>
                <w:lang w:val="es-ES"/>
              </w:rPr>
              <w:t xml:space="preserve">: instrumento de autoevaluación para la </w:t>
            </w:r>
            <w:r w:rsidRPr="00A13F0D">
              <w:rPr>
                <w:rFonts w:ascii="Calibri" w:eastAsia="Times New Roman" w:hAnsi="Calibri" w:cs="Calibri"/>
                <w:color w:val="000000"/>
                <w:lang w:val="es-ES"/>
              </w:rPr>
              <w:lastRenderedPageBreak/>
              <w:t xml:space="preserve">presentación anual de informes de los </w:t>
            </w:r>
            <w:proofErr w:type="gramStart"/>
            <w:r w:rsidRPr="00A13F0D">
              <w:rPr>
                <w:rFonts w:ascii="Calibri" w:eastAsia="Times New Roman" w:hAnsi="Calibri" w:cs="Calibri"/>
                <w:color w:val="000000"/>
                <w:lang w:val="es-ES"/>
              </w:rPr>
              <w:t>estados partes</w:t>
            </w:r>
            <w:proofErr w:type="gramEnd"/>
            <w:r w:rsidRPr="00A13F0D">
              <w:rPr>
                <w:rFonts w:ascii="Calibri" w:eastAsia="Times New Roman" w:hAnsi="Calibri" w:cs="Calibri"/>
                <w:color w:val="000000"/>
                <w:lang w:val="es-ES"/>
              </w:rPr>
              <w:t xml:space="preserve">, 2a </w:t>
            </w:r>
            <w:proofErr w:type="spellStart"/>
            <w:r w:rsidRPr="00A13F0D">
              <w:rPr>
                <w:rFonts w:ascii="Calibri" w:eastAsia="Times New Roman" w:hAnsi="Calibri" w:cs="Calibri"/>
                <w:color w:val="000000"/>
                <w:lang w:val="es-ES"/>
              </w:rPr>
              <w:t>ed</w:t>
            </w:r>
            <w:proofErr w:type="spellEnd"/>
          </w:p>
        </w:tc>
        <w:tc>
          <w:tcPr>
            <w:tcW w:w="1236" w:type="dxa"/>
            <w:gridSpan w:val="2"/>
            <w:tcBorders>
              <w:top w:val="single" w:sz="4" w:space="0" w:color="4472C4"/>
              <w:left w:val="nil"/>
              <w:bottom w:val="nil"/>
              <w:right w:val="nil"/>
            </w:tcBorders>
            <w:shd w:val="clear" w:color="000000" w:fill="D9E1F2"/>
            <w:vAlign w:val="center"/>
          </w:tcPr>
          <w:p w14:paraId="4FFE1BA7" w14:textId="6809E5F2" w:rsidR="001B16DD" w:rsidRPr="001B16DD" w:rsidRDefault="001B16DD" w:rsidP="001B16DD">
            <w:pPr>
              <w:spacing w:after="0" w:line="240" w:lineRule="auto"/>
              <w:rPr>
                <w:rFonts w:ascii="Calibri" w:eastAsia="Times New Roman" w:hAnsi="Calibri" w:cs="Calibri"/>
                <w:color w:val="000000"/>
              </w:rPr>
            </w:pPr>
            <w:r>
              <w:rPr>
                <w:rFonts w:ascii="Calibri" w:hAnsi="Calibri" w:cs="Calibri"/>
                <w:color w:val="000000"/>
              </w:rPr>
              <w:lastRenderedPageBreak/>
              <w:t>Spanish</w:t>
            </w:r>
          </w:p>
        </w:tc>
        <w:tc>
          <w:tcPr>
            <w:tcW w:w="3678" w:type="dxa"/>
            <w:gridSpan w:val="3"/>
            <w:tcBorders>
              <w:top w:val="single" w:sz="4" w:space="0" w:color="4472C4"/>
              <w:left w:val="nil"/>
              <w:bottom w:val="nil"/>
              <w:right w:val="nil"/>
            </w:tcBorders>
            <w:shd w:val="clear" w:color="000000" w:fill="D9E1F2"/>
            <w:vAlign w:val="bottom"/>
          </w:tcPr>
          <w:p w14:paraId="51CF9077" w14:textId="08EAC30E" w:rsidR="001B16DD" w:rsidRPr="001B16DD" w:rsidRDefault="00000000" w:rsidP="001B16DD">
            <w:pPr>
              <w:spacing w:after="0" w:line="240" w:lineRule="auto"/>
              <w:rPr>
                <w:rFonts w:ascii="Calibri" w:eastAsia="Times New Roman" w:hAnsi="Calibri" w:cs="Calibri"/>
                <w:color w:val="000000"/>
              </w:rPr>
            </w:pPr>
            <w:hyperlink r:id="rId33" w:history="1">
              <w:r w:rsidR="001B16DD" w:rsidRPr="001B16DD">
                <w:rPr>
                  <w:rStyle w:val="Hyperlink"/>
                  <w:rFonts w:ascii="Calibri" w:hAnsi="Calibri" w:cs="Calibri"/>
                </w:rPr>
                <w:t>https://www.who.int/es/publications/i/item/9789240040120</w:t>
              </w:r>
            </w:hyperlink>
          </w:p>
        </w:tc>
      </w:tr>
    </w:tbl>
    <w:p w14:paraId="00FDB761" w14:textId="27B0F4DD" w:rsidR="00A263E0" w:rsidRDefault="00A263E0" w:rsidP="00A263E0"/>
    <w:tbl>
      <w:tblPr>
        <w:tblW w:w="9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0"/>
        <w:gridCol w:w="1236"/>
        <w:gridCol w:w="5600"/>
      </w:tblGrid>
      <w:tr w:rsidR="001B16DD" w:rsidRPr="002334B6" w14:paraId="2EFA63C9" w14:textId="77777777" w:rsidTr="00BA24ED">
        <w:trPr>
          <w:trHeight w:val="2520"/>
        </w:trPr>
        <w:tc>
          <w:tcPr>
            <w:tcW w:w="2190" w:type="dxa"/>
            <w:shd w:val="clear" w:color="000000" w:fill="D9E1F2"/>
            <w:hideMark/>
          </w:tcPr>
          <w:p w14:paraId="5CC4A466" w14:textId="3584255B" w:rsidR="001B16DD" w:rsidRPr="001B16DD" w:rsidRDefault="001B16DD" w:rsidP="001B16DD">
            <w:pPr>
              <w:spacing w:after="0" w:line="240" w:lineRule="auto"/>
              <w:rPr>
                <w:rFonts w:ascii="Calibri" w:eastAsia="Times New Roman" w:hAnsi="Calibri" w:cs="Calibri"/>
                <w:b/>
                <w:bCs/>
                <w:color w:val="000000"/>
              </w:rPr>
            </w:pPr>
            <w:r>
              <w:rPr>
                <w:rFonts w:ascii="Calibri" w:hAnsi="Calibri" w:cs="Calibri"/>
                <w:b/>
                <w:bCs/>
                <w:color w:val="000000"/>
              </w:rPr>
              <w:t>International health regulations (</w:t>
            </w:r>
            <w:r>
              <w:rPr>
                <w:rFonts w:ascii="Calibri" w:hAnsi="Calibri" w:cs="Calibri"/>
                <w:b/>
                <w:bCs/>
                <w:color w:val="000000"/>
                <w:cs/>
              </w:rPr>
              <w:t>‎</w:t>
            </w:r>
            <w:r>
              <w:rPr>
                <w:rFonts w:ascii="Calibri" w:hAnsi="Calibri" w:cs="Calibri"/>
                <w:b/>
                <w:bCs/>
                <w:color w:val="000000"/>
              </w:rPr>
              <w:t>2005)</w:t>
            </w:r>
            <w:r>
              <w:rPr>
                <w:rFonts w:ascii="Calibri" w:hAnsi="Calibri" w:cs="Calibri"/>
                <w:b/>
                <w:bCs/>
                <w:color w:val="000000"/>
                <w:cs/>
              </w:rPr>
              <w:t>‎</w:t>
            </w:r>
            <w:r>
              <w:rPr>
                <w:rFonts w:ascii="Calibri" w:hAnsi="Calibri" w:cs="Calibri"/>
                <w:b/>
                <w:bCs/>
                <w:color w:val="000000"/>
              </w:rPr>
              <w:t>: state party self-assessment annual reporting tool second edition: C11. Points of entry (</w:t>
            </w:r>
            <w:r>
              <w:rPr>
                <w:rFonts w:ascii="Calibri" w:hAnsi="Calibri" w:cs="Calibri"/>
                <w:b/>
                <w:bCs/>
                <w:color w:val="000000"/>
                <w:cs/>
              </w:rPr>
              <w:t>‎</w:t>
            </w:r>
            <w:r>
              <w:rPr>
                <w:rFonts w:ascii="Calibri" w:hAnsi="Calibri" w:cs="Calibri"/>
                <w:b/>
                <w:bCs/>
                <w:color w:val="000000"/>
              </w:rPr>
              <w:t>PoE)</w:t>
            </w:r>
            <w:r>
              <w:rPr>
                <w:rFonts w:ascii="Calibri" w:hAnsi="Calibri" w:cs="Calibri"/>
                <w:b/>
                <w:bCs/>
                <w:color w:val="000000"/>
                <w:cs/>
              </w:rPr>
              <w:t>‎</w:t>
            </w:r>
            <w:r>
              <w:rPr>
                <w:rFonts w:ascii="Calibri" w:hAnsi="Calibri" w:cs="Calibri"/>
                <w:b/>
                <w:bCs/>
                <w:color w:val="000000"/>
              </w:rPr>
              <w:t xml:space="preserve"> and border health</w:t>
            </w:r>
          </w:p>
        </w:tc>
        <w:tc>
          <w:tcPr>
            <w:tcW w:w="1213" w:type="dxa"/>
            <w:shd w:val="clear" w:color="000000" w:fill="D9E1F2"/>
            <w:vAlign w:val="center"/>
          </w:tcPr>
          <w:p w14:paraId="7EE3D7B5" w14:textId="0845D387" w:rsidR="001B16DD" w:rsidRPr="001B16DD" w:rsidRDefault="001B16DD" w:rsidP="001B16DD">
            <w:pPr>
              <w:spacing w:after="0" w:line="240" w:lineRule="auto"/>
              <w:rPr>
                <w:rFonts w:ascii="Calibri" w:eastAsia="Times New Roman" w:hAnsi="Calibri" w:cs="Calibri"/>
                <w:b/>
                <w:bCs/>
                <w:color w:val="000000"/>
              </w:rPr>
            </w:pPr>
            <w:r>
              <w:rPr>
                <w:rFonts w:ascii="Calibri" w:hAnsi="Calibri" w:cs="Calibri"/>
                <w:color w:val="000000"/>
              </w:rPr>
              <w:t>English</w:t>
            </w:r>
          </w:p>
        </w:tc>
        <w:tc>
          <w:tcPr>
            <w:tcW w:w="5623" w:type="dxa"/>
            <w:vMerge w:val="restart"/>
            <w:shd w:val="clear" w:color="000000" w:fill="D9E1F2"/>
            <w:vAlign w:val="center"/>
          </w:tcPr>
          <w:p w14:paraId="1E529233" w14:textId="77777777" w:rsidR="001B16DD" w:rsidRPr="001B16DD" w:rsidRDefault="00000000" w:rsidP="001B16DD">
            <w:pPr>
              <w:rPr>
                <w:rFonts w:ascii="Calibri" w:hAnsi="Calibri" w:cs="Calibri"/>
                <w:color w:val="0563C1"/>
                <w:u w:val="single"/>
              </w:rPr>
            </w:pPr>
            <w:hyperlink r:id="rId34" w:history="1">
              <w:r w:rsidR="001B16DD" w:rsidRPr="001B16DD">
                <w:rPr>
                  <w:rStyle w:val="Hyperlink"/>
                  <w:rFonts w:ascii="Calibri" w:hAnsi="Calibri" w:cs="Calibri"/>
                </w:rPr>
                <w:t>https://www.who.int/publications/i/item/WHO-WPE-HSP-CCI-CAP-2021.1</w:t>
              </w:r>
            </w:hyperlink>
          </w:p>
          <w:p w14:paraId="05D74839" w14:textId="2E1D2821" w:rsidR="001B16DD" w:rsidRPr="001B16DD" w:rsidRDefault="001B16DD" w:rsidP="001B16DD">
            <w:pPr>
              <w:spacing w:after="0" w:line="240" w:lineRule="auto"/>
              <w:rPr>
                <w:rFonts w:ascii="Calibri" w:eastAsia="Times New Roman" w:hAnsi="Calibri" w:cs="Calibri"/>
                <w:b/>
                <w:bCs/>
                <w:color w:val="000000"/>
              </w:rPr>
            </w:pPr>
          </w:p>
        </w:tc>
      </w:tr>
      <w:tr w:rsidR="001B16DD" w:rsidRPr="001B16DD" w14:paraId="2B23B843" w14:textId="77777777" w:rsidTr="00BA24ED">
        <w:trPr>
          <w:trHeight w:val="315"/>
        </w:trPr>
        <w:tc>
          <w:tcPr>
            <w:tcW w:w="2190" w:type="dxa"/>
            <w:shd w:val="clear" w:color="000000" w:fill="D9E1F2"/>
            <w:noWrap/>
            <w:hideMark/>
          </w:tcPr>
          <w:p w14:paraId="56D2EEE2" w14:textId="7F9A2FCD" w:rsidR="001B16DD" w:rsidRPr="001B16DD" w:rsidRDefault="001B16DD" w:rsidP="001B16DD">
            <w:pPr>
              <w:spacing w:after="0" w:line="240" w:lineRule="auto"/>
              <w:rPr>
                <w:rFonts w:ascii="Calibri" w:eastAsia="Times New Roman" w:hAnsi="Calibri" w:cs="Calibri"/>
                <w:color w:val="000000"/>
              </w:rPr>
            </w:pPr>
            <w:r>
              <w:rPr>
                <w:rFonts w:ascii="Calibri" w:hAnsi="Calibri" w:cs="Calibri"/>
                <w:color w:val="000000"/>
                <w:rtl/>
              </w:rPr>
              <w:t xml:space="preserve">اللوائح الصحية الدولية (2005): أداة إعداد التقارير السنوية للتقييم الذاتي للدولة </w:t>
            </w:r>
            <w:proofErr w:type="gramStart"/>
            <w:r>
              <w:rPr>
                <w:rFonts w:ascii="Calibri" w:hAnsi="Calibri" w:cs="Calibri"/>
                <w:color w:val="000000"/>
                <w:rtl/>
              </w:rPr>
              <w:t>الطرف ،</w:t>
            </w:r>
            <w:proofErr w:type="gramEnd"/>
            <w:r>
              <w:rPr>
                <w:rFonts w:ascii="Calibri" w:hAnsi="Calibri" w:cs="Calibri"/>
                <w:color w:val="000000"/>
                <w:rtl/>
              </w:rPr>
              <w:t xml:space="preserve"> الإصدار الثاني: </w:t>
            </w:r>
            <w:r w:rsidRPr="00AF508E">
              <w:rPr>
                <w:rFonts w:ascii="Calibri" w:hAnsi="Calibri" w:cs="Calibri"/>
                <w:color w:val="000000"/>
              </w:rPr>
              <w:t>C11</w:t>
            </w:r>
            <w:r>
              <w:rPr>
                <w:rFonts w:ascii="Calibri" w:hAnsi="Calibri" w:cs="Calibri"/>
                <w:color w:val="000000"/>
                <w:rtl/>
              </w:rPr>
              <w:t>. نقاط الدخول (</w:t>
            </w:r>
            <w:r w:rsidRPr="00AF508E">
              <w:rPr>
                <w:rFonts w:ascii="Calibri" w:hAnsi="Calibri" w:cs="Calibri"/>
                <w:color w:val="000000"/>
              </w:rPr>
              <w:t>PoE</w:t>
            </w:r>
            <w:r>
              <w:rPr>
                <w:rFonts w:ascii="Calibri" w:hAnsi="Calibri" w:cs="Calibri"/>
                <w:color w:val="000000"/>
                <w:rtl/>
              </w:rPr>
              <w:t>) وصحة الحدود</w:t>
            </w:r>
          </w:p>
        </w:tc>
        <w:tc>
          <w:tcPr>
            <w:tcW w:w="1213" w:type="dxa"/>
            <w:shd w:val="clear" w:color="000000" w:fill="D9E1F2"/>
            <w:vAlign w:val="center"/>
          </w:tcPr>
          <w:p w14:paraId="75233E46" w14:textId="52106078" w:rsidR="001B16DD" w:rsidRPr="001B16DD" w:rsidRDefault="001B16DD" w:rsidP="001B16DD">
            <w:pPr>
              <w:spacing w:after="0" w:line="240" w:lineRule="auto"/>
              <w:rPr>
                <w:rFonts w:ascii="Calibri" w:eastAsia="Times New Roman" w:hAnsi="Calibri" w:cs="Calibri"/>
                <w:color w:val="000000"/>
              </w:rPr>
            </w:pPr>
            <w:r>
              <w:rPr>
                <w:rFonts w:ascii="Calibri" w:hAnsi="Calibri" w:cs="Calibri"/>
                <w:color w:val="000000"/>
              </w:rPr>
              <w:t>Arabic</w:t>
            </w:r>
          </w:p>
        </w:tc>
        <w:tc>
          <w:tcPr>
            <w:tcW w:w="5623" w:type="dxa"/>
            <w:vMerge/>
            <w:shd w:val="clear" w:color="000000" w:fill="D9E1F2"/>
            <w:vAlign w:val="bottom"/>
          </w:tcPr>
          <w:p w14:paraId="6418EC07" w14:textId="6934E5C8" w:rsidR="001B16DD" w:rsidRPr="001B16DD" w:rsidRDefault="001B16DD" w:rsidP="001B16DD">
            <w:pPr>
              <w:spacing w:after="0" w:line="240" w:lineRule="auto"/>
              <w:rPr>
                <w:rFonts w:ascii="Calibri" w:eastAsia="Times New Roman" w:hAnsi="Calibri" w:cs="Calibri"/>
                <w:color w:val="000000"/>
              </w:rPr>
            </w:pPr>
          </w:p>
        </w:tc>
      </w:tr>
      <w:tr w:rsidR="001B16DD" w:rsidRPr="001B16DD" w14:paraId="6B76F673" w14:textId="77777777" w:rsidTr="00BA24ED">
        <w:trPr>
          <w:trHeight w:val="315"/>
        </w:trPr>
        <w:tc>
          <w:tcPr>
            <w:tcW w:w="2190" w:type="dxa"/>
            <w:shd w:val="clear" w:color="000000" w:fill="D9E1F2"/>
            <w:noWrap/>
            <w:hideMark/>
          </w:tcPr>
          <w:p w14:paraId="1460B583" w14:textId="22622ABC" w:rsidR="001B16DD" w:rsidRPr="001B16DD" w:rsidRDefault="001B16DD" w:rsidP="001B16DD">
            <w:pPr>
              <w:spacing w:after="0" w:line="240" w:lineRule="auto"/>
              <w:rPr>
                <w:rFonts w:ascii="Calibri" w:eastAsia="Times New Roman" w:hAnsi="Calibri" w:cs="Calibri"/>
                <w:color w:val="000000"/>
              </w:rPr>
            </w:pPr>
            <w:r w:rsidRPr="001B16DD">
              <w:rPr>
                <w:rFonts w:ascii="MS Gothic" w:eastAsia="MS Gothic" w:hAnsi="MS Gothic" w:cs="MS Gothic" w:hint="eastAsia"/>
                <w:color w:val="000000"/>
              </w:rPr>
              <w:t>《国</w:t>
            </w:r>
            <w:r w:rsidRPr="001B16DD">
              <w:rPr>
                <w:rFonts w:ascii="Microsoft JhengHei" w:eastAsia="Microsoft JhengHei" w:hAnsi="Microsoft JhengHei" w:cs="Microsoft JhengHei" w:hint="eastAsia"/>
                <w:color w:val="000000"/>
              </w:rPr>
              <w:t>际卫生条例（</w:t>
            </w:r>
            <w:r w:rsidRPr="001B16DD">
              <w:rPr>
                <w:rFonts w:ascii="Calibri" w:hAnsi="Calibri" w:cs="Calibri"/>
                <w:color w:val="000000"/>
              </w:rPr>
              <w:t>2005</w:t>
            </w:r>
            <w:r w:rsidRPr="001B16DD">
              <w:rPr>
                <w:rFonts w:ascii="MS Gothic" w:eastAsia="MS Gothic" w:hAnsi="MS Gothic" w:cs="MS Gothic" w:hint="eastAsia"/>
                <w:color w:val="000000"/>
              </w:rPr>
              <w:t>）》</w:t>
            </w:r>
            <w:r w:rsidRPr="001B16DD">
              <w:rPr>
                <w:rFonts w:ascii="Calibri" w:hAnsi="Calibri" w:cs="Calibri"/>
                <w:color w:val="000000"/>
              </w:rPr>
              <w:t xml:space="preserve">: </w:t>
            </w:r>
            <w:r w:rsidRPr="001B16DD">
              <w:rPr>
                <w:rFonts w:ascii="Microsoft JhengHei" w:eastAsia="Microsoft JhengHei" w:hAnsi="Microsoft JhengHei" w:cs="Microsoft JhengHei" w:hint="eastAsia"/>
                <w:color w:val="000000"/>
              </w:rPr>
              <w:t>缔约国自评年度报告工具</w:t>
            </w:r>
            <w:r w:rsidRPr="001B16DD">
              <w:rPr>
                <w:rFonts w:ascii="Calibri" w:hAnsi="Calibri" w:cs="Calibri"/>
                <w:color w:val="000000"/>
              </w:rPr>
              <w:t xml:space="preserve">, </w:t>
            </w:r>
            <w:r w:rsidRPr="001B16DD">
              <w:rPr>
                <w:rFonts w:ascii="MS Gothic" w:eastAsia="MS Gothic" w:hAnsi="MS Gothic" w:cs="MS Gothic" w:hint="eastAsia"/>
                <w:color w:val="000000"/>
              </w:rPr>
              <w:t>第二版：</w:t>
            </w:r>
            <w:r w:rsidRPr="001B16DD">
              <w:rPr>
                <w:rFonts w:ascii="Calibri" w:hAnsi="Calibri" w:cs="Calibri"/>
                <w:color w:val="000000"/>
              </w:rPr>
              <w:t>C11</w:t>
            </w:r>
            <w:r w:rsidRPr="001B16DD">
              <w:rPr>
                <w:rFonts w:ascii="MS Gothic" w:eastAsia="MS Gothic" w:hAnsi="MS Gothic" w:cs="MS Gothic" w:hint="eastAsia"/>
                <w:color w:val="000000"/>
              </w:rPr>
              <w:t>。</w:t>
            </w:r>
            <w:r w:rsidRPr="001B16DD">
              <w:rPr>
                <w:rFonts w:ascii="Calibri" w:hAnsi="Calibri" w:cs="Calibri"/>
                <w:color w:val="000000"/>
              </w:rPr>
              <w:t xml:space="preserve"> </w:t>
            </w:r>
            <w:r w:rsidRPr="001B16DD">
              <w:rPr>
                <w:rFonts w:ascii="MS Gothic" w:eastAsia="MS Gothic" w:hAnsi="MS Gothic" w:cs="MS Gothic" w:hint="eastAsia"/>
                <w:color w:val="000000"/>
              </w:rPr>
              <w:t>入境点</w:t>
            </w:r>
            <w:r w:rsidRPr="001B16DD">
              <w:rPr>
                <w:rFonts w:ascii="Calibri" w:hAnsi="Calibri" w:cs="Calibri"/>
                <w:color w:val="000000"/>
              </w:rPr>
              <w:t xml:space="preserve"> (</w:t>
            </w:r>
            <w:r>
              <w:rPr>
                <w:rFonts w:ascii="Calibri" w:hAnsi="Calibri" w:cs="Calibri"/>
                <w:color w:val="000000"/>
                <w:cs/>
              </w:rPr>
              <w:t>‎</w:t>
            </w:r>
            <w:r w:rsidRPr="001B16DD">
              <w:rPr>
                <w:rFonts w:ascii="Calibri" w:hAnsi="Calibri" w:cs="Calibri"/>
                <w:color w:val="000000"/>
              </w:rPr>
              <w:t>PoE)</w:t>
            </w:r>
            <w:r>
              <w:rPr>
                <w:rFonts w:ascii="Calibri" w:hAnsi="Calibri" w:cs="Calibri"/>
                <w:color w:val="000000"/>
                <w:cs/>
              </w:rPr>
              <w:t>‎</w:t>
            </w:r>
            <w:r w:rsidRPr="001B16DD">
              <w:rPr>
                <w:rFonts w:ascii="Calibri" w:hAnsi="Calibri" w:cs="Calibri"/>
                <w:color w:val="000000"/>
              </w:rPr>
              <w:t xml:space="preserve"> </w:t>
            </w:r>
            <w:r w:rsidRPr="001B16DD">
              <w:rPr>
                <w:rFonts w:ascii="MS Gothic" w:eastAsia="MS Gothic" w:hAnsi="MS Gothic" w:cs="MS Gothic" w:hint="eastAsia"/>
                <w:color w:val="000000"/>
              </w:rPr>
              <w:t>和</w:t>
            </w:r>
            <w:r w:rsidRPr="001B16DD">
              <w:rPr>
                <w:rFonts w:ascii="Microsoft JhengHei" w:eastAsia="Microsoft JhengHei" w:hAnsi="Microsoft JhengHei" w:cs="Microsoft JhengHei" w:hint="eastAsia"/>
                <w:color w:val="000000"/>
              </w:rPr>
              <w:t>边境卫</w:t>
            </w:r>
            <w:r w:rsidRPr="001B16DD">
              <w:rPr>
                <w:rFonts w:ascii="MS Gothic" w:eastAsia="MS Gothic" w:hAnsi="MS Gothic" w:cs="MS Gothic" w:hint="eastAsia"/>
                <w:color w:val="000000"/>
              </w:rPr>
              <w:t>生</w:t>
            </w:r>
          </w:p>
        </w:tc>
        <w:tc>
          <w:tcPr>
            <w:tcW w:w="1213" w:type="dxa"/>
            <w:shd w:val="clear" w:color="000000" w:fill="D9E1F2"/>
            <w:vAlign w:val="center"/>
          </w:tcPr>
          <w:p w14:paraId="5D202DE4" w14:textId="31E60FC0" w:rsidR="001B16DD" w:rsidRPr="001B16DD" w:rsidRDefault="001B16DD" w:rsidP="001B16DD">
            <w:pPr>
              <w:spacing w:after="0" w:line="240" w:lineRule="auto"/>
              <w:rPr>
                <w:rFonts w:ascii="Calibri" w:eastAsia="Times New Roman" w:hAnsi="Calibri" w:cs="Calibri"/>
                <w:color w:val="000000"/>
              </w:rPr>
            </w:pPr>
            <w:r>
              <w:rPr>
                <w:rFonts w:ascii="Calibri" w:hAnsi="Calibri" w:cs="Calibri"/>
                <w:color w:val="000000"/>
              </w:rPr>
              <w:t>Chinese</w:t>
            </w:r>
          </w:p>
        </w:tc>
        <w:tc>
          <w:tcPr>
            <w:tcW w:w="5623" w:type="dxa"/>
            <w:vMerge/>
            <w:shd w:val="clear" w:color="000000" w:fill="D9E1F2"/>
            <w:vAlign w:val="center"/>
          </w:tcPr>
          <w:p w14:paraId="368D72B9" w14:textId="5761D43B" w:rsidR="001B16DD" w:rsidRPr="001B16DD" w:rsidRDefault="001B16DD" w:rsidP="001B16DD">
            <w:pPr>
              <w:spacing w:after="0" w:line="240" w:lineRule="auto"/>
              <w:rPr>
                <w:rFonts w:ascii="Calibri" w:eastAsia="Times New Roman" w:hAnsi="Calibri" w:cs="Calibri"/>
                <w:color w:val="000000"/>
              </w:rPr>
            </w:pPr>
          </w:p>
        </w:tc>
      </w:tr>
      <w:tr w:rsidR="001B16DD" w:rsidRPr="001B16DD" w14:paraId="190B84CF" w14:textId="77777777" w:rsidTr="00BA24ED">
        <w:trPr>
          <w:trHeight w:val="315"/>
        </w:trPr>
        <w:tc>
          <w:tcPr>
            <w:tcW w:w="2190" w:type="dxa"/>
            <w:shd w:val="clear" w:color="000000" w:fill="D9E1F2"/>
            <w:noWrap/>
            <w:hideMark/>
          </w:tcPr>
          <w:p w14:paraId="4DD99269" w14:textId="44026AAB" w:rsidR="001B16DD" w:rsidRPr="001B16DD" w:rsidRDefault="001B16DD" w:rsidP="001B16DD">
            <w:pPr>
              <w:spacing w:after="0" w:line="240" w:lineRule="auto"/>
              <w:rPr>
                <w:rFonts w:ascii="Calibri" w:eastAsia="Times New Roman" w:hAnsi="Calibri" w:cs="Calibri"/>
                <w:color w:val="000000"/>
              </w:rPr>
            </w:pPr>
            <w:r w:rsidRPr="00A13F0D">
              <w:rPr>
                <w:rFonts w:ascii="Calibri" w:hAnsi="Calibri" w:cs="Calibri"/>
                <w:color w:val="000000"/>
                <w:lang w:val="ru-RU"/>
              </w:rPr>
              <w:t xml:space="preserve">Международные медико-санитарные правила (2005 г.). Инструмент ежегодной отчетности государств-участников на основе самооценки, второе издание: </w:t>
            </w:r>
            <w:r w:rsidRPr="00CD1D6D">
              <w:rPr>
                <w:rFonts w:ascii="Calibri" w:hAnsi="Calibri" w:cs="Calibri"/>
                <w:color w:val="000000"/>
              </w:rPr>
              <w:t>C</w:t>
            </w:r>
            <w:r w:rsidRPr="00A13F0D">
              <w:rPr>
                <w:rFonts w:ascii="Calibri" w:hAnsi="Calibri" w:cs="Calibri"/>
                <w:color w:val="000000"/>
                <w:lang w:val="ru-RU"/>
              </w:rPr>
              <w:t xml:space="preserve">11. </w:t>
            </w:r>
            <w:proofErr w:type="spellStart"/>
            <w:r>
              <w:rPr>
                <w:rFonts w:ascii="Calibri" w:hAnsi="Calibri" w:cs="Calibri"/>
                <w:color w:val="000000"/>
              </w:rPr>
              <w:t>Точки</w:t>
            </w:r>
            <w:proofErr w:type="spellEnd"/>
            <w:r>
              <w:rPr>
                <w:rFonts w:ascii="Calibri" w:hAnsi="Calibri" w:cs="Calibri"/>
                <w:color w:val="000000"/>
              </w:rPr>
              <w:t xml:space="preserve"> </w:t>
            </w:r>
            <w:proofErr w:type="spellStart"/>
            <w:r>
              <w:rPr>
                <w:rFonts w:ascii="Calibri" w:hAnsi="Calibri" w:cs="Calibri"/>
                <w:color w:val="000000"/>
              </w:rPr>
              <w:t>въезда</w:t>
            </w:r>
            <w:proofErr w:type="spellEnd"/>
            <w:r>
              <w:rPr>
                <w:rFonts w:ascii="Calibri" w:hAnsi="Calibri" w:cs="Calibri"/>
                <w:color w:val="000000"/>
              </w:rPr>
              <w:t xml:space="preserve"> (</w:t>
            </w:r>
            <w:r>
              <w:rPr>
                <w:rFonts w:ascii="Calibri" w:hAnsi="Calibri" w:cs="Calibri"/>
                <w:color w:val="000000"/>
                <w:cs/>
              </w:rPr>
              <w:t>‎</w:t>
            </w:r>
            <w:r>
              <w:rPr>
                <w:rFonts w:ascii="Calibri" w:hAnsi="Calibri" w:cs="Calibri"/>
                <w:color w:val="000000"/>
              </w:rPr>
              <w:t>PoE)</w:t>
            </w:r>
            <w:r>
              <w:rPr>
                <w:rFonts w:ascii="Calibri" w:hAnsi="Calibri" w:cs="Calibri"/>
                <w:color w:val="000000"/>
                <w:cs/>
              </w:rPr>
              <w:t>‎</w:t>
            </w:r>
            <w:r>
              <w:rPr>
                <w:rFonts w:ascii="Calibri" w:hAnsi="Calibri" w:cs="Calibri"/>
                <w:color w:val="000000"/>
              </w:rPr>
              <w:t xml:space="preserve"> и </w:t>
            </w:r>
            <w:proofErr w:type="spellStart"/>
            <w:r>
              <w:rPr>
                <w:rFonts w:ascii="Calibri" w:hAnsi="Calibri" w:cs="Calibri"/>
                <w:color w:val="000000"/>
              </w:rPr>
              <w:t>состояние</w:t>
            </w:r>
            <w:proofErr w:type="spellEnd"/>
            <w:r>
              <w:rPr>
                <w:rFonts w:ascii="Calibri" w:hAnsi="Calibri" w:cs="Calibri"/>
                <w:color w:val="000000"/>
              </w:rPr>
              <w:t xml:space="preserve"> </w:t>
            </w:r>
            <w:proofErr w:type="spellStart"/>
            <w:r>
              <w:rPr>
                <w:rFonts w:ascii="Calibri" w:hAnsi="Calibri" w:cs="Calibri"/>
                <w:color w:val="000000"/>
              </w:rPr>
              <w:t>границы</w:t>
            </w:r>
            <w:proofErr w:type="spellEnd"/>
          </w:p>
        </w:tc>
        <w:tc>
          <w:tcPr>
            <w:tcW w:w="1213" w:type="dxa"/>
            <w:shd w:val="clear" w:color="000000" w:fill="D9E1F2"/>
            <w:vAlign w:val="center"/>
          </w:tcPr>
          <w:p w14:paraId="2ED2B112" w14:textId="72D89792" w:rsidR="001B16DD" w:rsidRPr="001B16DD" w:rsidRDefault="001B16DD" w:rsidP="001B16DD">
            <w:pPr>
              <w:spacing w:after="0" w:line="240" w:lineRule="auto"/>
              <w:rPr>
                <w:rFonts w:ascii="Calibri" w:eastAsia="Times New Roman" w:hAnsi="Calibri" w:cs="Calibri"/>
                <w:color w:val="000000"/>
              </w:rPr>
            </w:pPr>
            <w:r>
              <w:rPr>
                <w:rFonts w:ascii="Calibri" w:hAnsi="Calibri" w:cs="Calibri"/>
                <w:color w:val="000000"/>
              </w:rPr>
              <w:t>Russian</w:t>
            </w:r>
          </w:p>
        </w:tc>
        <w:tc>
          <w:tcPr>
            <w:tcW w:w="5623" w:type="dxa"/>
            <w:vMerge/>
            <w:shd w:val="clear" w:color="000000" w:fill="D9E1F2"/>
            <w:vAlign w:val="bottom"/>
          </w:tcPr>
          <w:p w14:paraId="63DFBABB" w14:textId="30ACB050" w:rsidR="001B16DD" w:rsidRPr="001B16DD" w:rsidRDefault="001B16DD" w:rsidP="001B16DD">
            <w:pPr>
              <w:spacing w:after="0" w:line="240" w:lineRule="auto"/>
              <w:rPr>
                <w:rFonts w:ascii="Calibri" w:eastAsia="Times New Roman" w:hAnsi="Calibri" w:cs="Calibri"/>
                <w:color w:val="000000"/>
              </w:rPr>
            </w:pPr>
          </w:p>
        </w:tc>
      </w:tr>
      <w:tr w:rsidR="00026A22" w:rsidRPr="001B16DD" w14:paraId="6CC88B12" w14:textId="77777777" w:rsidTr="00BA24ED">
        <w:trPr>
          <w:trHeight w:val="315"/>
        </w:trPr>
        <w:tc>
          <w:tcPr>
            <w:tcW w:w="2190" w:type="dxa"/>
            <w:shd w:val="clear" w:color="000000" w:fill="D9E1F2"/>
            <w:noWrap/>
            <w:hideMark/>
          </w:tcPr>
          <w:p w14:paraId="69F2A9C0" w14:textId="4D11767A" w:rsidR="00026A22" w:rsidRPr="001B16DD" w:rsidRDefault="00026A22" w:rsidP="00026A22">
            <w:pPr>
              <w:bidi/>
              <w:spacing w:after="0" w:line="240" w:lineRule="auto"/>
              <w:jc w:val="right"/>
              <w:rPr>
                <w:rFonts w:ascii="Calibri" w:eastAsia="Times New Roman" w:hAnsi="Calibri" w:cs="Calibri"/>
                <w:color w:val="000000"/>
              </w:rPr>
            </w:pPr>
            <w:r w:rsidRPr="00026A22">
              <w:rPr>
                <w:rFonts w:ascii="Calibri" w:hAnsi="Calibri" w:cs="Calibri"/>
                <w:color w:val="000000"/>
                <w:lang w:val="fr-CH"/>
              </w:rPr>
              <w:t xml:space="preserve">Règlement sanitaire international (2005) : outil d’autoévaluation pour l’établissement de rapports annuels par les états </w:t>
            </w:r>
            <w:proofErr w:type="spellStart"/>
            <w:proofErr w:type="gramStart"/>
            <w:r w:rsidRPr="00026A22">
              <w:rPr>
                <w:rFonts w:ascii="Calibri" w:hAnsi="Calibri" w:cs="Calibri"/>
                <w:color w:val="000000"/>
                <w:lang w:val="fr-CH"/>
              </w:rPr>
              <w:t>parties,deuxième</w:t>
            </w:r>
            <w:proofErr w:type="spellEnd"/>
            <w:proofErr w:type="gramEnd"/>
            <w:r w:rsidRPr="00026A22">
              <w:rPr>
                <w:rFonts w:ascii="Calibri" w:hAnsi="Calibri" w:cs="Calibri"/>
                <w:color w:val="000000"/>
                <w:lang w:val="fr-CH"/>
              </w:rPr>
              <w:t xml:space="preserve"> édition: C11. Points d'entrée (</w:t>
            </w:r>
            <w:r>
              <w:rPr>
                <w:rFonts w:ascii="Calibri" w:hAnsi="Calibri" w:cs="Calibri"/>
                <w:color w:val="000000"/>
                <w:cs/>
              </w:rPr>
              <w:t>‎</w:t>
            </w:r>
            <w:r w:rsidRPr="00026A22">
              <w:rPr>
                <w:rFonts w:ascii="Calibri" w:hAnsi="Calibri" w:cs="Calibri"/>
                <w:color w:val="000000"/>
                <w:lang w:val="fr-CH"/>
              </w:rPr>
              <w:t>PoE)</w:t>
            </w:r>
            <w:r>
              <w:rPr>
                <w:rFonts w:ascii="Calibri" w:hAnsi="Calibri" w:cs="Calibri"/>
                <w:color w:val="000000"/>
                <w:cs/>
              </w:rPr>
              <w:t>‎</w:t>
            </w:r>
            <w:r w:rsidRPr="00026A22">
              <w:rPr>
                <w:rFonts w:ascii="Calibri" w:hAnsi="Calibri" w:cs="Calibri"/>
                <w:color w:val="000000"/>
                <w:lang w:val="fr-CH"/>
              </w:rPr>
              <w:t xml:space="preserve"> et santé aux frontières</w:t>
            </w:r>
          </w:p>
        </w:tc>
        <w:tc>
          <w:tcPr>
            <w:tcW w:w="1213" w:type="dxa"/>
            <w:shd w:val="clear" w:color="000000" w:fill="D9E1F2"/>
            <w:vAlign w:val="center"/>
          </w:tcPr>
          <w:p w14:paraId="1D671F91" w14:textId="045C3838" w:rsidR="00026A22" w:rsidRPr="001B16DD" w:rsidRDefault="00026A22" w:rsidP="00026A22">
            <w:pPr>
              <w:bidi/>
              <w:spacing w:after="0" w:line="240" w:lineRule="auto"/>
              <w:jc w:val="right"/>
              <w:rPr>
                <w:rFonts w:ascii="Calibri" w:eastAsia="Times New Roman" w:hAnsi="Calibri" w:cs="Calibri"/>
                <w:color w:val="000000"/>
                <w:rtl/>
              </w:rPr>
            </w:pPr>
            <w:r>
              <w:rPr>
                <w:rFonts w:ascii="Calibri" w:hAnsi="Calibri" w:cs="Calibri"/>
                <w:color w:val="000000"/>
              </w:rPr>
              <w:t>French</w:t>
            </w:r>
          </w:p>
        </w:tc>
        <w:tc>
          <w:tcPr>
            <w:tcW w:w="5623" w:type="dxa"/>
            <w:shd w:val="clear" w:color="000000" w:fill="D9E1F2"/>
            <w:vAlign w:val="bottom"/>
          </w:tcPr>
          <w:p w14:paraId="1832B7F9" w14:textId="73BE5DB2" w:rsidR="00026A22" w:rsidRPr="001B16DD" w:rsidRDefault="00000000" w:rsidP="00026A22">
            <w:pPr>
              <w:bidi/>
              <w:spacing w:after="0" w:line="240" w:lineRule="auto"/>
              <w:jc w:val="right"/>
              <w:rPr>
                <w:rFonts w:ascii="Calibri" w:eastAsia="Times New Roman" w:hAnsi="Calibri" w:cs="Calibri"/>
                <w:color w:val="000000"/>
                <w:rtl/>
              </w:rPr>
            </w:pPr>
            <w:hyperlink r:id="rId35" w:history="1">
              <w:r w:rsidR="00026A22">
                <w:rPr>
                  <w:rStyle w:val="Hyperlink"/>
                  <w:rFonts w:ascii="Calibri" w:hAnsi="Calibri" w:cs="Calibri"/>
                </w:rPr>
                <w:t>https://who.int/fr/publications/i/item/WHO-WPE-HSP-CCI-CAP-2021.1</w:t>
              </w:r>
            </w:hyperlink>
          </w:p>
        </w:tc>
      </w:tr>
      <w:tr w:rsidR="00026A22" w:rsidRPr="002334B6" w14:paraId="0A3E62C0" w14:textId="77777777" w:rsidTr="00BA24ED">
        <w:trPr>
          <w:trHeight w:val="315"/>
        </w:trPr>
        <w:tc>
          <w:tcPr>
            <w:tcW w:w="2190" w:type="dxa"/>
            <w:shd w:val="clear" w:color="000000" w:fill="D9E1F2"/>
            <w:noWrap/>
          </w:tcPr>
          <w:p w14:paraId="648C138B" w14:textId="31FAF6CB" w:rsidR="00026A22" w:rsidRPr="001B16DD" w:rsidRDefault="00026A22" w:rsidP="00026A22">
            <w:pPr>
              <w:spacing w:after="0" w:line="240" w:lineRule="auto"/>
              <w:rPr>
                <w:rFonts w:ascii="Calibri" w:eastAsia="Times New Roman" w:hAnsi="Calibri" w:cs="Calibri"/>
                <w:color w:val="000000"/>
                <w:rtl/>
              </w:rPr>
            </w:pPr>
            <w:proofErr w:type="spellStart"/>
            <w:r w:rsidRPr="00A13F0D">
              <w:rPr>
                <w:rFonts w:ascii="Calibri" w:hAnsi="Calibri" w:cs="Calibri"/>
                <w:color w:val="000000"/>
                <w:lang w:val="es-ES"/>
              </w:rPr>
              <w:lastRenderedPageBreak/>
              <w:t>Regulamento</w:t>
            </w:r>
            <w:proofErr w:type="spellEnd"/>
            <w:r w:rsidRPr="00A13F0D">
              <w:rPr>
                <w:rFonts w:ascii="Calibri" w:hAnsi="Calibri" w:cs="Calibri"/>
                <w:color w:val="000000"/>
                <w:lang w:val="es-ES"/>
              </w:rPr>
              <w:t xml:space="preserve"> </w:t>
            </w:r>
            <w:proofErr w:type="spellStart"/>
            <w:r w:rsidRPr="00A13F0D">
              <w:rPr>
                <w:rFonts w:ascii="Calibri" w:hAnsi="Calibri" w:cs="Calibri"/>
                <w:color w:val="000000"/>
                <w:lang w:val="es-ES"/>
              </w:rPr>
              <w:t>Sanitário</w:t>
            </w:r>
            <w:proofErr w:type="spellEnd"/>
            <w:r w:rsidRPr="00A13F0D">
              <w:rPr>
                <w:rFonts w:ascii="Calibri" w:hAnsi="Calibri" w:cs="Calibri"/>
                <w:color w:val="000000"/>
                <w:lang w:val="es-ES"/>
              </w:rPr>
              <w:t xml:space="preserve"> Internacional (2005): </w:t>
            </w:r>
            <w:proofErr w:type="spellStart"/>
            <w:r w:rsidRPr="00A13F0D">
              <w:rPr>
                <w:rFonts w:ascii="Calibri" w:hAnsi="Calibri" w:cs="Calibri"/>
                <w:color w:val="000000"/>
                <w:lang w:val="es-ES"/>
              </w:rPr>
              <w:t>Ferramenta</w:t>
            </w:r>
            <w:proofErr w:type="spellEnd"/>
            <w:r w:rsidRPr="00A13F0D">
              <w:rPr>
                <w:rFonts w:ascii="Calibri" w:hAnsi="Calibri" w:cs="Calibri"/>
                <w:color w:val="000000"/>
                <w:lang w:val="es-ES"/>
              </w:rPr>
              <w:t xml:space="preserve"> de </w:t>
            </w:r>
            <w:proofErr w:type="spellStart"/>
            <w:r w:rsidRPr="00A13F0D">
              <w:rPr>
                <w:rFonts w:ascii="Calibri" w:hAnsi="Calibri" w:cs="Calibri"/>
                <w:color w:val="000000"/>
                <w:lang w:val="es-ES"/>
              </w:rPr>
              <w:t>auto-avaliação</w:t>
            </w:r>
            <w:proofErr w:type="spellEnd"/>
            <w:r w:rsidRPr="00A13F0D">
              <w:rPr>
                <w:rFonts w:ascii="Calibri" w:hAnsi="Calibri" w:cs="Calibri"/>
                <w:color w:val="000000"/>
                <w:lang w:val="es-ES"/>
              </w:rPr>
              <w:t xml:space="preserve"> e </w:t>
            </w:r>
            <w:proofErr w:type="spellStart"/>
            <w:r w:rsidRPr="00A13F0D">
              <w:rPr>
                <w:rFonts w:ascii="Calibri" w:hAnsi="Calibri" w:cs="Calibri"/>
                <w:color w:val="000000"/>
                <w:lang w:val="es-ES"/>
              </w:rPr>
              <w:t>relatório</w:t>
            </w:r>
            <w:proofErr w:type="spellEnd"/>
            <w:r w:rsidRPr="00A13F0D">
              <w:rPr>
                <w:rFonts w:ascii="Calibri" w:hAnsi="Calibri" w:cs="Calibri"/>
                <w:color w:val="000000"/>
                <w:lang w:val="es-ES"/>
              </w:rPr>
              <w:t xml:space="preserve"> anual dos </w:t>
            </w:r>
            <w:proofErr w:type="gramStart"/>
            <w:r w:rsidRPr="00A13F0D">
              <w:rPr>
                <w:rFonts w:ascii="Calibri" w:hAnsi="Calibri" w:cs="Calibri"/>
                <w:color w:val="000000"/>
                <w:lang w:val="es-ES"/>
              </w:rPr>
              <w:t>Estados Partes</w:t>
            </w:r>
            <w:proofErr w:type="gramEnd"/>
            <w:r w:rsidRPr="00A13F0D">
              <w:rPr>
                <w:rFonts w:ascii="Calibri" w:hAnsi="Calibri" w:cs="Calibri"/>
                <w:color w:val="000000"/>
                <w:lang w:val="es-ES"/>
              </w:rPr>
              <w:t xml:space="preserve">, segunda </w:t>
            </w:r>
            <w:proofErr w:type="spellStart"/>
            <w:r w:rsidRPr="00A13F0D">
              <w:rPr>
                <w:rFonts w:ascii="Calibri" w:hAnsi="Calibri" w:cs="Calibri"/>
                <w:color w:val="000000"/>
                <w:lang w:val="es-ES"/>
              </w:rPr>
              <w:t>edição</w:t>
            </w:r>
            <w:proofErr w:type="spellEnd"/>
            <w:r w:rsidRPr="00A13F0D">
              <w:rPr>
                <w:rFonts w:ascii="Calibri" w:hAnsi="Calibri" w:cs="Calibri"/>
                <w:color w:val="000000"/>
                <w:lang w:val="es-ES"/>
              </w:rPr>
              <w:t xml:space="preserve">: C11. </w:t>
            </w:r>
            <w:r w:rsidRPr="00026A22">
              <w:rPr>
                <w:rFonts w:ascii="Calibri" w:hAnsi="Calibri" w:cs="Calibri"/>
                <w:color w:val="000000"/>
                <w:lang w:val="fr-CH"/>
              </w:rPr>
              <w:t xml:space="preserve">Pontos de </w:t>
            </w:r>
            <w:proofErr w:type="spellStart"/>
            <w:r w:rsidRPr="00026A22">
              <w:rPr>
                <w:rFonts w:ascii="Calibri" w:hAnsi="Calibri" w:cs="Calibri"/>
                <w:color w:val="000000"/>
                <w:lang w:val="fr-CH"/>
              </w:rPr>
              <w:t>entrada</w:t>
            </w:r>
            <w:proofErr w:type="spellEnd"/>
            <w:r w:rsidRPr="00026A22">
              <w:rPr>
                <w:rFonts w:ascii="Calibri" w:hAnsi="Calibri" w:cs="Calibri"/>
                <w:color w:val="000000"/>
                <w:lang w:val="fr-CH"/>
              </w:rPr>
              <w:t xml:space="preserve"> (</w:t>
            </w:r>
            <w:r>
              <w:rPr>
                <w:rFonts w:ascii="Calibri" w:hAnsi="Calibri" w:cs="Calibri"/>
                <w:color w:val="000000"/>
                <w:cs/>
              </w:rPr>
              <w:t>‎</w:t>
            </w:r>
            <w:r w:rsidRPr="00026A22">
              <w:rPr>
                <w:rFonts w:ascii="Calibri" w:hAnsi="Calibri" w:cs="Calibri"/>
                <w:color w:val="000000"/>
                <w:lang w:val="fr-CH"/>
              </w:rPr>
              <w:t>PoE)</w:t>
            </w:r>
            <w:r>
              <w:rPr>
                <w:rFonts w:ascii="Calibri" w:hAnsi="Calibri" w:cs="Calibri"/>
                <w:color w:val="000000"/>
                <w:cs/>
              </w:rPr>
              <w:t>‎</w:t>
            </w:r>
            <w:r w:rsidRPr="00026A22">
              <w:rPr>
                <w:rFonts w:ascii="Calibri" w:hAnsi="Calibri" w:cs="Calibri"/>
                <w:color w:val="000000"/>
                <w:lang w:val="fr-CH"/>
              </w:rPr>
              <w:t xml:space="preserve"> e </w:t>
            </w:r>
            <w:proofErr w:type="spellStart"/>
            <w:r w:rsidRPr="00026A22">
              <w:rPr>
                <w:rFonts w:ascii="Calibri" w:hAnsi="Calibri" w:cs="Calibri"/>
                <w:color w:val="000000"/>
                <w:lang w:val="fr-CH"/>
              </w:rPr>
              <w:t>saúde</w:t>
            </w:r>
            <w:proofErr w:type="spellEnd"/>
            <w:r w:rsidRPr="00026A22">
              <w:rPr>
                <w:rFonts w:ascii="Calibri" w:hAnsi="Calibri" w:cs="Calibri"/>
                <w:color w:val="000000"/>
                <w:lang w:val="fr-CH"/>
              </w:rPr>
              <w:t xml:space="preserve"> da </w:t>
            </w:r>
            <w:proofErr w:type="spellStart"/>
            <w:r w:rsidRPr="00026A22">
              <w:rPr>
                <w:rFonts w:ascii="Calibri" w:hAnsi="Calibri" w:cs="Calibri"/>
                <w:color w:val="000000"/>
                <w:lang w:val="fr-CH"/>
              </w:rPr>
              <w:t>fronteira</w:t>
            </w:r>
            <w:proofErr w:type="spellEnd"/>
          </w:p>
        </w:tc>
        <w:tc>
          <w:tcPr>
            <w:tcW w:w="1213" w:type="dxa"/>
            <w:shd w:val="clear" w:color="000000" w:fill="D9E1F2"/>
            <w:vAlign w:val="center"/>
          </w:tcPr>
          <w:p w14:paraId="6CD6ABD0" w14:textId="60E575F6" w:rsidR="00026A22" w:rsidRPr="001B16DD" w:rsidRDefault="00026A22" w:rsidP="00026A22">
            <w:pPr>
              <w:spacing w:after="0" w:line="240" w:lineRule="auto"/>
              <w:rPr>
                <w:rFonts w:ascii="MS Gothic" w:eastAsia="MS Gothic" w:hAnsi="MS Gothic" w:cs="MS Gothic"/>
                <w:color w:val="000000"/>
              </w:rPr>
            </w:pPr>
            <w:r>
              <w:rPr>
                <w:rFonts w:ascii="Calibri" w:hAnsi="Calibri" w:cs="Calibri"/>
                <w:color w:val="000000"/>
              </w:rPr>
              <w:t>Portuguese</w:t>
            </w:r>
          </w:p>
        </w:tc>
        <w:tc>
          <w:tcPr>
            <w:tcW w:w="5623" w:type="dxa"/>
            <w:shd w:val="clear" w:color="000000" w:fill="D9E1F2"/>
            <w:vAlign w:val="bottom"/>
          </w:tcPr>
          <w:p w14:paraId="028A2F1F" w14:textId="298D5F6A" w:rsidR="00026A22" w:rsidRPr="001B16DD" w:rsidRDefault="00000000" w:rsidP="00026A22">
            <w:pPr>
              <w:spacing w:after="0" w:line="240" w:lineRule="auto"/>
              <w:rPr>
                <w:rFonts w:ascii="MS Gothic" w:eastAsia="MS Gothic" w:hAnsi="MS Gothic" w:cs="MS Gothic"/>
                <w:color w:val="000000"/>
              </w:rPr>
            </w:pPr>
            <w:hyperlink r:id="rId36" w:history="1">
              <w:r w:rsidR="00026A22" w:rsidRPr="00026A22">
                <w:rPr>
                  <w:rStyle w:val="Hyperlink"/>
                  <w:rFonts w:ascii="Calibri" w:hAnsi="Calibri" w:cs="Calibri"/>
                </w:rPr>
                <w:t>https://who.int/pt/publications/i/item/WHO-WPE-HSP-CCI-CAP-2021.1</w:t>
              </w:r>
            </w:hyperlink>
          </w:p>
        </w:tc>
      </w:tr>
      <w:tr w:rsidR="00026A22" w:rsidRPr="002334B6" w14:paraId="3E06E5DD" w14:textId="77777777" w:rsidTr="00BA24ED">
        <w:trPr>
          <w:trHeight w:val="420"/>
        </w:trPr>
        <w:tc>
          <w:tcPr>
            <w:tcW w:w="2190" w:type="dxa"/>
            <w:shd w:val="clear" w:color="000000" w:fill="D9E1F2"/>
            <w:noWrap/>
            <w:hideMark/>
          </w:tcPr>
          <w:p w14:paraId="165F12DB" w14:textId="4B8E18D9" w:rsidR="00026A22" w:rsidRPr="001B16DD" w:rsidRDefault="00026A22" w:rsidP="00026A22">
            <w:pPr>
              <w:spacing w:after="0" w:line="240" w:lineRule="auto"/>
              <w:rPr>
                <w:rFonts w:ascii="Calibri" w:eastAsia="Times New Roman" w:hAnsi="Calibri" w:cs="Calibri"/>
                <w:color w:val="000000"/>
              </w:rPr>
            </w:pPr>
            <w:r w:rsidRPr="00A13F0D">
              <w:rPr>
                <w:rFonts w:ascii="Calibri" w:hAnsi="Calibri" w:cs="Calibri"/>
                <w:color w:val="000000"/>
                <w:lang w:val="es-ES"/>
              </w:rPr>
              <w:t xml:space="preserve">Reglamento sanitario internacional (2005): instrumento de autoevaluación para la presentación anual de informes de los </w:t>
            </w:r>
            <w:proofErr w:type="gramStart"/>
            <w:r w:rsidRPr="00A13F0D">
              <w:rPr>
                <w:rFonts w:ascii="Calibri" w:hAnsi="Calibri" w:cs="Calibri"/>
                <w:color w:val="000000"/>
                <w:lang w:val="es-ES"/>
              </w:rPr>
              <w:t>estados partes</w:t>
            </w:r>
            <w:proofErr w:type="gramEnd"/>
            <w:r w:rsidRPr="00A13F0D">
              <w:rPr>
                <w:rFonts w:ascii="Calibri" w:hAnsi="Calibri" w:cs="Calibri"/>
                <w:color w:val="000000"/>
                <w:lang w:val="es-ES"/>
              </w:rPr>
              <w:t xml:space="preserve">, 2ª edición: C11. </w:t>
            </w:r>
            <w:r>
              <w:rPr>
                <w:rFonts w:ascii="Calibri" w:hAnsi="Calibri" w:cs="Calibri"/>
                <w:color w:val="000000"/>
              </w:rPr>
              <w:t>Puntos de entrada (</w:t>
            </w:r>
            <w:r>
              <w:rPr>
                <w:rFonts w:ascii="Calibri" w:hAnsi="Calibri" w:cs="Calibri"/>
                <w:color w:val="000000"/>
                <w:cs/>
              </w:rPr>
              <w:t>‎</w:t>
            </w:r>
            <w:r>
              <w:rPr>
                <w:rFonts w:ascii="Calibri" w:hAnsi="Calibri" w:cs="Calibri"/>
                <w:color w:val="000000"/>
              </w:rPr>
              <w:t>PoE)</w:t>
            </w:r>
            <w:r>
              <w:rPr>
                <w:rFonts w:ascii="Calibri" w:hAnsi="Calibri" w:cs="Calibri"/>
                <w:color w:val="000000"/>
                <w:cs/>
              </w:rPr>
              <w:t>‎</w:t>
            </w:r>
            <w:r>
              <w:rPr>
                <w:rFonts w:ascii="Calibri" w:hAnsi="Calibri" w:cs="Calibri"/>
                <w:color w:val="000000"/>
              </w:rPr>
              <w:t xml:space="preserve"> y </w:t>
            </w:r>
            <w:proofErr w:type="spellStart"/>
            <w:r>
              <w:rPr>
                <w:rFonts w:ascii="Calibri" w:hAnsi="Calibri" w:cs="Calibri"/>
                <w:color w:val="000000"/>
              </w:rPr>
              <w:t>sanidad</w:t>
            </w:r>
            <w:proofErr w:type="spellEnd"/>
            <w:r>
              <w:rPr>
                <w:rFonts w:ascii="Calibri" w:hAnsi="Calibri" w:cs="Calibri"/>
                <w:color w:val="000000"/>
              </w:rPr>
              <w:t xml:space="preserve"> </w:t>
            </w:r>
            <w:proofErr w:type="spellStart"/>
            <w:r>
              <w:rPr>
                <w:rFonts w:ascii="Calibri" w:hAnsi="Calibri" w:cs="Calibri"/>
                <w:color w:val="000000"/>
              </w:rPr>
              <w:t>fronteriza</w:t>
            </w:r>
            <w:proofErr w:type="spellEnd"/>
          </w:p>
        </w:tc>
        <w:tc>
          <w:tcPr>
            <w:tcW w:w="1213" w:type="dxa"/>
            <w:shd w:val="clear" w:color="000000" w:fill="D9E1F2"/>
            <w:vAlign w:val="center"/>
          </w:tcPr>
          <w:p w14:paraId="58632162" w14:textId="27C34DCB" w:rsidR="00026A22" w:rsidRPr="001B16DD" w:rsidRDefault="00026A22" w:rsidP="00026A22">
            <w:pPr>
              <w:spacing w:after="0" w:line="240" w:lineRule="auto"/>
              <w:rPr>
                <w:rFonts w:ascii="Calibri" w:eastAsia="Times New Roman" w:hAnsi="Calibri" w:cs="Calibri"/>
                <w:color w:val="000000"/>
              </w:rPr>
            </w:pPr>
            <w:r>
              <w:rPr>
                <w:rFonts w:ascii="Calibri" w:hAnsi="Calibri" w:cs="Calibri"/>
                <w:color w:val="000000"/>
              </w:rPr>
              <w:t>Spanish</w:t>
            </w:r>
          </w:p>
        </w:tc>
        <w:tc>
          <w:tcPr>
            <w:tcW w:w="5623" w:type="dxa"/>
            <w:shd w:val="clear" w:color="000000" w:fill="D9E1F2"/>
            <w:vAlign w:val="bottom"/>
          </w:tcPr>
          <w:p w14:paraId="6E048248" w14:textId="179AF642" w:rsidR="00026A22" w:rsidRPr="001B16DD" w:rsidRDefault="00000000" w:rsidP="00026A22">
            <w:pPr>
              <w:spacing w:after="0" w:line="240" w:lineRule="auto"/>
              <w:rPr>
                <w:rFonts w:ascii="Calibri" w:eastAsia="Times New Roman" w:hAnsi="Calibri" w:cs="Calibri"/>
                <w:color w:val="000000"/>
              </w:rPr>
            </w:pPr>
            <w:hyperlink r:id="rId37" w:history="1">
              <w:r w:rsidR="00026A22" w:rsidRPr="00026A22">
                <w:rPr>
                  <w:rStyle w:val="Hyperlink"/>
                  <w:rFonts w:ascii="Calibri" w:hAnsi="Calibri" w:cs="Calibri"/>
                </w:rPr>
                <w:t>https://who.int/es/publications/i/item/WHO-WPE-HSP-CCI-CAP-2021.1</w:t>
              </w:r>
            </w:hyperlink>
          </w:p>
        </w:tc>
      </w:tr>
    </w:tbl>
    <w:p w14:paraId="160F1C7D" w14:textId="77777777" w:rsidR="001B16DD" w:rsidRDefault="001B16DD" w:rsidP="00A263E0"/>
    <w:p w14:paraId="702327D8" w14:textId="77777777" w:rsidR="001B16DD" w:rsidRPr="00C71268" w:rsidRDefault="001B16DD" w:rsidP="00A263E0"/>
    <w:tbl>
      <w:tblPr>
        <w:tblW w:w="5000" w:type="pct"/>
        <w:tblCellMar>
          <w:left w:w="0" w:type="dxa"/>
          <w:right w:w="0" w:type="dxa"/>
        </w:tblCellMar>
        <w:tblLook w:val="04A0" w:firstRow="1" w:lastRow="0" w:firstColumn="1" w:lastColumn="0" w:noHBand="0" w:noVBand="1"/>
      </w:tblPr>
      <w:tblGrid>
        <w:gridCol w:w="3264"/>
        <w:gridCol w:w="920"/>
        <w:gridCol w:w="4842"/>
      </w:tblGrid>
      <w:tr w:rsidR="00A263E0" w:rsidRPr="00A263E0" w14:paraId="59DDFB01" w14:textId="77777777" w:rsidTr="00A263E0">
        <w:trPr>
          <w:trHeight w:val="921"/>
        </w:trPr>
        <w:tc>
          <w:tcPr>
            <w:tcW w:w="2232" w:type="pct"/>
            <w:tcBorders>
              <w:top w:val="single" w:sz="8" w:space="0" w:color="auto"/>
              <w:left w:val="nil"/>
              <w:bottom w:val="single" w:sz="8" w:space="0" w:color="auto"/>
              <w:right w:val="single" w:sz="8" w:space="0" w:color="auto"/>
            </w:tcBorders>
            <w:tcMar>
              <w:top w:w="15" w:type="dxa"/>
              <w:left w:w="108" w:type="dxa"/>
              <w:bottom w:w="15" w:type="dxa"/>
              <w:right w:w="108" w:type="dxa"/>
            </w:tcMar>
            <w:vAlign w:val="bottom"/>
            <w:hideMark/>
          </w:tcPr>
          <w:p w14:paraId="2070BF5C" w14:textId="77777777" w:rsidR="00A263E0" w:rsidRPr="00A263E0" w:rsidRDefault="00A263E0" w:rsidP="00A263E0">
            <w:pPr>
              <w:rPr>
                <w:lang w:val="en-US"/>
              </w:rPr>
            </w:pPr>
            <w:r w:rsidRPr="00A263E0">
              <w:rPr>
                <w:lang w:val="en-US"/>
              </w:rPr>
              <w:t>International Health Regulations (</w:t>
            </w:r>
            <w:r w:rsidRPr="00A263E0">
              <w:rPr>
                <w:rFonts w:hint="cs"/>
                <w:cs/>
              </w:rPr>
              <w:t>‎‎‎‎‎‎‎‎‎‎‎‎‎‎</w:t>
            </w:r>
            <w:r w:rsidRPr="00A263E0">
              <w:rPr>
                <w:lang w:val="en-US"/>
              </w:rPr>
              <w:t>2005)</w:t>
            </w:r>
            <w:r w:rsidRPr="00A263E0">
              <w:rPr>
                <w:rFonts w:hint="cs"/>
                <w:cs/>
              </w:rPr>
              <w:t>‎‎‎‎‎‎‎‎‎‎‎‎‎‎</w:t>
            </w:r>
            <w:r w:rsidRPr="00A263E0">
              <w:rPr>
                <w:lang w:val="en-US"/>
              </w:rPr>
              <w:t>: guidance document for the State Party self-assessment annual reporting tool</w:t>
            </w:r>
          </w:p>
        </w:tc>
        <w:tc>
          <w:tcPr>
            <w:tcW w:w="331" w:type="pct"/>
            <w:tcBorders>
              <w:top w:val="single" w:sz="8" w:space="0" w:color="auto"/>
              <w:left w:val="nil"/>
              <w:bottom w:val="single" w:sz="8" w:space="0" w:color="auto"/>
              <w:right w:val="single" w:sz="8" w:space="0" w:color="auto"/>
            </w:tcBorders>
            <w:tcMar>
              <w:top w:w="15" w:type="dxa"/>
              <w:left w:w="108" w:type="dxa"/>
              <w:bottom w:w="15" w:type="dxa"/>
              <w:right w:w="108" w:type="dxa"/>
            </w:tcMar>
            <w:vAlign w:val="bottom"/>
            <w:hideMark/>
          </w:tcPr>
          <w:p w14:paraId="2069EBF7" w14:textId="77777777" w:rsidR="00A263E0" w:rsidRPr="00A263E0" w:rsidRDefault="00A263E0" w:rsidP="00A263E0">
            <w:pPr>
              <w:rPr>
                <w:lang w:val="en-US"/>
              </w:rPr>
            </w:pPr>
            <w:r w:rsidRPr="00A263E0">
              <w:rPr>
                <w:lang w:val="en-US"/>
              </w:rPr>
              <w:t>English</w:t>
            </w:r>
          </w:p>
        </w:tc>
        <w:tc>
          <w:tcPr>
            <w:tcW w:w="2438" w:type="pct"/>
            <w:tcBorders>
              <w:top w:val="single" w:sz="8" w:space="0" w:color="auto"/>
              <w:left w:val="nil"/>
              <w:bottom w:val="single" w:sz="8" w:space="0" w:color="auto"/>
              <w:right w:val="nil"/>
            </w:tcBorders>
            <w:tcMar>
              <w:top w:w="15" w:type="dxa"/>
              <w:left w:w="108" w:type="dxa"/>
              <w:bottom w:w="15" w:type="dxa"/>
              <w:right w:w="108" w:type="dxa"/>
            </w:tcMar>
            <w:vAlign w:val="bottom"/>
            <w:hideMark/>
          </w:tcPr>
          <w:p w14:paraId="1A8E22E9" w14:textId="77777777" w:rsidR="00A263E0" w:rsidRPr="00A263E0" w:rsidRDefault="00000000" w:rsidP="00A263E0">
            <w:pPr>
              <w:rPr>
                <w:lang w:val="en-US"/>
              </w:rPr>
            </w:pPr>
            <w:hyperlink r:id="rId38" w:history="1">
              <w:r w:rsidR="00A263E0" w:rsidRPr="00A263E0">
                <w:rPr>
                  <w:rStyle w:val="Hyperlink"/>
                  <w:lang w:val="en-US"/>
                </w:rPr>
                <w:t>https://www.who.int/publications/i/item/WHO-WHE-CPI-2018.17</w:t>
              </w:r>
            </w:hyperlink>
          </w:p>
        </w:tc>
      </w:tr>
      <w:tr w:rsidR="00A263E0" w:rsidRPr="00A263E0" w14:paraId="7F13F1A8" w14:textId="77777777" w:rsidTr="00A263E0">
        <w:trPr>
          <w:trHeight w:val="822"/>
        </w:trPr>
        <w:tc>
          <w:tcPr>
            <w:tcW w:w="2232" w:type="pct"/>
            <w:tcBorders>
              <w:top w:val="nil"/>
              <w:left w:val="nil"/>
              <w:bottom w:val="single" w:sz="8" w:space="0" w:color="auto"/>
              <w:right w:val="single" w:sz="8" w:space="0" w:color="auto"/>
            </w:tcBorders>
            <w:tcMar>
              <w:top w:w="15" w:type="dxa"/>
              <w:left w:w="108" w:type="dxa"/>
              <w:bottom w:w="15" w:type="dxa"/>
              <w:right w:w="108" w:type="dxa"/>
            </w:tcMar>
            <w:vAlign w:val="bottom"/>
            <w:hideMark/>
          </w:tcPr>
          <w:p w14:paraId="33F339F5" w14:textId="77777777" w:rsidR="00A263E0" w:rsidRPr="00A263E0" w:rsidRDefault="00A263E0" w:rsidP="00A263E0">
            <w:pPr>
              <w:rPr>
                <w:lang w:val="fr-CH"/>
              </w:rPr>
            </w:pPr>
            <w:r w:rsidRPr="00A263E0">
              <w:rPr>
                <w:lang w:val="fr-CH"/>
              </w:rPr>
              <w:t>Règlement sanitaire international (</w:t>
            </w:r>
            <w:r w:rsidRPr="00A263E0">
              <w:rPr>
                <w:rFonts w:hint="cs"/>
                <w:cs/>
              </w:rPr>
              <w:t>‎‎‎‎</w:t>
            </w:r>
            <w:r w:rsidRPr="00A263E0">
              <w:rPr>
                <w:lang w:val="fr-CH"/>
              </w:rPr>
              <w:t>2005)</w:t>
            </w:r>
            <w:r w:rsidRPr="00A263E0">
              <w:rPr>
                <w:rFonts w:hint="cs"/>
                <w:cs/>
              </w:rPr>
              <w:t>‎‎‎‎</w:t>
            </w:r>
            <w:r w:rsidRPr="00A263E0">
              <w:rPr>
                <w:lang w:val="fr-CH"/>
              </w:rPr>
              <w:t xml:space="preserve"> : document d’orientation sur l’outil d’autoévaluation pour l’établissement de rapports annuels par les États Parties</w:t>
            </w:r>
          </w:p>
        </w:tc>
        <w:tc>
          <w:tcPr>
            <w:tcW w:w="331" w:type="pct"/>
            <w:tcBorders>
              <w:top w:val="nil"/>
              <w:left w:val="nil"/>
              <w:bottom w:val="single" w:sz="8" w:space="0" w:color="auto"/>
              <w:right w:val="single" w:sz="8" w:space="0" w:color="auto"/>
            </w:tcBorders>
            <w:tcMar>
              <w:top w:w="15" w:type="dxa"/>
              <w:left w:w="108" w:type="dxa"/>
              <w:bottom w:w="15" w:type="dxa"/>
              <w:right w:w="108" w:type="dxa"/>
            </w:tcMar>
            <w:vAlign w:val="bottom"/>
            <w:hideMark/>
          </w:tcPr>
          <w:p w14:paraId="15032D0B" w14:textId="77777777" w:rsidR="00A263E0" w:rsidRPr="00A263E0" w:rsidRDefault="00A263E0" w:rsidP="00A263E0">
            <w:pPr>
              <w:rPr>
                <w:lang w:val="en-US"/>
              </w:rPr>
            </w:pPr>
            <w:r w:rsidRPr="00A263E0">
              <w:rPr>
                <w:lang w:val="en-US"/>
              </w:rPr>
              <w:t>French</w:t>
            </w:r>
          </w:p>
        </w:tc>
        <w:tc>
          <w:tcPr>
            <w:tcW w:w="2438" w:type="pct"/>
            <w:tcBorders>
              <w:top w:val="nil"/>
              <w:left w:val="nil"/>
              <w:bottom w:val="single" w:sz="8" w:space="0" w:color="auto"/>
              <w:right w:val="nil"/>
            </w:tcBorders>
            <w:tcMar>
              <w:top w:w="15" w:type="dxa"/>
              <w:left w:w="108" w:type="dxa"/>
              <w:bottom w:w="15" w:type="dxa"/>
              <w:right w:w="108" w:type="dxa"/>
            </w:tcMar>
            <w:vAlign w:val="bottom"/>
            <w:hideMark/>
          </w:tcPr>
          <w:p w14:paraId="35E3CBF3" w14:textId="77777777" w:rsidR="00A263E0" w:rsidRPr="00A263E0" w:rsidRDefault="00000000" w:rsidP="00A263E0">
            <w:pPr>
              <w:rPr>
                <w:lang w:val="en-US"/>
              </w:rPr>
            </w:pPr>
            <w:hyperlink r:id="rId39" w:history="1">
              <w:r w:rsidR="00A263E0" w:rsidRPr="00A263E0">
                <w:rPr>
                  <w:rStyle w:val="Hyperlink"/>
                  <w:lang w:val="en-US"/>
                </w:rPr>
                <w:t>https://www.who.int/fr/publications/i/item/WHO-WHE-CPI-2018.17</w:t>
              </w:r>
            </w:hyperlink>
          </w:p>
        </w:tc>
      </w:tr>
      <w:tr w:rsidR="00A263E0" w:rsidRPr="00A263E0" w14:paraId="158E511C" w14:textId="77777777" w:rsidTr="00A263E0">
        <w:trPr>
          <w:trHeight w:val="1075"/>
        </w:trPr>
        <w:tc>
          <w:tcPr>
            <w:tcW w:w="2232" w:type="pct"/>
            <w:tcBorders>
              <w:top w:val="nil"/>
              <w:left w:val="nil"/>
              <w:bottom w:val="single" w:sz="8" w:space="0" w:color="auto"/>
              <w:right w:val="single" w:sz="8" w:space="0" w:color="auto"/>
            </w:tcBorders>
            <w:tcMar>
              <w:top w:w="15" w:type="dxa"/>
              <w:left w:w="108" w:type="dxa"/>
              <w:bottom w:w="15" w:type="dxa"/>
              <w:right w:w="108" w:type="dxa"/>
            </w:tcMar>
            <w:vAlign w:val="bottom"/>
            <w:hideMark/>
          </w:tcPr>
          <w:p w14:paraId="3B2AA5B4" w14:textId="77777777" w:rsidR="00A263E0" w:rsidRPr="00A263E0" w:rsidRDefault="00A263E0" w:rsidP="00A263E0">
            <w:pPr>
              <w:rPr>
                <w:lang w:val="es-ES"/>
              </w:rPr>
            </w:pPr>
            <w:r w:rsidRPr="00A263E0">
              <w:rPr>
                <w:lang w:val="es-ES"/>
              </w:rPr>
              <w:t>Reglamento Sanitario Internacional (</w:t>
            </w:r>
            <w:r w:rsidRPr="00A263E0">
              <w:rPr>
                <w:rFonts w:hint="cs"/>
                <w:cs/>
              </w:rPr>
              <w:t>‎‎</w:t>
            </w:r>
            <w:r w:rsidRPr="00A263E0">
              <w:rPr>
                <w:lang w:val="es-ES"/>
              </w:rPr>
              <w:t>2005)</w:t>
            </w:r>
            <w:r w:rsidRPr="00A263E0">
              <w:rPr>
                <w:rFonts w:hint="cs"/>
                <w:cs/>
              </w:rPr>
              <w:t>‎‎</w:t>
            </w:r>
            <w:r w:rsidRPr="00A263E0">
              <w:rPr>
                <w:lang w:val="es-ES"/>
              </w:rPr>
              <w:t xml:space="preserve">: documento de orientación sobre el instrumento de autoevaluación para la presentación anual de informes de los </w:t>
            </w:r>
            <w:proofErr w:type="gramStart"/>
            <w:r w:rsidRPr="00A263E0">
              <w:rPr>
                <w:lang w:val="es-ES"/>
              </w:rPr>
              <w:t>Estados Partes</w:t>
            </w:r>
            <w:proofErr w:type="gramEnd"/>
          </w:p>
        </w:tc>
        <w:tc>
          <w:tcPr>
            <w:tcW w:w="331" w:type="pct"/>
            <w:tcBorders>
              <w:top w:val="nil"/>
              <w:left w:val="nil"/>
              <w:bottom w:val="single" w:sz="8" w:space="0" w:color="auto"/>
              <w:right w:val="single" w:sz="8" w:space="0" w:color="auto"/>
            </w:tcBorders>
            <w:tcMar>
              <w:top w:w="15" w:type="dxa"/>
              <w:left w:w="108" w:type="dxa"/>
              <w:bottom w:w="15" w:type="dxa"/>
              <w:right w:w="108" w:type="dxa"/>
            </w:tcMar>
            <w:vAlign w:val="bottom"/>
            <w:hideMark/>
          </w:tcPr>
          <w:p w14:paraId="6E23C4FA" w14:textId="77777777" w:rsidR="00A263E0" w:rsidRPr="00A263E0" w:rsidRDefault="00A263E0" w:rsidP="00A263E0">
            <w:pPr>
              <w:rPr>
                <w:lang w:val="en-US"/>
              </w:rPr>
            </w:pPr>
            <w:r w:rsidRPr="00A263E0">
              <w:rPr>
                <w:lang w:val="en-US"/>
              </w:rPr>
              <w:t>Spanish</w:t>
            </w:r>
          </w:p>
        </w:tc>
        <w:tc>
          <w:tcPr>
            <w:tcW w:w="2438" w:type="pct"/>
            <w:tcBorders>
              <w:top w:val="nil"/>
              <w:left w:val="nil"/>
              <w:bottom w:val="single" w:sz="8" w:space="0" w:color="auto"/>
              <w:right w:val="nil"/>
            </w:tcBorders>
            <w:tcMar>
              <w:top w:w="15" w:type="dxa"/>
              <w:left w:w="108" w:type="dxa"/>
              <w:bottom w:w="15" w:type="dxa"/>
              <w:right w:w="108" w:type="dxa"/>
            </w:tcMar>
            <w:vAlign w:val="bottom"/>
            <w:hideMark/>
          </w:tcPr>
          <w:p w14:paraId="6D489BCF" w14:textId="77777777" w:rsidR="00A263E0" w:rsidRPr="00A263E0" w:rsidRDefault="00000000" w:rsidP="00A263E0">
            <w:pPr>
              <w:rPr>
                <w:lang w:val="en-US"/>
              </w:rPr>
            </w:pPr>
            <w:hyperlink r:id="rId40" w:history="1">
              <w:r w:rsidR="00A263E0" w:rsidRPr="00A263E0">
                <w:rPr>
                  <w:rStyle w:val="Hyperlink"/>
                  <w:lang w:val="en-US"/>
                </w:rPr>
                <w:t>https://www.who.int/es/publications/i/item/WHO-WHE-CPI-2018.17</w:t>
              </w:r>
            </w:hyperlink>
          </w:p>
        </w:tc>
      </w:tr>
      <w:tr w:rsidR="00A263E0" w:rsidRPr="00A263E0" w14:paraId="4583F3C1" w14:textId="77777777" w:rsidTr="00A263E0">
        <w:trPr>
          <w:trHeight w:val="680"/>
        </w:trPr>
        <w:tc>
          <w:tcPr>
            <w:tcW w:w="2232" w:type="pct"/>
            <w:tcBorders>
              <w:top w:val="nil"/>
              <w:left w:val="nil"/>
              <w:bottom w:val="single" w:sz="8" w:space="0" w:color="auto"/>
              <w:right w:val="single" w:sz="8" w:space="0" w:color="auto"/>
            </w:tcBorders>
            <w:tcMar>
              <w:top w:w="15" w:type="dxa"/>
              <w:left w:w="108" w:type="dxa"/>
              <w:bottom w:w="15" w:type="dxa"/>
              <w:right w:w="108" w:type="dxa"/>
            </w:tcMar>
            <w:vAlign w:val="bottom"/>
            <w:hideMark/>
          </w:tcPr>
          <w:p w14:paraId="0FCA4ADC" w14:textId="77777777" w:rsidR="00A263E0" w:rsidRPr="00A263E0" w:rsidRDefault="00A263E0" w:rsidP="00A263E0">
            <w:pPr>
              <w:rPr>
                <w:lang w:val="en-US"/>
              </w:rPr>
            </w:pPr>
            <w:r w:rsidRPr="00A263E0">
              <w:rPr>
                <w:rtl/>
              </w:rPr>
              <w:t>اللوائح الصحية الدولية (2005): وثيقة توجيهية بشأن أداة اإلبالغ السنوي للدول األطراف بالتقييم</w:t>
            </w:r>
          </w:p>
        </w:tc>
        <w:tc>
          <w:tcPr>
            <w:tcW w:w="331" w:type="pct"/>
            <w:tcBorders>
              <w:top w:val="nil"/>
              <w:left w:val="nil"/>
              <w:bottom w:val="single" w:sz="8" w:space="0" w:color="auto"/>
              <w:right w:val="single" w:sz="8" w:space="0" w:color="auto"/>
            </w:tcBorders>
            <w:tcMar>
              <w:top w:w="15" w:type="dxa"/>
              <w:left w:w="108" w:type="dxa"/>
              <w:bottom w:w="15" w:type="dxa"/>
              <w:right w:w="108" w:type="dxa"/>
            </w:tcMar>
            <w:vAlign w:val="bottom"/>
            <w:hideMark/>
          </w:tcPr>
          <w:p w14:paraId="5EA6896D" w14:textId="77777777" w:rsidR="00A263E0" w:rsidRPr="00A263E0" w:rsidRDefault="00A263E0" w:rsidP="00A263E0">
            <w:pPr>
              <w:rPr>
                <w:lang w:val="en-US"/>
              </w:rPr>
            </w:pPr>
            <w:r w:rsidRPr="00A263E0">
              <w:rPr>
                <w:lang w:val="en-US"/>
              </w:rPr>
              <w:t>Arabic</w:t>
            </w:r>
          </w:p>
        </w:tc>
        <w:tc>
          <w:tcPr>
            <w:tcW w:w="2438" w:type="pct"/>
            <w:tcBorders>
              <w:top w:val="nil"/>
              <w:left w:val="nil"/>
              <w:bottom w:val="single" w:sz="8" w:space="0" w:color="auto"/>
              <w:right w:val="nil"/>
            </w:tcBorders>
            <w:tcMar>
              <w:top w:w="15" w:type="dxa"/>
              <w:left w:w="108" w:type="dxa"/>
              <w:bottom w:w="15" w:type="dxa"/>
              <w:right w:w="108" w:type="dxa"/>
            </w:tcMar>
            <w:vAlign w:val="bottom"/>
            <w:hideMark/>
          </w:tcPr>
          <w:p w14:paraId="35F2FA95" w14:textId="77777777" w:rsidR="00A263E0" w:rsidRPr="00A263E0" w:rsidRDefault="00000000" w:rsidP="00A263E0">
            <w:pPr>
              <w:rPr>
                <w:lang w:val="en-US"/>
              </w:rPr>
            </w:pPr>
            <w:hyperlink r:id="rId41" w:history="1">
              <w:r w:rsidR="00A263E0" w:rsidRPr="00A263E0">
                <w:rPr>
                  <w:rStyle w:val="Hyperlink"/>
                  <w:lang w:val="en-US"/>
                </w:rPr>
                <w:t>https://www.who.int/ar/publications/i/item/WHO-WHE-CPI-2018.17</w:t>
              </w:r>
            </w:hyperlink>
          </w:p>
        </w:tc>
      </w:tr>
      <w:tr w:rsidR="00A263E0" w:rsidRPr="00A263E0" w14:paraId="7FB1AED5" w14:textId="77777777" w:rsidTr="00A263E0">
        <w:trPr>
          <w:trHeight w:val="946"/>
        </w:trPr>
        <w:tc>
          <w:tcPr>
            <w:tcW w:w="2232" w:type="pct"/>
            <w:tcBorders>
              <w:top w:val="nil"/>
              <w:left w:val="nil"/>
              <w:bottom w:val="single" w:sz="8" w:space="0" w:color="auto"/>
              <w:right w:val="single" w:sz="8" w:space="0" w:color="auto"/>
            </w:tcBorders>
            <w:tcMar>
              <w:top w:w="15" w:type="dxa"/>
              <w:left w:w="108" w:type="dxa"/>
              <w:bottom w:w="15" w:type="dxa"/>
              <w:right w:w="108" w:type="dxa"/>
            </w:tcMar>
            <w:vAlign w:val="bottom"/>
            <w:hideMark/>
          </w:tcPr>
          <w:p w14:paraId="722B13D8" w14:textId="77777777" w:rsidR="00A263E0" w:rsidRPr="00A263E0" w:rsidRDefault="00A263E0" w:rsidP="00A263E0">
            <w:pPr>
              <w:rPr>
                <w:lang w:val="ru-RU"/>
              </w:rPr>
            </w:pPr>
            <w:r w:rsidRPr="00A263E0">
              <w:rPr>
                <w:lang w:val="ru-RU"/>
              </w:rPr>
              <w:t>Международные медико-санитарные правила (</w:t>
            </w:r>
            <w:r w:rsidRPr="00A263E0">
              <w:rPr>
                <w:rFonts w:hint="cs"/>
                <w:cs/>
              </w:rPr>
              <w:t>‎‎‎</w:t>
            </w:r>
            <w:r w:rsidRPr="00A263E0">
              <w:rPr>
                <w:lang w:val="ru-RU"/>
              </w:rPr>
              <w:t>2005 г.)</w:t>
            </w:r>
            <w:r w:rsidRPr="00A263E0">
              <w:rPr>
                <w:rFonts w:hint="cs"/>
                <w:cs/>
              </w:rPr>
              <w:t>‎‎‎</w:t>
            </w:r>
            <w:r w:rsidRPr="00A263E0">
              <w:rPr>
                <w:lang w:val="ru-RU"/>
              </w:rPr>
              <w:t xml:space="preserve">: руководство по инструменту </w:t>
            </w:r>
            <w:r w:rsidRPr="00A263E0">
              <w:rPr>
                <w:lang w:val="ru-RU"/>
              </w:rPr>
              <w:lastRenderedPageBreak/>
              <w:t>ежегодной отчетности государств-участников на основе самооценки</w:t>
            </w:r>
          </w:p>
        </w:tc>
        <w:tc>
          <w:tcPr>
            <w:tcW w:w="331" w:type="pct"/>
            <w:tcBorders>
              <w:top w:val="nil"/>
              <w:left w:val="nil"/>
              <w:bottom w:val="single" w:sz="8" w:space="0" w:color="auto"/>
              <w:right w:val="single" w:sz="8" w:space="0" w:color="auto"/>
            </w:tcBorders>
            <w:tcMar>
              <w:top w:w="15" w:type="dxa"/>
              <w:left w:w="108" w:type="dxa"/>
              <w:bottom w:w="15" w:type="dxa"/>
              <w:right w:w="108" w:type="dxa"/>
            </w:tcMar>
            <w:vAlign w:val="bottom"/>
            <w:hideMark/>
          </w:tcPr>
          <w:p w14:paraId="79A53269" w14:textId="77777777" w:rsidR="00A263E0" w:rsidRPr="00A263E0" w:rsidRDefault="00A263E0" w:rsidP="00A263E0">
            <w:pPr>
              <w:rPr>
                <w:lang w:val="en-US"/>
              </w:rPr>
            </w:pPr>
            <w:r w:rsidRPr="00A263E0">
              <w:rPr>
                <w:lang w:val="en-US"/>
              </w:rPr>
              <w:lastRenderedPageBreak/>
              <w:t>Russian</w:t>
            </w:r>
          </w:p>
        </w:tc>
        <w:tc>
          <w:tcPr>
            <w:tcW w:w="2438" w:type="pct"/>
            <w:tcBorders>
              <w:top w:val="nil"/>
              <w:left w:val="nil"/>
              <w:bottom w:val="single" w:sz="8" w:space="0" w:color="auto"/>
              <w:right w:val="nil"/>
            </w:tcBorders>
            <w:tcMar>
              <w:top w:w="15" w:type="dxa"/>
              <w:left w:w="108" w:type="dxa"/>
              <w:bottom w:w="15" w:type="dxa"/>
              <w:right w:w="108" w:type="dxa"/>
            </w:tcMar>
            <w:vAlign w:val="bottom"/>
            <w:hideMark/>
          </w:tcPr>
          <w:p w14:paraId="518BEA8B" w14:textId="77777777" w:rsidR="00A263E0" w:rsidRPr="00A263E0" w:rsidRDefault="00000000" w:rsidP="00A263E0">
            <w:pPr>
              <w:rPr>
                <w:lang w:val="en-US"/>
              </w:rPr>
            </w:pPr>
            <w:hyperlink r:id="rId42" w:history="1">
              <w:r w:rsidR="00A263E0" w:rsidRPr="00A263E0">
                <w:rPr>
                  <w:rStyle w:val="Hyperlink"/>
                  <w:lang w:val="en-US"/>
                </w:rPr>
                <w:t>https://www.who.int/ru/publications/i/item/WHO-WHE-CPI-2018.17</w:t>
              </w:r>
            </w:hyperlink>
          </w:p>
        </w:tc>
      </w:tr>
      <w:tr w:rsidR="00A263E0" w:rsidRPr="00A263E0" w14:paraId="7C13DF4F" w14:textId="77777777" w:rsidTr="00A263E0">
        <w:trPr>
          <w:trHeight w:val="534"/>
        </w:trPr>
        <w:tc>
          <w:tcPr>
            <w:tcW w:w="2232" w:type="pct"/>
            <w:tcBorders>
              <w:top w:val="nil"/>
              <w:left w:val="nil"/>
              <w:bottom w:val="single" w:sz="8" w:space="0" w:color="auto"/>
              <w:right w:val="single" w:sz="8" w:space="0" w:color="auto"/>
            </w:tcBorders>
            <w:tcMar>
              <w:top w:w="15" w:type="dxa"/>
              <w:left w:w="108" w:type="dxa"/>
              <w:bottom w:w="15" w:type="dxa"/>
              <w:right w:w="108" w:type="dxa"/>
            </w:tcMar>
            <w:vAlign w:val="bottom"/>
            <w:hideMark/>
          </w:tcPr>
          <w:p w14:paraId="5E8D2780" w14:textId="77777777" w:rsidR="00A263E0" w:rsidRPr="00A263E0" w:rsidRDefault="00A263E0" w:rsidP="00A263E0">
            <w:pPr>
              <w:rPr>
                <w:lang w:val="en-US"/>
              </w:rPr>
            </w:pPr>
            <w:r w:rsidRPr="00A263E0">
              <w:rPr>
                <w:rFonts w:hint="eastAsia"/>
                <w:lang w:val="en-US"/>
              </w:rPr>
              <w:t>国际卫生条例（</w:t>
            </w:r>
            <w:r w:rsidRPr="00A263E0">
              <w:rPr>
                <w:lang w:val="en-US"/>
              </w:rPr>
              <w:t xml:space="preserve">2005): </w:t>
            </w:r>
            <w:r w:rsidRPr="00A263E0">
              <w:rPr>
                <w:rFonts w:hint="eastAsia"/>
                <w:lang w:val="en-US"/>
              </w:rPr>
              <w:t>缔约国自评年度报告</w:t>
            </w:r>
            <w:r w:rsidRPr="00A263E0">
              <w:rPr>
                <w:rFonts w:hint="eastAsia"/>
                <w:lang w:val="en-US"/>
              </w:rPr>
              <w:t xml:space="preserve"> </w:t>
            </w:r>
            <w:r w:rsidRPr="00A263E0">
              <w:rPr>
                <w:rFonts w:hint="eastAsia"/>
                <w:lang w:val="en-US"/>
              </w:rPr>
              <w:t>工具指导文件</w:t>
            </w:r>
          </w:p>
        </w:tc>
        <w:tc>
          <w:tcPr>
            <w:tcW w:w="331" w:type="pct"/>
            <w:tcBorders>
              <w:top w:val="nil"/>
              <w:left w:val="nil"/>
              <w:bottom w:val="single" w:sz="8" w:space="0" w:color="auto"/>
              <w:right w:val="single" w:sz="8" w:space="0" w:color="auto"/>
            </w:tcBorders>
            <w:tcMar>
              <w:top w:w="15" w:type="dxa"/>
              <w:left w:w="108" w:type="dxa"/>
              <w:bottom w:w="15" w:type="dxa"/>
              <w:right w:w="108" w:type="dxa"/>
            </w:tcMar>
            <w:vAlign w:val="bottom"/>
            <w:hideMark/>
          </w:tcPr>
          <w:p w14:paraId="683138BB" w14:textId="77777777" w:rsidR="00A263E0" w:rsidRPr="00A263E0" w:rsidRDefault="00A263E0" w:rsidP="00A263E0">
            <w:pPr>
              <w:rPr>
                <w:lang w:val="en-US"/>
              </w:rPr>
            </w:pPr>
            <w:r w:rsidRPr="00A263E0">
              <w:rPr>
                <w:lang w:val="en-US"/>
              </w:rPr>
              <w:t>Chinese</w:t>
            </w:r>
          </w:p>
        </w:tc>
        <w:tc>
          <w:tcPr>
            <w:tcW w:w="2438" w:type="pct"/>
            <w:tcBorders>
              <w:top w:val="nil"/>
              <w:left w:val="nil"/>
              <w:bottom w:val="single" w:sz="8" w:space="0" w:color="auto"/>
              <w:right w:val="nil"/>
            </w:tcBorders>
            <w:tcMar>
              <w:top w:w="15" w:type="dxa"/>
              <w:left w:w="108" w:type="dxa"/>
              <w:bottom w:w="15" w:type="dxa"/>
              <w:right w:w="108" w:type="dxa"/>
            </w:tcMar>
            <w:vAlign w:val="bottom"/>
            <w:hideMark/>
          </w:tcPr>
          <w:p w14:paraId="435A58F7" w14:textId="77777777" w:rsidR="00A263E0" w:rsidRPr="00A263E0" w:rsidRDefault="00000000" w:rsidP="00A263E0">
            <w:pPr>
              <w:rPr>
                <w:lang w:val="en-US"/>
              </w:rPr>
            </w:pPr>
            <w:hyperlink r:id="rId43" w:history="1">
              <w:r w:rsidR="00A263E0" w:rsidRPr="00A263E0">
                <w:rPr>
                  <w:rStyle w:val="Hyperlink"/>
                  <w:lang w:val="en-US"/>
                </w:rPr>
                <w:t>https://www.who.int/zh/publications/i/item/WHO-WHE-CPI-2018.17</w:t>
              </w:r>
            </w:hyperlink>
          </w:p>
        </w:tc>
      </w:tr>
    </w:tbl>
    <w:p w14:paraId="6F4D3D05" w14:textId="77777777" w:rsidR="00186795" w:rsidRPr="00576CFA" w:rsidRDefault="00186795" w:rsidP="00280DB4">
      <w:pPr>
        <w:pStyle w:val="MText"/>
        <w:shd w:val="clear" w:color="auto" w:fill="auto"/>
        <w:spacing w:after="200"/>
      </w:pPr>
    </w:p>
    <w:sectPr w:rsidR="00186795" w:rsidRPr="00576CFA">
      <w:headerReference w:type="default" r:id="rId4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3C172" w14:textId="77777777" w:rsidR="00A1101F" w:rsidRDefault="00A1101F" w:rsidP="00573C0B">
      <w:pPr>
        <w:spacing w:after="0" w:line="240" w:lineRule="auto"/>
      </w:pPr>
      <w:r>
        <w:separator/>
      </w:r>
    </w:p>
  </w:endnote>
  <w:endnote w:type="continuationSeparator" w:id="0">
    <w:p w14:paraId="27BDD8AA" w14:textId="77777777" w:rsidR="00A1101F" w:rsidRDefault="00A1101F" w:rsidP="00573C0B">
      <w:pPr>
        <w:spacing w:after="0" w:line="240" w:lineRule="auto"/>
      </w:pPr>
      <w:r>
        <w:continuationSeparator/>
      </w:r>
    </w:p>
  </w:endnote>
  <w:endnote w:type="continuationNotice" w:id="1">
    <w:p w14:paraId="2A256C75" w14:textId="77777777" w:rsidR="00A1101F" w:rsidRDefault="00A110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093C0" w14:textId="77777777" w:rsidR="00A1101F" w:rsidRDefault="00A1101F" w:rsidP="00573C0B">
      <w:pPr>
        <w:spacing w:after="0" w:line="240" w:lineRule="auto"/>
      </w:pPr>
      <w:r>
        <w:separator/>
      </w:r>
    </w:p>
  </w:footnote>
  <w:footnote w:type="continuationSeparator" w:id="0">
    <w:p w14:paraId="32068592" w14:textId="77777777" w:rsidR="00A1101F" w:rsidRDefault="00A1101F" w:rsidP="00573C0B">
      <w:pPr>
        <w:spacing w:after="0" w:line="240" w:lineRule="auto"/>
      </w:pPr>
      <w:r>
        <w:continuationSeparator/>
      </w:r>
    </w:p>
  </w:footnote>
  <w:footnote w:type="continuationNotice" w:id="1">
    <w:p w14:paraId="71BD1CA4" w14:textId="77777777" w:rsidR="00A1101F" w:rsidRDefault="00A110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A09A2BC" w:rsidR="00651C42" w:rsidRPr="00757E8A" w:rsidRDefault="00651C42"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w:t>
    </w:r>
    <w:r w:rsidR="00531CDE">
      <w:rPr>
        <w:color w:val="404040" w:themeColor="text1" w:themeTint="BF"/>
        <w:sz w:val="18"/>
        <w:szCs w:val="18"/>
      </w:rPr>
      <w:t>202</w:t>
    </w:r>
    <w:r w:rsidR="00FB572A">
      <w:rPr>
        <w:color w:val="404040" w:themeColor="text1" w:themeTint="BF"/>
        <w:sz w:val="18"/>
        <w:szCs w:val="18"/>
      </w:rPr>
      <w:t>4</w:t>
    </w:r>
    <w:r w:rsidR="00BB24FD">
      <w:rPr>
        <w:color w:val="404040" w:themeColor="text1" w:themeTint="BF"/>
        <w:sz w:val="18"/>
        <w:szCs w:val="18"/>
      </w:rPr>
      <w:t>-0</w:t>
    </w:r>
    <w:r w:rsidR="00FB572A">
      <w:rPr>
        <w:color w:val="404040" w:themeColor="text1" w:themeTint="BF"/>
        <w:sz w:val="18"/>
        <w:szCs w:val="18"/>
      </w:rPr>
      <w:t>5</w:t>
    </w:r>
    <w:r w:rsidR="00BB24FD">
      <w:rPr>
        <w:color w:val="404040" w:themeColor="text1" w:themeTint="BF"/>
        <w:sz w:val="18"/>
        <w:szCs w:val="18"/>
      </w:rPr>
      <w:t>-</w:t>
    </w:r>
    <w:r w:rsidR="00FB572A">
      <w:rPr>
        <w:color w:val="404040" w:themeColor="text1" w:themeTint="BF"/>
        <w:sz w:val="18"/>
        <w:szCs w:val="18"/>
      </w:rPr>
      <w:t>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5519"/>
    <w:multiLevelType w:val="multilevel"/>
    <w:tmpl w:val="F17480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1837D8"/>
    <w:multiLevelType w:val="multilevel"/>
    <w:tmpl w:val="4340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C233DB"/>
    <w:multiLevelType w:val="multilevel"/>
    <w:tmpl w:val="52BC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1008023">
    <w:abstractNumId w:val="5"/>
  </w:num>
  <w:num w:numId="2" w16cid:durableId="665091749">
    <w:abstractNumId w:val="1"/>
  </w:num>
  <w:num w:numId="3" w16cid:durableId="1154028854">
    <w:abstractNumId w:val="6"/>
  </w:num>
  <w:num w:numId="4" w16cid:durableId="255525913">
    <w:abstractNumId w:val="2"/>
  </w:num>
  <w:num w:numId="5" w16cid:durableId="880169240">
    <w:abstractNumId w:val="4"/>
  </w:num>
  <w:num w:numId="6" w16cid:durableId="416176012">
    <w:abstractNumId w:val="3"/>
  </w:num>
  <w:num w:numId="7" w16cid:durableId="1265184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wNjY0sjCzNLEwNjFQ0lEKTi0uzszPAykwqQUAJUSNgiwAAAA="/>
  </w:docVars>
  <w:rsids>
    <w:rsidRoot w:val="0058556D"/>
    <w:rsid w:val="00003DF7"/>
    <w:rsid w:val="000070BA"/>
    <w:rsid w:val="00010C5B"/>
    <w:rsid w:val="0001737D"/>
    <w:rsid w:val="000173F9"/>
    <w:rsid w:val="0002081B"/>
    <w:rsid w:val="00026A22"/>
    <w:rsid w:val="00027304"/>
    <w:rsid w:val="000335F9"/>
    <w:rsid w:val="00040172"/>
    <w:rsid w:val="0004105D"/>
    <w:rsid w:val="000412A0"/>
    <w:rsid w:val="00043933"/>
    <w:rsid w:val="000468E7"/>
    <w:rsid w:val="00046A2B"/>
    <w:rsid w:val="000472F4"/>
    <w:rsid w:val="00047DDA"/>
    <w:rsid w:val="00052E54"/>
    <w:rsid w:val="00053391"/>
    <w:rsid w:val="0005455A"/>
    <w:rsid w:val="00060504"/>
    <w:rsid w:val="00071F07"/>
    <w:rsid w:val="0007759D"/>
    <w:rsid w:val="000777AB"/>
    <w:rsid w:val="00077F46"/>
    <w:rsid w:val="00090FB1"/>
    <w:rsid w:val="00096186"/>
    <w:rsid w:val="00096CB7"/>
    <w:rsid w:val="000A35AA"/>
    <w:rsid w:val="000A72E4"/>
    <w:rsid w:val="000B0E2F"/>
    <w:rsid w:val="000B2430"/>
    <w:rsid w:val="000B55BC"/>
    <w:rsid w:val="000B6F27"/>
    <w:rsid w:val="000B7012"/>
    <w:rsid w:val="000D0B30"/>
    <w:rsid w:val="000D10D7"/>
    <w:rsid w:val="000E0AB1"/>
    <w:rsid w:val="000E21F1"/>
    <w:rsid w:val="000E6EB7"/>
    <w:rsid w:val="000F703E"/>
    <w:rsid w:val="001011FE"/>
    <w:rsid w:val="00103360"/>
    <w:rsid w:val="001040A0"/>
    <w:rsid w:val="00114EC4"/>
    <w:rsid w:val="00120E86"/>
    <w:rsid w:val="0012413D"/>
    <w:rsid w:val="00125377"/>
    <w:rsid w:val="00125DE9"/>
    <w:rsid w:val="001332E0"/>
    <w:rsid w:val="00134DE7"/>
    <w:rsid w:val="001363CB"/>
    <w:rsid w:val="00141A34"/>
    <w:rsid w:val="001762CF"/>
    <w:rsid w:val="00183E47"/>
    <w:rsid w:val="00185354"/>
    <w:rsid w:val="001854DC"/>
    <w:rsid w:val="00185989"/>
    <w:rsid w:val="00186795"/>
    <w:rsid w:val="001916FD"/>
    <w:rsid w:val="00194D09"/>
    <w:rsid w:val="00194F98"/>
    <w:rsid w:val="00197A89"/>
    <w:rsid w:val="001A01DA"/>
    <w:rsid w:val="001A44BA"/>
    <w:rsid w:val="001A77B3"/>
    <w:rsid w:val="001A7D5C"/>
    <w:rsid w:val="001B16DD"/>
    <w:rsid w:val="001B60AA"/>
    <w:rsid w:val="001B63C8"/>
    <w:rsid w:val="001C08B3"/>
    <w:rsid w:val="001C0FB0"/>
    <w:rsid w:val="001C1972"/>
    <w:rsid w:val="001C421F"/>
    <w:rsid w:val="001D14EF"/>
    <w:rsid w:val="001D360D"/>
    <w:rsid w:val="001D69D3"/>
    <w:rsid w:val="00221595"/>
    <w:rsid w:val="002334B6"/>
    <w:rsid w:val="00252F83"/>
    <w:rsid w:val="00256DE1"/>
    <w:rsid w:val="00260841"/>
    <w:rsid w:val="00261A8D"/>
    <w:rsid w:val="00280DB4"/>
    <w:rsid w:val="00283C1C"/>
    <w:rsid w:val="0028536C"/>
    <w:rsid w:val="00287627"/>
    <w:rsid w:val="00291A00"/>
    <w:rsid w:val="00291A11"/>
    <w:rsid w:val="002A315C"/>
    <w:rsid w:val="002A3342"/>
    <w:rsid w:val="002A64BA"/>
    <w:rsid w:val="002B3B36"/>
    <w:rsid w:val="002B4989"/>
    <w:rsid w:val="002C2510"/>
    <w:rsid w:val="002D3C09"/>
    <w:rsid w:val="002D714E"/>
    <w:rsid w:val="002E3A20"/>
    <w:rsid w:val="002E53C3"/>
    <w:rsid w:val="002F1468"/>
    <w:rsid w:val="002F4191"/>
    <w:rsid w:val="002F4B1B"/>
    <w:rsid w:val="002F5F0C"/>
    <w:rsid w:val="002F7BA8"/>
    <w:rsid w:val="0030659A"/>
    <w:rsid w:val="00324AE9"/>
    <w:rsid w:val="003265EB"/>
    <w:rsid w:val="003313D6"/>
    <w:rsid w:val="0034122E"/>
    <w:rsid w:val="0034329E"/>
    <w:rsid w:val="00343FAA"/>
    <w:rsid w:val="00347F5E"/>
    <w:rsid w:val="0035292D"/>
    <w:rsid w:val="003536F0"/>
    <w:rsid w:val="00353C98"/>
    <w:rsid w:val="0036025F"/>
    <w:rsid w:val="0036152E"/>
    <w:rsid w:val="00371A20"/>
    <w:rsid w:val="003821B4"/>
    <w:rsid w:val="00382CF3"/>
    <w:rsid w:val="00387D52"/>
    <w:rsid w:val="0039093A"/>
    <w:rsid w:val="003A5C18"/>
    <w:rsid w:val="003A7CEA"/>
    <w:rsid w:val="003B03B3"/>
    <w:rsid w:val="003B76FE"/>
    <w:rsid w:val="003B7989"/>
    <w:rsid w:val="003C1F4D"/>
    <w:rsid w:val="003C3581"/>
    <w:rsid w:val="003C3598"/>
    <w:rsid w:val="003D08A6"/>
    <w:rsid w:val="003D4E84"/>
    <w:rsid w:val="003E2ACB"/>
    <w:rsid w:val="003E4D00"/>
    <w:rsid w:val="003F0BD3"/>
    <w:rsid w:val="003F278A"/>
    <w:rsid w:val="003F2D7B"/>
    <w:rsid w:val="003F332E"/>
    <w:rsid w:val="003F4847"/>
    <w:rsid w:val="003F6ACF"/>
    <w:rsid w:val="003F7A02"/>
    <w:rsid w:val="00402FB7"/>
    <w:rsid w:val="00407523"/>
    <w:rsid w:val="004113EB"/>
    <w:rsid w:val="00413E2A"/>
    <w:rsid w:val="00422EA5"/>
    <w:rsid w:val="00422EFA"/>
    <w:rsid w:val="00425A42"/>
    <w:rsid w:val="004269E6"/>
    <w:rsid w:val="0042791F"/>
    <w:rsid w:val="00433872"/>
    <w:rsid w:val="00434A92"/>
    <w:rsid w:val="004456ED"/>
    <w:rsid w:val="004474DE"/>
    <w:rsid w:val="00457732"/>
    <w:rsid w:val="004654DB"/>
    <w:rsid w:val="0047016C"/>
    <w:rsid w:val="00471EDB"/>
    <w:rsid w:val="0048045A"/>
    <w:rsid w:val="004841B8"/>
    <w:rsid w:val="00487513"/>
    <w:rsid w:val="00492612"/>
    <w:rsid w:val="004930F2"/>
    <w:rsid w:val="00493590"/>
    <w:rsid w:val="00494B25"/>
    <w:rsid w:val="004A6952"/>
    <w:rsid w:val="004B02F5"/>
    <w:rsid w:val="004B0F1C"/>
    <w:rsid w:val="004D4618"/>
    <w:rsid w:val="004E6AD8"/>
    <w:rsid w:val="004F2EE6"/>
    <w:rsid w:val="00500D1E"/>
    <w:rsid w:val="005014BD"/>
    <w:rsid w:val="00502DBA"/>
    <w:rsid w:val="005040C4"/>
    <w:rsid w:val="00507637"/>
    <w:rsid w:val="00507852"/>
    <w:rsid w:val="005117A9"/>
    <w:rsid w:val="00514DBF"/>
    <w:rsid w:val="00515B5D"/>
    <w:rsid w:val="005168F8"/>
    <w:rsid w:val="00531CDE"/>
    <w:rsid w:val="00550921"/>
    <w:rsid w:val="00552242"/>
    <w:rsid w:val="00556B1D"/>
    <w:rsid w:val="00563712"/>
    <w:rsid w:val="00573631"/>
    <w:rsid w:val="00573C0B"/>
    <w:rsid w:val="005768D7"/>
    <w:rsid w:val="00576CFA"/>
    <w:rsid w:val="00582952"/>
    <w:rsid w:val="0058556D"/>
    <w:rsid w:val="00585E0F"/>
    <w:rsid w:val="00587F2B"/>
    <w:rsid w:val="0059102D"/>
    <w:rsid w:val="00592AF2"/>
    <w:rsid w:val="005947AD"/>
    <w:rsid w:val="00597748"/>
    <w:rsid w:val="005979E8"/>
    <w:rsid w:val="005A4A5C"/>
    <w:rsid w:val="005A5E34"/>
    <w:rsid w:val="005B6B5C"/>
    <w:rsid w:val="005B6BF8"/>
    <w:rsid w:val="005C13BC"/>
    <w:rsid w:val="005D0AF4"/>
    <w:rsid w:val="005D134C"/>
    <w:rsid w:val="005E3826"/>
    <w:rsid w:val="005E54BD"/>
    <w:rsid w:val="005F6CCA"/>
    <w:rsid w:val="00605908"/>
    <w:rsid w:val="006104AF"/>
    <w:rsid w:val="00611247"/>
    <w:rsid w:val="006121B4"/>
    <w:rsid w:val="0061480A"/>
    <w:rsid w:val="00621723"/>
    <w:rsid w:val="00621893"/>
    <w:rsid w:val="00622F62"/>
    <w:rsid w:val="006300BE"/>
    <w:rsid w:val="00630FF7"/>
    <w:rsid w:val="00632838"/>
    <w:rsid w:val="006351E1"/>
    <w:rsid w:val="006447B1"/>
    <w:rsid w:val="0064495A"/>
    <w:rsid w:val="00651C42"/>
    <w:rsid w:val="006545C7"/>
    <w:rsid w:val="00661182"/>
    <w:rsid w:val="00661881"/>
    <w:rsid w:val="00662775"/>
    <w:rsid w:val="00662B2C"/>
    <w:rsid w:val="00665F57"/>
    <w:rsid w:val="00682C13"/>
    <w:rsid w:val="006852FC"/>
    <w:rsid w:val="006A3A20"/>
    <w:rsid w:val="006B3E6F"/>
    <w:rsid w:val="006B40AB"/>
    <w:rsid w:val="006B5DC5"/>
    <w:rsid w:val="006C4BFD"/>
    <w:rsid w:val="006C6943"/>
    <w:rsid w:val="006C7D30"/>
    <w:rsid w:val="006E3C08"/>
    <w:rsid w:val="006E4DA8"/>
    <w:rsid w:val="006E4F18"/>
    <w:rsid w:val="006E682A"/>
    <w:rsid w:val="00700ACF"/>
    <w:rsid w:val="00701A0B"/>
    <w:rsid w:val="00712487"/>
    <w:rsid w:val="00713A0A"/>
    <w:rsid w:val="007140B0"/>
    <w:rsid w:val="0073054B"/>
    <w:rsid w:val="007311E8"/>
    <w:rsid w:val="00731BE8"/>
    <w:rsid w:val="00740DE3"/>
    <w:rsid w:val="00743076"/>
    <w:rsid w:val="00743A4A"/>
    <w:rsid w:val="00750B27"/>
    <w:rsid w:val="007530CA"/>
    <w:rsid w:val="007558A7"/>
    <w:rsid w:val="00756D68"/>
    <w:rsid w:val="007578D9"/>
    <w:rsid w:val="00757E8A"/>
    <w:rsid w:val="0076246C"/>
    <w:rsid w:val="00763E43"/>
    <w:rsid w:val="0076498B"/>
    <w:rsid w:val="00764EB5"/>
    <w:rsid w:val="00770FF0"/>
    <w:rsid w:val="00772747"/>
    <w:rsid w:val="007759DA"/>
    <w:rsid w:val="00777A95"/>
    <w:rsid w:val="0078085E"/>
    <w:rsid w:val="00782416"/>
    <w:rsid w:val="007846AF"/>
    <w:rsid w:val="00793771"/>
    <w:rsid w:val="00794878"/>
    <w:rsid w:val="007A49E0"/>
    <w:rsid w:val="007B0364"/>
    <w:rsid w:val="007C03F2"/>
    <w:rsid w:val="007C5A24"/>
    <w:rsid w:val="007D0981"/>
    <w:rsid w:val="007D1929"/>
    <w:rsid w:val="007E4201"/>
    <w:rsid w:val="007E64F4"/>
    <w:rsid w:val="007E7AD1"/>
    <w:rsid w:val="007F44E7"/>
    <w:rsid w:val="007F55AD"/>
    <w:rsid w:val="00801C6B"/>
    <w:rsid w:val="00803CF1"/>
    <w:rsid w:val="00810137"/>
    <w:rsid w:val="008104BB"/>
    <w:rsid w:val="00812C39"/>
    <w:rsid w:val="00813156"/>
    <w:rsid w:val="008172C0"/>
    <w:rsid w:val="00820C1F"/>
    <w:rsid w:val="008224C4"/>
    <w:rsid w:val="00822DE0"/>
    <w:rsid w:val="008249C5"/>
    <w:rsid w:val="008333EA"/>
    <w:rsid w:val="008526F9"/>
    <w:rsid w:val="0085285E"/>
    <w:rsid w:val="00853023"/>
    <w:rsid w:val="008534D4"/>
    <w:rsid w:val="00853C2D"/>
    <w:rsid w:val="00854D27"/>
    <w:rsid w:val="0086709B"/>
    <w:rsid w:val="00875619"/>
    <w:rsid w:val="00877C5A"/>
    <w:rsid w:val="00881DCB"/>
    <w:rsid w:val="00881E28"/>
    <w:rsid w:val="00892E5B"/>
    <w:rsid w:val="00894C4B"/>
    <w:rsid w:val="008A12E3"/>
    <w:rsid w:val="008A2666"/>
    <w:rsid w:val="008A425B"/>
    <w:rsid w:val="008A42FA"/>
    <w:rsid w:val="008B0AC7"/>
    <w:rsid w:val="008B6D63"/>
    <w:rsid w:val="008B7385"/>
    <w:rsid w:val="008C2335"/>
    <w:rsid w:val="008C67C1"/>
    <w:rsid w:val="008D1D39"/>
    <w:rsid w:val="008D7602"/>
    <w:rsid w:val="008E039D"/>
    <w:rsid w:val="008E17A0"/>
    <w:rsid w:val="008F0418"/>
    <w:rsid w:val="008F07D2"/>
    <w:rsid w:val="008F4040"/>
    <w:rsid w:val="008F62F3"/>
    <w:rsid w:val="00905D02"/>
    <w:rsid w:val="00913018"/>
    <w:rsid w:val="00913B86"/>
    <w:rsid w:val="00917851"/>
    <w:rsid w:val="00917F65"/>
    <w:rsid w:val="00920496"/>
    <w:rsid w:val="0092135C"/>
    <w:rsid w:val="009311E7"/>
    <w:rsid w:val="00942694"/>
    <w:rsid w:val="00954053"/>
    <w:rsid w:val="0095455C"/>
    <w:rsid w:val="0095724F"/>
    <w:rsid w:val="0096137C"/>
    <w:rsid w:val="009628B2"/>
    <w:rsid w:val="00962DE8"/>
    <w:rsid w:val="00964C2D"/>
    <w:rsid w:val="00970E79"/>
    <w:rsid w:val="0097181B"/>
    <w:rsid w:val="0097301B"/>
    <w:rsid w:val="0097692C"/>
    <w:rsid w:val="00981170"/>
    <w:rsid w:val="009936A1"/>
    <w:rsid w:val="009A7E3A"/>
    <w:rsid w:val="009B1265"/>
    <w:rsid w:val="009B4A15"/>
    <w:rsid w:val="009B5693"/>
    <w:rsid w:val="009C4BEF"/>
    <w:rsid w:val="009C5DBA"/>
    <w:rsid w:val="009C61A2"/>
    <w:rsid w:val="009C6ECB"/>
    <w:rsid w:val="009C78E4"/>
    <w:rsid w:val="009C7C00"/>
    <w:rsid w:val="009D33E3"/>
    <w:rsid w:val="009D687E"/>
    <w:rsid w:val="009F6DE7"/>
    <w:rsid w:val="00A00A39"/>
    <w:rsid w:val="00A10583"/>
    <w:rsid w:val="00A10C53"/>
    <w:rsid w:val="00A10FF5"/>
    <w:rsid w:val="00A1101F"/>
    <w:rsid w:val="00A13F0D"/>
    <w:rsid w:val="00A1482A"/>
    <w:rsid w:val="00A263E0"/>
    <w:rsid w:val="00A351CD"/>
    <w:rsid w:val="00A37FCB"/>
    <w:rsid w:val="00A54863"/>
    <w:rsid w:val="00A56EA0"/>
    <w:rsid w:val="00A61D74"/>
    <w:rsid w:val="00A70715"/>
    <w:rsid w:val="00A727CA"/>
    <w:rsid w:val="00A828DF"/>
    <w:rsid w:val="00A8320D"/>
    <w:rsid w:val="00A8688B"/>
    <w:rsid w:val="00A91163"/>
    <w:rsid w:val="00A92509"/>
    <w:rsid w:val="00A9286F"/>
    <w:rsid w:val="00A96255"/>
    <w:rsid w:val="00AB285B"/>
    <w:rsid w:val="00AD196F"/>
    <w:rsid w:val="00AD7E9F"/>
    <w:rsid w:val="00AE35DA"/>
    <w:rsid w:val="00AE505A"/>
    <w:rsid w:val="00AF508E"/>
    <w:rsid w:val="00AF5552"/>
    <w:rsid w:val="00AF5CB4"/>
    <w:rsid w:val="00AF5ED1"/>
    <w:rsid w:val="00AF7146"/>
    <w:rsid w:val="00AF71D6"/>
    <w:rsid w:val="00B005FE"/>
    <w:rsid w:val="00B0071B"/>
    <w:rsid w:val="00B038CD"/>
    <w:rsid w:val="00B06026"/>
    <w:rsid w:val="00B10A65"/>
    <w:rsid w:val="00B11796"/>
    <w:rsid w:val="00B216EE"/>
    <w:rsid w:val="00B274AE"/>
    <w:rsid w:val="00B3175F"/>
    <w:rsid w:val="00B31E2C"/>
    <w:rsid w:val="00B329B0"/>
    <w:rsid w:val="00B35DC2"/>
    <w:rsid w:val="00B402D8"/>
    <w:rsid w:val="00B4237C"/>
    <w:rsid w:val="00B42FE8"/>
    <w:rsid w:val="00B44E8E"/>
    <w:rsid w:val="00B52AFD"/>
    <w:rsid w:val="00B54077"/>
    <w:rsid w:val="00B629DB"/>
    <w:rsid w:val="00B67E43"/>
    <w:rsid w:val="00B75E2F"/>
    <w:rsid w:val="00B8087E"/>
    <w:rsid w:val="00B87AD1"/>
    <w:rsid w:val="00B92F61"/>
    <w:rsid w:val="00B944F6"/>
    <w:rsid w:val="00B96B28"/>
    <w:rsid w:val="00BA24ED"/>
    <w:rsid w:val="00BA276C"/>
    <w:rsid w:val="00BA28E2"/>
    <w:rsid w:val="00BB1ABC"/>
    <w:rsid w:val="00BB24FD"/>
    <w:rsid w:val="00BB646E"/>
    <w:rsid w:val="00BC21FD"/>
    <w:rsid w:val="00BC26E3"/>
    <w:rsid w:val="00BC38EE"/>
    <w:rsid w:val="00BC6753"/>
    <w:rsid w:val="00BC7718"/>
    <w:rsid w:val="00BD1BA1"/>
    <w:rsid w:val="00BD32F1"/>
    <w:rsid w:val="00BD73FA"/>
    <w:rsid w:val="00BE18F5"/>
    <w:rsid w:val="00BE309E"/>
    <w:rsid w:val="00BE6456"/>
    <w:rsid w:val="00BE6F70"/>
    <w:rsid w:val="00BF1026"/>
    <w:rsid w:val="00C019E5"/>
    <w:rsid w:val="00C11103"/>
    <w:rsid w:val="00C22456"/>
    <w:rsid w:val="00C24583"/>
    <w:rsid w:val="00C3277D"/>
    <w:rsid w:val="00C35BC4"/>
    <w:rsid w:val="00C41F0A"/>
    <w:rsid w:val="00C43F5B"/>
    <w:rsid w:val="00C543B9"/>
    <w:rsid w:val="00C669D9"/>
    <w:rsid w:val="00C71268"/>
    <w:rsid w:val="00C738FC"/>
    <w:rsid w:val="00C75C8B"/>
    <w:rsid w:val="00C772B3"/>
    <w:rsid w:val="00C80CCB"/>
    <w:rsid w:val="00C81A1B"/>
    <w:rsid w:val="00C83EFC"/>
    <w:rsid w:val="00C860FC"/>
    <w:rsid w:val="00C95E9B"/>
    <w:rsid w:val="00CA1A19"/>
    <w:rsid w:val="00CA3A43"/>
    <w:rsid w:val="00CA7BC0"/>
    <w:rsid w:val="00CB4371"/>
    <w:rsid w:val="00CB71A8"/>
    <w:rsid w:val="00CC3761"/>
    <w:rsid w:val="00CC4E84"/>
    <w:rsid w:val="00CC516D"/>
    <w:rsid w:val="00CD78A6"/>
    <w:rsid w:val="00CE055E"/>
    <w:rsid w:val="00D01833"/>
    <w:rsid w:val="00D036EB"/>
    <w:rsid w:val="00D07EBD"/>
    <w:rsid w:val="00D15D29"/>
    <w:rsid w:val="00D16082"/>
    <w:rsid w:val="00D17930"/>
    <w:rsid w:val="00D206EF"/>
    <w:rsid w:val="00D21D4F"/>
    <w:rsid w:val="00D23640"/>
    <w:rsid w:val="00D24330"/>
    <w:rsid w:val="00D25EB5"/>
    <w:rsid w:val="00D339BF"/>
    <w:rsid w:val="00D40056"/>
    <w:rsid w:val="00D41CC5"/>
    <w:rsid w:val="00D4260D"/>
    <w:rsid w:val="00D4271B"/>
    <w:rsid w:val="00D427C7"/>
    <w:rsid w:val="00D43B99"/>
    <w:rsid w:val="00D5046D"/>
    <w:rsid w:val="00D51E7C"/>
    <w:rsid w:val="00D53F81"/>
    <w:rsid w:val="00D5482F"/>
    <w:rsid w:val="00D54F29"/>
    <w:rsid w:val="00D66DB4"/>
    <w:rsid w:val="00D7020C"/>
    <w:rsid w:val="00D70790"/>
    <w:rsid w:val="00D70AD9"/>
    <w:rsid w:val="00D72152"/>
    <w:rsid w:val="00D72961"/>
    <w:rsid w:val="00D86739"/>
    <w:rsid w:val="00D94BA5"/>
    <w:rsid w:val="00D9510F"/>
    <w:rsid w:val="00DA3F02"/>
    <w:rsid w:val="00DA615C"/>
    <w:rsid w:val="00DB1EEA"/>
    <w:rsid w:val="00DB2AD7"/>
    <w:rsid w:val="00DD1BC6"/>
    <w:rsid w:val="00DE5DC3"/>
    <w:rsid w:val="00DE5DE3"/>
    <w:rsid w:val="00DE7FEB"/>
    <w:rsid w:val="00E00D8A"/>
    <w:rsid w:val="00E02D7C"/>
    <w:rsid w:val="00E1050F"/>
    <w:rsid w:val="00E11604"/>
    <w:rsid w:val="00E11D92"/>
    <w:rsid w:val="00E130A0"/>
    <w:rsid w:val="00E210C4"/>
    <w:rsid w:val="00E23DB7"/>
    <w:rsid w:val="00E32058"/>
    <w:rsid w:val="00E421D6"/>
    <w:rsid w:val="00E45521"/>
    <w:rsid w:val="00E466E5"/>
    <w:rsid w:val="00E46D96"/>
    <w:rsid w:val="00E52CCA"/>
    <w:rsid w:val="00E60F22"/>
    <w:rsid w:val="00E66409"/>
    <w:rsid w:val="00E67B2D"/>
    <w:rsid w:val="00E67FBE"/>
    <w:rsid w:val="00E72330"/>
    <w:rsid w:val="00E74386"/>
    <w:rsid w:val="00E81D5B"/>
    <w:rsid w:val="00E92BCA"/>
    <w:rsid w:val="00E943E8"/>
    <w:rsid w:val="00E976B9"/>
    <w:rsid w:val="00EA05D3"/>
    <w:rsid w:val="00EB19AD"/>
    <w:rsid w:val="00EB2F31"/>
    <w:rsid w:val="00EB6493"/>
    <w:rsid w:val="00EC187F"/>
    <w:rsid w:val="00EC21ED"/>
    <w:rsid w:val="00EC2915"/>
    <w:rsid w:val="00EC7651"/>
    <w:rsid w:val="00ED00F0"/>
    <w:rsid w:val="00ED05A9"/>
    <w:rsid w:val="00ED1BA0"/>
    <w:rsid w:val="00ED32A3"/>
    <w:rsid w:val="00ED367D"/>
    <w:rsid w:val="00ED5060"/>
    <w:rsid w:val="00EE5D95"/>
    <w:rsid w:val="00EE6F04"/>
    <w:rsid w:val="00F04E9F"/>
    <w:rsid w:val="00F0733B"/>
    <w:rsid w:val="00F10A25"/>
    <w:rsid w:val="00F152A1"/>
    <w:rsid w:val="00F169FA"/>
    <w:rsid w:val="00F17257"/>
    <w:rsid w:val="00F34D24"/>
    <w:rsid w:val="00F4130B"/>
    <w:rsid w:val="00F4252A"/>
    <w:rsid w:val="00F556A2"/>
    <w:rsid w:val="00F65B36"/>
    <w:rsid w:val="00F7146D"/>
    <w:rsid w:val="00F719A8"/>
    <w:rsid w:val="00F805BD"/>
    <w:rsid w:val="00F82AF4"/>
    <w:rsid w:val="00F82D2C"/>
    <w:rsid w:val="00F86A8A"/>
    <w:rsid w:val="00F87362"/>
    <w:rsid w:val="00F878B9"/>
    <w:rsid w:val="00FB24E8"/>
    <w:rsid w:val="00FB3B2B"/>
    <w:rsid w:val="00FB572A"/>
    <w:rsid w:val="00FC18DA"/>
    <w:rsid w:val="00FC3917"/>
    <w:rsid w:val="00FC41DB"/>
    <w:rsid w:val="00FC497A"/>
    <w:rsid w:val="00FD6055"/>
    <w:rsid w:val="00FD60DA"/>
    <w:rsid w:val="00FE3509"/>
    <w:rsid w:val="00FF07B4"/>
    <w:rsid w:val="00FF21FB"/>
    <w:rsid w:val="00FF3322"/>
    <w:rsid w:val="00FF5694"/>
    <w:rsid w:val="1791679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76246C"/>
    <w:rPr>
      <w:color w:val="800080" w:themeColor="followedHyperlink"/>
      <w:u w:val="single"/>
    </w:rPr>
  </w:style>
  <w:style w:type="paragraph" w:styleId="Revision">
    <w:name w:val="Revision"/>
    <w:hidden/>
    <w:uiPriority w:val="99"/>
    <w:semiHidden/>
    <w:rsid w:val="001363CB"/>
    <w:pPr>
      <w:spacing w:after="0" w:line="240" w:lineRule="auto"/>
    </w:pPr>
  </w:style>
  <w:style w:type="character" w:customStyle="1" w:styleId="normaltextrun">
    <w:name w:val="normaltextrun"/>
    <w:basedOn w:val="DefaultParagraphFont"/>
  </w:style>
  <w:style w:type="character" w:customStyle="1" w:styleId="eop">
    <w:name w:val="eop"/>
    <w:basedOn w:val="DefaultParagraphFont"/>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8912">
      <w:bodyDiv w:val="1"/>
      <w:marLeft w:val="0"/>
      <w:marRight w:val="0"/>
      <w:marTop w:val="0"/>
      <w:marBottom w:val="0"/>
      <w:divBdr>
        <w:top w:val="none" w:sz="0" w:space="0" w:color="auto"/>
        <w:left w:val="none" w:sz="0" w:space="0" w:color="auto"/>
        <w:bottom w:val="none" w:sz="0" w:space="0" w:color="auto"/>
        <w:right w:val="none" w:sz="0" w:space="0" w:color="auto"/>
      </w:divBdr>
    </w:div>
    <w:div w:id="233707569">
      <w:bodyDiv w:val="1"/>
      <w:marLeft w:val="0"/>
      <w:marRight w:val="0"/>
      <w:marTop w:val="0"/>
      <w:marBottom w:val="0"/>
      <w:divBdr>
        <w:top w:val="none" w:sz="0" w:space="0" w:color="auto"/>
        <w:left w:val="none" w:sz="0" w:space="0" w:color="auto"/>
        <w:bottom w:val="none" w:sz="0" w:space="0" w:color="auto"/>
        <w:right w:val="none" w:sz="0" w:space="0" w:color="auto"/>
      </w:divBdr>
    </w:div>
    <w:div w:id="524367536">
      <w:bodyDiv w:val="1"/>
      <w:marLeft w:val="0"/>
      <w:marRight w:val="0"/>
      <w:marTop w:val="0"/>
      <w:marBottom w:val="0"/>
      <w:divBdr>
        <w:top w:val="none" w:sz="0" w:space="0" w:color="auto"/>
        <w:left w:val="none" w:sz="0" w:space="0" w:color="auto"/>
        <w:bottom w:val="none" w:sz="0" w:space="0" w:color="auto"/>
        <w:right w:val="none" w:sz="0" w:space="0" w:color="auto"/>
      </w:divBdr>
    </w:div>
    <w:div w:id="546180293">
      <w:bodyDiv w:val="1"/>
      <w:marLeft w:val="0"/>
      <w:marRight w:val="0"/>
      <w:marTop w:val="0"/>
      <w:marBottom w:val="0"/>
      <w:divBdr>
        <w:top w:val="none" w:sz="0" w:space="0" w:color="auto"/>
        <w:left w:val="none" w:sz="0" w:space="0" w:color="auto"/>
        <w:bottom w:val="none" w:sz="0" w:space="0" w:color="auto"/>
        <w:right w:val="none" w:sz="0" w:space="0" w:color="auto"/>
      </w:divBdr>
    </w:div>
    <w:div w:id="698775892">
      <w:bodyDiv w:val="1"/>
      <w:marLeft w:val="0"/>
      <w:marRight w:val="0"/>
      <w:marTop w:val="0"/>
      <w:marBottom w:val="0"/>
      <w:divBdr>
        <w:top w:val="none" w:sz="0" w:space="0" w:color="auto"/>
        <w:left w:val="none" w:sz="0" w:space="0" w:color="auto"/>
        <w:bottom w:val="none" w:sz="0" w:space="0" w:color="auto"/>
        <w:right w:val="none" w:sz="0" w:space="0" w:color="auto"/>
      </w:divBdr>
    </w:div>
    <w:div w:id="945305531">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72775833">
      <w:bodyDiv w:val="1"/>
      <w:marLeft w:val="0"/>
      <w:marRight w:val="0"/>
      <w:marTop w:val="0"/>
      <w:marBottom w:val="0"/>
      <w:divBdr>
        <w:top w:val="none" w:sz="0" w:space="0" w:color="auto"/>
        <w:left w:val="none" w:sz="0" w:space="0" w:color="auto"/>
        <w:bottom w:val="none" w:sz="0" w:space="0" w:color="auto"/>
        <w:right w:val="none" w:sz="0" w:space="0" w:color="auto"/>
      </w:divBdr>
    </w:div>
    <w:div w:id="11253907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62543467">
      <w:bodyDiv w:val="1"/>
      <w:marLeft w:val="0"/>
      <w:marRight w:val="0"/>
      <w:marTop w:val="0"/>
      <w:marBottom w:val="0"/>
      <w:divBdr>
        <w:top w:val="none" w:sz="0" w:space="0" w:color="auto"/>
        <w:left w:val="none" w:sz="0" w:space="0" w:color="auto"/>
        <w:bottom w:val="none" w:sz="0" w:space="0" w:color="auto"/>
        <w:right w:val="none" w:sz="0" w:space="0" w:color="auto"/>
      </w:divBdr>
    </w:div>
    <w:div w:id="1441220987">
      <w:bodyDiv w:val="1"/>
      <w:marLeft w:val="0"/>
      <w:marRight w:val="0"/>
      <w:marTop w:val="0"/>
      <w:marBottom w:val="0"/>
      <w:divBdr>
        <w:top w:val="none" w:sz="0" w:space="0" w:color="auto"/>
        <w:left w:val="none" w:sz="0" w:space="0" w:color="auto"/>
        <w:bottom w:val="none" w:sz="0" w:space="0" w:color="auto"/>
        <w:right w:val="none" w:sz="0" w:space="0" w:color="auto"/>
      </w:divBdr>
    </w:div>
    <w:div w:id="1509444675">
      <w:bodyDiv w:val="1"/>
      <w:marLeft w:val="0"/>
      <w:marRight w:val="0"/>
      <w:marTop w:val="0"/>
      <w:marBottom w:val="0"/>
      <w:divBdr>
        <w:top w:val="none" w:sz="0" w:space="0" w:color="auto"/>
        <w:left w:val="none" w:sz="0" w:space="0" w:color="auto"/>
        <w:bottom w:val="none" w:sz="0" w:space="0" w:color="auto"/>
        <w:right w:val="none" w:sz="0" w:space="0" w:color="auto"/>
      </w:divBdr>
    </w:div>
    <w:div w:id="1995336823">
      <w:bodyDiv w:val="1"/>
      <w:marLeft w:val="0"/>
      <w:marRight w:val="0"/>
      <w:marTop w:val="0"/>
      <w:marBottom w:val="0"/>
      <w:divBdr>
        <w:top w:val="none" w:sz="0" w:space="0" w:color="auto"/>
        <w:left w:val="none" w:sz="0" w:space="0" w:color="auto"/>
        <w:bottom w:val="none" w:sz="0" w:space="0" w:color="auto"/>
        <w:right w:val="none" w:sz="0" w:space="0" w:color="auto"/>
      </w:divBdr>
    </w:div>
    <w:div w:id="214318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xtranet.who.int/e-spar" TargetMode="External"/><Relationship Id="rId18" Type="http://schemas.openxmlformats.org/officeDocument/2006/relationships/hyperlink" Target="https://extranet.who.int/e-spar" TargetMode="External"/><Relationship Id="rId26" Type="http://schemas.openxmlformats.org/officeDocument/2006/relationships/hyperlink" Target="https://extranet.who.int/sph/" TargetMode="External"/><Relationship Id="rId39" Type="http://schemas.openxmlformats.org/officeDocument/2006/relationships/hyperlink" Target="https://www.who.int/fr/publications/i/item/WHO-WHE-CPI-2018.17" TargetMode="External"/><Relationship Id="rId21" Type="http://schemas.openxmlformats.org/officeDocument/2006/relationships/hyperlink" Target="https://www.who.int/data/ddi" TargetMode="External"/><Relationship Id="rId34" Type="http://schemas.openxmlformats.org/officeDocument/2006/relationships/hyperlink" Target="https://www.who.int/publications/i/item/WHO-WPE-HSP-CCI-CAP-2021.1" TargetMode="External"/><Relationship Id="rId42" Type="http://schemas.openxmlformats.org/officeDocument/2006/relationships/hyperlink" Target="https://www.who.int/ru/publications/i/item/WHO-WHE-CPI-2018.17"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who.int/data/gho" TargetMode="External"/><Relationship Id="rId29" Type="http://schemas.openxmlformats.org/officeDocument/2006/relationships/hyperlink" Target="https://www.who.int/fr/publications/i/item/97892400401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ho.int" TargetMode="External"/><Relationship Id="rId24" Type="http://schemas.openxmlformats.org/officeDocument/2006/relationships/hyperlink" Target="https://extranet.who.int/sph/" TargetMode="External"/><Relationship Id="rId32" Type="http://schemas.openxmlformats.org/officeDocument/2006/relationships/hyperlink" Target="https://www.who.int/zh/publications/i/item/9789240040120" TargetMode="External"/><Relationship Id="rId37" Type="http://schemas.openxmlformats.org/officeDocument/2006/relationships/hyperlink" Target="https://who.int/es/publications/i/item/WHO-WPE-HSP-CCI-CAP-2021.1" TargetMode="External"/><Relationship Id="rId40" Type="http://schemas.openxmlformats.org/officeDocument/2006/relationships/hyperlink" Target="https://www.who.int/es/publications/i/item/WHO-WHE-CPI-2018.17"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extranet.who.int/sph/" TargetMode="External"/><Relationship Id="rId23" Type="http://schemas.openxmlformats.org/officeDocument/2006/relationships/hyperlink" Target="https://extranet.who.int/e-spar/" TargetMode="External"/><Relationship Id="rId28" Type="http://schemas.openxmlformats.org/officeDocument/2006/relationships/hyperlink" Target="https://www.who.int/ru/publications/i/item/9789240040120" TargetMode="External"/><Relationship Id="rId36" Type="http://schemas.openxmlformats.org/officeDocument/2006/relationships/hyperlink" Target="https://who.int/pt/publications/i/item/WHO-WPE-HSP-CCI-CAP-2021.1" TargetMode="External"/><Relationship Id="rId10" Type="http://schemas.openxmlformats.org/officeDocument/2006/relationships/endnotes" Target="endnotes.xml"/><Relationship Id="rId19" Type="http://schemas.openxmlformats.org/officeDocument/2006/relationships/hyperlink" Target="https://extranet.who.int/e-spar/" TargetMode="External"/><Relationship Id="rId31" Type="http://schemas.openxmlformats.org/officeDocument/2006/relationships/hyperlink" Target="https://www.who.int/ar/publications/i/item/9789240040120"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xtranet.who.int/e-spar" TargetMode="External"/><Relationship Id="rId22" Type="http://schemas.openxmlformats.org/officeDocument/2006/relationships/hyperlink" Target="https://www.who.int/data/ddi" TargetMode="External"/><Relationship Id="rId27" Type="http://schemas.openxmlformats.org/officeDocument/2006/relationships/hyperlink" Target="https://www.who.int/publications/i/item/9789240040120" TargetMode="External"/><Relationship Id="rId30" Type="http://schemas.openxmlformats.org/officeDocument/2006/relationships/hyperlink" Target="https://www.who.int/pt/publications/i/item/9789240040120" TargetMode="External"/><Relationship Id="rId35" Type="http://schemas.openxmlformats.org/officeDocument/2006/relationships/hyperlink" Target="https://who.int/fr/publications/i/item/WHO-WPE-HSP-CCI-CAP-2021.1" TargetMode="External"/><Relationship Id="rId43" Type="http://schemas.openxmlformats.org/officeDocument/2006/relationships/hyperlink" Target="https://www.who.int/zh/publications/i/item/WHO-WHE-CPI-2018.17"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extranet.who.int/e-spar" TargetMode="External"/><Relationship Id="rId17" Type="http://schemas.openxmlformats.org/officeDocument/2006/relationships/hyperlink" Target="https://portal.who.int/triplebillions/" TargetMode="External"/><Relationship Id="rId25" Type="http://schemas.openxmlformats.org/officeDocument/2006/relationships/hyperlink" Target="https://www.who.int/data/gho" TargetMode="External"/><Relationship Id="rId33" Type="http://schemas.openxmlformats.org/officeDocument/2006/relationships/hyperlink" Target="https://www.who.int/es/publications/i/item/9789240040120" TargetMode="External"/><Relationship Id="rId38" Type="http://schemas.openxmlformats.org/officeDocument/2006/relationships/hyperlink" Target="https://www.who.int/publications/i/item/WHO-WHE-CPI-2018.17" TargetMode="External"/><Relationship Id="rId46" Type="http://schemas.openxmlformats.org/officeDocument/2006/relationships/glossaryDocument" Target="glossary/document.xml"/><Relationship Id="rId20" Type="http://schemas.openxmlformats.org/officeDocument/2006/relationships/hyperlink" Target="https://www.who.int/data/ddi" TargetMode="External"/><Relationship Id="rId41" Type="http://schemas.openxmlformats.org/officeDocument/2006/relationships/hyperlink" Target="https://www.who.int/ar/publications/i/item/WHO-WHE-CPI-2018.1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0FFE9A2E-1150-43F8-8AE2-3D2C18D8E418}"/>
      </w:docPartPr>
      <w:docPartBody>
        <w:p w:rsidR="00B60FBD" w:rsidRDefault="00AF5E67">
          <w:r w:rsidRPr="003A275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E67"/>
    <w:rsid w:val="001E3FFA"/>
    <w:rsid w:val="00AF5E67"/>
    <w:rsid w:val="00B60FBD"/>
    <w:rsid w:val="00BD3FB6"/>
    <w:rsid w:val="00C20C5C"/>
    <w:rsid w:val="00D10E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5E6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6b85505-ce97-4e93-9242-a479948a31f9">
      <UserInfo>
        <DisplayName>SREEDHARAN, Rajesh</DisplayName>
        <AccountId>13</AccountId>
        <AccountType/>
      </UserInfo>
      <UserInfo>
        <DisplayName>MALA, Peter Omondi</DisplayName>
        <AccountId>15</AccountId>
        <AccountType/>
      </UserInfo>
      <UserInfo>
        <DisplayName>NGUYEN Nam</DisplayName>
        <AccountId>18</AccountId>
        <AccountType/>
      </UserInfo>
      <UserInfo>
        <DisplayName>BAYUGO, Yolanda</DisplayName>
        <AccountId>55</AccountId>
        <AccountType/>
      </UserInfo>
    </SharedWithUsers>
    <TaxCatchAll xmlns="36b85505-ce97-4e93-9242-a479948a31f9" xsi:nil="true"/>
    <lcf76f155ced4ddcb4097134ff3c332f xmlns="68d9e2be-9b8f-43df-9060-df3b1d9be06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E35193CB2898F4DA09FD206133D98F1" ma:contentTypeVersion="18" ma:contentTypeDescription="Create a new document." ma:contentTypeScope="" ma:versionID="ac0d6ea1e9b73f2623b260b05e7e10f5">
  <xsd:schema xmlns:xsd="http://www.w3.org/2001/XMLSchema" xmlns:xs="http://www.w3.org/2001/XMLSchema" xmlns:p="http://schemas.microsoft.com/office/2006/metadata/properties" xmlns:ns2="68d9e2be-9b8f-43df-9060-df3b1d9be06c" xmlns:ns3="36b85505-ce97-4e93-9242-a479948a31f9" targetNamespace="http://schemas.microsoft.com/office/2006/metadata/properties" ma:root="true" ma:fieldsID="9be294489c4bd5642bd52c4a672c320b" ns2:_="" ns3:_="">
    <xsd:import namespace="68d9e2be-9b8f-43df-9060-df3b1d9be06c"/>
    <xsd:import namespace="36b85505-ce97-4e93-9242-a479948a31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d9e2be-9b8f-43df-9060-df3b1d9be0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6b85505-ce97-4e93-9242-a479948a31f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4ea3a27-51e2-4e72-a138-bce04217a3a4}" ma:internalName="TaxCatchAll" ma:showField="CatchAllData" ma:web="36b85505-ce97-4e93-9242-a479948a31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36b85505-ce97-4e93-9242-a479948a31f9"/>
    <ds:schemaRef ds:uri="68d9e2be-9b8f-43df-9060-df3b1d9be06c"/>
  </ds:schemaRefs>
</ds:datastoreItem>
</file>

<file path=customXml/itemProps2.xml><?xml version="1.0" encoding="utf-8"?>
<ds:datastoreItem xmlns:ds="http://schemas.openxmlformats.org/officeDocument/2006/customXml" ds:itemID="{CD1EAA98-FFAC-4221-9767-6DB3A080B7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d9e2be-9b8f-43df-9060-df3b1d9be06c"/>
    <ds:schemaRef ds:uri="36b85505-ce97-4e93-9242-a479948a31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D98F59-8E70-4A19-9EA2-C748B761B100}">
  <ds:schemaRefs>
    <ds:schemaRef ds:uri="http://schemas.openxmlformats.org/officeDocument/2006/bibliography"/>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3060</Words>
  <Characters>17442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BAYUGO, Yolanda</dc:creator>
  <cp:lastModifiedBy>Harumi Shibata Salazar</cp:lastModifiedBy>
  <cp:revision>6</cp:revision>
  <cp:lastPrinted>2016-07-16T14:25:00Z</cp:lastPrinted>
  <dcterms:created xsi:type="dcterms:W3CDTF">2024-04-11T13:15:00Z</dcterms:created>
  <dcterms:modified xsi:type="dcterms:W3CDTF">2024-05-24T04:56:00Z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0x010100EE35193CB2898F4DA09FD206133D98F1</vt:lpwstr>
  </property>
  <property fmtid="{D5CDD505-2E9C-101B-9397-08002B2CF9AE}" pid="3" name="MediaServiceImageTags">
    <vt:lpwstr/>
  </property>
  <property fmtid="{D5CDD505-2E9C-101B-9397-08002B2CF9AE}" pid="4" name="GrammarlyDocumentId">
    <vt:lpwstr>71c912c3ad14de03da571ec936b342618a5d74621dfe10923f21ce84c20572d1</vt:lpwstr>
  </property>
</Properties>
</file>