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1A97B" w14:textId="77777777" w:rsidR="007B1F51" w:rsidRPr="00A96255" w:rsidRDefault="007B1F51" w:rsidP="007B1F51">
      <w:pPr>
        <w:spacing w:after="0"/>
        <w:jc w:val="center"/>
      </w:pPr>
      <w:r w:rsidRPr="00A96255">
        <w:rPr>
          <w:rFonts w:eastAsia="Times New Roman"/>
          <w:color w:val="1C75BC"/>
          <w:sz w:val="36"/>
          <w:szCs w:val="36"/>
          <w:lang w:eastAsia="en-GB"/>
        </w:rPr>
        <w:t>SDG indicator metadata</w:t>
      </w:r>
    </w:p>
    <w:p w14:paraId="129054E9" w14:textId="3D2AC090" w:rsidR="006C4BFD" w:rsidRPr="00A96255" w:rsidRDefault="002C2510" w:rsidP="00EF293C">
      <w:pPr>
        <w:jc w:val="center"/>
        <w:rPr>
          <w:lang w:eastAsia="en-GB"/>
        </w:rPr>
      </w:pPr>
      <w:r w:rsidRPr="00A96255">
        <w:rPr>
          <w:lang w:eastAsia="en-GB"/>
        </w:rPr>
        <w:t xml:space="preserve">(Harmonized </w:t>
      </w:r>
      <w:r w:rsidR="00942694">
        <w:rPr>
          <w:lang w:eastAsia="en-GB"/>
        </w:rPr>
        <w:t xml:space="preserve">metadata </w:t>
      </w:r>
      <w:r w:rsidRPr="00A96255">
        <w:rPr>
          <w:lang w:eastAsia="en-GB"/>
        </w:rPr>
        <w:t>template - format version 1.</w:t>
      </w:r>
      <w:r w:rsidR="00386D42">
        <w:rPr>
          <w:lang w:eastAsia="en-GB"/>
        </w:rPr>
        <w:t>1</w:t>
      </w:r>
      <w:r w:rsidRPr="00A96255">
        <w:rPr>
          <w:lang w:eastAsia="en-GB"/>
        </w:rPr>
        <w:t>)</w:t>
      </w:r>
    </w:p>
    <w:p w14:paraId="6AEAC6DA" w14:textId="5CBB2479" w:rsidR="00B31E2C" w:rsidRPr="00A96255" w:rsidRDefault="00B31E2C" w:rsidP="00B576ED">
      <w:pPr>
        <w:pStyle w:val="MIndHeader2"/>
      </w:pPr>
      <w:r w:rsidRPr="00A96255">
        <w:t>0. Indicator information</w:t>
      </w:r>
      <w:r w:rsidR="00386D42" w:rsidRPr="00A96255">
        <w:t xml:space="preserve"> </w:t>
      </w:r>
      <w:r w:rsidR="00386D42">
        <w:rPr>
          <w:color w:val="B4B4B4"/>
          <w:sz w:val="20"/>
        </w:rPr>
        <w:t>(SDG_INDICATOR_INFO)</w:t>
      </w:r>
    </w:p>
    <w:p w14:paraId="043ED752" w14:textId="09900A58" w:rsidR="00D24330" w:rsidRPr="00A96255" w:rsidRDefault="00D24330" w:rsidP="00B576ED">
      <w:pPr>
        <w:pStyle w:val="MIndHeader"/>
      </w:pPr>
      <w:r w:rsidRPr="00A96255">
        <w:t xml:space="preserve">0.a. </w:t>
      </w:r>
      <w:r w:rsidRPr="00EA05D3">
        <w:t>Goal</w:t>
      </w:r>
      <w:r w:rsidR="0015099D" w:rsidRPr="00A96255">
        <w:t xml:space="preserve"> </w:t>
      </w:r>
      <w:r w:rsidR="0015099D">
        <w:rPr>
          <w:color w:val="B4B4B4"/>
          <w:sz w:val="20"/>
        </w:rPr>
        <w:t>(SDG_GOAL)</w:t>
      </w:r>
    </w:p>
    <w:p w14:paraId="5892B78E" w14:textId="3854EA29" w:rsidR="00BC24C7" w:rsidRPr="00583E66" w:rsidRDefault="00BC24C7" w:rsidP="00B576ED">
      <w:pPr>
        <w:pStyle w:val="MGTHeader"/>
      </w:pPr>
      <w:r w:rsidRPr="00583E66">
        <w:rPr>
          <w:color w:val="444444"/>
        </w:rPr>
        <w:t>Goal</w:t>
      </w:r>
      <w:r w:rsidR="134C1C5A" w:rsidRPr="5478375A">
        <w:rPr>
          <w:rFonts w:eastAsia="Calibri" w:cs="Calibri"/>
          <w:color w:val="444444"/>
        </w:rPr>
        <w:t xml:space="preserve"> </w:t>
      </w:r>
      <w:r w:rsidRPr="00583E66">
        <w:rPr>
          <w:color w:val="444444"/>
        </w:rPr>
        <w:t>3:</w:t>
      </w:r>
      <w:r w:rsidR="134C1C5A" w:rsidRPr="5478375A">
        <w:rPr>
          <w:rFonts w:eastAsia="Calibri" w:cs="Calibri"/>
          <w:color w:val="444444"/>
        </w:rPr>
        <w:t xml:space="preserve"> </w:t>
      </w:r>
      <w:r w:rsidRPr="00583E66">
        <w:rPr>
          <w:color w:val="444444"/>
        </w:rPr>
        <w:t>Ensure healthy lives and promote well-being for all at all ages</w:t>
      </w:r>
    </w:p>
    <w:p w14:paraId="084142D2" w14:textId="4842B99B" w:rsidR="00D24330" w:rsidRPr="00A96255" w:rsidRDefault="00D24330" w:rsidP="00B576ED">
      <w:pPr>
        <w:pStyle w:val="MIndHeader"/>
      </w:pPr>
      <w:r w:rsidRPr="00A96255">
        <w:t>0.b. Target</w:t>
      </w:r>
      <w:r w:rsidR="00E91059" w:rsidRPr="00A96255">
        <w:t xml:space="preserve"> </w:t>
      </w:r>
      <w:r w:rsidR="00E91059">
        <w:rPr>
          <w:color w:val="B4B4B4"/>
          <w:sz w:val="20"/>
        </w:rPr>
        <w:t>(SDG_TARGET)</w:t>
      </w:r>
    </w:p>
    <w:p w14:paraId="1A7CDD91" w14:textId="42D52D9E" w:rsidR="00BC24C7" w:rsidRPr="00583E66" w:rsidRDefault="00BC24C7" w:rsidP="00B576ED">
      <w:pPr>
        <w:pStyle w:val="MGTHeader"/>
      </w:pPr>
      <w:r w:rsidRPr="00583E66">
        <w:rPr>
          <w:color w:val="444444"/>
        </w:rPr>
        <w:t>Target</w:t>
      </w:r>
      <w:r w:rsidR="49DF3EBF" w:rsidRPr="5478375A">
        <w:rPr>
          <w:rFonts w:eastAsia="Calibri" w:cs="Calibri"/>
          <w:color w:val="444444"/>
        </w:rPr>
        <w:t xml:space="preserve"> </w:t>
      </w:r>
      <w:r w:rsidRPr="00583E66">
        <w:rPr>
          <w:color w:val="444444"/>
        </w:rPr>
        <w:t>3.d: Strengthen the capacity of all countries, in particular developing countries, for early warning, risk reduction and management of national and global health risks</w:t>
      </w:r>
    </w:p>
    <w:p w14:paraId="3E67E7E0" w14:textId="010E0D62" w:rsidR="00D24330" w:rsidRPr="00A96255" w:rsidRDefault="00D24330" w:rsidP="00B576ED">
      <w:pPr>
        <w:pStyle w:val="MIndHeader"/>
      </w:pPr>
      <w:r w:rsidRPr="00A96255">
        <w:t>0.c. Indicator</w:t>
      </w:r>
      <w:r w:rsidR="00D60EE4" w:rsidRPr="00A96255">
        <w:t xml:space="preserve"> </w:t>
      </w:r>
      <w:r w:rsidR="00D60EE4">
        <w:rPr>
          <w:color w:val="B4B4B4"/>
          <w:sz w:val="20"/>
        </w:rPr>
        <w:t>(SDG_INDICATOR)</w:t>
      </w:r>
    </w:p>
    <w:p w14:paraId="1E866700" w14:textId="77777777" w:rsidR="00BC24C7" w:rsidRPr="00151A9C" w:rsidRDefault="00BC24C7" w:rsidP="00583E66">
      <w:pPr>
        <w:pStyle w:val="MGTHeader"/>
        <w:rPr>
          <w:color w:val="4A4A4A"/>
        </w:rPr>
      </w:pPr>
      <w:r w:rsidRPr="00151A9C">
        <w:rPr>
          <w:color w:val="4A4A4A"/>
        </w:rPr>
        <w:t>Indicator 3.d.2: Percentage of bloodstream infections due to selected antimicrobial-resistant organisms</w:t>
      </w:r>
    </w:p>
    <w:p w14:paraId="37E5E4F6" w14:textId="12B81891" w:rsidR="00D24330" w:rsidRPr="00E16943" w:rsidRDefault="00BC24C7" w:rsidP="00B576ED">
      <w:pPr>
        <w:pStyle w:val="MIndHeader"/>
        <w:rPr>
          <w:lang w:val="en-US"/>
        </w:rPr>
      </w:pPr>
      <w:r w:rsidRPr="00BC24C7">
        <w:rPr>
          <w:color w:val="333333"/>
          <w:sz w:val="21"/>
          <w:szCs w:val="21"/>
        </w:rPr>
        <w:t xml:space="preserve"> </w:t>
      </w:r>
      <w:r w:rsidR="00D24330" w:rsidRPr="00E16943">
        <w:rPr>
          <w:lang w:val="en-US"/>
        </w:rPr>
        <w:t>0.d. Series</w:t>
      </w:r>
      <w:r w:rsidR="002356FE" w:rsidRPr="008E1BB6">
        <w:rPr>
          <w:lang w:val="en-US"/>
        </w:rPr>
        <w:t xml:space="preserve"> </w:t>
      </w:r>
      <w:r w:rsidR="002356FE">
        <w:rPr>
          <w:color w:val="B4B4B4"/>
          <w:sz w:val="20"/>
        </w:rPr>
        <w:t>(SDG_SERIES_DESCR)</w:t>
      </w:r>
    </w:p>
    <w:p w14:paraId="7F015A32" w14:textId="77777777" w:rsidR="008D1317" w:rsidRPr="008D1317" w:rsidRDefault="008D1317" w:rsidP="008D1317">
      <w:pPr>
        <w:pStyle w:val="MGTHeader"/>
        <w:rPr>
          <w:lang w:val="en-US"/>
        </w:rPr>
      </w:pPr>
      <w:r w:rsidRPr="008D1317">
        <w:rPr>
          <w:lang w:val="en-US"/>
        </w:rPr>
        <w:t>SH_BLD_MRSA - Percentage of bloodstream infection due to methicillin-resistant Staphylococcus aureus (MRSA) among patients seeking care and whose blood sample is taken and tested [3.d.2]</w:t>
      </w:r>
    </w:p>
    <w:p w14:paraId="771888BA" w14:textId="68D9C155" w:rsidR="00D24330" w:rsidRPr="00E16943" w:rsidRDefault="008D1317" w:rsidP="00B576ED">
      <w:pPr>
        <w:pStyle w:val="MGTHeader"/>
        <w:rPr>
          <w:lang w:val="en-US"/>
        </w:rPr>
      </w:pPr>
      <w:r w:rsidRPr="008D1317">
        <w:rPr>
          <w:lang w:val="en-US"/>
        </w:rPr>
        <w:t>SH_BLD_ECOLI - Percentage of bloodstream infection due to Escherichia coli resistant to 3rd-generation cephalosporin (e.g., ESBL- E. coli) among patients seeking care and whose blood sample is taken and tested [3.d.2]</w:t>
      </w:r>
    </w:p>
    <w:p w14:paraId="157DACE7" w14:textId="5E0BDFFD" w:rsidR="00D24330" w:rsidRPr="00E16943" w:rsidRDefault="00D24330" w:rsidP="00B576ED">
      <w:pPr>
        <w:pStyle w:val="MIndHeader"/>
        <w:rPr>
          <w:lang w:val="en-US"/>
        </w:rPr>
      </w:pPr>
      <w:r w:rsidRPr="00E16943">
        <w:rPr>
          <w:lang w:val="en-US"/>
        </w:rPr>
        <w:t>0.e. Metadata update</w:t>
      </w:r>
      <w:r w:rsidR="009D5FA6" w:rsidRPr="006C15A6">
        <w:rPr>
          <w:lang w:val="en-US"/>
        </w:rPr>
        <w:t xml:space="preserve"> </w:t>
      </w:r>
      <w:r w:rsidR="009D5FA6">
        <w:rPr>
          <w:color w:val="B4B4B4"/>
          <w:sz w:val="20"/>
        </w:rPr>
        <w:t>(META_LAST_UPDATE)</w:t>
      </w:r>
    </w:p>
    <w:sdt>
      <w:sdtPr>
        <w:rPr>
          <w:lang w:val="en-US"/>
        </w:rPr>
        <w:id w:val="-331227444"/>
        <w:placeholder>
          <w:docPart w:val="DefaultPlaceholder_-1854013437"/>
        </w:placeholder>
        <w:date w:fullDate="2025-03-28T00:00:00Z">
          <w:dateFormat w:val="yyyy-MM-dd"/>
          <w:lid w:val="en-US"/>
          <w:storeMappedDataAs w:val="dateTime"/>
          <w:calendar w:val="gregorian"/>
        </w:date>
      </w:sdtPr>
      <w:sdtEndPr/>
      <w:sdtContent>
        <w:p w14:paraId="0562BCA6" w14:textId="6607D90C" w:rsidR="000F5B70" w:rsidRPr="00E16943" w:rsidRDefault="009F7038" w:rsidP="006C3E95">
          <w:pPr>
            <w:pStyle w:val="MGTHeader"/>
            <w:rPr>
              <w:lang w:val="en-US"/>
            </w:rPr>
          </w:pPr>
          <w:r w:rsidRPr="00E16943">
            <w:rPr>
              <w:lang w:val="en-US"/>
            </w:rPr>
            <w:t>2025-03-28</w:t>
          </w:r>
        </w:p>
      </w:sdtContent>
    </w:sdt>
    <w:p w14:paraId="415C9FF1" w14:textId="68D8E584" w:rsidR="00D24330" w:rsidRPr="00A96255" w:rsidRDefault="00D24330" w:rsidP="00B576ED">
      <w:pPr>
        <w:pStyle w:val="MIndHeader"/>
      </w:pPr>
      <w:r w:rsidRPr="00A96255">
        <w:t>0.f. Related indicators</w:t>
      </w:r>
      <w:r w:rsidR="00B624B4" w:rsidRPr="00A96255">
        <w:t xml:space="preserve"> </w:t>
      </w:r>
      <w:r w:rsidR="00B624B4">
        <w:rPr>
          <w:color w:val="B4B4B4"/>
          <w:sz w:val="20"/>
        </w:rPr>
        <w:t>(SDG_RELATED_INDICATORS)</w:t>
      </w:r>
    </w:p>
    <w:p w14:paraId="64B0A03D" w14:textId="79A7DC8C" w:rsidR="006C3E95" w:rsidRDefault="007C5356" w:rsidP="007C5356">
      <w:pPr>
        <w:pStyle w:val="MGTHeader"/>
      </w:pPr>
      <w:r>
        <w:t>Indicator 3.d.1 International Health Regulations (IHR) capacity and health emergency preparedness</w:t>
      </w:r>
    </w:p>
    <w:p w14:paraId="077BC49E" w14:textId="10BF2F7D" w:rsidR="00D24330" w:rsidRPr="00A96255" w:rsidRDefault="00D24330" w:rsidP="00B57267">
      <w:pPr>
        <w:pStyle w:val="MIndHeader"/>
        <w:jc w:val="left"/>
      </w:pPr>
      <w:r w:rsidRPr="00A96255">
        <w:t>0.g. International organisations(s) responsible for global monitoring</w:t>
      </w:r>
      <w:r w:rsidR="0008213B" w:rsidRPr="00A96255">
        <w:t xml:space="preserve"> </w:t>
      </w:r>
      <w:r w:rsidR="0008213B">
        <w:rPr>
          <w:color w:val="B4B4B4"/>
          <w:sz w:val="20"/>
        </w:rPr>
        <w:t>(SDG_CUSTODIAN_AGENCIES)</w:t>
      </w:r>
    </w:p>
    <w:p w14:paraId="19F29921" w14:textId="24625BF7" w:rsidR="008D1D39" w:rsidRDefault="00BC24C7" w:rsidP="00B576ED">
      <w:pPr>
        <w:pStyle w:val="MGTHeader"/>
        <w:rPr>
          <w:rStyle w:val="eop"/>
          <w:rFonts w:cs="Calibri"/>
          <w:color w:val="4A4A4A"/>
        </w:rPr>
      </w:pPr>
      <w:r>
        <w:rPr>
          <w:rStyle w:val="normaltextrun"/>
          <w:rFonts w:cs="Calibri"/>
          <w:color w:val="4A4A4A"/>
        </w:rPr>
        <w:t>World Health Organization (WHO)</w:t>
      </w:r>
    </w:p>
    <w:p w14:paraId="1874A3C0" w14:textId="77777777" w:rsidR="00BC24C7" w:rsidRPr="00A96255" w:rsidRDefault="00BC24C7" w:rsidP="00B576ED">
      <w:pPr>
        <w:rPr>
          <w:lang w:eastAsia="en-GB"/>
        </w:rPr>
      </w:pPr>
    </w:p>
    <w:p w14:paraId="12E0D73A" w14:textId="0B09503E" w:rsidR="00B31E2C" w:rsidRPr="00EA05D3" w:rsidRDefault="00B31E2C" w:rsidP="00B576ED">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517757" w:rsidRPr="00EA05D3">
        <w:t xml:space="preserve"> </w:t>
      </w:r>
      <w:r w:rsidR="00517757">
        <w:rPr>
          <w:color w:val="B4B4B4"/>
          <w:sz w:val="20"/>
        </w:rPr>
        <w:t>(CONTACT)</w:t>
      </w:r>
    </w:p>
    <w:p w14:paraId="0BD77982" w14:textId="30B226D2" w:rsidR="00576CFA" w:rsidRPr="00A96255" w:rsidRDefault="00576CFA" w:rsidP="00B576ED">
      <w:pPr>
        <w:pStyle w:val="MHeader2"/>
      </w:pPr>
      <w:r w:rsidRPr="00A96255">
        <w:t>1.a. Organisation</w:t>
      </w:r>
      <w:r w:rsidR="009F7145" w:rsidRPr="00A96255">
        <w:t xml:space="preserve"> </w:t>
      </w:r>
      <w:r w:rsidR="009F7145">
        <w:rPr>
          <w:color w:val="B4B4B4"/>
          <w:sz w:val="20"/>
        </w:rPr>
        <w:t>(CONTACT_ORGANISATION)</w:t>
      </w:r>
    </w:p>
    <w:p w14:paraId="6E829FD0" w14:textId="21D6A7A8" w:rsidR="00F719A8" w:rsidRDefault="00BC24C7" w:rsidP="00B576ED">
      <w:pPr>
        <w:pStyle w:val="MText"/>
        <w:rPr>
          <w:rStyle w:val="eop"/>
          <w:rFonts w:cs="Calibri"/>
        </w:rPr>
      </w:pPr>
      <w:r>
        <w:rPr>
          <w:rStyle w:val="normaltextrun"/>
          <w:rFonts w:cs="Calibri"/>
        </w:rPr>
        <w:t>World Health Organization (WHO)</w:t>
      </w:r>
    </w:p>
    <w:p w14:paraId="17C49161" w14:textId="77777777" w:rsidR="00BC24C7" w:rsidRDefault="00BC24C7" w:rsidP="00B576ED">
      <w:pPr>
        <w:pStyle w:val="MText"/>
      </w:pPr>
    </w:p>
    <w:p w14:paraId="14915AC8" w14:textId="6C8C7602" w:rsidR="00B31E2C" w:rsidRPr="00A96255" w:rsidRDefault="00B31E2C" w:rsidP="00B576ED">
      <w:pPr>
        <w:pStyle w:val="MHeader"/>
      </w:pPr>
      <w:r w:rsidRPr="00A96255">
        <w:t>2. Definition, concepts, and classifications</w:t>
      </w:r>
      <w:r w:rsidR="00593127" w:rsidRPr="00A96255">
        <w:t xml:space="preserve"> </w:t>
      </w:r>
      <w:r w:rsidR="00593127">
        <w:rPr>
          <w:color w:val="B4B4B4"/>
          <w:sz w:val="20"/>
        </w:rPr>
        <w:t>(IND_DEF_CON_CLASS)</w:t>
      </w:r>
    </w:p>
    <w:p w14:paraId="2AC373EA" w14:textId="72128E88" w:rsidR="008B0AC7" w:rsidRPr="00A96255" w:rsidRDefault="008B0AC7" w:rsidP="00B576ED">
      <w:pPr>
        <w:pStyle w:val="MHeader2"/>
      </w:pPr>
      <w:r w:rsidRPr="00A96255">
        <w:t>2.a. Definition and concepts</w:t>
      </w:r>
      <w:r w:rsidR="0044491A" w:rsidRPr="00A96255">
        <w:t xml:space="preserve"> </w:t>
      </w:r>
      <w:r w:rsidR="0044491A">
        <w:rPr>
          <w:color w:val="B4B4B4"/>
          <w:sz w:val="20"/>
        </w:rPr>
        <w:t>(STAT_CONC_DEF)</w:t>
      </w:r>
    </w:p>
    <w:p w14:paraId="73BEBE0F" w14:textId="43010878" w:rsidR="00BC24C7" w:rsidRPr="00BE34BB" w:rsidRDefault="00BC24C7" w:rsidP="00B576ED">
      <w:pPr>
        <w:pStyle w:val="MText"/>
      </w:pPr>
      <w:r w:rsidRPr="00BE34BB">
        <w:rPr>
          <w:rStyle w:val="normaltextrun"/>
        </w:rPr>
        <w:t>Percentage of bloodstream infection due to methicillin-resistant </w:t>
      </w:r>
      <w:r w:rsidRPr="00EF293C">
        <w:rPr>
          <w:rStyle w:val="normaltextrun"/>
          <w:i/>
          <w:iCs/>
        </w:rPr>
        <w:t>Staphylococcus aureus</w:t>
      </w:r>
      <w:r w:rsidRPr="00BE34BB">
        <w:rPr>
          <w:rStyle w:val="normaltextrun"/>
        </w:rPr>
        <w:t> (MRSA) and </w:t>
      </w:r>
      <w:r w:rsidRPr="00EF293C">
        <w:rPr>
          <w:rStyle w:val="normaltextrun"/>
          <w:i/>
          <w:iCs/>
        </w:rPr>
        <w:t>Escherichia coli</w:t>
      </w:r>
      <w:r w:rsidRPr="00BE34BB">
        <w:rPr>
          <w:rStyle w:val="normaltextrun"/>
        </w:rPr>
        <w:t xml:space="preserve"> resistant to 3rd-generation cephalosporin (e.g., ESBL- </w:t>
      </w:r>
      <w:r w:rsidRPr="00CC12AE">
        <w:rPr>
          <w:rStyle w:val="normaltextrun"/>
          <w:i/>
          <w:iCs/>
        </w:rPr>
        <w:t>E. coli</w:t>
      </w:r>
      <w:r w:rsidRPr="00BE34BB">
        <w:rPr>
          <w:rStyle w:val="normaltextrun"/>
        </w:rPr>
        <w:t>) among patients seeking care and whose blood sample is taken and tested.</w:t>
      </w:r>
      <w:r w:rsidRPr="00BE34BB">
        <w:rPr>
          <w:rStyle w:val="eop"/>
        </w:rPr>
        <w:t> </w:t>
      </w:r>
    </w:p>
    <w:p w14:paraId="778E2C2C" w14:textId="77777777" w:rsidR="00BC24C7" w:rsidRPr="00BE34BB" w:rsidRDefault="00BC24C7" w:rsidP="00B576ED">
      <w:pPr>
        <w:pStyle w:val="MText"/>
      </w:pPr>
      <w:r w:rsidRPr="00BE34BB">
        <w:rPr>
          <w:rStyle w:val="eop"/>
        </w:rPr>
        <w:t> </w:t>
      </w:r>
    </w:p>
    <w:p w14:paraId="24419563" w14:textId="623EB910" w:rsidR="00BC24C7" w:rsidRPr="00BE34BB" w:rsidRDefault="00BC24C7" w:rsidP="00B576ED">
      <w:pPr>
        <w:pStyle w:val="MText"/>
        <w:numPr>
          <w:ilvl w:val="0"/>
          <w:numId w:val="7"/>
        </w:numPr>
      </w:pPr>
      <w:r w:rsidRPr="00BE34BB">
        <w:rPr>
          <w:rStyle w:val="normaltextrun"/>
        </w:rPr>
        <w:lastRenderedPageBreak/>
        <w:t>Presumptive methicillin-resistant </w:t>
      </w:r>
      <w:r w:rsidRPr="00EF293C">
        <w:rPr>
          <w:rStyle w:val="normaltextrun"/>
          <w:i/>
          <w:iCs/>
        </w:rPr>
        <w:t>S. aureus</w:t>
      </w:r>
      <w:r w:rsidRPr="00BE34BB">
        <w:rPr>
          <w:rStyle w:val="normaltextrun"/>
        </w:rPr>
        <w:t> (MRSA) isolates as defined by oxacillin minimum inhibitory concentration (MIC) and cefoxitin disc diffusion tests according to current internationally recognized clinical breakpoints (e.g., EUCAST or CLSI)</w:t>
      </w:r>
      <w:r w:rsidR="000D490D">
        <w:rPr>
          <w:rStyle w:val="FootnoteReference"/>
        </w:rPr>
        <w:footnoteReference w:id="2"/>
      </w:r>
      <w:r w:rsidRPr="00BE34BB">
        <w:rPr>
          <w:rStyle w:val="eop"/>
        </w:rPr>
        <w:t> </w:t>
      </w:r>
    </w:p>
    <w:p w14:paraId="030CC51E" w14:textId="71805C7C" w:rsidR="00BC24C7" w:rsidRPr="00BE34BB" w:rsidRDefault="00BC24C7" w:rsidP="00B576ED">
      <w:pPr>
        <w:pStyle w:val="MText"/>
        <w:numPr>
          <w:ilvl w:val="0"/>
          <w:numId w:val="7"/>
        </w:numPr>
      </w:pPr>
      <w:r w:rsidRPr="00EF293C">
        <w:rPr>
          <w:rStyle w:val="normaltextrun"/>
          <w:i/>
          <w:iCs/>
        </w:rPr>
        <w:t>E. coli</w:t>
      </w:r>
      <w:r w:rsidRPr="00BE34BB">
        <w:rPr>
          <w:rStyle w:val="normaltextrun"/>
        </w:rPr>
        <w:t> resistant to third generation cephalosporins: </w:t>
      </w:r>
      <w:r w:rsidRPr="00EF293C">
        <w:rPr>
          <w:rStyle w:val="normaltextrun"/>
          <w:i/>
          <w:iCs/>
        </w:rPr>
        <w:t>E. coli</w:t>
      </w:r>
      <w:r w:rsidRPr="00BE34BB">
        <w:rPr>
          <w:rStyle w:val="normaltextrun"/>
        </w:rPr>
        <w:t> isolates that are resistant as defined by current internationally recognized clinical breakpoints for third generation cephalosporins (e.g., EUCAST or CLSI)</w:t>
      </w:r>
      <w:r w:rsidR="00B57267" w:rsidRPr="00B57267">
        <w:rPr>
          <w:rStyle w:val="normaltextrun"/>
          <w:vertAlign w:val="superscript"/>
        </w:rPr>
        <w:t>1</w:t>
      </w:r>
      <w:r w:rsidRPr="00BE34BB">
        <w:rPr>
          <w:rStyle w:val="normaltextrun"/>
        </w:rPr>
        <w:t>, specifically ceftriaxone or cefotaxime or ceftazidime.</w:t>
      </w:r>
      <w:r w:rsidRPr="00BE34BB">
        <w:rPr>
          <w:rStyle w:val="eop"/>
        </w:rPr>
        <w:t> </w:t>
      </w:r>
    </w:p>
    <w:p w14:paraId="6E54D3D6" w14:textId="77777777" w:rsidR="00EC2915" w:rsidRPr="00BE34BB" w:rsidRDefault="00EC2915" w:rsidP="00B576ED">
      <w:pPr>
        <w:pStyle w:val="MText"/>
      </w:pPr>
    </w:p>
    <w:p w14:paraId="7932F8BD" w14:textId="4DA2104D" w:rsidR="008B0AC7" w:rsidRPr="00A96255" w:rsidRDefault="00576CFA" w:rsidP="00B576ED">
      <w:pPr>
        <w:pStyle w:val="MHeader2"/>
      </w:pPr>
      <w:r w:rsidRPr="00A96255">
        <w:t>2.b.</w:t>
      </w:r>
      <w:r w:rsidR="008B0AC7" w:rsidRPr="00A96255">
        <w:t xml:space="preserve"> Unit of measure</w:t>
      </w:r>
      <w:r w:rsidR="005C64D0" w:rsidRPr="00A96255">
        <w:t xml:space="preserve"> </w:t>
      </w:r>
      <w:r w:rsidR="005C64D0">
        <w:rPr>
          <w:color w:val="B4B4B4"/>
          <w:sz w:val="20"/>
        </w:rPr>
        <w:t>(UNIT_MEASURE)</w:t>
      </w:r>
    </w:p>
    <w:p w14:paraId="7D3301A3" w14:textId="06ED3506" w:rsidR="006C3E95" w:rsidRDefault="001127B5" w:rsidP="00B576ED">
      <w:pPr>
        <w:pStyle w:val="MText"/>
      </w:pPr>
      <w:r>
        <w:t>Percent (%)</w:t>
      </w:r>
    </w:p>
    <w:p w14:paraId="7E583FF7" w14:textId="77777777" w:rsidR="00190CCE" w:rsidRPr="00A96255" w:rsidRDefault="00190CCE" w:rsidP="00B576ED">
      <w:pPr>
        <w:pStyle w:val="MText"/>
      </w:pPr>
    </w:p>
    <w:p w14:paraId="651AA7AC" w14:textId="01319100" w:rsidR="00DA615C" w:rsidRPr="00A96255" w:rsidRDefault="008B0AC7" w:rsidP="00B576ED">
      <w:pPr>
        <w:pStyle w:val="MHeader2"/>
      </w:pPr>
      <w:r w:rsidRPr="00A96255">
        <w:t>2.c. Classifications</w:t>
      </w:r>
      <w:r w:rsidR="00E67A89" w:rsidRPr="00A96255">
        <w:t xml:space="preserve"> </w:t>
      </w:r>
      <w:r w:rsidR="00E67A89">
        <w:rPr>
          <w:color w:val="B4B4B4"/>
          <w:sz w:val="20"/>
        </w:rPr>
        <w:t>(CLASS_SYSTEM)</w:t>
      </w:r>
    </w:p>
    <w:p w14:paraId="123172F4" w14:textId="6E22DB81" w:rsidR="00F719A8" w:rsidRDefault="00B57267" w:rsidP="00B576ED">
      <w:pPr>
        <w:pStyle w:val="MText"/>
      </w:pPr>
      <w:r>
        <w:t>Not applicable</w:t>
      </w:r>
    </w:p>
    <w:p w14:paraId="3C092334" w14:textId="77777777" w:rsidR="00190CCE" w:rsidRPr="00A96255" w:rsidRDefault="00190CCE" w:rsidP="00B576ED">
      <w:pPr>
        <w:pStyle w:val="MText"/>
      </w:pPr>
    </w:p>
    <w:p w14:paraId="1D3AEECA" w14:textId="738B050E" w:rsidR="00B31E2C" w:rsidRPr="00F719A8" w:rsidRDefault="00B31E2C" w:rsidP="00B576ED">
      <w:pPr>
        <w:pStyle w:val="MHeader"/>
      </w:pPr>
      <w:r w:rsidRPr="00F719A8">
        <w:t>3. Data source type and data collection method</w:t>
      </w:r>
      <w:r w:rsidR="00EC79F1" w:rsidRPr="00F719A8">
        <w:t xml:space="preserve"> </w:t>
      </w:r>
      <w:r w:rsidR="00EC79F1">
        <w:rPr>
          <w:color w:val="B4B4B4"/>
          <w:sz w:val="20"/>
        </w:rPr>
        <w:t>(SRC_TYPE_COLL_METHOD)</w:t>
      </w:r>
    </w:p>
    <w:p w14:paraId="340B050E" w14:textId="4EC1ECCA" w:rsidR="008B0AC7" w:rsidRPr="00A96255" w:rsidRDefault="008B0AC7" w:rsidP="00B576ED">
      <w:pPr>
        <w:pStyle w:val="MHeader2"/>
      </w:pPr>
      <w:r w:rsidRPr="00A96255">
        <w:t>3.a. Data sources</w:t>
      </w:r>
      <w:r w:rsidR="00F55D36" w:rsidRPr="00A96255">
        <w:t xml:space="preserve"> </w:t>
      </w:r>
      <w:r w:rsidR="00F55D36">
        <w:rPr>
          <w:color w:val="B4B4B4"/>
          <w:sz w:val="20"/>
        </w:rPr>
        <w:t>(SOURCE_TYPE)</w:t>
      </w:r>
    </w:p>
    <w:p w14:paraId="1D9909AD" w14:textId="0E347905" w:rsidR="00BC24C7" w:rsidRPr="00151A9C" w:rsidRDefault="00BC24C7" w:rsidP="00151A9C">
      <w:pPr>
        <w:pStyle w:val="paragraph"/>
        <w:spacing w:before="0" w:beforeAutospacing="0" w:after="0" w:afterAutospacing="0" w:line="276" w:lineRule="auto"/>
        <w:rPr>
          <w:rFonts w:ascii="Segoe UI" w:hAnsi="Segoe UI"/>
          <w:sz w:val="21"/>
        </w:rPr>
      </w:pPr>
      <w:r w:rsidRPr="00241470">
        <w:rPr>
          <w:rStyle w:val="normaltextrun"/>
          <w:rFonts w:ascii="Calibri" w:hAnsi="Calibri" w:cs="Calibri"/>
          <w:b/>
          <w:bCs/>
          <w:sz w:val="21"/>
          <w:szCs w:val="21"/>
          <w:lang w:val="en-GB"/>
        </w:rPr>
        <w:t>Preferred sources:</w:t>
      </w:r>
      <w:r w:rsidRPr="00241470">
        <w:rPr>
          <w:rStyle w:val="normaltextrun"/>
          <w:rFonts w:ascii="Calibri" w:hAnsi="Calibri" w:cs="Calibri"/>
          <w:sz w:val="21"/>
          <w:szCs w:val="21"/>
          <w:lang w:val="en-GB"/>
        </w:rPr>
        <w:t> N</w:t>
      </w:r>
      <w:r w:rsidRPr="00151A9C">
        <w:rPr>
          <w:rStyle w:val="normaltextrun"/>
          <w:rFonts w:ascii="Calibri" w:hAnsi="Calibri"/>
          <w:sz w:val="21"/>
          <w:lang w:val="en-GB"/>
        </w:rPr>
        <w:t xml:space="preserve">ational </w:t>
      </w:r>
      <w:r w:rsidR="00B57267">
        <w:rPr>
          <w:rStyle w:val="normaltextrun"/>
          <w:rFonts w:ascii="Calibri" w:hAnsi="Calibri" w:cs="Calibri"/>
          <w:sz w:val="21"/>
          <w:szCs w:val="21"/>
          <w:lang w:val="en-GB"/>
        </w:rPr>
        <w:t>a</w:t>
      </w:r>
      <w:r w:rsidR="00241470" w:rsidRPr="00151A9C">
        <w:rPr>
          <w:rStyle w:val="normaltextrun"/>
          <w:rFonts w:ascii="Calibri" w:hAnsi="Calibri" w:cs="Calibri"/>
          <w:sz w:val="21"/>
          <w:szCs w:val="21"/>
          <w:lang w:val="en-GB"/>
        </w:rPr>
        <w:t>ntimicrobial resistance (</w:t>
      </w:r>
      <w:r w:rsidRPr="00151A9C">
        <w:rPr>
          <w:rStyle w:val="normaltextrun"/>
          <w:rFonts w:ascii="Calibri" w:hAnsi="Calibri"/>
          <w:sz w:val="21"/>
          <w:lang w:val="en-GB"/>
        </w:rPr>
        <w:t>AMR</w:t>
      </w:r>
      <w:r w:rsidR="00241470" w:rsidRPr="00151A9C">
        <w:rPr>
          <w:rStyle w:val="normaltextrun"/>
          <w:rFonts w:ascii="Calibri" w:hAnsi="Calibri" w:cs="Calibri"/>
          <w:sz w:val="21"/>
          <w:szCs w:val="21"/>
          <w:lang w:val="en-GB"/>
        </w:rPr>
        <w:t>)</w:t>
      </w:r>
      <w:r w:rsidRPr="00151A9C">
        <w:rPr>
          <w:rStyle w:val="normaltextrun"/>
          <w:rFonts w:ascii="Calibri" w:hAnsi="Calibri"/>
          <w:sz w:val="21"/>
          <w:lang w:val="en-GB"/>
        </w:rPr>
        <w:t xml:space="preserve"> data collected through the national AMR surveillance system and reported to </w:t>
      </w:r>
      <w:r w:rsidR="007E35CC">
        <w:rPr>
          <w:rStyle w:val="normaltextrun"/>
          <w:rFonts w:ascii="Calibri" w:hAnsi="Calibri" w:cs="Calibri"/>
          <w:sz w:val="21"/>
          <w:szCs w:val="21"/>
          <w:lang w:val="en-GB"/>
        </w:rPr>
        <w:t xml:space="preserve">Global </w:t>
      </w:r>
      <w:r w:rsidR="00F750C4">
        <w:rPr>
          <w:rStyle w:val="normaltextrun"/>
          <w:rFonts w:ascii="Calibri" w:hAnsi="Calibri" w:cs="Calibri"/>
          <w:sz w:val="21"/>
          <w:szCs w:val="21"/>
          <w:lang w:val="en-GB"/>
        </w:rPr>
        <w:t>Antimicrobial Resistance and Use Surveillance System (</w:t>
      </w:r>
      <w:r w:rsidRPr="00151A9C">
        <w:rPr>
          <w:rStyle w:val="normaltextrun"/>
          <w:rFonts w:ascii="Calibri" w:hAnsi="Calibri"/>
          <w:sz w:val="21"/>
          <w:lang w:val="en-GB"/>
        </w:rPr>
        <w:t>GLASS</w:t>
      </w:r>
      <w:r w:rsidR="00F750C4">
        <w:rPr>
          <w:rStyle w:val="normaltextrun"/>
          <w:rFonts w:ascii="Calibri" w:hAnsi="Calibri" w:cs="Calibri"/>
          <w:sz w:val="21"/>
          <w:szCs w:val="21"/>
          <w:lang w:val="en-GB"/>
        </w:rPr>
        <w:t>)</w:t>
      </w:r>
      <w:r w:rsidRPr="00151A9C">
        <w:rPr>
          <w:rStyle w:val="normaltextrun"/>
          <w:rFonts w:ascii="Calibri" w:hAnsi="Calibri" w:cs="Calibri"/>
          <w:sz w:val="21"/>
          <w:szCs w:val="21"/>
          <w:lang w:val="en-GB"/>
        </w:rPr>
        <w:t>.</w:t>
      </w:r>
    </w:p>
    <w:p w14:paraId="131503BF" w14:textId="0E1366CC" w:rsidR="00BC24C7" w:rsidRPr="00151A9C" w:rsidRDefault="00BC24C7" w:rsidP="00EF293C">
      <w:pPr>
        <w:pStyle w:val="paragraph"/>
        <w:spacing w:before="0" w:beforeAutospacing="0" w:after="0" w:afterAutospacing="0"/>
        <w:rPr>
          <w:rFonts w:ascii="Segoe UI" w:hAnsi="Segoe UI"/>
          <w:sz w:val="21"/>
        </w:rPr>
      </w:pPr>
    </w:p>
    <w:p w14:paraId="283D7E52" w14:textId="1F71CD8D" w:rsidR="00BC24C7" w:rsidRPr="00151A9C" w:rsidRDefault="00BC24C7" w:rsidP="00151A9C">
      <w:pPr>
        <w:pStyle w:val="paragraph"/>
        <w:spacing w:before="0" w:beforeAutospacing="0" w:after="0" w:afterAutospacing="0" w:line="276" w:lineRule="auto"/>
        <w:rPr>
          <w:rFonts w:ascii="Segoe UI" w:hAnsi="Segoe UI"/>
          <w:sz w:val="21"/>
        </w:rPr>
      </w:pPr>
      <w:r w:rsidRPr="00151A9C">
        <w:rPr>
          <w:rStyle w:val="normaltextrun"/>
          <w:rFonts w:ascii="Calibri" w:hAnsi="Calibri"/>
          <w:sz w:val="21"/>
          <w:lang w:val="en-GB"/>
        </w:rPr>
        <w:t>GLASS provides a standardised approach to the collection, analysis, and sharing of AMR data by countries, and seeks to document the status of existing or newly developed national AMR surveillance systems. Furthermore, GLASS promotes a shift from surveillance approaches based solely on laboratory data to a system that includes epidemiological, clinical, and population-level data. GLASS also collaborates with regional and national AMR surveillance networks to produce timely and comprehensive data.  Collaboration with the UN Food and Agriculture Organization (FAO)</w:t>
      </w:r>
      <w:r w:rsidR="00B57267">
        <w:rPr>
          <w:rStyle w:val="normaltextrun"/>
          <w:rFonts w:ascii="Calibri" w:hAnsi="Calibri"/>
          <w:sz w:val="21"/>
          <w:lang w:val="en-GB"/>
        </w:rPr>
        <w:t xml:space="preserve">, </w:t>
      </w:r>
      <w:r w:rsidR="00B57267" w:rsidRPr="00B57267">
        <w:rPr>
          <w:rStyle w:val="normaltextrun"/>
          <w:rFonts w:ascii="Calibri" w:hAnsi="Calibri"/>
          <w:sz w:val="21"/>
          <w:lang w:val="en-GB"/>
        </w:rPr>
        <w:t>the United Nations Environment Programme (UNEP)</w:t>
      </w:r>
      <w:r w:rsidR="00B57267">
        <w:rPr>
          <w:rStyle w:val="normaltextrun"/>
          <w:rFonts w:ascii="Calibri" w:hAnsi="Calibri"/>
          <w:sz w:val="21"/>
          <w:lang w:val="en-GB"/>
        </w:rPr>
        <w:t>,</w:t>
      </w:r>
      <w:r w:rsidRPr="00151A9C">
        <w:rPr>
          <w:rStyle w:val="normaltextrun"/>
          <w:rFonts w:ascii="Calibri" w:hAnsi="Calibri"/>
          <w:sz w:val="21"/>
          <w:lang w:val="en-GB"/>
        </w:rPr>
        <w:t xml:space="preserve"> and the World Organisation for Animal Health (</w:t>
      </w:r>
      <w:r w:rsidR="00B57267">
        <w:rPr>
          <w:rStyle w:val="normaltextrun"/>
          <w:rFonts w:ascii="Calibri" w:hAnsi="Calibri"/>
          <w:sz w:val="21"/>
          <w:lang w:val="en-GB"/>
        </w:rPr>
        <w:t>WOAH</w:t>
      </w:r>
      <w:r w:rsidRPr="00151A9C">
        <w:rPr>
          <w:rStyle w:val="normaltextrun"/>
          <w:rFonts w:ascii="Calibri" w:hAnsi="Calibri"/>
          <w:sz w:val="21"/>
          <w:lang w:val="en-GB"/>
        </w:rPr>
        <w:t xml:space="preserve">) – which together with WHO form the </w:t>
      </w:r>
      <w:r w:rsidR="00B57267">
        <w:rPr>
          <w:rStyle w:val="normaltextrun"/>
          <w:rFonts w:ascii="Calibri" w:hAnsi="Calibri"/>
          <w:sz w:val="21"/>
          <w:lang w:val="en-GB"/>
        </w:rPr>
        <w:t>Quadripartite</w:t>
      </w:r>
      <w:r w:rsidR="00B57267" w:rsidRPr="00151A9C">
        <w:rPr>
          <w:rStyle w:val="normaltextrun"/>
          <w:rFonts w:ascii="Calibri" w:hAnsi="Calibri"/>
          <w:sz w:val="21"/>
          <w:lang w:val="en-GB"/>
        </w:rPr>
        <w:t xml:space="preserve"> </w:t>
      </w:r>
      <w:r w:rsidRPr="00151A9C">
        <w:rPr>
          <w:rStyle w:val="normaltextrun"/>
          <w:rFonts w:ascii="Calibri" w:hAnsi="Calibri"/>
          <w:sz w:val="21"/>
          <w:lang w:val="en-GB"/>
        </w:rPr>
        <w:t>Collaboration – is ongoing to improve a comprehensive understanding of AMR across sectors and to promote the One Health Approach to AMR control.</w:t>
      </w:r>
    </w:p>
    <w:p w14:paraId="5A23D1A6" w14:textId="6BE75C62" w:rsidR="00BC24C7" w:rsidRPr="00151A9C" w:rsidRDefault="00BC24C7" w:rsidP="00EF293C">
      <w:pPr>
        <w:pStyle w:val="paragraph"/>
        <w:spacing w:before="0" w:beforeAutospacing="0" w:after="0" w:afterAutospacing="0"/>
        <w:rPr>
          <w:rFonts w:ascii="Segoe UI" w:hAnsi="Segoe UI"/>
          <w:sz w:val="21"/>
        </w:rPr>
      </w:pPr>
    </w:p>
    <w:p w14:paraId="23B552DD" w14:textId="68C22614" w:rsidR="00BC24C7" w:rsidRPr="00151A9C" w:rsidRDefault="00BC24C7" w:rsidP="00151A9C">
      <w:pPr>
        <w:pStyle w:val="paragraph"/>
        <w:spacing w:before="0" w:beforeAutospacing="0" w:after="0" w:afterAutospacing="0" w:line="276" w:lineRule="auto"/>
        <w:rPr>
          <w:rFonts w:ascii="Segoe UI" w:hAnsi="Segoe UI"/>
          <w:sz w:val="21"/>
        </w:rPr>
      </w:pPr>
      <w:r w:rsidRPr="00151A9C">
        <w:rPr>
          <w:rStyle w:val="normaltextrun"/>
          <w:rFonts w:ascii="Calibri" w:hAnsi="Calibri"/>
          <w:sz w:val="21"/>
          <w:lang w:val="en-GB"/>
        </w:rPr>
        <w:t>GLASS also collects information on the status of national AMR surveillance systems through a short</w:t>
      </w:r>
      <w:r w:rsidRPr="00151A9C">
        <w:rPr>
          <w:rStyle w:val="eop"/>
          <w:rFonts w:ascii="Calibri" w:hAnsi="Calibri"/>
          <w:sz w:val="21"/>
        </w:rPr>
        <w:t> </w:t>
      </w:r>
      <w:r w:rsidRPr="00151A9C">
        <w:rPr>
          <w:rStyle w:val="normaltextrun"/>
          <w:rFonts w:ascii="Calibri" w:hAnsi="Calibri"/>
          <w:sz w:val="21"/>
          <w:lang w:val="en-GB"/>
        </w:rPr>
        <w:t>questionnaire completed by AMR national focal points (NFPs) in each country. The questionnaire covers three main areas: 1) overall coordination; 2) surveillance system; and 3) quality control. Each area consists of a set of indicators developed to measure development and strengthening of national AMR</w:t>
      </w:r>
      <w:r w:rsidRPr="00151A9C">
        <w:rPr>
          <w:rStyle w:val="eop"/>
          <w:rFonts w:ascii="Calibri" w:hAnsi="Calibri"/>
          <w:sz w:val="21"/>
        </w:rPr>
        <w:t> </w:t>
      </w:r>
      <w:r w:rsidRPr="00151A9C">
        <w:rPr>
          <w:rStyle w:val="normaltextrun"/>
          <w:rFonts w:ascii="Calibri" w:hAnsi="Calibri"/>
          <w:sz w:val="21"/>
          <w:lang w:val="en-GB"/>
        </w:rPr>
        <w:t>surveillance.</w:t>
      </w:r>
      <w:r w:rsidRPr="00151A9C">
        <w:rPr>
          <w:rStyle w:val="eop"/>
          <w:rFonts w:ascii="Calibri" w:hAnsi="Calibri"/>
          <w:sz w:val="21"/>
        </w:rPr>
        <w:t> </w:t>
      </w:r>
    </w:p>
    <w:p w14:paraId="7E389C0F" w14:textId="77777777" w:rsidR="00BC24C7" w:rsidRPr="00151A9C" w:rsidRDefault="00BC24C7" w:rsidP="00EF293C">
      <w:pPr>
        <w:pStyle w:val="paragraph"/>
        <w:spacing w:before="0" w:beforeAutospacing="0" w:after="0" w:afterAutospacing="0"/>
        <w:rPr>
          <w:rFonts w:ascii="Segoe UI" w:hAnsi="Segoe UI"/>
          <w:sz w:val="21"/>
        </w:rPr>
      </w:pPr>
      <w:r w:rsidRPr="00241470">
        <w:rPr>
          <w:rStyle w:val="eop"/>
          <w:rFonts w:ascii="Calibri" w:hAnsi="Calibri" w:cs="Calibri"/>
          <w:sz w:val="21"/>
          <w:szCs w:val="21"/>
        </w:rPr>
        <w:t> </w:t>
      </w:r>
    </w:p>
    <w:p w14:paraId="5CC7D8FE" w14:textId="25D0045A" w:rsidR="00BC24C7" w:rsidRPr="00BE34BB" w:rsidRDefault="00BC24C7" w:rsidP="00151A9C">
      <w:pPr>
        <w:pStyle w:val="paragraph"/>
        <w:spacing w:before="0" w:beforeAutospacing="0" w:after="0" w:afterAutospacing="0" w:line="276" w:lineRule="auto"/>
        <w:rPr>
          <w:rFonts w:ascii="Segoe UI" w:hAnsi="Segoe UI" w:cs="Segoe UI"/>
          <w:sz w:val="18"/>
          <w:szCs w:val="18"/>
        </w:rPr>
      </w:pPr>
      <w:r w:rsidRPr="00241470">
        <w:rPr>
          <w:rStyle w:val="normaltextrun"/>
          <w:rFonts w:ascii="Calibri" w:hAnsi="Calibri" w:cs="Calibri"/>
          <w:b/>
          <w:bCs/>
          <w:sz w:val="21"/>
          <w:szCs w:val="21"/>
          <w:lang w:val="en-GB"/>
        </w:rPr>
        <w:t>Other possible data sources:</w:t>
      </w:r>
      <w:r w:rsidRPr="00241470">
        <w:rPr>
          <w:rStyle w:val="normaltextrun"/>
          <w:rFonts w:ascii="Calibri" w:hAnsi="Calibri" w:cs="Calibri"/>
          <w:sz w:val="21"/>
          <w:szCs w:val="21"/>
          <w:lang w:val="en-GB"/>
        </w:rPr>
        <w:t> </w:t>
      </w:r>
      <w:r w:rsidRPr="00151A9C">
        <w:rPr>
          <w:rStyle w:val="normaltextrun"/>
          <w:rFonts w:ascii="Calibri" w:hAnsi="Calibri"/>
          <w:sz w:val="21"/>
          <w:lang w:val="en-GB"/>
        </w:rPr>
        <w:t>Published and non-published data from national centres and research/academic institutions and from other regional surveillance networks.</w:t>
      </w:r>
      <w:r w:rsidRPr="00BE34BB">
        <w:rPr>
          <w:rStyle w:val="eop"/>
          <w:rFonts w:ascii="Calibri" w:hAnsi="Calibri" w:cs="Calibri"/>
          <w:sz w:val="22"/>
          <w:szCs w:val="22"/>
        </w:rPr>
        <w:t> </w:t>
      </w:r>
    </w:p>
    <w:p w14:paraId="3018A8D8" w14:textId="7705C926" w:rsidR="00EC2915" w:rsidRPr="00BE34BB" w:rsidRDefault="00EC2915" w:rsidP="00EF293C">
      <w:pPr>
        <w:pStyle w:val="paragraph"/>
        <w:spacing w:before="0" w:beforeAutospacing="0" w:after="0" w:afterAutospacing="0"/>
        <w:rPr>
          <w:rFonts w:ascii="Segoe UI" w:hAnsi="Segoe UI" w:cs="Segoe UI"/>
          <w:sz w:val="18"/>
          <w:szCs w:val="18"/>
        </w:rPr>
      </w:pPr>
    </w:p>
    <w:p w14:paraId="79368080" w14:textId="5159394A" w:rsidR="008B0AC7" w:rsidRPr="00A96255" w:rsidRDefault="00576CFA" w:rsidP="00B576ED">
      <w:pPr>
        <w:pStyle w:val="MHeader2"/>
      </w:pPr>
      <w:r w:rsidRPr="00A96255">
        <w:lastRenderedPageBreak/>
        <w:t>3.b</w:t>
      </w:r>
      <w:r w:rsidR="008B0AC7" w:rsidRPr="00A96255">
        <w:t>. Data collection method</w:t>
      </w:r>
      <w:r w:rsidR="00072B61" w:rsidRPr="00A96255">
        <w:t xml:space="preserve"> </w:t>
      </w:r>
      <w:r w:rsidR="00072B61">
        <w:rPr>
          <w:color w:val="B4B4B4"/>
          <w:sz w:val="20"/>
        </w:rPr>
        <w:t>(COLL_METHOD)</w:t>
      </w:r>
    </w:p>
    <w:p w14:paraId="7D9F065F" w14:textId="68255425" w:rsidR="00EC2915" w:rsidRDefault="00EC2915">
      <w:pPr>
        <w:pStyle w:val="MText"/>
      </w:pPr>
    </w:p>
    <w:p w14:paraId="7B1A0646" w14:textId="77777777" w:rsidR="006C3E95" w:rsidRPr="00A96255" w:rsidRDefault="006C3E95">
      <w:pPr>
        <w:pStyle w:val="MText"/>
      </w:pPr>
    </w:p>
    <w:p w14:paraId="170A2C05" w14:textId="23106AE2" w:rsidR="00E46D96" w:rsidRPr="00A96255" w:rsidRDefault="00E46D96" w:rsidP="00B576ED">
      <w:pPr>
        <w:pStyle w:val="MHeader2"/>
      </w:pPr>
      <w:r w:rsidRPr="00A96255">
        <w:t>3.c. Data collection calendar</w:t>
      </w:r>
      <w:r w:rsidR="00D0272C" w:rsidRPr="00A96255">
        <w:t xml:space="preserve"> </w:t>
      </w:r>
      <w:r w:rsidR="00D0272C">
        <w:rPr>
          <w:color w:val="B4B4B4"/>
          <w:sz w:val="20"/>
        </w:rPr>
        <w:t>(FREQ_COLL)</w:t>
      </w:r>
    </w:p>
    <w:p w14:paraId="01BA862E" w14:textId="3843C823" w:rsidR="00EC2915" w:rsidRDefault="00BC24C7" w:rsidP="00B576ED">
      <w:pPr>
        <w:pStyle w:val="MText"/>
        <w:rPr>
          <w:rStyle w:val="eop"/>
          <w:rFonts w:cs="Calibri"/>
        </w:rPr>
      </w:pPr>
      <w:r>
        <w:rPr>
          <w:rStyle w:val="normaltextrun"/>
          <w:rFonts w:cs="Calibri"/>
        </w:rPr>
        <w:t>Yearly</w:t>
      </w:r>
    </w:p>
    <w:p w14:paraId="789F951A" w14:textId="77777777" w:rsidR="007B1F51" w:rsidRPr="00A96255" w:rsidRDefault="007B1F51" w:rsidP="00B576ED">
      <w:pPr>
        <w:pStyle w:val="MText"/>
      </w:pPr>
    </w:p>
    <w:p w14:paraId="7D466604" w14:textId="7768452C" w:rsidR="00E46D96" w:rsidRPr="00F719A8" w:rsidRDefault="00E46D96" w:rsidP="00B576ED">
      <w:pPr>
        <w:pStyle w:val="MHeader2"/>
      </w:pPr>
      <w:r w:rsidRPr="00A96255">
        <w:t>3.d. Data release calendar</w:t>
      </w:r>
      <w:r w:rsidR="00483E4A" w:rsidRPr="00A96255">
        <w:t xml:space="preserve"> </w:t>
      </w:r>
      <w:r w:rsidR="00483E4A">
        <w:rPr>
          <w:color w:val="B4B4B4"/>
          <w:sz w:val="20"/>
        </w:rPr>
        <w:t>(REL_CAL_POLICY)</w:t>
      </w:r>
    </w:p>
    <w:p w14:paraId="64C749BD" w14:textId="6DBC2BB8" w:rsidR="00EC2915" w:rsidRDefault="00550FEE" w:rsidP="00B576ED">
      <w:pPr>
        <w:pStyle w:val="MText"/>
      </w:pPr>
      <w:r w:rsidRPr="00550FEE">
        <w:t>15 February to 1 March 2024</w:t>
      </w:r>
    </w:p>
    <w:p w14:paraId="0DC3B82D" w14:textId="77777777" w:rsidR="006C3E95" w:rsidRPr="00A96255" w:rsidRDefault="006C3E95" w:rsidP="00B576ED">
      <w:pPr>
        <w:pStyle w:val="MText"/>
      </w:pPr>
    </w:p>
    <w:p w14:paraId="3A4F3065" w14:textId="27367F68" w:rsidR="00E46D96" w:rsidRPr="00A96255" w:rsidRDefault="00E46D96" w:rsidP="00B576ED">
      <w:pPr>
        <w:pStyle w:val="MHeader2"/>
      </w:pPr>
      <w:r w:rsidRPr="00A96255">
        <w:t>3.e. Data providers</w:t>
      </w:r>
      <w:r w:rsidR="00067C55" w:rsidRPr="00A96255">
        <w:t xml:space="preserve"> </w:t>
      </w:r>
      <w:r w:rsidR="00067C55">
        <w:rPr>
          <w:color w:val="B4B4B4"/>
          <w:sz w:val="20"/>
        </w:rPr>
        <w:t>(DATA_SOURCE)</w:t>
      </w:r>
    </w:p>
    <w:p w14:paraId="33C52DB7" w14:textId="0FFF7AF1" w:rsidR="00BC24C7" w:rsidRDefault="00BC24C7" w:rsidP="00EF293C">
      <w:pPr>
        <w:pStyle w:val="paragraph"/>
        <w:spacing w:before="0" w:beforeAutospacing="0" w:after="0" w:afterAutospacing="0"/>
        <w:rPr>
          <w:rFonts w:ascii="Segoe UI" w:hAnsi="Segoe UI" w:cs="Segoe UI"/>
          <w:sz w:val="18"/>
          <w:szCs w:val="18"/>
        </w:rPr>
      </w:pPr>
      <w:r>
        <w:rPr>
          <w:rStyle w:val="normaltextrun"/>
          <w:rFonts w:ascii="Calibri" w:hAnsi="Calibri" w:cs="Calibri"/>
          <w:sz w:val="21"/>
          <w:szCs w:val="21"/>
          <w:lang w:val="en-GB"/>
        </w:rPr>
        <w:t>Ministries</w:t>
      </w:r>
      <w:r w:rsidR="009F7038">
        <w:rPr>
          <w:rStyle w:val="normaltextrun"/>
          <w:rFonts w:ascii="Calibri" w:hAnsi="Calibri" w:cs="Calibri"/>
          <w:sz w:val="21"/>
          <w:szCs w:val="21"/>
          <w:lang w:val="en-GB"/>
        </w:rPr>
        <w:t xml:space="preserve"> </w:t>
      </w:r>
      <w:r>
        <w:rPr>
          <w:rStyle w:val="normaltextrun"/>
          <w:rFonts w:ascii="Calibri" w:hAnsi="Calibri" w:cs="Calibri"/>
          <w:sz w:val="21"/>
          <w:szCs w:val="21"/>
          <w:lang w:val="en-GB"/>
        </w:rPr>
        <w:t>of Health</w:t>
      </w:r>
      <w:r w:rsidR="009F7038">
        <w:rPr>
          <w:rStyle w:val="eop"/>
          <w:rFonts w:ascii="Calibri" w:hAnsi="Calibri" w:cs="Calibri"/>
          <w:sz w:val="21"/>
          <w:szCs w:val="21"/>
        </w:rPr>
        <w:t xml:space="preserve"> </w:t>
      </w:r>
    </w:p>
    <w:p w14:paraId="50A66E64" w14:textId="48277705" w:rsidR="00EC2915" w:rsidRPr="00BE34BB" w:rsidRDefault="00BC24C7" w:rsidP="00EF293C">
      <w:pPr>
        <w:pStyle w:val="paragraph"/>
        <w:spacing w:before="0" w:beforeAutospacing="0" w:after="0" w:afterAutospacing="0"/>
        <w:rPr>
          <w:rFonts w:ascii="Segoe UI" w:hAnsi="Segoe UI" w:cs="Segoe UI"/>
          <w:sz w:val="18"/>
          <w:szCs w:val="18"/>
        </w:rPr>
      </w:pPr>
      <w:r>
        <w:rPr>
          <w:rStyle w:val="eop"/>
          <w:rFonts w:ascii="Calibri" w:hAnsi="Calibri" w:cs="Calibri"/>
          <w:sz w:val="21"/>
          <w:szCs w:val="21"/>
        </w:rPr>
        <w:t> </w:t>
      </w:r>
    </w:p>
    <w:p w14:paraId="30DC8E05" w14:textId="5D275EB9" w:rsidR="00E46D96" w:rsidRPr="00A96255" w:rsidRDefault="00E46D96" w:rsidP="00B576ED">
      <w:pPr>
        <w:pStyle w:val="MHeader2"/>
      </w:pPr>
      <w:r w:rsidRPr="00A96255">
        <w:t>3.f. Data compilers</w:t>
      </w:r>
      <w:r w:rsidR="00F367AB" w:rsidRPr="00A96255">
        <w:t xml:space="preserve"> </w:t>
      </w:r>
      <w:r w:rsidR="00F367AB">
        <w:rPr>
          <w:color w:val="B4B4B4"/>
          <w:sz w:val="20"/>
        </w:rPr>
        <w:t>(COMPILING_ORG)</w:t>
      </w:r>
    </w:p>
    <w:p w14:paraId="5C43435B" w14:textId="571C31C9" w:rsidR="00EC2915" w:rsidRDefault="00BE1F3B" w:rsidP="00B576ED">
      <w:pPr>
        <w:pStyle w:val="MText"/>
        <w:rPr>
          <w:rStyle w:val="eop"/>
          <w:rFonts w:cs="Calibri"/>
        </w:rPr>
      </w:pPr>
      <w:r>
        <w:rPr>
          <w:rStyle w:val="normaltextrun"/>
          <w:rFonts w:cs="Calibri"/>
        </w:rPr>
        <w:t>World Health Organization (</w:t>
      </w:r>
      <w:r w:rsidR="00BC24C7">
        <w:rPr>
          <w:rStyle w:val="normaltextrun"/>
          <w:rFonts w:cs="Calibri"/>
        </w:rPr>
        <w:t>WHO</w:t>
      </w:r>
      <w:r>
        <w:rPr>
          <w:rStyle w:val="normaltextrun"/>
          <w:rFonts w:cs="Calibri"/>
        </w:rPr>
        <w:t>)</w:t>
      </w:r>
    </w:p>
    <w:p w14:paraId="16E11952" w14:textId="77777777" w:rsidR="00BE34BB" w:rsidRPr="00A96255" w:rsidRDefault="00BE34BB" w:rsidP="00B576ED">
      <w:pPr>
        <w:pStyle w:val="MText"/>
      </w:pPr>
    </w:p>
    <w:p w14:paraId="5655E768" w14:textId="0048CC7F" w:rsidR="00E46D96" w:rsidRPr="00A96255" w:rsidRDefault="00E46D96" w:rsidP="00B576ED">
      <w:pPr>
        <w:pStyle w:val="MHeader2"/>
      </w:pPr>
      <w:r w:rsidRPr="00A96255">
        <w:t>3.g. Institutional mandate</w:t>
      </w:r>
      <w:r w:rsidR="004E044F" w:rsidRPr="00A96255">
        <w:t xml:space="preserve"> </w:t>
      </w:r>
      <w:r w:rsidR="004E044F">
        <w:rPr>
          <w:color w:val="B4B4B4"/>
          <w:sz w:val="20"/>
        </w:rPr>
        <w:t>(INST_MANDATE)</w:t>
      </w:r>
    </w:p>
    <w:p w14:paraId="7D007C3C" w14:textId="46156743" w:rsidR="00EC2915" w:rsidRDefault="002330E0" w:rsidP="00B576ED">
      <w:pPr>
        <w:pStyle w:val="MText"/>
      </w:pPr>
      <w:r w:rsidRPr="002330E0">
        <w:t>The World Health Organization (WHO) is the Custodian Agency for reporting on SDG indicator 3.</w:t>
      </w:r>
      <w:r>
        <w:t>d</w:t>
      </w:r>
      <w:r w:rsidRPr="002330E0">
        <w:t>.2</w:t>
      </w:r>
    </w:p>
    <w:p w14:paraId="57B75E9E" w14:textId="77777777" w:rsidR="006C3E95" w:rsidRDefault="006C3E95" w:rsidP="00B576ED">
      <w:pPr>
        <w:pStyle w:val="MText"/>
      </w:pPr>
    </w:p>
    <w:p w14:paraId="6149DC94" w14:textId="3EC48DD1" w:rsidR="00B31E2C" w:rsidRPr="00A96255" w:rsidRDefault="00B31E2C" w:rsidP="00B576ED">
      <w:pPr>
        <w:pStyle w:val="MHeader"/>
      </w:pPr>
      <w:r w:rsidRPr="00A96255">
        <w:t>4. Other methodological considerations</w:t>
      </w:r>
      <w:r w:rsidR="00725E77" w:rsidRPr="00A96255">
        <w:t xml:space="preserve"> </w:t>
      </w:r>
      <w:r w:rsidR="00725E77">
        <w:rPr>
          <w:color w:val="B4B4B4"/>
          <w:sz w:val="20"/>
        </w:rPr>
        <w:t>(OTHER_METHOD)</w:t>
      </w:r>
    </w:p>
    <w:p w14:paraId="1AFA5517" w14:textId="6A4881A8" w:rsidR="00AF5ED1" w:rsidRPr="00A96255" w:rsidRDefault="00576CFA" w:rsidP="00B576ED">
      <w:pPr>
        <w:pStyle w:val="MHeader2"/>
      </w:pPr>
      <w:r w:rsidRPr="00A96255">
        <w:t>4.a. Rationale</w:t>
      </w:r>
      <w:r w:rsidR="009F1BE2" w:rsidRPr="00A96255">
        <w:t xml:space="preserve"> </w:t>
      </w:r>
      <w:r w:rsidR="009F1BE2">
        <w:rPr>
          <w:color w:val="B4B4B4"/>
          <w:sz w:val="20"/>
        </w:rPr>
        <w:t>(RATIONALE)</w:t>
      </w:r>
    </w:p>
    <w:p w14:paraId="4CE7FD75" w14:textId="6FAEDBBC" w:rsidR="00BC24C7" w:rsidRPr="00151A9C" w:rsidRDefault="00BC24C7" w:rsidP="00B576ED">
      <w:pPr>
        <w:rPr>
          <w:rFonts w:ascii="Segoe UI" w:hAnsi="Segoe UI"/>
          <w:sz w:val="21"/>
        </w:rPr>
      </w:pPr>
      <w:r w:rsidRPr="00E01157">
        <w:rPr>
          <w:rStyle w:val="normaltextrun"/>
          <w:sz w:val="21"/>
          <w:szCs w:val="21"/>
        </w:rPr>
        <w:t xml:space="preserve">Antimicrobial resistance (AMR) is a global </w:t>
      </w:r>
      <w:r w:rsidRPr="00151A9C">
        <w:rPr>
          <w:rStyle w:val="normaltextrun"/>
          <w:sz w:val="21"/>
          <w:szCs w:val="21"/>
        </w:rPr>
        <w:t>threat to health, livelihoods, food security and the achievement of many of the Sustainable Development Goals. Antibiotics, antivirals, antiparasitic agents and antifungals are increasingly ineffective owing to resistance developed through their excessive or inappropriate use, with serious consequences</w:t>
      </w:r>
      <w:r w:rsidRPr="00151A9C">
        <w:rPr>
          <w:rStyle w:val="normaltextrun"/>
          <w:sz w:val="21"/>
        </w:rPr>
        <w:t xml:space="preserve"> for human and animal health (terrestrial and aquatic), and plant health, and negative impacts on food production, the environment and the global economy</w:t>
      </w:r>
      <w:r w:rsidR="000D490D" w:rsidRPr="00151A9C">
        <w:rPr>
          <w:rStyle w:val="FootnoteReference"/>
          <w:sz w:val="21"/>
        </w:rPr>
        <w:footnoteReference w:id="3"/>
      </w:r>
      <w:r w:rsidRPr="00151A9C">
        <w:rPr>
          <w:rStyle w:val="normaltextrun"/>
          <w:sz w:val="21"/>
        </w:rPr>
        <w:t>.</w:t>
      </w:r>
    </w:p>
    <w:p w14:paraId="7AF3565B" w14:textId="369033D9" w:rsidR="00BC24C7" w:rsidRPr="00151A9C" w:rsidRDefault="00BC24C7" w:rsidP="00B576ED">
      <w:pPr>
        <w:rPr>
          <w:rFonts w:ascii="Segoe UI" w:hAnsi="Segoe UI"/>
          <w:sz w:val="21"/>
        </w:rPr>
      </w:pPr>
      <w:r w:rsidRPr="00151A9C">
        <w:rPr>
          <w:rStyle w:val="normaltextrun"/>
          <w:sz w:val="21"/>
        </w:rPr>
        <w:t>In particular, antimicrobial resistance</w:t>
      </w:r>
      <w:r w:rsidR="009F7038">
        <w:rPr>
          <w:rStyle w:val="normaltextrun"/>
          <w:sz w:val="21"/>
        </w:rPr>
        <w:t xml:space="preserve"> (</w:t>
      </w:r>
      <w:r w:rsidR="00DF04C7" w:rsidRPr="00151A9C">
        <w:rPr>
          <w:rStyle w:val="normaltextrun"/>
          <w:sz w:val="21"/>
          <w:szCs w:val="21"/>
        </w:rPr>
        <w:t>AMR</w:t>
      </w:r>
      <w:r w:rsidR="009F7038">
        <w:rPr>
          <w:rStyle w:val="normaltextrun"/>
          <w:sz w:val="21"/>
          <w:szCs w:val="21"/>
        </w:rPr>
        <w:t>)</w:t>
      </w:r>
      <w:r w:rsidRPr="00151A9C">
        <w:rPr>
          <w:rStyle w:val="normaltextrun"/>
          <w:sz w:val="21"/>
        </w:rPr>
        <w:t xml:space="preserve"> will negatively impact the achievement of many of the targets listed under Goal 3 due to reduced treatment options for infections by resistant pathogens; will impact targets under Goal 2 by impacting agricultural productivity, including food animal production; and will impact targets in Goal 1 as increased </w:t>
      </w:r>
      <w:r w:rsidR="00DF04C7" w:rsidRPr="00151A9C">
        <w:rPr>
          <w:rStyle w:val="normaltextrun"/>
          <w:sz w:val="21"/>
          <w:szCs w:val="21"/>
        </w:rPr>
        <w:t>AMR</w:t>
      </w:r>
      <w:r w:rsidRPr="00151A9C">
        <w:rPr>
          <w:rStyle w:val="normaltextrun"/>
          <w:sz w:val="21"/>
        </w:rPr>
        <w:t xml:space="preserve"> will result in large declines in economic growth, increase economic inequality and drive an additional 24 million people into extreme poverty by 2030</w:t>
      </w:r>
      <w:r w:rsidR="000D490D" w:rsidRPr="00151A9C">
        <w:rPr>
          <w:rStyle w:val="FootnoteReference"/>
          <w:sz w:val="21"/>
        </w:rPr>
        <w:footnoteReference w:id="4"/>
      </w:r>
      <w:r w:rsidRPr="00151A9C">
        <w:rPr>
          <w:rStyle w:val="normaltextrun"/>
          <w:sz w:val="21"/>
        </w:rPr>
        <w:t>.</w:t>
      </w:r>
    </w:p>
    <w:p w14:paraId="6444CDA1" w14:textId="4B030FD0" w:rsidR="00BC24C7" w:rsidRPr="00151A9C" w:rsidRDefault="00BC24C7" w:rsidP="00B576ED">
      <w:pPr>
        <w:rPr>
          <w:sz w:val="21"/>
        </w:rPr>
      </w:pPr>
      <w:r w:rsidRPr="00151A9C">
        <w:rPr>
          <w:rStyle w:val="normaltextrun"/>
          <w:sz w:val="21"/>
        </w:rPr>
        <w:t>Given the above context, there is an</w:t>
      </w:r>
      <w:r w:rsidR="009F7038">
        <w:rPr>
          <w:rStyle w:val="normaltextrun"/>
          <w:sz w:val="21"/>
        </w:rPr>
        <w:t xml:space="preserve"> </w:t>
      </w:r>
      <w:r w:rsidRPr="00151A9C">
        <w:rPr>
          <w:rStyle w:val="normaltextrun"/>
          <w:sz w:val="21"/>
        </w:rPr>
        <w:t xml:space="preserve">urgent need to build country capacity, especially in developing countries, to address this growing national and global multisectoral risk. The current indicator (3.d.1) for target 3.d has a focus on strengthening 13 core capacities – essential public health capacity that State Parties are required to have in place throughout their territories pursuant to IHR (2005) requirements </w:t>
      </w:r>
      <w:r w:rsidRPr="00151A9C">
        <w:rPr>
          <w:rStyle w:val="normaltextrun"/>
          <w:sz w:val="21"/>
        </w:rPr>
        <w:lastRenderedPageBreak/>
        <w:t>by the year 2012. While a few of these 13 core capacities</w:t>
      </w:r>
      <w:r w:rsidR="00B576ED" w:rsidRPr="00151A9C">
        <w:rPr>
          <w:rStyle w:val="FootnoteReference"/>
          <w:sz w:val="21"/>
        </w:rPr>
        <w:footnoteReference w:id="5"/>
      </w:r>
      <w:r w:rsidRPr="00151A9C">
        <w:rPr>
          <w:rStyle w:val="normaltextrun"/>
          <w:sz w:val="21"/>
        </w:rPr>
        <w:t> can be considered “AMR-sensitive”, they do not specifically monitor or address the significant risks associated with AMR. So, with the adoption of the Global Action Plan on AMR in 2015 by the World Health Assembly, the adoption of a Political Declaration on AMR at the high-level meeting of the UN General Assembly in 2016, and the report in 2019 of the Ad-hoc Inter-Agency Coordination Group established by the UN Secretary-General, an urgent need has been identified for an additional indicator on AMR to be considered for inclusion within the global SDG indicator framework.  </w:t>
      </w:r>
      <w:r w:rsidRPr="00151A9C">
        <w:rPr>
          <w:rStyle w:val="eop"/>
          <w:sz w:val="21"/>
        </w:rPr>
        <w:t> </w:t>
      </w:r>
    </w:p>
    <w:p w14:paraId="3E917AF8" w14:textId="370D9776" w:rsidR="00BC24C7" w:rsidRPr="00151A9C" w:rsidRDefault="00BC24C7" w:rsidP="00B576ED">
      <w:pPr>
        <w:rPr>
          <w:rFonts w:ascii="Segoe UI" w:hAnsi="Segoe UI"/>
          <w:sz w:val="21"/>
        </w:rPr>
      </w:pPr>
      <w:r w:rsidRPr="00151A9C">
        <w:rPr>
          <w:rStyle w:val="normaltextrun"/>
          <w:sz w:val="21"/>
        </w:rPr>
        <w:t>This indicator, based on establishing a functional national AMR surveillance system, is considered a basic building block for AMR monitoring and response in countries. Surveillance is the cornerstone to assessing the spread of AMR, providing early warning, and informing and monitoring the impact of local, national, and global risk reduction and management </w:t>
      </w:r>
      <w:r w:rsidRPr="00151A9C">
        <w:rPr>
          <w:rStyle w:val="normaltextrun"/>
          <w:sz w:val="21"/>
          <w:szCs w:val="21"/>
        </w:rPr>
        <w:t>strategies. </w:t>
      </w:r>
      <w:r w:rsidRPr="00193E2D">
        <w:rPr>
          <w:rStyle w:val="normaltextrun"/>
          <w:sz w:val="21"/>
          <w:szCs w:val="21"/>
        </w:rPr>
        <w:t>The global antimicrobial surveillance system (GLASS</w:t>
      </w:r>
      <w:r w:rsidR="00B576ED" w:rsidRPr="00193E2D">
        <w:rPr>
          <w:rStyle w:val="FootnoteReference"/>
          <w:sz w:val="21"/>
          <w:szCs w:val="21"/>
        </w:rPr>
        <w:footnoteReference w:id="6"/>
      </w:r>
      <w:r w:rsidRPr="00193E2D">
        <w:rPr>
          <w:rStyle w:val="normaltextrun"/>
          <w:sz w:val="21"/>
          <w:szCs w:val="21"/>
        </w:rPr>
        <w:t>) managed by WHO recommends the establishment of th</w:t>
      </w:r>
      <w:r w:rsidRPr="00151A9C">
        <w:rPr>
          <w:rStyle w:val="normaltextrun"/>
          <w:sz w:val="21"/>
          <w:szCs w:val="21"/>
        </w:rPr>
        <w:t>ree core components to set up a well-functioning national AMR surveillance system: 1</w:t>
      </w:r>
      <w:r w:rsidRPr="00151A9C">
        <w:rPr>
          <w:rStyle w:val="normaltextrun"/>
          <w:sz w:val="21"/>
        </w:rPr>
        <w:t>) a National Coordinating Centre (NCC); 2) a National Reference Laboratory (NRL); and 3) Sentinel surveillance sites where both diagnostic and epidemiological data are collected. </w:t>
      </w:r>
      <w:r w:rsidRPr="00151A9C">
        <w:rPr>
          <w:rStyle w:val="eop"/>
          <w:sz w:val="21"/>
        </w:rPr>
        <w:t> </w:t>
      </w:r>
    </w:p>
    <w:p w14:paraId="6E2761FE" w14:textId="671799A0" w:rsidR="00BC24C7" w:rsidRPr="001B229F" w:rsidRDefault="00BC24C7" w:rsidP="00151A9C">
      <w:pPr>
        <w:pStyle w:val="paragraph"/>
        <w:spacing w:line="276" w:lineRule="auto"/>
        <w:rPr>
          <w:rFonts w:ascii="Segoe UI" w:hAnsi="Segoe UI" w:cs="Segoe UI"/>
          <w:sz w:val="18"/>
          <w:szCs w:val="18"/>
        </w:rPr>
      </w:pPr>
      <w:r w:rsidRPr="00151A9C">
        <w:rPr>
          <w:rStyle w:val="normaltextrun"/>
          <w:rFonts w:ascii="Calibri" w:hAnsi="Calibri"/>
          <w:sz w:val="21"/>
          <w:lang w:val="en-GB"/>
        </w:rPr>
        <w:t>This </w:t>
      </w:r>
      <w:r w:rsidR="00036D9D" w:rsidRPr="00151A9C" w:rsidDel="00036D9D">
        <w:rPr>
          <w:rStyle w:val="normaltextrun"/>
          <w:rFonts w:ascii="Calibri" w:hAnsi="Calibri"/>
          <w:sz w:val="21"/>
          <w:lang w:val="en-GB"/>
        </w:rPr>
        <w:t xml:space="preserve"> </w:t>
      </w:r>
      <w:r w:rsidRPr="00151A9C">
        <w:rPr>
          <w:rStyle w:val="normaltextrun"/>
          <w:rFonts w:ascii="Calibri" w:hAnsi="Calibri"/>
          <w:sz w:val="21"/>
          <w:lang w:val="en-GB"/>
        </w:rPr>
        <w:t>indicator, therefore will help catalyse the establishment of national AMR surveillance systems to ensure the collection of data at the national level and can also be used for tracking progress of country capacity for early warning of outbreaks of resistant infections. The indicator aims to address critical elements of the SDG target 3.d through a strategic approach derived from the evidence gathered through this indicator, as well as allows to ‘strengthen the capacity of all countries, in particular developing countries’, ‘reduction’ and ‘management of national’ and ‘global health risks’</w:t>
      </w:r>
      <w:r w:rsidR="00B576ED" w:rsidRPr="00151A9C">
        <w:rPr>
          <w:rStyle w:val="normaltextrun"/>
          <w:rFonts w:ascii="Calibri" w:hAnsi="Calibri"/>
          <w:sz w:val="21"/>
          <w:lang w:val="en-GB"/>
        </w:rPr>
        <w:t>, as part of the SDG global monitoring framework</w:t>
      </w:r>
      <w:r w:rsidRPr="00151A9C">
        <w:rPr>
          <w:rStyle w:val="normaltextrun"/>
          <w:rFonts w:ascii="Calibri" w:hAnsi="Calibri"/>
          <w:sz w:val="21"/>
          <w:lang w:val="en-GB"/>
        </w:rPr>
        <w:t>. The surveillance and diagnostics data thus generated will also help countries give early warning for public health preparedness, and for appropriate response measures.</w:t>
      </w:r>
      <w:r w:rsidRPr="001B229F">
        <w:rPr>
          <w:rStyle w:val="normaltextrun"/>
          <w:rFonts w:ascii="Calibri" w:hAnsi="Calibri" w:cs="Calibri"/>
          <w:sz w:val="22"/>
          <w:szCs w:val="22"/>
          <w:lang w:val="en-GB"/>
        </w:rPr>
        <w:t> </w:t>
      </w:r>
      <w:r w:rsidRPr="001B229F">
        <w:rPr>
          <w:rStyle w:val="eop"/>
          <w:rFonts w:ascii="Calibri" w:hAnsi="Calibri" w:cs="Calibri"/>
          <w:sz w:val="22"/>
          <w:szCs w:val="22"/>
        </w:rPr>
        <w:t> </w:t>
      </w:r>
    </w:p>
    <w:p w14:paraId="77E74EAC" w14:textId="05EE6D2B" w:rsidR="00BC24C7" w:rsidRPr="001B229F" w:rsidRDefault="00BC24C7" w:rsidP="00B576ED">
      <w:pPr>
        <w:pStyle w:val="paragraph"/>
        <w:rPr>
          <w:rFonts w:ascii="Segoe UI" w:hAnsi="Segoe UI" w:cs="Segoe UI"/>
          <w:sz w:val="18"/>
          <w:szCs w:val="18"/>
        </w:rPr>
      </w:pPr>
      <w:r w:rsidRPr="001B229F">
        <w:rPr>
          <w:rStyle w:val="normaltextrun"/>
          <w:rFonts w:ascii="Calibri" w:hAnsi="Calibri" w:cs="Calibri"/>
          <w:b/>
          <w:bCs/>
          <w:lang w:val="en-GB"/>
        </w:rPr>
        <w:t>Rationale</w:t>
      </w:r>
      <w:r w:rsidR="009F7038">
        <w:rPr>
          <w:rStyle w:val="normaltextrun"/>
          <w:rFonts w:ascii="Calibri" w:hAnsi="Calibri" w:cs="Calibri"/>
          <w:b/>
          <w:bCs/>
          <w:lang w:val="en-GB"/>
        </w:rPr>
        <w:t xml:space="preserve"> </w:t>
      </w:r>
      <w:r w:rsidRPr="001B229F">
        <w:rPr>
          <w:rStyle w:val="normaltextrun"/>
          <w:rFonts w:ascii="Calibri" w:hAnsi="Calibri" w:cs="Calibri"/>
          <w:b/>
          <w:bCs/>
          <w:lang w:val="en-GB"/>
        </w:rPr>
        <w:t>for selecting the</w:t>
      </w:r>
      <w:r w:rsidR="009F7038">
        <w:rPr>
          <w:rStyle w:val="normaltextrun"/>
          <w:rFonts w:ascii="Calibri" w:hAnsi="Calibri" w:cs="Calibri"/>
          <w:b/>
          <w:bCs/>
          <w:lang w:val="en-GB"/>
        </w:rPr>
        <w:t xml:space="preserve"> </w:t>
      </w:r>
      <w:r w:rsidRPr="001B229F">
        <w:rPr>
          <w:rStyle w:val="normaltextrun"/>
          <w:rFonts w:ascii="Calibri" w:hAnsi="Calibri" w:cs="Calibri"/>
          <w:b/>
          <w:bCs/>
          <w:lang w:val="en-GB"/>
        </w:rPr>
        <w:t>types of AMR organisms</w:t>
      </w:r>
      <w:r w:rsidRPr="001B229F">
        <w:rPr>
          <w:rStyle w:val="normaltextrun"/>
          <w:rFonts w:ascii="Calibri" w:hAnsi="Calibri" w:cs="Calibri"/>
          <w:sz w:val="22"/>
          <w:szCs w:val="22"/>
          <w:lang w:val="en-GB"/>
        </w:rPr>
        <w:t>:</w:t>
      </w:r>
    </w:p>
    <w:p w14:paraId="7FC210FF" w14:textId="77777777" w:rsidR="00BC24C7" w:rsidRPr="00151A9C" w:rsidRDefault="00BC24C7" w:rsidP="00151A9C">
      <w:pPr>
        <w:pStyle w:val="paragraph"/>
        <w:spacing w:line="276" w:lineRule="auto"/>
        <w:rPr>
          <w:rFonts w:ascii="Segoe UI" w:hAnsi="Segoe UI"/>
          <w:sz w:val="21"/>
        </w:rPr>
      </w:pPr>
      <w:r w:rsidRPr="00151A9C">
        <w:rPr>
          <w:rStyle w:val="normaltextrun"/>
          <w:rFonts w:ascii="Calibri" w:hAnsi="Calibri"/>
          <w:sz w:val="21"/>
          <w:lang w:val="en-GB"/>
        </w:rPr>
        <w:t>(i) </w:t>
      </w:r>
      <w:r w:rsidRPr="00151A9C">
        <w:rPr>
          <w:rStyle w:val="normaltextrun"/>
          <w:rFonts w:ascii="Calibri" w:hAnsi="Calibri"/>
          <w:i/>
          <w:sz w:val="21"/>
          <w:lang w:val="en-GB"/>
        </w:rPr>
        <w:t>E. coli</w:t>
      </w:r>
      <w:r w:rsidRPr="00151A9C">
        <w:rPr>
          <w:rStyle w:val="normaltextrun"/>
          <w:rFonts w:ascii="Calibri" w:hAnsi="Calibri"/>
          <w:sz w:val="21"/>
          <w:lang w:val="en-GB"/>
        </w:rPr>
        <w:t> and </w:t>
      </w:r>
      <w:r w:rsidRPr="00151A9C">
        <w:rPr>
          <w:rStyle w:val="normaltextrun"/>
          <w:rFonts w:ascii="Calibri" w:hAnsi="Calibri"/>
          <w:i/>
          <w:sz w:val="21"/>
          <w:lang w:val="en-GB"/>
        </w:rPr>
        <w:t>S. aureus</w:t>
      </w:r>
      <w:r w:rsidRPr="00151A9C">
        <w:rPr>
          <w:rStyle w:val="normaltextrun"/>
          <w:rFonts w:ascii="Calibri" w:hAnsi="Calibri"/>
          <w:sz w:val="21"/>
          <w:lang w:val="en-GB"/>
        </w:rPr>
        <w:t> are among the most common human fast-growing bacteria causing acute human infections; </w:t>
      </w:r>
      <w:r w:rsidRPr="00151A9C">
        <w:rPr>
          <w:rStyle w:val="eop"/>
          <w:rFonts w:ascii="Calibri" w:hAnsi="Calibri"/>
          <w:sz w:val="21"/>
        </w:rPr>
        <w:t> </w:t>
      </w:r>
    </w:p>
    <w:p w14:paraId="5312F1DC" w14:textId="4A7D3343" w:rsidR="00BC24C7" w:rsidRPr="00151A9C" w:rsidRDefault="00BC24C7" w:rsidP="00151A9C">
      <w:pPr>
        <w:pStyle w:val="paragraph"/>
        <w:spacing w:line="276" w:lineRule="auto"/>
        <w:rPr>
          <w:rFonts w:ascii="Segoe UI" w:hAnsi="Segoe UI"/>
          <w:sz w:val="21"/>
        </w:rPr>
      </w:pPr>
      <w:r w:rsidRPr="00151A9C">
        <w:rPr>
          <w:rStyle w:val="normaltextrun"/>
          <w:rFonts w:ascii="Calibri" w:hAnsi="Calibri"/>
          <w:sz w:val="21"/>
          <w:lang w:val="en-GB"/>
        </w:rPr>
        <w:t>(ii) </w:t>
      </w:r>
      <w:r w:rsidRPr="00151A9C">
        <w:rPr>
          <w:rStyle w:val="normaltextrun"/>
          <w:rFonts w:ascii="Calibri" w:hAnsi="Calibri"/>
          <w:i/>
          <w:sz w:val="21"/>
          <w:lang w:val="en-GB"/>
        </w:rPr>
        <w:t>E. coli</w:t>
      </w:r>
      <w:r w:rsidRPr="00151A9C">
        <w:rPr>
          <w:rStyle w:val="normaltextrun"/>
          <w:rFonts w:ascii="Calibri" w:hAnsi="Calibri"/>
          <w:sz w:val="21"/>
          <w:lang w:val="en-GB"/>
        </w:rPr>
        <w:t> is highly prevalent in both humans, animals and environment, being an ideal indicator for monitoring AMR across the sectors in line with the One Health approach. It recognizes that the health of humans, animals and ecosystems are interconnected and therefore requires a coordinated, collaborative, multidisciplinary and cross-sectoral approach to address potential or existing risks that originate at the animal-human-ecosystems interface;</w:t>
      </w:r>
    </w:p>
    <w:p w14:paraId="18D55C11" w14:textId="50B1EF90" w:rsidR="00BC24C7" w:rsidRPr="00151A9C" w:rsidRDefault="00BC24C7" w:rsidP="00151A9C">
      <w:pPr>
        <w:pStyle w:val="paragraph"/>
        <w:spacing w:line="276" w:lineRule="auto"/>
        <w:rPr>
          <w:rFonts w:ascii="Segoe UI" w:hAnsi="Segoe UI"/>
          <w:sz w:val="21"/>
        </w:rPr>
      </w:pPr>
      <w:r w:rsidRPr="00151A9C">
        <w:rPr>
          <w:rStyle w:val="normaltextrun"/>
          <w:rFonts w:ascii="Calibri" w:hAnsi="Calibri"/>
          <w:sz w:val="21"/>
          <w:lang w:val="en-GB"/>
        </w:rPr>
        <w:t>(iii) both MRSA and </w:t>
      </w:r>
      <w:r w:rsidRPr="00151A9C">
        <w:rPr>
          <w:rStyle w:val="normaltextrun"/>
          <w:rFonts w:ascii="Calibri" w:hAnsi="Calibri"/>
          <w:i/>
          <w:sz w:val="21"/>
          <w:lang w:val="en-GB"/>
        </w:rPr>
        <w:t>E. coli</w:t>
      </w:r>
      <w:r w:rsidRPr="00151A9C">
        <w:rPr>
          <w:rStyle w:val="normaltextrun"/>
          <w:rFonts w:ascii="Calibri" w:hAnsi="Calibri"/>
          <w:sz w:val="21"/>
          <w:lang w:val="en-GB"/>
        </w:rPr>
        <w:t xml:space="preserve"> resistant to 3rd-generation cephalosporin are largely disseminated and found in high frequency in human infections observed in hospital settings all over the world and increasingly very frequent in the community. Infections with these types of AMR lead to increase in use of the last resort </w:t>
      </w:r>
      <w:r w:rsidRPr="00151A9C">
        <w:rPr>
          <w:rStyle w:val="normaltextrun"/>
          <w:rFonts w:ascii="Calibri" w:hAnsi="Calibri"/>
          <w:sz w:val="21"/>
          <w:lang w:val="en-GB"/>
        </w:rPr>
        <w:lastRenderedPageBreak/>
        <w:t>drugs (e.g., vancomycin for MRSA infections, and carbapenems for </w:t>
      </w:r>
      <w:r w:rsidRPr="00151A9C">
        <w:rPr>
          <w:rStyle w:val="normaltextrun"/>
          <w:rFonts w:ascii="Calibri" w:hAnsi="Calibri"/>
          <w:i/>
          <w:sz w:val="21"/>
          <w:lang w:val="en-GB"/>
        </w:rPr>
        <w:t>E. coli</w:t>
      </w:r>
      <w:r w:rsidRPr="00151A9C">
        <w:rPr>
          <w:rStyle w:val="normaltextrun"/>
          <w:rFonts w:ascii="Calibri" w:hAnsi="Calibri"/>
          <w:sz w:val="21"/>
          <w:lang w:val="en-GB"/>
        </w:rPr>
        <w:t> resistant to 3rd-generation cephalosporin) against which new types of AMR are emerging.</w:t>
      </w:r>
    </w:p>
    <w:p w14:paraId="18EA7892" w14:textId="1DF35CA0" w:rsidR="00576CFA" w:rsidRPr="001B229F" w:rsidRDefault="00BC24C7" w:rsidP="00151A9C">
      <w:pPr>
        <w:pStyle w:val="paragraph"/>
        <w:spacing w:before="0" w:beforeAutospacing="0" w:after="0" w:afterAutospacing="0" w:line="276" w:lineRule="auto"/>
      </w:pPr>
      <w:r w:rsidRPr="00151A9C">
        <w:rPr>
          <w:rStyle w:val="normaltextrun"/>
          <w:rFonts w:ascii="Calibri" w:hAnsi="Calibri"/>
          <w:sz w:val="21"/>
          <w:lang w:val="en-GB"/>
        </w:rPr>
        <w:t>Effective control of these two types of AMR will ultimately help preserve the capacity to treat infections with available antimicrobials while new prevention and treatment solutions can be developed.  WHO has well defined global infection prevention and control standards and strategies.</w:t>
      </w:r>
    </w:p>
    <w:p w14:paraId="5E300D73" w14:textId="77777777" w:rsidR="007B1F51" w:rsidRDefault="007B1F51" w:rsidP="00E16943">
      <w:pPr>
        <w:pStyle w:val="MGTHeader"/>
      </w:pPr>
    </w:p>
    <w:p w14:paraId="2529B069" w14:textId="2B06038E" w:rsidR="00E1050F" w:rsidRPr="00A96255" w:rsidRDefault="00E1050F" w:rsidP="00B576ED">
      <w:pPr>
        <w:pStyle w:val="MHeader2"/>
      </w:pPr>
      <w:r w:rsidRPr="00A96255">
        <w:t>4.b. Comment and limitations</w:t>
      </w:r>
      <w:r w:rsidR="002D3E0D" w:rsidRPr="00A96255">
        <w:t xml:space="preserve"> </w:t>
      </w:r>
      <w:r w:rsidR="002D3E0D">
        <w:rPr>
          <w:color w:val="B4B4B4"/>
          <w:sz w:val="20"/>
        </w:rPr>
        <w:t>(REC_USE_LIM)</w:t>
      </w:r>
    </w:p>
    <w:p w14:paraId="62F5CD01" w14:textId="28A6F95E" w:rsidR="00BC24C7" w:rsidRPr="00151A9C" w:rsidRDefault="00BC24C7" w:rsidP="00151A9C">
      <w:pPr>
        <w:pStyle w:val="paragraph"/>
        <w:spacing w:before="0" w:beforeAutospacing="0" w:after="0" w:afterAutospacing="0" w:line="276" w:lineRule="auto"/>
        <w:rPr>
          <w:rFonts w:ascii="Segoe UI" w:hAnsi="Segoe UI"/>
          <w:sz w:val="21"/>
        </w:rPr>
      </w:pPr>
      <w:r w:rsidRPr="00151A9C">
        <w:rPr>
          <w:rStyle w:val="normaltextrun"/>
          <w:rFonts w:ascii="Calibri" w:hAnsi="Calibri"/>
          <w:sz w:val="21"/>
          <w:lang w:val="en-GB"/>
        </w:rPr>
        <w:t xml:space="preserve">AMR is an emerging global threat and risk to public health worldwide. In its early implementation phase of the global antimicrobial resistance surveillance system (GLASS), WHO recognizes various constraints in obtaining unbiased, representative AMR data: number and distribution of surveillance sites and representativeness of surveillance data, sampling bias, poor diagnostic capacity, measurements errors, issues with data management. It is imperative that countries should have a functioning national system to support AMR surveillance and report to GLASS. More detailed GLASS methodology and limitations of data currently submitted by countries can be found in the GLASS </w:t>
      </w:r>
      <w:r w:rsidR="00A4376D">
        <w:rPr>
          <w:rStyle w:val="normaltextrun"/>
          <w:rFonts w:ascii="Calibri" w:hAnsi="Calibri"/>
          <w:sz w:val="21"/>
          <w:lang w:val="en-GB"/>
        </w:rPr>
        <w:t>m</w:t>
      </w:r>
      <w:r w:rsidR="00036D9D">
        <w:rPr>
          <w:rStyle w:val="normaltextrun"/>
          <w:rFonts w:ascii="Calibri" w:hAnsi="Calibri"/>
          <w:sz w:val="21"/>
          <w:lang w:val="en-GB"/>
        </w:rPr>
        <w:t>anual</w:t>
      </w:r>
      <w:r w:rsidR="00B576ED" w:rsidRPr="00151A9C">
        <w:rPr>
          <w:rStyle w:val="FootnoteReference"/>
          <w:rFonts w:ascii="Calibri" w:hAnsi="Calibri"/>
          <w:sz w:val="21"/>
          <w:lang w:val="en-GB"/>
        </w:rPr>
        <w:footnoteReference w:id="7"/>
      </w:r>
      <w:r w:rsidRPr="00151A9C">
        <w:rPr>
          <w:rStyle w:val="normaltextrun"/>
          <w:rFonts w:ascii="Calibri" w:hAnsi="Calibri"/>
          <w:sz w:val="21"/>
          <w:lang w:val="en-GB"/>
        </w:rPr>
        <w:t xml:space="preserve">.  AMR surveillance, country preparedness and response are now high priority for WHO and its Member States. In the </w:t>
      </w:r>
      <w:r w:rsidR="00A4376D">
        <w:rPr>
          <w:rStyle w:val="normaltextrun"/>
          <w:rFonts w:ascii="Calibri" w:hAnsi="Calibri"/>
          <w:sz w:val="21"/>
          <w:lang w:val="en-GB"/>
        </w:rPr>
        <w:t>coming</w:t>
      </w:r>
      <w:r w:rsidRPr="00151A9C">
        <w:rPr>
          <w:rStyle w:val="normaltextrun"/>
          <w:rFonts w:ascii="Calibri" w:hAnsi="Calibri"/>
          <w:sz w:val="21"/>
          <w:lang w:val="en-GB"/>
        </w:rPr>
        <w:t xml:space="preserve"> years, WHO aims to provide intensified technical assistance. Experience gained and lessons learnt from further implementation of the national AMR surveillance systems will increase effectiveness, address limitations, and make the data more robust.  </w:t>
      </w:r>
      <w:r w:rsidRPr="00151A9C">
        <w:rPr>
          <w:rStyle w:val="eop"/>
          <w:rFonts w:ascii="Calibri" w:hAnsi="Calibri"/>
          <w:sz w:val="21"/>
        </w:rPr>
        <w:t> </w:t>
      </w:r>
    </w:p>
    <w:p w14:paraId="398C00AE" w14:textId="77777777" w:rsidR="00EC2915" w:rsidRPr="001B229F" w:rsidRDefault="00EC2915" w:rsidP="00B576ED">
      <w:pPr>
        <w:pStyle w:val="MText"/>
      </w:pPr>
    </w:p>
    <w:p w14:paraId="79EEEE38" w14:textId="34CAF453" w:rsidR="00E1050F" w:rsidRPr="00A96255" w:rsidRDefault="00E1050F" w:rsidP="00B576ED">
      <w:pPr>
        <w:pStyle w:val="MHeader2"/>
      </w:pPr>
      <w:r w:rsidRPr="00A96255">
        <w:t>4.c. Method of computation</w:t>
      </w:r>
      <w:r w:rsidR="00443C93" w:rsidRPr="00A96255">
        <w:t xml:space="preserve"> </w:t>
      </w:r>
      <w:r w:rsidR="00443C93">
        <w:rPr>
          <w:color w:val="B4B4B4"/>
          <w:sz w:val="20"/>
        </w:rPr>
        <w:t>(DATA_COMP)</w:t>
      </w:r>
    </w:p>
    <w:p w14:paraId="6B552405" w14:textId="239D6A9E" w:rsidR="00BC24C7" w:rsidRPr="00151A9C" w:rsidRDefault="00BC24C7" w:rsidP="00193E2D">
      <w:pPr>
        <w:pStyle w:val="paragraph"/>
        <w:spacing w:before="0" w:beforeAutospacing="0" w:after="0" w:afterAutospacing="0"/>
        <w:rPr>
          <w:rFonts w:ascii="Segoe UI" w:hAnsi="Segoe UI"/>
          <w:sz w:val="21"/>
        </w:rPr>
      </w:pPr>
      <w:r w:rsidRPr="00193E2D">
        <w:rPr>
          <w:rStyle w:val="normaltextrun"/>
          <w:rFonts w:ascii="Calibri" w:hAnsi="Calibri"/>
          <w:sz w:val="21"/>
          <w:szCs w:val="21"/>
          <w:lang w:val="en-GB"/>
        </w:rPr>
        <w:t xml:space="preserve">The </w:t>
      </w:r>
      <w:r w:rsidRPr="00193E2D">
        <w:rPr>
          <w:rStyle w:val="normaltextrun"/>
          <w:rFonts w:ascii="Calibri" w:hAnsi="Calibri" w:cs="Calibri"/>
          <w:sz w:val="21"/>
          <w:szCs w:val="21"/>
          <w:lang w:val="en-GB"/>
        </w:rPr>
        <w:t>WHO</w:t>
      </w:r>
      <w:r w:rsidRPr="00193E2D">
        <w:rPr>
          <w:rStyle w:val="normaltextrun"/>
          <w:rFonts w:ascii="Calibri" w:hAnsi="Calibri"/>
          <w:sz w:val="21"/>
          <w:szCs w:val="21"/>
          <w:lang w:val="en-GB"/>
        </w:rPr>
        <w:t xml:space="preserve"> Global AMR Surveillance System (GLASS) supports countries</w:t>
      </w:r>
      <w:r w:rsidRPr="00151A9C">
        <w:rPr>
          <w:rStyle w:val="normaltextrun"/>
          <w:rFonts w:ascii="Calibri" w:hAnsi="Calibri"/>
          <w:sz w:val="21"/>
          <w:lang w:val="en-GB"/>
        </w:rPr>
        <w:t xml:space="preserve"> to implement an AMR standardized surveillance system.  Cases of AMR infection are found among patients from whom routine clinical samples have been collected for blood culture at surveillance sites (health care facility) according to local clinical practices, and antimicrobial susceptibility tests (AST) are performed for the isolated blood pathogens as per international standards</w:t>
      </w:r>
      <w:r w:rsidR="00B576ED" w:rsidRPr="00151A9C">
        <w:rPr>
          <w:rStyle w:val="FootnoteReference"/>
          <w:rFonts w:ascii="Calibri" w:hAnsi="Calibri"/>
          <w:sz w:val="21"/>
          <w:lang w:val="en-GB"/>
        </w:rPr>
        <w:footnoteReference w:id="8"/>
      </w:r>
      <w:r w:rsidRPr="00151A9C">
        <w:rPr>
          <w:rStyle w:val="normaltextrun"/>
          <w:rFonts w:ascii="Calibri" w:hAnsi="Calibri"/>
          <w:sz w:val="21"/>
          <w:lang w:val="en-GB"/>
        </w:rPr>
        <w:t>. The microbiological results (bacteria identification and AST) are de-duplicated and combined with the patient data and related to population data from the surveillance sites. GLASS does collect information on the origin of the infection, either community origin (less than 2 calendar days in hospital) or hospital origin (patients hospitalized for more than 2 calendar days). Data are collated and validated at national level and reported to GLASS where epidemiological statistics and metrics are generated. GLASS has published guidelines on the setup of national AMR surveillance systems</w:t>
      </w:r>
      <w:r w:rsidR="00B576ED" w:rsidRPr="00151A9C">
        <w:rPr>
          <w:rStyle w:val="FootnoteReference"/>
          <w:rFonts w:ascii="Calibri" w:hAnsi="Calibri"/>
          <w:sz w:val="21"/>
          <w:lang w:val="en-GB"/>
        </w:rPr>
        <w:footnoteReference w:id="9"/>
      </w:r>
      <w:r w:rsidRPr="00151A9C">
        <w:rPr>
          <w:rStyle w:val="normaltextrun"/>
          <w:rFonts w:ascii="Calibri" w:hAnsi="Calibri"/>
          <w:sz w:val="21"/>
          <w:lang w:val="en-GB"/>
        </w:rPr>
        <w:t> and the GLASS methodology implementation manual</w:t>
      </w:r>
      <w:r w:rsidR="00A4376D" w:rsidRPr="00E16943">
        <w:rPr>
          <w:rStyle w:val="normaltextrun"/>
          <w:rFonts w:ascii="Calibri" w:hAnsi="Calibri"/>
          <w:sz w:val="21"/>
          <w:vertAlign w:val="superscript"/>
          <w:lang w:val="en-GB"/>
        </w:rPr>
        <w:t>6</w:t>
      </w:r>
      <w:r w:rsidRPr="00151A9C">
        <w:rPr>
          <w:rStyle w:val="normaltextrun"/>
          <w:rFonts w:ascii="Calibri" w:hAnsi="Calibri"/>
          <w:sz w:val="21"/>
          <w:lang w:val="en-GB"/>
        </w:rPr>
        <w:t> is available to countries.</w:t>
      </w:r>
      <w:r w:rsidRPr="00151A9C">
        <w:rPr>
          <w:rStyle w:val="eop"/>
          <w:rFonts w:ascii="Calibri" w:hAnsi="Calibri"/>
          <w:sz w:val="21"/>
        </w:rPr>
        <w:t> </w:t>
      </w:r>
    </w:p>
    <w:p w14:paraId="329FE92A" w14:textId="77777777" w:rsidR="006B44AB" w:rsidRDefault="00BC24C7" w:rsidP="006B44AB">
      <w:pPr>
        <w:pStyle w:val="NoSpacing"/>
        <w:rPr>
          <w:rStyle w:val="normaltextrun"/>
          <w:sz w:val="21"/>
          <w:szCs w:val="21"/>
        </w:rPr>
      </w:pPr>
      <w:r w:rsidRPr="00151A9C">
        <w:rPr>
          <w:rStyle w:val="normaltextrun"/>
          <w:sz w:val="21"/>
        </w:rPr>
        <w:t>Although national representativeness of generated AMR rates is not a strict requirement, GLASS encourages countries to derive representative national data.</w:t>
      </w:r>
    </w:p>
    <w:p w14:paraId="73114291" w14:textId="1A405F97" w:rsidR="00BC24C7" w:rsidRPr="00151A9C" w:rsidRDefault="00BC24C7" w:rsidP="00151A9C">
      <w:pPr>
        <w:pStyle w:val="NoSpacing"/>
        <w:rPr>
          <w:rFonts w:ascii="Segoe UI" w:hAnsi="Segoe UI"/>
        </w:rPr>
      </w:pPr>
      <w:r w:rsidRPr="00151A9C">
        <w:rPr>
          <w:rStyle w:val="normaltextrun"/>
          <w:sz w:val="21"/>
        </w:rPr>
        <w:t>  </w:t>
      </w:r>
      <w:r w:rsidRPr="00151A9C">
        <w:rPr>
          <w:rStyle w:val="eop"/>
          <w:sz w:val="21"/>
        </w:rPr>
        <w:t> </w:t>
      </w:r>
    </w:p>
    <w:p w14:paraId="6E2FD196" w14:textId="22EF6C7F" w:rsidR="006B44AB" w:rsidRDefault="00BC24C7" w:rsidP="006B44AB">
      <w:pPr>
        <w:pStyle w:val="NoSpacing"/>
        <w:rPr>
          <w:rStyle w:val="normaltextrun"/>
          <w:b/>
          <w:bCs/>
          <w:sz w:val="21"/>
          <w:szCs w:val="21"/>
        </w:rPr>
      </w:pPr>
      <w:r w:rsidRPr="00151A9C">
        <w:rPr>
          <w:rStyle w:val="normaltextrun"/>
          <w:b/>
          <w:sz w:val="21"/>
        </w:rPr>
        <w:t>Formulation of the proposed new indicator: </w:t>
      </w:r>
      <w:r w:rsidR="006B44AB">
        <w:rPr>
          <w:rStyle w:val="normaltextrun"/>
          <w:sz w:val="21"/>
          <w:szCs w:val="21"/>
        </w:rPr>
        <w:t>Percentage</w:t>
      </w:r>
      <w:r w:rsidR="006B44AB" w:rsidRPr="00151A9C">
        <w:rPr>
          <w:rStyle w:val="normaltextrun"/>
          <w:sz w:val="21"/>
          <w:szCs w:val="21"/>
        </w:rPr>
        <w:t xml:space="preserve"> </w:t>
      </w:r>
      <w:r w:rsidRPr="00151A9C">
        <w:rPr>
          <w:rStyle w:val="normaltextrun"/>
          <w:sz w:val="21"/>
        </w:rPr>
        <w:t>of patients with </w:t>
      </w:r>
      <w:r w:rsidRPr="00151A9C">
        <w:rPr>
          <w:rStyle w:val="normaltextrun"/>
          <w:b/>
          <w:sz w:val="21"/>
        </w:rPr>
        <w:t> </w:t>
      </w:r>
      <w:r w:rsidRPr="00151A9C">
        <w:rPr>
          <w:rStyle w:val="normaltextrun"/>
          <w:sz w:val="21"/>
        </w:rPr>
        <w:t>bloodstream infections due to selected antimicrobial resistant organisms.</w:t>
      </w:r>
    </w:p>
    <w:p w14:paraId="701CAB2C" w14:textId="3BC0CAC6" w:rsidR="00BC24C7" w:rsidRPr="00151A9C" w:rsidRDefault="00BC24C7" w:rsidP="00151A9C">
      <w:pPr>
        <w:pStyle w:val="NoSpacing"/>
        <w:rPr>
          <w:rFonts w:ascii="Segoe UI" w:hAnsi="Segoe UI"/>
        </w:rPr>
      </w:pPr>
      <w:r w:rsidRPr="00151A9C">
        <w:rPr>
          <w:rStyle w:val="normaltextrun"/>
          <w:b/>
          <w:sz w:val="21"/>
        </w:rPr>
        <w:t> </w:t>
      </w:r>
      <w:r w:rsidRPr="00151A9C">
        <w:rPr>
          <w:rStyle w:val="eop"/>
          <w:sz w:val="21"/>
        </w:rPr>
        <w:t> </w:t>
      </w:r>
    </w:p>
    <w:p w14:paraId="1F3E814A" w14:textId="5E1B5EEF" w:rsidR="00BC24C7" w:rsidRPr="00151A9C" w:rsidRDefault="00BC24C7" w:rsidP="00151A9C">
      <w:pPr>
        <w:pStyle w:val="NoSpacing"/>
        <w:rPr>
          <w:rFonts w:ascii="Segoe UI" w:hAnsi="Segoe UI"/>
        </w:rPr>
      </w:pPr>
      <w:r w:rsidRPr="00151A9C">
        <w:rPr>
          <w:rStyle w:val="normaltextrun"/>
          <w:sz w:val="21"/>
        </w:rPr>
        <w:lastRenderedPageBreak/>
        <w:t>This is derived from the following and multiplied by 100</w:t>
      </w:r>
      <w:r w:rsidR="00B576ED" w:rsidRPr="00151A9C">
        <w:rPr>
          <w:rStyle w:val="FootnoteReference"/>
          <w:sz w:val="21"/>
        </w:rPr>
        <w:footnoteReference w:id="10"/>
      </w:r>
      <w:r w:rsidRPr="00151A9C">
        <w:rPr>
          <w:rStyle w:val="normaltextrun"/>
          <w:b/>
          <w:sz w:val="21"/>
        </w:rPr>
        <w:t>:</w:t>
      </w:r>
      <w:r w:rsidRPr="00151A9C">
        <w:rPr>
          <w:rStyle w:val="eop"/>
          <w:sz w:val="21"/>
        </w:rPr>
        <w:t> </w:t>
      </w:r>
      <w:r w:rsidRPr="00583E66">
        <w:rPr>
          <w:rStyle w:val="eop"/>
          <w:sz w:val="21"/>
        </w:rPr>
        <w:t> </w:t>
      </w:r>
    </w:p>
    <w:p w14:paraId="3BF2C40F" w14:textId="77777777" w:rsidR="00BC24C7" w:rsidRPr="00151A9C" w:rsidRDefault="00BC24C7" w:rsidP="00151A9C">
      <w:pPr>
        <w:pStyle w:val="NoSpacing"/>
        <w:rPr>
          <w:rFonts w:ascii="Segoe UI" w:hAnsi="Segoe UI"/>
        </w:rPr>
      </w:pPr>
      <w:r w:rsidRPr="00151A9C">
        <w:rPr>
          <w:rStyle w:val="normaltextrun"/>
          <w:b/>
          <w:color w:val="4F81BD"/>
          <w:sz w:val="21"/>
        </w:rPr>
        <w:t>Numerator:</w:t>
      </w:r>
      <w:r w:rsidRPr="00151A9C">
        <w:rPr>
          <w:rStyle w:val="normaltextrun"/>
          <w:color w:val="4F81BD"/>
          <w:sz w:val="21"/>
        </w:rPr>
        <w:t> </w:t>
      </w:r>
      <w:r w:rsidRPr="00151A9C">
        <w:rPr>
          <w:rStyle w:val="normaltextrun"/>
          <w:sz w:val="21"/>
        </w:rPr>
        <w:t>Number of patients with growth of methicillin-resistant </w:t>
      </w:r>
      <w:r w:rsidRPr="00151A9C">
        <w:rPr>
          <w:rStyle w:val="normaltextrun"/>
          <w:i/>
          <w:sz w:val="21"/>
        </w:rPr>
        <w:t>S. aureus </w:t>
      </w:r>
      <w:r w:rsidRPr="00151A9C">
        <w:rPr>
          <w:rStyle w:val="normaltextrun"/>
          <w:sz w:val="21"/>
        </w:rPr>
        <w:t>or</w:t>
      </w:r>
      <w:r w:rsidRPr="00151A9C">
        <w:rPr>
          <w:rStyle w:val="normaltextrun"/>
          <w:i/>
          <w:sz w:val="21"/>
        </w:rPr>
        <w:t> E. coli</w:t>
      </w:r>
      <w:r w:rsidRPr="00151A9C">
        <w:rPr>
          <w:rStyle w:val="normaltextrun"/>
          <w:sz w:val="21"/>
        </w:rPr>
        <w:t> resistant to third generation cephalosporins in tested blood samples</w:t>
      </w:r>
      <w:r w:rsidRPr="00151A9C">
        <w:rPr>
          <w:rStyle w:val="eop"/>
          <w:sz w:val="21"/>
        </w:rPr>
        <w:t> </w:t>
      </w:r>
    </w:p>
    <w:p w14:paraId="7B1E880F" w14:textId="77777777" w:rsidR="006B44AB" w:rsidRDefault="00BC24C7" w:rsidP="006B44AB">
      <w:pPr>
        <w:pStyle w:val="NoSpacing"/>
        <w:rPr>
          <w:rStyle w:val="normaltextrun"/>
          <w:sz w:val="21"/>
          <w:szCs w:val="21"/>
        </w:rPr>
      </w:pPr>
      <w:r w:rsidRPr="00151A9C">
        <w:rPr>
          <w:rStyle w:val="normaltextrun"/>
          <w:b/>
          <w:color w:val="4F81BD"/>
          <w:sz w:val="21"/>
        </w:rPr>
        <w:t>Denominator</w:t>
      </w:r>
      <w:r w:rsidRPr="00151A9C">
        <w:rPr>
          <w:rStyle w:val="normaltextrun"/>
          <w:b/>
          <w:sz w:val="21"/>
        </w:rPr>
        <w:t>:</w:t>
      </w:r>
      <w:r w:rsidRPr="00151A9C">
        <w:rPr>
          <w:rStyle w:val="normaltextrun"/>
          <w:sz w:val="21"/>
        </w:rPr>
        <w:t> Total number of patients with growth of </w:t>
      </w:r>
      <w:r w:rsidRPr="00151A9C">
        <w:rPr>
          <w:rStyle w:val="normaltextrun"/>
          <w:i/>
          <w:sz w:val="21"/>
        </w:rPr>
        <w:t>S. aureus</w:t>
      </w:r>
      <w:r w:rsidRPr="00151A9C">
        <w:rPr>
          <w:rStyle w:val="normaltextrun"/>
          <w:sz w:val="21"/>
        </w:rPr>
        <w:t> or </w:t>
      </w:r>
      <w:r w:rsidRPr="00151A9C">
        <w:rPr>
          <w:rStyle w:val="normaltextrun"/>
          <w:i/>
          <w:sz w:val="21"/>
        </w:rPr>
        <w:t>E. coli </w:t>
      </w:r>
      <w:r w:rsidRPr="00151A9C">
        <w:rPr>
          <w:rStyle w:val="normaltextrun"/>
          <w:sz w:val="21"/>
        </w:rPr>
        <w:t>in tested blood samples</w:t>
      </w:r>
    </w:p>
    <w:p w14:paraId="6164983D" w14:textId="77777777" w:rsidR="006B44AB" w:rsidRDefault="006B44AB" w:rsidP="006B44AB">
      <w:pPr>
        <w:pStyle w:val="NoSpacing"/>
        <w:rPr>
          <w:rStyle w:val="eop"/>
        </w:rPr>
      </w:pPr>
    </w:p>
    <w:p w14:paraId="44AA5E0E" w14:textId="5217AD00" w:rsidR="00BC24C7" w:rsidRPr="00151A9C" w:rsidRDefault="00BC24C7" w:rsidP="00151A9C">
      <w:pPr>
        <w:pStyle w:val="paragraph"/>
        <w:spacing w:before="0" w:beforeAutospacing="0" w:after="0" w:afterAutospacing="0" w:line="276" w:lineRule="auto"/>
        <w:rPr>
          <w:rStyle w:val="normaltextrun"/>
          <w:rFonts w:ascii="Calibri" w:hAnsi="Calibri"/>
          <w:sz w:val="21"/>
          <w:lang w:val="en-GB"/>
        </w:rPr>
      </w:pPr>
      <w:r w:rsidRPr="00151A9C">
        <w:rPr>
          <w:rStyle w:val="normaltextrun"/>
          <w:rFonts w:ascii="Calibri" w:hAnsi="Calibri"/>
          <w:sz w:val="21"/>
          <w:lang w:val="en-GB"/>
        </w:rPr>
        <w:t>Stratification:</w:t>
      </w:r>
    </w:p>
    <w:p w14:paraId="6DF5A4C4" w14:textId="7154AD97" w:rsidR="007B1F51" w:rsidRDefault="00BC24C7" w:rsidP="00151A9C">
      <w:pPr>
        <w:pStyle w:val="paragraph"/>
        <w:spacing w:before="0" w:beforeAutospacing="0" w:after="0" w:afterAutospacing="0" w:line="276" w:lineRule="auto"/>
        <w:rPr>
          <w:rStyle w:val="normaltextrun"/>
          <w:rFonts w:ascii="Calibri" w:hAnsi="Calibri" w:cs="Calibri"/>
          <w:sz w:val="22"/>
          <w:szCs w:val="22"/>
          <w:lang w:val="en-GB"/>
        </w:rPr>
      </w:pPr>
      <w:r w:rsidRPr="00151A9C">
        <w:rPr>
          <w:rStyle w:val="normaltextrun"/>
          <w:rFonts w:ascii="Calibri" w:hAnsi="Calibri"/>
          <w:sz w:val="21"/>
          <w:lang w:val="en-GB"/>
        </w:rPr>
        <w:t>The data are stratified by gender, and age group. Data are aggregated at the country level. Data are analysed and reported according to whether specimen is within 2 calendar days of admission (community origin) or after 2 calendar days of admission (hospital origin).</w:t>
      </w:r>
    </w:p>
    <w:p w14:paraId="6A89839E" w14:textId="2EB451B3" w:rsidR="00576CFA" w:rsidRPr="001B229F" w:rsidRDefault="00BC24C7" w:rsidP="00EF293C">
      <w:pPr>
        <w:pStyle w:val="paragraph"/>
        <w:spacing w:before="0" w:beforeAutospacing="0" w:after="0" w:afterAutospacing="0"/>
      </w:pPr>
      <w:r w:rsidRPr="001B229F">
        <w:rPr>
          <w:rStyle w:val="eop"/>
          <w:rFonts w:ascii="Calibri" w:hAnsi="Calibri" w:cs="Calibri"/>
          <w:sz w:val="22"/>
          <w:szCs w:val="22"/>
        </w:rPr>
        <w:t> </w:t>
      </w:r>
    </w:p>
    <w:p w14:paraId="514CE3C0" w14:textId="2CED813F" w:rsidR="00E1050F" w:rsidRPr="00A96255" w:rsidRDefault="00576CFA" w:rsidP="00B576ED">
      <w:pPr>
        <w:pStyle w:val="MHeader2"/>
      </w:pPr>
      <w:r w:rsidRPr="00A96255">
        <w:t>4.d. Validation</w:t>
      </w:r>
      <w:r w:rsidR="005575F2" w:rsidRPr="00A96255">
        <w:t xml:space="preserve"> </w:t>
      </w:r>
      <w:r w:rsidR="005575F2">
        <w:rPr>
          <w:color w:val="B4B4B4"/>
          <w:sz w:val="20"/>
        </w:rPr>
        <w:t>(DATA_VALIDATION)</w:t>
      </w:r>
    </w:p>
    <w:p w14:paraId="0025F830" w14:textId="25035B42" w:rsidR="00F719A8" w:rsidRDefault="00DE0785" w:rsidP="00B576ED">
      <w:pPr>
        <w:pStyle w:val="MText"/>
      </w:pPr>
      <w:r>
        <w:t xml:space="preserve">Data uploaded to the GLASS IT platform undergo automated consistency checks and then </w:t>
      </w:r>
      <w:r w:rsidRPr="00DE0785">
        <w:t xml:space="preserve">reviewed with Member States </w:t>
      </w:r>
      <w:r>
        <w:t>by dedicated WHO team</w:t>
      </w:r>
      <w:r w:rsidRPr="00DE0785">
        <w:t xml:space="preserve"> every time new data are generated</w:t>
      </w:r>
    </w:p>
    <w:p w14:paraId="14D2B819" w14:textId="77777777" w:rsidR="006C3E95" w:rsidRPr="00A96255" w:rsidRDefault="006C3E95" w:rsidP="00B576ED">
      <w:pPr>
        <w:pStyle w:val="MText"/>
      </w:pPr>
    </w:p>
    <w:p w14:paraId="2CF2A343" w14:textId="7D222EB7" w:rsidR="00E1050F" w:rsidRPr="00A96255" w:rsidRDefault="00E1050F" w:rsidP="00B576ED">
      <w:pPr>
        <w:pStyle w:val="MHeader2"/>
      </w:pPr>
      <w:r w:rsidRPr="00A96255">
        <w:t>4.e. Adjustments</w:t>
      </w:r>
      <w:r w:rsidR="001B462A" w:rsidRPr="00A96255">
        <w:t xml:space="preserve"> </w:t>
      </w:r>
      <w:r w:rsidR="001B462A">
        <w:rPr>
          <w:color w:val="B4B4B4"/>
          <w:sz w:val="20"/>
        </w:rPr>
        <w:t>(ADJUSTMENT)</w:t>
      </w:r>
    </w:p>
    <w:p w14:paraId="7FBAEBBA" w14:textId="3BD898F9" w:rsidR="00EC2915" w:rsidRDefault="007A39E4" w:rsidP="00B576ED">
      <w:pPr>
        <w:pStyle w:val="MText"/>
      </w:pPr>
      <w:r>
        <w:t>Not applicable</w:t>
      </w:r>
    </w:p>
    <w:p w14:paraId="6C4414B2" w14:textId="55119FEA" w:rsidR="006C3E95" w:rsidRDefault="006C3E95" w:rsidP="00B576ED">
      <w:pPr>
        <w:pStyle w:val="MText"/>
      </w:pPr>
    </w:p>
    <w:p w14:paraId="17735630" w14:textId="6351EE58" w:rsidR="00E1050F" w:rsidRPr="00A96255" w:rsidRDefault="00576CFA" w:rsidP="00B576ED">
      <w:pPr>
        <w:pStyle w:val="MHeader2"/>
      </w:pPr>
      <w:r w:rsidRPr="00A96255">
        <w:t>4.f. Treatment of missing values (i) at country le</w:t>
      </w:r>
      <w:r w:rsidR="00E1050F" w:rsidRPr="00A96255">
        <w:t>vel and (ii) at regional level</w:t>
      </w:r>
      <w:r w:rsidR="00690333" w:rsidRPr="00A96255">
        <w:t xml:space="preserve"> </w:t>
      </w:r>
      <w:r w:rsidR="00690333">
        <w:rPr>
          <w:color w:val="B4B4B4"/>
          <w:sz w:val="20"/>
        </w:rPr>
        <w:t>(IMPUTATION)</w:t>
      </w:r>
    </w:p>
    <w:p w14:paraId="1D3C0323" w14:textId="23B8D790" w:rsidR="00BC24C7" w:rsidRPr="00274690" w:rsidRDefault="00BC24C7" w:rsidP="00151A9C">
      <w:pPr>
        <w:pStyle w:val="paragraph"/>
        <w:numPr>
          <w:ilvl w:val="0"/>
          <w:numId w:val="6"/>
        </w:numPr>
        <w:spacing w:before="0" w:beforeAutospacing="0" w:after="0" w:afterAutospacing="0" w:line="276" w:lineRule="auto"/>
        <w:ind w:left="360"/>
        <w:rPr>
          <w:rFonts w:asciiTheme="minorHAnsi" w:hAnsiTheme="minorHAnsi" w:cstheme="minorHAnsi"/>
          <w:b/>
          <w:bCs/>
          <w:sz w:val="21"/>
          <w:szCs w:val="21"/>
          <w:lang w:val="en-GB" w:eastAsia="en-GB"/>
        </w:rPr>
      </w:pPr>
      <w:r w:rsidRPr="00274690">
        <w:rPr>
          <w:rFonts w:asciiTheme="minorHAnsi" w:hAnsiTheme="minorHAnsi" w:cstheme="minorHAnsi"/>
          <w:b/>
          <w:bCs/>
          <w:sz w:val="21"/>
          <w:szCs w:val="21"/>
          <w:lang w:eastAsia="en-GB"/>
        </w:rPr>
        <w:t>At country level</w:t>
      </w:r>
    </w:p>
    <w:p w14:paraId="22510958" w14:textId="77777777" w:rsidR="00BC24C7" w:rsidRPr="00151A9C" w:rsidRDefault="00BC24C7" w:rsidP="00151A9C">
      <w:pPr>
        <w:pStyle w:val="paragraph"/>
        <w:spacing w:before="0" w:beforeAutospacing="0" w:after="0" w:afterAutospacing="0" w:line="276" w:lineRule="auto"/>
        <w:rPr>
          <w:rFonts w:ascii="Segoe UI" w:hAnsi="Segoe UI"/>
          <w:sz w:val="21"/>
        </w:rPr>
      </w:pPr>
      <w:r w:rsidRPr="00151A9C">
        <w:rPr>
          <w:rStyle w:val="normaltextrun"/>
          <w:rFonts w:ascii="Calibri" w:hAnsi="Calibri"/>
          <w:sz w:val="21"/>
          <w:lang w:val="en-GB"/>
        </w:rPr>
        <w:t>Countries with no data are reported as blank. </w:t>
      </w:r>
      <w:r w:rsidRPr="00151A9C">
        <w:rPr>
          <w:rStyle w:val="eop"/>
          <w:rFonts w:ascii="Calibri" w:hAnsi="Calibri"/>
          <w:sz w:val="21"/>
        </w:rPr>
        <w:t> </w:t>
      </w:r>
    </w:p>
    <w:p w14:paraId="27033367" w14:textId="77777777" w:rsidR="00EC2915" w:rsidRDefault="00EC2915" w:rsidP="00B576ED">
      <w:pPr>
        <w:pStyle w:val="MText"/>
      </w:pPr>
    </w:p>
    <w:p w14:paraId="4102C1A6" w14:textId="5900F0CC" w:rsidR="00190CCE" w:rsidRPr="00274690" w:rsidRDefault="00190CCE" w:rsidP="00190CCE">
      <w:pPr>
        <w:pStyle w:val="paragraph"/>
        <w:numPr>
          <w:ilvl w:val="0"/>
          <w:numId w:val="6"/>
        </w:numPr>
        <w:spacing w:before="0" w:beforeAutospacing="0" w:after="0" w:afterAutospacing="0" w:line="276" w:lineRule="auto"/>
        <w:ind w:left="360"/>
        <w:rPr>
          <w:rFonts w:asciiTheme="minorHAnsi" w:hAnsiTheme="minorHAnsi" w:cstheme="minorHAnsi"/>
          <w:b/>
          <w:bCs/>
          <w:sz w:val="21"/>
          <w:szCs w:val="21"/>
          <w:lang w:val="en-GB" w:eastAsia="en-GB"/>
        </w:rPr>
      </w:pPr>
      <w:r w:rsidRPr="00274690">
        <w:rPr>
          <w:rFonts w:asciiTheme="minorHAnsi" w:hAnsiTheme="minorHAnsi" w:cstheme="minorHAnsi"/>
          <w:b/>
          <w:bCs/>
          <w:sz w:val="21"/>
          <w:szCs w:val="21"/>
          <w:lang w:eastAsia="en-GB"/>
        </w:rPr>
        <w:t xml:space="preserve">At </w:t>
      </w:r>
      <w:r>
        <w:rPr>
          <w:rFonts w:asciiTheme="minorHAnsi" w:hAnsiTheme="minorHAnsi" w:cstheme="minorHAnsi"/>
          <w:b/>
          <w:bCs/>
          <w:sz w:val="21"/>
          <w:szCs w:val="21"/>
          <w:lang w:eastAsia="en-GB"/>
        </w:rPr>
        <w:t>regional</w:t>
      </w:r>
      <w:r w:rsidRPr="00274690">
        <w:rPr>
          <w:rFonts w:asciiTheme="minorHAnsi" w:hAnsiTheme="minorHAnsi" w:cstheme="minorHAnsi"/>
          <w:b/>
          <w:bCs/>
          <w:sz w:val="21"/>
          <w:szCs w:val="21"/>
          <w:lang w:eastAsia="en-GB"/>
        </w:rPr>
        <w:t xml:space="preserve"> level</w:t>
      </w:r>
    </w:p>
    <w:p w14:paraId="04B0EDC4" w14:textId="77777777" w:rsidR="00190CCE" w:rsidRPr="00A96255" w:rsidRDefault="00190CCE" w:rsidP="00B576ED">
      <w:pPr>
        <w:pStyle w:val="MText"/>
      </w:pPr>
    </w:p>
    <w:p w14:paraId="51FCD280" w14:textId="35F10D0F" w:rsidR="00E1050F" w:rsidRPr="00A96255" w:rsidRDefault="00E1050F" w:rsidP="00B576ED">
      <w:pPr>
        <w:pStyle w:val="MHeader2"/>
      </w:pPr>
      <w:r w:rsidRPr="00A96255">
        <w:t>4.g. Regional aggregations</w:t>
      </w:r>
      <w:r w:rsidR="00A21F9B" w:rsidRPr="00A96255">
        <w:t xml:space="preserve"> </w:t>
      </w:r>
      <w:r w:rsidR="00A21F9B">
        <w:rPr>
          <w:color w:val="B4B4B4"/>
          <w:sz w:val="20"/>
        </w:rPr>
        <w:t>(REG_AGG)</w:t>
      </w:r>
    </w:p>
    <w:p w14:paraId="2EA010B7" w14:textId="3D579E82" w:rsidR="00EC2915" w:rsidRDefault="005E0654" w:rsidP="00B576ED">
      <w:pPr>
        <w:pStyle w:val="MText"/>
      </w:pPr>
      <w:r>
        <w:t xml:space="preserve">In addition to the country estimates, the resistance proportions are </w:t>
      </w:r>
      <w:r>
        <w:rPr>
          <w:rStyle w:val="eop"/>
          <w:rFonts w:cs="Calibri"/>
        </w:rPr>
        <w:t>calculated at the regional and global levels</w:t>
      </w:r>
    </w:p>
    <w:p w14:paraId="0422A990" w14:textId="77777777" w:rsidR="006C3E95" w:rsidRPr="00A96255" w:rsidRDefault="006C3E95" w:rsidP="00B576ED">
      <w:pPr>
        <w:pStyle w:val="MText"/>
      </w:pPr>
    </w:p>
    <w:p w14:paraId="71213FF2" w14:textId="041B39EA" w:rsidR="00E1050F" w:rsidRPr="00A96255" w:rsidRDefault="00576CFA" w:rsidP="00B576ED">
      <w:pPr>
        <w:pStyle w:val="MHeader2"/>
      </w:pPr>
      <w:r w:rsidRPr="00A96255">
        <w:t xml:space="preserve">4.h. Methods and guidance available to countries for the compilation of </w:t>
      </w:r>
      <w:r w:rsidR="00E1050F" w:rsidRPr="00A96255">
        <w:t>the data at the national level</w:t>
      </w:r>
      <w:r w:rsidR="00452B3E" w:rsidRPr="00A96255">
        <w:t xml:space="preserve"> </w:t>
      </w:r>
      <w:r w:rsidR="00452B3E">
        <w:rPr>
          <w:color w:val="B4B4B4"/>
          <w:sz w:val="20"/>
        </w:rPr>
        <w:t>(DOC_METHOD)</w:t>
      </w:r>
    </w:p>
    <w:p w14:paraId="2939895F" w14:textId="3F3F88D2" w:rsidR="00EC2915" w:rsidRDefault="005E0654" w:rsidP="00B576ED">
      <w:pPr>
        <w:pStyle w:val="MText"/>
      </w:pPr>
      <w:r>
        <w:t>In addition to the GLASS manual</w:t>
      </w:r>
      <w:r>
        <w:rPr>
          <w:rStyle w:val="FootnoteReference"/>
        </w:rPr>
        <w:footnoteReference w:id="11"/>
      </w:r>
      <w:r>
        <w:t>, a number of supporting documents and tools are available at the GLASS website</w:t>
      </w:r>
      <w:r>
        <w:rPr>
          <w:rStyle w:val="FootnoteReference"/>
        </w:rPr>
        <w:footnoteReference w:id="12"/>
      </w:r>
      <w:r>
        <w:t>. Training is provided via regular global webinars or face-to-face regional and national training courses. GLASS national focal points are supported by a dedicated GLASS helpdesk.</w:t>
      </w:r>
    </w:p>
    <w:p w14:paraId="217B9937" w14:textId="77777777" w:rsidR="006C3E95" w:rsidRPr="00A96255" w:rsidRDefault="006C3E95" w:rsidP="00B576ED">
      <w:pPr>
        <w:pStyle w:val="MText"/>
      </w:pPr>
    </w:p>
    <w:p w14:paraId="494C36E8" w14:textId="0E2D4F4D" w:rsidR="00E1050F" w:rsidRPr="00A96255" w:rsidRDefault="00576CFA" w:rsidP="00B576ED">
      <w:pPr>
        <w:pStyle w:val="MHeader2"/>
      </w:pPr>
      <w:r w:rsidRPr="00A96255">
        <w:t xml:space="preserve">4.i. </w:t>
      </w:r>
      <w:r w:rsidR="00E1050F" w:rsidRPr="00A96255">
        <w:t>Quality management</w:t>
      </w:r>
      <w:r w:rsidR="006F5453" w:rsidRPr="00A96255">
        <w:t xml:space="preserve"> </w:t>
      </w:r>
      <w:r w:rsidR="006F5453">
        <w:rPr>
          <w:color w:val="B4B4B4"/>
          <w:sz w:val="20"/>
        </w:rPr>
        <w:t>(QUALITY_MGMNT)</w:t>
      </w:r>
    </w:p>
    <w:p w14:paraId="1BA59CC5" w14:textId="7B8747F5" w:rsidR="00DF4F0E" w:rsidRDefault="00DF4F0E" w:rsidP="00190CCE">
      <w:pPr>
        <w:pStyle w:val="CommentText"/>
        <w:spacing w:after="0"/>
        <w:rPr>
          <w:rFonts w:eastAsia="Times New Roman" w:cs="Times New Roman"/>
          <w:sz w:val="21"/>
          <w:szCs w:val="21"/>
          <w:lang w:eastAsia="en-GB"/>
        </w:rPr>
      </w:pPr>
      <w:r w:rsidRPr="00D60653">
        <w:rPr>
          <w:rStyle w:val="MTextChar"/>
          <w:rFonts w:eastAsiaTheme="minorEastAsia"/>
        </w:rPr>
        <w:t xml:space="preserve">For information on data quality management, assurance, and assessment processes at WHO, please refer </w:t>
      </w:r>
      <w:r w:rsidRPr="00190CCE">
        <w:rPr>
          <w:rFonts w:eastAsia="Times New Roman"/>
        </w:rPr>
        <w:t>to:</w:t>
      </w:r>
      <w:r w:rsidRPr="00190CCE">
        <w:rPr>
          <w:rFonts w:eastAsia="Times New Roman" w:cs="Times New Roman"/>
          <w:sz w:val="21"/>
          <w:szCs w:val="21"/>
          <w:lang w:eastAsia="en-GB"/>
        </w:rPr>
        <w:t xml:space="preserve"> </w:t>
      </w:r>
      <w:hyperlink r:id="rId11" w:history="1">
        <w:r w:rsidR="00190CCE" w:rsidRPr="00404D26">
          <w:rPr>
            <w:rStyle w:val="Hyperlink"/>
          </w:rPr>
          <w:t>https://www.who.int/data/ddi</w:t>
        </w:r>
      </w:hyperlink>
      <w:r w:rsidR="00190CCE">
        <w:rPr>
          <w:rFonts w:eastAsia="Times New Roman" w:cs="Times New Roman"/>
          <w:sz w:val="21"/>
          <w:szCs w:val="21"/>
          <w:lang w:eastAsia="en-GB"/>
        </w:rPr>
        <w:t xml:space="preserve"> </w:t>
      </w:r>
    </w:p>
    <w:p w14:paraId="09DA2B96" w14:textId="77777777" w:rsidR="00190CCE" w:rsidRPr="00190CCE" w:rsidRDefault="00190CCE" w:rsidP="00190CCE">
      <w:pPr>
        <w:pStyle w:val="CommentText"/>
        <w:spacing w:after="0"/>
        <w:rPr>
          <w:rFonts w:eastAsia="Times New Roman" w:cs="Times New Roman"/>
          <w:sz w:val="21"/>
          <w:szCs w:val="21"/>
          <w:lang w:eastAsia="en-GB"/>
        </w:rPr>
      </w:pPr>
    </w:p>
    <w:p w14:paraId="17B979CA" w14:textId="3BCB6098" w:rsidR="00E1050F" w:rsidRPr="00A96255" w:rsidRDefault="00E1050F" w:rsidP="00B576ED">
      <w:pPr>
        <w:pStyle w:val="MHeader2"/>
      </w:pPr>
      <w:r w:rsidRPr="00A96255">
        <w:lastRenderedPageBreak/>
        <w:t>4.j Quality assurance</w:t>
      </w:r>
      <w:r w:rsidR="001E1F23" w:rsidRPr="00A96255">
        <w:t xml:space="preserve"> </w:t>
      </w:r>
      <w:r w:rsidR="001E1F23">
        <w:rPr>
          <w:color w:val="B4B4B4"/>
          <w:sz w:val="20"/>
        </w:rPr>
        <w:t>(QUALITY_ASSURE)</w:t>
      </w:r>
    </w:p>
    <w:p w14:paraId="03EF3244" w14:textId="10F9D471" w:rsidR="00EC2915" w:rsidRDefault="00DF4F0E" w:rsidP="00B576ED">
      <w:pPr>
        <w:pStyle w:val="MText"/>
      </w:pPr>
      <w:r w:rsidRPr="00DF4F0E">
        <w:t xml:space="preserve">For information on data quality management, assurance, and assessment processes at WHO, please refer to: </w:t>
      </w:r>
      <w:hyperlink r:id="rId12" w:history="1">
        <w:r w:rsidR="00EB6FA7" w:rsidRPr="00404D26">
          <w:rPr>
            <w:rStyle w:val="Hyperlink"/>
          </w:rPr>
          <w:t>https://www.who.int/data/ddi</w:t>
        </w:r>
      </w:hyperlink>
    </w:p>
    <w:p w14:paraId="500E56C4" w14:textId="77777777" w:rsidR="00EB6FA7" w:rsidRDefault="00EB6FA7" w:rsidP="00B576ED">
      <w:pPr>
        <w:pStyle w:val="MText"/>
      </w:pPr>
    </w:p>
    <w:p w14:paraId="277D4F28" w14:textId="2E2EB2E3" w:rsidR="00EB6FA7" w:rsidRDefault="00EB6FA7" w:rsidP="00B576ED">
      <w:pPr>
        <w:pStyle w:val="MText"/>
      </w:pPr>
      <w:r>
        <w:t>WHO is faciloitating provision of external quality assurance for the national reference laboratories supporting national AMR surveillance</w:t>
      </w:r>
    </w:p>
    <w:p w14:paraId="391E88A4" w14:textId="77777777" w:rsidR="006C3E95" w:rsidRPr="00A96255" w:rsidRDefault="006C3E95" w:rsidP="00B576ED">
      <w:pPr>
        <w:pStyle w:val="MText"/>
      </w:pPr>
    </w:p>
    <w:p w14:paraId="34ADD322" w14:textId="2DD3912D" w:rsidR="00E1050F" w:rsidRPr="00A96255" w:rsidRDefault="00576CFA" w:rsidP="00B576ED">
      <w:pPr>
        <w:pStyle w:val="MHeader2"/>
      </w:pPr>
      <w:r w:rsidRPr="00A96255">
        <w:t>4.k Qua</w:t>
      </w:r>
      <w:r w:rsidR="00E1050F" w:rsidRPr="00A96255">
        <w:t>lity assessment</w:t>
      </w:r>
      <w:r w:rsidR="00607170" w:rsidRPr="00A96255">
        <w:t xml:space="preserve"> </w:t>
      </w:r>
      <w:r w:rsidR="00607170">
        <w:rPr>
          <w:color w:val="B4B4B4"/>
          <w:sz w:val="20"/>
        </w:rPr>
        <w:t>(QUALITY_ASSMNT)</w:t>
      </w:r>
    </w:p>
    <w:p w14:paraId="5B7C52CE" w14:textId="4A94AFC1" w:rsidR="00576CFA" w:rsidRDefault="00DF4F0E" w:rsidP="00B576ED">
      <w:pPr>
        <w:pStyle w:val="MText"/>
      </w:pPr>
      <w:r w:rsidRPr="00DF4F0E">
        <w:t>For information on data quality management, assurance, and assessment processes at WHO, please refer to: https://www.who.int/data/ddi</w:t>
      </w:r>
    </w:p>
    <w:p w14:paraId="48771FE3" w14:textId="77777777" w:rsidR="006C3E95" w:rsidRPr="00A96255" w:rsidRDefault="006C3E95" w:rsidP="00B576ED">
      <w:pPr>
        <w:pStyle w:val="MText"/>
      </w:pPr>
    </w:p>
    <w:p w14:paraId="17787B3C" w14:textId="3EC62FE9" w:rsidR="00E1050F" w:rsidRPr="00A96255" w:rsidRDefault="00576CFA" w:rsidP="00B576ED">
      <w:pPr>
        <w:pStyle w:val="MHeader"/>
      </w:pPr>
      <w:r w:rsidRPr="00A96255">
        <w:t>5. Data availability and disaggregation</w:t>
      </w:r>
      <w:r w:rsidR="00CF0B39" w:rsidRPr="00A96255">
        <w:t xml:space="preserve"> </w:t>
      </w:r>
      <w:r w:rsidR="00CF0B39">
        <w:rPr>
          <w:color w:val="B4B4B4"/>
          <w:sz w:val="20"/>
        </w:rPr>
        <w:t>(COVERAGE)</w:t>
      </w:r>
    </w:p>
    <w:p w14:paraId="464A8CCF" w14:textId="53E8C84E" w:rsidR="00576CFA" w:rsidRPr="00583E66" w:rsidRDefault="00D51E7C" w:rsidP="00891E27">
      <w:pPr>
        <w:pStyle w:val="MText"/>
        <w:rPr>
          <w:b/>
        </w:rPr>
      </w:pPr>
      <w:r w:rsidRPr="00583E66">
        <w:rPr>
          <w:b/>
        </w:rPr>
        <w:t>Data availability:</w:t>
      </w:r>
    </w:p>
    <w:p w14:paraId="21689C28" w14:textId="7A2FA39A" w:rsidR="00BC24C7" w:rsidRDefault="00BC24C7" w:rsidP="00151A9C">
      <w:pPr>
        <w:pStyle w:val="paragraph"/>
        <w:spacing w:before="0" w:beforeAutospacing="0" w:after="0" w:afterAutospacing="0" w:line="276" w:lineRule="auto"/>
        <w:rPr>
          <w:rFonts w:ascii="Segoe UI" w:hAnsi="Segoe UI" w:cs="Segoe UI"/>
          <w:sz w:val="18"/>
          <w:szCs w:val="18"/>
        </w:rPr>
      </w:pPr>
      <w:r>
        <w:rPr>
          <w:rStyle w:val="normaltextrun"/>
          <w:rFonts w:ascii="Calibri" w:hAnsi="Calibri" w:cs="Calibri"/>
          <w:sz w:val="21"/>
          <w:szCs w:val="21"/>
          <w:lang w:val="en-GB"/>
        </w:rPr>
        <w:t>Data are available by country,</w:t>
      </w:r>
      <w:r w:rsidR="00E85C43">
        <w:rPr>
          <w:rStyle w:val="normaltextrun"/>
          <w:rFonts w:ascii="Calibri" w:hAnsi="Calibri" w:cs="Calibri"/>
          <w:sz w:val="21"/>
          <w:szCs w:val="21"/>
          <w:lang w:val="en-GB"/>
        </w:rPr>
        <w:t xml:space="preserve"> </w:t>
      </w:r>
      <w:r>
        <w:rPr>
          <w:rStyle w:val="normaltextrun"/>
          <w:rFonts w:ascii="Calibri" w:hAnsi="Calibri" w:cs="Calibri"/>
          <w:sz w:val="21"/>
          <w:szCs w:val="21"/>
          <w:lang w:val="en-GB"/>
        </w:rPr>
        <w:t>gender, and age group, as well as</w:t>
      </w:r>
      <w:r w:rsidR="00E85C43">
        <w:rPr>
          <w:rStyle w:val="normaltextrun"/>
          <w:rFonts w:ascii="Calibri" w:hAnsi="Calibri" w:cs="Calibri"/>
          <w:sz w:val="21"/>
          <w:szCs w:val="21"/>
          <w:lang w:val="en-GB"/>
        </w:rPr>
        <w:t xml:space="preserve"> </w:t>
      </w:r>
      <w:r>
        <w:rPr>
          <w:rStyle w:val="normaltextrun"/>
          <w:rFonts w:ascii="Calibri" w:hAnsi="Calibri" w:cs="Calibri"/>
          <w:sz w:val="21"/>
          <w:szCs w:val="21"/>
          <w:lang w:val="en-GB"/>
        </w:rPr>
        <w:t>whether infection is of community or hospital origin.</w:t>
      </w:r>
      <w:r>
        <w:rPr>
          <w:rStyle w:val="eop"/>
          <w:rFonts w:ascii="Calibri" w:hAnsi="Calibri" w:cs="Calibri"/>
          <w:sz w:val="21"/>
          <w:szCs w:val="21"/>
        </w:rPr>
        <w:t> </w:t>
      </w:r>
    </w:p>
    <w:p w14:paraId="42E8CA56" w14:textId="77777777" w:rsidR="00D51E7C" w:rsidRPr="00A96255" w:rsidRDefault="00D51E7C" w:rsidP="00B576ED">
      <w:pPr>
        <w:pStyle w:val="MText"/>
      </w:pPr>
    </w:p>
    <w:p w14:paraId="4D0520F7" w14:textId="7DEAA1D5" w:rsidR="00382CF3" w:rsidRPr="00A96255" w:rsidRDefault="00B31E2C" w:rsidP="00B576ED">
      <w:pPr>
        <w:pStyle w:val="MHeader"/>
      </w:pPr>
      <w:r w:rsidRPr="00A96255">
        <w:t>6. Comparability / d</w:t>
      </w:r>
      <w:r w:rsidR="00576CFA" w:rsidRPr="00A96255">
        <w:t>eviatio</w:t>
      </w:r>
      <w:r w:rsidR="00382CF3" w:rsidRPr="00A96255">
        <w:t>n from international standards</w:t>
      </w:r>
      <w:r w:rsidR="00DA1764" w:rsidRPr="00A96255">
        <w:t xml:space="preserve"> </w:t>
      </w:r>
      <w:r w:rsidR="00DA1764">
        <w:rPr>
          <w:color w:val="B4B4B4"/>
          <w:sz w:val="20"/>
        </w:rPr>
        <w:t>(COMPARABILITY)</w:t>
      </w:r>
    </w:p>
    <w:p w14:paraId="5AB6DD91" w14:textId="719C58BF" w:rsidR="00F719A8" w:rsidRDefault="007A39E4" w:rsidP="00B576ED">
      <w:pPr>
        <w:pStyle w:val="MText"/>
      </w:pPr>
      <w:r>
        <w:t>The metrics used for 3.d.2 are commonly used by AMR surveillance systems all over the world and could be considered an international standard</w:t>
      </w:r>
    </w:p>
    <w:p w14:paraId="68FD9BD1" w14:textId="77777777" w:rsidR="007002B2" w:rsidRDefault="007002B2" w:rsidP="00B576ED">
      <w:pPr>
        <w:pStyle w:val="MText"/>
      </w:pPr>
    </w:p>
    <w:p w14:paraId="76DF099C" w14:textId="3730A154" w:rsidR="00382CF3" w:rsidRPr="00A96255" w:rsidRDefault="00576CFA" w:rsidP="00B576ED">
      <w:pPr>
        <w:pStyle w:val="MHeader"/>
      </w:pPr>
      <w:r w:rsidRPr="00A96255">
        <w:t>7</w:t>
      </w:r>
      <w:r w:rsidR="00382CF3" w:rsidRPr="00A96255">
        <w:t>. References and Documentation</w:t>
      </w:r>
      <w:r w:rsidR="003D6F03" w:rsidRPr="00A96255">
        <w:t xml:space="preserve"> </w:t>
      </w:r>
      <w:r w:rsidR="003D6F03">
        <w:rPr>
          <w:color w:val="B4B4B4"/>
          <w:sz w:val="20"/>
        </w:rPr>
        <w:t>(OTHER_DOC)</w:t>
      </w:r>
    </w:p>
    <w:p w14:paraId="384B0992" w14:textId="0DF46DBD" w:rsidR="00186795" w:rsidRDefault="00981074" w:rsidP="00B576ED">
      <w:r>
        <w:rPr>
          <w:rStyle w:val="normaltextrun"/>
          <w:b/>
          <w:bCs/>
          <w:color w:val="404040"/>
          <w:sz w:val="21"/>
          <w:szCs w:val="21"/>
          <w:shd w:val="clear" w:color="auto" w:fill="FFFFFF"/>
        </w:rPr>
        <w:t>URL:</w:t>
      </w:r>
      <w:r w:rsidR="001353A2">
        <w:rPr>
          <w:rStyle w:val="normaltextrun"/>
          <w:color w:val="000000"/>
          <w:shd w:val="clear" w:color="auto" w:fill="FFFFFF"/>
        </w:rPr>
        <w:t xml:space="preserve"> </w:t>
      </w:r>
      <w:r w:rsidR="007A39E4" w:rsidRPr="007A39E4">
        <w:rPr>
          <w:rStyle w:val="eop"/>
          <w:color w:val="000000"/>
          <w:sz w:val="18"/>
          <w:szCs w:val="18"/>
          <w:shd w:val="clear" w:color="auto" w:fill="FFFFFF"/>
        </w:rPr>
        <w:t>https://www.who.int/initiatives/glass</w:t>
      </w:r>
    </w:p>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E39AD" w14:textId="77777777" w:rsidR="00E0317F" w:rsidRDefault="00E0317F" w:rsidP="00B576ED">
      <w:r>
        <w:separator/>
      </w:r>
    </w:p>
  </w:endnote>
  <w:endnote w:type="continuationSeparator" w:id="0">
    <w:p w14:paraId="18963AAE" w14:textId="77777777" w:rsidR="00E0317F" w:rsidRDefault="00E0317F" w:rsidP="00B576ED">
      <w:r>
        <w:continuationSeparator/>
      </w:r>
    </w:p>
  </w:endnote>
  <w:endnote w:type="continuationNotice" w:id="1">
    <w:p w14:paraId="37AB7AFF" w14:textId="77777777" w:rsidR="00E0317F" w:rsidRDefault="00E0317F" w:rsidP="00B57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C28CB" w14:textId="77777777" w:rsidR="00E0317F" w:rsidRDefault="00E0317F" w:rsidP="00B576ED">
      <w:r>
        <w:separator/>
      </w:r>
    </w:p>
  </w:footnote>
  <w:footnote w:type="continuationSeparator" w:id="0">
    <w:p w14:paraId="70ED6D0D" w14:textId="77777777" w:rsidR="00E0317F" w:rsidRDefault="00E0317F" w:rsidP="00B576ED">
      <w:r>
        <w:continuationSeparator/>
      </w:r>
    </w:p>
  </w:footnote>
  <w:footnote w:type="continuationNotice" w:id="1">
    <w:p w14:paraId="6BCD331B" w14:textId="77777777" w:rsidR="00E0317F" w:rsidRDefault="00E0317F" w:rsidP="00B576ED"/>
  </w:footnote>
  <w:footnote w:id="2">
    <w:p w14:paraId="60025382" w14:textId="7E4BACF4" w:rsidR="000D490D" w:rsidRPr="00EF293C" w:rsidRDefault="000D490D" w:rsidP="002C1B17">
      <w:pPr>
        <w:pStyle w:val="FootnoteText"/>
        <w:rPr>
          <w:rFonts w:eastAsia="Candara" w:cstheme="minorHAnsi"/>
          <w:noProof/>
          <w:lang w:val="en-US"/>
        </w:rPr>
      </w:pPr>
      <w:r>
        <w:rPr>
          <w:rStyle w:val="FootnoteReference"/>
        </w:rPr>
        <w:footnoteRef/>
      </w:r>
      <w:r>
        <w:t xml:space="preserve"> </w:t>
      </w:r>
      <w:r w:rsidRPr="00EF293C">
        <w:rPr>
          <w:rFonts w:eastAsia="Candara" w:cstheme="minorHAnsi"/>
          <w:noProof/>
          <w:lang w:val="en-US"/>
        </w:rPr>
        <w:t xml:space="preserve">EUCAST guidelines for detection of resistance mechanisms and specific resistances of clinical and/or epidemiological importance. Version 2.0. 2017. </w:t>
      </w:r>
      <w:r w:rsidR="002C1B17">
        <w:t>Both for species identification and antimicrobial susceptibility testing (AST)</w:t>
      </w:r>
    </w:p>
    <w:p w14:paraId="544A8FEC" w14:textId="1BD021C1" w:rsidR="000D490D" w:rsidRPr="00EF293C" w:rsidRDefault="00CC12AE" w:rsidP="00CC12AE">
      <w:pPr>
        <w:pStyle w:val="FootnoteText"/>
        <w:rPr>
          <w:rFonts w:eastAsia="Candara" w:cstheme="minorHAnsi"/>
          <w:noProof/>
          <w:lang w:val="en-US"/>
        </w:rPr>
      </w:pPr>
      <w:r w:rsidRPr="00CC12AE">
        <w:rPr>
          <w:rFonts w:eastAsia="Candara" w:cstheme="minorHAnsi"/>
          <w:noProof/>
          <w:lang w:val="en-US"/>
        </w:rPr>
        <w:t>Clinical and Laboratory Standards Institute (CLSI). Performance Standards for Antimicrobial Susceptibility Testing.</w:t>
      </w:r>
      <w:r>
        <w:rPr>
          <w:rFonts w:eastAsia="Candara" w:cstheme="minorHAnsi"/>
          <w:noProof/>
          <w:lang w:val="en-US"/>
        </w:rPr>
        <w:t xml:space="preserve"> </w:t>
      </w:r>
      <w:r w:rsidRPr="00CC12AE">
        <w:rPr>
          <w:rFonts w:eastAsia="Candara" w:cstheme="minorHAnsi"/>
          <w:noProof/>
          <w:lang w:val="en-US"/>
        </w:rPr>
        <w:t>32</w:t>
      </w:r>
      <w:r w:rsidRPr="00BD5970">
        <w:rPr>
          <w:rFonts w:eastAsia="Candara" w:cstheme="minorHAnsi"/>
          <w:noProof/>
          <w:vertAlign w:val="superscript"/>
          <w:lang w:val="en-US"/>
        </w:rPr>
        <w:t>nd</w:t>
      </w:r>
      <w:r w:rsidRPr="00CC12AE">
        <w:rPr>
          <w:rFonts w:eastAsia="Candara" w:cstheme="minorHAnsi"/>
          <w:noProof/>
          <w:lang w:val="en-US"/>
        </w:rPr>
        <w:t xml:space="preserve"> ed. CLSI supplement M100 (ISBN 978-1-68440-134-5 [Print]; ISBN 978-1-68440-135-2 [Electronic]). Clinical and Laboratory Standards Institute, USA, 2022.</w:t>
      </w:r>
    </w:p>
    <w:p w14:paraId="0681ADB7" w14:textId="4B802793" w:rsidR="000D490D" w:rsidRDefault="000D490D" w:rsidP="00B576ED">
      <w:pPr>
        <w:pStyle w:val="FootnoteText"/>
      </w:pPr>
    </w:p>
  </w:footnote>
  <w:footnote w:id="3">
    <w:p w14:paraId="2E0FE52D" w14:textId="4971672D" w:rsidR="000D490D" w:rsidRDefault="000D490D" w:rsidP="00B576ED">
      <w:pPr>
        <w:pStyle w:val="FootnoteText"/>
      </w:pPr>
      <w:r>
        <w:rPr>
          <w:rStyle w:val="FootnoteReference"/>
        </w:rPr>
        <w:footnoteRef/>
      </w:r>
      <w:r w:rsidRPr="00DC0BE9">
        <w:rPr>
          <w:lang w:val="en-US"/>
        </w:rPr>
        <w:t xml:space="preserve"> </w:t>
      </w:r>
      <w:r w:rsidR="00DC0BE9" w:rsidRPr="00DC0BE9">
        <w:rPr>
          <w:noProof/>
          <w:lang w:val="en-US"/>
        </w:rPr>
        <w:t xml:space="preserve">Antimicrobial Resistance Collaborators. (2022). Global burden of bacterial antimicrobial resistance in 2019: a systematic analysis. </w:t>
      </w:r>
      <w:r w:rsidR="00DC0BE9" w:rsidRPr="00E16943">
        <w:rPr>
          <w:noProof/>
          <w:lang w:val="en-US"/>
        </w:rPr>
        <w:t>The Lancet; 399(10325): P629-655. DOI: https://doi.org/10.1016/S0140-6736(21)02724-0</w:t>
      </w:r>
    </w:p>
  </w:footnote>
  <w:footnote w:id="4">
    <w:p w14:paraId="35CA7197" w14:textId="3CE2272E" w:rsidR="000D490D" w:rsidRDefault="000D490D" w:rsidP="00B576ED">
      <w:pPr>
        <w:pStyle w:val="FootnoteText"/>
      </w:pPr>
      <w:r>
        <w:rPr>
          <w:rStyle w:val="FootnoteReference"/>
        </w:rPr>
        <w:footnoteRef/>
      </w:r>
      <w:r>
        <w:t xml:space="preserve"> </w:t>
      </w:r>
      <w:r w:rsidRPr="00EF293C">
        <w:rPr>
          <w:noProof/>
          <w:lang w:val="en-US"/>
        </w:rPr>
        <w:t xml:space="preserve">World Bank Group, Drug-resistant Infections: A Threat to Our Economic Future – Final Report (Washington, D.C., March 2017).  </w:t>
      </w:r>
    </w:p>
  </w:footnote>
  <w:footnote w:id="5">
    <w:p w14:paraId="6F6E7EF0" w14:textId="691798FD" w:rsidR="00B576ED" w:rsidRPr="00BE1F3B" w:rsidRDefault="00B576ED">
      <w:pPr>
        <w:pStyle w:val="FootnoteText"/>
        <w:rPr>
          <w:sz w:val="18"/>
          <w:szCs w:val="18"/>
        </w:rPr>
      </w:pPr>
      <w:r w:rsidRPr="00BE1F3B">
        <w:rPr>
          <w:rStyle w:val="FootnoteReference"/>
          <w:sz w:val="18"/>
          <w:szCs w:val="18"/>
        </w:rPr>
        <w:footnoteRef/>
      </w:r>
      <w:r w:rsidRPr="00BE1F3B">
        <w:rPr>
          <w:sz w:val="18"/>
          <w:szCs w:val="18"/>
        </w:rPr>
        <w:t xml:space="preserve"> </w:t>
      </w:r>
      <w:r w:rsidRPr="00BE1F3B">
        <w:rPr>
          <w:rFonts w:eastAsia="Times New Roman" w:cs="Arial"/>
          <w:sz w:val="18"/>
          <w:szCs w:val="18"/>
          <w:lang w:eastAsia="en-GB"/>
        </w:rPr>
        <w:t>(</w:t>
      </w:r>
      <w:r w:rsidRPr="00BE1F3B">
        <w:rPr>
          <w:rFonts w:eastAsia="Candara" w:cstheme="minorHAnsi"/>
          <w:noProof/>
          <w:sz w:val="18"/>
          <w:szCs w:val="18"/>
          <w:lang w:val="en-US"/>
        </w:rPr>
        <w:t>1) Legislation and financing; (2) IHR Coordination and National Focal Point Functions; (3)Zoonotic events and the Human-Animal Health Interface; (4) Food safety; (5) Laboratory;; (6) Surveillance; (7) Human resources; (8) National Health Emergency Framework; (9) Health Service Provision; (10) Risk communication; (11) Points of entry; (12) Chemical events; (13) Radiation emergencies</w:t>
      </w:r>
    </w:p>
  </w:footnote>
  <w:footnote w:id="6">
    <w:p w14:paraId="2F723FF0" w14:textId="1E9003A3" w:rsidR="00B576ED" w:rsidRDefault="00B576ED">
      <w:pPr>
        <w:pStyle w:val="FootnoteText"/>
      </w:pPr>
      <w:r w:rsidRPr="00BE1F3B">
        <w:rPr>
          <w:rStyle w:val="FootnoteReference"/>
          <w:sz w:val="18"/>
          <w:szCs w:val="18"/>
        </w:rPr>
        <w:footnoteRef/>
      </w:r>
      <w:r w:rsidRPr="00BE1F3B">
        <w:rPr>
          <w:sz w:val="18"/>
          <w:szCs w:val="18"/>
        </w:rPr>
        <w:t xml:space="preserve"> </w:t>
      </w:r>
      <w:r w:rsidR="00036D9D" w:rsidRPr="00036D9D">
        <w:rPr>
          <w:sz w:val="18"/>
          <w:szCs w:val="18"/>
        </w:rPr>
        <w:t>https://www.who.int/initiatives/glass</w:t>
      </w:r>
    </w:p>
  </w:footnote>
  <w:footnote w:id="7">
    <w:p w14:paraId="33B797E4" w14:textId="272D8859" w:rsidR="00B576ED" w:rsidRPr="00BE1F3B" w:rsidRDefault="00B576ED" w:rsidP="00BE1F3B">
      <w:pPr>
        <w:pStyle w:val="FootnoteText"/>
        <w:rPr>
          <w:sz w:val="18"/>
          <w:szCs w:val="18"/>
        </w:rPr>
      </w:pPr>
      <w:r w:rsidRPr="00BE1F3B">
        <w:rPr>
          <w:rStyle w:val="FootnoteReference"/>
          <w:sz w:val="18"/>
          <w:szCs w:val="18"/>
        </w:rPr>
        <w:footnoteRef/>
      </w:r>
      <w:r w:rsidRPr="00BE1F3B">
        <w:rPr>
          <w:sz w:val="18"/>
          <w:szCs w:val="18"/>
        </w:rPr>
        <w:t xml:space="preserve"> </w:t>
      </w:r>
      <w:r w:rsidR="00036D9D" w:rsidRPr="00036D9D">
        <w:rPr>
          <w:sz w:val="18"/>
          <w:szCs w:val="18"/>
          <w:lang w:val="en-US"/>
        </w:rPr>
        <w:t xml:space="preserve">World Health Organization. (‎2023)‎. GLASS manual for antimicrobial resistance surveillance in common bacteria causing human infection. World Health Organization. </w:t>
      </w:r>
      <w:hyperlink r:id="rId1" w:history="1">
        <w:r w:rsidR="00036D9D" w:rsidRPr="00404D26">
          <w:rPr>
            <w:rStyle w:val="Hyperlink"/>
            <w:sz w:val="18"/>
            <w:szCs w:val="18"/>
            <w:lang w:val="en-US"/>
          </w:rPr>
          <w:t>https://iris.who.int/handle/10665/372741</w:t>
        </w:r>
      </w:hyperlink>
      <w:r w:rsidR="00036D9D">
        <w:rPr>
          <w:sz w:val="18"/>
          <w:szCs w:val="18"/>
          <w:lang w:val="en-US"/>
        </w:rPr>
        <w:t xml:space="preserve"> </w:t>
      </w:r>
    </w:p>
  </w:footnote>
  <w:footnote w:id="8">
    <w:p w14:paraId="0B14CFB0" w14:textId="4C4EA758" w:rsidR="00036D9D" w:rsidRPr="00036D9D" w:rsidRDefault="00B576ED" w:rsidP="00036D9D">
      <w:pPr>
        <w:pStyle w:val="FootnoteText"/>
        <w:rPr>
          <w:sz w:val="18"/>
          <w:szCs w:val="18"/>
          <w:lang w:val="en-US"/>
        </w:rPr>
      </w:pPr>
      <w:r w:rsidRPr="00BE1F3B">
        <w:rPr>
          <w:rStyle w:val="FootnoteReference"/>
          <w:sz w:val="18"/>
          <w:szCs w:val="18"/>
        </w:rPr>
        <w:footnoteRef/>
      </w:r>
      <w:r w:rsidRPr="00BE1F3B">
        <w:rPr>
          <w:sz w:val="18"/>
          <w:szCs w:val="18"/>
        </w:rPr>
        <w:t xml:space="preserve"> </w:t>
      </w:r>
      <w:r w:rsidR="00036D9D" w:rsidRPr="00036D9D">
        <w:rPr>
          <w:sz w:val="18"/>
          <w:szCs w:val="18"/>
          <w:lang w:val="en-US"/>
        </w:rPr>
        <w:t>EUCAST guidelines for detection of resistance mechanisms and specific resistances of clinical and/or epidemiological importance. Version 2.0. 2017. Both for species identification and antimicrobial susceptibility testing (AST)</w:t>
      </w:r>
    </w:p>
    <w:p w14:paraId="3B53BD3A" w14:textId="6616E55F" w:rsidR="00B576ED" w:rsidRPr="00BE1F3B" w:rsidRDefault="00036D9D" w:rsidP="00036D9D">
      <w:pPr>
        <w:pStyle w:val="FootnoteText"/>
        <w:rPr>
          <w:sz w:val="18"/>
          <w:szCs w:val="18"/>
        </w:rPr>
      </w:pPr>
      <w:r w:rsidRPr="00036D9D">
        <w:rPr>
          <w:sz w:val="18"/>
          <w:szCs w:val="18"/>
          <w:lang w:val="en-US"/>
        </w:rPr>
        <w:t>Clinical and Laboratory Standards Institute (CLSI). Performance Standards for Antimicrobial Susceptibility Testing. 32nd ed. CLSI supplement M100 (ISBN 978-1-68440-134-5 [Print]; ISBN 978-1-68440-135-2 [Electronic]). Clinical and Laboratory Standards Institute, USA, 2022.</w:t>
      </w:r>
    </w:p>
  </w:footnote>
  <w:footnote w:id="9">
    <w:p w14:paraId="01CB4037" w14:textId="32503D45" w:rsidR="00B576ED" w:rsidRPr="00BE1F3B" w:rsidRDefault="00B576ED">
      <w:pPr>
        <w:pStyle w:val="FootnoteText"/>
        <w:rPr>
          <w:b/>
          <w:bCs/>
          <w:sz w:val="18"/>
          <w:szCs w:val="18"/>
          <w:lang w:val="en-US"/>
        </w:rPr>
      </w:pPr>
      <w:r w:rsidRPr="00BE1F3B">
        <w:rPr>
          <w:rStyle w:val="FootnoteReference"/>
          <w:sz w:val="18"/>
          <w:szCs w:val="18"/>
        </w:rPr>
        <w:footnoteRef/>
      </w:r>
      <w:r w:rsidRPr="00BE1F3B">
        <w:rPr>
          <w:sz w:val="18"/>
          <w:szCs w:val="18"/>
        </w:rPr>
        <w:t xml:space="preserve"> </w:t>
      </w:r>
      <w:r w:rsidRPr="00BE1F3B">
        <w:rPr>
          <w:sz w:val="18"/>
          <w:szCs w:val="18"/>
          <w:lang w:val="en-US"/>
        </w:rPr>
        <w:t>National antimicrobial resistance surveillance systems and participation in the Global Antimicrobial Resistance Surveillance System (GLASS):</w:t>
      </w:r>
      <w:r w:rsidRPr="00BE1F3B">
        <w:rPr>
          <w:b/>
          <w:bCs/>
          <w:sz w:val="18"/>
          <w:szCs w:val="18"/>
          <w:lang w:val="en-US"/>
        </w:rPr>
        <w:t xml:space="preserve"> </w:t>
      </w:r>
      <w:r w:rsidRPr="00BE1F3B">
        <w:rPr>
          <w:sz w:val="18"/>
          <w:szCs w:val="18"/>
          <w:lang w:val="en-US"/>
        </w:rPr>
        <w:t xml:space="preserve">A guide to planning, implementation, and monitoring and evaluation (2016). </w:t>
      </w:r>
      <w:hyperlink r:id="rId2" w:history="1">
        <w:r w:rsidRPr="00BE1F3B">
          <w:rPr>
            <w:rStyle w:val="Hyperlink"/>
            <w:sz w:val="18"/>
            <w:szCs w:val="18"/>
          </w:rPr>
          <w:t>https://www.who.int/glass/resources/publications/national-surveillance-guide/en/</w:t>
        </w:r>
      </w:hyperlink>
    </w:p>
  </w:footnote>
  <w:footnote w:id="10">
    <w:p w14:paraId="331AB298" w14:textId="6E8E691C" w:rsidR="00B576ED" w:rsidRDefault="00B576ED">
      <w:pPr>
        <w:pStyle w:val="FootnoteText"/>
      </w:pPr>
      <w:r>
        <w:rPr>
          <w:rStyle w:val="FootnoteReference"/>
        </w:rPr>
        <w:footnoteRef/>
      </w:r>
      <w:r>
        <w:t xml:space="preserve"> Both for species identification and antimicrobial susceptibility testing (AST)</w:t>
      </w:r>
    </w:p>
  </w:footnote>
  <w:footnote w:id="11">
    <w:p w14:paraId="3D88C71F" w14:textId="45426F16" w:rsidR="005E0654" w:rsidRDefault="005E0654">
      <w:pPr>
        <w:pStyle w:val="FootnoteText"/>
      </w:pPr>
      <w:r>
        <w:rPr>
          <w:rStyle w:val="FootnoteReference"/>
        </w:rPr>
        <w:footnoteRef/>
      </w:r>
      <w:r>
        <w:t xml:space="preserve"> </w:t>
      </w:r>
      <w:r w:rsidRPr="00036D9D">
        <w:rPr>
          <w:sz w:val="18"/>
          <w:szCs w:val="18"/>
          <w:lang w:val="en-US"/>
        </w:rPr>
        <w:t xml:space="preserve">World Health Organization. (‎2023)‎. GLASS manual for antimicrobial resistance surveillance in common bacteria causing human infection. World Health Organization. </w:t>
      </w:r>
      <w:hyperlink r:id="rId3" w:history="1">
        <w:r w:rsidRPr="00404D26">
          <w:rPr>
            <w:rStyle w:val="Hyperlink"/>
            <w:sz w:val="18"/>
            <w:szCs w:val="18"/>
            <w:lang w:val="en-US"/>
          </w:rPr>
          <w:t>https://iris.who.int/handle/10665/372741</w:t>
        </w:r>
      </w:hyperlink>
    </w:p>
  </w:footnote>
  <w:footnote w:id="12">
    <w:p w14:paraId="1D322D24" w14:textId="5DE64A82" w:rsidR="005E0654" w:rsidRDefault="005E0654">
      <w:pPr>
        <w:pStyle w:val="FootnoteText"/>
      </w:pPr>
      <w:r>
        <w:rPr>
          <w:rStyle w:val="FootnoteReference"/>
        </w:rPr>
        <w:footnoteRef/>
      </w:r>
      <w:r>
        <w:t xml:space="preserve"> </w:t>
      </w:r>
      <w:r w:rsidRPr="005E0654">
        <w:t>https://www.who.int/initiatives/glass/resource-centre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4A9F0623" w:rsidR="00BC24C7" w:rsidRPr="00757E8A" w:rsidRDefault="00BC24C7" w:rsidP="00EF293C">
    <w:pPr>
      <w:pStyle w:val="Header"/>
      <w:jc w:val="right"/>
    </w:pPr>
    <w:bookmarkStart w:id="5" w:name="_Hlk506197003"/>
    <w:bookmarkStart w:id="6" w:name="_Hlk506197004"/>
    <w:bookmarkStart w:id="7" w:name="_Hlk506197005"/>
    <w:bookmarkStart w:id="8" w:name="_Hlk516233502"/>
    <w:bookmarkStart w:id="9" w:name="_Hlk516233503"/>
    <w:bookmarkStart w:id="10" w:name="_Hlk516233504"/>
    <w:r w:rsidRPr="00757E8A">
      <w:t>Last updated:</w:t>
    </w:r>
    <w:bookmarkEnd w:id="5"/>
    <w:bookmarkEnd w:id="6"/>
    <w:bookmarkEnd w:id="7"/>
    <w:bookmarkEnd w:id="8"/>
    <w:bookmarkEnd w:id="9"/>
    <w:bookmarkEnd w:id="10"/>
    <w:r>
      <w:t xml:space="preserve"> </w:t>
    </w:r>
    <w:r w:rsidR="009F7038">
      <w:t>2025-03-28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3785F"/>
    <w:multiLevelType w:val="hybridMultilevel"/>
    <w:tmpl w:val="D3CE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A4669"/>
    <w:multiLevelType w:val="multilevel"/>
    <w:tmpl w:val="F8B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9B4FF4"/>
    <w:multiLevelType w:val="multilevel"/>
    <w:tmpl w:val="0DD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512842">
    <w:abstractNumId w:val="4"/>
  </w:num>
  <w:num w:numId="2" w16cid:durableId="348219029">
    <w:abstractNumId w:val="1"/>
  </w:num>
  <w:num w:numId="3" w16cid:durableId="1634020272">
    <w:abstractNumId w:val="5"/>
  </w:num>
  <w:num w:numId="4" w16cid:durableId="1564170624">
    <w:abstractNumId w:val="3"/>
  </w:num>
  <w:num w:numId="5" w16cid:durableId="1647200164">
    <w:abstractNumId w:val="6"/>
  </w:num>
  <w:num w:numId="6" w16cid:durableId="754322794">
    <w:abstractNumId w:val="2"/>
  </w:num>
  <w:num w:numId="7" w16cid:durableId="197089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086"/>
    <w:rsid w:val="00004FF8"/>
    <w:rsid w:val="000070BA"/>
    <w:rsid w:val="000173F9"/>
    <w:rsid w:val="00036D9D"/>
    <w:rsid w:val="000412A0"/>
    <w:rsid w:val="00045D27"/>
    <w:rsid w:val="00047DDA"/>
    <w:rsid w:val="00052E54"/>
    <w:rsid w:val="0005455A"/>
    <w:rsid w:val="00067C55"/>
    <w:rsid w:val="00071F07"/>
    <w:rsid w:val="00072B61"/>
    <w:rsid w:val="0007759D"/>
    <w:rsid w:val="000777AB"/>
    <w:rsid w:val="00077F46"/>
    <w:rsid w:val="0008213B"/>
    <w:rsid w:val="000851E5"/>
    <w:rsid w:val="00090FB1"/>
    <w:rsid w:val="00096186"/>
    <w:rsid w:val="000A72E4"/>
    <w:rsid w:val="000B0E2F"/>
    <w:rsid w:val="000B2430"/>
    <w:rsid w:val="000D0B30"/>
    <w:rsid w:val="000D490D"/>
    <w:rsid w:val="000E21F1"/>
    <w:rsid w:val="000F5B70"/>
    <w:rsid w:val="000F703E"/>
    <w:rsid w:val="001127B5"/>
    <w:rsid w:val="00120E86"/>
    <w:rsid w:val="00122074"/>
    <w:rsid w:val="00125DE9"/>
    <w:rsid w:val="001332E0"/>
    <w:rsid w:val="00134DE7"/>
    <w:rsid w:val="001353A2"/>
    <w:rsid w:val="0015099D"/>
    <w:rsid w:val="00151A9C"/>
    <w:rsid w:val="00183AE9"/>
    <w:rsid w:val="00185354"/>
    <w:rsid w:val="001854DC"/>
    <w:rsid w:val="00186795"/>
    <w:rsid w:val="00190CCE"/>
    <w:rsid w:val="00193E2D"/>
    <w:rsid w:val="001946B2"/>
    <w:rsid w:val="00194D09"/>
    <w:rsid w:val="001A73E4"/>
    <w:rsid w:val="001A7D5C"/>
    <w:rsid w:val="001B229F"/>
    <w:rsid w:val="001B462A"/>
    <w:rsid w:val="001B60AA"/>
    <w:rsid w:val="001B63C8"/>
    <w:rsid w:val="001C1972"/>
    <w:rsid w:val="001C421F"/>
    <w:rsid w:val="001D360D"/>
    <w:rsid w:val="001E1F23"/>
    <w:rsid w:val="00231A54"/>
    <w:rsid w:val="002330E0"/>
    <w:rsid w:val="002356FE"/>
    <w:rsid w:val="00241470"/>
    <w:rsid w:val="00261A8D"/>
    <w:rsid w:val="00274690"/>
    <w:rsid w:val="00283C1C"/>
    <w:rsid w:val="00291A00"/>
    <w:rsid w:val="00291A11"/>
    <w:rsid w:val="002A315C"/>
    <w:rsid w:val="002A3342"/>
    <w:rsid w:val="002A64BA"/>
    <w:rsid w:val="002B21B6"/>
    <w:rsid w:val="002B4989"/>
    <w:rsid w:val="002C1B17"/>
    <w:rsid w:val="002C2510"/>
    <w:rsid w:val="002D3E0D"/>
    <w:rsid w:val="002D714E"/>
    <w:rsid w:val="002E53C3"/>
    <w:rsid w:val="002F1468"/>
    <w:rsid w:val="002F5F0C"/>
    <w:rsid w:val="003265EB"/>
    <w:rsid w:val="0034329E"/>
    <w:rsid w:val="00343FAA"/>
    <w:rsid w:val="00347F5E"/>
    <w:rsid w:val="003533C1"/>
    <w:rsid w:val="00353C98"/>
    <w:rsid w:val="00371A20"/>
    <w:rsid w:val="003821B4"/>
    <w:rsid w:val="00382CF3"/>
    <w:rsid w:val="00386D42"/>
    <w:rsid w:val="00387D52"/>
    <w:rsid w:val="00395046"/>
    <w:rsid w:val="003A7CEA"/>
    <w:rsid w:val="003B2A4C"/>
    <w:rsid w:val="003D1AB6"/>
    <w:rsid w:val="003D6F03"/>
    <w:rsid w:val="003F0BD3"/>
    <w:rsid w:val="003F0F57"/>
    <w:rsid w:val="003F278A"/>
    <w:rsid w:val="003F7A02"/>
    <w:rsid w:val="0040523F"/>
    <w:rsid w:val="00422EA5"/>
    <w:rsid w:val="00422EFA"/>
    <w:rsid w:val="0042791F"/>
    <w:rsid w:val="00443C93"/>
    <w:rsid w:val="0044491A"/>
    <w:rsid w:val="004456ED"/>
    <w:rsid w:val="00452B3E"/>
    <w:rsid w:val="0048045A"/>
    <w:rsid w:val="00483E4A"/>
    <w:rsid w:val="004841B8"/>
    <w:rsid w:val="004930F2"/>
    <w:rsid w:val="004A61AA"/>
    <w:rsid w:val="004B0F1C"/>
    <w:rsid w:val="004E044F"/>
    <w:rsid w:val="004F2EE6"/>
    <w:rsid w:val="00502DBA"/>
    <w:rsid w:val="00502F8F"/>
    <w:rsid w:val="005040C4"/>
    <w:rsid w:val="00507637"/>
    <w:rsid w:val="00507852"/>
    <w:rsid w:val="00514DBF"/>
    <w:rsid w:val="00517757"/>
    <w:rsid w:val="00550921"/>
    <w:rsid w:val="00550FEE"/>
    <w:rsid w:val="005575F2"/>
    <w:rsid w:val="005608D9"/>
    <w:rsid w:val="00563712"/>
    <w:rsid w:val="00573631"/>
    <w:rsid w:val="00573C0B"/>
    <w:rsid w:val="005768D7"/>
    <w:rsid w:val="00576CFA"/>
    <w:rsid w:val="005837BD"/>
    <w:rsid w:val="00583E66"/>
    <w:rsid w:val="0058556D"/>
    <w:rsid w:val="00592AF2"/>
    <w:rsid w:val="00593127"/>
    <w:rsid w:val="005947AD"/>
    <w:rsid w:val="00597748"/>
    <w:rsid w:val="005979E8"/>
    <w:rsid w:val="005C64D0"/>
    <w:rsid w:val="005D0AF4"/>
    <w:rsid w:val="005E0654"/>
    <w:rsid w:val="005E54BD"/>
    <w:rsid w:val="005F079B"/>
    <w:rsid w:val="005F6CCA"/>
    <w:rsid w:val="00607170"/>
    <w:rsid w:val="006104AF"/>
    <w:rsid w:val="00621893"/>
    <w:rsid w:val="006351E1"/>
    <w:rsid w:val="0064439A"/>
    <w:rsid w:val="006447B1"/>
    <w:rsid w:val="00662775"/>
    <w:rsid w:val="006852FC"/>
    <w:rsid w:val="00690333"/>
    <w:rsid w:val="006B40AB"/>
    <w:rsid w:val="006B44AB"/>
    <w:rsid w:val="006B5DC5"/>
    <w:rsid w:val="006C3E95"/>
    <w:rsid w:val="006C4BFD"/>
    <w:rsid w:val="006C7D30"/>
    <w:rsid w:val="006E3C08"/>
    <w:rsid w:val="006F5453"/>
    <w:rsid w:val="007002B2"/>
    <w:rsid w:val="007007C4"/>
    <w:rsid w:val="00700ACF"/>
    <w:rsid w:val="00712487"/>
    <w:rsid w:val="00724651"/>
    <w:rsid w:val="00725E77"/>
    <w:rsid w:val="007337CA"/>
    <w:rsid w:val="00736C3D"/>
    <w:rsid w:val="007530CA"/>
    <w:rsid w:val="00756D68"/>
    <w:rsid w:val="007578D9"/>
    <w:rsid w:val="00757E8A"/>
    <w:rsid w:val="00763E43"/>
    <w:rsid w:val="00764EB5"/>
    <w:rsid w:val="007707B7"/>
    <w:rsid w:val="00777A95"/>
    <w:rsid w:val="00782416"/>
    <w:rsid w:val="007A39E4"/>
    <w:rsid w:val="007B0364"/>
    <w:rsid w:val="007B1F51"/>
    <w:rsid w:val="007C5356"/>
    <w:rsid w:val="007C6425"/>
    <w:rsid w:val="007D0981"/>
    <w:rsid w:val="007D1929"/>
    <w:rsid w:val="007E35CC"/>
    <w:rsid w:val="00803CF1"/>
    <w:rsid w:val="008104BB"/>
    <w:rsid w:val="00813606"/>
    <w:rsid w:val="008249C5"/>
    <w:rsid w:val="008526F9"/>
    <w:rsid w:val="0085285E"/>
    <w:rsid w:val="00853023"/>
    <w:rsid w:val="008534D4"/>
    <w:rsid w:val="00881E28"/>
    <w:rsid w:val="00891E27"/>
    <w:rsid w:val="00894C4B"/>
    <w:rsid w:val="008A12E3"/>
    <w:rsid w:val="008A42FA"/>
    <w:rsid w:val="008B0AC7"/>
    <w:rsid w:val="008C2335"/>
    <w:rsid w:val="008C4E2B"/>
    <w:rsid w:val="008C67C1"/>
    <w:rsid w:val="008D1317"/>
    <w:rsid w:val="008D1D39"/>
    <w:rsid w:val="008F07D2"/>
    <w:rsid w:val="008F6889"/>
    <w:rsid w:val="00917851"/>
    <w:rsid w:val="00917F65"/>
    <w:rsid w:val="009311E7"/>
    <w:rsid w:val="00933BD1"/>
    <w:rsid w:val="00942694"/>
    <w:rsid w:val="0094596F"/>
    <w:rsid w:val="00972134"/>
    <w:rsid w:val="00981074"/>
    <w:rsid w:val="00994CA3"/>
    <w:rsid w:val="009A7E3A"/>
    <w:rsid w:val="009B1265"/>
    <w:rsid w:val="009B4A15"/>
    <w:rsid w:val="009B5693"/>
    <w:rsid w:val="009C61A2"/>
    <w:rsid w:val="009C78E4"/>
    <w:rsid w:val="009D5FA6"/>
    <w:rsid w:val="009D687E"/>
    <w:rsid w:val="009F1BE2"/>
    <w:rsid w:val="009F6DE7"/>
    <w:rsid w:val="009F7038"/>
    <w:rsid w:val="009F7145"/>
    <w:rsid w:val="00A10583"/>
    <w:rsid w:val="00A21F9B"/>
    <w:rsid w:val="00A37FCB"/>
    <w:rsid w:val="00A4376D"/>
    <w:rsid w:val="00A54863"/>
    <w:rsid w:val="00A61D74"/>
    <w:rsid w:val="00A8688B"/>
    <w:rsid w:val="00A91163"/>
    <w:rsid w:val="00A9286F"/>
    <w:rsid w:val="00A96255"/>
    <w:rsid w:val="00AA2FD5"/>
    <w:rsid w:val="00AB285B"/>
    <w:rsid w:val="00AD0C42"/>
    <w:rsid w:val="00AF5552"/>
    <w:rsid w:val="00AF5CB4"/>
    <w:rsid w:val="00AF5ED1"/>
    <w:rsid w:val="00AF71D6"/>
    <w:rsid w:val="00B0713D"/>
    <w:rsid w:val="00B216EE"/>
    <w:rsid w:val="00B3175F"/>
    <w:rsid w:val="00B31E2C"/>
    <w:rsid w:val="00B329B0"/>
    <w:rsid w:val="00B402D8"/>
    <w:rsid w:val="00B4237C"/>
    <w:rsid w:val="00B42FE8"/>
    <w:rsid w:val="00B52AFD"/>
    <w:rsid w:val="00B54077"/>
    <w:rsid w:val="00B57267"/>
    <w:rsid w:val="00B576ED"/>
    <w:rsid w:val="00B624B4"/>
    <w:rsid w:val="00B73176"/>
    <w:rsid w:val="00B8087E"/>
    <w:rsid w:val="00BB646E"/>
    <w:rsid w:val="00BC035B"/>
    <w:rsid w:val="00BC24C7"/>
    <w:rsid w:val="00BD1BA1"/>
    <w:rsid w:val="00BD5970"/>
    <w:rsid w:val="00BE1026"/>
    <w:rsid w:val="00BE1F3B"/>
    <w:rsid w:val="00BE34BB"/>
    <w:rsid w:val="00BE45BC"/>
    <w:rsid w:val="00BF3287"/>
    <w:rsid w:val="00C019E5"/>
    <w:rsid w:val="00C35BC4"/>
    <w:rsid w:val="00C43F5B"/>
    <w:rsid w:val="00C457AC"/>
    <w:rsid w:val="00C64603"/>
    <w:rsid w:val="00CA2826"/>
    <w:rsid w:val="00CB4371"/>
    <w:rsid w:val="00CC12AE"/>
    <w:rsid w:val="00CC516D"/>
    <w:rsid w:val="00CF0B39"/>
    <w:rsid w:val="00D0272C"/>
    <w:rsid w:val="00D24330"/>
    <w:rsid w:val="00D40056"/>
    <w:rsid w:val="00D51E7C"/>
    <w:rsid w:val="00D54F29"/>
    <w:rsid w:val="00D60EE4"/>
    <w:rsid w:val="00D7020C"/>
    <w:rsid w:val="00D70AD9"/>
    <w:rsid w:val="00D72152"/>
    <w:rsid w:val="00D94BA5"/>
    <w:rsid w:val="00D9510F"/>
    <w:rsid w:val="00DA1764"/>
    <w:rsid w:val="00DA615C"/>
    <w:rsid w:val="00DC0BE9"/>
    <w:rsid w:val="00DD1BC6"/>
    <w:rsid w:val="00DE0785"/>
    <w:rsid w:val="00DE5DC3"/>
    <w:rsid w:val="00DE7766"/>
    <w:rsid w:val="00DF04C7"/>
    <w:rsid w:val="00DF4F0E"/>
    <w:rsid w:val="00E00D8A"/>
    <w:rsid w:val="00E01157"/>
    <w:rsid w:val="00E0317F"/>
    <w:rsid w:val="00E1050F"/>
    <w:rsid w:val="00E11604"/>
    <w:rsid w:val="00E11D92"/>
    <w:rsid w:val="00E130A0"/>
    <w:rsid w:val="00E16943"/>
    <w:rsid w:val="00E210C4"/>
    <w:rsid w:val="00E23DB7"/>
    <w:rsid w:val="00E363F4"/>
    <w:rsid w:val="00E46D96"/>
    <w:rsid w:val="00E52CCA"/>
    <w:rsid w:val="00E66409"/>
    <w:rsid w:val="00E67A89"/>
    <w:rsid w:val="00E7183C"/>
    <w:rsid w:val="00E81D5B"/>
    <w:rsid w:val="00E85C43"/>
    <w:rsid w:val="00E91059"/>
    <w:rsid w:val="00E976B9"/>
    <w:rsid w:val="00EA05D3"/>
    <w:rsid w:val="00EB19AD"/>
    <w:rsid w:val="00EB2F31"/>
    <w:rsid w:val="00EB6493"/>
    <w:rsid w:val="00EB6FA7"/>
    <w:rsid w:val="00EC2915"/>
    <w:rsid w:val="00EC79F1"/>
    <w:rsid w:val="00ED05A9"/>
    <w:rsid w:val="00ED1BA0"/>
    <w:rsid w:val="00EF293C"/>
    <w:rsid w:val="00F01468"/>
    <w:rsid w:val="00F17257"/>
    <w:rsid w:val="00F34D24"/>
    <w:rsid w:val="00F367AB"/>
    <w:rsid w:val="00F4130B"/>
    <w:rsid w:val="00F526E0"/>
    <w:rsid w:val="00F556A2"/>
    <w:rsid w:val="00F55D36"/>
    <w:rsid w:val="00F719A8"/>
    <w:rsid w:val="00F750C4"/>
    <w:rsid w:val="00F80BFE"/>
    <w:rsid w:val="00F878B9"/>
    <w:rsid w:val="00FB24E8"/>
    <w:rsid w:val="00FB3B2B"/>
    <w:rsid w:val="00FC18DA"/>
    <w:rsid w:val="00FC3917"/>
    <w:rsid w:val="00FD60DA"/>
    <w:rsid w:val="00FF07B4"/>
    <w:rsid w:val="00FF1366"/>
    <w:rsid w:val="134C1C5A"/>
    <w:rsid w:val="49DF3EBF"/>
    <w:rsid w:val="547837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ED"/>
    <w:pPr>
      <w:jc w:val="both"/>
    </w:pPr>
    <w:rPr>
      <w:rFonts w:ascii="Calibri" w:hAnsi="Calibri" w:cs="Calibri"/>
      <w:color w:val="4A4A4A"/>
    </w:rPr>
  </w:style>
  <w:style w:type="paragraph" w:styleId="Heading1">
    <w:name w:val="heading 1"/>
    <w:basedOn w:val="Normal"/>
    <w:next w:val="Normal"/>
    <w:link w:val="Heading1Char"/>
    <w:uiPriority w:val="9"/>
    <w:qFormat/>
    <w:rsid w:val="0058556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BC24C7"/>
  </w:style>
  <w:style w:type="character" w:customStyle="1" w:styleId="eop">
    <w:name w:val="eop"/>
    <w:basedOn w:val="DefaultParagraphFont"/>
    <w:rsid w:val="00BC24C7"/>
  </w:style>
  <w:style w:type="paragraph" w:customStyle="1" w:styleId="paragraph">
    <w:name w:val="paragraph"/>
    <w:basedOn w:val="Normal"/>
    <w:rsid w:val="00BC24C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BC24C7"/>
  </w:style>
  <w:style w:type="paragraph" w:styleId="FootnoteText">
    <w:name w:val="footnote text"/>
    <w:basedOn w:val="Normal"/>
    <w:link w:val="FootnoteTextChar"/>
    <w:uiPriority w:val="99"/>
    <w:unhideWhenUsed/>
    <w:rsid w:val="000D490D"/>
    <w:pPr>
      <w:spacing w:after="0" w:line="240" w:lineRule="auto"/>
    </w:pPr>
    <w:rPr>
      <w:sz w:val="20"/>
      <w:szCs w:val="20"/>
    </w:rPr>
  </w:style>
  <w:style w:type="character" w:customStyle="1" w:styleId="FootnoteTextChar">
    <w:name w:val="Footnote Text Char"/>
    <w:basedOn w:val="DefaultParagraphFont"/>
    <w:link w:val="FootnoteText"/>
    <w:uiPriority w:val="99"/>
    <w:rsid w:val="000D490D"/>
    <w:rPr>
      <w:sz w:val="20"/>
      <w:szCs w:val="20"/>
    </w:rPr>
  </w:style>
  <w:style w:type="character" w:styleId="FootnoteReference">
    <w:name w:val="footnote reference"/>
    <w:basedOn w:val="DefaultParagraphFont"/>
    <w:uiPriority w:val="99"/>
    <w:semiHidden/>
    <w:unhideWhenUsed/>
    <w:rsid w:val="000D490D"/>
    <w:rPr>
      <w:vertAlign w:val="superscript"/>
    </w:rPr>
  </w:style>
  <w:style w:type="paragraph" w:styleId="NoSpacing">
    <w:name w:val="No Spacing"/>
    <w:uiPriority w:val="1"/>
    <w:qFormat/>
    <w:rsid w:val="006B44AB"/>
    <w:pPr>
      <w:spacing w:after="0" w:line="240" w:lineRule="auto"/>
      <w:jc w:val="both"/>
    </w:pPr>
    <w:rPr>
      <w:rFonts w:ascii="Calibri" w:hAnsi="Calibri" w:cs="Calibri"/>
      <w:color w:val="4A4A4A"/>
    </w:rPr>
  </w:style>
  <w:style w:type="paragraph" w:styleId="Revision">
    <w:name w:val="Revision"/>
    <w:hidden/>
    <w:uiPriority w:val="99"/>
    <w:semiHidden/>
    <w:rsid w:val="001127B5"/>
    <w:pPr>
      <w:spacing w:after="0" w:line="240" w:lineRule="auto"/>
    </w:pPr>
    <w:rPr>
      <w:rFonts w:ascii="Calibri" w:hAnsi="Calibri" w:cs="Calibri"/>
      <w:color w:val="4A4A4A"/>
    </w:rPr>
  </w:style>
  <w:style w:type="character" w:styleId="FollowedHyperlink">
    <w:name w:val="FollowedHyperlink"/>
    <w:basedOn w:val="DefaultParagraphFont"/>
    <w:uiPriority w:val="99"/>
    <w:semiHidden/>
    <w:unhideWhenUsed/>
    <w:rsid w:val="008D1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72345">
      <w:bodyDiv w:val="1"/>
      <w:marLeft w:val="0"/>
      <w:marRight w:val="0"/>
      <w:marTop w:val="0"/>
      <w:marBottom w:val="0"/>
      <w:divBdr>
        <w:top w:val="none" w:sz="0" w:space="0" w:color="auto"/>
        <w:left w:val="none" w:sz="0" w:space="0" w:color="auto"/>
        <w:bottom w:val="none" w:sz="0" w:space="0" w:color="auto"/>
        <w:right w:val="none" w:sz="0" w:space="0" w:color="auto"/>
      </w:divBdr>
      <w:divsChild>
        <w:div w:id="1630815781">
          <w:marLeft w:val="0"/>
          <w:marRight w:val="0"/>
          <w:marTop w:val="0"/>
          <w:marBottom w:val="0"/>
          <w:divBdr>
            <w:top w:val="none" w:sz="0" w:space="0" w:color="auto"/>
            <w:left w:val="none" w:sz="0" w:space="0" w:color="auto"/>
            <w:bottom w:val="none" w:sz="0" w:space="0" w:color="auto"/>
            <w:right w:val="none" w:sz="0" w:space="0" w:color="auto"/>
          </w:divBdr>
        </w:div>
        <w:div w:id="532036039">
          <w:marLeft w:val="0"/>
          <w:marRight w:val="0"/>
          <w:marTop w:val="0"/>
          <w:marBottom w:val="0"/>
          <w:divBdr>
            <w:top w:val="none" w:sz="0" w:space="0" w:color="auto"/>
            <w:left w:val="none" w:sz="0" w:space="0" w:color="auto"/>
            <w:bottom w:val="none" w:sz="0" w:space="0" w:color="auto"/>
            <w:right w:val="none" w:sz="0" w:space="0" w:color="auto"/>
          </w:divBdr>
        </w:div>
        <w:div w:id="468131301">
          <w:marLeft w:val="0"/>
          <w:marRight w:val="0"/>
          <w:marTop w:val="0"/>
          <w:marBottom w:val="0"/>
          <w:divBdr>
            <w:top w:val="none" w:sz="0" w:space="0" w:color="auto"/>
            <w:left w:val="none" w:sz="0" w:space="0" w:color="auto"/>
            <w:bottom w:val="none" w:sz="0" w:space="0" w:color="auto"/>
            <w:right w:val="none" w:sz="0" w:space="0" w:color="auto"/>
          </w:divBdr>
        </w:div>
        <w:div w:id="1833525589">
          <w:marLeft w:val="0"/>
          <w:marRight w:val="0"/>
          <w:marTop w:val="0"/>
          <w:marBottom w:val="0"/>
          <w:divBdr>
            <w:top w:val="none" w:sz="0" w:space="0" w:color="auto"/>
            <w:left w:val="none" w:sz="0" w:space="0" w:color="auto"/>
            <w:bottom w:val="none" w:sz="0" w:space="0" w:color="auto"/>
            <w:right w:val="none" w:sz="0" w:space="0" w:color="auto"/>
          </w:divBdr>
        </w:div>
        <w:div w:id="661012726">
          <w:marLeft w:val="0"/>
          <w:marRight w:val="0"/>
          <w:marTop w:val="0"/>
          <w:marBottom w:val="0"/>
          <w:divBdr>
            <w:top w:val="none" w:sz="0" w:space="0" w:color="auto"/>
            <w:left w:val="none" w:sz="0" w:space="0" w:color="auto"/>
            <w:bottom w:val="none" w:sz="0" w:space="0" w:color="auto"/>
            <w:right w:val="none" w:sz="0" w:space="0" w:color="auto"/>
          </w:divBdr>
        </w:div>
        <w:div w:id="1180703532">
          <w:marLeft w:val="0"/>
          <w:marRight w:val="0"/>
          <w:marTop w:val="0"/>
          <w:marBottom w:val="0"/>
          <w:divBdr>
            <w:top w:val="none" w:sz="0" w:space="0" w:color="auto"/>
            <w:left w:val="none" w:sz="0" w:space="0" w:color="auto"/>
            <w:bottom w:val="none" w:sz="0" w:space="0" w:color="auto"/>
            <w:right w:val="none" w:sz="0" w:space="0" w:color="auto"/>
          </w:divBdr>
        </w:div>
        <w:div w:id="2024546235">
          <w:marLeft w:val="0"/>
          <w:marRight w:val="0"/>
          <w:marTop w:val="0"/>
          <w:marBottom w:val="0"/>
          <w:divBdr>
            <w:top w:val="none" w:sz="0" w:space="0" w:color="auto"/>
            <w:left w:val="none" w:sz="0" w:space="0" w:color="auto"/>
            <w:bottom w:val="none" w:sz="0" w:space="0" w:color="auto"/>
            <w:right w:val="none" w:sz="0" w:space="0" w:color="auto"/>
          </w:divBdr>
        </w:div>
        <w:div w:id="1745104232">
          <w:marLeft w:val="0"/>
          <w:marRight w:val="0"/>
          <w:marTop w:val="0"/>
          <w:marBottom w:val="0"/>
          <w:divBdr>
            <w:top w:val="none" w:sz="0" w:space="0" w:color="auto"/>
            <w:left w:val="none" w:sz="0" w:space="0" w:color="auto"/>
            <w:bottom w:val="none" w:sz="0" w:space="0" w:color="auto"/>
            <w:right w:val="none" w:sz="0" w:space="0" w:color="auto"/>
          </w:divBdr>
        </w:div>
        <w:div w:id="2110004872">
          <w:marLeft w:val="0"/>
          <w:marRight w:val="0"/>
          <w:marTop w:val="0"/>
          <w:marBottom w:val="0"/>
          <w:divBdr>
            <w:top w:val="none" w:sz="0" w:space="0" w:color="auto"/>
            <w:left w:val="none" w:sz="0" w:space="0" w:color="auto"/>
            <w:bottom w:val="none" w:sz="0" w:space="0" w:color="auto"/>
            <w:right w:val="none" w:sz="0" w:space="0" w:color="auto"/>
          </w:divBdr>
        </w:div>
        <w:div w:id="1520193226">
          <w:marLeft w:val="0"/>
          <w:marRight w:val="0"/>
          <w:marTop w:val="0"/>
          <w:marBottom w:val="0"/>
          <w:divBdr>
            <w:top w:val="none" w:sz="0" w:space="0" w:color="auto"/>
            <w:left w:val="none" w:sz="0" w:space="0" w:color="auto"/>
            <w:bottom w:val="none" w:sz="0" w:space="0" w:color="auto"/>
            <w:right w:val="none" w:sz="0" w:space="0" w:color="auto"/>
          </w:divBdr>
        </w:div>
        <w:div w:id="687803200">
          <w:marLeft w:val="0"/>
          <w:marRight w:val="0"/>
          <w:marTop w:val="0"/>
          <w:marBottom w:val="0"/>
          <w:divBdr>
            <w:top w:val="none" w:sz="0" w:space="0" w:color="auto"/>
            <w:left w:val="none" w:sz="0" w:space="0" w:color="auto"/>
            <w:bottom w:val="none" w:sz="0" w:space="0" w:color="auto"/>
            <w:right w:val="none" w:sz="0" w:space="0" w:color="auto"/>
          </w:divBdr>
        </w:div>
        <w:div w:id="542013392">
          <w:marLeft w:val="0"/>
          <w:marRight w:val="0"/>
          <w:marTop w:val="0"/>
          <w:marBottom w:val="0"/>
          <w:divBdr>
            <w:top w:val="none" w:sz="0" w:space="0" w:color="auto"/>
            <w:left w:val="none" w:sz="0" w:space="0" w:color="auto"/>
            <w:bottom w:val="none" w:sz="0" w:space="0" w:color="auto"/>
            <w:right w:val="none" w:sz="0" w:space="0" w:color="auto"/>
          </w:divBdr>
        </w:div>
      </w:divsChild>
    </w:div>
    <w:div w:id="524170675">
      <w:bodyDiv w:val="1"/>
      <w:marLeft w:val="0"/>
      <w:marRight w:val="0"/>
      <w:marTop w:val="0"/>
      <w:marBottom w:val="0"/>
      <w:divBdr>
        <w:top w:val="none" w:sz="0" w:space="0" w:color="auto"/>
        <w:left w:val="none" w:sz="0" w:space="0" w:color="auto"/>
        <w:bottom w:val="none" w:sz="0" w:space="0" w:color="auto"/>
        <w:right w:val="none" w:sz="0" w:space="0" w:color="auto"/>
      </w:divBdr>
      <w:divsChild>
        <w:div w:id="1315573798">
          <w:marLeft w:val="0"/>
          <w:marRight w:val="0"/>
          <w:marTop w:val="0"/>
          <w:marBottom w:val="0"/>
          <w:divBdr>
            <w:top w:val="none" w:sz="0" w:space="0" w:color="auto"/>
            <w:left w:val="none" w:sz="0" w:space="0" w:color="auto"/>
            <w:bottom w:val="none" w:sz="0" w:space="0" w:color="auto"/>
            <w:right w:val="none" w:sz="0" w:space="0" w:color="auto"/>
          </w:divBdr>
        </w:div>
      </w:divsChild>
    </w:div>
    <w:div w:id="525018863">
      <w:bodyDiv w:val="1"/>
      <w:marLeft w:val="0"/>
      <w:marRight w:val="0"/>
      <w:marTop w:val="0"/>
      <w:marBottom w:val="0"/>
      <w:divBdr>
        <w:top w:val="none" w:sz="0" w:space="0" w:color="auto"/>
        <w:left w:val="none" w:sz="0" w:space="0" w:color="auto"/>
        <w:bottom w:val="none" w:sz="0" w:space="0" w:color="auto"/>
        <w:right w:val="none" w:sz="0" w:space="0" w:color="auto"/>
      </w:divBdr>
      <w:divsChild>
        <w:div w:id="1814906042">
          <w:marLeft w:val="0"/>
          <w:marRight w:val="0"/>
          <w:marTop w:val="0"/>
          <w:marBottom w:val="0"/>
          <w:divBdr>
            <w:top w:val="none" w:sz="0" w:space="0" w:color="auto"/>
            <w:left w:val="none" w:sz="0" w:space="0" w:color="auto"/>
            <w:bottom w:val="none" w:sz="0" w:space="0" w:color="auto"/>
            <w:right w:val="none" w:sz="0" w:space="0" w:color="auto"/>
          </w:divBdr>
        </w:div>
        <w:div w:id="91058079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5712693">
      <w:bodyDiv w:val="1"/>
      <w:marLeft w:val="0"/>
      <w:marRight w:val="0"/>
      <w:marTop w:val="0"/>
      <w:marBottom w:val="0"/>
      <w:divBdr>
        <w:top w:val="none" w:sz="0" w:space="0" w:color="auto"/>
        <w:left w:val="none" w:sz="0" w:space="0" w:color="auto"/>
        <w:bottom w:val="none" w:sz="0" w:space="0" w:color="auto"/>
        <w:right w:val="none" w:sz="0" w:space="0" w:color="auto"/>
      </w:divBdr>
      <w:divsChild>
        <w:div w:id="127750352">
          <w:marLeft w:val="0"/>
          <w:marRight w:val="0"/>
          <w:marTop w:val="0"/>
          <w:marBottom w:val="0"/>
          <w:divBdr>
            <w:top w:val="none" w:sz="0" w:space="0" w:color="auto"/>
            <w:left w:val="none" w:sz="0" w:space="0" w:color="auto"/>
            <w:bottom w:val="none" w:sz="0" w:space="0" w:color="auto"/>
            <w:right w:val="none" w:sz="0" w:space="0" w:color="auto"/>
          </w:divBdr>
        </w:div>
        <w:div w:id="163108581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72876501">
      <w:bodyDiv w:val="1"/>
      <w:marLeft w:val="0"/>
      <w:marRight w:val="0"/>
      <w:marTop w:val="0"/>
      <w:marBottom w:val="0"/>
      <w:divBdr>
        <w:top w:val="none" w:sz="0" w:space="0" w:color="auto"/>
        <w:left w:val="none" w:sz="0" w:space="0" w:color="auto"/>
        <w:bottom w:val="none" w:sz="0" w:space="0" w:color="auto"/>
        <w:right w:val="none" w:sz="0" w:space="0" w:color="auto"/>
      </w:divBdr>
      <w:divsChild>
        <w:div w:id="1715152339">
          <w:marLeft w:val="0"/>
          <w:marRight w:val="0"/>
          <w:marTop w:val="0"/>
          <w:marBottom w:val="0"/>
          <w:divBdr>
            <w:top w:val="none" w:sz="0" w:space="0" w:color="auto"/>
            <w:left w:val="none" w:sz="0" w:space="0" w:color="auto"/>
            <w:bottom w:val="none" w:sz="0" w:space="0" w:color="auto"/>
            <w:right w:val="none" w:sz="0" w:space="0" w:color="auto"/>
          </w:divBdr>
        </w:div>
        <w:div w:id="873084038">
          <w:marLeft w:val="0"/>
          <w:marRight w:val="0"/>
          <w:marTop w:val="0"/>
          <w:marBottom w:val="0"/>
          <w:divBdr>
            <w:top w:val="none" w:sz="0" w:space="0" w:color="auto"/>
            <w:left w:val="none" w:sz="0" w:space="0" w:color="auto"/>
            <w:bottom w:val="none" w:sz="0" w:space="0" w:color="auto"/>
            <w:right w:val="none" w:sz="0" w:space="0" w:color="auto"/>
          </w:divBdr>
        </w:div>
        <w:div w:id="129443352">
          <w:marLeft w:val="0"/>
          <w:marRight w:val="0"/>
          <w:marTop w:val="0"/>
          <w:marBottom w:val="0"/>
          <w:divBdr>
            <w:top w:val="none" w:sz="0" w:space="0" w:color="auto"/>
            <w:left w:val="none" w:sz="0" w:space="0" w:color="auto"/>
            <w:bottom w:val="none" w:sz="0" w:space="0" w:color="auto"/>
            <w:right w:val="none" w:sz="0" w:space="0" w:color="auto"/>
          </w:divBdr>
        </w:div>
        <w:div w:id="202987331">
          <w:marLeft w:val="0"/>
          <w:marRight w:val="0"/>
          <w:marTop w:val="0"/>
          <w:marBottom w:val="0"/>
          <w:divBdr>
            <w:top w:val="none" w:sz="0" w:space="0" w:color="auto"/>
            <w:left w:val="none" w:sz="0" w:space="0" w:color="auto"/>
            <w:bottom w:val="none" w:sz="0" w:space="0" w:color="auto"/>
            <w:right w:val="none" w:sz="0" w:space="0" w:color="auto"/>
          </w:divBdr>
        </w:div>
        <w:div w:id="897326756">
          <w:marLeft w:val="0"/>
          <w:marRight w:val="0"/>
          <w:marTop w:val="0"/>
          <w:marBottom w:val="0"/>
          <w:divBdr>
            <w:top w:val="none" w:sz="0" w:space="0" w:color="auto"/>
            <w:left w:val="none" w:sz="0" w:space="0" w:color="auto"/>
            <w:bottom w:val="none" w:sz="0" w:space="0" w:color="auto"/>
            <w:right w:val="none" w:sz="0" w:space="0" w:color="auto"/>
          </w:divBdr>
        </w:div>
        <w:div w:id="2118864332">
          <w:marLeft w:val="0"/>
          <w:marRight w:val="0"/>
          <w:marTop w:val="0"/>
          <w:marBottom w:val="0"/>
          <w:divBdr>
            <w:top w:val="none" w:sz="0" w:space="0" w:color="auto"/>
            <w:left w:val="none" w:sz="0" w:space="0" w:color="auto"/>
            <w:bottom w:val="none" w:sz="0" w:space="0" w:color="auto"/>
            <w:right w:val="none" w:sz="0" w:space="0" w:color="auto"/>
          </w:divBdr>
        </w:div>
        <w:div w:id="860315531">
          <w:marLeft w:val="0"/>
          <w:marRight w:val="0"/>
          <w:marTop w:val="0"/>
          <w:marBottom w:val="0"/>
          <w:divBdr>
            <w:top w:val="none" w:sz="0" w:space="0" w:color="auto"/>
            <w:left w:val="none" w:sz="0" w:space="0" w:color="auto"/>
            <w:bottom w:val="none" w:sz="0" w:space="0" w:color="auto"/>
            <w:right w:val="none" w:sz="0" w:space="0" w:color="auto"/>
          </w:divBdr>
        </w:div>
        <w:div w:id="1802265153">
          <w:marLeft w:val="0"/>
          <w:marRight w:val="0"/>
          <w:marTop w:val="0"/>
          <w:marBottom w:val="0"/>
          <w:divBdr>
            <w:top w:val="none" w:sz="0" w:space="0" w:color="auto"/>
            <w:left w:val="none" w:sz="0" w:space="0" w:color="auto"/>
            <w:bottom w:val="none" w:sz="0" w:space="0" w:color="auto"/>
            <w:right w:val="none" w:sz="0" w:space="0" w:color="auto"/>
          </w:divBdr>
        </w:div>
        <w:div w:id="2094356986">
          <w:marLeft w:val="0"/>
          <w:marRight w:val="0"/>
          <w:marTop w:val="0"/>
          <w:marBottom w:val="0"/>
          <w:divBdr>
            <w:top w:val="none" w:sz="0" w:space="0" w:color="auto"/>
            <w:left w:val="none" w:sz="0" w:space="0" w:color="auto"/>
            <w:bottom w:val="none" w:sz="0" w:space="0" w:color="auto"/>
            <w:right w:val="none" w:sz="0" w:space="0" w:color="auto"/>
          </w:divBdr>
        </w:div>
        <w:div w:id="1808277568">
          <w:marLeft w:val="0"/>
          <w:marRight w:val="0"/>
          <w:marTop w:val="0"/>
          <w:marBottom w:val="0"/>
          <w:divBdr>
            <w:top w:val="none" w:sz="0" w:space="0" w:color="auto"/>
            <w:left w:val="none" w:sz="0" w:space="0" w:color="auto"/>
            <w:bottom w:val="none" w:sz="0" w:space="0" w:color="auto"/>
            <w:right w:val="none" w:sz="0" w:space="0" w:color="auto"/>
          </w:divBdr>
        </w:div>
      </w:divsChild>
    </w:div>
    <w:div w:id="1436906384">
      <w:bodyDiv w:val="1"/>
      <w:marLeft w:val="0"/>
      <w:marRight w:val="0"/>
      <w:marTop w:val="0"/>
      <w:marBottom w:val="0"/>
      <w:divBdr>
        <w:top w:val="none" w:sz="0" w:space="0" w:color="auto"/>
        <w:left w:val="none" w:sz="0" w:space="0" w:color="auto"/>
        <w:bottom w:val="none" w:sz="0" w:space="0" w:color="auto"/>
        <w:right w:val="none" w:sz="0" w:space="0" w:color="auto"/>
      </w:divBdr>
      <w:divsChild>
        <w:div w:id="1348753482">
          <w:marLeft w:val="0"/>
          <w:marRight w:val="0"/>
          <w:marTop w:val="0"/>
          <w:marBottom w:val="0"/>
          <w:divBdr>
            <w:top w:val="none" w:sz="0" w:space="0" w:color="auto"/>
            <w:left w:val="none" w:sz="0" w:space="0" w:color="auto"/>
            <w:bottom w:val="none" w:sz="0" w:space="0" w:color="auto"/>
            <w:right w:val="none" w:sz="0" w:space="0" w:color="auto"/>
          </w:divBdr>
        </w:div>
        <w:div w:id="1126510749">
          <w:marLeft w:val="0"/>
          <w:marRight w:val="0"/>
          <w:marTop w:val="0"/>
          <w:marBottom w:val="0"/>
          <w:divBdr>
            <w:top w:val="none" w:sz="0" w:space="0" w:color="auto"/>
            <w:left w:val="none" w:sz="0" w:space="0" w:color="auto"/>
            <w:bottom w:val="none" w:sz="0" w:space="0" w:color="auto"/>
            <w:right w:val="none" w:sz="0" w:space="0" w:color="auto"/>
          </w:divBdr>
        </w:div>
        <w:div w:id="375930833">
          <w:marLeft w:val="0"/>
          <w:marRight w:val="0"/>
          <w:marTop w:val="0"/>
          <w:marBottom w:val="0"/>
          <w:divBdr>
            <w:top w:val="none" w:sz="0" w:space="0" w:color="auto"/>
            <w:left w:val="none" w:sz="0" w:space="0" w:color="auto"/>
            <w:bottom w:val="none" w:sz="0" w:space="0" w:color="auto"/>
            <w:right w:val="none" w:sz="0" w:space="0" w:color="auto"/>
          </w:divBdr>
        </w:div>
      </w:divsChild>
    </w:div>
    <w:div w:id="1582834469">
      <w:bodyDiv w:val="1"/>
      <w:marLeft w:val="0"/>
      <w:marRight w:val="0"/>
      <w:marTop w:val="0"/>
      <w:marBottom w:val="0"/>
      <w:divBdr>
        <w:top w:val="none" w:sz="0" w:space="0" w:color="auto"/>
        <w:left w:val="none" w:sz="0" w:space="0" w:color="auto"/>
        <w:bottom w:val="none" w:sz="0" w:space="0" w:color="auto"/>
        <w:right w:val="none" w:sz="0" w:space="0" w:color="auto"/>
      </w:divBdr>
      <w:divsChild>
        <w:div w:id="1818959291">
          <w:marLeft w:val="0"/>
          <w:marRight w:val="0"/>
          <w:marTop w:val="0"/>
          <w:marBottom w:val="0"/>
          <w:divBdr>
            <w:top w:val="none" w:sz="0" w:space="0" w:color="auto"/>
            <w:left w:val="none" w:sz="0" w:space="0" w:color="auto"/>
            <w:bottom w:val="none" w:sz="0" w:space="0" w:color="auto"/>
            <w:right w:val="none" w:sz="0" w:space="0" w:color="auto"/>
          </w:divBdr>
        </w:div>
        <w:div w:id="331032391">
          <w:marLeft w:val="0"/>
          <w:marRight w:val="0"/>
          <w:marTop w:val="0"/>
          <w:marBottom w:val="0"/>
          <w:divBdr>
            <w:top w:val="none" w:sz="0" w:space="0" w:color="auto"/>
            <w:left w:val="none" w:sz="0" w:space="0" w:color="auto"/>
            <w:bottom w:val="none" w:sz="0" w:space="0" w:color="auto"/>
            <w:right w:val="none" w:sz="0" w:space="0" w:color="auto"/>
          </w:divBdr>
        </w:div>
      </w:divsChild>
    </w:div>
    <w:div w:id="1863546495">
      <w:bodyDiv w:val="1"/>
      <w:marLeft w:val="0"/>
      <w:marRight w:val="0"/>
      <w:marTop w:val="0"/>
      <w:marBottom w:val="0"/>
      <w:divBdr>
        <w:top w:val="none" w:sz="0" w:space="0" w:color="auto"/>
        <w:left w:val="none" w:sz="0" w:space="0" w:color="auto"/>
        <w:bottom w:val="none" w:sz="0" w:space="0" w:color="auto"/>
        <w:right w:val="none" w:sz="0" w:space="0" w:color="auto"/>
      </w:divBdr>
      <w:divsChild>
        <w:div w:id="171840225">
          <w:marLeft w:val="0"/>
          <w:marRight w:val="0"/>
          <w:marTop w:val="0"/>
          <w:marBottom w:val="0"/>
          <w:divBdr>
            <w:top w:val="none" w:sz="0" w:space="0" w:color="auto"/>
            <w:left w:val="none" w:sz="0" w:space="0" w:color="auto"/>
            <w:bottom w:val="none" w:sz="0" w:space="0" w:color="auto"/>
            <w:right w:val="none" w:sz="0" w:space="0" w:color="auto"/>
          </w:divBdr>
        </w:div>
        <w:div w:id="1439721154">
          <w:marLeft w:val="0"/>
          <w:marRight w:val="0"/>
          <w:marTop w:val="0"/>
          <w:marBottom w:val="0"/>
          <w:divBdr>
            <w:top w:val="none" w:sz="0" w:space="0" w:color="auto"/>
            <w:left w:val="none" w:sz="0" w:space="0" w:color="auto"/>
            <w:bottom w:val="none" w:sz="0" w:space="0" w:color="auto"/>
            <w:right w:val="none" w:sz="0" w:space="0" w:color="auto"/>
          </w:divBdr>
        </w:div>
        <w:div w:id="1497110166">
          <w:marLeft w:val="0"/>
          <w:marRight w:val="0"/>
          <w:marTop w:val="0"/>
          <w:marBottom w:val="0"/>
          <w:divBdr>
            <w:top w:val="none" w:sz="0" w:space="0" w:color="auto"/>
            <w:left w:val="none" w:sz="0" w:space="0" w:color="auto"/>
            <w:bottom w:val="none" w:sz="0" w:space="0" w:color="auto"/>
            <w:right w:val="none" w:sz="0" w:space="0" w:color="auto"/>
          </w:divBdr>
        </w:div>
        <w:div w:id="141629137">
          <w:marLeft w:val="0"/>
          <w:marRight w:val="0"/>
          <w:marTop w:val="0"/>
          <w:marBottom w:val="0"/>
          <w:divBdr>
            <w:top w:val="none" w:sz="0" w:space="0" w:color="auto"/>
            <w:left w:val="none" w:sz="0" w:space="0" w:color="auto"/>
            <w:bottom w:val="none" w:sz="0" w:space="0" w:color="auto"/>
            <w:right w:val="none" w:sz="0" w:space="0" w:color="auto"/>
          </w:divBdr>
        </w:div>
        <w:div w:id="1868525321">
          <w:marLeft w:val="0"/>
          <w:marRight w:val="0"/>
          <w:marTop w:val="0"/>
          <w:marBottom w:val="0"/>
          <w:divBdr>
            <w:top w:val="none" w:sz="0" w:space="0" w:color="auto"/>
            <w:left w:val="none" w:sz="0" w:space="0" w:color="auto"/>
            <w:bottom w:val="none" w:sz="0" w:space="0" w:color="auto"/>
            <w:right w:val="none" w:sz="0" w:space="0" w:color="auto"/>
          </w:divBdr>
        </w:div>
        <w:div w:id="1461925169">
          <w:marLeft w:val="0"/>
          <w:marRight w:val="0"/>
          <w:marTop w:val="0"/>
          <w:marBottom w:val="0"/>
          <w:divBdr>
            <w:top w:val="none" w:sz="0" w:space="0" w:color="auto"/>
            <w:left w:val="none" w:sz="0" w:space="0" w:color="auto"/>
            <w:bottom w:val="none" w:sz="0" w:space="0" w:color="auto"/>
            <w:right w:val="none" w:sz="0" w:space="0" w:color="auto"/>
          </w:divBdr>
        </w:div>
        <w:div w:id="1133477703">
          <w:marLeft w:val="0"/>
          <w:marRight w:val="0"/>
          <w:marTop w:val="0"/>
          <w:marBottom w:val="0"/>
          <w:divBdr>
            <w:top w:val="none" w:sz="0" w:space="0" w:color="auto"/>
            <w:left w:val="none" w:sz="0" w:space="0" w:color="auto"/>
            <w:bottom w:val="none" w:sz="0" w:space="0" w:color="auto"/>
            <w:right w:val="none" w:sz="0" w:space="0" w:color="auto"/>
          </w:divBdr>
        </w:div>
        <w:div w:id="1868984077">
          <w:marLeft w:val="0"/>
          <w:marRight w:val="0"/>
          <w:marTop w:val="0"/>
          <w:marBottom w:val="0"/>
          <w:divBdr>
            <w:top w:val="none" w:sz="0" w:space="0" w:color="auto"/>
            <w:left w:val="none" w:sz="0" w:space="0" w:color="auto"/>
            <w:bottom w:val="none" w:sz="0" w:space="0" w:color="auto"/>
            <w:right w:val="none" w:sz="0" w:space="0" w:color="auto"/>
          </w:divBdr>
        </w:div>
        <w:div w:id="1634940288">
          <w:marLeft w:val="0"/>
          <w:marRight w:val="0"/>
          <w:marTop w:val="0"/>
          <w:marBottom w:val="0"/>
          <w:divBdr>
            <w:top w:val="none" w:sz="0" w:space="0" w:color="auto"/>
            <w:left w:val="none" w:sz="0" w:space="0" w:color="auto"/>
            <w:bottom w:val="none" w:sz="0" w:space="0" w:color="auto"/>
            <w:right w:val="none" w:sz="0" w:space="0" w:color="auto"/>
          </w:divBdr>
        </w:div>
        <w:div w:id="177697355">
          <w:marLeft w:val="0"/>
          <w:marRight w:val="0"/>
          <w:marTop w:val="0"/>
          <w:marBottom w:val="0"/>
          <w:divBdr>
            <w:top w:val="none" w:sz="0" w:space="0" w:color="auto"/>
            <w:left w:val="none" w:sz="0" w:space="0" w:color="auto"/>
            <w:bottom w:val="none" w:sz="0" w:space="0" w:color="auto"/>
            <w:right w:val="none" w:sz="0" w:space="0" w:color="auto"/>
          </w:divBdr>
        </w:div>
        <w:div w:id="1151292479">
          <w:marLeft w:val="0"/>
          <w:marRight w:val="0"/>
          <w:marTop w:val="0"/>
          <w:marBottom w:val="0"/>
          <w:divBdr>
            <w:top w:val="none" w:sz="0" w:space="0" w:color="auto"/>
            <w:left w:val="none" w:sz="0" w:space="0" w:color="auto"/>
            <w:bottom w:val="none" w:sz="0" w:space="0" w:color="auto"/>
            <w:right w:val="none" w:sz="0" w:space="0" w:color="auto"/>
          </w:divBdr>
        </w:div>
        <w:div w:id="136462721">
          <w:marLeft w:val="0"/>
          <w:marRight w:val="0"/>
          <w:marTop w:val="0"/>
          <w:marBottom w:val="0"/>
          <w:divBdr>
            <w:top w:val="none" w:sz="0" w:space="0" w:color="auto"/>
            <w:left w:val="none" w:sz="0" w:space="0" w:color="auto"/>
            <w:bottom w:val="none" w:sz="0" w:space="0" w:color="auto"/>
            <w:right w:val="none" w:sz="0" w:space="0" w:color="auto"/>
          </w:divBdr>
        </w:div>
        <w:div w:id="208243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ho.int/data/dd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ata/ddi"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ris.who.int/handle/10665/372741" TargetMode="External"/><Relationship Id="rId2" Type="http://schemas.openxmlformats.org/officeDocument/2006/relationships/hyperlink" Target="https://www.who.int/glass/resources/publications/national-surveillance-guide/en/" TargetMode="External"/><Relationship Id="rId1" Type="http://schemas.openxmlformats.org/officeDocument/2006/relationships/hyperlink" Target="https://iris.who.int/handle/10665/37274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5DC3FC54-2158-45D4-B178-D13F3EF4AABC}"/>
      </w:docPartPr>
      <w:docPartBody>
        <w:p w:rsidR="00446254" w:rsidRDefault="00446254">
          <w:r w:rsidRPr="001919E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54"/>
    <w:rsid w:val="00231A54"/>
    <w:rsid w:val="00395046"/>
    <w:rsid w:val="00446254"/>
    <w:rsid w:val="00945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d114b01d-ae01-4749-b845-9d88e7ef5c0e"/>
    <ds:schemaRef ds:uri="http://purl.org/dc/term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elements/1.1/"/>
    <ds:schemaRef ds:uri="f2d2d782-0088-4826-96df-71eba56e6d2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FC96402A-633A-4CC2-971E-B4501063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2025-04-01T04:10:00Z</cp:lastPrinted>
  <dcterms:created xsi:type="dcterms:W3CDTF">2025-02-05T17:26:00Z</dcterms:created>
  <dcterms:modified xsi:type="dcterms:W3CDTF">2025-04-01T04:10:00Z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