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4435B16" w:rsidR="00D24330" w:rsidRPr="00A96255" w:rsidRDefault="00816425" w:rsidP="002F5F0C">
      <w:pPr>
        <w:pStyle w:val="MGTHeader"/>
      </w:pPr>
      <w:r w:rsidRPr="00816425">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63BB8AAE" w:rsidR="00D24330" w:rsidRPr="00A96255" w:rsidRDefault="00816425" w:rsidP="00D24330">
      <w:pPr>
        <w:pStyle w:val="MGTHeader"/>
      </w:pPr>
      <w:r w:rsidRPr="00816425">
        <w:t>Target 4.3: By 2030, ensure equal access for all women and men to affordable and quality technical, vocational and tertiary education, including university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E228895" w:rsidR="00D24330" w:rsidRPr="00A96255" w:rsidRDefault="00816425" w:rsidP="00D24330">
      <w:pPr>
        <w:pStyle w:val="MGTHeader"/>
      </w:pPr>
      <w:r w:rsidRPr="00816425">
        <w:t>Indicator 4.3.1: Participation rate of youth and adults in formal and non-formal education and training in the previous 12 months, by sex</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2496CCAD" w:rsidR="00D24330" w:rsidRPr="00A96255" w:rsidRDefault="00FB57F0" w:rsidP="00D24330">
      <w:pPr>
        <w:pStyle w:val="MGTHeader"/>
      </w:pPr>
      <w:r w:rsidRPr="00FB57F0">
        <w:t>SE_ADT_EDUCTRN - Participation rate in formal and non-formal education and training [4.3.1]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755439369"/>
        <w:placeholder>
          <w:docPart w:val="DefaultPlaceholder_-1854013437"/>
        </w:placeholder>
        <w:date w:fullDate="2024-07-29T00:00:00Z">
          <w:dateFormat w:val="yyyy-MM-dd"/>
          <w:lid w:val="en-US"/>
          <w:storeMappedDataAs w:val="dateTime"/>
          <w:calendar w:val="gregorian"/>
        </w:date>
      </w:sdtPr>
      <w:sdtContent>
        <w:p w14:paraId="03424B60" w14:textId="4836D400" w:rsidR="00D24330" w:rsidRPr="00A96255" w:rsidRDefault="00E01354"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DC26C9B" w:rsidR="00D24330" w:rsidRPr="00A96255" w:rsidRDefault="00816425" w:rsidP="00D24330">
      <w:pPr>
        <w:pStyle w:val="MGTHeader"/>
      </w:pPr>
      <w:r w:rsidRPr="00816425">
        <w:t>1.4, 4.4, 4.5, 5.b, 8.5, 9.2</w:t>
      </w:r>
    </w:p>
    <w:p w14:paraId="077BC49E" w14:textId="4E8A8E53"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A3640F5" w:rsidR="00621893" w:rsidRPr="00A96255" w:rsidRDefault="00816425" w:rsidP="00D24330">
      <w:pPr>
        <w:pStyle w:val="MGTHeader"/>
        <w:rPr>
          <w:color w:val="4A4A4A"/>
        </w:rPr>
      </w:pPr>
      <w:r w:rsidRPr="00816425">
        <w:t>UNESCO Institute for Statistics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16D71B7" w:rsidR="00576CFA" w:rsidRDefault="00816425" w:rsidP="00576CFA">
      <w:pPr>
        <w:pStyle w:val="MText"/>
      </w:pPr>
      <w:r w:rsidRPr="00816425">
        <w:t>UNESCO Institute for Statistics (UIS)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7B639ED"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Definition:</w:t>
      </w:r>
    </w:p>
    <w:p w14:paraId="153B09C3" w14:textId="4A9280B2" w:rsidR="00D51E7C" w:rsidRDefault="00816425" w:rsidP="00816425">
      <w:pPr>
        <w:pStyle w:val="MText"/>
      </w:pPr>
      <w:r>
        <w:t xml:space="preserve">The percentage of youth and adults </w:t>
      </w:r>
      <w:proofErr w:type="gramStart"/>
      <w:r>
        <w:t>in a given</w:t>
      </w:r>
      <w:proofErr w:type="gramEnd"/>
      <w:r>
        <w:t xml:space="preserve"> age range (15-24 years, </w:t>
      </w:r>
      <w:r w:rsidR="00AE3FA1" w:rsidRPr="00606D8C">
        <w:t>25-54 years, 55-64 years, 15-64 years</w:t>
      </w:r>
      <w:r>
        <w:t xml:space="preserve">) participating in formal or non-formal education </w:t>
      </w:r>
      <w:r w:rsidR="001A78A3">
        <w:t xml:space="preserve">and </w:t>
      </w:r>
      <w:r>
        <w:t>training in</w:t>
      </w:r>
      <w:r w:rsidR="001A78A3">
        <w:t xml:space="preserve"> the previous 12 months</w:t>
      </w:r>
      <w:r>
        <w:t>.</w:t>
      </w:r>
    </w:p>
    <w:p w14:paraId="26D7631A" w14:textId="300193F8" w:rsidR="00816425" w:rsidRDefault="00816425" w:rsidP="00816425">
      <w:pPr>
        <w:pStyle w:val="MText"/>
      </w:pPr>
    </w:p>
    <w:p w14:paraId="07C8231C" w14:textId="77777777" w:rsidR="00816425" w:rsidRDefault="00816425" w:rsidP="00D2256E">
      <w:pPr>
        <w:shd w:val="clear" w:color="auto" w:fill="FFFFFF"/>
        <w:spacing w:after="0"/>
        <w:rPr>
          <w:rFonts w:cs="Times New Roman"/>
          <w:color w:val="4A4A4A"/>
          <w:sz w:val="21"/>
          <w:szCs w:val="21"/>
        </w:rPr>
      </w:pPr>
      <w:r>
        <w:rPr>
          <w:rStyle w:val="Strong"/>
          <w:rFonts w:cs="Times New Roman"/>
          <w:color w:val="4A4A4A"/>
          <w:sz w:val="21"/>
          <w:szCs w:val="21"/>
        </w:rPr>
        <w:t>Concepts:</w:t>
      </w:r>
    </w:p>
    <w:p w14:paraId="6C9D8559" w14:textId="77777777" w:rsidR="00816425" w:rsidRDefault="00816425" w:rsidP="00C37780">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Formal education and training is defined as education provided by the system of schools, colleges, universities and other formal educational institutions that normally constitutes a continuous ‘ladder’ of full-time education for children and young people, generally beginning at the age of 5 to 7 and continuing to up to 20 or 25 years old. In some countries, the upper parts of this ‘ladder’ are organized programmes of joint part-time employment and part-time participation in the regular school and university system.</w:t>
      </w:r>
    </w:p>
    <w:p w14:paraId="72118570"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47965B6C" w14:textId="25391F49" w:rsidR="00816425" w:rsidRPr="00A96255" w:rsidRDefault="00816425" w:rsidP="00816425">
      <w:pPr>
        <w:pStyle w:val="MText"/>
      </w:pPr>
      <w:r>
        <w:t>Non-formal education and training is defined as any organized and sustained learning activities that do not correspond exactly to the above definition of formal education. Non-formal education may therefore take place both within and outside educational institutions and cater to people of all ages. Depending on national contexts, it may cover educational programmes to impart adult literacy, life-skills, work-skills, and general culture.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4C9BD78" w:rsidR="00576CFA" w:rsidRPr="00A96255" w:rsidRDefault="006A4579" w:rsidP="00C4297B">
      <w:pPr>
        <w:pStyle w:val="MText"/>
      </w:pPr>
      <w:r>
        <w:t>Percent</w:t>
      </w:r>
      <w:r w:rsidR="00A37054">
        <w:t xml:space="preserve"> (%)</w:t>
      </w:r>
      <w: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4EC9F55" w:rsidR="00576CFA" w:rsidRPr="00A96255" w:rsidRDefault="004A3498" w:rsidP="00023ABC">
      <w:pPr>
        <w:pStyle w:val="MText"/>
      </w:pPr>
      <w:r w:rsidRPr="00023ABC">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AEE00D0" w14:textId="77777777" w:rsidR="006F6E30" w:rsidRDefault="001A78A3" w:rsidP="00576CFA">
      <w:pPr>
        <w:pStyle w:val="MText"/>
      </w:pPr>
      <w:r w:rsidRPr="001A78A3">
        <w:t xml:space="preserve">The SDG 4.3.1 indicator is calculated </w:t>
      </w:r>
      <w:r>
        <w:t xml:space="preserve">by the UIS </w:t>
      </w:r>
      <w:r w:rsidRPr="001A78A3">
        <w:t>based on the household-based survey data compiled by the</w:t>
      </w:r>
      <w:r>
        <w:t xml:space="preserve"> </w:t>
      </w:r>
      <w:r w:rsidRPr="001A78A3">
        <w:t>Department of Statistics of the International Labour Organisation (ILO), which maintains a global</w:t>
      </w:r>
      <w:r>
        <w:t xml:space="preserve"> </w:t>
      </w:r>
      <w:r w:rsidRPr="001A78A3">
        <w:t>database on national Labour Force Surveys or other relevant household surveys that cover labour</w:t>
      </w:r>
      <w:r>
        <w:t xml:space="preserve"> </w:t>
      </w:r>
      <w:r w:rsidRPr="001A78A3">
        <w:t>market.</w:t>
      </w:r>
    </w:p>
    <w:p w14:paraId="3018A8D8" w14:textId="62EFF745" w:rsidR="00EC2915" w:rsidRPr="00A96255" w:rsidRDefault="001A78A3" w:rsidP="00576CFA">
      <w:pPr>
        <w:pStyle w:val="MText"/>
      </w:pPr>
      <w:r w:rsidRPr="001A78A3">
        <w:t xml:space="preserve">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25DF0C5B" w:rsidR="00576CFA" w:rsidRPr="00A96255" w:rsidRDefault="00816425" w:rsidP="00576CFA">
      <w:pPr>
        <w:pStyle w:val="MText"/>
      </w:pPr>
      <w:r>
        <w:t>Data are collected from the respective organizations responsible for each survey.</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71AF48CE" w:rsidR="00576CFA" w:rsidRPr="00A96255" w:rsidRDefault="00816425" w:rsidP="00576CFA">
      <w:pPr>
        <w:pStyle w:val="MText"/>
      </w:pPr>
      <w:r>
        <w:t>Various depending on survey and country.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663727A" w:rsidR="00576CFA" w:rsidRPr="00A96255" w:rsidRDefault="00816425" w:rsidP="00576CFA">
      <w:pPr>
        <w:pStyle w:val="MText"/>
      </w:pPr>
      <w:r>
        <w:t>Various depending on survey and country.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A79FEDF" w:rsidR="00576CFA" w:rsidRPr="00A96255" w:rsidRDefault="00816425" w:rsidP="00576CFA">
      <w:pPr>
        <w:pStyle w:val="MText"/>
      </w:pPr>
      <w:r>
        <w:t>Ministries of Education and /or National Statistical Offices</w:t>
      </w:r>
      <w:r w:rsidR="00730FDB">
        <w:t xml:space="preserve"> (NSOs)</w:t>
      </w:r>
      <w: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4084DE14" w:rsidR="00576CFA" w:rsidRPr="00A96255" w:rsidRDefault="00816425" w:rsidP="00576CFA">
      <w:pPr>
        <w:pStyle w:val="MText"/>
      </w:pPr>
      <w:r>
        <w:t>UNESCO Institute for Statistics</w:t>
      </w:r>
      <w:r w:rsidR="00B34C75">
        <w:t xml:space="preserve"> </w:t>
      </w:r>
      <w:r w:rsidR="00B34C75" w:rsidRPr="00816425">
        <w:t>(UIS)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1B33956" w14:textId="6B8218EA" w:rsidR="00544051" w:rsidRPr="001A69DA" w:rsidRDefault="00544051" w:rsidP="00544051">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w:t>
      </w:r>
      <w:r w:rsidRPr="001A69DA">
        <w:rPr>
          <w:rFonts w:eastAsia="Times New Roman" w:cs="Times New Roman"/>
          <w:color w:val="4A4A4A"/>
          <w:sz w:val="21"/>
          <w:szCs w:val="21"/>
          <w:lang w:eastAsia="en-GB"/>
        </w:rPr>
        <w:lastRenderedPageBreak/>
        <w:t>and methodologies in the fields of education, science, culture and communication for countries at all stages of development.</w:t>
      </w:r>
    </w:p>
    <w:p w14:paraId="2B6F800B" w14:textId="77777777" w:rsidR="00544051" w:rsidRPr="001A69DA" w:rsidRDefault="00544051" w:rsidP="00544051">
      <w:pPr>
        <w:pBdr>
          <w:top w:val="nil"/>
          <w:left w:val="nil"/>
          <w:bottom w:val="nil"/>
          <w:right w:val="nil"/>
          <w:between w:val="nil"/>
        </w:pBdr>
        <w:shd w:val="clear" w:color="auto" w:fill="FFFFFF"/>
        <w:spacing w:after="0"/>
        <w:rPr>
          <w:rFonts w:ascii="Calibri" w:hAnsi="Calibri"/>
        </w:rPr>
      </w:pPr>
    </w:p>
    <w:p w14:paraId="6F8FECF3" w14:textId="125FC0E1" w:rsidR="00544051" w:rsidRDefault="00544051" w:rsidP="00544051">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 xml:space="preserve">Education 2030 Framework for Action </w:t>
        </w:r>
        <w:r w:rsidR="0041466D" w:rsidRPr="0041466D">
          <w:rPr>
            <w:rFonts w:ascii="Calibri" w:eastAsiaTheme="minorEastAsia" w:hAnsi="Calibri" w:cstheme="minorBidi"/>
            <w:color w:val="0000FF"/>
            <w:szCs w:val="22"/>
            <w:u w:val="single"/>
            <w:lang w:eastAsia="zh-CN"/>
          </w:rPr>
          <w:t>§</w:t>
        </w:r>
        <w:r w:rsidRPr="001A69DA">
          <w:rPr>
            <w:rFonts w:ascii="Calibri" w:eastAsiaTheme="minorEastAsia" w:hAnsi="Calibri" w:cstheme="minorBidi"/>
            <w:color w:val="0000FF"/>
            <w:szCs w:val="22"/>
            <w:u w:val="single"/>
            <w:lang w:eastAsia="zh-CN"/>
          </w:rPr>
          <w:t>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5EC7125" w14:textId="77777777" w:rsidR="00816425" w:rsidRDefault="00816425" w:rsidP="00C37780">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To show the level of participation of youth and adults in education and training of all types. A high value indicates a large share of the population in the relevant age group is participating in formal and non-formal education and training.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72A01BB2" w:rsidR="00576CFA" w:rsidRPr="00A96255" w:rsidRDefault="00816425" w:rsidP="00576CFA">
      <w:pPr>
        <w:pStyle w:val="MText"/>
      </w:pPr>
      <w:r>
        <w:t>Formal and non-formal education and training can be offered in a variety of settings including schools and universities, workplace environments and others and can have a variety of durations. Administrative data often capture only provision in formal settings such as schools and universities. Participation rates do not capture the intensity or quality of the provision nor the outcomes of the education and training on offer.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7F20BDB" w14:textId="77777777" w:rsidR="00816425" w:rsidRDefault="00816425" w:rsidP="00C37780">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The number of people in selected age groups participating in formal or non-formal education or training is expressed as a percentage of the population of the same age.</w:t>
      </w:r>
    </w:p>
    <w:p w14:paraId="73832D6D" w14:textId="0A72A2E4" w:rsidR="00C65269" w:rsidRDefault="00C65269" w:rsidP="00816425">
      <w:pPr>
        <w:pStyle w:val="form-control-static"/>
        <w:shd w:val="clear" w:color="auto" w:fill="FFFFFF"/>
        <w:spacing w:before="0" w:beforeAutospacing="0" w:after="0" w:afterAutospacing="0"/>
        <w:rPr>
          <w:rFonts w:asciiTheme="minorHAnsi" w:hAnsiTheme="minorHAnsi"/>
          <w:color w:val="4A4A4A"/>
          <w:sz w:val="21"/>
          <w:szCs w:val="21"/>
        </w:rPr>
      </w:pPr>
    </w:p>
    <w:p w14:paraId="6ADFB4B4" w14:textId="7E8ACAA8" w:rsidR="00C65269" w:rsidRDefault="00000000" w:rsidP="00816425">
      <w:pPr>
        <w:pStyle w:val="form-control-static"/>
        <w:shd w:val="clear" w:color="auto" w:fill="FFFFFF"/>
        <w:spacing w:before="0" w:beforeAutospacing="0" w:after="0" w:afterAutospacing="0"/>
        <w:rPr>
          <w:rFonts w:asciiTheme="minorHAnsi" w:hAnsiTheme="minorHAnsi"/>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PR</m:t>
              </m:r>
            </m:e>
            <m:sub>
              <m:r>
                <w:rPr>
                  <w:rFonts w:ascii="Cambria Math" w:hAnsi="Cambria Math"/>
                  <w:color w:val="4A4A4A"/>
                  <w:sz w:val="21"/>
                  <w:szCs w:val="21"/>
                </w:rPr>
                <m:t>AGi</m:t>
              </m:r>
            </m:sub>
          </m:sSub>
          <m:r>
            <w:rPr>
              <w:rFonts w:ascii="Cambria Math" w:hAnsi="Cambria Math"/>
              <w:color w:val="4A4A4A"/>
              <w:sz w:val="21"/>
              <w:szCs w:val="21"/>
            </w:rPr>
            <m:t xml:space="preserve">= </m:t>
          </m:r>
          <m:f>
            <m:fPr>
              <m:ctrlPr>
                <w:rPr>
                  <w:rFonts w:ascii="Cambria Math" w:hAnsi="Cambria Math"/>
                  <w:i/>
                  <w:color w:val="4A4A4A"/>
                  <w:sz w:val="21"/>
                  <w:szCs w:val="21"/>
                </w:rPr>
              </m:ctrlPr>
            </m:fPr>
            <m:num>
              <m:sSub>
                <m:sSubPr>
                  <m:ctrlPr>
                    <w:rPr>
                      <w:rFonts w:ascii="Cambria Math" w:hAnsi="Cambria Math"/>
                      <w:i/>
                      <w:color w:val="4A4A4A"/>
                      <w:sz w:val="21"/>
                      <w:szCs w:val="21"/>
                    </w:rPr>
                  </m:ctrlPr>
                </m:sSubPr>
                <m:e>
                  <m:r>
                    <w:rPr>
                      <w:rFonts w:ascii="Cambria Math" w:hAnsi="Cambria Math"/>
                      <w:color w:val="4A4A4A"/>
                      <w:sz w:val="21"/>
                      <w:szCs w:val="21"/>
                    </w:rPr>
                    <m:t>E</m:t>
                  </m:r>
                </m:e>
                <m:sub>
                  <m:r>
                    <w:rPr>
                      <w:rFonts w:ascii="Cambria Math" w:hAnsi="Cambria Math"/>
                      <w:color w:val="4A4A4A"/>
                      <w:sz w:val="21"/>
                      <w:szCs w:val="21"/>
                    </w:rPr>
                    <m:t>AGi</m:t>
                  </m:r>
                </m:sub>
              </m:sSub>
            </m:num>
            <m:den>
              <m:sSub>
                <m:sSubPr>
                  <m:ctrlPr>
                    <w:rPr>
                      <w:rFonts w:ascii="Cambria Math" w:hAnsi="Cambria Math"/>
                      <w:i/>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AGi</m:t>
                  </m:r>
                </m:sub>
              </m:sSub>
            </m:den>
          </m:f>
        </m:oMath>
      </m:oMathPara>
    </w:p>
    <w:p w14:paraId="425829EA"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4B4CD2FE"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5D474412"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C37780">
        <w:rPr>
          <w:rFonts w:asciiTheme="minorHAnsi" w:hAnsiTheme="minorHAnsi"/>
          <w:i/>
          <w:color w:val="4A4A4A"/>
          <w:sz w:val="21"/>
        </w:rPr>
        <w:t>PR</w:t>
      </w:r>
      <w:r w:rsidRPr="00C37780">
        <w:rPr>
          <w:rFonts w:asciiTheme="minorHAnsi" w:hAnsiTheme="minorHAnsi"/>
          <w:i/>
          <w:color w:val="4A4A4A"/>
          <w:sz w:val="21"/>
          <w:vertAlign w:val="subscript"/>
        </w:rPr>
        <w:t>AGi</w:t>
      </w:r>
      <w:proofErr w:type="spellEnd"/>
      <w:r>
        <w:rPr>
          <w:rFonts w:asciiTheme="minorHAnsi" w:hAnsiTheme="minorHAnsi"/>
          <w:color w:val="4A4A4A"/>
          <w:sz w:val="21"/>
          <w:szCs w:val="21"/>
        </w:rPr>
        <w:t xml:space="preserve"> = participation rate of the population in age group </w:t>
      </w:r>
      <w:r w:rsidRPr="00C37780">
        <w:rPr>
          <w:rFonts w:asciiTheme="minorHAnsi" w:hAnsiTheme="minorHAnsi"/>
          <w:i/>
          <w:color w:val="4A4A4A"/>
          <w:sz w:val="21"/>
        </w:rPr>
        <w:t>i</w:t>
      </w:r>
      <w:r>
        <w:rPr>
          <w:rFonts w:asciiTheme="minorHAnsi" w:hAnsiTheme="minorHAnsi"/>
          <w:color w:val="4A4A4A"/>
          <w:sz w:val="21"/>
          <w:szCs w:val="21"/>
        </w:rPr>
        <w:t xml:space="preserve"> in formal and non-formal education and training</w:t>
      </w:r>
    </w:p>
    <w:p w14:paraId="576EFB5A"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C37780">
        <w:rPr>
          <w:rFonts w:asciiTheme="minorHAnsi" w:hAnsiTheme="minorHAnsi"/>
          <w:i/>
          <w:color w:val="4A4A4A"/>
          <w:sz w:val="21"/>
        </w:rPr>
        <w:t>E</w:t>
      </w:r>
      <w:r w:rsidRPr="00C37780">
        <w:rPr>
          <w:rFonts w:asciiTheme="minorHAnsi" w:hAnsiTheme="minorHAnsi"/>
          <w:i/>
          <w:color w:val="4A4A4A"/>
          <w:sz w:val="21"/>
          <w:vertAlign w:val="subscript"/>
        </w:rPr>
        <w:t>AGi</w:t>
      </w:r>
      <w:proofErr w:type="spellEnd"/>
      <w:r>
        <w:rPr>
          <w:rFonts w:asciiTheme="minorHAnsi" w:hAnsiTheme="minorHAnsi"/>
          <w:color w:val="4A4A4A"/>
          <w:sz w:val="21"/>
          <w:szCs w:val="21"/>
        </w:rPr>
        <w:t xml:space="preserve"> = enrolment of the population in age group </w:t>
      </w:r>
      <w:r w:rsidRPr="00C37780">
        <w:rPr>
          <w:rFonts w:asciiTheme="minorHAnsi" w:hAnsiTheme="minorHAnsi"/>
          <w:i/>
          <w:color w:val="4A4A4A"/>
          <w:sz w:val="21"/>
        </w:rPr>
        <w:t>i</w:t>
      </w:r>
      <w:r>
        <w:rPr>
          <w:rFonts w:asciiTheme="minorHAnsi" w:hAnsiTheme="minorHAnsi"/>
          <w:color w:val="4A4A4A"/>
          <w:sz w:val="21"/>
          <w:szCs w:val="21"/>
        </w:rPr>
        <w:t xml:space="preserve"> in formal and non-formal education and training</w:t>
      </w:r>
    </w:p>
    <w:p w14:paraId="3B60B6F8"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C37780">
        <w:rPr>
          <w:rFonts w:asciiTheme="minorHAnsi" w:hAnsiTheme="minorHAnsi"/>
          <w:i/>
          <w:color w:val="4A4A4A"/>
          <w:sz w:val="21"/>
        </w:rPr>
        <w:t>P</w:t>
      </w:r>
      <w:r w:rsidRPr="00C37780">
        <w:rPr>
          <w:rFonts w:asciiTheme="minorHAnsi" w:hAnsiTheme="minorHAnsi"/>
          <w:i/>
          <w:color w:val="4A4A4A"/>
          <w:sz w:val="21"/>
          <w:vertAlign w:val="subscript"/>
        </w:rPr>
        <w:t>AGi</w:t>
      </w:r>
      <w:proofErr w:type="spellEnd"/>
      <w:r>
        <w:rPr>
          <w:rFonts w:asciiTheme="minorHAnsi" w:hAnsiTheme="minorHAnsi"/>
          <w:color w:val="4A4A4A"/>
          <w:sz w:val="21"/>
          <w:szCs w:val="21"/>
        </w:rPr>
        <w:t xml:space="preserve"> = population in age group </w:t>
      </w:r>
      <w:r w:rsidRPr="00C37780">
        <w:rPr>
          <w:rFonts w:asciiTheme="minorHAnsi" w:hAnsiTheme="minorHAnsi"/>
          <w:i/>
          <w:color w:val="4A4A4A"/>
          <w:sz w:val="21"/>
        </w:rPr>
        <w:t>i</w:t>
      </w:r>
    </w:p>
    <w:p w14:paraId="4FC242CD" w14:textId="000A1C77" w:rsidR="00576CFA" w:rsidRPr="00A96255" w:rsidRDefault="00816425" w:rsidP="00816425">
      <w:pPr>
        <w:pStyle w:val="MText"/>
      </w:pPr>
      <w:proofErr w:type="spellStart"/>
      <w:r w:rsidRPr="00C37780">
        <w:rPr>
          <w:i/>
        </w:rPr>
        <w:t>i</w:t>
      </w:r>
      <w:proofErr w:type="spellEnd"/>
      <w:r>
        <w:t xml:space="preserve"> = 15-24, </w:t>
      </w:r>
      <w:r w:rsidR="00AE3FA1" w:rsidRPr="00606D8C">
        <w:t>25-54 years, 55-64 years, 15-64 years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21AF7AAD" w:rsidR="00EC2915" w:rsidRDefault="00FB3491" w:rsidP="00576CFA">
      <w:pPr>
        <w:pStyle w:val="MText"/>
      </w:pPr>
      <w:r w:rsidRPr="00FB3491">
        <w:t xml:space="preserve">The UNESCO Institute for Statistics shares all indicator values and notes on methodology with National Statistical Offices, Ministries of Education, or other relevant agencies in individual countries for their review, feedback and validation before the publication of the data.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A563AB1" w14:textId="582F19E9" w:rsidR="00B631DA" w:rsidRPr="00A96255" w:rsidRDefault="00B631DA" w:rsidP="00576CFA">
      <w:pPr>
        <w:pStyle w:val="MText"/>
      </w:pPr>
      <w:r w:rsidRPr="00B631DA">
        <w:lastRenderedPageBreak/>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3775343" w14:textId="14587F76" w:rsidR="00816425" w:rsidRPr="007F6832" w:rsidRDefault="00816425" w:rsidP="00816425">
      <w:pPr>
        <w:pStyle w:val="MText"/>
        <w:rPr>
          <w:b/>
          <w:bCs/>
        </w:rPr>
      </w:pPr>
      <w:r w:rsidRPr="007F6832">
        <w:rPr>
          <w:b/>
          <w:bCs/>
        </w:rPr>
        <w:t>•</w:t>
      </w:r>
      <w:r w:rsidRPr="007F6832">
        <w:rPr>
          <w:b/>
          <w:bCs/>
        </w:rPr>
        <w:tab/>
        <w:t>At country level</w:t>
      </w:r>
      <w:r w:rsidR="006834E6" w:rsidRPr="007F6832">
        <w:rPr>
          <w:b/>
          <w:bCs/>
        </w:rPr>
        <w:t>:</w:t>
      </w:r>
    </w:p>
    <w:p w14:paraId="73C20B53" w14:textId="77777777" w:rsidR="00816425" w:rsidRDefault="00816425" w:rsidP="00816425">
      <w:pPr>
        <w:pStyle w:val="MText"/>
      </w:pPr>
      <w:r>
        <w:t>None by data compiler.</w:t>
      </w:r>
    </w:p>
    <w:p w14:paraId="7639751F" w14:textId="77777777" w:rsidR="00816425" w:rsidRDefault="00816425" w:rsidP="00816425">
      <w:pPr>
        <w:pStyle w:val="MText"/>
      </w:pPr>
    </w:p>
    <w:p w14:paraId="173603FB" w14:textId="5AF72D11" w:rsidR="00816425" w:rsidRPr="007F6832" w:rsidRDefault="00816425" w:rsidP="00816425">
      <w:pPr>
        <w:pStyle w:val="MText"/>
        <w:rPr>
          <w:b/>
          <w:bCs/>
        </w:rPr>
      </w:pPr>
      <w:r w:rsidRPr="007F6832">
        <w:rPr>
          <w:b/>
          <w:bCs/>
        </w:rPr>
        <w:t>•</w:t>
      </w:r>
      <w:r w:rsidRPr="007F6832">
        <w:rPr>
          <w:b/>
          <w:bCs/>
        </w:rPr>
        <w:tab/>
        <w:t>At regional and global levels</w:t>
      </w:r>
      <w:r w:rsidR="006834E6" w:rsidRPr="007F6832">
        <w:rPr>
          <w:b/>
          <w:bCs/>
        </w:rPr>
        <w:t>:</w:t>
      </w:r>
    </w:p>
    <w:p w14:paraId="04748E1F" w14:textId="0E437FDD" w:rsidR="00D51E7C" w:rsidRDefault="00816425" w:rsidP="00816425">
      <w:pPr>
        <w:pStyle w:val="MText"/>
      </w:pPr>
      <w:r>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3DC7E6A" w:rsidR="00576CFA" w:rsidRPr="00A96255" w:rsidRDefault="00816425" w:rsidP="00E1050F">
      <w:pPr>
        <w:pStyle w:val="MText"/>
      </w:pPr>
      <w:r>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6C77FBE" w14:textId="3F845AF0" w:rsidR="006B6880" w:rsidRPr="00A96255" w:rsidRDefault="004F1359" w:rsidP="004F1359">
      <w:pPr>
        <w:pStyle w:val="MText"/>
      </w:pPr>
      <w:r w:rsidRPr="004F1359">
        <w:t xml:space="preserve">The UIS has elaborated guidance for the countries on the methodology that should be used to calculate this indicator. </w:t>
      </w:r>
    </w:p>
    <w:p w14:paraId="23DEE699" w14:textId="77777777" w:rsidR="00542434" w:rsidRPr="00A96255" w:rsidRDefault="00542434"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127433B" w:rsidR="00EC2915" w:rsidRDefault="00753C0F" w:rsidP="00576CFA">
      <w:pPr>
        <w:pStyle w:val="MText"/>
      </w:pPr>
      <w:r w:rsidRPr="00753C0F">
        <w:t xml:space="preserve">The UIS maintains the global database used to produce this indicator.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 </w:t>
      </w:r>
    </w:p>
    <w:p w14:paraId="0988F5D2" w14:textId="77777777" w:rsidR="00753C0F" w:rsidRPr="00A96255" w:rsidRDefault="00753C0F"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71CC900" w14:textId="1078D6C4" w:rsidR="00C01D74" w:rsidRDefault="00C01D74" w:rsidP="00C01D74">
      <w:pPr>
        <w:pStyle w:val="MText"/>
      </w:pPr>
      <w:r>
        <w:t>The process for quality assurance includes review of survey documentation, review of the indicator values across time, calculation of measures of reliability, examination of consistency of indicator values derived from different sources and, if necessary, consultation with data providers.</w:t>
      </w:r>
    </w:p>
    <w:p w14:paraId="06D3DFD1" w14:textId="77777777" w:rsidR="00544051" w:rsidRDefault="00544051" w:rsidP="00C01D74">
      <w:pPr>
        <w:pStyle w:val="MText"/>
      </w:pPr>
    </w:p>
    <w:p w14:paraId="7E6B04E3" w14:textId="3ADF5EA2" w:rsidR="00576CFA" w:rsidRPr="00A96255" w:rsidRDefault="00C01D74" w:rsidP="00264759">
      <w:pPr>
        <w:pStyle w:val="MText"/>
      </w:pPr>
      <w:r>
        <w:t>Before its annual data release and the addition of any indicators to the global SDG Indicators Database, the UNESCO Institute for Statistics submits all indicator values and notes on methodology to National Statistical Offices, Ministries of Education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44634B8A" w:rsidR="00576CFA" w:rsidRDefault="00BC508A" w:rsidP="00576CFA">
      <w:pPr>
        <w:pStyle w:val="MText"/>
      </w:pPr>
      <w:r w:rsidRPr="00BC508A">
        <w:t>Accurate data on participation in formal and non-formal education and training by age or specific age-groups and by sex, and the corresponding population data from all types of educational institutions (public and private), formal and non-formal, are essential for calculating this indicator. Criteria for quality assessment include: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 xml:space="preserve">5. Data availability and disaggregation </w:t>
      </w:r>
      <w:r>
        <w:rPr>
          <w:color w:val="B4B4B4"/>
          <w:sz w:val="20"/>
        </w:rPr>
        <w:t>(COVERAGE)</w:t>
      </w:r>
    </w:p>
    <w:p w14:paraId="464A8CCF" w14:textId="27C17D3B" w:rsidR="00576CFA" w:rsidRPr="007F6832" w:rsidRDefault="00D51E7C" w:rsidP="00576CFA">
      <w:pPr>
        <w:pStyle w:val="MText"/>
        <w:rPr>
          <w:b/>
          <w:bCs/>
        </w:rPr>
      </w:pPr>
      <w:r w:rsidRPr="007F6832">
        <w:rPr>
          <w:b/>
          <w:bCs/>
        </w:rPr>
        <w:t>Data availability:</w:t>
      </w:r>
    </w:p>
    <w:p w14:paraId="16C261BB" w14:textId="5E1A0BCD" w:rsidR="00816425" w:rsidRDefault="00DE66D7"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154</w:t>
      </w:r>
      <w:r w:rsidR="00816425">
        <w:rPr>
          <w:rFonts w:asciiTheme="minorHAnsi" w:hAnsiTheme="minorHAnsi"/>
          <w:color w:val="4A4A4A"/>
          <w:sz w:val="21"/>
          <w:szCs w:val="21"/>
        </w:rPr>
        <w:t xml:space="preserve"> countries with at least one data point for the period </w:t>
      </w:r>
      <w:r>
        <w:rPr>
          <w:rFonts w:asciiTheme="minorHAnsi" w:hAnsiTheme="minorHAnsi"/>
          <w:color w:val="4A4A4A"/>
          <w:sz w:val="21"/>
          <w:szCs w:val="21"/>
        </w:rPr>
        <w:t>1976</w:t>
      </w:r>
      <w:r w:rsidR="00816425">
        <w:rPr>
          <w:rFonts w:asciiTheme="minorHAnsi" w:hAnsiTheme="minorHAnsi"/>
          <w:color w:val="4A4A4A"/>
          <w:sz w:val="21"/>
          <w:szCs w:val="21"/>
        </w:rPr>
        <w:t>-20</w:t>
      </w:r>
      <w:r>
        <w:rPr>
          <w:rFonts w:asciiTheme="minorHAnsi" w:hAnsiTheme="minorHAnsi"/>
          <w:color w:val="4A4A4A"/>
          <w:sz w:val="21"/>
          <w:szCs w:val="21"/>
        </w:rPr>
        <w:t>22</w:t>
      </w:r>
      <w:r w:rsidR="00816425">
        <w:rPr>
          <w:rFonts w:asciiTheme="minorHAnsi" w:hAnsiTheme="minorHAnsi"/>
          <w:color w:val="4A4A4A"/>
          <w:sz w:val="21"/>
          <w:szCs w:val="21"/>
        </w:rPr>
        <w:t>.</w:t>
      </w:r>
    </w:p>
    <w:p w14:paraId="3A2BEF97"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2993E644" w14:textId="690867B9" w:rsidR="00816425" w:rsidRPr="007F6832" w:rsidRDefault="00816425" w:rsidP="00816425">
      <w:pPr>
        <w:shd w:val="clear" w:color="auto" w:fill="FFFFFF"/>
        <w:spacing w:after="0"/>
        <w:rPr>
          <w:rFonts w:eastAsia="Times New Roman" w:cs="Times New Roman"/>
          <w:b/>
          <w:bCs/>
          <w:color w:val="4A4A4A"/>
          <w:sz w:val="21"/>
          <w:szCs w:val="21"/>
          <w:lang w:eastAsia="en-GB"/>
        </w:rPr>
      </w:pPr>
      <w:r w:rsidRPr="007F6832">
        <w:rPr>
          <w:rFonts w:eastAsia="Times New Roman" w:cs="Times New Roman"/>
          <w:b/>
          <w:bCs/>
          <w:color w:val="4A4A4A"/>
          <w:sz w:val="21"/>
          <w:szCs w:val="21"/>
          <w:lang w:eastAsia="en-GB"/>
        </w:rPr>
        <w:t>Time series:</w:t>
      </w:r>
    </w:p>
    <w:p w14:paraId="29F59133" w14:textId="42C02085"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19</w:t>
      </w:r>
      <w:r w:rsidR="00DE66D7">
        <w:rPr>
          <w:rFonts w:asciiTheme="minorHAnsi" w:hAnsiTheme="minorHAnsi"/>
          <w:color w:val="4A4A4A"/>
          <w:sz w:val="21"/>
          <w:szCs w:val="21"/>
        </w:rPr>
        <w:t>76</w:t>
      </w:r>
      <w:r>
        <w:rPr>
          <w:rFonts w:asciiTheme="minorHAnsi" w:hAnsiTheme="minorHAnsi"/>
          <w:color w:val="4A4A4A"/>
          <w:sz w:val="21"/>
          <w:szCs w:val="21"/>
        </w:rPr>
        <w:t>-20</w:t>
      </w:r>
      <w:r w:rsidR="00DE66D7">
        <w:rPr>
          <w:rFonts w:asciiTheme="minorHAnsi" w:hAnsiTheme="minorHAnsi"/>
          <w:color w:val="4A4A4A"/>
          <w:sz w:val="21"/>
          <w:szCs w:val="21"/>
        </w:rPr>
        <w:t>22</w:t>
      </w:r>
      <w:r>
        <w:rPr>
          <w:rFonts w:asciiTheme="minorHAnsi" w:hAnsiTheme="minorHAnsi"/>
          <w:color w:val="4A4A4A"/>
          <w:sz w:val="21"/>
          <w:szCs w:val="21"/>
        </w:rPr>
        <w:t xml:space="preserve"> in UIS database; 2000-20</w:t>
      </w:r>
      <w:r w:rsidR="00DE66D7">
        <w:rPr>
          <w:rFonts w:asciiTheme="minorHAnsi" w:hAnsiTheme="minorHAnsi"/>
          <w:color w:val="4A4A4A"/>
          <w:sz w:val="21"/>
          <w:szCs w:val="21"/>
        </w:rPr>
        <w:t>22</w:t>
      </w:r>
      <w:r>
        <w:rPr>
          <w:rFonts w:asciiTheme="minorHAnsi" w:hAnsiTheme="minorHAnsi"/>
          <w:color w:val="4A4A4A"/>
          <w:sz w:val="21"/>
          <w:szCs w:val="21"/>
        </w:rPr>
        <w:t xml:space="preserve"> in SDG global database.</w:t>
      </w:r>
    </w:p>
    <w:p w14:paraId="760C013A" w14:textId="4597FCBD" w:rsidR="00D51E7C" w:rsidRPr="00816425" w:rsidRDefault="00D51E7C" w:rsidP="00576CFA">
      <w:pPr>
        <w:pStyle w:val="MText"/>
      </w:pPr>
    </w:p>
    <w:p w14:paraId="659C8B93" w14:textId="23043711" w:rsidR="00816425" w:rsidRPr="007F6832" w:rsidRDefault="00816425" w:rsidP="00816425">
      <w:pPr>
        <w:shd w:val="clear" w:color="auto" w:fill="FFFFFF"/>
        <w:spacing w:after="0"/>
        <w:rPr>
          <w:rFonts w:eastAsia="Times New Roman" w:cs="Times New Roman"/>
          <w:b/>
          <w:bCs/>
          <w:color w:val="4A4A4A"/>
          <w:sz w:val="21"/>
          <w:szCs w:val="21"/>
          <w:lang w:eastAsia="en-GB"/>
        </w:rPr>
      </w:pPr>
      <w:r w:rsidRPr="007F6832">
        <w:rPr>
          <w:rFonts w:eastAsia="Times New Roman" w:cs="Times New Roman"/>
          <w:b/>
          <w:bCs/>
          <w:color w:val="4A4A4A"/>
          <w:sz w:val="21"/>
          <w:szCs w:val="21"/>
          <w:lang w:eastAsia="en-GB"/>
        </w:rPr>
        <w:t>Disaggregation:</w:t>
      </w:r>
    </w:p>
    <w:p w14:paraId="72C7C370" w14:textId="5FAC66BB" w:rsidR="00D51E7C" w:rsidRDefault="00816425" w:rsidP="00816425">
      <w:pPr>
        <w:pStyle w:val="MText"/>
      </w:pPr>
      <w:r>
        <w:t>By age and sex.</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B48F25F"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Sources of discrepancies:</w:t>
      </w:r>
    </w:p>
    <w:p w14:paraId="3C2D4870" w14:textId="15A565FB" w:rsidR="00D51E7C" w:rsidRDefault="00816425" w:rsidP="00816425">
      <w:pPr>
        <w:pStyle w:val="MText"/>
      </w:pPr>
      <w:r>
        <w:t>None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795283B" w14:textId="77777777" w:rsidR="00816425" w:rsidRDefault="00816425" w:rsidP="00816425">
      <w:pPr>
        <w:keepNext/>
        <w:keepLines/>
        <w:shd w:val="clear" w:color="auto" w:fill="FFFFFF"/>
        <w:spacing w:after="0"/>
        <w:rPr>
          <w:rFonts w:cs="Times New Roman"/>
          <w:color w:val="4A4A4A"/>
          <w:sz w:val="21"/>
          <w:szCs w:val="21"/>
        </w:rPr>
      </w:pPr>
      <w:r>
        <w:rPr>
          <w:rStyle w:val="Strong"/>
          <w:rFonts w:cs="Times New Roman"/>
          <w:color w:val="4A4A4A"/>
          <w:sz w:val="21"/>
          <w:szCs w:val="21"/>
        </w:rPr>
        <w:t>URL:</w:t>
      </w:r>
    </w:p>
    <w:p w14:paraId="219E89BD" w14:textId="18CD5633" w:rsidR="00816425" w:rsidRDefault="00000000" w:rsidP="00816425">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2" w:history="1">
        <w:r w:rsidR="00816425" w:rsidRPr="00C37780">
          <w:rPr>
            <w:rStyle w:val="Hyperlink"/>
            <w:rFonts w:asciiTheme="minorHAnsi" w:hAnsiTheme="minorHAnsi"/>
            <w:sz w:val="21"/>
            <w:szCs w:val="21"/>
          </w:rPr>
          <w:t>uis.unesco.org</w:t>
        </w:r>
      </w:hyperlink>
    </w:p>
    <w:p w14:paraId="5A16D4A7" w14:textId="77777777" w:rsidR="00816425" w:rsidRDefault="00816425" w:rsidP="00816425">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38E8DEF7"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References:</w:t>
      </w:r>
    </w:p>
    <w:p w14:paraId="727AD07A" w14:textId="53AF109B" w:rsidR="00DE66D7" w:rsidRPr="00DE66D7" w:rsidRDefault="00DE66D7" w:rsidP="00816425">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606D8C">
        <w:rPr>
          <w:rFonts w:asciiTheme="minorHAnsi" w:hAnsiTheme="minorHAnsi" w:cstheme="minorHAnsi"/>
          <w:sz w:val="21"/>
          <w:szCs w:val="21"/>
        </w:rPr>
        <w:t>Department of Statistics of the International Labour Organisation (ILO)</w:t>
      </w:r>
      <w:r>
        <w:rPr>
          <w:rFonts w:asciiTheme="minorHAnsi" w:hAnsiTheme="minorHAnsi" w:cstheme="minorHAnsi"/>
          <w:sz w:val="21"/>
          <w:szCs w:val="21"/>
        </w:rPr>
        <w:t xml:space="preserve"> (</w:t>
      </w:r>
      <w:r w:rsidRPr="00606D8C">
        <w:rPr>
          <w:rFonts w:asciiTheme="minorHAnsi" w:hAnsiTheme="minorHAnsi" w:cstheme="minorHAnsi"/>
          <w:sz w:val="21"/>
          <w:szCs w:val="21"/>
        </w:rPr>
        <w:t xml:space="preserve">global database on national Labour Force Surveys </w:t>
      </w:r>
      <w:r>
        <w:rPr>
          <w:rFonts w:asciiTheme="minorHAnsi" w:hAnsiTheme="minorHAnsi" w:cstheme="minorHAnsi"/>
          <w:sz w:val="21"/>
          <w:szCs w:val="21"/>
        </w:rPr>
        <w:t>and</w:t>
      </w:r>
      <w:r w:rsidRPr="00606D8C">
        <w:rPr>
          <w:rFonts w:asciiTheme="minorHAnsi" w:hAnsiTheme="minorHAnsi" w:cstheme="minorHAnsi"/>
          <w:sz w:val="21"/>
          <w:szCs w:val="21"/>
        </w:rPr>
        <w:t xml:space="preserve"> other relevant household surveys that cover labour market</w:t>
      </w:r>
      <w:r w:rsidR="001A78A3">
        <w:rPr>
          <w:rFonts w:asciiTheme="minorHAnsi" w:hAnsiTheme="minorHAnsi" w:cstheme="minorHAnsi"/>
          <w:sz w:val="21"/>
          <w:szCs w:val="21"/>
        </w:rPr>
        <w:t>)</w:t>
      </w:r>
      <w:r w:rsidRPr="00606D8C">
        <w:rPr>
          <w:rFonts w:asciiTheme="minorHAnsi" w:hAnsiTheme="minorHAnsi" w:cstheme="minorHAnsi"/>
          <w:sz w:val="21"/>
          <w:szCs w:val="21"/>
        </w:rPr>
        <w:t>:</w:t>
      </w:r>
    </w:p>
    <w:p w14:paraId="04CE1D5D" w14:textId="1810C5E3" w:rsidR="00DE66D7" w:rsidRPr="001A78A3" w:rsidRDefault="00000000" w:rsidP="00816425">
      <w:pPr>
        <w:pStyle w:val="form-control-static"/>
        <w:shd w:val="clear" w:color="auto" w:fill="FFFFFF"/>
        <w:spacing w:before="0" w:beforeAutospacing="0" w:after="0" w:afterAutospacing="0"/>
        <w:rPr>
          <w:rFonts w:asciiTheme="minorHAnsi" w:hAnsiTheme="minorHAnsi" w:cstheme="minorHAnsi"/>
          <w:color w:val="4A4A4A"/>
          <w:sz w:val="21"/>
          <w:szCs w:val="21"/>
        </w:rPr>
      </w:pPr>
      <w:hyperlink r:id="rId13" w:history="1">
        <w:r w:rsidR="00606D8C" w:rsidRPr="002A4D6A">
          <w:rPr>
            <w:rStyle w:val="Hyperlink"/>
            <w:rFonts w:asciiTheme="minorHAnsi" w:hAnsiTheme="minorHAnsi" w:cstheme="minorHAnsi"/>
            <w:sz w:val="21"/>
            <w:szCs w:val="21"/>
          </w:rPr>
          <w:t>https://ilostat.ilo.org/</w:t>
        </w:r>
      </w:hyperlink>
      <w:r w:rsidR="00606D8C">
        <w:rPr>
          <w:rFonts w:asciiTheme="minorHAnsi" w:hAnsiTheme="minorHAnsi" w:cstheme="minorHAnsi"/>
          <w:color w:val="4A4A4A"/>
          <w:sz w:val="21"/>
          <w:szCs w:val="21"/>
        </w:rPr>
        <w:t xml:space="preserve"> </w:t>
      </w:r>
    </w:p>
    <w:p w14:paraId="58E915E4" w14:textId="77777777" w:rsidR="00DE66D7" w:rsidRDefault="00DE66D7" w:rsidP="00816425">
      <w:pPr>
        <w:pStyle w:val="form-control-static"/>
        <w:shd w:val="clear" w:color="auto" w:fill="FFFFFF"/>
        <w:spacing w:before="0" w:beforeAutospacing="0" w:after="0" w:afterAutospacing="0"/>
        <w:rPr>
          <w:rFonts w:asciiTheme="minorHAnsi" w:hAnsiTheme="minorHAnsi"/>
          <w:color w:val="4A4A4A"/>
          <w:sz w:val="21"/>
          <w:szCs w:val="21"/>
        </w:rPr>
      </w:pPr>
    </w:p>
    <w:p w14:paraId="1C07550A" w14:textId="72CE6162"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European Adult Education Survey (AES): </w:t>
      </w:r>
      <w:hyperlink r:id="rId14" w:history="1">
        <w:r w:rsidR="00320C02" w:rsidRPr="00CC7BBE">
          <w:rPr>
            <w:rStyle w:val="Hyperlink"/>
            <w:rFonts w:asciiTheme="minorHAnsi" w:hAnsiTheme="minorHAnsi"/>
            <w:sz w:val="21"/>
            <w:szCs w:val="21"/>
          </w:rPr>
          <w:t>http://www.eui.eu/Research/Library/ResearchGuides/Economics/Statistics/DataPortal/AES.aspx</w:t>
        </w:r>
      </w:hyperlink>
      <w:r w:rsidR="00320C02">
        <w:rPr>
          <w:rFonts w:asciiTheme="minorHAnsi" w:hAnsiTheme="minorHAnsi"/>
          <w:color w:val="4A4A4A"/>
          <w:sz w:val="21"/>
          <w:szCs w:val="21"/>
        </w:rPr>
        <w:t xml:space="preserve"> </w:t>
      </w:r>
      <w:r>
        <w:rPr>
          <w:rStyle w:val="apple-converted-space"/>
          <w:rFonts w:asciiTheme="minorHAnsi" w:hAnsiTheme="minorHAnsi"/>
          <w:color w:val="4A4A4A"/>
          <w:sz w:val="21"/>
          <w:szCs w:val="21"/>
        </w:rPr>
        <w:t xml:space="preserve"> </w:t>
      </w:r>
    </w:p>
    <w:p w14:paraId="60561322"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6128E986" w14:textId="51CAC253" w:rsidR="00816425" w:rsidRPr="00320C02" w:rsidRDefault="00816425" w:rsidP="00816425">
      <w:pPr>
        <w:pStyle w:val="form-control-static"/>
        <w:shd w:val="clear" w:color="auto" w:fill="FFFFFF"/>
        <w:spacing w:before="0" w:beforeAutospacing="0" w:after="0" w:afterAutospacing="0"/>
        <w:rPr>
          <w:rStyle w:val="apple-converted-space"/>
          <w:rFonts w:asciiTheme="minorHAnsi" w:hAnsiTheme="minorHAnsi"/>
          <w:strike/>
          <w:color w:val="4A4A4A"/>
          <w:sz w:val="21"/>
          <w:szCs w:val="21"/>
        </w:rPr>
      </w:pPr>
      <w:r>
        <w:rPr>
          <w:rFonts w:asciiTheme="minorHAnsi" w:hAnsiTheme="minorHAnsi"/>
          <w:color w:val="4A4A4A"/>
          <w:sz w:val="21"/>
          <w:szCs w:val="21"/>
        </w:rPr>
        <w:t xml:space="preserve">European Continuing Vocational Training Survey: </w:t>
      </w:r>
    </w:p>
    <w:p w14:paraId="27CE9D37" w14:textId="6BCA43D1" w:rsidR="00320C02" w:rsidRDefault="00000000" w:rsidP="00816425">
      <w:pPr>
        <w:pStyle w:val="form-control-static"/>
        <w:shd w:val="clear" w:color="auto" w:fill="FFFFFF"/>
        <w:spacing w:before="0" w:beforeAutospacing="0" w:after="0" w:afterAutospacing="0"/>
        <w:rPr>
          <w:rFonts w:asciiTheme="minorHAnsi" w:hAnsiTheme="minorHAnsi"/>
          <w:color w:val="4A4A4A"/>
          <w:sz w:val="21"/>
          <w:szCs w:val="21"/>
        </w:rPr>
      </w:pPr>
      <w:hyperlink r:id="rId15" w:history="1">
        <w:r w:rsidR="00320C02" w:rsidRPr="00C37780">
          <w:rPr>
            <w:rStyle w:val="Hyperlink"/>
            <w:rFonts w:asciiTheme="minorHAnsi" w:hAnsiTheme="minorHAnsi"/>
            <w:sz w:val="21"/>
            <w:szCs w:val="21"/>
          </w:rPr>
          <w:t>https://ec.europa.eu/eurostat/web/microdata/continuing-vocational-training-survey</w:t>
        </w:r>
      </w:hyperlink>
    </w:p>
    <w:p w14:paraId="7993A247"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2FC56D83" w14:textId="6972D26B"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European Labour Force Survey: </w:t>
      </w:r>
      <w:hyperlink r:id="rId16" w:history="1">
        <w:r w:rsidR="00320C02" w:rsidRPr="00CC7BBE">
          <w:rPr>
            <w:rStyle w:val="Hyperlink"/>
            <w:rFonts w:asciiTheme="minorHAnsi" w:hAnsiTheme="minorHAnsi"/>
            <w:sz w:val="21"/>
            <w:szCs w:val="21"/>
          </w:rPr>
          <w:t>http://ec.europa.eu/eurostat/cache/metadata/en/trng_lfs_4w0_esms.htm</w:t>
        </w:r>
      </w:hyperlink>
      <w:r w:rsidR="00320C02">
        <w:rPr>
          <w:rFonts w:asciiTheme="minorHAnsi" w:hAnsiTheme="minorHAnsi"/>
          <w:color w:val="4A4A4A"/>
          <w:sz w:val="21"/>
          <w:szCs w:val="21"/>
        </w:rPr>
        <w:t xml:space="preserve"> </w:t>
      </w:r>
    </w:p>
    <w:p w14:paraId="384B0992" w14:textId="36889691" w:rsidR="00186795" w:rsidRDefault="00186795" w:rsidP="00816425">
      <w:pPr>
        <w:pStyle w:val="MText"/>
      </w:pPr>
    </w:p>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98F6" w14:textId="77777777" w:rsidR="00CA1766" w:rsidRDefault="00CA1766" w:rsidP="00573C0B">
      <w:pPr>
        <w:spacing w:after="0" w:line="240" w:lineRule="auto"/>
      </w:pPr>
      <w:r>
        <w:separator/>
      </w:r>
    </w:p>
  </w:endnote>
  <w:endnote w:type="continuationSeparator" w:id="0">
    <w:p w14:paraId="634A2C1D" w14:textId="77777777" w:rsidR="00CA1766" w:rsidRDefault="00CA1766" w:rsidP="00573C0B">
      <w:pPr>
        <w:spacing w:after="0" w:line="240" w:lineRule="auto"/>
      </w:pPr>
      <w:r>
        <w:continuationSeparator/>
      </w:r>
    </w:p>
  </w:endnote>
  <w:endnote w:type="continuationNotice" w:id="1">
    <w:p w14:paraId="097C0AAE" w14:textId="77777777" w:rsidR="00CA1766" w:rsidRDefault="00CA17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BF8A" w14:textId="77777777" w:rsidR="00CA1766" w:rsidRDefault="00CA1766" w:rsidP="00573C0B">
      <w:pPr>
        <w:spacing w:after="0" w:line="240" w:lineRule="auto"/>
      </w:pPr>
      <w:r>
        <w:separator/>
      </w:r>
    </w:p>
  </w:footnote>
  <w:footnote w:type="continuationSeparator" w:id="0">
    <w:p w14:paraId="5806C4D5" w14:textId="77777777" w:rsidR="00CA1766" w:rsidRDefault="00CA1766" w:rsidP="00573C0B">
      <w:pPr>
        <w:spacing w:after="0" w:line="240" w:lineRule="auto"/>
      </w:pPr>
      <w:r>
        <w:continuationSeparator/>
      </w:r>
    </w:p>
  </w:footnote>
  <w:footnote w:type="continuationNotice" w:id="1">
    <w:p w14:paraId="778F2B88" w14:textId="77777777" w:rsidR="00CA1766" w:rsidRDefault="00CA17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D058849"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E01354">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5A13"/>
    <w:multiLevelType w:val="hybridMultilevel"/>
    <w:tmpl w:val="6F826DA8"/>
    <w:lvl w:ilvl="0" w:tplc="EDCAEECA">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384624">
    <w:abstractNumId w:val="3"/>
  </w:num>
  <w:num w:numId="2" w16cid:durableId="119034556">
    <w:abstractNumId w:val="1"/>
  </w:num>
  <w:num w:numId="3" w16cid:durableId="492841109">
    <w:abstractNumId w:val="4"/>
  </w:num>
  <w:num w:numId="4" w16cid:durableId="1236629631">
    <w:abstractNumId w:val="2"/>
  </w:num>
  <w:num w:numId="5" w16cid:durableId="208957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ABC"/>
    <w:rsid w:val="0002792B"/>
    <w:rsid w:val="000412A0"/>
    <w:rsid w:val="00047DDA"/>
    <w:rsid w:val="0005455A"/>
    <w:rsid w:val="00064009"/>
    <w:rsid w:val="00071F07"/>
    <w:rsid w:val="0007759D"/>
    <w:rsid w:val="000777AB"/>
    <w:rsid w:val="00077F46"/>
    <w:rsid w:val="00090FB1"/>
    <w:rsid w:val="00096186"/>
    <w:rsid w:val="000A3682"/>
    <w:rsid w:val="000A72E4"/>
    <w:rsid w:val="000B0E2F"/>
    <w:rsid w:val="000B2430"/>
    <w:rsid w:val="000B3098"/>
    <w:rsid w:val="000B6D54"/>
    <w:rsid w:val="000D0B30"/>
    <w:rsid w:val="000D0F5D"/>
    <w:rsid w:val="000E21F1"/>
    <w:rsid w:val="000F703E"/>
    <w:rsid w:val="00120E86"/>
    <w:rsid w:val="00125DE9"/>
    <w:rsid w:val="001332E0"/>
    <w:rsid w:val="00134DE7"/>
    <w:rsid w:val="0014491E"/>
    <w:rsid w:val="00163050"/>
    <w:rsid w:val="00170534"/>
    <w:rsid w:val="00185354"/>
    <w:rsid w:val="001854DC"/>
    <w:rsid w:val="00185D47"/>
    <w:rsid w:val="00186795"/>
    <w:rsid w:val="00194D09"/>
    <w:rsid w:val="001963EA"/>
    <w:rsid w:val="001A78A3"/>
    <w:rsid w:val="001A7D5C"/>
    <w:rsid w:val="001B60AA"/>
    <w:rsid w:val="001B63C8"/>
    <w:rsid w:val="001C1972"/>
    <w:rsid w:val="001C421F"/>
    <w:rsid w:val="001C45F7"/>
    <w:rsid w:val="001D360D"/>
    <w:rsid w:val="001E3A16"/>
    <w:rsid w:val="001E5CDA"/>
    <w:rsid w:val="00261A8D"/>
    <w:rsid w:val="00264759"/>
    <w:rsid w:val="002657EF"/>
    <w:rsid w:val="00283C1C"/>
    <w:rsid w:val="00291A00"/>
    <w:rsid w:val="00291A11"/>
    <w:rsid w:val="002A315C"/>
    <w:rsid w:val="002A3342"/>
    <w:rsid w:val="002A64BA"/>
    <w:rsid w:val="002B2D5F"/>
    <w:rsid w:val="002B4989"/>
    <w:rsid w:val="002B595F"/>
    <w:rsid w:val="002C2510"/>
    <w:rsid w:val="002D714E"/>
    <w:rsid w:val="002E53C3"/>
    <w:rsid w:val="002F1468"/>
    <w:rsid w:val="002F5629"/>
    <w:rsid w:val="002F5F0C"/>
    <w:rsid w:val="002F7D0E"/>
    <w:rsid w:val="00311443"/>
    <w:rsid w:val="003124F9"/>
    <w:rsid w:val="00315941"/>
    <w:rsid w:val="00320C02"/>
    <w:rsid w:val="003265EB"/>
    <w:rsid w:val="0034329E"/>
    <w:rsid w:val="00343FAA"/>
    <w:rsid w:val="0034725E"/>
    <w:rsid w:val="00347F5E"/>
    <w:rsid w:val="00353C98"/>
    <w:rsid w:val="00371A20"/>
    <w:rsid w:val="00374275"/>
    <w:rsid w:val="003821B4"/>
    <w:rsid w:val="00382CF3"/>
    <w:rsid w:val="00387D52"/>
    <w:rsid w:val="003A7CEA"/>
    <w:rsid w:val="003B719F"/>
    <w:rsid w:val="003C20DB"/>
    <w:rsid w:val="003F0BD3"/>
    <w:rsid w:val="003F0E2C"/>
    <w:rsid w:val="003F278A"/>
    <w:rsid w:val="003F7A02"/>
    <w:rsid w:val="0041466D"/>
    <w:rsid w:val="00414A74"/>
    <w:rsid w:val="00422EA5"/>
    <w:rsid w:val="00422EFA"/>
    <w:rsid w:val="0042791F"/>
    <w:rsid w:val="00437689"/>
    <w:rsid w:val="00444115"/>
    <w:rsid w:val="004456ED"/>
    <w:rsid w:val="00474484"/>
    <w:rsid w:val="0048045A"/>
    <w:rsid w:val="004841B8"/>
    <w:rsid w:val="004930F2"/>
    <w:rsid w:val="004A3498"/>
    <w:rsid w:val="004B0F1C"/>
    <w:rsid w:val="004E4D4B"/>
    <w:rsid w:val="004F1359"/>
    <w:rsid w:val="004F2EE6"/>
    <w:rsid w:val="00501CCB"/>
    <w:rsid w:val="00502DBA"/>
    <w:rsid w:val="005040C4"/>
    <w:rsid w:val="00507637"/>
    <w:rsid w:val="00507852"/>
    <w:rsid w:val="00514DBF"/>
    <w:rsid w:val="0053683D"/>
    <w:rsid w:val="00542434"/>
    <w:rsid w:val="00544051"/>
    <w:rsid w:val="00550921"/>
    <w:rsid w:val="00563712"/>
    <w:rsid w:val="00573631"/>
    <w:rsid w:val="00573C0B"/>
    <w:rsid w:val="00576CFA"/>
    <w:rsid w:val="0058556D"/>
    <w:rsid w:val="00592AF2"/>
    <w:rsid w:val="005947AD"/>
    <w:rsid w:val="00597748"/>
    <w:rsid w:val="005979E8"/>
    <w:rsid w:val="00597B74"/>
    <w:rsid w:val="005D0AF4"/>
    <w:rsid w:val="005E54BD"/>
    <w:rsid w:val="005F6CCA"/>
    <w:rsid w:val="00606D8C"/>
    <w:rsid w:val="006104AF"/>
    <w:rsid w:val="00621893"/>
    <w:rsid w:val="006351E1"/>
    <w:rsid w:val="006447B1"/>
    <w:rsid w:val="00646809"/>
    <w:rsid w:val="00662775"/>
    <w:rsid w:val="006834E6"/>
    <w:rsid w:val="006852FC"/>
    <w:rsid w:val="006A4579"/>
    <w:rsid w:val="006B40AB"/>
    <w:rsid w:val="006B5DC5"/>
    <w:rsid w:val="006B6880"/>
    <w:rsid w:val="006C2055"/>
    <w:rsid w:val="006C4BFD"/>
    <w:rsid w:val="006C7D30"/>
    <w:rsid w:val="006E3C08"/>
    <w:rsid w:val="006E6740"/>
    <w:rsid w:val="006F13D9"/>
    <w:rsid w:val="006F6E30"/>
    <w:rsid w:val="00700ACF"/>
    <w:rsid w:val="00707A56"/>
    <w:rsid w:val="00712487"/>
    <w:rsid w:val="00730FDB"/>
    <w:rsid w:val="00737AF3"/>
    <w:rsid w:val="00740B22"/>
    <w:rsid w:val="007530CA"/>
    <w:rsid w:val="00753C0F"/>
    <w:rsid w:val="00756D68"/>
    <w:rsid w:val="007578D9"/>
    <w:rsid w:val="00757E8A"/>
    <w:rsid w:val="007631E8"/>
    <w:rsid w:val="007637A5"/>
    <w:rsid w:val="00763E43"/>
    <w:rsid w:val="00764EB5"/>
    <w:rsid w:val="00777A95"/>
    <w:rsid w:val="00780C02"/>
    <w:rsid w:val="00782416"/>
    <w:rsid w:val="007903EE"/>
    <w:rsid w:val="007B0364"/>
    <w:rsid w:val="007C09BF"/>
    <w:rsid w:val="007D0981"/>
    <w:rsid w:val="007D1929"/>
    <w:rsid w:val="007F6832"/>
    <w:rsid w:val="0080030B"/>
    <w:rsid w:val="00803CF1"/>
    <w:rsid w:val="008104BB"/>
    <w:rsid w:val="00816425"/>
    <w:rsid w:val="008249C5"/>
    <w:rsid w:val="00833D41"/>
    <w:rsid w:val="008526F9"/>
    <w:rsid w:val="0085285E"/>
    <w:rsid w:val="00853023"/>
    <w:rsid w:val="008534D4"/>
    <w:rsid w:val="008547BB"/>
    <w:rsid w:val="00881E28"/>
    <w:rsid w:val="00894C4B"/>
    <w:rsid w:val="008A12E3"/>
    <w:rsid w:val="008A42FA"/>
    <w:rsid w:val="008B09AA"/>
    <w:rsid w:val="008B0AC7"/>
    <w:rsid w:val="008B3F83"/>
    <w:rsid w:val="008C2335"/>
    <w:rsid w:val="008C67C1"/>
    <w:rsid w:val="008D1492"/>
    <w:rsid w:val="008D1D39"/>
    <w:rsid w:val="008F07D2"/>
    <w:rsid w:val="00917851"/>
    <w:rsid w:val="00917F65"/>
    <w:rsid w:val="009269EA"/>
    <w:rsid w:val="009311E7"/>
    <w:rsid w:val="00942694"/>
    <w:rsid w:val="0095790E"/>
    <w:rsid w:val="0096105F"/>
    <w:rsid w:val="00971BFD"/>
    <w:rsid w:val="009A7E3A"/>
    <w:rsid w:val="009B1265"/>
    <w:rsid w:val="009B4A15"/>
    <w:rsid w:val="009B5693"/>
    <w:rsid w:val="009C61A2"/>
    <w:rsid w:val="009C78E4"/>
    <w:rsid w:val="009D2FEE"/>
    <w:rsid w:val="009D5DFB"/>
    <w:rsid w:val="009D687E"/>
    <w:rsid w:val="009F6DE7"/>
    <w:rsid w:val="00A04A21"/>
    <w:rsid w:val="00A10583"/>
    <w:rsid w:val="00A37054"/>
    <w:rsid w:val="00A37FCB"/>
    <w:rsid w:val="00A54863"/>
    <w:rsid w:val="00A61D74"/>
    <w:rsid w:val="00A70519"/>
    <w:rsid w:val="00A8502D"/>
    <w:rsid w:val="00A8688B"/>
    <w:rsid w:val="00A91163"/>
    <w:rsid w:val="00A9286F"/>
    <w:rsid w:val="00A96255"/>
    <w:rsid w:val="00AB285B"/>
    <w:rsid w:val="00AC074A"/>
    <w:rsid w:val="00AC63B9"/>
    <w:rsid w:val="00AD7FE9"/>
    <w:rsid w:val="00AE3FA1"/>
    <w:rsid w:val="00AF5552"/>
    <w:rsid w:val="00AF5CB4"/>
    <w:rsid w:val="00AF5ED1"/>
    <w:rsid w:val="00AF71D6"/>
    <w:rsid w:val="00B01906"/>
    <w:rsid w:val="00B216EE"/>
    <w:rsid w:val="00B3175F"/>
    <w:rsid w:val="00B31E2C"/>
    <w:rsid w:val="00B329B0"/>
    <w:rsid w:val="00B34C75"/>
    <w:rsid w:val="00B402D8"/>
    <w:rsid w:val="00B4237C"/>
    <w:rsid w:val="00B42FE8"/>
    <w:rsid w:val="00B52AFD"/>
    <w:rsid w:val="00B54077"/>
    <w:rsid w:val="00B61BCC"/>
    <w:rsid w:val="00B631DA"/>
    <w:rsid w:val="00B668BB"/>
    <w:rsid w:val="00B8087E"/>
    <w:rsid w:val="00BA1F5B"/>
    <w:rsid w:val="00BB0BA5"/>
    <w:rsid w:val="00BB646E"/>
    <w:rsid w:val="00BC508A"/>
    <w:rsid w:val="00BD1BA1"/>
    <w:rsid w:val="00BD64B6"/>
    <w:rsid w:val="00BE045A"/>
    <w:rsid w:val="00C019E5"/>
    <w:rsid w:val="00C01D74"/>
    <w:rsid w:val="00C0264E"/>
    <w:rsid w:val="00C21944"/>
    <w:rsid w:val="00C35BC4"/>
    <w:rsid w:val="00C37780"/>
    <w:rsid w:val="00C4297B"/>
    <w:rsid w:val="00C43F5B"/>
    <w:rsid w:val="00C65269"/>
    <w:rsid w:val="00C731F3"/>
    <w:rsid w:val="00C73FD2"/>
    <w:rsid w:val="00C97886"/>
    <w:rsid w:val="00CA1766"/>
    <w:rsid w:val="00CA2882"/>
    <w:rsid w:val="00CB4371"/>
    <w:rsid w:val="00CC4557"/>
    <w:rsid w:val="00CC516D"/>
    <w:rsid w:val="00CE74FA"/>
    <w:rsid w:val="00D2256E"/>
    <w:rsid w:val="00D24330"/>
    <w:rsid w:val="00D40056"/>
    <w:rsid w:val="00D51E7C"/>
    <w:rsid w:val="00D54F29"/>
    <w:rsid w:val="00D652D0"/>
    <w:rsid w:val="00D7020C"/>
    <w:rsid w:val="00D70AD9"/>
    <w:rsid w:val="00D71150"/>
    <w:rsid w:val="00D72152"/>
    <w:rsid w:val="00D94BA5"/>
    <w:rsid w:val="00D9510F"/>
    <w:rsid w:val="00DA615C"/>
    <w:rsid w:val="00DB0F80"/>
    <w:rsid w:val="00DD1BC6"/>
    <w:rsid w:val="00DE5DC3"/>
    <w:rsid w:val="00DE66D7"/>
    <w:rsid w:val="00DF1BC6"/>
    <w:rsid w:val="00E00D8A"/>
    <w:rsid w:val="00E01354"/>
    <w:rsid w:val="00E066AC"/>
    <w:rsid w:val="00E1050F"/>
    <w:rsid w:val="00E11604"/>
    <w:rsid w:val="00E11D92"/>
    <w:rsid w:val="00E130A0"/>
    <w:rsid w:val="00E210C4"/>
    <w:rsid w:val="00E23DB7"/>
    <w:rsid w:val="00E31CAE"/>
    <w:rsid w:val="00E36300"/>
    <w:rsid w:val="00E46D96"/>
    <w:rsid w:val="00E52CCA"/>
    <w:rsid w:val="00E66409"/>
    <w:rsid w:val="00E77C3C"/>
    <w:rsid w:val="00E81D5B"/>
    <w:rsid w:val="00E976B9"/>
    <w:rsid w:val="00EA05D3"/>
    <w:rsid w:val="00EA2CE0"/>
    <w:rsid w:val="00EB19AD"/>
    <w:rsid w:val="00EB2F31"/>
    <w:rsid w:val="00EB6493"/>
    <w:rsid w:val="00EC2915"/>
    <w:rsid w:val="00ED05A9"/>
    <w:rsid w:val="00ED1BA0"/>
    <w:rsid w:val="00ED1DBD"/>
    <w:rsid w:val="00EF191B"/>
    <w:rsid w:val="00F17257"/>
    <w:rsid w:val="00F24C64"/>
    <w:rsid w:val="00F34D24"/>
    <w:rsid w:val="00F4130B"/>
    <w:rsid w:val="00F44C00"/>
    <w:rsid w:val="00F556A2"/>
    <w:rsid w:val="00F719A8"/>
    <w:rsid w:val="00F84202"/>
    <w:rsid w:val="00F878B9"/>
    <w:rsid w:val="00FB24E8"/>
    <w:rsid w:val="00FB3491"/>
    <w:rsid w:val="00FB3B2B"/>
    <w:rsid w:val="00FB57F0"/>
    <w:rsid w:val="00FC18DA"/>
    <w:rsid w:val="00FC3917"/>
    <w:rsid w:val="00FD09E1"/>
    <w:rsid w:val="00FD4D13"/>
    <w:rsid w:val="00FD60DA"/>
    <w:rsid w:val="00FF07B4"/>
    <w:rsid w:val="0CB443B3"/>
    <w:rsid w:val="0CC0D8F5"/>
    <w:rsid w:val="12E6D356"/>
    <w:rsid w:val="2240405C"/>
    <w:rsid w:val="2CDAE595"/>
    <w:rsid w:val="4772863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Strong">
    <w:name w:val="Strong"/>
    <w:basedOn w:val="DefaultParagraphFont"/>
    <w:uiPriority w:val="22"/>
    <w:qFormat/>
    <w:rsid w:val="00816425"/>
    <w:rPr>
      <w:b/>
      <w:bCs/>
    </w:rPr>
  </w:style>
  <w:style w:type="paragraph" w:customStyle="1" w:styleId="form-control-static">
    <w:name w:val="form-control-static"/>
    <w:basedOn w:val="Normal"/>
    <w:rsid w:val="008164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16425"/>
  </w:style>
  <w:style w:type="character" w:styleId="FollowedHyperlink">
    <w:name w:val="FollowedHyperlink"/>
    <w:basedOn w:val="DefaultParagraphFont"/>
    <w:uiPriority w:val="99"/>
    <w:semiHidden/>
    <w:unhideWhenUsed/>
    <w:rsid w:val="00320C02"/>
    <w:rPr>
      <w:color w:val="800080" w:themeColor="followedHyperlink"/>
      <w:u w:val="single"/>
    </w:rPr>
  </w:style>
  <w:style w:type="character" w:customStyle="1" w:styleId="UnresolvedMention2">
    <w:name w:val="Unresolved Mention2"/>
    <w:basedOn w:val="DefaultParagraphFont"/>
    <w:uiPriority w:val="99"/>
    <w:semiHidden/>
    <w:unhideWhenUsed/>
    <w:rsid w:val="00C73FD2"/>
    <w:rPr>
      <w:color w:val="605E5C"/>
      <w:shd w:val="clear" w:color="auto" w:fill="E1DFDD"/>
    </w:rPr>
  </w:style>
  <w:style w:type="paragraph" w:styleId="Revision">
    <w:name w:val="Revision"/>
    <w:hidden/>
    <w:uiPriority w:val="99"/>
    <w:semiHidden/>
    <w:rsid w:val="00C73FD2"/>
    <w:pPr>
      <w:spacing w:after="0" w:line="240" w:lineRule="auto"/>
    </w:pPr>
  </w:style>
  <w:style w:type="paragraph" w:styleId="NoSpacing">
    <w:name w:val="No Spacing"/>
    <w:uiPriority w:val="1"/>
    <w:qFormat/>
    <w:rsid w:val="00C731F3"/>
    <w:pPr>
      <w:spacing w:after="0" w:line="240" w:lineRule="auto"/>
    </w:pPr>
  </w:style>
  <w:style w:type="character" w:styleId="UnresolvedMention">
    <w:name w:val="Unresolved Mention"/>
    <w:basedOn w:val="DefaultParagraphFont"/>
    <w:uiPriority w:val="99"/>
    <w:semiHidden/>
    <w:unhideWhenUsed/>
    <w:rsid w:val="006F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5110">
      <w:bodyDiv w:val="1"/>
      <w:marLeft w:val="0"/>
      <w:marRight w:val="0"/>
      <w:marTop w:val="0"/>
      <w:marBottom w:val="0"/>
      <w:divBdr>
        <w:top w:val="none" w:sz="0" w:space="0" w:color="auto"/>
        <w:left w:val="none" w:sz="0" w:space="0" w:color="auto"/>
        <w:bottom w:val="none" w:sz="0" w:space="0" w:color="auto"/>
        <w:right w:val="none" w:sz="0" w:space="0" w:color="auto"/>
      </w:divBdr>
    </w:div>
    <w:div w:id="8242056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4633629">
      <w:bodyDiv w:val="1"/>
      <w:marLeft w:val="0"/>
      <w:marRight w:val="0"/>
      <w:marTop w:val="0"/>
      <w:marBottom w:val="0"/>
      <w:divBdr>
        <w:top w:val="none" w:sz="0" w:space="0" w:color="auto"/>
        <w:left w:val="none" w:sz="0" w:space="0" w:color="auto"/>
        <w:bottom w:val="none" w:sz="0" w:space="0" w:color="auto"/>
        <w:right w:val="none" w:sz="0" w:space="0" w:color="auto"/>
      </w:divBdr>
    </w:div>
    <w:div w:id="1259096942">
      <w:bodyDiv w:val="1"/>
      <w:marLeft w:val="0"/>
      <w:marRight w:val="0"/>
      <w:marTop w:val="0"/>
      <w:marBottom w:val="0"/>
      <w:divBdr>
        <w:top w:val="none" w:sz="0" w:space="0" w:color="auto"/>
        <w:left w:val="none" w:sz="0" w:space="0" w:color="auto"/>
        <w:bottom w:val="none" w:sz="0" w:space="0" w:color="auto"/>
        <w:right w:val="none" w:sz="0" w:space="0" w:color="auto"/>
      </w:divBdr>
    </w:div>
    <w:div w:id="1325276505">
      <w:bodyDiv w:val="1"/>
      <w:marLeft w:val="0"/>
      <w:marRight w:val="0"/>
      <w:marTop w:val="0"/>
      <w:marBottom w:val="0"/>
      <w:divBdr>
        <w:top w:val="none" w:sz="0" w:space="0" w:color="auto"/>
        <w:left w:val="none" w:sz="0" w:space="0" w:color="auto"/>
        <w:bottom w:val="none" w:sz="0" w:space="0" w:color="auto"/>
        <w:right w:val="none" w:sz="0" w:space="0" w:color="auto"/>
      </w:divBdr>
    </w:div>
    <w:div w:id="1434013777">
      <w:bodyDiv w:val="1"/>
      <w:marLeft w:val="0"/>
      <w:marRight w:val="0"/>
      <w:marTop w:val="0"/>
      <w:marBottom w:val="0"/>
      <w:divBdr>
        <w:top w:val="none" w:sz="0" w:space="0" w:color="auto"/>
        <w:left w:val="none" w:sz="0" w:space="0" w:color="auto"/>
        <w:bottom w:val="none" w:sz="0" w:space="0" w:color="auto"/>
        <w:right w:val="none" w:sz="0" w:space="0" w:color="auto"/>
      </w:divBdr>
    </w:div>
    <w:div w:id="1810856063">
      <w:bodyDiv w:val="1"/>
      <w:marLeft w:val="0"/>
      <w:marRight w:val="0"/>
      <w:marTop w:val="0"/>
      <w:marBottom w:val="0"/>
      <w:divBdr>
        <w:top w:val="none" w:sz="0" w:space="0" w:color="auto"/>
        <w:left w:val="none" w:sz="0" w:space="0" w:color="auto"/>
        <w:bottom w:val="none" w:sz="0" w:space="0" w:color="auto"/>
        <w:right w:val="none" w:sz="0" w:space="0" w:color="auto"/>
      </w:divBdr>
    </w:div>
    <w:div w:id="1998653918">
      <w:bodyDiv w:val="1"/>
      <w:marLeft w:val="0"/>
      <w:marRight w:val="0"/>
      <w:marTop w:val="0"/>
      <w:marBottom w:val="0"/>
      <w:divBdr>
        <w:top w:val="none" w:sz="0" w:space="0" w:color="auto"/>
        <w:left w:val="none" w:sz="0" w:space="0" w:color="auto"/>
        <w:bottom w:val="none" w:sz="0" w:space="0" w:color="auto"/>
        <w:right w:val="none" w:sz="0" w:space="0" w:color="auto"/>
      </w:divBdr>
    </w:div>
    <w:div w:id="2007440437">
      <w:bodyDiv w:val="1"/>
      <w:marLeft w:val="0"/>
      <w:marRight w:val="0"/>
      <w:marTop w:val="0"/>
      <w:marBottom w:val="0"/>
      <w:divBdr>
        <w:top w:val="none" w:sz="0" w:space="0" w:color="auto"/>
        <w:left w:val="none" w:sz="0" w:space="0" w:color="auto"/>
        <w:bottom w:val="none" w:sz="0" w:space="0" w:color="auto"/>
        <w:right w:val="none" w:sz="0" w:space="0" w:color="auto"/>
      </w:divBdr>
    </w:div>
    <w:div w:id="2134859493">
      <w:bodyDiv w:val="1"/>
      <w:marLeft w:val="0"/>
      <w:marRight w:val="0"/>
      <w:marTop w:val="0"/>
      <w:marBottom w:val="0"/>
      <w:divBdr>
        <w:top w:val="none" w:sz="0" w:space="0" w:color="auto"/>
        <w:left w:val="none" w:sz="0" w:space="0" w:color="auto"/>
        <w:bottom w:val="none" w:sz="0" w:space="0" w:color="auto"/>
        <w:right w:val="none" w:sz="0" w:space="0" w:color="auto"/>
      </w:divBdr>
    </w:div>
    <w:div w:id="214696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uissv3\teams\LO\Learning%20Outcomes\Metadata\IAEG-SDG-reviewed%20metadata_121_13022022\Revised%2013022022\uis.unesco.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europa.eu/eurostat/cache/metadata/en/trng_lfs_4w0_esm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s://ec.europa.eu/eurostat/web/microdata/continuing-vocational-training-survey"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ui.eu/Research/Library/ResearchGuides/Economics/Statistics/DataPortal/AE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C987E6F-1DD1-4DCF-BE03-9FA010109D20}"/>
      </w:docPartPr>
      <w:docPartBody>
        <w:p w:rsidR="00EC4B41" w:rsidRDefault="000A15E0">
          <w:r w:rsidRPr="00CE41C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5E0"/>
    <w:rsid w:val="000A15E0"/>
    <w:rsid w:val="00AB3A96"/>
    <w:rsid w:val="00B135F3"/>
    <w:rsid w:val="00B7029F"/>
    <w:rsid w:val="00EC4B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5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DE6A1A-163C-4DC8-9ADB-78AC60DB5818}">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Labé, Olivier</dc:creator>
  <cp:lastModifiedBy>Kebebush Welkema</cp:lastModifiedBy>
  <cp:revision>4</cp:revision>
  <cp:lastPrinted>2016-07-16T14:25:00Z</cp:lastPrinted>
  <dcterms:created xsi:type="dcterms:W3CDTF">2024-05-29T13:38:00Z</dcterms:created>
  <dcterms:modified xsi:type="dcterms:W3CDTF">2024-07-25T19:42:00Z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