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2A56CADA" w:rsidR="00D24330" w:rsidRPr="00A96255" w:rsidRDefault="0030706A" w:rsidP="002F5F0C">
      <w:pPr>
        <w:pStyle w:val="MGTHeader"/>
      </w:pPr>
      <w:r w:rsidRPr="0030706A">
        <w:t xml:space="preserve">Goal 4: Ensure inclusive and equitable quality education and promote lifelong learning opportunities for </w:t>
      </w:r>
      <w:proofErr w:type="gramStart"/>
      <w:r w:rsidRPr="0030706A">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862FCE4" w:rsidR="00D24330" w:rsidRPr="00A96255" w:rsidRDefault="0030706A" w:rsidP="00D24330">
      <w:pPr>
        <w:pStyle w:val="MGTHeader"/>
      </w:pPr>
      <w:r w:rsidRPr="0030706A">
        <w:t xml:space="preserve">Target 4.5: By 2030, eliminate gender disparities in education and ensure equal access to all levels of education and vocational training for the vulnerable, including persons with disabilities, indigenous peoples and children in vulnerable </w:t>
      </w:r>
      <w:proofErr w:type="gramStart"/>
      <w:r w:rsidRPr="0030706A">
        <w:t>situations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1B91D46" w:rsidR="00D24330" w:rsidRPr="00A96255" w:rsidRDefault="0030706A" w:rsidP="00D24330">
      <w:pPr>
        <w:pStyle w:val="MGTHeader"/>
      </w:pPr>
      <w:r w:rsidRPr="0030706A">
        <w:t xml:space="preserve">Indicator 4.5.1: Parity indices (female/male, rural/urban, bottom/top wealth quintile and others such as disability status, indigenous peoples and conflict-affected, as data become available) for all education indicators on this list that can be </w:t>
      </w:r>
      <w:proofErr w:type="gramStart"/>
      <w:r w:rsidRPr="0030706A">
        <w:t>disaggregated</w:t>
      </w:r>
      <w:proofErr w:type="gramEnd"/>
    </w:p>
    <w:p w14:paraId="37E5E4F6" w14:textId="77777777" w:rsidR="00D24330" w:rsidRPr="007B4081" w:rsidRDefault="00D24330" w:rsidP="00D24330">
      <w:pPr>
        <w:pStyle w:val="MIndHeader"/>
        <w:rPr>
          <w:lang w:val="en-US"/>
        </w:rPr>
      </w:pPr>
      <w:r w:rsidRPr="007B4081">
        <w:rPr>
          <w:lang w:val="en-US"/>
        </w:rPr>
        <w:t xml:space="preserve">0.d. Series </w:t>
      </w:r>
      <w:r>
        <w:rPr>
          <w:color w:val="B4B4B4"/>
          <w:sz w:val="20"/>
        </w:rPr>
        <w:t>(SDG_SERIES_DESCR)</w:t>
      </w:r>
    </w:p>
    <w:p w14:paraId="172E0FDB" w14:textId="39CF66DD" w:rsidR="003B4640" w:rsidRPr="003B4640" w:rsidRDefault="003B4640" w:rsidP="003B4640">
      <w:pPr>
        <w:pStyle w:val="MGTHeader"/>
        <w:rPr>
          <w:lang w:val="en-US"/>
        </w:rPr>
      </w:pPr>
      <w:r w:rsidRPr="003B4640">
        <w:rPr>
          <w:lang w:val="en-US"/>
        </w:rPr>
        <w:t>SE_AGP_CPRA - Adjusted gender parity index for completion rate, by sex, location, wealth quintile and education level [4.5.1]</w:t>
      </w:r>
    </w:p>
    <w:p w14:paraId="5D230572" w14:textId="77777777" w:rsidR="003B4640" w:rsidRPr="003B4640" w:rsidRDefault="003B4640" w:rsidP="003B4640">
      <w:pPr>
        <w:pStyle w:val="MGTHeader"/>
        <w:rPr>
          <w:lang w:val="en-US"/>
        </w:rPr>
      </w:pPr>
      <w:r w:rsidRPr="003B4640">
        <w:rPr>
          <w:lang w:val="en-US"/>
        </w:rPr>
        <w:t>SE_ALP_CPLR - Adjusted location parity index for completion rate, by sex, location, wealth quintile and education level [4.5.1]</w:t>
      </w:r>
    </w:p>
    <w:p w14:paraId="2394CBCB" w14:textId="77777777" w:rsidR="003B4640" w:rsidRPr="003B4640" w:rsidRDefault="003B4640" w:rsidP="003B4640">
      <w:pPr>
        <w:pStyle w:val="MGTHeader"/>
        <w:rPr>
          <w:lang w:val="en-US"/>
        </w:rPr>
      </w:pPr>
      <w:r w:rsidRPr="003B4640">
        <w:rPr>
          <w:lang w:val="en-US"/>
        </w:rPr>
        <w:t>SE_AWP_CPRA - Adjusted wealth parity index for completion rate, by sex, location, wealth quintile and education level [4.5.1]</w:t>
      </w:r>
    </w:p>
    <w:p w14:paraId="1E5AFB5F" w14:textId="77777777" w:rsidR="003B4640" w:rsidRPr="003B4640" w:rsidRDefault="003B4640" w:rsidP="003B4640">
      <w:pPr>
        <w:pStyle w:val="MGTHeader"/>
        <w:rPr>
          <w:lang w:val="en-US"/>
        </w:rPr>
      </w:pPr>
      <w:r w:rsidRPr="003B4640">
        <w:rPr>
          <w:lang w:val="en-US"/>
        </w:rPr>
        <w:t>SE_GPI_ICTS - Gender parity index for youth/adults with information and communications technology (ICT) skills [4.5.1]</w:t>
      </w:r>
    </w:p>
    <w:p w14:paraId="236A3013" w14:textId="77777777" w:rsidR="003B4640" w:rsidRPr="003B4640" w:rsidRDefault="003B4640" w:rsidP="003B4640">
      <w:pPr>
        <w:pStyle w:val="MGTHeader"/>
        <w:rPr>
          <w:lang w:val="en-US"/>
        </w:rPr>
      </w:pPr>
      <w:r w:rsidRPr="003B4640">
        <w:rPr>
          <w:lang w:val="en-US"/>
        </w:rPr>
        <w:t>SE_GPI_PART - Adjusted gender parity index for participation rate in formal and non-formal education and training (ratio) [4.5.1]</w:t>
      </w:r>
    </w:p>
    <w:p w14:paraId="3BC30419" w14:textId="77777777" w:rsidR="003B4640" w:rsidRPr="003B4640" w:rsidRDefault="003B4640" w:rsidP="003B4640">
      <w:pPr>
        <w:pStyle w:val="MGTHeader"/>
        <w:rPr>
          <w:lang w:val="en-US"/>
        </w:rPr>
      </w:pPr>
      <w:r w:rsidRPr="003B4640">
        <w:rPr>
          <w:lang w:val="en-US"/>
        </w:rPr>
        <w:t>SE_GPI_PTNPRE - Adjusted gender parity index for participation rate in organized learning (one year before the official primary entry age), (ratio) [4.5.1]</w:t>
      </w:r>
    </w:p>
    <w:p w14:paraId="4380F997" w14:textId="77777777" w:rsidR="003B4640" w:rsidRPr="003B4640" w:rsidRDefault="003B4640" w:rsidP="003B4640">
      <w:pPr>
        <w:pStyle w:val="MGTHeader"/>
        <w:rPr>
          <w:lang w:val="en-US"/>
        </w:rPr>
      </w:pPr>
      <w:r w:rsidRPr="003B4640">
        <w:rPr>
          <w:lang w:val="en-US"/>
        </w:rPr>
        <w:t>SE_GPI_TCAQ - Adjusted gender parity index for the proportion of teachers with the minimum required qualifications, by education level (ratio) [4.5.1]</w:t>
      </w:r>
    </w:p>
    <w:p w14:paraId="45F3ECC6" w14:textId="77777777" w:rsidR="003B4640" w:rsidRPr="003B4640" w:rsidRDefault="003B4640" w:rsidP="003B4640">
      <w:pPr>
        <w:pStyle w:val="MGTHeader"/>
        <w:rPr>
          <w:lang w:val="en-US"/>
        </w:rPr>
      </w:pPr>
      <w:r w:rsidRPr="003B4640">
        <w:rPr>
          <w:lang w:val="en-US"/>
        </w:rPr>
        <w:t>SE_IMP_FPOF - Adjusted immigration status parity index for achieving at least a fixed level of proficiency in functional skills, by numeracy/literacy skills (ratio) [4.5.1]</w:t>
      </w:r>
    </w:p>
    <w:p w14:paraId="39CF3661" w14:textId="77777777" w:rsidR="003B4640" w:rsidRPr="003B4640" w:rsidRDefault="003B4640" w:rsidP="003B4640">
      <w:pPr>
        <w:pStyle w:val="MGTHeader"/>
        <w:rPr>
          <w:lang w:val="en-US"/>
        </w:rPr>
      </w:pPr>
      <w:r w:rsidRPr="003B4640">
        <w:rPr>
          <w:lang w:val="en-US"/>
        </w:rPr>
        <w:t>SE_LGP_ACHI - Adjusted language test parity index for achieving a minimum proficiency level in reading and mathematics (ratio) [4.5.1]</w:t>
      </w:r>
    </w:p>
    <w:p w14:paraId="5D6607E5" w14:textId="77777777" w:rsidR="003B4640" w:rsidRPr="003B4640" w:rsidRDefault="003B4640" w:rsidP="003B4640">
      <w:pPr>
        <w:pStyle w:val="MGTHeader"/>
        <w:rPr>
          <w:lang w:val="en-US"/>
        </w:rPr>
      </w:pPr>
      <w:r w:rsidRPr="003B4640">
        <w:rPr>
          <w:lang w:val="en-US"/>
        </w:rPr>
        <w:t>SE_NAP_ACHI - Adjusted immigration status parity index for achieving a minimum proficiency level in reading and mathematics [4.5.1]</w:t>
      </w:r>
    </w:p>
    <w:p w14:paraId="2E49C22C" w14:textId="77777777" w:rsidR="003B4640" w:rsidRPr="003B4640" w:rsidRDefault="003B4640" w:rsidP="003B4640">
      <w:pPr>
        <w:pStyle w:val="MGTHeader"/>
        <w:rPr>
          <w:lang w:val="en-US"/>
        </w:rPr>
      </w:pPr>
      <w:r w:rsidRPr="003B4640">
        <w:rPr>
          <w:lang w:val="en-US"/>
        </w:rPr>
        <w:t>SE_TOT_GPI - Adjusted gender parity index for achieving a minimum proficiency level in reading and mathematics (ratio) [4.5.1]</w:t>
      </w:r>
    </w:p>
    <w:p w14:paraId="5EAACDA0" w14:textId="77777777" w:rsidR="003B4640" w:rsidRPr="003B4640" w:rsidRDefault="003B4640" w:rsidP="003B4640">
      <w:pPr>
        <w:pStyle w:val="MGTHeader"/>
        <w:rPr>
          <w:lang w:val="en-US"/>
        </w:rPr>
      </w:pPr>
      <w:r w:rsidRPr="003B4640">
        <w:rPr>
          <w:lang w:val="en-US"/>
        </w:rPr>
        <w:t>SE_TOT_GPI_FS - Adjusted gender parity index for achieving at least a fixed level of proficiency in functional skills, by numeracy/literacy skills (ratio) [4.5.1]</w:t>
      </w:r>
    </w:p>
    <w:p w14:paraId="599F6371" w14:textId="77777777" w:rsidR="003B4640" w:rsidRPr="003B4640" w:rsidRDefault="003B4640" w:rsidP="003B4640">
      <w:pPr>
        <w:pStyle w:val="MGTHeader"/>
        <w:rPr>
          <w:lang w:val="en-US"/>
        </w:rPr>
      </w:pPr>
      <w:r w:rsidRPr="003B4640">
        <w:rPr>
          <w:lang w:val="en-US"/>
        </w:rPr>
        <w:t>SE_TOT_RUPI - Adjusted rural to urban parity index for achieving a minimum proficiency level in reading and mathematics (ratio) [4.5.1]</w:t>
      </w:r>
    </w:p>
    <w:p w14:paraId="52B6CA9B" w14:textId="77777777" w:rsidR="003B4640" w:rsidRPr="003B4640" w:rsidRDefault="003B4640" w:rsidP="003B4640">
      <w:pPr>
        <w:pStyle w:val="MGTHeader"/>
        <w:rPr>
          <w:lang w:val="en-US"/>
        </w:rPr>
      </w:pPr>
      <w:r w:rsidRPr="003B4640">
        <w:rPr>
          <w:lang w:val="en-US"/>
        </w:rPr>
        <w:lastRenderedPageBreak/>
        <w:t>SE_TOT_SESPI - Adjusted low to high socio-economic parity index for achieving a minimum proficiency level in reading and mathematics (ratio) [4.5.1]</w:t>
      </w:r>
    </w:p>
    <w:p w14:paraId="208E4F5C" w14:textId="49876D02" w:rsidR="003B4640" w:rsidRPr="007B4081" w:rsidRDefault="003B4640" w:rsidP="003B4640">
      <w:pPr>
        <w:pStyle w:val="MGTHeader"/>
        <w:rPr>
          <w:lang w:val="en-US"/>
        </w:rPr>
      </w:pPr>
      <w:r w:rsidRPr="003B4640">
        <w:rPr>
          <w:lang w:val="en-US"/>
        </w:rPr>
        <w:t>SE_TOT_SESPI_FS - Adjusted low to high socio-economic parity status index for achieving at least a fixed level of proficiency in functional skills, by numeracy/literacy skills (ratio) [4.5.1]</w:t>
      </w:r>
    </w:p>
    <w:p w14:paraId="157DACE7" w14:textId="77777777" w:rsidR="00D24330" w:rsidRPr="007B4081" w:rsidRDefault="00D24330" w:rsidP="00D24330">
      <w:pPr>
        <w:pStyle w:val="MIndHeader"/>
        <w:rPr>
          <w:lang w:val="en-US"/>
        </w:rPr>
      </w:pPr>
      <w:r w:rsidRPr="007B4081">
        <w:rPr>
          <w:lang w:val="en-US"/>
        </w:rPr>
        <w:t xml:space="preserve">0.e. Metadata update </w:t>
      </w:r>
      <w:r>
        <w:rPr>
          <w:color w:val="B4B4B4"/>
          <w:sz w:val="20"/>
        </w:rPr>
        <w:t>(META_LAST_UPDATE)</w:t>
      </w:r>
    </w:p>
    <w:sdt>
      <w:sdtPr>
        <w:id w:val="-612822496"/>
        <w:placeholder>
          <w:docPart w:val="DefaultPlaceholder_-1854013437"/>
        </w:placeholder>
        <w:date w:fullDate="2024-07-29T00:00:00Z">
          <w:dateFormat w:val="yyyy-MM-dd"/>
          <w:lid w:val="en-US"/>
          <w:storeMappedDataAs w:val="dateTime"/>
          <w:calendar w:val="gregorian"/>
        </w:date>
      </w:sdtPr>
      <w:sdtEndPr/>
      <w:sdtContent>
        <w:p w14:paraId="03424B60" w14:textId="64A9FE41" w:rsidR="00D24330" w:rsidRPr="00A96255" w:rsidRDefault="00CA40FA"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1E5F106E" w:rsidR="00D24330" w:rsidRPr="00A96255" w:rsidRDefault="0030706A" w:rsidP="00D24330">
      <w:pPr>
        <w:pStyle w:val="MGTHeader"/>
      </w:pPr>
      <w:r w:rsidRPr="0030706A">
        <w:t>All equity targets and targets associated with the underlying indicators.</w:t>
      </w:r>
    </w:p>
    <w:p w14:paraId="077BC49E" w14:textId="5BC89C5A"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118319C" w:rsidR="00621893" w:rsidRPr="00A96255" w:rsidRDefault="0030706A" w:rsidP="00D24330">
      <w:pPr>
        <w:pStyle w:val="MGTHeader"/>
        <w:rPr>
          <w:color w:val="4A4A4A"/>
        </w:rPr>
      </w:pPr>
      <w:r w:rsidRPr="0030706A">
        <w:t>UNESCO Institute for Statistics (UIS)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AFF3728" w:rsidR="00576CFA" w:rsidRDefault="0030706A" w:rsidP="00576CFA">
      <w:pPr>
        <w:pStyle w:val="MText"/>
      </w:pPr>
      <w:r w:rsidRPr="0030706A">
        <w:t>UNESCO Institute for Statistics (UIS)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8AE147F" w14:textId="77777777" w:rsidR="0030706A" w:rsidRPr="00037B94" w:rsidRDefault="0030706A" w:rsidP="0030706A">
      <w:pPr>
        <w:pStyle w:val="MText"/>
        <w:rPr>
          <w:b/>
          <w:bCs/>
        </w:rPr>
      </w:pPr>
      <w:r w:rsidRPr="00037B94">
        <w:rPr>
          <w:b/>
          <w:bCs/>
        </w:rPr>
        <w:t>Definition:</w:t>
      </w:r>
    </w:p>
    <w:p w14:paraId="204E9423" w14:textId="77777777" w:rsidR="0030706A" w:rsidRDefault="0030706A" w:rsidP="0030706A">
      <w:pPr>
        <w:pStyle w:val="MText"/>
      </w:pPr>
      <w:r>
        <w:t>Parity indices require data for the specific groups of interest. They represent the ratio of the indicator value for one group to that of the other. Typically, the likely more disadvantaged group is placed in the numerator. A value of exactly 1 indicates parity between the two groups.</w:t>
      </w:r>
    </w:p>
    <w:p w14:paraId="6E54D3D6" w14:textId="0195BAB1" w:rsidR="00EC2915" w:rsidRDefault="00EC2915" w:rsidP="00576CFA">
      <w:pPr>
        <w:pStyle w:val="MText"/>
      </w:pPr>
    </w:p>
    <w:p w14:paraId="3A96F76F" w14:textId="77777777" w:rsidR="0030706A" w:rsidRPr="00037B94" w:rsidRDefault="0030706A" w:rsidP="0030706A">
      <w:pPr>
        <w:pStyle w:val="MText"/>
        <w:rPr>
          <w:b/>
          <w:bCs/>
        </w:rPr>
      </w:pPr>
      <w:r w:rsidRPr="00037B94">
        <w:rPr>
          <w:b/>
          <w:bCs/>
        </w:rPr>
        <w:t>Concepts:</w:t>
      </w:r>
    </w:p>
    <w:p w14:paraId="6827BFB6" w14:textId="54045914" w:rsidR="0030706A" w:rsidRDefault="0030706A" w:rsidP="0030706A">
      <w:pPr>
        <w:pStyle w:val="MText"/>
      </w:pPr>
      <w:r>
        <w:t>See metadata for relevant underlying indicator.</w:t>
      </w:r>
    </w:p>
    <w:p w14:paraId="10B5EA31" w14:textId="77777777" w:rsidR="0030706A" w:rsidRPr="00A96255" w:rsidRDefault="0030706A"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EA4A780" w:rsidR="00576CFA" w:rsidRPr="00A96255" w:rsidRDefault="00A51237" w:rsidP="002364E5">
      <w:pPr>
        <w:pStyle w:val="MText"/>
      </w:pPr>
      <w:r>
        <w:t xml:space="preserve">Ratio. This indicator is expressed as the ratio of the value of the indicator for the likely </w:t>
      </w:r>
      <w:r w:rsidR="002364E5">
        <w:t xml:space="preserve">more </w:t>
      </w:r>
      <w:r>
        <w:t xml:space="preserve">disadvantaged group to that of the likely </w:t>
      </w:r>
      <w:r w:rsidR="002364E5">
        <w:t xml:space="preserve">more </w:t>
      </w:r>
      <w:r>
        <w:t xml:space="preserve">advantaged group.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29678B7" w14:textId="1077BAB3" w:rsidR="00294C16" w:rsidRPr="00294C16" w:rsidRDefault="00294C16" w:rsidP="00576CFA">
      <w:pPr>
        <w:pStyle w:val="MText"/>
      </w:pPr>
      <w:r w:rsidRPr="00294C16">
        <w:t>No</w:t>
      </w:r>
      <w:r>
        <w:t xml:space="preserve">t applicable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2C7E5512" w:rsidR="00576CFA" w:rsidRPr="00A96255" w:rsidRDefault="0030706A" w:rsidP="00576CFA">
      <w:pPr>
        <w:pStyle w:val="MText"/>
      </w:pPr>
      <w:r w:rsidRPr="0030706A">
        <w:t>The sources are the same as for the underlying indicators for this goal.</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45B74EF" w:rsidR="00576CFA" w:rsidRPr="00A96255" w:rsidRDefault="0030706A" w:rsidP="00576CFA">
      <w:pPr>
        <w:pStyle w:val="MText"/>
      </w:pPr>
      <w:r w:rsidRPr="0030706A">
        <w:t>The same as the underlying indicator.</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18972318" w:rsidR="00576CFA" w:rsidRPr="00A96255" w:rsidRDefault="0030706A" w:rsidP="00576CFA">
      <w:pPr>
        <w:pStyle w:val="MText"/>
      </w:pPr>
      <w:r w:rsidRPr="0030706A">
        <w:t>Depends on underlying indicator.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2D9E25E7" w:rsidR="00576CFA" w:rsidRPr="00A96255" w:rsidRDefault="0030706A" w:rsidP="00576CFA">
      <w:pPr>
        <w:pStyle w:val="MText"/>
      </w:pPr>
      <w:r w:rsidRPr="0030706A">
        <w:t>Depends on underlying indicator.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418DD7E6" w:rsidR="00576CFA" w:rsidRPr="00A96255" w:rsidRDefault="0030706A" w:rsidP="00576CFA">
      <w:pPr>
        <w:pStyle w:val="MText"/>
      </w:pPr>
      <w:r w:rsidRPr="0030706A">
        <w:t>The same as the underlying indicator.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47CA8F59" w:rsidR="00576CFA" w:rsidRPr="00A96255" w:rsidRDefault="0030706A" w:rsidP="00576CFA">
      <w:pPr>
        <w:pStyle w:val="MText"/>
      </w:pPr>
      <w:r w:rsidRPr="0030706A">
        <w:t>UNESCO Institute for Statistics</w:t>
      </w:r>
      <w:r w:rsidR="000A57A4">
        <w:t xml:space="preserve"> </w:t>
      </w:r>
      <w:r w:rsidR="000A57A4" w:rsidRPr="00816425">
        <w:t>(UIS)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AA9E5AF" w14:textId="607455A0" w:rsidR="00262EBB" w:rsidRPr="001A69DA" w:rsidRDefault="00262EBB" w:rsidP="00262EBB">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w:t>
      </w:r>
      <w:r w:rsidRPr="001A69DA">
        <w:rPr>
          <w:rFonts w:eastAsia="Times New Roman" w:cs="Times New Roman"/>
          <w:color w:val="4A4A4A"/>
          <w:sz w:val="21"/>
          <w:szCs w:val="21"/>
          <w:lang w:eastAsia="en-GB"/>
        </w:rPr>
        <w:t>he UNESCO Institute for Statistics (UIS)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02DD385B" w14:textId="77777777" w:rsidR="00262EBB" w:rsidRPr="001A69DA" w:rsidRDefault="00262EBB" w:rsidP="00262EBB">
      <w:pPr>
        <w:pBdr>
          <w:top w:val="nil"/>
          <w:left w:val="nil"/>
          <w:bottom w:val="nil"/>
          <w:right w:val="nil"/>
          <w:between w:val="nil"/>
        </w:pBdr>
        <w:shd w:val="clear" w:color="auto" w:fill="FFFFFF"/>
        <w:spacing w:after="0"/>
        <w:rPr>
          <w:rFonts w:ascii="Calibri" w:hAnsi="Calibri"/>
        </w:rPr>
      </w:pPr>
    </w:p>
    <w:p w14:paraId="7BC7A880" w14:textId="6B049D95" w:rsidR="00262EBB" w:rsidRDefault="00262EBB" w:rsidP="00262EBB">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 xml:space="preserve">Education 2030 Framework for Action </w:t>
        </w:r>
        <w:r w:rsidR="00256C5B" w:rsidRPr="00256C5B">
          <w:rPr>
            <w:rFonts w:ascii="Calibri" w:eastAsiaTheme="minorEastAsia" w:hAnsi="Calibri" w:cstheme="minorBidi"/>
            <w:color w:val="0000FF"/>
            <w:szCs w:val="22"/>
            <w:u w:val="single"/>
            <w:lang w:eastAsia="zh-CN"/>
          </w:rPr>
          <w:t>§</w:t>
        </w:r>
        <w:r w:rsidRPr="001A69DA">
          <w:rPr>
            <w:rFonts w:ascii="Calibri" w:eastAsiaTheme="minorEastAsia" w:hAnsi="Calibri" w:cstheme="minorBidi"/>
            <w:color w:val="0000FF"/>
            <w:szCs w:val="22"/>
            <w:u w:val="single"/>
            <w:lang w:eastAsia="zh-CN"/>
          </w:rPr>
          <w:t>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approaches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0F5B253D" w:rsidR="00576CFA" w:rsidRPr="00A96255" w:rsidRDefault="0030706A" w:rsidP="00576CFA">
      <w:pPr>
        <w:pStyle w:val="MText"/>
      </w:pPr>
      <w:r w:rsidRPr="0030706A">
        <w:t xml:space="preserve">To measure the general level of disparity between two sub-populations of interest </w:t>
      </w:r>
      <w:proofErr w:type="gramStart"/>
      <w:r w:rsidRPr="0030706A">
        <w:t>with regard to</w:t>
      </w:r>
      <w:proofErr w:type="gramEnd"/>
      <w:r w:rsidRPr="0030706A">
        <w:t xml:space="preserve"> a given indicator. The further from 1 the parity index lies, the greater the disparity between the two groups of interest.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0F1D9839" w:rsidR="00576CFA" w:rsidRPr="00A96255" w:rsidRDefault="0030706A" w:rsidP="00576CFA">
      <w:pPr>
        <w:pStyle w:val="MText"/>
      </w:pPr>
      <w:r w:rsidRPr="0030706A">
        <w:t>The indicator is not symmetrical about 1 but a simple transformation can make it so (by inverting ratios that exceed 1 and subtracting them from 2). This will make interpretation easier.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B9D237C" w14:textId="77777777" w:rsidR="0030706A" w:rsidRDefault="0030706A" w:rsidP="00EA547F">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The indicator value of the likely more disadvantaged group is divided by the indicator value of the other sub-population of interest.</w:t>
      </w:r>
      <w:r>
        <w:rPr>
          <w:rStyle w:val="apple-converted-space"/>
          <w:rFonts w:asciiTheme="minorHAnsi" w:hAnsiTheme="minorHAnsi"/>
          <w:color w:val="4A4A4A"/>
          <w:sz w:val="21"/>
          <w:szCs w:val="21"/>
        </w:rPr>
        <w:t xml:space="preserve"> </w:t>
      </w:r>
    </w:p>
    <w:p w14:paraId="64F124CE" w14:textId="2C489F83" w:rsidR="00CC7636" w:rsidRDefault="00CC7636" w:rsidP="0030706A">
      <w:pPr>
        <w:pStyle w:val="form-control-static"/>
        <w:shd w:val="clear" w:color="auto" w:fill="FFFFFF"/>
        <w:spacing w:before="0" w:beforeAutospacing="0" w:after="0" w:afterAutospacing="0"/>
        <w:rPr>
          <w:rFonts w:asciiTheme="minorHAnsi" w:hAnsiTheme="minorHAnsi"/>
          <w:color w:val="4A4A4A"/>
          <w:sz w:val="21"/>
          <w:szCs w:val="21"/>
          <w:lang w:val="en-CA"/>
        </w:rPr>
      </w:pPr>
    </w:p>
    <w:p w14:paraId="1C6A18B6" w14:textId="0F411B10" w:rsidR="00CC7636" w:rsidRPr="005B4628" w:rsidRDefault="00CC7636" w:rsidP="0030706A">
      <w:pPr>
        <w:pStyle w:val="form-control-static"/>
        <w:shd w:val="clear" w:color="auto" w:fill="FFFFFF"/>
        <w:spacing w:before="0" w:beforeAutospacing="0" w:after="0" w:afterAutospacing="0"/>
        <w:rPr>
          <w:rFonts w:asciiTheme="minorHAnsi" w:hAnsiTheme="minorHAnsi"/>
          <w:color w:val="4A4A4A"/>
          <w:sz w:val="21"/>
          <w:szCs w:val="21"/>
          <w:lang w:val="en-CA"/>
        </w:rPr>
      </w:pPr>
      <m:oMathPara>
        <m:oMath>
          <m:r>
            <w:rPr>
              <w:rFonts w:ascii="Cambria Math" w:hAnsi="Cambria Math"/>
              <w:color w:val="4A4A4A"/>
              <w:sz w:val="21"/>
              <w:szCs w:val="21"/>
              <w:lang w:val="en-CA"/>
            </w:rPr>
            <m:t xml:space="preserve">DPI = </m:t>
          </m:r>
          <m:f>
            <m:fPr>
              <m:ctrlPr>
                <w:rPr>
                  <w:rFonts w:ascii="Cambria Math" w:hAnsi="Cambria Math"/>
                  <w:i/>
                  <w:color w:val="4A4A4A"/>
                  <w:sz w:val="21"/>
                  <w:szCs w:val="21"/>
                  <w:lang w:val="en-CA"/>
                </w:rPr>
              </m:ctrlPr>
            </m:fPr>
            <m:num>
              <m:sSub>
                <m:sSubPr>
                  <m:ctrlPr>
                    <w:rPr>
                      <w:rFonts w:ascii="Cambria Math" w:hAnsi="Cambria Math"/>
                      <w:i/>
                      <w:color w:val="4A4A4A"/>
                      <w:sz w:val="21"/>
                      <w:szCs w:val="21"/>
                      <w:lang w:val="en-CA"/>
                    </w:rPr>
                  </m:ctrlPr>
                </m:sSubPr>
                <m:e>
                  <m:d>
                    <m:dPr>
                      <m:begChr m:val="["/>
                      <m:endChr m:val="]"/>
                      <m:ctrlPr>
                        <w:rPr>
                          <w:rFonts w:ascii="Cambria Math" w:hAnsi="Cambria Math"/>
                          <w:i/>
                          <w:color w:val="4A4A4A"/>
                          <w:sz w:val="21"/>
                          <w:szCs w:val="21"/>
                          <w:lang w:val="en-CA"/>
                        </w:rPr>
                      </m:ctrlPr>
                    </m:dPr>
                    <m:e>
                      <m:sSub>
                        <m:sSubPr>
                          <m:ctrlPr>
                            <w:rPr>
                              <w:rFonts w:ascii="Cambria Math" w:hAnsi="Cambria Math"/>
                              <w:i/>
                              <w:color w:val="4A4A4A"/>
                              <w:sz w:val="21"/>
                              <w:szCs w:val="21"/>
                              <w:lang w:val="en-CA"/>
                            </w:rPr>
                          </m:ctrlPr>
                        </m:sSubPr>
                        <m:e>
                          <m:r>
                            <w:rPr>
                              <w:rFonts w:ascii="Cambria Math" w:hAnsi="Cambria Math"/>
                              <w:color w:val="4A4A4A"/>
                              <w:sz w:val="21"/>
                              <w:szCs w:val="21"/>
                              <w:lang w:val="en-CA"/>
                            </w:rPr>
                            <m:t>lnd</m:t>
                          </m:r>
                        </m:e>
                        <m:sub>
                          <m:r>
                            <w:rPr>
                              <w:rFonts w:ascii="Cambria Math" w:hAnsi="Cambria Math"/>
                              <w:color w:val="4A4A4A"/>
                              <w:sz w:val="21"/>
                              <w:szCs w:val="21"/>
                              <w:lang w:val="en-CA"/>
                            </w:rPr>
                            <m:t>i</m:t>
                          </m:r>
                        </m:sub>
                      </m:sSub>
                    </m:e>
                  </m:d>
                </m:e>
                <m:sub>
                  <m:r>
                    <w:rPr>
                      <w:rFonts w:ascii="Cambria Math" w:hAnsi="Cambria Math"/>
                      <w:color w:val="4A4A4A"/>
                      <w:sz w:val="21"/>
                      <w:szCs w:val="21"/>
                      <w:lang w:val="en-CA"/>
                    </w:rPr>
                    <m:t>d</m:t>
                  </m:r>
                </m:sub>
              </m:sSub>
            </m:num>
            <m:den>
              <m:sSub>
                <m:sSubPr>
                  <m:ctrlPr>
                    <w:rPr>
                      <w:rFonts w:ascii="Cambria Math" w:hAnsi="Cambria Math"/>
                      <w:i/>
                      <w:color w:val="4A4A4A"/>
                      <w:sz w:val="21"/>
                      <w:szCs w:val="21"/>
                      <w:lang w:val="en-CA"/>
                    </w:rPr>
                  </m:ctrlPr>
                </m:sSubPr>
                <m:e>
                  <m:d>
                    <m:dPr>
                      <m:begChr m:val="["/>
                      <m:endChr m:val="]"/>
                      <m:ctrlPr>
                        <w:rPr>
                          <w:rFonts w:ascii="Cambria Math" w:hAnsi="Cambria Math"/>
                          <w:i/>
                          <w:color w:val="4A4A4A"/>
                          <w:sz w:val="21"/>
                          <w:szCs w:val="21"/>
                          <w:lang w:val="en-CA"/>
                        </w:rPr>
                      </m:ctrlPr>
                    </m:dPr>
                    <m:e>
                      <m:sSub>
                        <m:sSubPr>
                          <m:ctrlPr>
                            <w:rPr>
                              <w:rFonts w:ascii="Cambria Math" w:hAnsi="Cambria Math"/>
                              <w:i/>
                              <w:color w:val="4A4A4A"/>
                              <w:sz w:val="21"/>
                              <w:szCs w:val="21"/>
                              <w:lang w:val="en-CA"/>
                            </w:rPr>
                          </m:ctrlPr>
                        </m:sSubPr>
                        <m:e>
                          <m:r>
                            <w:rPr>
                              <w:rFonts w:ascii="Cambria Math" w:hAnsi="Cambria Math"/>
                              <w:color w:val="4A4A4A"/>
                              <w:sz w:val="21"/>
                              <w:szCs w:val="21"/>
                              <w:lang w:val="en-CA"/>
                            </w:rPr>
                            <m:t>lnd</m:t>
                          </m:r>
                        </m:e>
                        <m:sub>
                          <m:r>
                            <w:rPr>
                              <w:rFonts w:ascii="Cambria Math" w:hAnsi="Cambria Math"/>
                              <w:color w:val="4A4A4A"/>
                              <w:sz w:val="21"/>
                              <w:szCs w:val="21"/>
                              <w:lang w:val="en-CA"/>
                            </w:rPr>
                            <m:t>i</m:t>
                          </m:r>
                        </m:sub>
                      </m:sSub>
                    </m:e>
                  </m:d>
                </m:e>
                <m:sub>
                  <m:r>
                    <w:rPr>
                      <w:rFonts w:ascii="Cambria Math" w:hAnsi="Cambria Math"/>
                      <w:color w:val="4A4A4A"/>
                      <w:sz w:val="21"/>
                      <w:szCs w:val="21"/>
                      <w:lang w:val="en-CA"/>
                    </w:rPr>
                    <m:t>a</m:t>
                  </m:r>
                </m:sub>
              </m:sSub>
            </m:den>
          </m:f>
        </m:oMath>
      </m:oMathPara>
    </w:p>
    <w:p w14:paraId="61EFCD7A"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p>
    <w:p w14:paraId="47AAB323"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7AA71C2E"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sidRPr="00EA547F">
        <w:rPr>
          <w:rFonts w:asciiTheme="minorHAnsi" w:hAnsiTheme="minorHAnsi"/>
          <w:i/>
          <w:color w:val="4A4A4A"/>
          <w:sz w:val="21"/>
        </w:rPr>
        <w:t xml:space="preserve">DPI </w:t>
      </w:r>
      <w:r>
        <w:rPr>
          <w:rFonts w:asciiTheme="minorHAnsi" w:hAnsiTheme="minorHAnsi"/>
          <w:color w:val="4A4A4A"/>
          <w:sz w:val="21"/>
          <w:szCs w:val="21"/>
        </w:rPr>
        <w:t>= the Dimension (Gender, Wealth, Location, etc.) Parity Index</w:t>
      </w:r>
    </w:p>
    <w:p w14:paraId="73E98C5C"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sidRPr="00EA547F">
        <w:rPr>
          <w:rFonts w:asciiTheme="minorHAnsi" w:hAnsiTheme="minorHAnsi"/>
          <w:i/>
          <w:color w:val="4A4A4A"/>
          <w:sz w:val="21"/>
        </w:rPr>
        <w:t>Ind</w:t>
      </w:r>
      <w:r w:rsidRPr="00EA547F">
        <w:rPr>
          <w:rFonts w:asciiTheme="minorHAnsi" w:hAnsiTheme="minorHAnsi"/>
          <w:i/>
          <w:color w:val="4A4A4A"/>
          <w:sz w:val="21"/>
          <w:vertAlign w:val="subscript"/>
        </w:rPr>
        <w:t>i</w:t>
      </w:r>
      <w:r w:rsidRPr="00EA547F">
        <w:rPr>
          <w:rFonts w:asciiTheme="minorHAnsi" w:hAnsiTheme="minorHAnsi"/>
          <w:i/>
          <w:color w:val="4A4A4A"/>
          <w:sz w:val="21"/>
        </w:rPr>
        <w:t xml:space="preserve"> </w:t>
      </w:r>
      <w:r>
        <w:rPr>
          <w:rFonts w:asciiTheme="minorHAnsi" w:hAnsiTheme="minorHAnsi"/>
          <w:color w:val="4A4A4A"/>
          <w:sz w:val="21"/>
          <w:szCs w:val="21"/>
        </w:rPr>
        <w:t xml:space="preserve">= the Education 2030 Indicator </w:t>
      </w:r>
      <w:proofErr w:type="spellStart"/>
      <w:r w:rsidRPr="00EA547F">
        <w:rPr>
          <w:rFonts w:asciiTheme="minorHAnsi" w:hAnsiTheme="minorHAnsi"/>
          <w:i/>
          <w:color w:val="4A4A4A"/>
          <w:sz w:val="21"/>
        </w:rPr>
        <w:t>i</w:t>
      </w:r>
      <w:proofErr w:type="spellEnd"/>
      <w:r>
        <w:rPr>
          <w:rFonts w:asciiTheme="minorHAnsi" w:hAnsiTheme="minorHAnsi"/>
          <w:color w:val="4A4A4A"/>
          <w:sz w:val="21"/>
          <w:szCs w:val="21"/>
        </w:rPr>
        <w:t xml:space="preserve"> for which an equity measure is needed.</w:t>
      </w:r>
    </w:p>
    <w:p w14:paraId="4D3AA1DC"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sidRPr="00EA547F">
        <w:rPr>
          <w:rFonts w:asciiTheme="minorHAnsi" w:hAnsiTheme="minorHAnsi"/>
          <w:i/>
          <w:color w:val="4A4A4A"/>
          <w:sz w:val="21"/>
        </w:rPr>
        <w:t>d</w:t>
      </w:r>
      <w:r>
        <w:rPr>
          <w:rFonts w:asciiTheme="minorHAnsi" w:hAnsiTheme="minorHAnsi"/>
          <w:color w:val="4A4A4A"/>
          <w:sz w:val="21"/>
          <w:szCs w:val="21"/>
        </w:rPr>
        <w:t xml:space="preserve"> = the likely disadvantaged group (e.g. female, poorest, etc.)</w:t>
      </w:r>
    </w:p>
    <w:p w14:paraId="521C47A0"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r w:rsidRPr="00EA547F">
        <w:rPr>
          <w:rFonts w:asciiTheme="minorHAnsi" w:hAnsiTheme="minorHAnsi"/>
          <w:i/>
          <w:color w:val="4A4A4A"/>
          <w:sz w:val="21"/>
        </w:rPr>
        <w:t xml:space="preserve">a </w:t>
      </w:r>
      <w:r>
        <w:rPr>
          <w:rFonts w:asciiTheme="minorHAnsi" w:hAnsiTheme="minorHAnsi"/>
          <w:color w:val="4A4A4A"/>
          <w:sz w:val="21"/>
          <w:szCs w:val="21"/>
        </w:rPr>
        <w:t>= the likely advantaged group (e.g. male, richest, etc.)</w:t>
      </w:r>
    </w:p>
    <w:p w14:paraId="21F49AFF" w14:textId="77777777" w:rsidR="0030706A" w:rsidRDefault="0030706A" w:rsidP="0030706A">
      <w:pPr>
        <w:pStyle w:val="form-control-static"/>
        <w:shd w:val="clear" w:color="auto" w:fill="FFFFFF"/>
        <w:spacing w:before="0" w:beforeAutospacing="0" w:after="0" w:afterAutospacing="0"/>
        <w:rPr>
          <w:rFonts w:asciiTheme="minorHAnsi" w:hAnsiTheme="minorHAnsi"/>
          <w:color w:val="4A4A4A"/>
          <w:sz w:val="21"/>
          <w:szCs w:val="21"/>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5616211A" w:rsidR="00576CFA" w:rsidRPr="00A96255" w:rsidRDefault="00C7274C" w:rsidP="007E6860">
      <w:pPr>
        <w:pStyle w:val="MText"/>
      </w:pPr>
      <w:r w:rsidRPr="00C7274C">
        <w:t xml:space="preserve">The UNESCO Institute for Statistics shares all indicator values and notes on methodology with National Statistical Offices, Ministries of Education, or other relevant agencies in individual countries for their review, feedback and validation before the publication of the data.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E9D012A" w14:textId="6EA61277" w:rsidR="005F1E17" w:rsidRDefault="005F1E17" w:rsidP="005F1E17">
      <w:pPr>
        <w:pStyle w:val="MText"/>
      </w:pPr>
      <w:r w:rsidRPr="0030706A">
        <w:t>The same as the underlying indicator.</w:t>
      </w:r>
    </w:p>
    <w:p w14:paraId="741F4222" w14:textId="77777777" w:rsidR="000A1D75" w:rsidRPr="00A96255" w:rsidRDefault="000A1D75" w:rsidP="005F1E17">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150F2EA" w14:textId="77777777" w:rsidR="0030706A" w:rsidRPr="00037B94" w:rsidRDefault="0030706A" w:rsidP="0030706A">
      <w:pPr>
        <w:pStyle w:val="MText"/>
        <w:rPr>
          <w:b/>
          <w:bCs/>
        </w:rPr>
      </w:pPr>
      <w:r w:rsidRPr="00037B94">
        <w:rPr>
          <w:b/>
          <w:bCs/>
        </w:rPr>
        <w:t>•</w:t>
      </w:r>
      <w:r w:rsidRPr="00037B94">
        <w:rPr>
          <w:b/>
          <w:bCs/>
        </w:rPr>
        <w:tab/>
        <w:t>At country level</w:t>
      </w:r>
    </w:p>
    <w:p w14:paraId="455AAE88" w14:textId="77777777" w:rsidR="0030706A" w:rsidRDefault="0030706A" w:rsidP="0030706A">
      <w:pPr>
        <w:pStyle w:val="MText"/>
      </w:pPr>
      <w:r>
        <w:t>The same as the underlying indicator.</w:t>
      </w:r>
    </w:p>
    <w:p w14:paraId="42E68314" w14:textId="77777777" w:rsidR="0030706A" w:rsidRDefault="0030706A" w:rsidP="0030706A">
      <w:pPr>
        <w:pStyle w:val="MText"/>
      </w:pPr>
    </w:p>
    <w:p w14:paraId="203F70C8" w14:textId="77777777" w:rsidR="0030706A" w:rsidRPr="00037B94" w:rsidRDefault="0030706A" w:rsidP="0030706A">
      <w:pPr>
        <w:pStyle w:val="MText"/>
        <w:rPr>
          <w:b/>
          <w:bCs/>
        </w:rPr>
      </w:pPr>
      <w:r w:rsidRPr="00037B94">
        <w:rPr>
          <w:b/>
          <w:bCs/>
        </w:rPr>
        <w:t>•</w:t>
      </w:r>
      <w:r w:rsidRPr="00037B94">
        <w:rPr>
          <w:b/>
          <w:bCs/>
        </w:rPr>
        <w:tab/>
        <w:t>At regional and global levels</w:t>
      </w:r>
    </w:p>
    <w:p w14:paraId="09063A18" w14:textId="77777777" w:rsidR="0030706A" w:rsidRDefault="0030706A" w:rsidP="0030706A">
      <w:pPr>
        <w:pStyle w:val="MText"/>
      </w:pPr>
      <w:r>
        <w:t>The same as the underlying indicator.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62D2C44F" w:rsidR="00576CFA" w:rsidRPr="00A96255" w:rsidRDefault="0030706A" w:rsidP="00E1050F">
      <w:pPr>
        <w:pStyle w:val="MText"/>
      </w:pPr>
      <w:r w:rsidRPr="0030706A">
        <w:t>The same as the underlying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72899589" w:rsidR="00576CFA" w:rsidRPr="00A96255" w:rsidRDefault="00246DD6" w:rsidP="00246DD6">
      <w:pPr>
        <w:pStyle w:val="MText"/>
      </w:pPr>
      <w:r w:rsidRPr="00246DD6">
        <w:t>The UIS has elaborated guidance for the countries on the methodology that should be used to calculate</w:t>
      </w:r>
      <w:r w:rsidR="007E6860">
        <w:t xml:space="preserve"> </w:t>
      </w:r>
      <w:r w:rsidRPr="00246DD6">
        <w:t>this indicator.</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52515C97" w:rsidR="00EC2915" w:rsidRDefault="0051698C" w:rsidP="00576CFA">
      <w:pPr>
        <w:pStyle w:val="MText"/>
      </w:pPr>
      <w:r>
        <w:t>Quality management for this indicator is t</w:t>
      </w:r>
      <w:r w:rsidRPr="0030706A">
        <w:t xml:space="preserve">he same as </w:t>
      </w:r>
      <w:r>
        <w:t xml:space="preserve">quality management of </w:t>
      </w:r>
      <w:r w:rsidRPr="0030706A">
        <w:t>the underlying indicator</w:t>
      </w:r>
      <w:r>
        <w:t>s</w:t>
      </w:r>
      <w:r w:rsidRPr="0030706A">
        <w:t>.</w:t>
      </w:r>
      <w:r>
        <w:t xml:space="preserve"> </w:t>
      </w:r>
    </w:p>
    <w:p w14:paraId="2CD904E4" w14:textId="77777777" w:rsidR="0051698C" w:rsidRPr="00A96255" w:rsidRDefault="0051698C"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777B7178" w:rsidR="00576CFA" w:rsidRPr="00A96255" w:rsidRDefault="00D9126B" w:rsidP="00576CFA">
      <w:pPr>
        <w:pStyle w:val="MText"/>
      </w:pPr>
      <w:r w:rsidRPr="00D9126B">
        <w:t xml:space="preserve">Quality </w:t>
      </w:r>
      <w:r>
        <w:t>assurance</w:t>
      </w:r>
      <w:r w:rsidRPr="00D9126B">
        <w:t xml:space="preserve"> for this indicator is the same as quality </w:t>
      </w:r>
      <w:r>
        <w:t>assurance</w:t>
      </w:r>
      <w:r w:rsidRPr="00D9126B">
        <w:t xml:space="preserve"> of the underlying</w:t>
      </w:r>
      <w:r w:rsidR="005F1E17">
        <w:t xml:space="preserve"> </w:t>
      </w:r>
      <w:r w:rsidRPr="00D9126B">
        <w:t>indicators.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D051E3C" w14:textId="41FE5F3B" w:rsidR="000A1D75" w:rsidRPr="00A96255" w:rsidRDefault="00D9126B" w:rsidP="00576CFA">
      <w:pPr>
        <w:pStyle w:val="MText"/>
      </w:pPr>
      <w:r w:rsidRPr="00D9126B">
        <w:t>Quality assessment for this indicator is the same as quality assessment of the underlying indicators.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037B94" w:rsidRDefault="00D51E7C" w:rsidP="00576CFA">
      <w:pPr>
        <w:pStyle w:val="MText"/>
        <w:rPr>
          <w:b/>
          <w:bCs/>
        </w:rPr>
      </w:pPr>
      <w:r w:rsidRPr="00037B94">
        <w:rPr>
          <w:b/>
          <w:bCs/>
        </w:rPr>
        <w:t>Data availability:</w:t>
      </w:r>
    </w:p>
    <w:p w14:paraId="2D0542F7" w14:textId="569830FA" w:rsidR="00D51E7C" w:rsidRDefault="0030706A" w:rsidP="00576CFA">
      <w:pPr>
        <w:pStyle w:val="MText"/>
      </w:pPr>
      <w:r w:rsidRPr="0030706A">
        <w:t xml:space="preserve">Depends on underlying </w:t>
      </w:r>
      <w:r w:rsidR="007E6860" w:rsidRPr="0030706A">
        <w:t>indicator.</w:t>
      </w:r>
    </w:p>
    <w:p w14:paraId="0B9AF1E8" w14:textId="77777777" w:rsidR="0030706A" w:rsidRPr="00C019E5" w:rsidRDefault="0030706A" w:rsidP="00576CFA">
      <w:pPr>
        <w:pStyle w:val="MText"/>
        <w:rPr>
          <w:highlight w:val="cyan"/>
        </w:rPr>
      </w:pPr>
    </w:p>
    <w:p w14:paraId="523F0EDF" w14:textId="77777777" w:rsidR="00D51E7C" w:rsidRPr="00037B94" w:rsidRDefault="00D51E7C" w:rsidP="00576CFA">
      <w:pPr>
        <w:pStyle w:val="MText"/>
        <w:rPr>
          <w:b/>
          <w:bCs/>
        </w:rPr>
      </w:pPr>
      <w:r w:rsidRPr="00037B94">
        <w:rPr>
          <w:b/>
          <w:bCs/>
        </w:rPr>
        <w:t>Time series:</w:t>
      </w:r>
    </w:p>
    <w:p w14:paraId="6E86BDBE" w14:textId="77777777" w:rsidR="00D14E9F" w:rsidRDefault="00D14E9F" w:rsidP="00D14E9F">
      <w:pPr>
        <w:pStyle w:val="MText"/>
      </w:pPr>
      <w:r w:rsidRPr="0030706A">
        <w:t>Depends on underlying indicator.</w:t>
      </w:r>
    </w:p>
    <w:p w14:paraId="24A54FDD" w14:textId="77777777" w:rsidR="0030706A" w:rsidRPr="00C019E5" w:rsidRDefault="0030706A" w:rsidP="00576CFA">
      <w:pPr>
        <w:pStyle w:val="MText"/>
        <w:rPr>
          <w:highlight w:val="cyan"/>
        </w:rPr>
      </w:pPr>
    </w:p>
    <w:p w14:paraId="5623868F" w14:textId="443C3179" w:rsidR="0030706A" w:rsidRPr="00037B94" w:rsidRDefault="0030706A" w:rsidP="0030706A">
      <w:pPr>
        <w:pStyle w:val="MText"/>
        <w:rPr>
          <w:b/>
          <w:bCs/>
        </w:rPr>
      </w:pPr>
      <w:r w:rsidRPr="00037B94">
        <w:rPr>
          <w:b/>
          <w:bCs/>
        </w:rPr>
        <w:t>Disaggregation:</w:t>
      </w:r>
    </w:p>
    <w:p w14:paraId="2BEDF0FF" w14:textId="77777777" w:rsidR="0030706A" w:rsidRDefault="0030706A" w:rsidP="0030706A">
      <w:pPr>
        <w:pStyle w:val="MText"/>
      </w:pPr>
      <w:r>
        <w:t>None because the parity indices directly compare two sub-populations of interest.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7089FB4" w14:textId="77777777" w:rsidR="0030706A" w:rsidRPr="00037B94" w:rsidRDefault="0030706A" w:rsidP="0030706A">
      <w:pPr>
        <w:pStyle w:val="MText"/>
        <w:rPr>
          <w:b/>
          <w:bCs/>
        </w:rPr>
      </w:pPr>
      <w:r w:rsidRPr="00037B94">
        <w:rPr>
          <w:b/>
          <w:bCs/>
        </w:rPr>
        <w:t>Sources of discrepancies:</w:t>
      </w:r>
    </w:p>
    <w:p w14:paraId="3C2D4870" w14:textId="726F507D" w:rsidR="00D51E7C" w:rsidRDefault="0030706A" w:rsidP="0030706A">
      <w:pPr>
        <w:pStyle w:val="MText"/>
      </w:pPr>
      <w:r>
        <w:t>The same as the underlying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FD1350A" w14:textId="77777777" w:rsidR="0030706A" w:rsidRPr="00037B94" w:rsidRDefault="0030706A" w:rsidP="0030706A">
      <w:pPr>
        <w:pStyle w:val="MText"/>
        <w:rPr>
          <w:b/>
          <w:bCs/>
        </w:rPr>
      </w:pPr>
      <w:r w:rsidRPr="00037B94">
        <w:rPr>
          <w:b/>
          <w:bCs/>
        </w:rPr>
        <w:t>URL:</w:t>
      </w:r>
    </w:p>
    <w:p w14:paraId="2C2DF746" w14:textId="6DD44FCF" w:rsidR="0030706A" w:rsidRDefault="00BB592F" w:rsidP="0030706A">
      <w:pPr>
        <w:pStyle w:val="MText"/>
      </w:pPr>
      <w:hyperlink r:id="rId12" w:history="1">
        <w:r w:rsidR="002C612F" w:rsidRPr="00A94179">
          <w:rPr>
            <w:rStyle w:val="Hyperlink"/>
          </w:rPr>
          <w:t>http://www.uis.unesco.org</w:t>
        </w:r>
      </w:hyperlink>
    </w:p>
    <w:p w14:paraId="60A12FB0" w14:textId="77777777" w:rsidR="00EA547F" w:rsidRDefault="00EA547F" w:rsidP="0030706A">
      <w:pPr>
        <w:pStyle w:val="MText"/>
        <w:rPr>
          <w:b/>
          <w:bCs/>
        </w:rPr>
      </w:pPr>
    </w:p>
    <w:p w14:paraId="524C8E78" w14:textId="22137CA3" w:rsidR="0030706A" w:rsidRPr="00037B94" w:rsidRDefault="0030706A" w:rsidP="0030706A">
      <w:pPr>
        <w:pStyle w:val="MText"/>
        <w:rPr>
          <w:b/>
          <w:bCs/>
        </w:rPr>
      </w:pPr>
      <w:r w:rsidRPr="00037B94">
        <w:rPr>
          <w:b/>
          <w:bCs/>
        </w:rPr>
        <w:t>References:</w:t>
      </w:r>
    </w:p>
    <w:p w14:paraId="206FB583" w14:textId="77777777" w:rsidR="0030706A" w:rsidRDefault="0030706A" w:rsidP="0030706A">
      <w:pPr>
        <w:pStyle w:val="MText"/>
      </w:pPr>
      <w:r>
        <w:t>See references for each underlying indicator.</w:t>
      </w:r>
    </w:p>
    <w:p w14:paraId="384B0992" w14:textId="36889691" w:rsidR="00186795" w:rsidRDefault="00186795" w:rsidP="0030706A">
      <w:pPr>
        <w:pStyle w:val="MText"/>
      </w:pPr>
    </w:p>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7960" w14:textId="77777777" w:rsidR="006A2D4E" w:rsidRDefault="006A2D4E" w:rsidP="00573C0B">
      <w:pPr>
        <w:spacing w:after="0" w:line="240" w:lineRule="auto"/>
      </w:pPr>
      <w:r>
        <w:separator/>
      </w:r>
    </w:p>
  </w:endnote>
  <w:endnote w:type="continuationSeparator" w:id="0">
    <w:p w14:paraId="6F927D2F" w14:textId="77777777" w:rsidR="006A2D4E" w:rsidRDefault="006A2D4E" w:rsidP="00573C0B">
      <w:pPr>
        <w:spacing w:after="0" w:line="240" w:lineRule="auto"/>
      </w:pPr>
      <w:r>
        <w:continuationSeparator/>
      </w:r>
    </w:p>
  </w:endnote>
  <w:endnote w:type="continuationNotice" w:id="1">
    <w:p w14:paraId="6AC80225" w14:textId="77777777" w:rsidR="006A2D4E" w:rsidRDefault="006A2D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28A1" w14:textId="77777777" w:rsidR="006A2D4E" w:rsidRDefault="006A2D4E" w:rsidP="00573C0B">
      <w:pPr>
        <w:spacing w:after="0" w:line="240" w:lineRule="auto"/>
      </w:pPr>
      <w:r>
        <w:separator/>
      </w:r>
    </w:p>
  </w:footnote>
  <w:footnote w:type="continuationSeparator" w:id="0">
    <w:p w14:paraId="002E908C" w14:textId="77777777" w:rsidR="006A2D4E" w:rsidRDefault="006A2D4E" w:rsidP="00573C0B">
      <w:pPr>
        <w:spacing w:after="0" w:line="240" w:lineRule="auto"/>
      </w:pPr>
      <w:r>
        <w:continuationSeparator/>
      </w:r>
    </w:p>
  </w:footnote>
  <w:footnote w:type="continuationNotice" w:id="1">
    <w:p w14:paraId="6A87A0BC" w14:textId="77777777" w:rsidR="006A2D4E" w:rsidRDefault="006A2D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84A13CD" w:rsidR="00077F46"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CA40FA">
      <w:rPr>
        <w:color w:val="404040" w:themeColor="text1" w:themeTint="BF"/>
        <w:sz w:val="18"/>
        <w:szCs w:val="18"/>
      </w:rPr>
      <w:t>2024-07-29</w:t>
    </w:r>
  </w:p>
  <w:p w14:paraId="536E4376" w14:textId="77777777" w:rsidR="003C39E2" w:rsidRPr="00757E8A" w:rsidRDefault="003C39E2" w:rsidP="00077F46">
    <w:pPr>
      <w:pStyle w:val="Header"/>
      <w:jc w:val="right"/>
      <w:rPr>
        <w:color w:val="404040" w:themeColor="text1" w:themeTint="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7758469">
    <w:abstractNumId w:val="2"/>
  </w:num>
  <w:num w:numId="2" w16cid:durableId="1923874879">
    <w:abstractNumId w:val="0"/>
  </w:num>
  <w:num w:numId="3" w16cid:durableId="1593467242">
    <w:abstractNumId w:val="3"/>
  </w:num>
  <w:num w:numId="4" w16cid:durableId="967052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041D"/>
    <w:rsid w:val="00016A98"/>
    <w:rsid w:val="000173F9"/>
    <w:rsid w:val="00037B94"/>
    <w:rsid w:val="000412A0"/>
    <w:rsid w:val="00047DDA"/>
    <w:rsid w:val="0005099C"/>
    <w:rsid w:val="0005455A"/>
    <w:rsid w:val="00071F07"/>
    <w:rsid w:val="0007759D"/>
    <w:rsid w:val="000777AB"/>
    <w:rsid w:val="00077F46"/>
    <w:rsid w:val="00087BA8"/>
    <w:rsid w:val="00090FB1"/>
    <w:rsid w:val="000920F0"/>
    <w:rsid w:val="00096186"/>
    <w:rsid w:val="000A1D75"/>
    <w:rsid w:val="000A57A4"/>
    <w:rsid w:val="000A72E4"/>
    <w:rsid w:val="000B0E2F"/>
    <w:rsid w:val="000B2430"/>
    <w:rsid w:val="000C706B"/>
    <w:rsid w:val="000D0B30"/>
    <w:rsid w:val="000E21E4"/>
    <w:rsid w:val="000E21F1"/>
    <w:rsid w:val="000F14D3"/>
    <w:rsid w:val="000F703E"/>
    <w:rsid w:val="00120E86"/>
    <w:rsid w:val="0012187E"/>
    <w:rsid w:val="00125DE9"/>
    <w:rsid w:val="00126B9F"/>
    <w:rsid w:val="001332E0"/>
    <w:rsid w:val="00134DE7"/>
    <w:rsid w:val="001524ED"/>
    <w:rsid w:val="00185354"/>
    <w:rsid w:val="001854DC"/>
    <w:rsid w:val="00186795"/>
    <w:rsid w:val="00194D09"/>
    <w:rsid w:val="001A6DEF"/>
    <w:rsid w:val="001A7D5C"/>
    <w:rsid w:val="001B60AA"/>
    <w:rsid w:val="001B63C8"/>
    <w:rsid w:val="001C1972"/>
    <w:rsid w:val="001C421F"/>
    <w:rsid w:val="001D360D"/>
    <w:rsid w:val="00207058"/>
    <w:rsid w:val="002364E5"/>
    <w:rsid w:val="00242347"/>
    <w:rsid w:val="00246DD6"/>
    <w:rsid w:val="00256C5B"/>
    <w:rsid w:val="00261A8D"/>
    <w:rsid w:val="00262EBB"/>
    <w:rsid w:val="002727B0"/>
    <w:rsid w:val="00283C1C"/>
    <w:rsid w:val="00291A00"/>
    <w:rsid w:val="00291A11"/>
    <w:rsid w:val="00294C16"/>
    <w:rsid w:val="002A315C"/>
    <w:rsid w:val="002A3342"/>
    <w:rsid w:val="002A64BA"/>
    <w:rsid w:val="002B4989"/>
    <w:rsid w:val="002C2510"/>
    <w:rsid w:val="002C612F"/>
    <w:rsid w:val="002D714E"/>
    <w:rsid w:val="002E53C3"/>
    <w:rsid w:val="002F1468"/>
    <w:rsid w:val="002F5F0C"/>
    <w:rsid w:val="00305D8E"/>
    <w:rsid w:val="0030706A"/>
    <w:rsid w:val="003127B3"/>
    <w:rsid w:val="00325D0C"/>
    <w:rsid w:val="003265EB"/>
    <w:rsid w:val="0034329E"/>
    <w:rsid w:val="00343FAA"/>
    <w:rsid w:val="00347F5E"/>
    <w:rsid w:val="00353C98"/>
    <w:rsid w:val="00371A20"/>
    <w:rsid w:val="003821B4"/>
    <w:rsid w:val="00382CF3"/>
    <w:rsid w:val="00387D52"/>
    <w:rsid w:val="00393352"/>
    <w:rsid w:val="003A7CEA"/>
    <w:rsid w:val="003B4640"/>
    <w:rsid w:val="003C39E2"/>
    <w:rsid w:val="003D7CF4"/>
    <w:rsid w:val="003F0BD3"/>
    <w:rsid w:val="003F278A"/>
    <w:rsid w:val="003F5991"/>
    <w:rsid w:val="003F7A02"/>
    <w:rsid w:val="00422EA5"/>
    <w:rsid w:val="00422EFA"/>
    <w:rsid w:val="0042791F"/>
    <w:rsid w:val="00445081"/>
    <w:rsid w:val="004456ED"/>
    <w:rsid w:val="0046047A"/>
    <w:rsid w:val="0048045A"/>
    <w:rsid w:val="004841B8"/>
    <w:rsid w:val="004930F2"/>
    <w:rsid w:val="004B0F1C"/>
    <w:rsid w:val="004B54FE"/>
    <w:rsid w:val="004B6204"/>
    <w:rsid w:val="004E5ED4"/>
    <w:rsid w:val="004F2EE6"/>
    <w:rsid w:val="00502DBA"/>
    <w:rsid w:val="005040C4"/>
    <w:rsid w:val="00507637"/>
    <w:rsid w:val="00507852"/>
    <w:rsid w:val="00514DBF"/>
    <w:rsid w:val="0051698C"/>
    <w:rsid w:val="00550921"/>
    <w:rsid w:val="00563712"/>
    <w:rsid w:val="00573631"/>
    <w:rsid w:val="00573C0B"/>
    <w:rsid w:val="00576CFA"/>
    <w:rsid w:val="0058556D"/>
    <w:rsid w:val="00592AF2"/>
    <w:rsid w:val="005947AD"/>
    <w:rsid w:val="00597748"/>
    <w:rsid w:val="005979E8"/>
    <w:rsid w:val="005B1487"/>
    <w:rsid w:val="005B4628"/>
    <w:rsid w:val="005C0BD7"/>
    <w:rsid w:val="005D0AF4"/>
    <w:rsid w:val="005E54BD"/>
    <w:rsid w:val="005F1E17"/>
    <w:rsid w:val="005F6CCA"/>
    <w:rsid w:val="006104AF"/>
    <w:rsid w:val="00621893"/>
    <w:rsid w:val="00625214"/>
    <w:rsid w:val="00630D6A"/>
    <w:rsid w:val="006351E1"/>
    <w:rsid w:val="00642462"/>
    <w:rsid w:val="006447B1"/>
    <w:rsid w:val="00662775"/>
    <w:rsid w:val="006852FC"/>
    <w:rsid w:val="006A2D4E"/>
    <w:rsid w:val="006B40AB"/>
    <w:rsid w:val="006B5DC5"/>
    <w:rsid w:val="006C4BFD"/>
    <w:rsid w:val="006C7D30"/>
    <w:rsid w:val="006E3C08"/>
    <w:rsid w:val="00700ACF"/>
    <w:rsid w:val="00712487"/>
    <w:rsid w:val="007145D1"/>
    <w:rsid w:val="007530CA"/>
    <w:rsid w:val="00756D68"/>
    <w:rsid w:val="00756D79"/>
    <w:rsid w:val="007578D9"/>
    <w:rsid w:val="00757E8A"/>
    <w:rsid w:val="00763882"/>
    <w:rsid w:val="00763E43"/>
    <w:rsid w:val="00764EB5"/>
    <w:rsid w:val="00777A95"/>
    <w:rsid w:val="00782416"/>
    <w:rsid w:val="007B0364"/>
    <w:rsid w:val="007B4081"/>
    <w:rsid w:val="007B6D21"/>
    <w:rsid w:val="007B745F"/>
    <w:rsid w:val="007B79FF"/>
    <w:rsid w:val="007C0914"/>
    <w:rsid w:val="007D0981"/>
    <w:rsid w:val="007D1929"/>
    <w:rsid w:val="007E6860"/>
    <w:rsid w:val="007E7856"/>
    <w:rsid w:val="007F2644"/>
    <w:rsid w:val="00803CF1"/>
    <w:rsid w:val="008104BB"/>
    <w:rsid w:val="008249C5"/>
    <w:rsid w:val="008526F9"/>
    <w:rsid w:val="0085285E"/>
    <w:rsid w:val="00853023"/>
    <w:rsid w:val="008534D4"/>
    <w:rsid w:val="00881E28"/>
    <w:rsid w:val="00894C4B"/>
    <w:rsid w:val="00895CDD"/>
    <w:rsid w:val="008A099E"/>
    <w:rsid w:val="008A12E3"/>
    <w:rsid w:val="008A42FA"/>
    <w:rsid w:val="008B0AC7"/>
    <w:rsid w:val="008C2335"/>
    <w:rsid w:val="008C474B"/>
    <w:rsid w:val="008C67C1"/>
    <w:rsid w:val="008D1D39"/>
    <w:rsid w:val="008E60CB"/>
    <w:rsid w:val="008E6C22"/>
    <w:rsid w:val="008F07D2"/>
    <w:rsid w:val="00917851"/>
    <w:rsid w:val="00917F65"/>
    <w:rsid w:val="00924069"/>
    <w:rsid w:val="009311E7"/>
    <w:rsid w:val="00942694"/>
    <w:rsid w:val="00984F39"/>
    <w:rsid w:val="009A7E3A"/>
    <w:rsid w:val="009B1265"/>
    <w:rsid w:val="009B4A15"/>
    <w:rsid w:val="009B5693"/>
    <w:rsid w:val="009C61A2"/>
    <w:rsid w:val="009C78E4"/>
    <w:rsid w:val="009D687E"/>
    <w:rsid w:val="009F68A6"/>
    <w:rsid w:val="009F6DE7"/>
    <w:rsid w:val="00A0691B"/>
    <w:rsid w:val="00A10583"/>
    <w:rsid w:val="00A112E0"/>
    <w:rsid w:val="00A26A90"/>
    <w:rsid w:val="00A37FCB"/>
    <w:rsid w:val="00A45436"/>
    <w:rsid w:val="00A51237"/>
    <w:rsid w:val="00A54863"/>
    <w:rsid w:val="00A61D74"/>
    <w:rsid w:val="00A8688B"/>
    <w:rsid w:val="00A91163"/>
    <w:rsid w:val="00A9286F"/>
    <w:rsid w:val="00A92DE8"/>
    <w:rsid w:val="00A96255"/>
    <w:rsid w:val="00AB285B"/>
    <w:rsid w:val="00AD4BCE"/>
    <w:rsid w:val="00AE587A"/>
    <w:rsid w:val="00AF5521"/>
    <w:rsid w:val="00AF5552"/>
    <w:rsid w:val="00AF5CB4"/>
    <w:rsid w:val="00AF5ED1"/>
    <w:rsid w:val="00AF71D6"/>
    <w:rsid w:val="00B07A4D"/>
    <w:rsid w:val="00B216EE"/>
    <w:rsid w:val="00B3175F"/>
    <w:rsid w:val="00B31E2C"/>
    <w:rsid w:val="00B329B0"/>
    <w:rsid w:val="00B402D8"/>
    <w:rsid w:val="00B4237C"/>
    <w:rsid w:val="00B42FE8"/>
    <w:rsid w:val="00B52AFD"/>
    <w:rsid w:val="00B54077"/>
    <w:rsid w:val="00B57D73"/>
    <w:rsid w:val="00B8087E"/>
    <w:rsid w:val="00B833C7"/>
    <w:rsid w:val="00BA1958"/>
    <w:rsid w:val="00BA5A37"/>
    <w:rsid w:val="00BB592F"/>
    <w:rsid w:val="00BB646E"/>
    <w:rsid w:val="00BD1BA1"/>
    <w:rsid w:val="00C019E5"/>
    <w:rsid w:val="00C35BC4"/>
    <w:rsid w:val="00C43F5B"/>
    <w:rsid w:val="00C7274C"/>
    <w:rsid w:val="00CA40FA"/>
    <w:rsid w:val="00CA7F68"/>
    <w:rsid w:val="00CB4371"/>
    <w:rsid w:val="00CB7084"/>
    <w:rsid w:val="00CC3CCF"/>
    <w:rsid w:val="00CC516D"/>
    <w:rsid w:val="00CC7636"/>
    <w:rsid w:val="00CD7D79"/>
    <w:rsid w:val="00D14E9F"/>
    <w:rsid w:val="00D24330"/>
    <w:rsid w:val="00D40056"/>
    <w:rsid w:val="00D51E7C"/>
    <w:rsid w:val="00D54F29"/>
    <w:rsid w:val="00D7020C"/>
    <w:rsid w:val="00D7066F"/>
    <w:rsid w:val="00D70AD9"/>
    <w:rsid w:val="00D72152"/>
    <w:rsid w:val="00D9126B"/>
    <w:rsid w:val="00D94BA5"/>
    <w:rsid w:val="00D9510F"/>
    <w:rsid w:val="00D96DEC"/>
    <w:rsid w:val="00D97BBA"/>
    <w:rsid w:val="00DA615C"/>
    <w:rsid w:val="00DD1BC6"/>
    <w:rsid w:val="00DE5DC3"/>
    <w:rsid w:val="00DF3269"/>
    <w:rsid w:val="00E00D8A"/>
    <w:rsid w:val="00E1050F"/>
    <w:rsid w:val="00E11604"/>
    <w:rsid w:val="00E11D92"/>
    <w:rsid w:val="00E130A0"/>
    <w:rsid w:val="00E14870"/>
    <w:rsid w:val="00E210C4"/>
    <w:rsid w:val="00E23DB7"/>
    <w:rsid w:val="00E30245"/>
    <w:rsid w:val="00E46D96"/>
    <w:rsid w:val="00E52CCA"/>
    <w:rsid w:val="00E66409"/>
    <w:rsid w:val="00E66F0F"/>
    <w:rsid w:val="00E732BD"/>
    <w:rsid w:val="00E81D5B"/>
    <w:rsid w:val="00E84F80"/>
    <w:rsid w:val="00E976B9"/>
    <w:rsid w:val="00EA05D3"/>
    <w:rsid w:val="00EA3A6A"/>
    <w:rsid w:val="00EA547F"/>
    <w:rsid w:val="00EB19AD"/>
    <w:rsid w:val="00EB2F31"/>
    <w:rsid w:val="00EB6493"/>
    <w:rsid w:val="00EC2915"/>
    <w:rsid w:val="00EC74E3"/>
    <w:rsid w:val="00ED05A9"/>
    <w:rsid w:val="00ED1BA0"/>
    <w:rsid w:val="00F17257"/>
    <w:rsid w:val="00F32A9B"/>
    <w:rsid w:val="00F34D24"/>
    <w:rsid w:val="00F4130B"/>
    <w:rsid w:val="00F45AD6"/>
    <w:rsid w:val="00F556A2"/>
    <w:rsid w:val="00F56E0E"/>
    <w:rsid w:val="00F719A8"/>
    <w:rsid w:val="00F878B9"/>
    <w:rsid w:val="00F91B2E"/>
    <w:rsid w:val="00FB24E8"/>
    <w:rsid w:val="00FB3B2B"/>
    <w:rsid w:val="00FC18DA"/>
    <w:rsid w:val="00FC3917"/>
    <w:rsid w:val="00FC5602"/>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307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0706A"/>
  </w:style>
  <w:style w:type="paragraph" w:styleId="Revision">
    <w:name w:val="Revision"/>
    <w:hidden/>
    <w:uiPriority w:val="99"/>
    <w:semiHidden/>
    <w:rsid w:val="00BA5A37"/>
    <w:pPr>
      <w:spacing w:after="0" w:line="240" w:lineRule="auto"/>
    </w:pPr>
  </w:style>
  <w:style w:type="character" w:styleId="FollowedHyperlink">
    <w:name w:val="FollowedHyperlink"/>
    <w:basedOn w:val="DefaultParagraphFont"/>
    <w:uiPriority w:val="99"/>
    <w:semiHidden/>
    <w:unhideWhenUsed/>
    <w:rsid w:val="00F32A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22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3442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is.unesco.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00D3BD3-48F8-4275-A932-350BD671AB1E}"/>
      </w:docPartPr>
      <w:docPartBody>
        <w:p w:rsidR="00845602" w:rsidRDefault="00E57A32">
          <w:r w:rsidRPr="00D41CD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32"/>
    <w:rsid w:val="00743708"/>
    <w:rsid w:val="00845602"/>
    <w:rsid w:val="00E57A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A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83813658-2988-4622-990F-E6DC4EB4257F}">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f2d2d782-0088-4826-96df-71eba56e6d2e"/>
    <ds:schemaRef ds:uri="http://schemas.microsoft.com/office/2006/documentManagement/types"/>
    <ds:schemaRef ds:uri="http://schemas.microsoft.com/office/infopath/2007/PartnerControls"/>
    <ds:schemaRef ds:uri="http://purl.org/dc/elements/1.1/"/>
    <ds:schemaRef ds:uri="http://schemas.microsoft.com/office/2006/metadata/properties"/>
    <ds:schemaRef ds:uri="d114b01d-ae01-4749-b845-9d88e7ef5c0e"/>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10</cp:revision>
  <cp:lastPrinted>2016-07-16T14:25:00Z</cp:lastPrinted>
  <dcterms:created xsi:type="dcterms:W3CDTF">2024-05-29T13:44:00Z</dcterms:created>
  <dcterms:modified xsi:type="dcterms:W3CDTF">2024-07-25T19:45:00Z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