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(Harmonized metadata template - format version 1.1)</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 xml:space="preserve">0. Indicator information </w:t>
      </w:r>
      <w:r>
        <w:rPr>
          <w:color w:val="B4B4B4"/>
          <w:sz w:val="20"/>
        </w:rPr>
        <w:t>(SDG_INDICATOR_INFO)</w:t>
      </w:r>
    </w:p>
    <w:p w14:paraId="043ED752" w14:textId="28D7692E" w:rsidR="00D24330" w:rsidRPr="00A96255" w:rsidRDefault="00D24330" w:rsidP="00EA05D3">
      <w:pPr>
        <w:pStyle w:val="MIndHeader"/>
      </w:pPr>
      <w:r w:rsidRPr="00A96255">
        <w:t xml:space="preserve">0.a. Goal </w:t>
      </w:r>
      <w:r>
        <w:rPr>
          <w:color w:val="B4B4B4"/>
          <w:sz w:val="20"/>
        </w:rPr>
        <w:t>(SDG_GOAL)</w:t>
      </w:r>
    </w:p>
    <w:p w14:paraId="0C615824" w14:textId="437D5AD2" w:rsidR="00D24330" w:rsidRPr="00A96255" w:rsidRDefault="00A1511C" w:rsidP="002F5F0C">
      <w:pPr>
        <w:pStyle w:val="MGTHeader"/>
      </w:pPr>
      <w:r w:rsidRPr="00A1511C">
        <w:t>Goal 5: Achieve gender equality and empower all women and girls</w:t>
      </w:r>
    </w:p>
    <w:p w14:paraId="084142D2" w14:textId="77777777" w:rsidR="00D24330" w:rsidRPr="00A96255" w:rsidRDefault="00D24330" w:rsidP="00D24330">
      <w:pPr>
        <w:pStyle w:val="MIndHeader"/>
      </w:pPr>
      <w:r w:rsidRPr="00A96255">
        <w:t xml:space="preserve">0.b. Target </w:t>
      </w:r>
      <w:r>
        <w:rPr>
          <w:color w:val="B4B4B4"/>
          <w:sz w:val="20"/>
        </w:rPr>
        <w:t>(SDG_TARGET)</w:t>
      </w:r>
    </w:p>
    <w:p w14:paraId="0D7F1B46" w14:textId="59856C3D" w:rsidR="00D24330" w:rsidRPr="00A96255" w:rsidRDefault="00A1511C" w:rsidP="00D24330">
      <w:pPr>
        <w:pStyle w:val="MGTHeader"/>
      </w:pPr>
      <w:r w:rsidRPr="00A1511C">
        <w:t>Target 5.6: Ensure universal access to sexual and reproductive health and reproductive rights as agreed in accordance with the Programme of Action of the International Conference on Population and Development and the Beijing Platform for Action and the outcome documents of their review conferences</w:t>
      </w:r>
    </w:p>
    <w:p w14:paraId="3E67E7E0" w14:textId="77777777" w:rsidR="00D24330" w:rsidRPr="00A96255" w:rsidRDefault="00D24330" w:rsidP="00D24330">
      <w:pPr>
        <w:pStyle w:val="MIndHeader"/>
      </w:pPr>
      <w:r w:rsidRPr="00A96255">
        <w:t xml:space="preserve">0.c. Indicator </w:t>
      </w:r>
      <w:r>
        <w:rPr>
          <w:color w:val="B4B4B4"/>
          <w:sz w:val="20"/>
        </w:rPr>
        <w:t>(SDG_INDICATOR)</w:t>
      </w:r>
    </w:p>
    <w:p w14:paraId="6045F6C3" w14:textId="59444813" w:rsidR="00D24330" w:rsidRPr="00A96255" w:rsidRDefault="00A1511C" w:rsidP="00D24330">
      <w:pPr>
        <w:pStyle w:val="MGTHeader"/>
      </w:pPr>
      <w:r w:rsidRPr="00A1511C">
        <w:t>Indicator 5.6.2: Number of countries with laws and regulations that guarantee full and equal access to women and men aged 15 years and older to sexual and reproductive health care, information and education</w:t>
      </w:r>
    </w:p>
    <w:p w14:paraId="37E5E4F6" w14:textId="77777777" w:rsidR="00D24330" w:rsidRPr="003C259B" w:rsidRDefault="00D24330" w:rsidP="00D24330">
      <w:pPr>
        <w:pStyle w:val="MIndHeader"/>
        <w:rPr>
          <w:lang w:val="en-US"/>
        </w:rPr>
      </w:pPr>
      <w:r w:rsidRPr="003C259B">
        <w:rPr>
          <w:lang w:val="en-US"/>
        </w:rPr>
        <w:t xml:space="preserve">0.d. Series </w:t>
      </w:r>
      <w:r>
        <w:rPr>
          <w:color w:val="B4B4B4"/>
          <w:sz w:val="20"/>
        </w:rPr>
        <w:t>(SDG_SERIES_DESCR)</w:t>
      </w:r>
    </w:p>
    <w:p w14:paraId="6C1B9E60" w14:textId="77777777" w:rsidR="009311FB" w:rsidRPr="009311FB" w:rsidRDefault="009311FB" w:rsidP="009311FB">
      <w:pPr>
        <w:pStyle w:val="MGTHeader"/>
        <w:rPr>
          <w:lang w:val="en-US"/>
        </w:rPr>
      </w:pPr>
      <w:r w:rsidRPr="009311FB">
        <w:rPr>
          <w:lang w:val="en-US"/>
        </w:rPr>
        <w:t xml:space="preserve">SH_LGR_ACSRHE -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[5.6.2]</w:t>
      </w:r>
    </w:p>
    <w:p w14:paraId="7A97AE40" w14:textId="77777777" w:rsidR="009311FB" w:rsidRPr="009311FB" w:rsidRDefault="009311FB" w:rsidP="009311FB">
      <w:pPr>
        <w:pStyle w:val="MGTHeader"/>
        <w:rPr>
          <w:lang w:val="en-US"/>
        </w:rPr>
      </w:pPr>
      <w:r w:rsidRPr="009311FB">
        <w:rPr>
          <w:lang w:val="en-US"/>
        </w:rPr>
        <w:t xml:space="preserve">SH_LGR_ACSRHEC1 - (S.1.C.1)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1: Maternity Care [5.6.2]</w:t>
      </w:r>
    </w:p>
    <w:p w14:paraId="2804C450" w14:textId="77777777" w:rsidR="009311FB" w:rsidRPr="009311FB" w:rsidRDefault="009311FB" w:rsidP="009311FB">
      <w:pPr>
        <w:pStyle w:val="MGTHeader"/>
        <w:rPr>
          <w:lang w:val="en-US"/>
        </w:rPr>
      </w:pPr>
      <w:r w:rsidRPr="009311FB">
        <w:rPr>
          <w:lang w:val="en-US"/>
        </w:rPr>
        <w:t xml:space="preserve">SH_LGR_ACSRHEC10 - (S.4.C.10)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10: HIV Counselling and Test Services [5.6.2]</w:t>
      </w:r>
    </w:p>
    <w:p w14:paraId="59EBFCAA" w14:textId="77777777" w:rsidR="009311FB" w:rsidRPr="009311FB" w:rsidRDefault="009311FB" w:rsidP="009311FB">
      <w:pPr>
        <w:pStyle w:val="MGTHeader"/>
        <w:rPr>
          <w:lang w:val="en-US"/>
        </w:rPr>
      </w:pPr>
      <w:r w:rsidRPr="009311FB">
        <w:rPr>
          <w:lang w:val="en-US"/>
        </w:rPr>
        <w:t xml:space="preserve">SH_LGR_ACSRHEC11 - (S.4.C.11)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11: HIV Treatment and Care Services [5.6.2]</w:t>
      </w:r>
    </w:p>
    <w:p w14:paraId="4D48EA29" w14:textId="77777777" w:rsidR="009311FB" w:rsidRPr="009311FB" w:rsidRDefault="009311FB" w:rsidP="009311FB">
      <w:pPr>
        <w:pStyle w:val="MGTHeader"/>
        <w:rPr>
          <w:lang w:val="en-US"/>
        </w:rPr>
      </w:pPr>
      <w:r w:rsidRPr="009311FB">
        <w:rPr>
          <w:lang w:val="en-US"/>
        </w:rPr>
        <w:t xml:space="preserve">SH_LGR_ACSRHEC12 - (S.4.C.12)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12: HIV Confidentiality [5.6.2]</w:t>
      </w:r>
    </w:p>
    <w:p w14:paraId="014C1006" w14:textId="77777777" w:rsidR="009311FB" w:rsidRPr="009311FB" w:rsidRDefault="009311FB" w:rsidP="009311FB">
      <w:pPr>
        <w:pStyle w:val="MGTHeader"/>
        <w:rPr>
          <w:lang w:val="en-US"/>
        </w:rPr>
      </w:pPr>
      <w:r w:rsidRPr="009311FB">
        <w:rPr>
          <w:lang w:val="en-US"/>
        </w:rPr>
        <w:t xml:space="preserve">SH_LGR_ACSRHEC13 - (S.4.C.13)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13: HPV Vaccine [5.6.2]</w:t>
      </w:r>
    </w:p>
    <w:p w14:paraId="5E0F6396" w14:textId="77777777" w:rsidR="009311FB" w:rsidRPr="009311FB" w:rsidRDefault="009311FB" w:rsidP="009311FB">
      <w:pPr>
        <w:pStyle w:val="MGTHeader"/>
        <w:rPr>
          <w:lang w:val="en-US"/>
        </w:rPr>
      </w:pPr>
      <w:r w:rsidRPr="009311FB">
        <w:rPr>
          <w:lang w:val="en-US"/>
        </w:rPr>
        <w:t xml:space="preserve">SH_LGR_ACSRHEC2 - (S.1.C.2)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2: Life Saving Commodities [5.6.2]</w:t>
      </w:r>
    </w:p>
    <w:p w14:paraId="0F6C4E2F" w14:textId="77777777" w:rsidR="009311FB" w:rsidRPr="009311FB" w:rsidRDefault="009311FB" w:rsidP="009311FB">
      <w:pPr>
        <w:pStyle w:val="MGTHeader"/>
        <w:rPr>
          <w:lang w:val="en-US"/>
        </w:rPr>
      </w:pPr>
      <w:r w:rsidRPr="009311FB">
        <w:rPr>
          <w:lang w:val="en-US"/>
        </w:rPr>
        <w:t xml:space="preserve">SH_LGR_ACSRHEC3 - (S.1.C.3)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3: Abortion [5.6.2]</w:t>
      </w:r>
    </w:p>
    <w:p w14:paraId="4900141A" w14:textId="77777777" w:rsidR="009311FB" w:rsidRPr="009311FB" w:rsidRDefault="009311FB" w:rsidP="009311FB">
      <w:pPr>
        <w:pStyle w:val="MGTHeader"/>
        <w:rPr>
          <w:lang w:val="en-US"/>
        </w:rPr>
      </w:pPr>
      <w:r w:rsidRPr="009311FB">
        <w:rPr>
          <w:lang w:val="en-US"/>
        </w:rPr>
        <w:t xml:space="preserve">SH_LGR_ACSRHEC4 - (S.1.C.4)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4: Post-Abortion Care [5.6.2]</w:t>
      </w:r>
    </w:p>
    <w:p w14:paraId="230FF7AC" w14:textId="77777777" w:rsidR="009311FB" w:rsidRPr="009311FB" w:rsidRDefault="009311FB" w:rsidP="009311FB">
      <w:pPr>
        <w:pStyle w:val="MGTHeader"/>
        <w:rPr>
          <w:lang w:val="en-US"/>
        </w:rPr>
      </w:pPr>
      <w:r w:rsidRPr="009311FB">
        <w:rPr>
          <w:lang w:val="en-US"/>
        </w:rPr>
        <w:lastRenderedPageBreak/>
        <w:t xml:space="preserve">SH_LGR_ACSRHEC5 - (S.2.C.5)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5: Contraceptive Services [5.6.2]</w:t>
      </w:r>
    </w:p>
    <w:p w14:paraId="369D4D3D" w14:textId="77777777" w:rsidR="009311FB" w:rsidRPr="009311FB" w:rsidRDefault="009311FB" w:rsidP="009311FB">
      <w:pPr>
        <w:pStyle w:val="MGTHeader"/>
        <w:rPr>
          <w:lang w:val="en-US"/>
        </w:rPr>
      </w:pPr>
      <w:r w:rsidRPr="009311FB">
        <w:rPr>
          <w:lang w:val="en-US"/>
        </w:rPr>
        <w:t xml:space="preserve">SH_LGR_ACSRHEC6 - (S.2.C.6)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6: Contraceptive Consent [5.6.2]</w:t>
      </w:r>
    </w:p>
    <w:p w14:paraId="4BA8E923" w14:textId="77777777" w:rsidR="009311FB" w:rsidRPr="009311FB" w:rsidRDefault="009311FB" w:rsidP="009311FB">
      <w:pPr>
        <w:pStyle w:val="MGTHeader"/>
        <w:rPr>
          <w:lang w:val="en-US"/>
        </w:rPr>
      </w:pPr>
      <w:r w:rsidRPr="009311FB">
        <w:rPr>
          <w:lang w:val="en-US"/>
        </w:rPr>
        <w:t xml:space="preserve">SH_LGR_ACSRHEC7 - (S.2.C.7)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7: Emergency Contraception [5.6.2]</w:t>
      </w:r>
    </w:p>
    <w:p w14:paraId="2A04C499" w14:textId="77777777" w:rsidR="009311FB" w:rsidRPr="009311FB" w:rsidRDefault="009311FB" w:rsidP="009311FB">
      <w:pPr>
        <w:pStyle w:val="MGTHeader"/>
        <w:rPr>
          <w:lang w:val="en-US"/>
        </w:rPr>
      </w:pPr>
      <w:r w:rsidRPr="009311FB">
        <w:rPr>
          <w:lang w:val="en-US"/>
        </w:rPr>
        <w:t xml:space="preserve">SH_LGR_ACSRHEC8 - (S.3.C.8)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8: Sexuality Education Curriculum Laws [5.6.2]</w:t>
      </w:r>
    </w:p>
    <w:p w14:paraId="13F6F61B" w14:textId="77777777" w:rsidR="009311FB" w:rsidRPr="009311FB" w:rsidRDefault="009311FB" w:rsidP="009311FB">
      <w:pPr>
        <w:pStyle w:val="MGTHeader"/>
        <w:rPr>
          <w:lang w:val="en-US"/>
        </w:rPr>
      </w:pPr>
      <w:r w:rsidRPr="009311FB">
        <w:rPr>
          <w:lang w:val="en-US"/>
        </w:rPr>
        <w:t xml:space="preserve">SH_LGR_ACSRHEC9 - (S.3.C.9)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Component 9: Sexuality Education Curriculum Topi [5.6.2]</w:t>
      </w:r>
    </w:p>
    <w:p w14:paraId="044C1918" w14:textId="77777777" w:rsidR="009311FB" w:rsidRPr="009311FB" w:rsidRDefault="009311FB" w:rsidP="009311FB">
      <w:pPr>
        <w:pStyle w:val="MGTHeader"/>
        <w:rPr>
          <w:lang w:val="en-US"/>
        </w:rPr>
      </w:pPr>
      <w:r w:rsidRPr="009311FB">
        <w:rPr>
          <w:lang w:val="en-US"/>
        </w:rPr>
        <w:t xml:space="preserve">SH_LGR_ACSRHES1 - (S.1)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Section 1: Maternity Care [5.6.2]</w:t>
      </w:r>
    </w:p>
    <w:p w14:paraId="766B526E" w14:textId="77777777" w:rsidR="009311FB" w:rsidRPr="009311FB" w:rsidRDefault="009311FB" w:rsidP="009311FB">
      <w:pPr>
        <w:pStyle w:val="MGTHeader"/>
        <w:rPr>
          <w:lang w:val="en-US"/>
        </w:rPr>
      </w:pPr>
      <w:r w:rsidRPr="009311FB">
        <w:rPr>
          <w:lang w:val="en-US"/>
        </w:rPr>
        <w:t xml:space="preserve">SH_LGR_ACSRHES2 - (S.2)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Section 2: Contraceptive and Family Planning [5.6.2]</w:t>
      </w:r>
    </w:p>
    <w:p w14:paraId="0E464651" w14:textId="77777777" w:rsidR="009311FB" w:rsidRPr="009311FB" w:rsidRDefault="009311FB" w:rsidP="009311FB">
      <w:pPr>
        <w:pStyle w:val="MGTHeader"/>
        <w:rPr>
          <w:lang w:val="en-US"/>
        </w:rPr>
      </w:pPr>
      <w:r w:rsidRPr="009311FB">
        <w:rPr>
          <w:lang w:val="en-US"/>
        </w:rPr>
        <w:t xml:space="preserve">SH_LGR_ACSRHES3 - (S.3)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Section 3: Sexuality Education [5.6.2]</w:t>
      </w:r>
    </w:p>
    <w:p w14:paraId="5F5BFCAE" w14:textId="700D6B81" w:rsidR="00E507E3" w:rsidRPr="003C259B" w:rsidRDefault="009311FB" w:rsidP="009311FB">
      <w:pPr>
        <w:pStyle w:val="MGTHeader"/>
        <w:rPr>
          <w:lang w:val="en-US"/>
        </w:rPr>
      </w:pPr>
      <w:r w:rsidRPr="009311FB">
        <w:rPr>
          <w:lang w:val="en-US"/>
        </w:rPr>
        <w:t xml:space="preserve">SH_LGR_ACSRHES4 - (S.4) Extent to which countries have laws and regulations that guarantee full and equal access to women and men aged 15 years and older to sexual and reproductive health care, </w:t>
      </w:r>
      <w:proofErr w:type="gramStart"/>
      <w:r w:rsidRPr="009311FB">
        <w:rPr>
          <w:lang w:val="en-US"/>
        </w:rPr>
        <w:t>information</w:t>
      </w:r>
      <w:proofErr w:type="gramEnd"/>
      <w:r w:rsidRPr="009311FB">
        <w:rPr>
          <w:lang w:val="en-US"/>
        </w:rPr>
        <w:t xml:space="preserve"> and education: Section 4: HIV and HPV [5.6.2]</w:t>
      </w:r>
    </w:p>
    <w:p w14:paraId="157DACE7" w14:textId="77777777" w:rsidR="00D24330" w:rsidRPr="003C259B" w:rsidRDefault="00D24330" w:rsidP="00D24330">
      <w:pPr>
        <w:pStyle w:val="MIndHeader"/>
        <w:rPr>
          <w:lang w:val="en-US"/>
        </w:rPr>
      </w:pPr>
      <w:r w:rsidRPr="003C259B">
        <w:rPr>
          <w:lang w:val="en-US"/>
        </w:rPr>
        <w:t xml:space="preserve">0.e. Metadata update </w:t>
      </w:r>
      <w:r>
        <w:rPr>
          <w:color w:val="B4B4B4"/>
          <w:sz w:val="20"/>
        </w:rPr>
        <w:t>(META_LAST_UPDATE)</w:t>
      </w:r>
    </w:p>
    <w:sdt>
      <w:sdtPr>
        <w:rPr>
          <w:lang w:val="en-US"/>
        </w:rPr>
        <w:id w:val="317935909"/>
        <w:placeholder>
          <w:docPart w:val="DefaultPlaceholder_-1854013437"/>
        </w:placeholder>
        <w:date w:fullDate="2024-07-29T00:00:00Z">
          <w:dateFormat w:val="yyyy-MM-dd"/>
          <w:lid w:val="en-US"/>
          <w:storeMappedDataAs w:val="dateTime"/>
          <w:calendar w:val="gregorian"/>
        </w:date>
      </w:sdtPr>
      <w:sdtContent>
        <w:p w14:paraId="03424B60" w14:textId="358D8D46" w:rsidR="00D24330" w:rsidRPr="003C259B" w:rsidRDefault="009B13C5" w:rsidP="00D24330">
          <w:pPr>
            <w:pStyle w:val="MGTHeader"/>
            <w:rPr>
              <w:lang w:val="en-US"/>
            </w:rPr>
          </w:pPr>
          <w:r>
            <w:rPr>
              <w:lang w:val="en-US"/>
            </w:rPr>
            <w:t>2024-07-29</w:t>
          </w:r>
        </w:p>
      </w:sdtContent>
    </w:sdt>
    <w:p w14:paraId="415C9FF1" w14:textId="77777777" w:rsidR="00D24330" w:rsidRPr="00A96255" w:rsidRDefault="00D24330" w:rsidP="00D24330">
      <w:pPr>
        <w:pStyle w:val="MIndHeader"/>
      </w:pPr>
      <w:r w:rsidRPr="00A96255">
        <w:t xml:space="preserve">0.f. Related indicators </w:t>
      </w:r>
      <w:r>
        <w:rPr>
          <w:color w:val="B4B4B4"/>
          <w:sz w:val="20"/>
        </w:rPr>
        <w:t>(SDG_RELATED_INDICATORS)</w:t>
      </w:r>
    </w:p>
    <w:p w14:paraId="0BFBB42A" w14:textId="4827FF58" w:rsidR="00342F21" w:rsidRDefault="00342F21" w:rsidP="00D24330">
      <w:pPr>
        <w:pStyle w:val="MGTHeader"/>
      </w:pPr>
      <w:r w:rsidRPr="00342F21">
        <w:t>Indicator 3.1.1: Maternal mortality ratio</w:t>
      </w:r>
    </w:p>
    <w:p w14:paraId="417BBBB8" w14:textId="6E203EFE" w:rsidR="00342F21" w:rsidRDefault="00342F21" w:rsidP="00D24330">
      <w:pPr>
        <w:pStyle w:val="MGTHeader"/>
      </w:pPr>
      <w:r w:rsidRPr="00342F21">
        <w:t>Indicator 3.1.2: Proportion of births attended by skilled health personnel</w:t>
      </w:r>
    </w:p>
    <w:p w14:paraId="661D7641" w14:textId="75D2AF9D" w:rsidR="00342F21" w:rsidRDefault="00342F21" w:rsidP="00D24330">
      <w:pPr>
        <w:pStyle w:val="MGTHeader"/>
      </w:pPr>
      <w:r w:rsidRPr="00342F21">
        <w:t>Indicator 3.3.1: Number of new HIV infections per 1,000 uninfected population, by sex, age and key populations</w:t>
      </w:r>
    </w:p>
    <w:p w14:paraId="745890E1" w14:textId="77777777" w:rsidR="00342F21" w:rsidRDefault="00342F21" w:rsidP="00342F21">
      <w:pPr>
        <w:pStyle w:val="MGTHeader"/>
      </w:pPr>
      <w:r w:rsidRPr="00890D0F">
        <w:t>Indicator 3.7.1: Proportion of women of reproductive age (aged 15–49 years) who have their need for family planning satisfied with modern methods</w:t>
      </w:r>
    </w:p>
    <w:p w14:paraId="03B2905A" w14:textId="2EA81CB6" w:rsidR="00342F21" w:rsidRDefault="00342F21" w:rsidP="00D24330">
      <w:pPr>
        <w:pStyle w:val="MGTHeader"/>
      </w:pPr>
      <w:r w:rsidRPr="00890D0F">
        <w:t>Indicator 3.7.2: Adolescent birth rate (aged 10–14 years; aged 15–19 years) per 1,000 women in that age group</w:t>
      </w:r>
    </w:p>
    <w:p w14:paraId="02624391" w14:textId="2F9D2BD9" w:rsidR="00342F21" w:rsidRDefault="00342F21" w:rsidP="00D24330">
      <w:pPr>
        <w:pStyle w:val="MGTHeader"/>
      </w:pPr>
      <w:r w:rsidRPr="00342F21">
        <w:t>Indicator 5.2.1: Proportion of ever-partnered women and girls aged 15 years and older subjected to physical, sexual or psychological violence by a current or former intimate partner in the previous 12 months, by form of violence and by age</w:t>
      </w:r>
    </w:p>
    <w:p w14:paraId="297279B1" w14:textId="165D1502" w:rsidR="001A04E2" w:rsidRDefault="00A1511C" w:rsidP="00D24330">
      <w:pPr>
        <w:pStyle w:val="MGTHeader"/>
      </w:pPr>
      <w:r w:rsidRPr="00A1511C">
        <w:t>Indicator 5.6.1: Proportion of women aged 15-49 years who make their own informed decisions regarding sexual relations, contraceptive use and reproductive health care.</w:t>
      </w:r>
    </w:p>
    <w:p w14:paraId="077BC49E" w14:textId="77777777" w:rsidR="00D24330" w:rsidRPr="00A96255" w:rsidRDefault="00D24330" w:rsidP="00D24330">
      <w:pPr>
        <w:pStyle w:val="MIndHeader"/>
      </w:pPr>
      <w:r w:rsidRPr="00A96255">
        <w:t xml:space="preserve">0.g. International organisations(s) responsible for global monitoring </w:t>
      </w:r>
      <w:r>
        <w:rPr>
          <w:color w:val="B4B4B4"/>
          <w:sz w:val="20"/>
        </w:rPr>
        <w:t>(SDG_CUSTODIAN_AGENCIES)</w:t>
      </w:r>
    </w:p>
    <w:p w14:paraId="0393368E" w14:textId="227E946F" w:rsidR="00621893" w:rsidRPr="00A96255" w:rsidRDefault="00A1511C" w:rsidP="00D24330">
      <w:pPr>
        <w:pStyle w:val="MGTHeader"/>
        <w:rPr>
          <w:color w:val="4A4A4A"/>
        </w:rPr>
      </w:pPr>
      <w:r w:rsidRPr="00A1511C">
        <w:lastRenderedPageBreak/>
        <w:t>United Nations Population Fund (UNFPA)</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 xml:space="preserve">1. Data reporter </w:t>
      </w:r>
      <w:bookmarkEnd w:id="0"/>
      <w:bookmarkEnd w:id="1"/>
      <w:bookmarkEnd w:id="2"/>
      <w:bookmarkEnd w:id="3"/>
      <w:bookmarkEnd w:id="4"/>
      <w:r>
        <w:rPr>
          <w:color w:val="B4B4B4"/>
          <w:sz w:val="20"/>
        </w:rPr>
        <w:t>(CONTACT)</w:t>
      </w:r>
    </w:p>
    <w:p w14:paraId="0BD77982" w14:textId="72DFE854" w:rsidR="00576CFA" w:rsidRPr="00A96255" w:rsidRDefault="00576CFA" w:rsidP="00F719A8">
      <w:pPr>
        <w:pStyle w:val="MHeader2"/>
      </w:pPr>
      <w:r w:rsidRPr="00A96255">
        <w:t xml:space="preserve">1.a. Organisation </w:t>
      </w:r>
      <w:r>
        <w:rPr>
          <w:color w:val="B4B4B4"/>
          <w:sz w:val="20"/>
        </w:rPr>
        <w:t>(CONTACT_ORGANISATION)</w:t>
      </w:r>
    </w:p>
    <w:p w14:paraId="065F26D2" w14:textId="5751CA43" w:rsidR="00576CFA" w:rsidRDefault="00A1511C" w:rsidP="00576CFA">
      <w:pPr>
        <w:pStyle w:val="MText"/>
      </w:pPr>
      <w:r w:rsidRPr="00A1511C">
        <w:t>United Nations Population Fund (UNFPA)</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 xml:space="preserve">2. Definition, concepts, and classifications </w:t>
      </w:r>
      <w:r>
        <w:rPr>
          <w:color w:val="B4B4B4"/>
          <w:sz w:val="20"/>
        </w:rPr>
        <w:t>(IND_DEF_CON_CLASS)</w:t>
      </w:r>
    </w:p>
    <w:p w14:paraId="2AC373EA" w14:textId="44236363" w:rsidR="008B0AC7" w:rsidRPr="00A96255" w:rsidRDefault="008B0AC7" w:rsidP="00F719A8">
      <w:pPr>
        <w:pStyle w:val="MHeader2"/>
      </w:pPr>
      <w:r w:rsidRPr="00A96255">
        <w:t xml:space="preserve">2.a. Definition and concepts </w:t>
      </w:r>
      <w:r>
        <w:rPr>
          <w:color w:val="B4B4B4"/>
          <w:sz w:val="20"/>
        </w:rPr>
        <w:t>(STAT_CONC_DEF)</w:t>
      </w:r>
    </w:p>
    <w:p w14:paraId="35AE341D" w14:textId="77777777" w:rsidR="00A1511C" w:rsidRPr="00CB686B" w:rsidRDefault="00A1511C" w:rsidP="00A1511C">
      <w:pPr>
        <w:pStyle w:val="MText"/>
        <w:rPr>
          <w:b/>
        </w:rPr>
      </w:pPr>
      <w:r w:rsidRPr="00CB686B">
        <w:rPr>
          <w:b/>
        </w:rPr>
        <w:t>Definition:</w:t>
      </w:r>
    </w:p>
    <w:p w14:paraId="77120B5B" w14:textId="5A6E218D" w:rsidR="00A1511C" w:rsidRDefault="00A1511C" w:rsidP="00A1511C">
      <w:pPr>
        <w:pStyle w:val="MText"/>
      </w:pPr>
      <w:r>
        <w:t>Sustainable Development Goal (SDG) Indicator 5.6.2 seeks to measure the extent to which countries have national laws and regulations that guarantee full and equal access to women and men aged 15 years and older to sexual and reproductive health care, information</w:t>
      </w:r>
      <w:r w:rsidR="00493784">
        <w:t>,</w:t>
      </w:r>
      <w:r>
        <w:t xml:space="preserve"> and education.  </w:t>
      </w:r>
    </w:p>
    <w:p w14:paraId="0A4AA590" w14:textId="77777777" w:rsidR="00A1511C" w:rsidRDefault="00A1511C" w:rsidP="00A1511C">
      <w:pPr>
        <w:pStyle w:val="MText"/>
      </w:pPr>
    </w:p>
    <w:p w14:paraId="6CBE3065" w14:textId="6E19D7A5" w:rsidR="00A1511C" w:rsidRDefault="00A1511C" w:rsidP="00A1511C">
      <w:pPr>
        <w:pStyle w:val="MText"/>
      </w:pPr>
      <w:r>
        <w:t xml:space="preserve">The indicator is a percentage (%) scale of 0 to 100 (national laws and regulations exist to guarantee full and equal access), indicating a country’s status and progress in the existence of such </w:t>
      </w:r>
      <w:r w:rsidR="00570FC0">
        <w:t>N</w:t>
      </w:r>
      <w:r>
        <w:t xml:space="preserve">ational laws and regulations. Indicator 5.6.2 measures only the existence of laws and regulations; it does not measure their implementation.  </w:t>
      </w:r>
    </w:p>
    <w:p w14:paraId="153B09C3" w14:textId="4CBCB8BB" w:rsidR="00D51E7C" w:rsidRDefault="00D51E7C" w:rsidP="00A837CA">
      <w:pPr>
        <w:pStyle w:val="NoSpacing"/>
      </w:pPr>
    </w:p>
    <w:p w14:paraId="46B18F7E" w14:textId="77777777" w:rsidR="00A1511C" w:rsidRPr="00CB686B" w:rsidRDefault="00A1511C" w:rsidP="00A1511C">
      <w:pPr>
        <w:pStyle w:val="MText"/>
        <w:rPr>
          <w:b/>
        </w:rPr>
      </w:pPr>
      <w:r w:rsidRPr="00CB686B">
        <w:rPr>
          <w:b/>
        </w:rPr>
        <w:t>Concepts:</w:t>
      </w:r>
    </w:p>
    <w:p w14:paraId="24DAC086" w14:textId="7F7C08CA" w:rsidR="00A1511C" w:rsidRDefault="00A1511C" w:rsidP="00A1511C">
      <w:pPr>
        <w:pStyle w:val="MText"/>
      </w:pPr>
      <w:r>
        <w:t xml:space="preserve">Laws: laws and statutes are official rules of conduct or action prescribed, or formally recognized as binding, or enforced by a controlling authority that governs the </w:t>
      </w:r>
      <w:proofErr w:type="spellStart"/>
      <w:r>
        <w:t>behavior</w:t>
      </w:r>
      <w:proofErr w:type="spellEnd"/>
      <w:r>
        <w:t xml:space="preserve"> of actors (including people, corporations, associations, government agencies).  They are adopted or ratified by the legislative branch of government and may</w:t>
      </w:r>
      <w:r w:rsidR="00493784">
        <w:t xml:space="preserve"> </w:t>
      </w:r>
      <w:r>
        <w:t xml:space="preserve">be formally recognized in the Constitution or interpreted by courts. Laws governing sexual and reproductive health are not necessarily contained in one law. </w:t>
      </w:r>
    </w:p>
    <w:p w14:paraId="77188FCC" w14:textId="77777777" w:rsidR="00A1511C" w:rsidRDefault="00A1511C" w:rsidP="00A837CA">
      <w:pPr>
        <w:pStyle w:val="NoSpacing"/>
      </w:pPr>
    </w:p>
    <w:p w14:paraId="3402C962" w14:textId="2306D29D" w:rsidR="00C943AB" w:rsidRDefault="00A1511C" w:rsidP="00A1511C">
      <w:pPr>
        <w:pStyle w:val="MText"/>
      </w:pPr>
      <w:r>
        <w:t xml:space="preserve">Regulations: </w:t>
      </w:r>
      <w:r w:rsidR="00493784">
        <w:t>are</w:t>
      </w:r>
      <w:r>
        <w:t xml:space="preserve"> executive, ministerial</w:t>
      </w:r>
      <w:r w:rsidR="00493784">
        <w:t>,</w:t>
      </w:r>
      <w:r>
        <w:t xml:space="preserve"> or other administrative orders or decrees. At the municipal level, regulations are sometimes called ordinances. Regulations and ordinances issued by governmental entities have the force of law, although circumscribed by the level of the issuing authority.  Under this methodology, only regulations with</w:t>
      </w:r>
      <w:r w:rsidR="00493784">
        <w:t xml:space="preserve"> the</w:t>
      </w:r>
      <w:r>
        <w:t xml:space="preserve"> national-level application are considered.</w:t>
      </w:r>
    </w:p>
    <w:p w14:paraId="04516B04" w14:textId="3C9B7C78" w:rsidR="00A1511C" w:rsidRDefault="00A1511C" w:rsidP="00A837CA">
      <w:pPr>
        <w:pStyle w:val="NoSpacing"/>
      </w:pPr>
      <w:r>
        <w:t xml:space="preserve">  </w:t>
      </w:r>
    </w:p>
    <w:p w14:paraId="42832D21" w14:textId="121EC6AD" w:rsidR="00A1511C" w:rsidRDefault="00A1511C" w:rsidP="00A1511C">
      <w:pPr>
        <w:pStyle w:val="MText"/>
      </w:pPr>
      <w:r>
        <w:t xml:space="preserve">Restrictions: many laws and regulations contain restrictions in the scope of their applicability. Such restrictions, which include, though are not limited to, those by age, sex, marital status, and requirement for third party authorization, represent barriers to full and equal access to sexual and reproductive health care, </w:t>
      </w:r>
      <w:r w:rsidR="00493784">
        <w:t>information,</w:t>
      </w:r>
      <w:r>
        <w:t xml:space="preserve"> and education.  </w:t>
      </w:r>
    </w:p>
    <w:p w14:paraId="3D671910" w14:textId="77777777" w:rsidR="00A1511C" w:rsidRDefault="00A1511C" w:rsidP="00A837CA">
      <w:pPr>
        <w:pStyle w:val="NoSpacing"/>
      </w:pPr>
    </w:p>
    <w:p w14:paraId="37395EFE" w14:textId="2C5FB1DA" w:rsidR="00A1511C" w:rsidRDefault="00A1511C" w:rsidP="00A1511C">
      <w:pPr>
        <w:pStyle w:val="MText"/>
      </w:pPr>
      <w:r>
        <w:t xml:space="preserve">Plural legal systems: are defined as legal systems in which multiple sources of law co-exist. Such legal systems have typically developed over </w:t>
      </w:r>
      <w:r w:rsidR="00493784">
        <w:t>a period</w:t>
      </w:r>
      <w:r>
        <w:t xml:space="preserve"> </w:t>
      </w:r>
      <w:r w:rsidR="00493784">
        <w:t>because of</w:t>
      </w:r>
      <w:r>
        <w:t xml:space="preserve"> colonial inheritance, religion</w:t>
      </w:r>
      <w:r w:rsidR="00493784">
        <w:t>,</w:t>
      </w:r>
      <w:r>
        <w:t xml:space="preserve"> and other socio-cultural factors. Examples of sources of law that might co-exist under a plural legal system include</w:t>
      </w:r>
      <w:r w:rsidR="00493784">
        <w:t xml:space="preserve"> </w:t>
      </w:r>
      <w:r>
        <w:t>English common law, French civil or other law, statutory law, and customary and religious law. The co-existence of multiple sources of law can create fundamental contradictions in the legal system, which result in barriers to full and equal access to sexual and reproductive health care, information</w:t>
      </w:r>
      <w:r w:rsidR="00493784">
        <w:t>,</w:t>
      </w:r>
      <w:r>
        <w:t xml:space="preserve"> and education.  </w:t>
      </w:r>
    </w:p>
    <w:p w14:paraId="2EFE0A7F" w14:textId="77777777" w:rsidR="00A1511C" w:rsidRDefault="00A1511C" w:rsidP="00A837CA">
      <w:pPr>
        <w:pStyle w:val="NoSpacing"/>
      </w:pPr>
    </w:p>
    <w:p w14:paraId="7F07BF1D" w14:textId="071BEB65" w:rsidR="00A1511C" w:rsidRPr="00A96255" w:rsidRDefault="00A1511C" w:rsidP="00A1511C">
      <w:pPr>
        <w:pStyle w:val="MText"/>
      </w:pPr>
      <w:r>
        <w:t xml:space="preserve">“Guarantee” (access): for this methodology, “guarantee” is understood </w:t>
      </w:r>
      <w:r w:rsidR="00493784">
        <w:t>as a</w:t>
      </w:r>
      <w:r>
        <w:t xml:space="preserve"> law or regulation that assures a particular outcome or condition. The methodology recognizes that laws can only guarantee “in </w:t>
      </w:r>
      <w:r>
        <w:lastRenderedPageBreak/>
        <w:t>principle”; for the outcomes to be fully realized in practice, additional steps, including policy and budgetary measures will need to be in place.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 xml:space="preserve">2.b. Unit of measure </w:t>
      </w:r>
      <w:r>
        <w:rPr>
          <w:color w:val="B4B4B4"/>
          <w:sz w:val="20"/>
        </w:rPr>
        <w:t>(UNIT_MEASURE)</w:t>
      </w:r>
    </w:p>
    <w:p w14:paraId="548E9AAA" w14:textId="1EF6866C" w:rsidR="00EC2915" w:rsidRDefault="00C551B5" w:rsidP="00576CFA">
      <w:pPr>
        <w:pStyle w:val="MText"/>
      </w:pPr>
      <w:r>
        <w:t>Percent (%)</w:t>
      </w:r>
    </w:p>
    <w:p w14:paraId="2CF8BAD3" w14:textId="77777777" w:rsidR="001A04E2" w:rsidRPr="00A96255" w:rsidRDefault="001A04E2" w:rsidP="00576CFA">
      <w:pPr>
        <w:pStyle w:val="MText"/>
      </w:pPr>
    </w:p>
    <w:p w14:paraId="651AA7AC" w14:textId="5144B8C4" w:rsidR="00DA615C" w:rsidRPr="00A96255" w:rsidRDefault="008B0AC7" w:rsidP="00F719A8">
      <w:pPr>
        <w:pStyle w:val="MHeader2"/>
      </w:pPr>
      <w:r w:rsidRPr="00A96255">
        <w:t xml:space="preserve">2.c. Classifications </w:t>
      </w:r>
      <w:r>
        <w:rPr>
          <w:color w:val="B4B4B4"/>
          <w:sz w:val="20"/>
        </w:rPr>
        <w:t>(CLASS_SYSTEM)</w:t>
      </w:r>
    </w:p>
    <w:p w14:paraId="3D384BA8" w14:textId="316ECB7F" w:rsidR="00EC2915" w:rsidRDefault="007F4E0D" w:rsidP="007F4E0D">
      <w:pPr>
        <w:pStyle w:val="MText"/>
      </w:pPr>
      <w:r>
        <w:t>Adopted by 179 governments, the 1994 International Conference on Population and</w:t>
      </w:r>
      <w:r w:rsidR="000874D8">
        <w:t xml:space="preserve"> </w:t>
      </w:r>
      <w:r>
        <w:t xml:space="preserve">Development </w:t>
      </w:r>
      <w:r w:rsidR="00350F60">
        <w:t xml:space="preserve">(ICPD) </w:t>
      </w:r>
      <w:r>
        <w:t xml:space="preserve">Programme of Action </w:t>
      </w:r>
      <w:r w:rsidR="00350F60">
        <w:t>(</w:t>
      </w:r>
      <w:proofErr w:type="spellStart"/>
      <w:r w:rsidR="00350F60">
        <w:t>PoA</w:t>
      </w:r>
      <w:proofErr w:type="spellEnd"/>
      <w:r w:rsidR="00350F60">
        <w:t>)</w:t>
      </w:r>
      <w:r w:rsidR="00570FC0">
        <w:t xml:space="preserve"> </w:t>
      </w:r>
      <w:r>
        <w:t xml:space="preserve">marked a fundamental shift in global thinking on population and development issues. </w:t>
      </w:r>
      <w:r w:rsidR="00A837CA" w:rsidRPr="00A837CA">
        <w:t xml:space="preserve">It shifted from an emphasis on meeting particular demographic targets to a focus on individual women's and men's needs, aspirations, and </w:t>
      </w:r>
      <w:proofErr w:type="gramStart"/>
      <w:r w:rsidR="00A837CA" w:rsidRPr="00A837CA">
        <w:t>rights.</w:t>
      </w:r>
      <w:r>
        <w:t>.</w:t>
      </w:r>
      <w:proofErr w:type="gramEnd"/>
      <w:r>
        <w:t xml:space="preserve"> The </w:t>
      </w:r>
      <w:proofErr w:type="spellStart"/>
      <w:r w:rsidR="00350F60">
        <w:t>PoA</w:t>
      </w:r>
      <w:proofErr w:type="spellEnd"/>
      <w:r>
        <w:t xml:space="preserve"> asserted that everyone counts, that the true focus of development policy must be the improvement of individual lives and the measure of progress should be the extent to which we address inequalities. For more information on </w:t>
      </w:r>
      <w:r w:rsidRPr="007F4E0D">
        <w:t xml:space="preserve">ICPD </w:t>
      </w:r>
      <w:proofErr w:type="spellStart"/>
      <w:r w:rsidR="00FF62C6">
        <w:t>PoA</w:t>
      </w:r>
      <w:proofErr w:type="spellEnd"/>
      <w:r>
        <w:t xml:space="preserve">, please visit </w:t>
      </w:r>
      <w:hyperlink r:id="rId11" w:history="1">
        <w:r w:rsidR="00570FC0" w:rsidRPr="00F763E2">
          <w:rPr>
            <w:rStyle w:val="Hyperlink"/>
          </w:rPr>
          <w:t>https://www.unfpa.org/sites/default/files/pub-pdf/programme_of_action_Web%20ENGLISH.pdf</w:t>
        </w:r>
      </w:hyperlink>
      <w:r w:rsidR="00570FC0">
        <w:t xml:space="preserv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 xml:space="preserve">3. Data source type and data collection method </w:t>
      </w:r>
      <w:r>
        <w:rPr>
          <w:color w:val="B4B4B4"/>
          <w:sz w:val="20"/>
        </w:rPr>
        <w:t>(SRC_TYPE_COLL_METHOD)</w:t>
      </w:r>
    </w:p>
    <w:p w14:paraId="340B050E" w14:textId="31C09E5F" w:rsidR="008B0AC7" w:rsidRPr="00A96255" w:rsidRDefault="008B0AC7" w:rsidP="00F719A8">
      <w:pPr>
        <w:pStyle w:val="MHeader2"/>
      </w:pPr>
      <w:r w:rsidRPr="00A96255">
        <w:t xml:space="preserve">3.a. Data sources </w:t>
      </w:r>
      <w:r>
        <w:rPr>
          <w:color w:val="B4B4B4"/>
          <w:sz w:val="20"/>
        </w:rPr>
        <w:t>(SOURCE_TYPE)</w:t>
      </w:r>
    </w:p>
    <w:p w14:paraId="08E1C3DF" w14:textId="5E9AE6B7" w:rsidR="00576CFA" w:rsidRPr="00A96255" w:rsidRDefault="00A1511C" w:rsidP="00576CFA">
      <w:pPr>
        <w:pStyle w:val="MText"/>
      </w:pPr>
      <w:r w:rsidRPr="00A1511C">
        <w:t>Indicator 5.6.2 is calculated based on official government responses collected through the United Nations Inquiry among Governments on Population and Development. The Inquiry</w:t>
      </w:r>
      <w:r w:rsidR="00A837CA">
        <w:t xml:space="preserve"> </w:t>
      </w:r>
      <w:r w:rsidRPr="00A1511C">
        <w:t>has been conducted since 1963. All questions required for indicator 5.6.2 are integrated into Module II on fertility, family planning</w:t>
      </w:r>
      <w:r w:rsidR="00570FC0">
        <w:t>,</w:t>
      </w:r>
      <w:r w:rsidRPr="00A1511C">
        <w:t xml:space="preserve"> and reproductive health of the Inquiry.</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 xml:space="preserve">3.b. Data collection method </w:t>
      </w:r>
      <w:r>
        <w:rPr>
          <w:color w:val="B4B4B4"/>
          <w:sz w:val="20"/>
        </w:rPr>
        <w:t>(COLL_METHOD)</w:t>
      </w:r>
    </w:p>
    <w:p w14:paraId="5823FBC8" w14:textId="33006656" w:rsidR="00576CFA" w:rsidRPr="00A96255" w:rsidRDefault="00A1511C" w:rsidP="00576CFA">
      <w:pPr>
        <w:pStyle w:val="MText"/>
      </w:pPr>
      <w:r w:rsidRPr="00A1511C">
        <w:t>The Inquiry is sent to the Permanent Missions by UN Population Division (DESA). UNFPA then follow-up with UNFPA Country Offices</w:t>
      </w:r>
      <w:r w:rsidR="001A04E2">
        <w:t xml:space="preserve"> to facilitate the data submissions from national governments</w:t>
      </w:r>
      <w:r w:rsidRPr="00A1511C">
        <w:t>.</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 xml:space="preserve">3.c. Data collection calendar </w:t>
      </w:r>
      <w:r>
        <w:rPr>
          <w:color w:val="B4B4B4"/>
          <w:sz w:val="20"/>
        </w:rPr>
        <w:t>(FREQ_COLL)</w:t>
      </w:r>
    </w:p>
    <w:p w14:paraId="777F0337" w14:textId="5F1781EE" w:rsidR="00576CFA" w:rsidRPr="00A96255" w:rsidRDefault="00A1511C" w:rsidP="00576CFA">
      <w:pPr>
        <w:pStyle w:val="MText"/>
      </w:pPr>
      <w:r w:rsidRPr="00A1511C">
        <w:t xml:space="preserve">Baseline data </w:t>
      </w:r>
      <w:r w:rsidR="006A423C">
        <w:t>wa</w:t>
      </w:r>
      <w:r w:rsidRPr="00A1511C">
        <w:t>s collected in 2019</w:t>
      </w:r>
      <w:r w:rsidR="00732129">
        <w:t xml:space="preserve"> through the 12</w:t>
      </w:r>
      <w:r w:rsidR="00732129" w:rsidRPr="003C259B">
        <w:rPr>
          <w:vertAlign w:val="superscript"/>
        </w:rPr>
        <w:t>th</w:t>
      </w:r>
      <w:r w:rsidR="006A423C">
        <w:t xml:space="preserve"> Inquiry and a second round wa</w:t>
      </w:r>
      <w:r w:rsidR="00732129">
        <w:t xml:space="preserve">s collected in </w:t>
      </w:r>
      <w:r w:rsidR="006A423C">
        <w:t>2021-</w:t>
      </w:r>
      <w:r w:rsidR="00732129">
        <w:t>2022 through the 13</w:t>
      </w:r>
      <w:r w:rsidR="00732129" w:rsidRPr="003C259B">
        <w:rPr>
          <w:vertAlign w:val="superscript"/>
        </w:rPr>
        <w:t>th</w:t>
      </w:r>
      <w:r w:rsidR="00732129">
        <w:t xml:space="preserve"> inquiry</w:t>
      </w:r>
      <w:r w:rsidRPr="00A1511C">
        <w:t xml:space="preserve">. </w:t>
      </w:r>
      <w:r w:rsidR="001A04E2">
        <w:t>F</w:t>
      </w:r>
      <w:r w:rsidRPr="00A1511C">
        <w:t>urther data collection will be scheduled every 4 years.</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 xml:space="preserve">3.d. Data release calendar </w:t>
      </w:r>
      <w:r>
        <w:rPr>
          <w:color w:val="B4B4B4"/>
          <w:sz w:val="20"/>
        </w:rPr>
        <w:t>(REL_CAL_POLICY)</w:t>
      </w:r>
    </w:p>
    <w:p w14:paraId="5EAB53D5" w14:textId="23E05FCE" w:rsidR="00576CFA" w:rsidRPr="00A96255" w:rsidRDefault="001A04E2" w:rsidP="00576CFA">
      <w:pPr>
        <w:pStyle w:val="MText"/>
      </w:pPr>
      <w:r>
        <w:t>Every 4 years.</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 xml:space="preserve">3.e. Data providers </w:t>
      </w:r>
      <w:r>
        <w:rPr>
          <w:color w:val="B4B4B4"/>
          <w:sz w:val="20"/>
        </w:rPr>
        <w:t>(DATA_SOURCE)</w:t>
      </w:r>
    </w:p>
    <w:p w14:paraId="6DBC0025" w14:textId="6DA7EC26" w:rsidR="00576CFA" w:rsidRPr="00A96255" w:rsidRDefault="00A1511C" w:rsidP="00576CFA">
      <w:pPr>
        <w:pStyle w:val="MText"/>
      </w:pPr>
      <w:r w:rsidRPr="00A1511C">
        <w:t>Data will be provided by relevant government ministries, departments and agencies.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 xml:space="preserve">3.f. Data compilers </w:t>
      </w:r>
      <w:r>
        <w:rPr>
          <w:color w:val="B4B4B4"/>
          <w:sz w:val="20"/>
        </w:rPr>
        <w:t>(COMPILING_ORG)</w:t>
      </w:r>
    </w:p>
    <w:p w14:paraId="605E8F9D" w14:textId="59503A04" w:rsidR="00576CFA" w:rsidRPr="00A96255" w:rsidRDefault="0050388C" w:rsidP="00576CFA">
      <w:pPr>
        <w:pStyle w:val="MText"/>
      </w:pPr>
      <w:r w:rsidRPr="00A1511C">
        <w:t xml:space="preserve">United Nations Population Fund </w:t>
      </w:r>
      <w:r>
        <w:t>(</w:t>
      </w:r>
      <w:r w:rsidR="00A1511C" w:rsidRPr="00A1511C">
        <w:t>UNFPA</w:t>
      </w:r>
      <w:r>
        <w:t>)</w:t>
      </w:r>
      <w:r w:rsidR="00A1511C" w:rsidRPr="00A1511C">
        <w:t xml:space="preserve">, </w:t>
      </w:r>
      <w:r w:rsidR="001A04E2">
        <w:t xml:space="preserve">in collaboration with UN Population Division.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lastRenderedPageBreak/>
        <w:t xml:space="preserve">3.g. Institutional mandate </w:t>
      </w:r>
      <w:r>
        <w:rPr>
          <w:color w:val="B4B4B4"/>
          <w:sz w:val="20"/>
        </w:rPr>
        <w:t>(INST_MANDATE)</w:t>
      </w:r>
    </w:p>
    <w:p w14:paraId="2133100F" w14:textId="77777777" w:rsidR="001A04E2" w:rsidRDefault="001A04E2" w:rsidP="001A04E2">
      <w:pPr>
        <w:pStyle w:val="MText"/>
      </w:pPr>
      <w:r>
        <w:t>The mandate of UNFPA, as established by the United Nations Economic and Social Council (ECOSOC) in 1973 and reaffirmed in 1993, is (1) to build the knowledge and the capacity to respond to needs in population and family planning; (2) to promote awareness in both developed and developing countries of population problems and possible strategies to deal with these problems; (3) to assist their population problems in the forms and means best suited to the individual countries' needs; (4) to assume a leading role in the United Nations system in promoting population programmes, and to coordinate projects supported by the Fund.</w:t>
      </w:r>
    </w:p>
    <w:p w14:paraId="3EFBE1F2" w14:textId="77777777" w:rsidR="001A04E2" w:rsidRDefault="001A04E2" w:rsidP="00732129">
      <w:pPr>
        <w:pStyle w:val="NoSpacing"/>
      </w:pPr>
      <w:r>
        <w:t xml:space="preserve"> </w:t>
      </w:r>
    </w:p>
    <w:p w14:paraId="3D063F4C" w14:textId="055E3615" w:rsidR="00F719A8" w:rsidRDefault="001A04E2" w:rsidP="001A04E2">
      <w:pPr>
        <w:pStyle w:val="MText"/>
      </w:pPr>
      <w:r>
        <w:t>At the International Conference on Population and Development (ICPD), held in Cairo in 1994, these broad ideas were elaborated to emphasize the gender and human rights dimensions of population. UNFPA was given the lead in helping countries carry out the Programme of Action</w:t>
      </w:r>
      <w:r w:rsidR="00E6643A">
        <w:t xml:space="preserve"> (</w:t>
      </w:r>
      <w:proofErr w:type="spellStart"/>
      <w:r w:rsidR="00350F60">
        <w:t>PoA</w:t>
      </w:r>
      <w:proofErr w:type="spellEnd"/>
      <w:r w:rsidR="00E6643A">
        <w:t>)</w:t>
      </w:r>
      <w:r>
        <w:t xml:space="preserve"> adopted by 179 governments at the Cairo Conference. In 2010, the United Nations General Assembly extended the ICPD beyond 2014, which was</w:t>
      </w:r>
      <w:r w:rsidR="00570FC0">
        <w:t xml:space="preserve"> the</w:t>
      </w:r>
      <w:r>
        <w:t xml:space="preserve"> original end date for the 20-year </w:t>
      </w:r>
      <w:proofErr w:type="spellStart"/>
      <w:r w:rsidR="00FF62C6">
        <w:t>PoA</w:t>
      </w:r>
      <w:proofErr w:type="spellEnd"/>
      <w:r>
        <w:t>.</w:t>
      </w:r>
    </w:p>
    <w:p w14:paraId="422801CE" w14:textId="77777777" w:rsidR="001A04E2" w:rsidRPr="00A96255" w:rsidRDefault="001A04E2" w:rsidP="001A04E2">
      <w:pPr>
        <w:pStyle w:val="MText"/>
      </w:pPr>
    </w:p>
    <w:p w14:paraId="6149DC94" w14:textId="05781947" w:rsidR="00B31E2C" w:rsidRPr="00A96255" w:rsidRDefault="00B31E2C" w:rsidP="00AF5ED1">
      <w:pPr>
        <w:pStyle w:val="MHeader"/>
      </w:pPr>
      <w:r w:rsidRPr="00A96255">
        <w:t xml:space="preserve">4. Other methodological considerations </w:t>
      </w:r>
      <w:r>
        <w:rPr>
          <w:color w:val="B4B4B4"/>
          <w:sz w:val="20"/>
        </w:rPr>
        <w:t>(OTHER_METHOD)</w:t>
      </w:r>
    </w:p>
    <w:p w14:paraId="1AFA5517" w14:textId="54FD9B10" w:rsidR="00AF5ED1" w:rsidRPr="00A96255" w:rsidRDefault="00576CFA" w:rsidP="00F719A8">
      <w:pPr>
        <w:pStyle w:val="MHeader2"/>
      </w:pPr>
      <w:r w:rsidRPr="00A96255">
        <w:t xml:space="preserve">4.a. Rationale </w:t>
      </w:r>
      <w:r>
        <w:rPr>
          <w:color w:val="B4B4B4"/>
          <w:sz w:val="20"/>
        </w:rPr>
        <w:t>(RATIONALE)</w:t>
      </w:r>
    </w:p>
    <w:p w14:paraId="3570AC5E" w14:textId="0E58C585" w:rsidR="00A1511C" w:rsidRPr="006F7093" w:rsidRDefault="00A1511C" w:rsidP="003C259B">
      <w:pPr>
        <w:pStyle w:val="MText"/>
      </w:pPr>
      <w:r w:rsidRPr="006F7093">
        <w:t>Indicator 5.6.2 seeks to provide the first comprehensive global assessment of legal and regulatory frameworks in line with the 1994 International Conference on Population and Development (ICPD) Programme of Action</w:t>
      </w:r>
      <w:r w:rsidR="00AD04D7">
        <w:t xml:space="preserve"> (</w:t>
      </w:r>
      <w:proofErr w:type="spellStart"/>
      <w:r w:rsidR="00FF62C6">
        <w:t>PoA</w:t>
      </w:r>
      <w:proofErr w:type="spellEnd"/>
      <w:r w:rsidR="00AD04D7">
        <w:t>)</w:t>
      </w:r>
      <w:r w:rsidRPr="006F7093">
        <w:rPr>
          <w:rStyle w:val="FootnoteReference"/>
        </w:rPr>
        <w:footnoteReference w:id="2"/>
      </w:r>
      <w:r w:rsidRPr="006F7093">
        <w:t>, the Beijing Platform for Action</w:t>
      </w:r>
      <w:r w:rsidRPr="006F7093">
        <w:rPr>
          <w:rStyle w:val="FootnoteReference"/>
        </w:rPr>
        <w:footnoteReference w:id="3"/>
      </w:r>
      <w:r w:rsidRPr="006F7093">
        <w:t>, and international human rights standards</w:t>
      </w:r>
      <w:r w:rsidRPr="006F7093">
        <w:rPr>
          <w:rStyle w:val="FootnoteReference"/>
        </w:rPr>
        <w:footnoteReference w:id="4"/>
      </w:r>
      <w:r w:rsidRPr="006F7093">
        <w:t>. The indicator measures the legal and regulatory environment across four thematic sections, defined as the key parameters of sexual and reproductive health care, information and education according to these international consensus documents and human rights standards:</w:t>
      </w:r>
    </w:p>
    <w:p w14:paraId="031F4FFB" w14:textId="0601D712" w:rsidR="00732129" w:rsidRPr="003C259B" w:rsidRDefault="00732129" w:rsidP="003C259B">
      <w:pPr>
        <w:pStyle w:val="ListParagraph"/>
        <w:numPr>
          <w:ilvl w:val="0"/>
          <w:numId w:val="5"/>
        </w:numPr>
        <w:shd w:val="clear" w:color="auto" w:fill="FFFFFF"/>
        <w:spacing w:after="0"/>
        <w:rPr>
          <w:rFonts w:eastAsia="Times New Roman" w:cs="Times New Roman"/>
          <w:color w:val="4A4A4A"/>
          <w:sz w:val="21"/>
          <w:szCs w:val="21"/>
          <w:lang w:eastAsia="en-GB"/>
        </w:rPr>
      </w:pPr>
      <w:r w:rsidRPr="003C259B">
        <w:rPr>
          <w:rFonts w:eastAsia="Times New Roman" w:cs="Times New Roman"/>
          <w:color w:val="4A4A4A"/>
          <w:sz w:val="21"/>
          <w:szCs w:val="21"/>
          <w:lang w:eastAsia="en-GB"/>
        </w:rPr>
        <w:t>Maternity care</w:t>
      </w:r>
    </w:p>
    <w:p w14:paraId="0FA47B79" w14:textId="3A5D6078" w:rsidR="00732129" w:rsidRPr="003C259B" w:rsidRDefault="00732129" w:rsidP="003C259B">
      <w:pPr>
        <w:pStyle w:val="ListParagraph"/>
        <w:numPr>
          <w:ilvl w:val="0"/>
          <w:numId w:val="5"/>
        </w:numPr>
        <w:shd w:val="clear" w:color="auto" w:fill="FFFFFF"/>
        <w:spacing w:after="0"/>
        <w:rPr>
          <w:rFonts w:eastAsia="Times New Roman" w:cs="Times New Roman"/>
          <w:color w:val="4A4A4A"/>
          <w:sz w:val="21"/>
          <w:szCs w:val="21"/>
          <w:lang w:eastAsia="en-GB"/>
        </w:rPr>
      </w:pPr>
      <w:r w:rsidRPr="003C259B">
        <w:rPr>
          <w:rFonts w:eastAsia="Times New Roman" w:cs="Times New Roman"/>
          <w:color w:val="4A4A4A"/>
          <w:sz w:val="21"/>
          <w:szCs w:val="21"/>
          <w:lang w:eastAsia="en-GB"/>
        </w:rPr>
        <w:t xml:space="preserve">Contraception services </w:t>
      </w:r>
    </w:p>
    <w:p w14:paraId="2B4AA95F" w14:textId="58C5E32B" w:rsidR="00732129" w:rsidRPr="003C259B" w:rsidRDefault="00732129" w:rsidP="003C259B">
      <w:pPr>
        <w:pStyle w:val="ListParagraph"/>
        <w:numPr>
          <w:ilvl w:val="0"/>
          <w:numId w:val="5"/>
        </w:numPr>
        <w:shd w:val="clear" w:color="auto" w:fill="FFFFFF"/>
        <w:spacing w:after="0"/>
        <w:rPr>
          <w:rFonts w:eastAsia="Times New Roman" w:cs="Times New Roman"/>
          <w:color w:val="4A4A4A"/>
          <w:sz w:val="21"/>
          <w:szCs w:val="21"/>
          <w:lang w:eastAsia="en-GB"/>
        </w:rPr>
      </w:pPr>
      <w:r w:rsidRPr="003C259B">
        <w:rPr>
          <w:rFonts w:eastAsia="Times New Roman" w:cs="Times New Roman"/>
          <w:color w:val="4A4A4A"/>
          <w:sz w:val="21"/>
          <w:szCs w:val="21"/>
          <w:lang w:eastAsia="en-GB"/>
        </w:rPr>
        <w:t>Sexuality education</w:t>
      </w:r>
    </w:p>
    <w:p w14:paraId="3AA8D2B8" w14:textId="1D73C91A" w:rsidR="00732129" w:rsidRPr="003C259B" w:rsidRDefault="00732129" w:rsidP="003C259B">
      <w:pPr>
        <w:pStyle w:val="ListParagraph"/>
        <w:numPr>
          <w:ilvl w:val="0"/>
          <w:numId w:val="5"/>
        </w:numPr>
        <w:shd w:val="clear" w:color="auto" w:fill="FFFFFF"/>
        <w:spacing w:after="0"/>
        <w:rPr>
          <w:rFonts w:eastAsia="Times New Roman" w:cs="Times New Roman"/>
          <w:color w:val="4A4A4A"/>
          <w:sz w:val="21"/>
          <w:szCs w:val="21"/>
          <w:lang w:eastAsia="en-GB"/>
        </w:rPr>
      </w:pPr>
      <w:r w:rsidRPr="003C259B">
        <w:rPr>
          <w:rFonts w:eastAsia="Times New Roman" w:cs="Times New Roman"/>
          <w:color w:val="4A4A4A"/>
          <w:sz w:val="21"/>
          <w:szCs w:val="21"/>
          <w:lang w:eastAsia="en-GB"/>
        </w:rPr>
        <w:t>HIV and HPV</w:t>
      </w:r>
    </w:p>
    <w:p w14:paraId="77858CEF" w14:textId="77777777" w:rsidR="00732129" w:rsidRPr="006F7093" w:rsidRDefault="00732129" w:rsidP="00A1511C">
      <w:pPr>
        <w:shd w:val="clear" w:color="auto" w:fill="FFFFFF"/>
        <w:spacing w:after="0"/>
        <w:rPr>
          <w:rFonts w:eastAsia="Times New Roman" w:cs="Times New Roman"/>
          <w:lang w:eastAsia="en-GB"/>
        </w:rPr>
      </w:pPr>
    </w:p>
    <w:p w14:paraId="3C0CFB58" w14:textId="6D2AB7DB" w:rsidR="00A1511C" w:rsidRPr="006F7093" w:rsidRDefault="00A1511C" w:rsidP="003C259B">
      <w:pPr>
        <w:pStyle w:val="MText"/>
      </w:pPr>
      <w:r w:rsidRPr="006F7093">
        <w:t>Each of the four thematic areas (sections) is represented by individual components, reflect</w:t>
      </w:r>
      <w:r>
        <w:t>ing</w:t>
      </w:r>
      <w:r w:rsidRPr="006F7093">
        <w:t xml:space="preserve"> topics that are: i) critical from a substantive perspective, ii) span a broad spectrum of sexual and reproductive health </w:t>
      </w:r>
      <w:r w:rsidRPr="006F7093">
        <w:lastRenderedPageBreak/>
        <w:t>care, information</w:t>
      </w:r>
      <w:r w:rsidR="00922A8E">
        <w:t>,</w:t>
      </w:r>
      <w:r w:rsidRPr="006F7093">
        <w:t xml:space="preserve"> and education, and iii) the subject of national legal and regulatory frameworks. In total, Indicator 5.6.2 measures 13 components, categorized as follows:</w:t>
      </w:r>
    </w:p>
    <w:p w14:paraId="16ED30CE" w14:textId="2D016DF8" w:rsidR="00A1511C" w:rsidRDefault="00A1511C" w:rsidP="00A1511C">
      <w:pPr>
        <w:spacing w:after="120" w:line="240" w:lineRule="auto"/>
        <w:rPr>
          <w:rFonts w:eastAsia="Times New Roman" w:cs="Times New Roman"/>
          <w:lang w:eastAsia="en-GB"/>
        </w:rPr>
      </w:pPr>
    </w:p>
    <w:p w14:paraId="2E2E8CF9" w14:textId="77777777" w:rsidR="00732129" w:rsidRPr="003C259B" w:rsidRDefault="00732129" w:rsidP="003C259B">
      <w:pPr>
        <w:spacing w:after="0" w:line="240" w:lineRule="auto"/>
        <w:rPr>
          <w:rFonts w:eastAsia="Times New Roman" w:cs="Times New Roman"/>
          <w:b/>
          <w:sz w:val="21"/>
          <w:szCs w:val="21"/>
          <w:lang w:eastAsia="en-GB"/>
        </w:rPr>
      </w:pPr>
      <w:r w:rsidRPr="003C259B">
        <w:rPr>
          <w:rFonts w:eastAsia="Times New Roman" w:cs="Times New Roman"/>
          <w:b/>
          <w:sz w:val="21"/>
          <w:szCs w:val="21"/>
          <w:lang w:eastAsia="en-GB"/>
        </w:rPr>
        <w:t>SECTION I: MATERNITY CARE</w:t>
      </w:r>
    </w:p>
    <w:p w14:paraId="4AE30625" w14:textId="77777777" w:rsidR="00732129" w:rsidRPr="003C259B" w:rsidRDefault="00732129" w:rsidP="003C259B">
      <w:pPr>
        <w:spacing w:after="0" w:line="240" w:lineRule="auto"/>
        <w:rPr>
          <w:rFonts w:eastAsia="Times New Roman" w:cs="Times New Roman"/>
          <w:sz w:val="21"/>
          <w:szCs w:val="21"/>
          <w:lang w:eastAsia="en-GB"/>
        </w:rPr>
      </w:pPr>
      <w:r w:rsidRPr="003C259B">
        <w:rPr>
          <w:rFonts w:eastAsia="Times New Roman" w:cs="Times New Roman"/>
          <w:sz w:val="21"/>
          <w:szCs w:val="21"/>
          <w:lang w:eastAsia="en-GB"/>
        </w:rPr>
        <w:t>Component 1. Maternity care</w:t>
      </w:r>
    </w:p>
    <w:p w14:paraId="026FA38B" w14:textId="77777777" w:rsidR="00732129" w:rsidRPr="003C259B" w:rsidRDefault="00732129" w:rsidP="003C259B">
      <w:pPr>
        <w:spacing w:after="0" w:line="240" w:lineRule="auto"/>
        <w:rPr>
          <w:rFonts w:eastAsia="Times New Roman" w:cs="Times New Roman"/>
          <w:sz w:val="21"/>
          <w:szCs w:val="21"/>
          <w:lang w:eastAsia="en-GB"/>
        </w:rPr>
      </w:pPr>
      <w:r w:rsidRPr="003C259B">
        <w:rPr>
          <w:rFonts w:eastAsia="Times New Roman" w:cs="Times New Roman"/>
          <w:sz w:val="21"/>
          <w:szCs w:val="21"/>
          <w:lang w:eastAsia="en-GB"/>
        </w:rPr>
        <w:t>Component 2. Life-saving commodities</w:t>
      </w:r>
    </w:p>
    <w:p w14:paraId="0FE1C6C5"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Component 3. Abortion</w:t>
      </w:r>
    </w:p>
    <w:p w14:paraId="63931AAE"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Component 4. Post-abortion care</w:t>
      </w:r>
    </w:p>
    <w:p w14:paraId="1D736F03" w14:textId="35E41333" w:rsidR="00732129" w:rsidRPr="003C259B" w:rsidRDefault="00732129" w:rsidP="003C259B">
      <w:pPr>
        <w:spacing w:after="0" w:line="240" w:lineRule="auto"/>
        <w:rPr>
          <w:rFonts w:eastAsia="Times New Roman" w:cs="Times New Roman"/>
          <w:b/>
          <w:sz w:val="21"/>
          <w:szCs w:val="21"/>
          <w:lang w:val="fr-FR" w:eastAsia="en-GB"/>
        </w:rPr>
      </w:pPr>
      <w:r w:rsidRPr="003C259B">
        <w:rPr>
          <w:rFonts w:eastAsia="Times New Roman" w:cs="Times New Roman"/>
          <w:b/>
          <w:sz w:val="21"/>
          <w:szCs w:val="21"/>
          <w:lang w:val="fr-FR" w:eastAsia="en-GB"/>
        </w:rPr>
        <w:t xml:space="preserve">SECTION </w:t>
      </w:r>
      <w:proofErr w:type="gramStart"/>
      <w:r w:rsidRPr="003C259B">
        <w:rPr>
          <w:rFonts w:eastAsia="Times New Roman" w:cs="Times New Roman"/>
          <w:b/>
          <w:sz w:val="21"/>
          <w:szCs w:val="21"/>
          <w:lang w:val="fr-FR" w:eastAsia="en-GB"/>
        </w:rPr>
        <w:t>II:</w:t>
      </w:r>
      <w:proofErr w:type="gramEnd"/>
      <w:r w:rsidRPr="003C259B">
        <w:rPr>
          <w:rFonts w:eastAsia="Times New Roman" w:cs="Times New Roman"/>
          <w:b/>
          <w:sz w:val="21"/>
          <w:szCs w:val="21"/>
          <w:lang w:val="fr-FR" w:eastAsia="en-GB"/>
        </w:rPr>
        <w:t xml:space="preserve"> CONTRACEPTION SERVICES</w:t>
      </w:r>
    </w:p>
    <w:p w14:paraId="70768BD8"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Component 5. Contraception</w:t>
      </w:r>
    </w:p>
    <w:p w14:paraId="0EDFE1CC"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Component 6. Consent for contraceptive services</w:t>
      </w:r>
    </w:p>
    <w:p w14:paraId="3DE5FA32"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Component 7. Emergency contraception</w:t>
      </w:r>
    </w:p>
    <w:p w14:paraId="3ABC14A6" w14:textId="0EDE56FE" w:rsidR="00732129" w:rsidRPr="003C259B" w:rsidRDefault="00732129" w:rsidP="003C259B">
      <w:pPr>
        <w:spacing w:after="0" w:line="240" w:lineRule="auto"/>
        <w:rPr>
          <w:rFonts w:eastAsia="Times New Roman" w:cs="Times New Roman"/>
          <w:b/>
          <w:sz w:val="21"/>
          <w:szCs w:val="21"/>
          <w:lang w:val="fr-FR" w:eastAsia="en-GB"/>
        </w:rPr>
      </w:pPr>
      <w:r w:rsidRPr="003C259B">
        <w:rPr>
          <w:rFonts w:eastAsia="Times New Roman" w:cs="Times New Roman"/>
          <w:b/>
          <w:sz w:val="21"/>
          <w:szCs w:val="21"/>
          <w:lang w:val="fr-FR" w:eastAsia="en-GB"/>
        </w:rPr>
        <w:t xml:space="preserve">SECTION </w:t>
      </w:r>
      <w:proofErr w:type="gramStart"/>
      <w:r w:rsidRPr="003C259B">
        <w:rPr>
          <w:rFonts w:eastAsia="Times New Roman" w:cs="Times New Roman"/>
          <w:b/>
          <w:sz w:val="21"/>
          <w:szCs w:val="21"/>
          <w:lang w:val="fr-FR" w:eastAsia="en-GB"/>
        </w:rPr>
        <w:t>III:</w:t>
      </w:r>
      <w:proofErr w:type="gramEnd"/>
      <w:r w:rsidRPr="003C259B">
        <w:rPr>
          <w:rFonts w:eastAsia="Times New Roman" w:cs="Times New Roman"/>
          <w:b/>
          <w:sz w:val="21"/>
          <w:szCs w:val="21"/>
          <w:lang w:val="fr-FR" w:eastAsia="en-GB"/>
        </w:rPr>
        <w:t xml:space="preserve"> SEXUALITY EDUCATION</w:t>
      </w:r>
    </w:p>
    <w:p w14:paraId="5C70FEE4"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 xml:space="preserve">Component 8. CSE </w:t>
      </w:r>
      <w:proofErr w:type="spellStart"/>
      <w:r w:rsidRPr="003C259B">
        <w:rPr>
          <w:rFonts w:eastAsia="Times New Roman" w:cs="Times New Roman"/>
          <w:sz w:val="21"/>
          <w:szCs w:val="21"/>
          <w:lang w:val="fr-FR" w:eastAsia="en-GB"/>
        </w:rPr>
        <w:t>law</w:t>
      </w:r>
      <w:proofErr w:type="spellEnd"/>
    </w:p>
    <w:p w14:paraId="75EF61D1" w14:textId="77777777" w:rsidR="00732129" w:rsidRPr="003C259B" w:rsidRDefault="00732129" w:rsidP="003C259B">
      <w:pPr>
        <w:spacing w:after="0" w:line="240" w:lineRule="auto"/>
        <w:rPr>
          <w:rFonts w:eastAsia="Times New Roman" w:cs="Times New Roman"/>
          <w:sz w:val="21"/>
          <w:szCs w:val="21"/>
          <w:lang w:val="fr-FR" w:eastAsia="en-GB"/>
        </w:rPr>
      </w:pPr>
      <w:r w:rsidRPr="003C259B">
        <w:rPr>
          <w:rFonts w:eastAsia="Times New Roman" w:cs="Times New Roman"/>
          <w:sz w:val="21"/>
          <w:szCs w:val="21"/>
          <w:lang w:val="fr-FR" w:eastAsia="en-GB"/>
        </w:rPr>
        <w:t>Component 9. CSE curriculum</w:t>
      </w:r>
    </w:p>
    <w:p w14:paraId="7B888BD4" w14:textId="77777777" w:rsidR="00732129" w:rsidRPr="003C259B" w:rsidRDefault="00732129" w:rsidP="003C259B">
      <w:pPr>
        <w:spacing w:after="0" w:line="240" w:lineRule="auto"/>
        <w:rPr>
          <w:rFonts w:eastAsia="Times New Roman" w:cs="Times New Roman"/>
          <w:b/>
          <w:sz w:val="21"/>
          <w:szCs w:val="21"/>
          <w:lang w:val="fr-FR" w:eastAsia="en-GB"/>
        </w:rPr>
      </w:pPr>
      <w:r w:rsidRPr="003C259B">
        <w:rPr>
          <w:rFonts w:eastAsia="Times New Roman" w:cs="Times New Roman"/>
          <w:b/>
          <w:sz w:val="21"/>
          <w:szCs w:val="21"/>
          <w:lang w:val="fr-FR" w:eastAsia="en-GB"/>
        </w:rPr>
        <w:t xml:space="preserve">SECTION </w:t>
      </w:r>
      <w:proofErr w:type="gramStart"/>
      <w:r w:rsidRPr="003C259B">
        <w:rPr>
          <w:rFonts w:eastAsia="Times New Roman" w:cs="Times New Roman"/>
          <w:b/>
          <w:sz w:val="21"/>
          <w:szCs w:val="21"/>
          <w:lang w:val="fr-FR" w:eastAsia="en-GB"/>
        </w:rPr>
        <w:t>IV:</w:t>
      </w:r>
      <w:proofErr w:type="gramEnd"/>
      <w:r w:rsidRPr="003C259B">
        <w:rPr>
          <w:rFonts w:eastAsia="Times New Roman" w:cs="Times New Roman"/>
          <w:b/>
          <w:sz w:val="21"/>
          <w:szCs w:val="21"/>
          <w:lang w:val="fr-FR" w:eastAsia="en-GB"/>
        </w:rPr>
        <w:t xml:space="preserve"> HIV and HPV</w:t>
      </w:r>
    </w:p>
    <w:p w14:paraId="40693C6D" w14:textId="77777777" w:rsidR="00732129" w:rsidRPr="003C259B" w:rsidRDefault="00732129" w:rsidP="003C259B">
      <w:pPr>
        <w:spacing w:after="0" w:line="240" w:lineRule="auto"/>
        <w:rPr>
          <w:rFonts w:eastAsia="Times New Roman" w:cs="Times New Roman"/>
          <w:sz w:val="21"/>
          <w:szCs w:val="21"/>
          <w:lang w:eastAsia="en-GB"/>
        </w:rPr>
      </w:pPr>
      <w:r w:rsidRPr="00F9305D">
        <w:rPr>
          <w:rFonts w:eastAsia="Times New Roman" w:cs="Times New Roman"/>
          <w:sz w:val="21"/>
          <w:szCs w:val="21"/>
          <w:lang w:val="fr-FR" w:eastAsia="en-GB"/>
        </w:rPr>
        <w:t xml:space="preserve">Component 10. </w:t>
      </w:r>
      <w:r w:rsidRPr="003C259B">
        <w:rPr>
          <w:rFonts w:eastAsia="Times New Roman" w:cs="Times New Roman"/>
          <w:sz w:val="21"/>
          <w:szCs w:val="21"/>
          <w:lang w:eastAsia="en-GB"/>
        </w:rPr>
        <w:t>HIV testing and counselling</w:t>
      </w:r>
    </w:p>
    <w:p w14:paraId="203FF78B" w14:textId="77777777" w:rsidR="00732129" w:rsidRPr="003C259B" w:rsidRDefault="00732129" w:rsidP="003C259B">
      <w:pPr>
        <w:spacing w:after="0" w:line="240" w:lineRule="auto"/>
        <w:rPr>
          <w:rFonts w:eastAsia="Times New Roman" w:cs="Times New Roman"/>
          <w:sz w:val="21"/>
          <w:szCs w:val="21"/>
          <w:lang w:eastAsia="en-GB"/>
        </w:rPr>
      </w:pPr>
      <w:r w:rsidRPr="003C259B">
        <w:rPr>
          <w:rFonts w:eastAsia="Times New Roman" w:cs="Times New Roman"/>
          <w:sz w:val="21"/>
          <w:szCs w:val="21"/>
          <w:lang w:eastAsia="en-GB"/>
        </w:rPr>
        <w:t>Component 11. HIV treatment and care</w:t>
      </w:r>
    </w:p>
    <w:p w14:paraId="51085015" w14:textId="77777777" w:rsidR="00732129" w:rsidRPr="003C259B" w:rsidRDefault="00732129" w:rsidP="003C259B">
      <w:pPr>
        <w:spacing w:after="0" w:line="240" w:lineRule="auto"/>
        <w:rPr>
          <w:rFonts w:eastAsia="Times New Roman" w:cs="Times New Roman"/>
          <w:sz w:val="21"/>
          <w:szCs w:val="21"/>
          <w:lang w:eastAsia="en-GB"/>
        </w:rPr>
      </w:pPr>
      <w:r w:rsidRPr="003C259B">
        <w:rPr>
          <w:rFonts w:eastAsia="Times New Roman" w:cs="Times New Roman"/>
          <w:sz w:val="21"/>
          <w:szCs w:val="21"/>
          <w:lang w:eastAsia="en-GB"/>
        </w:rPr>
        <w:t>Component 12. Confidentiality of health status for men and women living with HIV</w:t>
      </w:r>
    </w:p>
    <w:p w14:paraId="1BB2F0B9" w14:textId="10E85F22" w:rsidR="00732129" w:rsidRPr="003C259B" w:rsidRDefault="00732129" w:rsidP="003C259B">
      <w:pPr>
        <w:spacing w:after="0" w:line="240" w:lineRule="auto"/>
        <w:rPr>
          <w:rFonts w:eastAsia="Times New Roman" w:cs="Times New Roman"/>
          <w:sz w:val="21"/>
          <w:szCs w:val="21"/>
          <w:lang w:eastAsia="en-GB"/>
        </w:rPr>
      </w:pPr>
      <w:r w:rsidRPr="003C259B">
        <w:rPr>
          <w:rFonts w:eastAsia="Times New Roman" w:cs="Times New Roman"/>
          <w:sz w:val="21"/>
          <w:szCs w:val="21"/>
          <w:lang w:eastAsia="en-GB"/>
        </w:rPr>
        <w:t>Component 13. HPV vaccine</w:t>
      </w:r>
      <w:r w:rsidRPr="003C259B">
        <w:rPr>
          <w:rFonts w:eastAsia="Times New Roman" w:cs="Times New Roman"/>
          <w:sz w:val="21"/>
          <w:szCs w:val="21"/>
          <w:lang w:eastAsia="en-GB"/>
        </w:rPr>
        <w:cr/>
      </w:r>
    </w:p>
    <w:p w14:paraId="24761126" w14:textId="4A98A423" w:rsidR="00A1511C" w:rsidRDefault="00A1511C" w:rsidP="00A1511C">
      <w:pPr>
        <w:pStyle w:val="MText"/>
      </w:pPr>
      <w:r w:rsidRPr="006F7093">
        <w:t xml:space="preserve">For each of the 13 components, information is collected on the existence of i) specific legal </w:t>
      </w:r>
      <w:r w:rsidRPr="006F7093">
        <w:rPr>
          <w:i/>
        </w:rPr>
        <w:t>enablers</w:t>
      </w:r>
      <w:r w:rsidRPr="006F7093">
        <w:t xml:space="preserve"> (positive </w:t>
      </w:r>
      <w:r w:rsidR="00922A8E" w:rsidRPr="006F7093">
        <w:t>laws, and</w:t>
      </w:r>
      <w:r w:rsidRPr="006F7093">
        <w:t xml:space="preserve"> regulations) and ii) specific legal </w:t>
      </w:r>
      <w:r w:rsidRPr="006F7093">
        <w:rPr>
          <w:i/>
        </w:rPr>
        <w:t>barriers</w:t>
      </w:r>
      <w:r w:rsidRPr="006F7093">
        <w:rPr>
          <w:rStyle w:val="FootnoteReference"/>
          <w:rFonts w:cstheme="minorHAnsi"/>
          <w:kern w:val="24"/>
        </w:rPr>
        <w:footnoteReference w:id="5"/>
      </w:r>
      <w:r w:rsidRPr="006F7093">
        <w:t xml:space="preserve">. Such barriers encompass </w:t>
      </w:r>
      <w:r w:rsidRPr="006F7093">
        <w:rPr>
          <w:i/>
        </w:rPr>
        <w:t>restrictions</w:t>
      </w:r>
      <w:r w:rsidRPr="006F7093">
        <w:t xml:space="preserve"> to positive laws</w:t>
      </w:r>
      <w:r w:rsidR="00922A8E">
        <w:t>,</w:t>
      </w:r>
      <w:r w:rsidRPr="006F7093">
        <w:t xml:space="preserve"> and regulations (e.g. by age, sex, marital status and requirement for third party authorization), as well as </w:t>
      </w:r>
      <w:r w:rsidRPr="006F7093">
        <w:rPr>
          <w:i/>
        </w:rPr>
        <w:t>plural legal systems that contradict</w:t>
      </w:r>
      <w:r w:rsidRPr="006F7093">
        <w:t xml:space="preserve"> co-existing positive laws and regulations. For each component, the specific enablers and barriers on which data are collected are defined as the principle enablers and barriers for that component. Even where positive laws are in place, legal barriers can undermine </w:t>
      </w:r>
      <w:r w:rsidRPr="006F7093">
        <w:rPr>
          <w:i/>
        </w:rPr>
        <w:t>full and equal</w:t>
      </w:r>
      <w:r w:rsidRPr="006F7093">
        <w:t xml:space="preserve"> access to sexual and reproductive health care, information</w:t>
      </w:r>
      <w:r w:rsidR="00922A8E">
        <w:t>,</w:t>
      </w:r>
      <w:r w:rsidRPr="006F7093">
        <w:t xml:space="preserve"> and education; the methodology is designed to capture this</w:t>
      </w:r>
      <w:r>
        <w:t>.</w:t>
      </w:r>
    </w:p>
    <w:p w14:paraId="607CAF20" w14:textId="77777777" w:rsidR="00A1511C" w:rsidRPr="006F7093" w:rsidRDefault="00A1511C" w:rsidP="00732129">
      <w:pPr>
        <w:pStyle w:val="NoSpacing"/>
      </w:pPr>
    </w:p>
    <w:p w14:paraId="0AD7EEA2" w14:textId="78F10655" w:rsidR="00576CFA" w:rsidRPr="00A96255" w:rsidRDefault="00A1511C" w:rsidP="00A1511C">
      <w:pPr>
        <w:pStyle w:val="MText"/>
      </w:pPr>
      <w:r w:rsidRPr="006F7093">
        <w:t xml:space="preserve">The percentage </w:t>
      </w:r>
      <w:r>
        <w:t>value</w:t>
      </w:r>
      <w:r w:rsidRPr="006F7093">
        <w:t xml:space="preserve"> reflects a country’s</w:t>
      </w:r>
      <w:r w:rsidRPr="006F7093">
        <w:rPr>
          <w:rFonts w:ascii="Calibri" w:hAnsi="Calibri" w:cs="Calibri"/>
        </w:rPr>
        <w:t xml:space="preserve"> status and progress in the existence of national laws and regulations that guarantee full and equal access to sexual and reproductive health care, information, and education. </w:t>
      </w:r>
      <w:r w:rsidRPr="006F7093">
        <w:t xml:space="preserve">By reflecting the “extent to which” countries guarantee full and equal access to </w:t>
      </w:r>
      <w:r w:rsidR="00922A8E" w:rsidRPr="006F7093">
        <w:t>sexua</w:t>
      </w:r>
      <w:r w:rsidR="00922A8E">
        <w:t>l</w:t>
      </w:r>
      <w:r w:rsidRPr="006F7093">
        <w:t xml:space="preserve"> and reproductive health care, information</w:t>
      </w:r>
      <w:r w:rsidR="00922A8E">
        <w:t>,</w:t>
      </w:r>
      <w:r w:rsidRPr="006F7093">
        <w:t xml:space="preserve"> and education, this indicator allows cross</w:t>
      </w:r>
      <w:r w:rsidR="00922A8E">
        <w:t>-</w:t>
      </w:r>
      <w:r w:rsidRPr="006F7093">
        <w:t xml:space="preserve">country comparison and within-country progress over time to be captured.      </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 xml:space="preserve">4.b. Comment and limitations </w:t>
      </w:r>
      <w:r>
        <w:rPr>
          <w:color w:val="B4B4B4"/>
          <w:sz w:val="20"/>
        </w:rPr>
        <w:t>(REC_USE_LIM)</w:t>
      </w:r>
    </w:p>
    <w:p w14:paraId="762049F5" w14:textId="145CA9BA" w:rsidR="00576CFA" w:rsidRPr="00A96255" w:rsidRDefault="00A1511C" w:rsidP="00576CFA">
      <w:pPr>
        <w:pStyle w:val="MText"/>
      </w:pPr>
      <w:r w:rsidRPr="00A1511C">
        <w:t>Indicator 5.6.2 measures exclusively the existence of laws and regulations and their barriers.  It does not measure the implementation of such laws/regulations. In addition, the 13 components are intended to be indicative of sexual and reproductive health care, information</w:t>
      </w:r>
      <w:r w:rsidR="00922A8E">
        <w:t>,</w:t>
      </w:r>
      <w:r w:rsidRPr="00A1511C">
        <w:t xml:space="preserve"> and education, instead of a complete or exhaustive list of the care, information</w:t>
      </w:r>
      <w:r w:rsidR="00922A8E">
        <w:t>,</w:t>
      </w:r>
      <w:r w:rsidRPr="00A1511C">
        <w:t xml:space="preserve"> and education. These components were selected because they were identified as key parameters according to international consensus documents and human rights standards.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 xml:space="preserve">4.c. Method of computation </w:t>
      </w:r>
      <w:r>
        <w:rPr>
          <w:color w:val="B4B4B4"/>
          <w:sz w:val="20"/>
        </w:rPr>
        <w:t>(DATA_COMP)</w:t>
      </w:r>
    </w:p>
    <w:p w14:paraId="5EF55D07" w14:textId="77777777" w:rsidR="00A1511C" w:rsidRPr="006F7093" w:rsidRDefault="00A1511C" w:rsidP="00A1511C">
      <w:pPr>
        <w:pStyle w:val="MText"/>
      </w:pPr>
      <w:r w:rsidRPr="006F7093">
        <w:lastRenderedPageBreak/>
        <w:t xml:space="preserve">The indicator measures specific legal enablers and barriers for 13 components across four </w:t>
      </w:r>
      <w:r>
        <w:t>sections</w:t>
      </w:r>
      <w:r w:rsidRPr="006F7093">
        <w:t>. The calculation of the indicator requires data for all 13 components</w:t>
      </w:r>
      <w:r>
        <w:t>.</w:t>
      </w:r>
    </w:p>
    <w:p w14:paraId="05FECFAE" w14:textId="77777777" w:rsidR="00A1511C" w:rsidRPr="006F7093" w:rsidRDefault="00A1511C" w:rsidP="00732129">
      <w:pPr>
        <w:pStyle w:val="NoSpacing"/>
      </w:pPr>
    </w:p>
    <w:p w14:paraId="7EF1E1B1" w14:textId="202F09E4" w:rsidR="00A1511C" w:rsidRPr="006F7093" w:rsidRDefault="00A1511C" w:rsidP="00A1511C">
      <w:pPr>
        <w:pStyle w:val="MText"/>
      </w:pPr>
      <w:r w:rsidRPr="006F7093">
        <w:t xml:space="preserve">The 13 components are placed on the same scale, with 0% being the lowest value and 100% being the most optimal value. Each component is </w:t>
      </w:r>
      <w:r>
        <w:t>calculated</w:t>
      </w:r>
      <w:r w:rsidRPr="006F7093">
        <w:t xml:space="preserve"> independently and weighted equally. </w:t>
      </w:r>
      <w:r>
        <w:t>Each</w:t>
      </w:r>
      <w:r w:rsidRPr="006F7093">
        <w:t xml:space="preserve"> </w:t>
      </w:r>
      <w:r w:rsidRPr="006F7093">
        <w:rPr>
          <w:u w:val="single"/>
        </w:rPr>
        <w:t>component</w:t>
      </w:r>
      <w:r w:rsidRPr="006F7093">
        <w:t xml:space="preserve"> is calculated as:</w:t>
      </w:r>
    </w:p>
    <w:p w14:paraId="73DC83D1" w14:textId="77777777" w:rsidR="00A1511C" w:rsidRDefault="00A1511C" w:rsidP="00A1511C">
      <w:pPr>
        <w:pStyle w:val="MSubHeader"/>
        <w:jc w:val="center"/>
      </w:pPr>
      <w:r w:rsidRPr="00113030">
        <w:rPr>
          <w:noProof/>
          <w:lang w:val="en-US" w:eastAsia="zh-CN"/>
        </w:rPr>
        <mc:AlternateContent>
          <mc:Choice Requires="wps">
            <w:drawing>
              <wp:anchor distT="0" distB="0" distL="114300" distR="114300" simplePos="0" relativeHeight="251659264" behindDoc="0" locked="0" layoutInCell="1" allowOverlap="1" wp14:anchorId="1425A3EE" wp14:editId="030EAA4C">
                <wp:simplePos x="0" y="0"/>
                <wp:positionH relativeFrom="margin">
                  <wp:posOffset>40943</wp:posOffset>
                </wp:positionH>
                <wp:positionV relativeFrom="paragraph">
                  <wp:posOffset>39399</wp:posOffset>
                </wp:positionV>
                <wp:extent cx="2129050" cy="477672"/>
                <wp:effectExtent l="0" t="0" r="0" b="0"/>
                <wp:wrapNone/>
                <wp:docPr id="8" name="TextBox 7">
                  <a:extLst xmlns:a="http://schemas.openxmlformats.org/drawingml/2006/main">
                    <a:ext uri="{FF2B5EF4-FFF2-40B4-BE49-F238E27FC236}">
                      <a16:creationId xmlns:a16="http://schemas.microsoft.com/office/drawing/2014/main" id="{E4B53F66-3702-4A42-8B5D-78EE40838716}"/>
                    </a:ext>
                  </a:extLst>
                </wp:docPr>
                <wp:cNvGraphicFramePr/>
                <a:graphic xmlns:a="http://schemas.openxmlformats.org/drawingml/2006/main">
                  <a:graphicData uri="http://schemas.microsoft.com/office/word/2010/wordprocessingShape">
                    <wps:wsp>
                      <wps:cNvSpPr txBox="1"/>
                      <wps:spPr>
                        <a:xfrm>
                          <a:off x="0" y="0"/>
                          <a:ext cx="2129050" cy="477672"/>
                        </a:xfrm>
                        <a:prstGeom prst="rect">
                          <a:avLst/>
                        </a:prstGeom>
                        <a:noFill/>
                      </wps:spPr>
                      <wps:txbx>
                        <w:txbxContent>
                          <w:p w14:paraId="593E2715" w14:textId="77777777" w:rsidR="00A1511C" w:rsidRPr="00732129" w:rsidRDefault="00A1511C" w:rsidP="00A1511C">
                            <w:pPr>
                              <w:pStyle w:val="NormalWeb"/>
                              <w:rPr>
                                <w:color w:val="4A4A4A"/>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olor w:val="4A4A4A"/>
                                    <w:kern w:val="24"/>
                                  </w:rPr>
                                  <m:t>=</m:t>
                                </m:r>
                                <m:d>
                                  <m:dPr>
                                    <m:ctrlPr>
                                      <w:rPr>
                                        <w:rFonts w:ascii="Cambria Math" w:hAnsi="Cambria Math"/>
                                        <w:i/>
                                        <w:color w:val="4A4A4A"/>
                                        <w:kern w:val="24"/>
                                      </w:rPr>
                                    </m:ctrlPr>
                                  </m:dPr>
                                  <m:e>
                                    <m:f>
                                      <m:fPr>
                                        <m:ctrlPr>
                                          <w:rPr>
                                            <w:rFonts w:ascii="Cambria Math" w:hAnsi="Cambria Math"/>
                                            <w:i/>
                                            <w:color w:val="4A4A4A"/>
                                            <w:kern w:val="24"/>
                                          </w:rPr>
                                        </m:ctrlPr>
                                      </m:fPr>
                                      <m:num>
                                        <m:r>
                                          <w:rPr>
                                            <w:rFonts w:ascii="Cambria Math" w:eastAsia="Cambria Math" w:hAnsi="Cambria Math"/>
                                            <w:color w:val="4A4A4A"/>
                                            <w:kern w:val="24"/>
                                          </w:rPr>
                                          <m:t>e</m:t>
                                        </m:r>
                                        <m:r>
                                          <w:rPr>
                                            <w:rFonts w:ascii="Cambria Math" w:eastAsia="Cambria Math" w:hAnsi="Cambria Math"/>
                                            <w:color w:val="4A4A4A"/>
                                            <w:kern w:val="24"/>
                                            <w:position w:val="-12"/>
                                            <w:vertAlign w:val="subscript"/>
                                          </w:rPr>
                                          <m:t>i</m:t>
                                        </m:r>
                                      </m:num>
                                      <m:den>
                                        <m:r>
                                          <w:rPr>
                                            <w:rFonts w:ascii="Cambria Math" w:hAnsi="Cambria Math"/>
                                            <w:color w:val="4A4A4A"/>
                                            <w:kern w:val="24"/>
                                          </w:rPr>
                                          <m:t>E</m:t>
                                        </m:r>
                                        <m:r>
                                          <w:rPr>
                                            <w:rFonts w:ascii="Cambria Math" w:hAnsi="Cambria Math"/>
                                            <w:color w:val="4A4A4A"/>
                                            <w:kern w:val="24"/>
                                            <w:position w:val="-12"/>
                                            <w:vertAlign w:val="subscript"/>
                                          </w:rPr>
                                          <m:t>i</m:t>
                                        </m:r>
                                      </m:den>
                                    </m:f>
                                    <m:r>
                                      <w:rPr>
                                        <w:rFonts w:ascii="Cambria Math" w:eastAsia="Cambria Math" w:hAnsi="Cambria Math"/>
                                        <w:color w:val="4A4A4A"/>
                                        <w:kern w:val="24"/>
                                      </w:rPr>
                                      <m:t>-</m:t>
                                    </m:r>
                                    <m:f>
                                      <m:fPr>
                                        <m:ctrlPr>
                                          <w:rPr>
                                            <w:rFonts w:ascii="Cambria Math" w:hAnsi="Cambria Math"/>
                                            <w:i/>
                                            <w:color w:val="4A4A4A"/>
                                            <w:kern w:val="24"/>
                                          </w:rPr>
                                        </m:ctrlPr>
                                      </m:fPr>
                                      <m:num>
                                        <m:r>
                                          <w:rPr>
                                            <w:rFonts w:ascii="Cambria Math" w:hAnsi="Cambria Math"/>
                                            <w:color w:val="4A4A4A"/>
                                            <w:kern w:val="24"/>
                                          </w:rPr>
                                          <m:t>b</m:t>
                                        </m:r>
                                        <m:r>
                                          <w:rPr>
                                            <w:rFonts w:ascii="Cambria Math" w:hAnsi="Cambria Math"/>
                                            <w:color w:val="4A4A4A"/>
                                            <w:kern w:val="24"/>
                                            <w:position w:val="-12"/>
                                            <w:vertAlign w:val="subscript"/>
                                          </w:rPr>
                                          <m:t>i</m:t>
                                        </m:r>
                                      </m:num>
                                      <m:den>
                                        <m:r>
                                          <w:rPr>
                                            <w:rFonts w:ascii="Cambria Math" w:hAnsi="Cambria Math"/>
                                            <w:color w:val="4A4A4A"/>
                                            <w:kern w:val="24"/>
                                          </w:rPr>
                                          <m:t>B</m:t>
                                        </m:r>
                                        <m:r>
                                          <w:rPr>
                                            <w:rFonts w:ascii="Cambria Math" w:hAnsi="Cambria Math"/>
                                            <w:color w:val="4A4A4A"/>
                                            <w:kern w:val="24"/>
                                            <w:position w:val="-12"/>
                                            <w:vertAlign w:val="subscript"/>
                                          </w:rPr>
                                          <m:t>i</m:t>
                                        </m:r>
                                      </m:den>
                                    </m:f>
                                  </m:e>
                                </m:d>
                                <m:r>
                                  <w:rPr>
                                    <w:rFonts w:ascii="Cambria Math" w:eastAsia="Cambria Math" w:hAnsi="Cambria Math"/>
                                    <w:color w:val="4A4A4A"/>
                                    <w:kern w:val="24"/>
                                  </w:rPr>
                                  <m:t> ×100</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1425A3EE" id="_x0000_t202" coordsize="21600,21600" o:spt="202" path="m,l,21600r21600,l21600,xe">
                <v:stroke joinstyle="miter"/>
                <v:path gradientshapeok="t" o:connecttype="rect"/>
              </v:shapetype>
              <v:shape id="TextBox 7" o:spid="_x0000_s1026" type="#_x0000_t202" style="position:absolute;left:0;text-align:left;margin-left:3.2pt;margin-top:3.1pt;width:167.65pt;height:37.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" filled="f" stroked="f">
                <v:textbox inset="0,0,0,0">
                  <w:txbxContent>
                    <w:p w14:paraId="593E2715" w14:textId="77777777" w:rsidR="00A1511C" w:rsidRPr="00732129" w:rsidRDefault="00A1511C" w:rsidP="00A1511C">
                      <w:pPr>
                        <w:pStyle w:val="NormalWeb"/>
                        <w:rPr>
                          <w:color w:val="4A4A4A"/>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olor w:val="4A4A4A"/>
                              <w:kern w:val="24"/>
                            </w:rPr>
                            <m:t>=</m:t>
                          </m:r>
                          <m:d>
                            <m:dPr>
                              <m:ctrlPr>
                                <w:rPr>
                                  <w:rFonts w:ascii="Cambria Math" w:hAnsi="Cambria Math"/>
                                  <w:i/>
                                  <w:color w:val="4A4A4A"/>
                                  <w:kern w:val="24"/>
                                </w:rPr>
                              </m:ctrlPr>
                            </m:dPr>
                            <m:e>
                              <m:f>
                                <m:fPr>
                                  <m:ctrlPr>
                                    <w:rPr>
                                      <w:rFonts w:ascii="Cambria Math" w:hAnsi="Cambria Math"/>
                                      <w:i/>
                                      <w:color w:val="4A4A4A"/>
                                      <w:kern w:val="24"/>
                                    </w:rPr>
                                  </m:ctrlPr>
                                </m:fPr>
                                <m:num>
                                  <m:r>
                                    <w:rPr>
                                      <w:rFonts w:ascii="Cambria Math" w:eastAsia="Cambria Math" w:hAnsi="Cambria Math"/>
                                      <w:color w:val="4A4A4A"/>
                                      <w:kern w:val="24"/>
                                    </w:rPr>
                                    <m:t>e</m:t>
                                  </m:r>
                                  <m:r>
                                    <w:rPr>
                                      <w:rFonts w:ascii="Cambria Math" w:eastAsia="Cambria Math" w:hAnsi="Cambria Math"/>
                                      <w:color w:val="4A4A4A"/>
                                      <w:kern w:val="24"/>
                                      <w:position w:val="-12"/>
                                      <w:vertAlign w:val="subscript"/>
                                    </w:rPr>
                                    <m:t>i</m:t>
                                  </m:r>
                                </m:num>
                                <m:den>
                                  <m:r>
                                    <w:rPr>
                                      <w:rFonts w:ascii="Cambria Math" w:hAnsi="Cambria Math"/>
                                      <w:color w:val="4A4A4A"/>
                                      <w:kern w:val="24"/>
                                    </w:rPr>
                                    <m:t>E</m:t>
                                  </m:r>
                                  <m:r>
                                    <w:rPr>
                                      <w:rFonts w:ascii="Cambria Math" w:hAnsi="Cambria Math"/>
                                      <w:color w:val="4A4A4A"/>
                                      <w:kern w:val="24"/>
                                      <w:position w:val="-12"/>
                                      <w:vertAlign w:val="subscript"/>
                                    </w:rPr>
                                    <m:t>i</m:t>
                                  </m:r>
                                </m:den>
                              </m:f>
                              <m:r>
                                <w:rPr>
                                  <w:rFonts w:ascii="Cambria Math" w:eastAsia="Cambria Math" w:hAnsi="Cambria Math"/>
                                  <w:color w:val="4A4A4A"/>
                                  <w:kern w:val="24"/>
                                </w:rPr>
                                <m:t>-</m:t>
                              </m:r>
                              <m:f>
                                <m:fPr>
                                  <m:ctrlPr>
                                    <w:rPr>
                                      <w:rFonts w:ascii="Cambria Math" w:hAnsi="Cambria Math"/>
                                      <w:i/>
                                      <w:color w:val="4A4A4A"/>
                                      <w:kern w:val="24"/>
                                    </w:rPr>
                                  </m:ctrlPr>
                                </m:fPr>
                                <m:num>
                                  <m:r>
                                    <w:rPr>
                                      <w:rFonts w:ascii="Cambria Math" w:hAnsi="Cambria Math"/>
                                      <w:color w:val="4A4A4A"/>
                                      <w:kern w:val="24"/>
                                    </w:rPr>
                                    <m:t>b</m:t>
                                  </m:r>
                                  <m:r>
                                    <w:rPr>
                                      <w:rFonts w:ascii="Cambria Math" w:hAnsi="Cambria Math"/>
                                      <w:color w:val="4A4A4A"/>
                                      <w:kern w:val="24"/>
                                      <w:position w:val="-12"/>
                                      <w:vertAlign w:val="subscript"/>
                                    </w:rPr>
                                    <m:t>i</m:t>
                                  </m:r>
                                </m:num>
                                <m:den>
                                  <m:r>
                                    <w:rPr>
                                      <w:rFonts w:ascii="Cambria Math" w:hAnsi="Cambria Math"/>
                                      <w:color w:val="4A4A4A"/>
                                      <w:kern w:val="24"/>
                                    </w:rPr>
                                    <m:t>B</m:t>
                                  </m:r>
                                  <m:r>
                                    <w:rPr>
                                      <w:rFonts w:ascii="Cambria Math" w:hAnsi="Cambria Math"/>
                                      <w:color w:val="4A4A4A"/>
                                      <w:kern w:val="24"/>
                                      <w:position w:val="-12"/>
                                      <w:vertAlign w:val="subscript"/>
                                    </w:rPr>
                                    <m:t>i</m:t>
                                  </m:r>
                                </m:den>
                              </m:f>
                            </m:e>
                          </m:d>
                          <m:r>
                            <w:rPr>
                              <w:rFonts w:ascii="Cambria Math" w:eastAsia="Cambria Math" w:hAnsi="Cambria Math"/>
                              <w:color w:val="4A4A4A"/>
                              <w:kern w:val="24"/>
                            </w:rPr>
                            <m:t> ×100</m:t>
                          </m:r>
                        </m:oMath>
                      </m:oMathPara>
                    </w:p>
                  </w:txbxContent>
                </v:textbox>
                <w10:wrap anchorx="margin"/>
              </v:shape>
            </w:pict>
          </mc:Fallback>
        </mc:AlternateContent>
      </w:r>
    </w:p>
    <w:p w14:paraId="6DB9CF46" w14:textId="77777777" w:rsidR="00A1511C" w:rsidRDefault="00A1511C" w:rsidP="00A1511C">
      <w:pPr>
        <w:pStyle w:val="MSubHeader"/>
        <w:jc w:val="center"/>
      </w:pPr>
    </w:p>
    <w:p w14:paraId="0C51B56E" w14:textId="77777777" w:rsidR="00A1511C" w:rsidRDefault="00A1511C" w:rsidP="00A1511C">
      <w:pPr>
        <w:pStyle w:val="MSubHeader"/>
        <w:jc w:val="center"/>
      </w:pPr>
    </w:p>
    <w:p w14:paraId="55DB2EF1" w14:textId="77777777" w:rsidR="00A1511C" w:rsidRDefault="00A1511C" w:rsidP="00A1511C">
      <w:pPr>
        <w:pStyle w:val="MSubHeader"/>
        <w:jc w:val="center"/>
      </w:pPr>
    </w:p>
    <w:p w14:paraId="1823E954" w14:textId="247CF5A5" w:rsidR="00E17790" w:rsidRPr="003C259B" w:rsidRDefault="00E17790" w:rsidP="00E17790">
      <w:pPr>
        <w:pStyle w:val="NormalWeb"/>
        <w:rPr>
          <w:rFonts w:asciiTheme="minorHAnsi" w:hAnsiTheme="minorHAnsi"/>
          <w:color w:val="4A4A4A"/>
          <w:sz w:val="21"/>
          <w:szCs w:val="21"/>
          <w:lang w:val="en-GB" w:eastAsia="en-GB"/>
        </w:rPr>
      </w:pPr>
      <w:r w:rsidRPr="003C259B">
        <w:rPr>
          <w:rFonts w:asciiTheme="minorHAnsi" w:hAnsiTheme="minorHAnsi"/>
          <w:color w:val="4A4A4A"/>
          <w:sz w:val="21"/>
          <w:szCs w:val="21"/>
          <w:lang w:val="en-GB" w:eastAsia="en-GB"/>
        </w:rPr>
        <w:t>where;</w:t>
      </w:r>
    </w:p>
    <w:p w14:paraId="3DDEB1EF" w14:textId="5940C19D" w:rsidR="00E17790" w:rsidRPr="003C259B" w:rsidRDefault="00E17790" w:rsidP="00E17790">
      <w:pPr>
        <w:pStyle w:val="NormalWeb"/>
        <w:rPr>
          <w:rFonts w:asciiTheme="minorHAnsi" w:hAnsiTheme="minorHAnsi"/>
          <w:color w:val="4A4A4A"/>
          <w:sz w:val="21"/>
          <w:szCs w:val="21"/>
          <w:lang w:val="en-GB" w:eastAsia="en-GB"/>
        </w:rPr>
      </w:pPr>
      <m:oMath>
        <m:r>
          <w:rPr>
            <w:rFonts w:ascii="Cambria Math" w:eastAsia="Cambria Math" w:hAnsi="Cambria Math"/>
            <w:color w:val="4A4A4A"/>
            <w:sz w:val="21"/>
            <w:szCs w:val="21"/>
            <w:lang w:val="en-GB" w:eastAsia="en-GB"/>
          </w:rPr>
          <m:t>Ci</m:t>
        </m:r>
      </m:oMath>
      <w:r w:rsidRPr="003C259B">
        <w:rPr>
          <w:rFonts w:asciiTheme="minorHAnsi" w:hAnsiTheme="minorHAnsi"/>
          <w:color w:val="4A4A4A"/>
          <w:sz w:val="21"/>
          <w:szCs w:val="21"/>
          <w:lang w:val="en-GB" w:eastAsia="en-GB"/>
        </w:rPr>
        <w:t>: Data for component i</w:t>
      </w:r>
    </w:p>
    <w:p w14:paraId="1EE18289" w14:textId="77777777" w:rsidR="00E17790" w:rsidRPr="003C259B" w:rsidRDefault="00E17790" w:rsidP="00E17790">
      <w:pPr>
        <w:pStyle w:val="NormalWeb"/>
        <w:rPr>
          <w:rFonts w:asciiTheme="minorHAnsi" w:hAnsiTheme="minorHAnsi"/>
          <w:color w:val="4A4A4A"/>
          <w:sz w:val="21"/>
          <w:szCs w:val="21"/>
          <w:lang w:val="en-GB" w:eastAsia="en-GB"/>
        </w:rPr>
      </w:pPr>
      <m:oMath>
        <m:r>
          <w:rPr>
            <w:rFonts w:ascii="Cambria Math" w:hAnsi="Cambria Math"/>
            <w:color w:val="4A4A4A"/>
            <w:sz w:val="21"/>
            <w:szCs w:val="21"/>
            <w:lang w:val="en-GB" w:eastAsia="en-GB"/>
          </w:rPr>
          <m:t>Ei</m:t>
        </m:r>
      </m:oMath>
      <w:r w:rsidRPr="003C259B">
        <w:rPr>
          <w:rFonts w:asciiTheme="minorHAnsi" w:hAnsiTheme="minorHAnsi"/>
          <w:color w:val="4A4A4A"/>
          <w:sz w:val="21"/>
          <w:szCs w:val="21"/>
          <w:lang w:val="en-GB" w:eastAsia="en-GB"/>
        </w:rPr>
        <w:t>: Total number of enablers in component i</w:t>
      </w:r>
    </w:p>
    <w:p w14:paraId="4C598CB3" w14:textId="77777777" w:rsidR="00E17790" w:rsidRPr="003C259B" w:rsidRDefault="00E17790" w:rsidP="00E17790">
      <w:pPr>
        <w:pStyle w:val="NormalWeb"/>
        <w:rPr>
          <w:rFonts w:asciiTheme="minorHAnsi" w:hAnsiTheme="minorHAnsi"/>
          <w:color w:val="4A4A4A"/>
          <w:sz w:val="21"/>
          <w:szCs w:val="21"/>
          <w:lang w:val="en-GB" w:eastAsia="en-GB"/>
        </w:rPr>
      </w:pPr>
      <m:oMath>
        <m:r>
          <w:rPr>
            <w:rFonts w:ascii="Cambria Math" w:eastAsia="Cambria Math" w:hAnsi="Cambria Math"/>
            <w:color w:val="4A4A4A"/>
            <w:sz w:val="21"/>
            <w:szCs w:val="21"/>
            <w:lang w:val="en-GB" w:eastAsia="en-GB"/>
          </w:rPr>
          <m:t>ei</m:t>
        </m:r>
      </m:oMath>
      <w:r w:rsidRPr="003C259B">
        <w:rPr>
          <w:rFonts w:asciiTheme="minorHAnsi" w:hAnsiTheme="minorHAnsi"/>
          <w:color w:val="4A4A4A"/>
          <w:sz w:val="21"/>
          <w:szCs w:val="21"/>
          <w:lang w:val="en-GB" w:eastAsia="en-GB"/>
        </w:rPr>
        <w:t>: Number of enablers that exist in component i</w:t>
      </w:r>
    </w:p>
    <w:p w14:paraId="22777B15" w14:textId="77777777" w:rsidR="00E17790" w:rsidRPr="003C259B" w:rsidRDefault="00E17790" w:rsidP="00E17790">
      <w:pPr>
        <w:pStyle w:val="NormalWeb"/>
        <w:rPr>
          <w:rFonts w:asciiTheme="minorHAnsi" w:hAnsiTheme="minorHAnsi"/>
          <w:color w:val="4A4A4A"/>
          <w:sz w:val="21"/>
          <w:szCs w:val="21"/>
          <w:lang w:val="en-GB" w:eastAsia="en-GB"/>
        </w:rPr>
      </w:pPr>
      <m:oMath>
        <m:r>
          <w:rPr>
            <w:rFonts w:ascii="Cambria Math" w:hAnsi="Cambria Math"/>
            <w:color w:val="4A4A4A"/>
            <w:sz w:val="21"/>
            <w:szCs w:val="21"/>
            <w:lang w:val="en-GB" w:eastAsia="en-GB"/>
          </w:rPr>
          <m:t>Bi</m:t>
        </m:r>
      </m:oMath>
      <w:r w:rsidRPr="003C259B">
        <w:rPr>
          <w:rFonts w:asciiTheme="minorHAnsi" w:hAnsiTheme="minorHAnsi"/>
          <w:color w:val="4A4A4A"/>
          <w:sz w:val="21"/>
          <w:szCs w:val="21"/>
          <w:lang w:val="en-GB" w:eastAsia="en-GB"/>
        </w:rPr>
        <w:t>: Total number of barriers in component i</w:t>
      </w:r>
    </w:p>
    <w:p w14:paraId="5CB9961D" w14:textId="77777777" w:rsidR="00E17790" w:rsidRPr="003C259B" w:rsidRDefault="00E17790" w:rsidP="00E17790">
      <w:pPr>
        <w:pStyle w:val="NormalWeb"/>
        <w:rPr>
          <w:rFonts w:asciiTheme="minorHAnsi" w:hAnsiTheme="minorHAnsi"/>
          <w:color w:val="4A4A4A"/>
          <w:sz w:val="21"/>
          <w:szCs w:val="21"/>
          <w:lang w:val="en-GB" w:eastAsia="en-GB"/>
        </w:rPr>
      </w:pPr>
      <m:oMath>
        <m:r>
          <w:rPr>
            <w:rFonts w:ascii="Cambria Math" w:hAnsi="Cambria Math"/>
            <w:color w:val="4A4A4A"/>
            <w:sz w:val="21"/>
            <w:szCs w:val="21"/>
            <w:lang w:val="en-GB" w:eastAsia="en-GB"/>
          </w:rPr>
          <m:t>bi</m:t>
        </m:r>
      </m:oMath>
      <w:r w:rsidRPr="003C259B">
        <w:rPr>
          <w:rFonts w:asciiTheme="minorHAnsi" w:hAnsiTheme="minorHAnsi"/>
          <w:color w:val="4A4A4A"/>
          <w:sz w:val="21"/>
          <w:szCs w:val="21"/>
          <w:lang w:val="en-GB" w:eastAsia="en-GB"/>
        </w:rPr>
        <w:t>: Number of barriers that exist in component i</w:t>
      </w:r>
    </w:p>
    <w:p w14:paraId="160C0E7B" w14:textId="2B7AEA99" w:rsidR="00E17790" w:rsidRPr="00732129" w:rsidRDefault="00E17790" w:rsidP="00A1511C">
      <w:pPr>
        <w:pStyle w:val="MText"/>
        <w:rPr>
          <w:lang w:val="en-US"/>
        </w:rPr>
      </w:pPr>
    </w:p>
    <w:p w14:paraId="6B162DDE" w14:textId="77777777" w:rsidR="002616C0" w:rsidRDefault="002616C0" w:rsidP="00A1511C">
      <w:pPr>
        <w:pStyle w:val="MText"/>
      </w:pPr>
      <w:r>
        <w:t>As l</w:t>
      </w:r>
      <w:r w:rsidRPr="002616C0">
        <w:t>egal barriers ar</w:t>
      </w:r>
      <w:r>
        <w:t xml:space="preserve">e not deemed applicable for </w:t>
      </w:r>
      <w:r w:rsidRPr="002616C0">
        <w:t>C2: life-saving commodities and C9: CSE curriculum</w:t>
      </w:r>
      <w:r>
        <w:t>, they are calculated as:</w:t>
      </w:r>
    </w:p>
    <w:p w14:paraId="5BD9B26E" w14:textId="77777777" w:rsidR="002616C0" w:rsidRDefault="002616C0" w:rsidP="00A1511C">
      <w:pPr>
        <w:pStyle w:val="MText"/>
      </w:pPr>
    </w:p>
    <w:p w14:paraId="4BD8AC43" w14:textId="675B5E26" w:rsidR="002616C0" w:rsidRDefault="002616C0" w:rsidP="00A1511C">
      <w:pPr>
        <w:pStyle w:val="MText"/>
      </w:pPr>
      <w:r w:rsidRPr="002616C0">
        <w:t xml:space="preserve">  </w:t>
      </w:r>
      <w:r w:rsidRPr="00113030">
        <w:rPr>
          <w:noProof/>
          <w:lang w:val="en-US" w:eastAsia="zh-CN"/>
        </w:rPr>
        <mc:AlternateContent>
          <mc:Choice Requires="wps">
            <w:drawing>
              <wp:anchor distT="0" distB="0" distL="114300" distR="114300" simplePos="0" relativeHeight="251661312" behindDoc="0" locked="0" layoutInCell="1" allowOverlap="1" wp14:anchorId="3737C952" wp14:editId="72332FBE">
                <wp:simplePos x="0" y="0"/>
                <wp:positionH relativeFrom="margin">
                  <wp:posOffset>0</wp:posOffset>
                </wp:positionH>
                <wp:positionV relativeFrom="paragraph">
                  <wp:posOffset>-635</wp:posOffset>
                </wp:positionV>
                <wp:extent cx="2129050" cy="477672"/>
                <wp:effectExtent l="0" t="0" r="0" b="0"/>
                <wp:wrapNone/>
                <wp:docPr id="1" name="TextBox 7">
                  <a:extLst xmlns:a="http://schemas.openxmlformats.org/drawingml/2006/main">
                    <a:ext uri="{FF2B5EF4-FFF2-40B4-BE49-F238E27FC236}">
                      <a16:creationId xmlns:a16="http://schemas.microsoft.com/office/drawing/2014/main" id="{E4B53F66-3702-4A42-8B5D-78EE40838716}"/>
                    </a:ext>
                  </a:extLst>
                </wp:docPr>
                <wp:cNvGraphicFramePr/>
                <a:graphic xmlns:a="http://schemas.openxmlformats.org/drawingml/2006/main">
                  <a:graphicData uri="http://schemas.microsoft.com/office/word/2010/wordprocessingShape">
                    <wps:wsp>
                      <wps:cNvSpPr txBox="1"/>
                      <wps:spPr>
                        <a:xfrm>
                          <a:off x="0" y="0"/>
                          <a:ext cx="2129050" cy="477672"/>
                        </a:xfrm>
                        <a:prstGeom prst="rect">
                          <a:avLst/>
                        </a:prstGeom>
                        <a:noFill/>
                      </wps:spPr>
                      <wps:txbx>
                        <w:txbxContent>
                          <w:p w14:paraId="166CCF5A" w14:textId="250439E0" w:rsidR="002616C0" w:rsidRPr="00732129" w:rsidRDefault="002616C0" w:rsidP="002616C0">
                            <w:pPr>
                              <w:pStyle w:val="NormalWeb"/>
                              <w:rPr>
                                <w:color w:val="4A4A4A"/>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olor w:val="4A4A4A"/>
                                    <w:kern w:val="24"/>
                                  </w:rPr>
                                  <m:t>=</m:t>
                                </m:r>
                                <m:f>
                                  <m:fPr>
                                    <m:ctrlPr>
                                      <w:rPr>
                                        <w:rFonts w:ascii="Cambria Math" w:hAnsi="Cambria Math"/>
                                        <w:i/>
                                        <w:color w:val="4A4A4A"/>
                                        <w:kern w:val="24"/>
                                      </w:rPr>
                                    </m:ctrlPr>
                                  </m:fPr>
                                  <m:num>
                                    <m:r>
                                      <w:rPr>
                                        <w:rFonts w:ascii="Cambria Math" w:eastAsia="Cambria Math" w:hAnsi="Cambria Math"/>
                                        <w:color w:val="4A4A4A"/>
                                        <w:kern w:val="24"/>
                                      </w:rPr>
                                      <m:t>e</m:t>
                                    </m:r>
                                    <m:r>
                                      <w:rPr>
                                        <w:rFonts w:ascii="Cambria Math" w:eastAsia="Cambria Math" w:hAnsi="Cambria Math"/>
                                        <w:color w:val="4A4A4A"/>
                                        <w:kern w:val="24"/>
                                        <w:position w:val="-12"/>
                                        <w:vertAlign w:val="subscript"/>
                                      </w:rPr>
                                      <m:t>i</m:t>
                                    </m:r>
                                  </m:num>
                                  <m:den>
                                    <m:r>
                                      <w:rPr>
                                        <w:rFonts w:ascii="Cambria Math" w:hAnsi="Cambria Math"/>
                                        <w:color w:val="4A4A4A"/>
                                        <w:kern w:val="24"/>
                                      </w:rPr>
                                      <m:t>E</m:t>
                                    </m:r>
                                    <m:r>
                                      <w:rPr>
                                        <w:rFonts w:ascii="Cambria Math" w:hAnsi="Cambria Math"/>
                                        <w:color w:val="4A4A4A"/>
                                        <w:kern w:val="24"/>
                                        <w:position w:val="-12"/>
                                        <w:vertAlign w:val="subscript"/>
                                      </w:rPr>
                                      <m:t>i</m:t>
                                    </m:r>
                                  </m:den>
                                </m:f>
                                <m:r>
                                  <w:rPr>
                                    <w:rFonts w:ascii="Cambria Math" w:eastAsia="Cambria Math" w:hAnsi="Cambria Math"/>
                                    <w:color w:val="4A4A4A"/>
                                    <w:kern w:val="24"/>
                                  </w:rPr>
                                  <m:t> ×100</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3737C952" id="_x0000_s1027" type="#_x0000_t202" style="position:absolute;margin-left:0;margin-top:-.05pt;width:167.65pt;height:37.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" filled="f" stroked="f">
                <v:textbox inset="0,0,0,0">
                  <w:txbxContent>
                    <w:p w14:paraId="166CCF5A" w14:textId="250439E0" w:rsidR="002616C0" w:rsidRPr="00732129" w:rsidRDefault="002616C0" w:rsidP="002616C0">
                      <w:pPr>
                        <w:pStyle w:val="NormalWeb"/>
                        <w:rPr>
                          <w:color w:val="4A4A4A"/>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olor w:val="4A4A4A"/>
                              <w:kern w:val="24"/>
                            </w:rPr>
                            <m:t>=</m:t>
                          </m:r>
                          <m:f>
                            <m:fPr>
                              <m:ctrlPr>
                                <w:rPr>
                                  <w:rFonts w:ascii="Cambria Math" w:hAnsi="Cambria Math"/>
                                  <w:i/>
                                  <w:color w:val="4A4A4A"/>
                                  <w:kern w:val="24"/>
                                </w:rPr>
                              </m:ctrlPr>
                            </m:fPr>
                            <m:num>
                              <m:r>
                                <w:rPr>
                                  <w:rFonts w:ascii="Cambria Math" w:eastAsia="Cambria Math" w:hAnsi="Cambria Math"/>
                                  <w:color w:val="4A4A4A"/>
                                  <w:kern w:val="24"/>
                                </w:rPr>
                                <m:t>e</m:t>
                              </m:r>
                              <m:r>
                                <w:rPr>
                                  <w:rFonts w:ascii="Cambria Math" w:eastAsia="Cambria Math" w:hAnsi="Cambria Math"/>
                                  <w:color w:val="4A4A4A"/>
                                  <w:kern w:val="24"/>
                                  <w:position w:val="-12"/>
                                  <w:vertAlign w:val="subscript"/>
                                </w:rPr>
                                <m:t>i</m:t>
                              </m:r>
                            </m:num>
                            <m:den>
                              <m:r>
                                <w:rPr>
                                  <w:rFonts w:ascii="Cambria Math" w:hAnsi="Cambria Math"/>
                                  <w:color w:val="4A4A4A"/>
                                  <w:kern w:val="24"/>
                                </w:rPr>
                                <m:t>E</m:t>
                              </m:r>
                              <m:r>
                                <w:rPr>
                                  <w:rFonts w:ascii="Cambria Math" w:hAnsi="Cambria Math"/>
                                  <w:color w:val="4A4A4A"/>
                                  <w:kern w:val="24"/>
                                  <w:position w:val="-12"/>
                                  <w:vertAlign w:val="subscript"/>
                                </w:rPr>
                                <m:t>i</m:t>
                              </m:r>
                            </m:den>
                          </m:f>
                          <m:r>
                            <w:rPr>
                              <w:rFonts w:ascii="Cambria Math" w:eastAsia="Cambria Math" w:hAnsi="Cambria Math"/>
                              <w:color w:val="4A4A4A"/>
                              <w:kern w:val="24"/>
                            </w:rPr>
                            <m:t> ×100</m:t>
                          </m:r>
                        </m:oMath>
                      </m:oMathPara>
                    </w:p>
                  </w:txbxContent>
                </v:textbox>
                <w10:wrap anchorx="margin"/>
              </v:shape>
            </w:pict>
          </mc:Fallback>
        </mc:AlternateContent>
      </w:r>
    </w:p>
    <w:p w14:paraId="3123AD34" w14:textId="77777777" w:rsidR="002616C0" w:rsidRDefault="002616C0" w:rsidP="00A1511C">
      <w:pPr>
        <w:pStyle w:val="MText"/>
      </w:pPr>
    </w:p>
    <w:p w14:paraId="263E9BF9" w14:textId="77777777" w:rsidR="002616C0" w:rsidRDefault="002616C0" w:rsidP="00A1511C">
      <w:pPr>
        <w:pStyle w:val="MText"/>
      </w:pPr>
    </w:p>
    <w:p w14:paraId="494C47B5" w14:textId="77777777" w:rsidR="002616C0" w:rsidRPr="003C259B" w:rsidRDefault="002616C0" w:rsidP="002616C0">
      <w:pPr>
        <w:pStyle w:val="NormalWeb"/>
        <w:rPr>
          <w:rFonts w:asciiTheme="minorHAnsi" w:hAnsiTheme="minorHAnsi"/>
          <w:color w:val="4A4A4A"/>
          <w:sz w:val="21"/>
          <w:szCs w:val="21"/>
          <w:lang w:eastAsia="en-GB"/>
        </w:rPr>
      </w:pPr>
      <w:r w:rsidRPr="003C259B">
        <w:rPr>
          <w:rFonts w:asciiTheme="minorHAnsi" w:hAnsiTheme="minorHAnsi"/>
          <w:color w:val="4A4A4A"/>
          <w:sz w:val="21"/>
          <w:szCs w:val="21"/>
          <w:lang w:eastAsia="en-GB"/>
        </w:rPr>
        <w:t>where;</w:t>
      </w:r>
    </w:p>
    <w:p w14:paraId="0E67D24F" w14:textId="77777777" w:rsidR="002616C0" w:rsidRPr="003C259B" w:rsidRDefault="002616C0" w:rsidP="002616C0">
      <w:pPr>
        <w:pStyle w:val="NormalWeb"/>
        <w:rPr>
          <w:rFonts w:asciiTheme="minorHAnsi" w:hAnsiTheme="minorHAnsi"/>
          <w:color w:val="4A4A4A"/>
          <w:sz w:val="21"/>
          <w:szCs w:val="21"/>
          <w:lang w:eastAsia="en-GB"/>
        </w:rPr>
      </w:pPr>
      <m:oMath>
        <m:r>
          <w:rPr>
            <w:rFonts w:ascii="Cambria Math" w:eastAsia="Cambria Math" w:hAnsi="Cambria Math"/>
            <w:color w:val="4A4A4A"/>
            <w:sz w:val="21"/>
            <w:szCs w:val="21"/>
            <w:lang w:eastAsia="en-GB"/>
          </w:rPr>
          <m:t>Ci</m:t>
        </m:r>
      </m:oMath>
      <w:r w:rsidRPr="003C259B">
        <w:rPr>
          <w:rFonts w:asciiTheme="minorHAnsi" w:hAnsiTheme="minorHAnsi"/>
          <w:color w:val="4A4A4A"/>
          <w:sz w:val="21"/>
          <w:szCs w:val="21"/>
          <w:lang w:eastAsia="en-GB"/>
        </w:rPr>
        <w:t>: Data for component i</w:t>
      </w:r>
    </w:p>
    <w:p w14:paraId="3FFBD539" w14:textId="77777777" w:rsidR="002616C0" w:rsidRPr="003C259B" w:rsidRDefault="002616C0" w:rsidP="002616C0">
      <w:pPr>
        <w:pStyle w:val="NormalWeb"/>
        <w:rPr>
          <w:rFonts w:asciiTheme="minorHAnsi" w:hAnsiTheme="minorHAnsi"/>
          <w:color w:val="4A4A4A"/>
          <w:sz w:val="21"/>
          <w:szCs w:val="21"/>
          <w:lang w:eastAsia="en-GB"/>
        </w:rPr>
      </w:pPr>
      <m:oMath>
        <m:r>
          <w:rPr>
            <w:rFonts w:ascii="Cambria Math" w:hAnsi="Cambria Math"/>
            <w:color w:val="4A4A4A"/>
            <w:sz w:val="21"/>
            <w:szCs w:val="21"/>
            <w:lang w:eastAsia="en-GB"/>
          </w:rPr>
          <m:t>Ei</m:t>
        </m:r>
      </m:oMath>
      <w:r w:rsidRPr="003C259B">
        <w:rPr>
          <w:rFonts w:asciiTheme="minorHAnsi" w:hAnsiTheme="minorHAnsi"/>
          <w:color w:val="4A4A4A"/>
          <w:sz w:val="21"/>
          <w:szCs w:val="21"/>
          <w:lang w:eastAsia="en-GB"/>
        </w:rPr>
        <w:t>: Total number of enablers in component i</w:t>
      </w:r>
    </w:p>
    <w:p w14:paraId="3B2FD236" w14:textId="77777777" w:rsidR="002616C0" w:rsidRPr="003C259B" w:rsidRDefault="002616C0" w:rsidP="002616C0">
      <w:pPr>
        <w:pStyle w:val="NormalWeb"/>
        <w:rPr>
          <w:rFonts w:asciiTheme="minorHAnsi" w:hAnsiTheme="minorHAnsi"/>
          <w:color w:val="4A4A4A"/>
          <w:sz w:val="21"/>
          <w:szCs w:val="21"/>
          <w:lang w:eastAsia="en-GB"/>
        </w:rPr>
      </w:pPr>
      <m:oMath>
        <m:r>
          <w:rPr>
            <w:rFonts w:ascii="Cambria Math" w:eastAsia="Cambria Math" w:hAnsi="Cambria Math"/>
            <w:color w:val="4A4A4A"/>
            <w:sz w:val="21"/>
            <w:szCs w:val="21"/>
            <w:lang w:eastAsia="en-GB"/>
          </w:rPr>
          <m:t>ei</m:t>
        </m:r>
      </m:oMath>
      <w:r w:rsidRPr="003C259B">
        <w:rPr>
          <w:rFonts w:asciiTheme="minorHAnsi" w:hAnsiTheme="minorHAnsi"/>
          <w:color w:val="4A4A4A"/>
          <w:sz w:val="21"/>
          <w:szCs w:val="21"/>
          <w:lang w:eastAsia="en-GB"/>
        </w:rPr>
        <w:t>: Number of enablers that exist in component i</w:t>
      </w:r>
    </w:p>
    <w:p w14:paraId="52079715" w14:textId="34A027AD" w:rsidR="002616C0" w:rsidRDefault="002616C0" w:rsidP="00A1511C">
      <w:pPr>
        <w:pStyle w:val="MText"/>
        <w:rPr>
          <w:lang w:val="en-US"/>
        </w:rPr>
      </w:pPr>
    </w:p>
    <w:p w14:paraId="7F1EEB50" w14:textId="58188C2E" w:rsidR="002616C0" w:rsidRDefault="002616C0" w:rsidP="00A1511C">
      <w:pPr>
        <w:pStyle w:val="MText"/>
        <w:rPr>
          <w:lang w:val="en-US"/>
        </w:rPr>
      </w:pPr>
      <w:r>
        <w:rPr>
          <w:lang w:val="en-US"/>
        </w:rPr>
        <w:t xml:space="preserve">In addition, as C3: Abortion collects </w:t>
      </w:r>
      <w:r w:rsidR="007F63EE">
        <w:rPr>
          <w:lang w:val="en-US"/>
        </w:rPr>
        <w:t xml:space="preserve">information on four types of legal ground (to save a woman’s life, to preserve a woman’s health, in cases of rape, and in cases of fetal impairment), and that the legal barriers apply to each type, it is calculated as:  </w:t>
      </w:r>
    </w:p>
    <w:p w14:paraId="07257145" w14:textId="7216734B" w:rsidR="007F63EE" w:rsidRDefault="007F63EE" w:rsidP="00A1511C">
      <w:pPr>
        <w:pStyle w:val="MText"/>
        <w:rPr>
          <w:lang w:val="en-US"/>
        </w:rPr>
      </w:pPr>
      <w:r w:rsidRPr="00113030">
        <w:rPr>
          <w:noProof/>
          <w:lang w:val="en-US" w:eastAsia="zh-CN"/>
        </w:rPr>
        <mc:AlternateContent>
          <mc:Choice Requires="wps">
            <w:drawing>
              <wp:anchor distT="0" distB="0" distL="114300" distR="114300" simplePos="0" relativeHeight="251663360" behindDoc="0" locked="0" layoutInCell="1" allowOverlap="1" wp14:anchorId="2B1B66B6" wp14:editId="332D2ACE">
                <wp:simplePos x="0" y="0"/>
                <wp:positionH relativeFrom="margin">
                  <wp:posOffset>269875</wp:posOffset>
                </wp:positionH>
                <wp:positionV relativeFrom="paragraph">
                  <wp:posOffset>183515</wp:posOffset>
                </wp:positionV>
                <wp:extent cx="2129050" cy="477672"/>
                <wp:effectExtent l="0" t="0" r="0" b="0"/>
                <wp:wrapNone/>
                <wp:docPr id="2" name="TextBox 7">
                  <a:extLst xmlns:a="http://schemas.openxmlformats.org/drawingml/2006/main">
                    <a:ext uri="{FF2B5EF4-FFF2-40B4-BE49-F238E27FC236}">
                      <a16:creationId xmlns:a16="http://schemas.microsoft.com/office/drawing/2014/main" id="{E4B53F66-3702-4A42-8B5D-78EE40838716}"/>
                    </a:ext>
                  </a:extLst>
                </wp:docPr>
                <wp:cNvGraphicFramePr/>
                <a:graphic xmlns:a="http://schemas.openxmlformats.org/drawingml/2006/main">
                  <a:graphicData uri="http://schemas.microsoft.com/office/word/2010/wordprocessingShape">
                    <wps:wsp>
                      <wps:cNvSpPr txBox="1"/>
                      <wps:spPr>
                        <a:xfrm>
                          <a:off x="0" y="0"/>
                          <a:ext cx="2129050" cy="477672"/>
                        </a:xfrm>
                        <a:prstGeom prst="rect">
                          <a:avLst/>
                        </a:prstGeom>
                        <a:noFill/>
                      </wps:spPr>
                      <wps:txbx>
                        <w:txbxContent>
                          <w:p w14:paraId="05F075B7" w14:textId="11434F81" w:rsidR="007F63EE" w:rsidRPr="00732129" w:rsidRDefault="007F63EE" w:rsidP="007F63EE">
                            <w:pPr>
                              <w:pStyle w:val="NormalWeb"/>
                              <w:rPr>
                                <w:color w:val="4A4A4A"/>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olor w:val="4A4A4A"/>
                                    <w:kern w:val="24"/>
                                  </w:rPr>
                                  <m:t>=</m:t>
                                </m:r>
                                <m:f>
                                  <m:fPr>
                                    <m:ctrlPr>
                                      <w:rPr>
                                        <w:rFonts w:ascii="Cambria Math" w:hAnsi="Cambria Math"/>
                                        <w:i/>
                                        <w:color w:val="4A4A4A"/>
                                        <w:kern w:val="24"/>
                                      </w:rPr>
                                    </m:ctrlPr>
                                  </m:fPr>
                                  <m:num>
                                    <m:r>
                                      <w:rPr>
                                        <w:rFonts w:ascii="Cambria Math" w:eastAsia="Cambria Math" w:hAnsi="Cambria Math"/>
                                        <w:color w:val="4A4A4A"/>
                                        <w:kern w:val="24"/>
                                      </w:rPr>
                                      <m:t>e</m:t>
                                    </m:r>
                                    <m:r>
                                      <w:rPr>
                                        <w:rFonts w:ascii="Cambria Math" w:eastAsia="Cambria Math" w:hAnsi="Cambria Math"/>
                                        <w:color w:val="4A4A4A"/>
                                        <w:kern w:val="24"/>
                                        <w:position w:val="-12"/>
                                        <w:vertAlign w:val="subscript"/>
                                      </w:rPr>
                                      <m:t>i</m:t>
                                    </m:r>
                                  </m:num>
                                  <m:den>
                                    <m:r>
                                      <w:rPr>
                                        <w:rFonts w:ascii="Cambria Math" w:hAnsi="Cambria Math"/>
                                        <w:color w:val="4A4A4A"/>
                                        <w:kern w:val="24"/>
                                      </w:rPr>
                                      <m:t>E</m:t>
                                    </m:r>
                                    <m:r>
                                      <w:rPr>
                                        <w:rFonts w:ascii="Cambria Math" w:hAnsi="Cambria Math"/>
                                        <w:color w:val="4A4A4A"/>
                                        <w:kern w:val="24"/>
                                        <w:position w:val="-12"/>
                                        <w:vertAlign w:val="subscript"/>
                                      </w:rPr>
                                      <m:t>i</m:t>
                                    </m:r>
                                  </m:den>
                                </m:f>
                                <m:r>
                                  <w:rPr>
                                    <w:rFonts w:ascii="Cambria Math" w:eastAsia="Cambria Math" w:hAnsi="Cambria Math"/>
                                    <w:color w:val="4A4A4A"/>
                                    <w:kern w:val="24"/>
                                  </w:rPr>
                                  <m:t> (1-</m:t>
                                </m:r>
                                <m:f>
                                  <m:fPr>
                                    <m:ctrlPr>
                                      <w:rPr>
                                        <w:rFonts w:ascii="Cambria Math" w:hAnsi="Cambria Math"/>
                                        <w:i/>
                                        <w:color w:val="4A4A4A"/>
                                        <w:kern w:val="24"/>
                                      </w:rPr>
                                    </m:ctrlPr>
                                  </m:fPr>
                                  <m:num>
                                    <m:r>
                                      <w:rPr>
                                        <w:rFonts w:ascii="Cambria Math" w:hAnsi="Cambria Math"/>
                                        <w:color w:val="4A4A4A"/>
                                        <w:kern w:val="24"/>
                                      </w:rPr>
                                      <m:t>b</m:t>
                                    </m:r>
                                    <m:r>
                                      <w:rPr>
                                        <w:rFonts w:ascii="Cambria Math" w:hAnsi="Cambria Math"/>
                                        <w:color w:val="4A4A4A"/>
                                        <w:kern w:val="24"/>
                                        <w:position w:val="-12"/>
                                        <w:vertAlign w:val="subscript"/>
                                      </w:rPr>
                                      <m:t>i</m:t>
                                    </m:r>
                                  </m:num>
                                  <m:den>
                                    <m:r>
                                      <w:rPr>
                                        <w:rFonts w:ascii="Cambria Math" w:hAnsi="Cambria Math"/>
                                        <w:color w:val="4A4A4A"/>
                                        <w:kern w:val="24"/>
                                      </w:rPr>
                                      <m:t>B</m:t>
                                    </m:r>
                                    <m:r>
                                      <w:rPr>
                                        <w:rFonts w:ascii="Cambria Math" w:hAnsi="Cambria Math"/>
                                        <w:color w:val="4A4A4A"/>
                                        <w:kern w:val="24"/>
                                        <w:position w:val="-12"/>
                                        <w:vertAlign w:val="subscript"/>
                                      </w:rPr>
                                      <m:t>i</m:t>
                                    </m:r>
                                  </m:den>
                                </m:f>
                                <m:r>
                                  <w:rPr>
                                    <w:rFonts w:ascii="Cambria Math" w:eastAsia="Cambria Math" w:hAnsi="Cambria Math"/>
                                    <w:color w:val="4A4A4A"/>
                                    <w:kern w:val="24"/>
                                  </w:rPr>
                                  <m:t>)×100</m:t>
                                </m:r>
                              </m:oMath>
                            </m:oMathPara>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B1B66B6" id="_x0000_s1028" type="#_x0000_t202" style="position:absolute;margin-left:21.25pt;margin-top:14.45pt;width:167.65pt;height:37.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" filled="f" stroked="f">
                <v:textbox inset="0,0,0,0">
                  <w:txbxContent>
                    <w:p w14:paraId="05F075B7" w14:textId="11434F81" w:rsidR="007F63EE" w:rsidRPr="00732129" w:rsidRDefault="007F63EE" w:rsidP="007F63EE">
                      <w:pPr>
                        <w:pStyle w:val="NormalWeb"/>
                        <w:rPr>
                          <w:color w:val="4A4A4A"/>
                          <w:sz w:val="12"/>
                        </w:rPr>
                      </w:pPr>
                      <m:oMathPara>
                        <m:oMathParaPr>
                          <m:jc m:val="centerGroup"/>
                        </m:oMathParaPr>
                        <m:oMath>
                          <m:r>
                            <w:rPr>
                              <w:rFonts w:ascii="Cambria Math" w:eastAsia="Cambria Math" w:hAnsi="Cambria Math" w:cstheme="minorBidi"/>
                              <w:color w:val="000000"/>
                              <w:kern w:val="24"/>
                              <w:szCs w:val="48"/>
                            </w:rPr>
                            <m:t>C</m:t>
                          </m:r>
                          <m:r>
                            <w:rPr>
                              <w:rFonts w:ascii="Cambria Math" w:eastAsia="Cambria Math" w:hAnsi="Cambria Math" w:cstheme="minorBidi"/>
                              <w:color w:val="000000"/>
                              <w:kern w:val="24"/>
                              <w:position w:val="-12"/>
                              <w:szCs w:val="48"/>
                              <w:vertAlign w:val="subscript"/>
                            </w:rPr>
                            <m:t>i</m:t>
                          </m:r>
                          <m:r>
                            <w:rPr>
                              <w:rFonts w:ascii="Cambria Math" w:eastAsia="Cambria Math" w:hAnsi="Cambria Math"/>
                              <w:color w:val="4A4A4A"/>
                              <w:kern w:val="24"/>
                            </w:rPr>
                            <m:t>=</m:t>
                          </m:r>
                          <m:f>
                            <m:fPr>
                              <m:ctrlPr>
                                <w:rPr>
                                  <w:rFonts w:ascii="Cambria Math" w:hAnsi="Cambria Math"/>
                                  <w:i/>
                                  <w:color w:val="4A4A4A"/>
                                  <w:kern w:val="24"/>
                                </w:rPr>
                              </m:ctrlPr>
                            </m:fPr>
                            <m:num>
                              <m:r>
                                <w:rPr>
                                  <w:rFonts w:ascii="Cambria Math" w:eastAsia="Cambria Math" w:hAnsi="Cambria Math"/>
                                  <w:color w:val="4A4A4A"/>
                                  <w:kern w:val="24"/>
                                </w:rPr>
                                <m:t>e</m:t>
                              </m:r>
                              <m:r>
                                <w:rPr>
                                  <w:rFonts w:ascii="Cambria Math" w:eastAsia="Cambria Math" w:hAnsi="Cambria Math"/>
                                  <w:color w:val="4A4A4A"/>
                                  <w:kern w:val="24"/>
                                  <w:position w:val="-12"/>
                                  <w:vertAlign w:val="subscript"/>
                                </w:rPr>
                                <m:t>i</m:t>
                              </m:r>
                            </m:num>
                            <m:den>
                              <m:r>
                                <w:rPr>
                                  <w:rFonts w:ascii="Cambria Math" w:hAnsi="Cambria Math"/>
                                  <w:color w:val="4A4A4A"/>
                                  <w:kern w:val="24"/>
                                </w:rPr>
                                <m:t>E</m:t>
                              </m:r>
                              <m:r>
                                <w:rPr>
                                  <w:rFonts w:ascii="Cambria Math" w:hAnsi="Cambria Math"/>
                                  <w:color w:val="4A4A4A"/>
                                  <w:kern w:val="24"/>
                                  <w:position w:val="-12"/>
                                  <w:vertAlign w:val="subscript"/>
                                </w:rPr>
                                <m:t>i</m:t>
                              </m:r>
                            </m:den>
                          </m:f>
                          <m:r>
                            <w:rPr>
                              <w:rFonts w:ascii="Cambria Math" w:eastAsia="Cambria Math" w:hAnsi="Cambria Math"/>
                              <w:color w:val="4A4A4A"/>
                              <w:kern w:val="24"/>
                            </w:rPr>
                            <m:t> (1-</m:t>
                          </m:r>
                          <m:f>
                            <m:fPr>
                              <m:ctrlPr>
                                <w:rPr>
                                  <w:rFonts w:ascii="Cambria Math" w:hAnsi="Cambria Math"/>
                                  <w:i/>
                                  <w:color w:val="4A4A4A"/>
                                  <w:kern w:val="24"/>
                                </w:rPr>
                              </m:ctrlPr>
                            </m:fPr>
                            <m:num>
                              <m:r>
                                <w:rPr>
                                  <w:rFonts w:ascii="Cambria Math" w:hAnsi="Cambria Math"/>
                                  <w:color w:val="4A4A4A"/>
                                  <w:kern w:val="24"/>
                                </w:rPr>
                                <m:t>b</m:t>
                              </m:r>
                              <m:r>
                                <w:rPr>
                                  <w:rFonts w:ascii="Cambria Math" w:hAnsi="Cambria Math"/>
                                  <w:color w:val="4A4A4A"/>
                                  <w:kern w:val="24"/>
                                  <w:position w:val="-12"/>
                                  <w:vertAlign w:val="subscript"/>
                                </w:rPr>
                                <m:t>i</m:t>
                              </m:r>
                            </m:num>
                            <m:den>
                              <m:r>
                                <w:rPr>
                                  <w:rFonts w:ascii="Cambria Math" w:hAnsi="Cambria Math"/>
                                  <w:color w:val="4A4A4A"/>
                                  <w:kern w:val="24"/>
                                </w:rPr>
                                <m:t>B</m:t>
                              </m:r>
                              <m:r>
                                <w:rPr>
                                  <w:rFonts w:ascii="Cambria Math" w:hAnsi="Cambria Math"/>
                                  <w:color w:val="4A4A4A"/>
                                  <w:kern w:val="24"/>
                                  <w:position w:val="-12"/>
                                  <w:vertAlign w:val="subscript"/>
                                </w:rPr>
                                <m:t>i</m:t>
                              </m:r>
                            </m:den>
                          </m:f>
                          <m:r>
                            <w:rPr>
                              <w:rFonts w:ascii="Cambria Math" w:eastAsia="Cambria Math" w:hAnsi="Cambria Math"/>
                              <w:color w:val="4A4A4A"/>
                              <w:kern w:val="24"/>
                            </w:rPr>
                            <m:t>)×100</m:t>
                          </m:r>
                        </m:oMath>
                      </m:oMathPara>
                    </w:p>
                  </w:txbxContent>
                </v:textbox>
                <w10:wrap anchorx="margin"/>
              </v:shape>
            </w:pict>
          </mc:Fallback>
        </mc:AlternateContent>
      </w:r>
    </w:p>
    <w:p w14:paraId="6529A498" w14:textId="68ED4900" w:rsidR="007F63EE" w:rsidRDefault="007F63EE" w:rsidP="00A1511C">
      <w:pPr>
        <w:pStyle w:val="MText"/>
        <w:rPr>
          <w:lang w:val="en-US"/>
        </w:rPr>
      </w:pPr>
    </w:p>
    <w:p w14:paraId="7ECDF602" w14:textId="77777777" w:rsidR="002616C0" w:rsidRPr="007F63EE" w:rsidRDefault="002616C0" w:rsidP="00A1511C">
      <w:pPr>
        <w:pStyle w:val="MText"/>
        <w:rPr>
          <w:lang w:val="en-US"/>
        </w:rPr>
      </w:pPr>
    </w:p>
    <w:p w14:paraId="0F0630A1" w14:textId="77777777" w:rsidR="002616C0" w:rsidRDefault="002616C0" w:rsidP="00A1511C">
      <w:pPr>
        <w:pStyle w:val="MText"/>
      </w:pPr>
    </w:p>
    <w:p w14:paraId="4F7D5B64" w14:textId="77777777" w:rsidR="007F63EE" w:rsidRPr="003C259B" w:rsidRDefault="007F63EE" w:rsidP="007F63EE">
      <w:pPr>
        <w:pStyle w:val="NormalWeb"/>
        <w:rPr>
          <w:rFonts w:asciiTheme="minorHAnsi" w:hAnsiTheme="minorHAnsi"/>
          <w:color w:val="4A4A4A"/>
          <w:sz w:val="21"/>
          <w:szCs w:val="21"/>
          <w:lang w:eastAsia="en-GB"/>
        </w:rPr>
      </w:pPr>
      <w:proofErr w:type="gramStart"/>
      <w:r w:rsidRPr="003C259B">
        <w:rPr>
          <w:rFonts w:asciiTheme="minorHAnsi" w:hAnsiTheme="minorHAnsi"/>
          <w:color w:val="4A4A4A"/>
          <w:sz w:val="21"/>
          <w:szCs w:val="21"/>
          <w:lang w:eastAsia="en-GB"/>
        </w:rPr>
        <w:t>where;</w:t>
      </w:r>
      <w:proofErr w:type="gramEnd"/>
    </w:p>
    <w:p w14:paraId="1727F342" w14:textId="77777777" w:rsidR="007F63EE" w:rsidRPr="003C259B" w:rsidRDefault="007F63EE" w:rsidP="007F63EE">
      <w:pPr>
        <w:pStyle w:val="NormalWeb"/>
        <w:rPr>
          <w:rFonts w:asciiTheme="minorHAnsi" w:hAnsiTheme="minorHAnsi"/>
          <w:color w:val="4A4A4A"/>
          <w:sz w:val="21"/>
          <w:szCs w:val="21"/>
          <w:lang w:eastAsia="en-GB"/>
        </w:rPr>
      </w:pPr>
      <m:oMath>
        <m:r>
          <w:rPr>
            <w:rFonts w:ascii="Cambria Math" w:eastAsia="Cambria Math" w:hAnsi="Cambria Math"/>
            <w:color w:val="4A4A4A"/>
            <w:sz w:val="21"/>
            <w:szCs w:val="21"/>
            <w:lang w:eastAsia="en-GB"/>
          </w:rPr>
          <m:t>Ci</m:t>
        </m:r>
      </m:oMath>
      <w:r w:rsidRPr="003C259B">
        <w:rPr>
          <w:rFonts w:asciiTheme="minorHAnsi" w:hAnsiTheme="minorHAnsi"/>
          <w:color w:val="4A4A4A"/>
          <w:sz w:val="21"/>
          <w:szCs w:val="21"/>
          <w:lang w:eastAsia="en-GB"/>
        </w:rPr>
        <w:t>: Data for component i</w:t>
      </w:r>
    </w:p>
    <w:p w14:paraId="72ABDBFA" w14:textId="77777777" w:rsidR="007F63EE" w:rsidRPr="003C259B" w:rsidRDefault="007F63EE" w:rsidP="007F63EE">
      <w:pPr>
        <w:pStyle w:val="NormalWeb"/>
        <w:rPr>
          <w:rFonts w:asciiTheme="minorHAnsi" w:hAnsiTheme="minorHAnsi"/>
          <w:color w:val="4A4A4A"/>
          <w:sz w:val="21"/>
          <w:szCs w:val="21"/>
          <w:lang w:eastAsia="en-GB"/>
        </w:rPr>
      </w:pPr>
      <m:oMath>
        <m:r>
          <w:rPr>
            <w:rFonts w:ascii="Cambria Math" w:hAnsi="Cambria Math"/>
            <w:color w:val="4A4A4A"/>
            <w:sz w:val="21"/>
            <w:szCs w:val="21"/>
            <w:lang w:eastAsia="en-GB"/>
          </w:rPr>
          <m:t>Ei</m:t>
        </m:r>
      </m:oMath>
      <w:r w:rsidRPr="003C259B">
        <w:rPr>
          <w:rFonts w:asciiTheme="minorHAnsi" w:hAnsiTheme="minorHAnsi"/>
          <w:color w:val="4A4A4A"/>
          <w:sz w:val="21"/>
          <w:szCs w:val="21"/>
          <w:lang w:eastAsia="en-GB"/>
        </w:rPr>
        <w:t>: Total number of enablers in component i</w:t>
      </w:r>
    </w:p>
    <w:p w14:paraId="4622FE15" w14:textId="77777777" w:rsidR="007F63EE" w:rsidRPr="003C259B" w:rsidRDefault="007F63EE" w:rsidP="007F63EE">
      <w:pPr>
        <w:pStyle w:val="NormalWeb"/>
        <w:rPr>
          <w:rFonts w:asciiTheme="minorHAnsi" w:hAnsiTheme="minorHAnsi"/>
          <w:color w:val="4A4A4A"/>
          <w:sz w:val="21"/>
          <w:szCs w:val="21"/>
          <w:lang w:eastAsia="en-GB"/>
        </w:rPr>
      </w:pPr>
      <m:oMath>
        <m:r>
          <w:rPr>
            <w:rFonts w:ascii="Cambria Math" w:eastAsia="Cambria Math" w:hAnsi="Cambria Math"/>
            <w:color w:val="4A4A4A"/>
            <w:sz w:val="21"/>
            <w:szCs w:val="21"/>
            <w:lang w:eastAsia="en-GB"/>
          </w:rPr>
          <m:t>ei</m:t>
        </m:r>
      </m:oMath>
      <w:r w:rsidRPr="003C259B">
        <w:rPr>
          <w:rFonts w:asciiTheme="minorHAnsi" w:hAnsiTheme="minorHAnsi"/>
          <w:color w:val="4A4A4A"/>
          <w:sz w:val="21"/>
          <w:szCs w:val="21"/>
          <w:lang w:eastAsia="en-GB"/>
        </w:rPr>
        <w:t>: Number of enablers that exist in component i</w:t>
      </w:r>
    </w:p>
    <w:p w14:paraId="477A33A3" w14:textId="77777777" w:rsidR="007F63EE" w:rsidRPr="003C259B" w:rsidRDefault="007F63EE" w:rsidP="007F63EE">
      <w:pPr>
        <w:pStyle w:val="NormalWeb"/>
        <w:rPr>
          <w:rFonts w:asciiTheme="minorHAnsi" w:hAnsiTheme="minorHAnsi"/>
          <w:color w:val="4A4A4A"/>
          <w:sz w:val="21"/>
          <w:szCs w:val="21"/>
          <w:lang w:eastAsia="en-GB"/>
        </w:rPr>
      </w:pPr>
      <m:oMath>
        <m:r>
          <w:rPr>
            <w:rFonts w:ascii="Cambria Math" w:hAnsi="Cambria Math"/>
            <w:color w:val="4A4A4A"/>
            <w:sz w:val="21"/>
            <w:szCs w:val="21"/>
            <w:lang w:eastAsia="en-GB"/>
          </w:rPr>
          <m:t>Bi</m:t>
        </m:r>
      </m:oMath>
      <w:r w:rsidRPr="003C259B">
        <w:rPr>
          <w:rFonts w:asciiTheme="minorHAnsi" w:hAnsiTheme="minorHAnsi"/>
          <w:color w:val="4A4A4A"/>
          <w:sz w:val="21"/>
          <w:szCs w:val="21"/>
          <w:lang w:eastAsia="en-GB"/>
        </w:rPr>
        <w:t>: Total number of barriers in component i</w:t>
      </w:r>
    </w:p>
    <w:p w14:paraId="361BBD0C" w14:textId="77777777" w:rsidR="007F63EE" w:rsidRPr="003C259B" w:rsidRDefault="007F63EE" w:rsidP="007F63EE">
      <w:pPr>
        <w:pStyle w:val="NormalWeb"/>
        <w:rPr>
          <w:rFonts w:asciiTheme="minorHAnsi" w:hAnsiTheme="minorHAnsi"/>
          <w:color w:val="4A4A4A"/>
          <w:sz w:val="21"/>
          <w:szCs w:val="21"/>
          <w:lang w:eastAsia="en-GB"/>
        </w:rPr>
      </w:pPr>
      <m:oMath>
        <m:r>
          <w:rPr>
            <w:rFonts w:ascii="Cambria Math" w:hAnsi="Cambria Math"/>
            <w:color w:val="4A4A4A"/>
            <w:sz w:val="21"/>
            <w:szCs w:val="21"/>
            <w:lang w:eastAsia="en-GB"/>
          </w:rPr>
          <m:t>bi</m:t>
        </m:r>
      </m:oMath>
      <w:r w:rsidRPr="003C259B">
        <w:rPr>
          <w:rFonts w:asciiTheme="minorHAnsi" w:hAnsiTheme="minorHAnsi"/>
          <w:color w:val="4A4A4A"/>
          <w:sz w:val="21"/>
          <w:szCs w:val="21"/>
          <w:lang w:eastAsia="en-GB"/>
        </w:rPr>
        <w:t>: Number of barriers that exist in component i</w:t>
      </w:r>
    </w:p>
    <w:p w14:paraId="64675D34" w14:textId="0157CBB8" w:rsidR="002616C0" w:rsidRPr="003C259B" w:rsidRDefault="002616C0" w:rsidP="00A1511C">
      <w:pPr>
        <w:pStyle w:val="MText"/>
        <w:rPr>
          <w:lang w:val="en-US"/>
        </w:rPr>
      </w:pPr>
    </w:p>
    <w:p w14:paraId="54A4B5A2" w14:textId="61C52D4A" w:rsidR="00A1511C" w:rsidRPr="006F7093" w:rsidRDefault="00A1511C" w:rsidP="00A1511C">
      <w:pPr>
        <w:pStyle w:val="MText"/>
      </w:pPr>
      <w:r>
        <w:t>Value</w:t>
      </w:r>
      <w:r w:rsidRPr="006F7093">
        <w:t xml:space="preserve"> for Indicator 5.6.2 is calculated as </w:t>
      </w:r>
      <w:r w:rsidRPr="00CA5E67">
        <w:rPr>
          <w:i/>
          <w:iCs/>
        </w:rPr>
        <w:t xml:space="preserve">the arithmetic mean of the </w:t>
      </w:r>
      <w:r w:rsidR="00B3222F" w:rsidRPr="00CA5E67">
        <w:rPr>
          <w:i/>
          <w:iCs/>
        </w:rPr>
        <w:t>13-component</w:t>
      </w:r>
      <w:r w:rsidRPr="00CA5E67">
        <w:rPr>
          <w:i/>
          <w:iCs/>
        </w:rPr>
        <w:t xml:space="preserve"> </w:t>
      </w:r>
      <w:r>
        <w:rPr>
          <w:i/>
          <w:iCs/>
        </w:rPr>
        <w:t>data</w:t>
      </w:r>
      <w:r w:rsidRPr="006F7093">
        <w:t xml:space="preserve">. Similarly, the </w:t>
      </w:r>
      <w:r>
        <w:t>value</w:t>
      </w:r>
      <w:r w:rsidRPr="006F7093">
        <w:t xml:space="preserve"> for each section is calculated as the arithmetic mean of its constituent component </w:t>
      </w:r>
      <w:r>
        <w:t>data</w:t>
      </w:r>
      <w:r w:rsidRPr="006F7093">
        <w:t xml:space="preserve">.  </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 xml:space="preserve">4.d. Validation </w:t>
      </w:r>
      <w:r>
        <w:rPr>
          <w:color w:val="B4B4B4"/>
          <w:sz w:val="20"/>
        </w:rPr>
        <w:t>(DATA_VALIDATION)</w:t>
      </w:r>
    </w:p>
    <w:p w14:paraId="04171EC0" w14:textId="15B7BA7B" w:rsidR="001A04E2" w:rsidRPr="00A96255" w:rsidRDefault="001A04E2" w:rsidP="001A04E2">
      <w:pPr>
        <w:pStyle w:val="MText"/>
      </w:pPr>
      <w:r w:rsidRPr="001A04E2">
        <w:t>Country consultation is conducted</w:t>
      </w:r>
      <w:r>
        <w:t xml:space="preserve"> for every round of data collection. Indicator data and methodology are shared back with </w:t>
      </w:r>
      <w:r w:rsidR="00922A8E">
        <w:t>N</w:t>
      </w:r>
      <w:r>
        <w:t xml:space="preserve">ational governments together with the original submissions. </w:t>
      </w:r>
      <w:r w:rsidRPr="00A1511C">
        <w:t xml:space="preserve">Indicator 5.6.2 relies on </w:t>
      </w:r>
      <w:r w:rsidRPr="00A1511C">
        <w:lastRenderedPageBreak/>
        <w:t xml:space="preserve">official responses provided by </w:t>
      </w:r>
      <w:r w:rsidR="00922A8E">
        <w:t>N</w:t>
      </w:r>
      <w:r w:rsidRPr="00A1511C">
        <w:t>ational governments. UNFPA may follow</w:t>
      </w:r>
      <w:r w:rsidR="00922A8E">
        <w:t xml:space="preserve"> </w:t>
      </w:r>
      <w:r w:rsidRPr="00A1511C">
        <w:t>up with national governments and request further information if the responses differ from country</w:t>
      </w:r>
      <w:r w:rsidR="00922A8E">
        <w:t>-</w:t>
      </w:r>
      <w:r w:rsidRPr="00A1511C">
        <w:t xml:space="preserve">specific information on legal and regulatory developments on issues </w:t>
      </w:r>
      <w:r w:rsidR="00922A8E">
        <w:t>about</w:t>
      </w:r>
      <w:r w:rsidRPr="00A1511C">
        <w:t xml:space="preserve"> respective mandates of key stakeholders including UN Country teams and UN agencies. UNFPA also encourages each country to establish a national validation committee to review and validate all input from the Inquiry.</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 xml:space="preserve">4.e. Adjustments </w:t>
      </w:r>
      <w:r>
        <w:rPr>
          <w:color w:val="B4B4B4"/>
          <w:sz w:val="20"/>
        </w:rPr>
        <w:t>(ADJUSTMENT)</w:t>
      </w:r>
    </w:p>
    <w:p w14:paraId="59E60C7A" w14:textId="249332AB" w:rsidR="001A04E2" w:rsidRPr="00A96255" w:rsidRDefault="001A04E2" w:rsidP="00576CFA">
      <w:pPr>
        <w:pStyle w:val="MText"/>
      </w:pPr>
      <w:r>
        <w:t xml:space="preserve">No adjustments are made at the global level. </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 xml:space="preserve">4.f. Treatment of missing values (i) at country level and (ii) at regional level </w:t>
      </w:r>
      <w:r>
        <w:rPr>
          <w:color w:val="B4B4B4"/>
          <w:sz w:val="20"/>
        </w:rPr>
        <w:t>(IMPUTATION)</w:t>
      </w:r>
    </w:p>
    <w:p w14:paraId="37400B1A" w14:textId="77777777" w:rsidR="00A1511C" w:rsidRPr="00CB686B" w:rsidRDefault="00A1511C" w:rsidP="00A1511C">
      <w:pPr>
        <w:pStyle w:val="MText"/>
        <w:rPr>
          <w:b/>
        </w:rPr>
      </w:pPr>
      <w:r w:rsidRPr="00CB686B">
        <w:rPr>
          <w:b/>
        </w:rPr>
        <w:t>•</w:t>
      </w:r>
      <w:r w:rsidRPr="00CB686B">
        <w:rPr>
          <w:b/>
        </w:rPr>
        <w:tab/>
        <w:t>At country level:</w:t>
      </w:r>
    </w:p>
    <w:p w14:paraId="478AAF3F" w14:textId="77777777" w:rsidR="00A1511C" w:rsidRDefault="00A1511C" w:rsidP="00A1511C">
      <w:pPr>
        <w:pStyle w:val="MText"/>
      </w:pPr>
      <w:r>
        <w:t xml:space="preserve">No imputation will be made for a country with missing data.  </w:t>
      </w:r>
    </w:p>
    <w:p w14:paraId="2E71EE36" w14:textId="77777777" w:rsidR="00A1511C" w:rsidRDefault="00A1511C" w:rsidP="00A1511C">
      <w:pPr>
        <w:pStyle w:val="MText"/>
      </w:pPr>
      <w:r>
        <w:t xml:space="preserve">  </w:t>
      </w:r>
      <w:r>
        <w:tab/>
      </w:r>
    </w:p>
    <w:p w14:paraId="63CC5DCA" w14:textId="77777777" w:rsidR="00A1511C" w:rsidRPr="00CB686B" w:rsidRDefault="00A1511C" w:rsidP="00A1511C">
      <w:pPr>
        <w:pStyle w:val="MText"/>
        <w:rPr>
          <w:b/>
        </w:rPr>
      </w:pPr>
      <w:r w:rsidRPr="00CB686B">
        <w:rPr>
          <w:b/>
        </w:rPr>
        <w:t>•</w:t>
      </w:r>
      <w:r w:rsidRPr="00CB686B">
        <w:rPr>
          <w:b/>
        </w:rPr>
        <w:tab/>
        <w:t>At regional and global levels:</w:t>
      </w:r>
    </w:p>
    <w:p w14:paraId="0182CCD8" w14:textId="77777777" w:rsidR="00A1511C" w:rsidRDefault="00A1511C" w:rsidP="00A1511C">
      <w:pPr>
        <w:pStyle w:val="MText"/>
      </w:pPr>
      <w:r>
        <w:t xml:space="preserve">No imputation will be made at regional and global levels. </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 xml:space="preserve">4.g. Regional aggregations </w:t>
      </w:r>
      <w:r>
        <w:rPr>
          <w:color w:val="B4B4B4"/>
          <w:sz w:val="20"/>
        </w:rPr>
        <w:t>(REG_AGG)</w:t>
      </w:r>
    </w:p>
    <w:p w14:paraId="58F4D632" w14:textId="3D221A5C" w:rsidR="00A1511C" w:rsidRDefault="00A1511C" w:rsidP="00A1511C">
      <w:pPr>
        <w:pStyle w:val="MText"/>
      </w:pPr>
      <w:r w:rsidRPr="00A1511C">
        <w:t>Global and regional aggregates are computed as unweighted averages of country-specific da</w:t>
      </w:r>
      <w:r>
        <w:t xml:space="preserve">ta for constituent countries. </w:t>
      </w:r>
    </w:p>
    <w:p w14:paraId="53603414" w14:textId="77777777" w:rsidR="00A1511C" w:rsidRPr="00A96255" w:rsidRDefault="00A1511C"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the data at the national level </w:t>
      </w:r>
      <w:r>
        <w:rPr>
          <w:color w:val="B4B4B4"/>
          <w:sz w:val="20"/>
        </w:rPr>
        <w:t>(DOC_METHOD)</w:t>
      </w:r>
    </w:p>
    <w:p w14:paraId="2939895F" w14:textId="58BCCDEA" w:rsidR="00EC2915" w:rsidRDefault="00A1511C" w:rsidP="00576CFA">
      <w:pPr>
        <w:pStyle w:val="MText"/>
      </w:pPr>
      <w:r w:rsidRPr="00A1511C">
        <w:t>Indicator 5.6.2 is calculated based on official government responses collected through the United Nations Inquiry among Governments on Population and Development. The Inquiry, mandated by the General Assembly in its resolution 1838 (XVII) of 18 December 1962, has been conducted by the Secretary-General since 1963. All questions required for indicator 5.6.2 are integrated into Module II on fertility, family planning and reproductive health of the Inquiry.</w:t>
      </w:r>
    </w:p>
    <w:p w14:paraId="5E34724E" w14:textId="77777777" w:rsidR="00A1511C" w:rsidRPr="00A96255" w:rsidRDefault="00A1511C" w:rsidP="00576CFA">
      <w:pPr>
        <w:pStyle w:val="MText"/>
      </w:pPr>
    </w:p>
    <w:p w14:paraId="494C36E8" w14:textId="22C3CD05" w:rsidR="00E1050F" w:rsidRPr="00A96255" w:rsidRDefault="00576CFA" w:rsidP="00F719A8">
      <w:pPr>
        <w:pStyle w:val="MHeader2"/>
      </w:pPr>
      <w:r w:rsidRPr="00A96255">
        <w:t xml:space="preserve">4.i. Quality management </w:t>
      </w:r>
      <w:r>
        <w:rPr>
          <w:color w:val="B4B4B4"/>
          <w:sz w:val="20"/>
        </w:rPr>
        <w:t>(QUALITY_MGMNT)</w:t>
      </w:r>
    </w:p>
    <w:p w14:paraId="1094E728" w14:textId="43E6A011" w:rsidR="00DF5AA1" w:rsidRDefault="00DF5AA1" w:rsidP="00576CFA">
      <w:pPr>
        <w:pStyle w:val="MText"/>
      </w:pPr>
      <w:r>
        <w:t>N</w:t>
      </w:r>
      <w:r w:rsidRPr="00DF5AA1">
        <w:t>ot applicable</w:t>
      </w:r>
    </w:p>
    <w:p w14:paraId="3FD93DBB" w14:textId="77777777" w:rsidR="00DF5AA1" w:rsidRPr="00A96255" w:rsidRDefault="00DF5AA1" w:rsidP="00576CFA">
      <w:pPr>
        <w:pStyle w:val="MText"/>
      </w:pPr>
    </w:p>
    <w:p w14:paraId="17B979CA" w14:textId="449C0153" w:rsidR="00E1050F" w:rsidRPr="00A96255" w:rsidRDefault="00E1050F" w:rsidP="00F719A8">
      <w:pPr>
        <w:pStyle w:val="MHeader2"/>
      </w:pPr>
      <w:r w:rsidRPr="00A96255">
        <w:t xml:space="preserve">4.j Quality assurance </w:t>
      </w:r>
      <w:r>
        <w:rPr>
          <w:color w:val="B4B4B4"/>
          <w:sz w:val="20"/>
        </w:rPr>
        <w:t>(QUALITY_ASSURE)</w:t>
      </w:r>
    </w:p>
    <w:p w14:paraId="7E6B04E3" w14:textId="22EA1E72" w:rsidR="00576CFA" w:rsidRPr="00A96255" w:rsidRDefault="00A1511C" w:rsidP="00576CFA">
      <w:pPr>
        <w:pStyle w:val="MText"/>
      </w:pPr>
      <w:r w:rsidRPr="00A1511C">
        <w:t xml:space="preserve">Indicator 5.6.2 relies on official responses provided by national governments. UNFPA </w:t>
      </w:r>
      <w:r w:rsidR="006A423C">
        <w:t>performs quality checks and</w:t>
      </w:r>
      <w:r w:rsidR="006A423C" w:rsidRPr="00A1511C">
        <w:t xml:space="preserve"> </w:t>
      </w:r>
      <w:r w:rsidRPr="00A1511C">
        <w:t>follow</w:t>
      </w:r>
      <w:r w:rsidR="006A423C">
        <w:t>s</w:t>
      </w:r>
      <w:r w:rsidRPr="00A1511C">
        <w:t>-up with national governments</w:t>
      </w:r>
      <w:r w:rsidR="00F405C1">
        <w:t xml:space="preserve">, </w:t>
      </w:r>
      <w:r w:rsidRPr="00A1511C">
        <w:t>request</w:t>
      </w:r>
      <w:r w:rsidR="00F405C1">
        <w:t>ing</w:t>
      </w:r>
      <w:r w:rsidRPr="00A1511C">
        <w:t xml:space="preserve"> further information if the responses differ from country</w:t>
      </w:r>
      <w:r w:rsidR="00922A8E">
        <w:t>-</w:t>
      </w:r>
      <w:r w:rsidRPr="00A1511C">
        <w:t xml:space="preserve">specific information on legal and regulatory developments on issues </w:t>
      </w:r>
      <w:r w:rsidR="00922A8E">
        <w:t>about</w:t>
      </w:r>
      <w:r w:rsidRPr="00A1511C">
        <w:t xml:space="preserve"> respective mandates of key stakeholders including UN Country teams and UN agencies</w:t>
      </w:r>
      <w:r w:rsidR="006A423C">
        <w:t xml:space="preserve">, or </w:t>
      </w:r>
      <w:r w:rsidR="00DF5AA1">
        <w:t xml:space="preserve">if the responses </w:t>
      </w:r>
      <w:r w:rsidR="006A423C">
        <w:t xml:space="preserve">are incomplete or </w:t>
      </w:r>
      <w:r w:rsidR="00DF5AA1">
        <w:t xml:space="preserve">differ from the government’s responses to a </w:t>
      </w:r>
      <w:r w:rsidR="006A423C">
        <w:t>previous</w:t>
      </w:r>
      <w:r w:rsidR="00DF5AA1">
        <w:t xml:space="preserve"> Inquiry</w:t>
      </w:r>
      <w:r w:rsidR="006A423C">
        <w:t xml:space="preserve">. </w:t>
      </w:r>
      <w:r w:rsidRPr="00A1511C">
        <w:t>UNFPA also encourages each country to establish a national validation committee to review and validate all input from the Inquiry.</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 xml:space="preserve">4.k Quality assessment </w:t>
      </w:r>
      <w:r>
        <w:rPr>
          <w:color w:val="B4B4B4"/>
          <w:sz w:val="20"/>
        </w:rPr>
        <w:t>(QUALITY_ASSMNT)</w:t>
      </w:r>
    </w:p>
    <w:p w14:paraId="272104BA" w14:textId="019782B9" w:rsidR="00DF5AA1" w:rsidRDefault="00DF5AA1" w:rsidP="00576CFA">
      <w:pPr>
        <w:pStyle w:val="MText"/>
      </w:pPr>
      <w:r>
        <w:t>Not applicable</w:t>
      </w:r>
    </w:p>
    <w:p w14:paraId="6FD4E44C" w14:textId="77777777" w:rsidR="00DF5AA1" w:rsidRPr="00A96255" w:rsidRDefault="00DF5AA1" w:rsidP="00576CFA">
      <w:pPr>
        <w:pStyle w:val="MText"/>
      </w:pPr>
    </w:p>
    <w:p w14:paraId="17787B3C" w14:textId="03FE81A9" w:rsidR="00E1050F" w:rsidRPr="00A96255" w:rsidRDefault="00576CFA" w:rsidP="000412A0">
      <w:pPr>
        <w:pStyle w:val="MHeader"/>
        <w:spacing w:after="100"/>
      </w:pPr>
      <w:r w:rsidRPr="00A96255">
        <w:t xml:space="preserve">5. Data availability and disaggregation </w:t>
      </w:r>
      <w:r>
        <w:rPr>
          <w:color w:val="B4B4B4"/>
          <w:sz w:val="20"/>
        </w:rPr>
        <w:t>(COVERAGE)</w:t>
      </w:r>
    </w:p>
    <w:p w14:paraId="464A8CCF" w14:textId="27C17D3B" w:rsidR="00576CFA" w:rsidRPr="00CB686B" w:rsidRDefault="00D51E7C" w:rsidP="00576CFA">
      <w:pPr>
        <w:pStyle w:val="MText"/>
        <w:rPr>
          <w:b/>
        </w:rPr>
      </w:pPr>
      <w:r w:rsidRPr="00CB686B">
        <w:rPr>
          <w:b/>
        </w:rPr>
        <w:t>Data availability:</w:t>
      </w:r>
    </w:p>
    <w:p w14:paraId="1DC08DF6" w14:textId="355D0C97" w:rsidR="00A1511C" w:rsidRDefault="007E40D2" w:rsidP="00A1511C">
      <w:pPr>
        <w:pStyle w:val="MText"/>
      </w:pPr>
      <w:r>
        <w:t xml:space="preserve">153 </w:t>
      </w:r>
      <w:r w:rsidR="00A1511C">
        <w:t xml:space="preserve">countries have complete or partial data for indicator 5.6.2, covering </w:t>
      </w:r>
      <w:r>
        <w:t>89</w:t>
      </w:r>
      <w:r w:rsidR="00A1511C">
        <w:t xml:space="preserve"> percent of the world’s population. A total of </w:t>
      </w:r>
      <w:r>
        <w:t xml:space="preserve">115 </w:t>
      </w:r>
      <w:r w:rsidR="00A1511C">
        <w:t xml:space="preserve">countries </w:t>
      </w:r>
      <w:proofErr w:type="gramStart"/>
      <w:r w:rsidR="00A1511C">
        <w:t>have</w:t>
      </w:r>
      <w:proofErr w:type="gramEnd"/>
      <w:r w:rsidR="00A1511C">
        <w:t xml:space="preserve"> complete data, allowing calculation of data for indicator 5.6.2. </w:t>
      </w:r>
    </w:p>
    <w:p w14:paraId="7F12E856" w14:textId="77777777" w:rsidR="00A1511C" w:rsidRDefault="00A1511C" w:rsidP="007E40D2">
      <w:pPr>
        <w:pStyle w:val="NoSpacing"/>
      </w:pPr>
    </w:p>
    <w:p w14:paraId="13682082" w14:textId="77777777" w:rsidR="00A1511C" w:rsidRPr="00CB686B" w:rsidRDefault="00A1511C" w:rsidP="00A1511C">
      <w:pPr>
        <w:pStyle w:val="MText"/>
        <w:rPr>
          <w:b/>
        </w:rPr>
      </w:pPr>
      <w:r w:rsidRPr="00CB686B">
        <w:rPr>
          <w:b/>
        </w:rPr>
        <w:t>Time series:</w:t>
      </w:r>
    </w:p>
    <w:p w14:paraId="5853D6F7" w14:textId="1CB3D90B" w:rsidR="00D51E7C" w:rsidRPr="00C019E5" w:rsidRDefault="00A1511C" w:rsidP="00A1511C">
      <w:pPr>
        <w:pStyle w:val="MText"/>
        <w:rPr>
          <w:highlight w:val="cyan"/>
        </w:rPr>
      </w:pPr>
      <w:r>
        <w:t>Not applicable</w:t>
      </w:r>
    </w:p>
    <w:p w14:paraId="760C013A" w14:textId="4597FCBD" w:rsidR="00D51E7C" w:rsidRPr="00C019E5" w:rsidRDefault="00D51E7C" w:rsidP="007E40D2">
      <w:pPr>
        <w:pStyle w:val="NoSpacing"/>
        <w:rPr>
          <w:highlight w:val="cyan"/>
        </w:rPr>
      </w:pPr>
    </w:p>
    <w:p w14:paraId="1C847CBA" w14:textId="77777777" w:rsidR="00A1511C" w:rsidRPr="00CB686B" w:rsidRDefault="00A1511C" w:rsidP="00A1511C">
      <w:pPr>
        <w:pStyle w:val="MText"/>
        <w:rPr>
          <w:b/>
        </w:rPr>
      </w:pPr>
      <w:r w:rsidRPr="00CB686B">
        <w:rPr>
          <w:b/>
        </w:rPr>
        <w:t>Disaggregation:</w:t>
      </w:r>
    </w:p>
    <w:p w14:paraId="21B19CA7" w14:textId="731692D9" w:rsidR="00A1511C" w:rsidRDefault="00A1511C" w:rsidP="00A1511C">
      <w:pPr>
        <w:pStyle w:val="MText"/>
      </w:pPr>
      <w:r>
        <w:t xml:space="preserve">Data will be disaggregated by section and component. This will enable countries to identify the </w:t>
      </w:r>
      <w:r w:rsidR="00922A8E">
        <w:t>areas</w:t>
      </w:r>
      <w:r>
        <w:t xml:space="preserve"> of sexual and reproductive health care, information and education in which progress is required.  </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 xml:space="preserve">6. Comparability / deviation from international standards </w:t>
      </w:r>
      <w:r>
        <w:rPr>
          <w:color w:val="B4B4B4"/>
          <w:sz w:val="20"/>
        </w:rPr>
        <w:t>(COMPARABILITY)</w:t>
      </w:r>
    </w:p>
    <w:p w14:paraId="48733BD8" w14:textId="77777777" w:rsidR="00A1511C" w:rsidRPr="00CB686B" w:rsidRDefault="00A1511C" w:rsidP="00A1511C">
      <w:pPr>
        <w:pStyle w:val="MText"/>
        <w:rPr>
          <w:b/>
        </w:rPr>
      </w:pPr>
      <w:r w:rsidRPr="00CB686B">
        <w:rPr>
          <w:b/>
        </w:rPr>
        <w:t>Sources of discrepancies:</w:t>
      </w:r>
    </w:p>
    <w:p w14:paraId="3C2D4870" w14:textId="440C8F09" w:rsidR="00D51E7C" w:rsidRDefault="00A1511C" w:rsidP="00A1511C">
      <w:pPr>
        <w:pStyle w:val="MText"/>
      </w:pPr>
      <w:r>
        <w:t xml:space="preserve">Not applicable, as indicator 5.6.2 relies on official data provided by </w:t>
      </w:r>
      <w:r w:rsidR="00922A8E">
        <w:t>N</w:t>
      </w:r>
      <w:r>
        <w:t>ational governments, and no estimation is produced at the international level.</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 xml:space="preserve">7. References and Documentation </w:t>
      </w:r>
      <w:r>
        <w:rPr>
          <w:color w:val="B4B4B4"/>
          <w:sz w:val="20"/>
        </w:rPr>
        <w:t>(OTHER_DOC)</w:t>
      </w:r>
    </w:p>
    <w:p w14:paraId="384B0992" w14:textId="2B4D6400" w:rsidR="00186795" w:rsidRDefault="00000000" w:rsidP="0043283D">
      <w:pPr>
        <w:pStyle w:val="MText"/>
      </w:pPr>
      <w:hyperlink r:id="rId12" w:history="1">
        <w:r w:rsidR="00922A8E" w:rsidRPr="00F763E2">
          <w:rPr>
            <w:rStyle w:val="Hyperlink"/>
          </w:rPr>
          <w:t>https://www.unfpa.org/sdg-5-6</w:t>
        </w:r>
      </w:hyperlink>
      <w:r w:rsidR="00922A8E">
        <w:t xml:space="preserve"> </w:t>
      </w:r>
    </w:p>
    <w:p w14:paraId="53022885" w14:textId="14D94BF6" w:rsidR="00A24A49" w:rsidRDefault="00A24A49" w:rsidP="0043283D">
      <w:pPr>
        <w:pStyle w:val="MText"/>
      </w:pPr>
    </w:p>
    <w:p w14:paraId="6F43E771" w14:textId="37991910" w:rsidR="00A24A49" w:rsidRPr="003C259B" w:rsidRDefault="00A24A49" w:rsidP="0043283D">
      <w:pPr>
        <w:pStyle w:val="MText"/>
        <w:rPr>
          <w:b/>
          <w:bCs/>
        </w:rPr>
      </w:pPr>
      <w:r w:rsidRPr="003C259B">
        <w:rPr>
          <w:b/>
          <w:bCs/>
        </w:rPr>
        <w:t>References:</w:t>
      </w:r>
    </w:p>
    <w:p w14:paraId="7C00FF57" w14:textId="77777777" w:rsidR="00A24A49" w:rsidRPr="00FD33DE" w:rsidRDefault="00A24A49" w:rsidP="00A24A49">
      <w:pPr>
        <w:pStyle w:val="FootnoteText"/>
        <w:rPr>
          <w:color w:val="4A4A4A"/>
          <w:lang w:val="en-US"/>
        </w:rPr>
      </w:pPr>
      <w:r w:rsidRPr="00FD33DE">
        <w:rPr>
          <w:rFonts w:cstheme="minorHAnsi"/>
          <w:color w:val="4A4A4A"/>
        </w:rPr>
        <w:t>United Nations (1994) International Conference on Population and Development: Programme of Action. Cairo, Egypt.</w:t>
      </w:r>
    </w:p>
    <w:p w14:paraId="4D50944E" w14:textId="08422E50" w:rsidR="00A24A49" w:rsidRPr="00FD33DE" w:rsidRDefault="00A24A49" w:rsidP="00A24A49">
      <w:pPr>
        <w:pStyle w:val="FootnoteText"/>
        <w:rPr>
          <w:color w:val="4A4A4A"/>
          <w:lang w:val="en-US"/>
        </w:rPr>
      </w:pPr>
      <w:r w:rsidRPr="00FD33DE">
        <w:rPr>
          <w:rFonts w:cstheme="minorHAnsi"/>
          <w:color w:val="4A4A4A"/>
        </w:rPr>
        <w:t>United Nations (1995) Fourth World Conference on Women: Programme of Action. Beijing, China.</w:t>
      </w:r>
    </w:p>
    <w:p w14:paraId="65B215F3" w14:textId="12A3BE30" w:rsidR="00A24A49" w:rsidRDefault="00A24A49" w:rsidP="00A24A49">
      <w:pPr>
        <w:pStyle w:val="MText"/>
      </w:pPr>
      <w:r w:rsidRPr="00FD33DE">
        <w:t xml:space="preserve">CEDAW General Recommendation no. 24. Accessed online 24 May 2018: </w:t>
      </w:r>
      <w:hyperlink r:id="rId13" w:history="1">
        <w:r w:rsidRPr="00EB464E">
          <w:rPr>
            <w:rStyle w:val="Hyperlink"/>
          </w:rPr>
          <w:t>http://www.refworld.org/docid/453882a73.html</w:t>
        </w:r>
      </w:hyperlink>
      <w:r w:rsidRPr="00FD33DE">
        <w:t xml:space="preserve">; CEDAW General Comment no. 35 (2017). </w:t>
      </w:r>
      <w:r w:rsidRPr="00FD33DE">
        <w:rPr>
          <w:lang w:val="en-US"/>
        </w:rPr>
        <w:t>Accessed online 23</w:t>
      </w:r>
      <w:r w:rsidRPr="00FD33DE">
        <w:rPr>
          <w:vertAlign w:val="superscript"/>
          <w:lang w:val="en-US"/>
        </w:rPr>
        <w:t xml:space="preserve"> </w:t>
      </w:r>
      <w:r w:rsidRPr="00FD33DE">
        <w:rPr>
          <w:lang w:val="en-US"/>
        </w:rPr>
        <w:t>May 2018</w:t>
      </w:r>
      <w:r w:rsidRPr="00FD33DE">
        <w:t xml:space="preserve">: </w:t>
      </w:r>
      <w:hyperlink r:id="rId14" w:history="1">
        <w:r w:rsidRPr="00EB464E">
          <w:rPr>
            <w:rStyle w:val="Hyperlink"/>
          </w:rPr>
          <w:t>http://tbinternet.ohchr.org/Treaties/CEDAW/Shared%20Documents/1_Global/CEDAW_C_GC_35_8267_E.pdf</w:t>
        </w:r>
      </w:hyperlink>
      <w:r>
        <w:t xml:space="preserve">; </w:t>
      </w:r>
      <w:r w:rsidRPr="00FD33DE">
        <w:t xml:space="preserve">CESCR General Comment no. 14. Accessed online 23 May 2018: </w:t>
      </w:r>
      <w:hyperlink r:id="rId15" w:history="1">
        <w:r w:rsidRPr="00EB464E">
          <w:rPr>
            <w:rStyle w:val="Hyperlink"/>
          </w:rPr>
          <w:t>http://www.refworld.org/pdfid/4538838d0.pdf</w:t>
        </w:r>
      </w:hyperlink>
      <w:r>
        <w:t xml:space="preserve">; </w:t>
      </w:r>
      <w:r w:rsidRPr="00FD33DE">
        <w:t xml:space="preserve">CESCR General Comment no. 20. Accessed 24 May 2018: </w:t>
      </w:r>
      <w:hyperlink r:id="rId16" w:history="1">
        <w:r w:rsidRPr="00FA3BD1">
          <w:rPr>
            <w:rStyle w:val="Hyperlink"/>
          </w:rPr>
          <w:t>http://www.refworld.org/docid/4a60961f2.html</w:t>
        </w:r>
      </w:hyperlink>
      <w:r w:rsidRPr="00FD33DE">
        <w:t xml:space="preserve">; </w:t>
      </w:r>
      <w:hyperlink r:id="rId17" w:anchor="_ftn44" w:tgtFrame="_blank" w:history="1">
        <w:r w:rsidRPr="00FD33DE">
          <w:t>C</w:t>
        </w:r>
      </w:hyperlink>
      <w:r w:rsidRPr="00FD33DE">
        <w:t xml:space="preserve">ESCR General Comment no. 22. </w:t>
      </w:r>
      <w:r w:rsidRPr="00FD33DE">
        <w:rPr>
          <w:lang w:val="en-US"/>
        </w:rPr>
        <w:t>Accessed online 23</w:t>
      </w:r>
      <w:r w:rsidRPr="00FD33DE">
        <w:rPr>
          <w:vertAlign w:val="superscript"/>
          <w:lang w:val="en-US"/>
        </w:rPr>
        <w:t xml:space="preserve"> </w:t>
      </w:r>
      <w:r w:rsidRPr="00FD33DE">
        <w:rPr>
          <w:lang w:val="en-US"/>
        </w:rPr>
        <w:t xml:space="preserve">May </w:t>
      </w:r>
      <w:r w:rsidRPr="0043283D">
        <w:rPr>
          <w:lang w:val="en-US"/>
        </w:rPr>
        <w:t>2018:</w:t>
      </w:r>
      <w:r w:rsidRPr="00FA3BD1">
        <w:t xml:space="preserve"> </w:t>
      </w:r>
      <w:hyperlink r:id="rId18" w:history="1">
        <w:r w:rsidRPr="00FA3BD1">
          <w:rPr>
            <w:rStyle w:val="Hyperlink"/>
          </w:rPr>
          <w:t>https://www.escr-net.org/resources/general-comment-no-22-2016-right-sexual-and-reproductive-health</w:t>
        </w:r>
      </w:hyperlink>
      <w:r w:rsidRPr="00FD33DE">
        <w:t xml:space="preserve">; CRC General Comment No. 15. Accessed 24 May 2018: </w:t>
      </w:r>
      <w:hyperlink r:id="rId19" w:history="1">
        <w:r w:rsidRPr="00FA3BD1">
          <w:rPr>
            <w:rStyle w:val="Hyperlink"/>
          </w:rPr>
          <w:t>http://www.refworld.org/docid/51ef9e134.html</w:t>
        </w:r>
      </w:hyperlink>
      <w:r w:rsidRPr="00FD33DE">
        <w:t xml:space="preserve">; CRPD Articles 23 and 25. Accessed online 24 May 2018: </w:t>
      </w:r>
      <w:hyperlink r:id="rId20" w:history="1">
        <w:r w:rsidRPr="00FA3BD1">
          <w:rPr>
            <w:rStyle w:val="Hyperlink"/>
          </w:rPr>
          <w:t>https://www.un.org/development/desa/disabilities/convention-on-the-rights-of-persons-with-disabilities/convention-on-the-rights-of-persons-with-disabilities-2.html</w:t>
        </w:r>
      </w:hyperlink>
      <w:r w:rsidRPr="00FA3BD1">
        <w:t>.</w:t>
      </w:r>
      <w:r>
        <w:t xml:space="preserve"> </w:t>
      </w:r>
      <w:r>
        <w:rPr>
          <w:lang w:val="en-US"/>
        </w:rPr>
        <w:t xml:space="preserve"> </w:t>
      </w:r>
    </w:p>
    <w:sectPr w:rsidR="00A24A49">
      <w:headerReference w:type="default" r:id="rId2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41EE1" w14:textId="77777777" w:rsidR="008D6199" w:rsidRDefault="008D6199" w:rsidP="00573C0B">
      <w:pPr>
        <w:spacing w:after="0" w:line="240" w:lineRule="auto"/>
      </w:pPr>
      <w:r>
        <w:separator/>
      </w:r>
    </w:p>
  </w:endnote>
  <w:endnote w:type="continuationSeparator" w:id="0">
    <w:p w14:paraId="6D7F343A" w14:textId="77777777" w:rsidR="008D6199" w:rsidRDefault="008D6199" w:rsidP="00573C0B">
      <w:pPr>
        <w:spacing w:after="0" w:line="240" w:lineRule="auto"/>
      </w:pPr>
      <w:r>
        <w:continuationSeparator/>
      </w:r>
    </w:p>
  </w:endnote>
  <w:endnote w:type="continuationNotice" w:id="1">
    <w:p w14:paraId="578B3B4C" w14:textId="77777777" w:rsidR="008D6199" w:rsidRDefault="008D61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016440" w14:textId="77777777" w:rsidR="008D6199" w:rsidRDefault="008D6199" w:rsidP="00573C0B">
      <w:pPr>
        <w:spacing w:after="0" w:line="240" w:lineRule="auto"/>
      </w:pPr>
      <w:r>
        <w:separator/>
      </w:r>
    </w:p>
  </w:footnote>
  <w:footnote w:type="continuationSeparator" w:id="0">
    <w:p w14:paraId="6584E797" w14:textId="77777777" w:rsidR="008D6199" w:rsidRDefault="008D6199" w:rsidP="00573C0B">
      <w:pPr>
        <w:spacing w:after="0" w:line="240" w:lineRule="auto"/>
      </w:pPr>
      <w:r>
        <w:continuationSeparator/>
      </w:r>
    </w:p>
  </w:footnote>
  <w:footnote w:type="continuationNotice" w:id="1">
    <w:p w14:paraId="6DBC8DC4" w14:textId="77777777" w:rsidR="008D6199" w:rsidRDefault="008D6199">
      <w:pPr>
        <w:spacing w:after="0" w:line="240" w:lineRule="auto"/>
      </w:pPr>
    </w:p>
  </w:footnote>
  <w:footnote w:id="2">
    <w:p w14:paraId="7200F512" w14:textId="77777777" w:rsidR="00A1511C" w:rsidRPr="00FD33DE" w:rsidRDefault="00A1511C" w:rsidP="00A1511C">
      <w:pPr>
        <w:pStyle w:val="FootnoteText"/>
        <w:rPr>
          <w:color w:val="4A4A4A"/>
          <w:lang w:val="en-US"/>
        </w:rPr>
      </w:pPr>
      <w:r>
        <w:rPr>
          <w:rStyle w:val="FootnoteReference"/>
        </w:rPr>
        <w:footnoteRef/>
      </w:r>
      <w:r>
        <w:t xml:space="preserve"> </w:t>
      </w:r>
      <w:r w:rsidRPr="00FD33DE">
        <w:rPr>
          <w:rFonts w:cstheme="minorHAnsi"/>
          <w:color w:val="4A4A4A"/>
        </w:rPr>
        <w:t>United Nations (1994) International Conference on Population and Development: Programme of Action. Cairo, Egypt.</w:t>
      </w:r>
    </w:p>
  </w:footnote>
  <w:footnote w:id="3">
    <w:p w14:paraId="29C6989E" w14:textId="77777777" w:rsidR="00A1511C" w:rsidRPr="00FD33DE" w:rsidRDefault="00A1511C" w:rsidP="00A1511C">
      <w:pPr>
        <w:pStyle w:val="FootnoteText"/>
        <w:rPr>
          <w:color w:val="4A4A4A"/>
          <w:lang w:val="en-US"/>
        </w:rPr>
      </w:pPr>
      <w:r w:rsidRPr="00FD33DE">
        <w:rPr>
          <w:rStyle w:val="FootnoteReference"/>
          <w:color w:val="4A4A4A"/>
        </w:rPr>
        <w:footnoteRef/>
      </w:r>
      <w:r w:rsidRPr="00FD33DE">
        <w:rPr>
          <w:color w:val="4A4A4A"/>
        </w:rPr>
        <w:t xml:space="preserve"> </w:t>
      </w:r>
      <w:r w:rsidRPr="00FD33DE">
        <w:rPr>
          <w:rFonts w:cstheme="minorHAnsi"/>
          <w:color w:val="4A4A4A"/>
        </w:rPr>
        <w:t>United Nations (1995) Fourth World Conference on Women: Programme of Action. Beijing, China.</w:t>
      </w:r>
    </w:p>
  </w:footnote>
  <w:footnote w:id="4">
    <w:p w14:paraId="42D9C096" w14:textId="77777777" w:rsidR="00A1511C" w:rsidRPr="007C0259" w:rsidRDefault="00A1511C" w:rsidP="00A1511C">
      <w:pPr>
        <w:pStyle w:val="FootnoteText"/>
        <w:rPr>
          <w:lang w:val="en-US"/>
        </w:rPr>
      </w:pPr>
      <w:r w:rsidRPr="00FD33DE">
        <w:rPr>
          <w:rStyle w:val="FootnoteReference"/>
          <w:color w:val="4A4A4A"/>
        </w:rPr>
        <w:footnoteRef/>
      </w:r>
      <w:r w:rsidRPr="00FD33DE">
        <w:rPr>
          <w:color w:val="4A4A4A"/>
        </w:rPr>
        <w:t xml:space="preserve"> CEDAW General Recommendation no. 24. Accessed online 24 May 2018: </w:t>
      </w:r>
      <w:hyperlink r:id="rId1" w:history="1">
        <w:r w:rsidRPr="00EB464E">
          <w:rPr>
            <w:rStyle w:val="Hyperlink"/>
          </w:rPr>
          <w:t>http://www.refworld.org/docid/453882a73.html</w:t>
        </w:r>
      </w:hyperlink>
      <w:r w:rsidRPr="00FD33DE">
        <w:rPr>
          <w:color w:val="4A4A4A"/>
        </w:rPr>
        <w:t xml:space="preserve">; </w:t>
      </w:r>
      <w:r w:rsidRPr="00FD33DE">
        <w:rPr>
          <w:rFonts w:eastAsia="Times New Roman" w:cs="Times New Roman"/>
          <w:color w:val="4A4A4A"/>
          <w:lang w:eastAsia="en-GB"/>
        </w:rPr>
        <w:t xml:space="preserve">CEDAW General Comment no. 35 (2017). </w:t>
      </w:r>
      <w:r w:rsidRPr="00FD33DE">
        <w:rPr>
          <w:color w:val="4A4A4A"/>
          <w:lang w:val="en-US"/>
        </w:rPr>
        <w:t>Accessed online 23</w:t>
      </w:r>
      <w:r w:rsidRPr="00FD33DE">
        <w:rPr>
          <w:color w:val="4A4A4A"/>
          <w:vertAlign w:val="superscript"/>
          <w:lang w:val="en-US"/>
        </w:rPr>
        <w:t xml:space="preserve"> </w:t>
      </w:r>
      <w:r w:rsidRPr="00FD33DE">
        <w:rPr>
          <w:color w:val="4A4A4A"/>
          <w:lang w:val="en-US"/>
        </w:rPr>
        <w:t>May 2018</w:t>
      </w:r>
      <w:r w:rsidRPr="00FD33DE">
        <w:rPr>
          <w:rFonts w:eastAsia="Times New Roman" w:cs="Times New Roman"/>
          <w:color w:val="4A4A4A"/>
          <w:lang w:eastAsia="en-GB"/>
        </w:rPr>
        <w:t>:</w:t>
      </w:r>
      <w:r w:rsidRPr="00FD33DE">
        <w:rPr>
          <w:rFonts w:eastAsia="Times New Roman" w:cs="Times New Roman"/>
          <w:color w:val="4A4A4A"/>
          <w:sz w:val="21"/>
          <w:szCs w:val="21"/>
          <w:lang w:eastAsia="en-GB"/>
        </w:rPr>
        <w:t xml:space="preserve"> </w:t>
      </w:r>
      <w:hyperlink r:id="rId2" w:history="1">
        <w:r w:rsidRPr="00EB464E">
          <w:rPr>
            <w:rStyle w:val="Hyperlink"/>
          </w:rPr>
          <w:t>http://tbinternet.ohchr.org/Treaties/CEDAW/Shared%20Documents/1_Global/CEDAW_C_GC_35_8267_E.pdf</w:t>
        </w:r>
      </w:hyperlink>
      <w:r>
        <w:rPr>
          <w:rFonts w:eastAsia="Times New Roman" w:cs="Times New Roman"/>
          <w:sz w:val="21"/>
          <w:szCs w:val="21"/>
          <w:lang w:eastAsia="en-GB"/>
        </w:rPr>
        <w:t xml:space="preserve">; </w:t>
      </w:r>
      <w:r w:rsidRPr="00FD33DE">
        <w:rPr>
          <w:rFonts w:eastAsia="Times New Roman" w:cs="Times New Roman"/>
          <w:color w:val="4A4A4A"/>
          <w:lang w:eastAsia="en-GB"/>
        </w:rPr>
        <w:t xml:space="preserve">CESCR General Comment no. 14. Accessed online 23 May 2018: </w:t>
      </w:r>
      <w:hyperlink r:id="rId3" w:history="1">
        <w:r w:rsidRPr="00EB464E">
          <w:rPr>
            <w:rStyle w:val="Hyperlink"/>
          </w:rPr>
          <w:t>http://www.refworld.org/pdfid/4538838d0.pdf</w:t>
        </w:r>
      </w:hyperlink>
      <w:r>
        <w:rPr>
          <w:rFonts w:eastAsia="Times New Roman" w:cs="Times New Roman"/>
          <w:sz w:val="21"/>
          <w:szCs w:val="21"/>
          <w:lang w:eastAsia="en-GB"/>
        </w:rPr>
        <w:t xml:space="preserve">; </w:t>
      </w:r>
      <w:r w:rsidRPr="00FD33DE">
        <w:rPr>
          <w:rFonts w:eastAsia="Times New Roman" w:cs="Times New Roman"/>
          <w:color w:val="4A4A4A"/>
          <w:lang w:eastAsia="en-GB"/>
        </w:rPr>
        <w:t xml:space="preserve">CESCR General Comment no. 20. Accessed 24 May 2018: </w:t>
      </w:r>
      <w:hyperlink r:id="rId4" w:history="1">
        <w:r w:rsidRPr="00FA3BD1">
          <w:rPr>
            <w:rStyle w:val="Hyperlink"/>
          </w:rPr>
          <w:t>http://www.refworld.org/docid/4a60961f2.html</w:t>
        </w:r>
      </w:hyperlink>
      <w:r w:rsidRPr="00FD33DE">
        <w:rPr>
          <w:rFonts w:eastAsia="Times New Roman" w:cs="Times New Roman"/>
          <w:color w:val="4A4A4A"/>
          <w:lang w:eastAsia="en-GB"/>
        </w:rPr>
        <w:t xml:space="preserve">; </w:t>
      </w:r>
      <w:hyperlink r:id="rId5" w:anchor="_ftn44" w:tgtFrame="_blank" w:history="1">
        <w:r w:rsidRPr="00FD33DE">
          <w:rPr>
            <w:color w:val="4A4A4A"/>
          </w:rPr>
          <w:t>C</w:t>
        </w:r>
      </w:hyperlink>
      <w:r w:rsidRPr="00FD33DE">
        <w:rPr>
          <w:rFonts w:eastAsia="Times New Roman" w:cs="Times New Roman"/>
          <w:color w:val="4A4A4A"/>
          <w:lang w:eastAsia="en-GB"/>
        </w:rPr>
        <w:t xml:space="preserve">ESCR General Comment no. 22. </w:t>
      </w:r>
      <w:r w:rsidRPr="00FD33DE">
        <w:rPr>
          <w:color w:val="4A4A4A"/>
          <w:lang w:val="en-US"/>
        </w:rPr>
        <w:t>Accessed online 23</w:t>
      </w:r>
      <w:r w:rsidRPr="00FD33DE">
        <w:rPr>
          <w:color w:val="4A4A4A"/>
          <w:vertAlign w:val="superscript"/>
          <w:lang w:val="en-US"/>
        </w:rPr>
        <w:t xml:space="preserve"> </w:t>
      </w:r>
      <w:r w:rsidRPr="00FD33DE">
        <w:rPr>
          <w:color w:val="4A4A4A"/>
          <w:lang w:val="en-US"/>
        </w:rPr>
        <w:t xml:space="preserve">May </w:t>
      </w:r>
      <w:r w:rsidRPr="0043283D">
        <w:rPr>
          <w:color w:val="4A4A4A"/>
          <w:lang w:val="en-US"/>
        </w:rPr>
        <w:t>2018:</w:t>
      </w:r>
      <w:r w:rsidRPr="00FA3BD1">
        <w:rPr>
          <w:rFonts w:eastAsia="Times New Roman" w:cs="Times New Roman"/>
          <w:lang w:eastAsia="en-GB"/>
        </w:rPr>
        <w:t xml:space="preserve"> </w:t>
      </w:r>
      <w:hyperlink r:id="rId6" w:history="1">
        <w:r w:rsidRPr="00FA3BD1">
          <w:rPr>
            <w:rStyle w:val="Hyperlink"/>
          </w:rPr>
          <w:t>https://www.escr-net.org/resources/general-comment-no-22-2016-right-sexual-and-reproductive-health</w:t>
        </w:r>
      </w:hyperlink>
      <w:r w:rsidRPr="00FD33DE">
        <w:rPr>
          <w:rFonts w:eastAsia="Times New Roman" w:cs="Times New Roman"/>
          <w:color w:val="4A4A4A"/>
          <w:lang w:eastAsia="en-GB"/>
        </w:rPr>
        <w:t xml:space="preserve">; CRC General Comment No. 15. Accessed 24 May 2018: </w:t>
      </w:r>
      <w:hyperlink r:id="rId7" w:history="1">
        <w:r w:rsidRPr="00FA3BD1">
          <w:rPr>
            <w:rStyle w:val="Hyperlink"/>
          </w:rPr>
          <w:t>http://www.refworld.org/docid/51ef9e134.html</w:t>
        </w:r>
      </w:hyperlink>
      <w:r w:rsidRPr="00FD33DE">
        <w:rPr>
          <w:rFonts w:eastAsia="Times New Roman" w:cs="Times New Roman"/>
          <w:color w:val="4A4A4A"/>
          <w:lang w:eastAsia="en-GB"/>
        </w:rPr>
        <w:t xml:space="preserve">; CRPD Articles 23 and 25. Accessed online 24 May 2018: </w:t>
      </w:r>
      <w:hyperlink r:id="rId8" w:history="1">
        <w:r w:rsidRPr="00FA3BD1">
          <w:rPr>
            <w:rStyle w:val="Hyperlink"/>
          </w:rPr>
          <w:t>https://www.un.org/development/desa/disabilities/convention-on-the-rights-of-persons-with-disabilities/convention-on-the-rights-of-persons-with-disabilities-2.html</w:t>
        </w:r>
      </w:hyperlink>
      <w:r w:rsidRPr="00FA3BD1">
        <w:rPr>
          <w:rFonts w:eastAsia="Times New Roman" w:cs="Times New Roman"/>
          <w:lang w:eastAsia="en-GB"/>
        </w:rPr>
        <w:t>.</w:t>
      </w:r>
      <w:r>
        <w:rPr>
          <w:rFonts w:eastAsia="Times New Roman" w:cs="Times New Roman"/>
          <w:sz w:val="21"/>
          <w:szCs w:val="21"/>
          <w:lang w:eastAsia="en-GB"/>
        </w:rPr>
        <w:t xml:space="preserve"> </w:t>
      </w:r>
      <w:r>
        <w:rPr>
          <w:lang w:val="en-US"/>
        </w:rPr>
        <w:t xml:space="preserve"> </w:t>
      </w:r>
    </w:p>
  </w:footnote>
  <w:footnote w:id="5">
    <w:p w14:paraId="36BE1681" w14:textId="77777777" w:rsidR="00A1511C" w:rsidRPr="00613ABC" w:rsidRDefault="00A1511C" w:rsidP="00A1511C">
      <w:pPr>
        <w:pStyle w:val="FootnoteText"/>
        <w:rPr>
          <w:lang w:val="en-US"/>
        </w:rPr>
      </w:pPr>
      <w:r>
        <w:rPr>
          <w:rStyle w:val="FootnoteReference"/>
        </w:rPr>
        <w:footnoteRef/>
      </w:r>
      <w:r>
        <w:t xml:space="preserve"> </w:t>
      </w:r>
      <w:r w:rsidRPr="00FD33DE">
        <w:rPr>
          <w:rFonts w:ascii="Calibri" w:hAnsi="Calibri" w:cs="Calibri"/>
          <w:color w:val="4A4A4A"/>
          <w:kern w:val="24"/>
        </w:rPr>
        <w:t>Legal barriers are not deemed applicable for the two operational components: C2: life-saving commodities and C9: CSE curriculum.</w:t>
      </w:r>
      <w:r w:rsidRPr="004B7288">
        <w:rPr>
          <w:rFonts w:ascii="Calibri" w:hAnsi="Calibri" w:cs="Calibri"/>
          <w:color w:val="000000" w:themeColor="text1"/>
          <w:kern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0E427486"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9B13C5">
      <w:rPr>
        <w:color w:val="404040" w:themeColor="text1" w:themeTint="BF"/>
        <w:sz w:val="18"/>
        <w:szCs w:val="18"/>
      </w:rPr>
      <w:t>2024-07-29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7B1F23"/>
    <w:multiLevelType w:val="hybridMultilevel"/>
    <w:tmpl w:val="5CE4F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1439721">
    <w:abstractNumId w:val="2"/>
  </w:num>
  <w:num w:numId="2" w16cid:durableId="502161833">
    <w:abstractNumId w:val="0"/>
  </w:num>
  <w:num w:numId="3" w16cid:durableId="1662342878">
    <w:abstractNumId w:val="4"/>
  </w:num>
  <w:num w:numId="4" w16cid:durableId="276371029">
    <w:abstractNumId w:val="1"/>
  </w:num>
  <w:num w:numId="5" w16cid:durableId="7137000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49FD"/>
    <w:rsid w:val="000070BA"/>
    <w:rsid w:val="000173F9"/>
    <w:rsid w:val="000412A0"/>
    <w:rsid w:val="00047DDA"/>
    <w:rsid w:val="0005455A"/>
    <w:rsid w:val="00071F07"/>
    <w:rsid w:val="0007759D"/>
    <w:rsid w:val="000777AB"/>
    <w:rsid w:val="00077F46"/>
    <w:rsid w:val="000874D8"/>
    <w:rsid w:val="00090FB1"/>
    <w:rsid w:val="00096186"/>
    <w:rsid w:val="000A72E4"/>
    <w:rsid w:val="000B0E2F"/>
    <w:rsid w:val="000B2430"/>
    <w:rsid w:val="000D0B30"/>
    <w:rsid w:val="000E21F1"/>
    <w:rsid w:val="000F703E"/>
    <w:rsid w:val="00120E86"/>
    <w:rsid w:val="00125DE9"/>
    <w:rsid w:val="001332E0"/>
    <w:rsid w:val="00134DE7"/>
    <w:rsid w:val="001509F8"/>
    <w:rsid w:val="00180C9C"/>
    <w:rsid w:val="00185354"/>
    <w:rsid w:val="001854DC"/>
    <w:rsid w:val="00186795"/>
    <w:rsid w:val="00186B97"/>
    <w:rsid w:val="00194D09"/>
    <w:rsid w:val="001A04E2"/>
    <w:rsid w:val="001A7D5C"/>
    <w:rsid w:val="001B60AA"/>
    <w:rsid w:val="001B63C8"/>
    <w:rsid w:val="001C1972"/>
    <w:rsid w:val="001C421F"/>
    <w:rsid w:val="001D360D"/>
    <w:rsid w:val="001F521D"/>
    <w:rsid w:val="001F5F9E"/>
    <w:rsid w:val="002616C0"/>
    <w:rsid w:val="00261A8D"/>
    <w:rsid w:val="00283C1C"/>
    <w:rsid w:val="00291A00"/>
    <w:rsid w:val="00291A11"/>
    <w:rsid w:val="002A315C"/>
    <w:rsid w:val="002A3342"/>
    <w:rsid w:val="002A64BA"/>
    <w:rsid w:val="002B4989"/>
    <w:rsid w:val="002C2510"/>
    <w:rsid w:val="002D3FBE"/>
    <w:rsid w:val="002D714E"/>
    <w:rsid w:val="002E53C3"/>
    <w:rsid w:val="002F1468"/>
    <w:rsid w:val="002F5F0C"/>
    <w:rsid w:val="003265EB"/>
    <w:rsid w:val="00342F21"/>
    <w:rsid w:val="0034329E"/>
    <w:rsid w:val="00343FAA"/>
    <w:rsid w:val="00344D74"/>
    <w:rsid w:val="00347F5E"/>
    <w:rsid w:val="00350F60"/>
    <w:rsid w:val="00353C98"/>
    <w:rsid w:val="003556CF"/>
    <w:rsid w:val="00371A20"/>
    <w:rsid w:val="003821B4"/>
    <w:rsid w:val="00382CF3"/>
    <w:rsid w:val="00387D52"/>
    <w:rsid w:val="003A7CEA"/>
    <w:rsid w:val="003C259B"/>
    <w:rsid w:val="003F0BD3"/>
    <w:rsid w:val="003F278A"/>
    <w:rsid w:val="003F7A02"/>
    <w:rsid w:val="00403679"/>
    <w:rsid w:val="00422EA5"/>
    <w:rsid w:val="00422EFA"/>
    <w:rsid w:val="0042791F"/>
    <w:rsid w:val="0043283D"/>
    <w:rsid w:val="004456ED"/>
    <w:rsid w:val="00450A3A"/>
    <w:rsid w:val="0048045A"/>
    <w:rsid w:val="004841B8"/>
    <w:rsid w:val="004930F2"/>
    <w:rsid w:val="00493784"/>
    <w:rsid w:val="004A68AA"/>
    <w:rsid w:val="004B0F1C"/>
    <w:rsid w:val="004F2EE6"/>
    <w:rsid w:val="00502DBA"/>
    <w:rsid w:val="0050388C"/>
    <w:rsid w:val="005040C4"/>
    <w:rsid w:val="00507637"/>
    <w:rsid w:val="00507852"/>
    <w:rsid w:val="0051339D"/>
    <w:rsid w:val="00514DBF"/>
    <w:rsid w:val="005360BD"/>
    <w:rsid w:val="00550921"/>
    <w:rsid w:val="00563712"/>
    <w:rsid w:val="00570FC0"/>
    <w:rsid w:val="00573631"/>
    <w:rsid w:val="00573C0B"/>
    <w:rsid w:val="00576CFA"/>
    <w:rsid w:val="0058556D"/>
    <w:rsid w:val="00592AF2"/>
    <w:rsid w:val="005947AD"/>
    <w:rsid w:val="00597748"/>
    <w:rsid w:val="005979E8"/>
    <w:rsid w:val="005D0AF4"/>
    <w:rsid w:val="005E54BD"/>
    <w:rsid w:val="005F21C9"/>
    <w:rsid w:val="005F6CCA"/>
    <w:rsid w:val="006104AF"/>
    <w:rsid w:val="00621893"/>
    <w:rsid w:val="00631CB9"/>
    <w:rsid w:val="006351E1"/>
    <w:rsid w:val="006447B1"/>
    <w:rsid w:val="00662775"/>
    <w:rsid w:val="006852FC"/>
    <w:rsid w:val="006A423C"/>
    <w:rsid w:val="006B40AB"/>
    <w:rsid w:val="006B5DC5"/>
    <w:rsid w:val="006C4BFD"/>
    <w:rsid w:val="006C7D30"/>
    <w:rsid w:val="006E3C08"/>
    <w:rsid w:val="00700ACF"/>
    <w:rsid w:val="00712487"/>
    <w:rsid w:val="00712922"/>
    <w:rsid w:val="00732129"/>
    <w:rsid w:val="007530CA"/>
    <w:rsid w:val="00756D68"/>
    <w:rsid w:val="007578D9"/>
    <w:rsid w:val="00757E8A"/>
    <w:rsid w:val="00762673"/>
    <w:rsid w:val="00763E43"/>
    <w:rsid w:val="00764EB5"/>
    <w:rsid w:val="00777A95"/>
    <w:rsid w:val="00782416"/>
    <w:rsid w:val="007B0364"/>
    <w:rsid w:val="007D0981"/>
    <w:rsid w:val="007D1929"/>
    <w:rsid w:val="007E40D2"/>
    <w:rsid w:val="007F4E0D"/>
    <w:rsid w:val="007F63EE"/>
    <w:rsid w:val="00803CF1"/>
    <w:rsid w:val="008104BB"/>
    <w:rsid w:val="008249C5"/>
    <w:rsid w:val="00847B16"/>
    <w:rsid w:val="008526F9"/>
    <w:rsid w:val="0085285E"/>
    <w:rsid w:val="00853023"/>
    <w:rsid w:val="008534D4"/>
    <w:rsid w:val="00881E28"/>
    <w:rsid w:val="00894C4B"/>
    <w:rsid w:val="00894D5F"/>
    <w:rsid w:val="008A12E3"/>
    <w:rsid w:val="008A42FA"/>
    <w:rsid w:val="008B0AC7"/>
    <w:rsid w:val="008C2335"/>
    <w:rsid w:val="008C67C1"/>
    <w:rsid w:val="008D1766"/>
    <w:rsid w:val="008D1D39"/>
    <w:rsid w:val="008D6199"/>
    <w:rsid w:val="008E5A16"/>
    <w:rsid w:val="008F07D2"/>
    <w:rsid w:val="00917851"/>
    <w:rsid w:val="00917F65"/>
    <w:rsid w:val="00922A8E"/>
    <w:rsid w:val="009311E7"/>
    <w:rsid w:val="009311FB"/>
    <w:rsid w:val="00942694"/>
    <w:rsid w:val="009A7E3A"/>
    <w:rsid w:val="009B1265"/>
    <w:rsid w:val="009B13C5"/>
    <w:rsid w:val="009B4A15"/>
    <w:rsid w:val="009B5693"/>
    <w:rsid w:val="009C61A2"/>
    <w:rsid w:val="009C78E4"/>
    <w:rsid w:val="009D687E"/>
    <w:rsid w:val="009F6DE7"/>
    <w:rsid w:val="00A055EE"/>
    <w:rsid w:val="00A06AE4"/>
    <w:rsid w:val="00A10583"/>
    <w:rsid w:val="00A1511C"/>
    <w:rsid w:val="00A24A49"/>
    <w:rsid w:val="00A37FCB"/>
    <w:rsid w:val="00A54863"/>
    <w:rsid w:val="00A61D74"/>
    <w:rsid w:val="00A837CA"/>
    <w:rsid w:val="00A8688B"/>
    <w:rsid w:val="00A91163"/>
    <w:rsid w:val="00A9286F"/>
    <w:rsid w:val="00A92E57"/>
    <w:rsid w:val="00A96255"/>
    <w:rsid w:val="00AB285B"/>
    <w:rsid w:val="00AD04D7"/>
    <w:rsid w:val="00AF5552"/>
    <w:rsid w:val="00AF5CB4"/>
    <w:rsid w:val="00AF5ED1"/>
    <w:rsid w:val="00AF71D6"/>
    <w:rsid w:val="00B216EE"/>
    <w:rsid w:val="00B3175F"/>
    <w:rsid w:val="00B31E2C"/>
    <w:rsid w:val="00B3222F"/>
    <w:rsid w:val="00B329B0"/>
    <w:rsid w:val="00B34115"/>
    <w:rsid w:val="00B402D8"/>
    <w:rsid w:val="00B40EA5"/>
    <w:rsid w:val="00B4237C"/>
    <w:rsid w:val="00B42FE8"/>
    <w:rsid w:val="00B52AFD"/>
    <w:rsid w:val="00B54077"/>
    <w:rsid w:val="00B8087E"/>
    <w:rsid w:val="00B8123E"/>
    <w:rsid w:val="00BB646E"/>
    <w:rsid w:val="00BD1BA1"/>
    <w:rsid w:val="00C019E5"/>
    <w:rsid w:val="00C35BC4"/>
    <w:rsid w:val="00C43F5B"/>
    <w:rsid w:val="00C551B5"/>
    <w:rsid w:val="00C576B8"/>
    <w:rsid w:val="00C943AB"/>
    <w:rsid w:val="00CB0848"/>
    <w:rsid w:val="00CB4371"/>
    <w:rsid w:val="00CB686B"/>
    <w:rsid w:val="00CC07E2"/>
    <w:rsid w:val="00CC516D"/>
    <w:rsid w:val="00CD7AC0"/>
    <w:rsid w:val="00D24330"/>
    <w:rsid w:val="00D31C87"/>
    <w:rsid w:val="00D40056"/>
    <w:rsid w:val="00D51E7C"/>
    <w:rsid w:val="00D54F29"/>
    <w:rsid w:val="00D6324D"/>
    <w:rsid w:val="00D662D4"/>
    <w:rsid w:val="00D7020C"/>
    <w:rsid w:val="00D70AD9"/>
    <w:rsid w:val="00D72152"/>
    <w:rsid w:val="00D94BA5"/>
    <w:rsid w:val="00D9510F"/>
    <w:rsid w:val="00DA615C"/>
    <w:rsid w:val="00DC41A6"/>
    <w:rsid w:val="00DD1BC6"/>
    <w:rsid w:val="00DE5DC3"/>
    <w:rsid w:val="00DF5AA1"/>
    <w:rsid w:val="00E00D8A"/>
    <w:rsid w:val="00E1050F"/>
    <w:rsid w:val="00E11604"/>
    <w:rsid w:val="00E11D92"/>
    <w:rsid w:val="00E130A0"/>
    <w:rsid w:val="00E17790"/>
    <w:rsid w:val="00E210C4"/>
    <w:rsid w:val="00E23DB7"/>
    <w:rsid w:val="00E46D96"/>
    <w:rsid w:val="00E507E3"/>
    <w:rsid w:val="00E52CCA"/>
    <w:rsid w:val="00E66409"/>
    <w:rsid w:val="00E6643A"/>
    <w:rsid w:val="00E81D5B"/>
    <w:rsid w:val="00E976B9"/>
    <w:rsid w:val="00EA05D3"/>
    <w:rsid w:val="00EB19AD"/>
    <w:rsid w:val="00EB2F31"/>
    <w:rsid w:val="00EB6493"/>
    <w:rsid w:val="00EC2915"/>
    <w:rsid w:val="00ED05A9"/>
    <w:rsid w:val="00ED1BA0"/>
    <w:rsid w:val="00F17257"/>
    <w:rsid w:val="00F27B7F"/>
    <w:rsid w:val="00F34D24"/>
    <w:rsid w:val="00F405C1"/>
    <w:rsid w:val="00F4130B"/>
    <w:rsid w:val="00F556A2"/>
    <w:rsid w:val="00F719A8"/>
    <w:rsid w:val="00F878B9"/>
    <w:rsid w:val="00F9305D"/>
    <w:rsid w:val="00FA7751"/>
    <w:rsid w:val="00FB24E8"/>
    <w:rsid w:val="00FB3B2B"/>
    <w:rsid w:val="00FC18DA"/>
    <w:rsid w:val="00FC3917"/>
    <w:rsid w:val="00FD33DE"/>
    <w:rsid w:val="00FD60DA"/>
    <w:rsid w:val="00FF07B4"/>
    <w:rsid w:val="00FF62C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3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paragraph" w:styleId="FootnoteText">
    <w:name w:val="footnote text"/>
    <w:basedOn w:val="Normal"/>
    <w:link w:val="FootnoteTextChar"/>
    <w:uiPriority w:val="99"/>
    <w:semiHidden/>
    <w:unhideWhenUsed/>
    <w:rsid w:val="00A151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1511C"/>
    <w:rPr>
      <w:sz w:val="20"/>
      <w:szCs w:val="20"/>
    </w:rPr>
  </w:style>
  <w:style w:type="character" w:styleId="FootnoteReference">
    <w:name w:val="footnote reference"/>
    <w:basedOn w:val="DefaultParagraphFont"/>
    <w:uiPriority w:val="99"/>
    <w:semiHidden/>
    <w:unhideWhenUsed/>
    <w:rsid w:val="00A1511C"/>
    <w:rPr>
      <w:vertAlign w:val="superscript"/>
    </w:rPr>
  </w:style>
  <w:style w:type="paragraph" w:styleId="NormalWeb">
    <w:name w:val="Normal (Web)"/>
    <w:basedOn w:val="Normal"/>
    <w:uiPriority w:val="99"/>
    <w:unhideWhenUsed/>
    <w:rsid w:val="00A1511C"/>
    <w:pPr>
      <w:spacing w:after="0" w:line="240" w:lineRule="auto"/>
    </w:pPr>
    <w:rPr>
      <w:rFonts w:ascii="Times New Roman" w:eastAsia="Times New Roman" w:hAnsi="Times New Roman" w:cs="Times New Roman"/>
      <w:sz w:val="24"/>
      <w:szCs w:val="24"/>
      <w:lang w:val="en-US" w:eastAsia="en-US"/>
    </w:rPr>
  </w:style>
  <w:style w:type="character" w:customStyle="1" w:styleId="UnresolvedMention2">
    <w:name w:val="Unresolved Mention2"/>
    <w:basedOn w:val="DefaultParagraphFont"/>
    <w:uiPriority w:val="99"/>
    <w:semiHidden/>
    <w:unhideWhenUsed/>
    <w:rsid w:val="00570FC0"/>
    <w:rPr>
      <w:color w:val="605E5C"/>
      <w:shd w:val="clear" w:color="auto" w:fill="E1DFDD"/>
    </w:rPr>
  </w:style>
  <w:style w:type="paragraph" w:styleId="NoSpacing">
    <w:name w:val="No Spacing"/>
    <w:uiPriority w:val="1"/>
    <w:qFormat/>
    <w:rsid w:val="00A06AE4"/>
    <w:pPr>
      <w:spacing w:after="0" w:line="240" w:lineRule="auto"/>
    </w:pPr>
  </w:style>
  <w:style w:type="paragraph" w:styleId="Revision">
    <w:name w:val="Revision"/>
    <w:hidden/>
    <w:uiPriority w:val="99"/>
    <w:semiHidden/>
    <w:rsid w:val="009311F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711627">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refworld.org/docid/453882a73.html" TargetMode="External"/><Relationship Id="rId18" Type="http://schemas.openxmlformats.org/officeDocument/2006/relationships/hyperlink" Target="https://www.escr-net.org/resources/general-comment-no-22-2016-right-sexual-and-reproductive-health"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unfpa.org/sdg-5-6" TargetMode="External"/><Relationship Id="rId17" Type="http://schemas.openxmlformats.org/officeDocument/2006/relationships/hyperlink" Target="https://www.escr-net.org/resources/general-comment-no-22-2016-right-sexual-and-reproductive-health" TargetMode="External"/><Relationship Id="rId2" Type="http://schemas.openxmlformats.org/officeDocument/2006/relationships/customXml" Target="../customXml/item2.xml"/><Relationship Id="rId16" Type="http://schemas.openxmlformats.org/officeDocument/2006/relationships/hyperlink" Target="http://www.refworld.org/docid/4a60961f2.html" TargetMode="External"/><Relationship Id="rId20" Type="http://schemas.openxmlformats.org/officeDocument/2006/relationships/hyperlink" Target="https://www.un.org/development/desa/disabilities/convention-on-the-rights-of-persons-with-disabilities/convention-on-the-rights-of-persons-with-disabilities-2.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nfpa.org/sites/default/files/pub-pdf/programme_of_action_Web%20ENGLISH.pdf"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refworld.org/pdfid/4538838d0.pdf"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www.refworld.org/docid/51ef9e134.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binternet.ohchr.org/Treaties/CEDAW/Shared%20Documents/1_Global/CEDAW_C_GC_35_8267_E.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un.org/development/desa/disabilities/convention-on-the-rights-of-persons-with-disabilities/convention-on-the-rights-of-persons-with-disabilities-2.html" TargetMode="External"/><Relationship Id="rId3" Type="http://schemas.openxmlformats.org/officeDocument/2006/relationships/hyperlink" Target="http://www.refworld.org/pdfid/4538838d0.pdf" TargetMode="External"/><Relationship Id="rId7" Type="http://schemas.openxmlformats.org/officeDocument/2006/relationships/hyperlink" Target="http://www.refworld.org/docid/51ef9e134.html" TargetMode="External"/><Relationship Id="rId2" Type="http://schemas.openxmlformats.org/officeDocument/2006/relationships/hyperlink" Target="http://tbinternet.ohchr.org/Treaties/CEDAW/Shared%20Documents/1_Global/CEDAW_C_GC_35_8267_E.pdf" TargetMode="External"/><Relationship Id="rId1" Type="http://schemas.openxmlformats.org/officeDocument/2006/relationships/hyperlink" Target="http://www.refworld.org/docid/453882a73.html" TargetMode="External"/><Relationship Id="rId6" Type="http://schemas.openxmlformats.org/officeDocument/2006/relationships/hyperlink" Target="https://www.escr-net.org/resources/general-comment-no-22-2016-right-sexual-and-reproductive-health" TargetMode="External"/><Relationship Id="rId5" Type="http://schemas.openxmlformats.org/officeDocument/2006/relationships/hyperlink" Target="https://www.escr-net.org/resources/general-comment-no-22-2016-right-sexual-and-reproductive-health" TargetMode="External"/><Relationship Id="rId4" Type="http://schemas.openxmlformats.org/officeDocument/2006/relationships/hyperlink" Target="http://www.refworld.org/docid/4a60961f2.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4028FFDD-62CF-4382-93CB-A8B190D2C363}"/>
      </w:docPartPr>
      <w:docPartBody>
        <w:p w:rsidR="00C47CA1" w:rsidRDefault="00FC4730">
          <w:r w:rsidRPr="00D064E4">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30"/>
    <w:rsid w:val="00536626"/>
    <w:rsid w:val="00C47CA1"/>
    <w:rsid w:val="00FC47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C473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F1FA24D40735C4697754DDAD8746459" ma:contentTypeVersion="8" ma:contentTypeDescription="Create a new document." ma:contentTypeScope="" ma:versionID="9e0107e07966a72c0ccfc92e152a97bd">
  <xsd:schema xmlns:xsd="http://www.w3.org/2001/XMLSchema" xmlns:xs="http://www.w3.org/2001/XMLSchema" xmlns:p="http://schemas.microsoft.com/office/2006/metadata/properties" xmlns:ns2="7f2b7c80-0f2d-4f77-964f-8aeab417169f" xmlns:ns3="2a0920cc-17e2-4fde-a745-a5fd8e25cdb2" targetNamespace="http://schemas.microsoft.com/office/2006/metadata/properties" ma:root="true" ma:fieldsID="705d17f504cd9d6dc1d4bb2787cd455a" ns2:_="" ns3:_="">
    <xsd:import namespace="7f2b7c80-0f2d-4f77-964f-8aeab417169f"/>
    <xsd:import namespace="2a0920cc-17e2-4fde-a745-a5fd8e25cdb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2b7c80-0f2d-4f77-964f-8aeab41716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a0920cc-17e2-4fde-a745-a5fd8e25c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38E91E5-33FE-413A-B04D-A5331E661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2b7c80-0f2d-4f77-964f-8aeab417169f"/>
    <ds:schemaRef ds:uri="2a0920cc-17e2-4fde-a745-a5fd8e25c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CFB24D13-AB9F-4136-9B82-57F0C87BB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3515</Words>
  <Characters>20042</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United Nations</Company>
  <LinksUpToDate>false</LinksUpToDate>
  <CharactersWithSpaces>23510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Kebebush Welkema</dc:creator>
  <cp:lastModifiedBy>Kebebush Welkema</cp:lastModifiedBy>
  <cp:revision>5</cp:revision>
  <cp:lastPrinted>2016-07-16T14:25:00Z</cp:lastPrinted>
  <dcterms:created xsi:type="dcterms:W3CDTF">2024-05-29T15:15:00Z</dcterms:created>
  <dcterms:modified xsi:type="dcterms:W3CDTF">2024-07-25T20:30:00Z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0x010100AF1FA24D40735C4697754DDAD8746459</vt:lpwstr>
  </property>
</Properties>
</file>