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46195582"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CE52B9">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04681D2E" w:rsidR="00B31E2C" w:rsidRPr="00A96255" w:rsidRDefault="00B31E2C" w:rsidP="00EA05D3">
      <w:pPr>
        <w:pStyle w:val="MIndHeader2"/>
      </w:pPr>
      <w:r w:rsidRPr="00A96255">
        <w:t xml:space="preserve">0. Indicator information </w:t>
      </w:r>
      <w:r>
        <w:rPr>
          <w:color w:val="B4B4B4"/>
          <w:sz w:val="20"/>
        </w:rPr>
        <w:t>(SDG_INDICATOR_INFO)</w:t>
      </w:r>
    </w:p>
    <w:p w14:paraId="043ED752" w14:textId="29342D54"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0C615824" w14:textId="45BA1ABF" w:rsidR="00D24330" w:rsidRPr="00A96255" w:rsidRDefault="001A3477" w:rsidP="002F5F0C">
      <w:pPr>
        <w:pStyle w:val="MGTHeader"/>
      </w:pPr>
      <w:r w:rsidRPr="001A3477">
        <w:t>Goal 5: Achieve gender equality and empower all women and girls</w:t>
      </w:r>
    </w:p>
    <w:p w14:paraId="084142D2" w14:textId="51BBAB28" w:rsidR="00D24330" w:rsidRPr="00A96255" w:rsidRDefault="00D24330" w:rsidP="00D24330">
      <w:pPr>
        <w:pStyle w:val="MIndHeader"/>
      </w:pPr>
      <w:r w:rsidRPr="00A96255">
        <w:t xml:space="preserve">0.b. Target </w:t>
      </w:r>
      <w:r>
        <w:rPr>
          <w:color w:val="B4B4B4"/>
          <w:sz w:val="20"/>
        </w:rPr>
        <w:t>(SDG_TARGET)</w:t>
      </w:r>
    </w:p>
    <w:p w14:paraId="0D7F1B46" w14:textId="1A558B5B" w:rsidR="00D24330" w:rsidRPr="00A96255" w:rsidRDefault="001A3477" w:rsidP="00D24330">
      <w:pPr>
        <w:pStyle w:val="MGTHeader"/>
      </w:pPr>
      <w:r w:rsidRPr="001A3477">
        <w:t>Target 5.c: Adopt and strengthen sound policies and enforceable legislation for the promotion of gender equality and the empowerment of all women and girls at all levels</w:t>
      </w:r>
    </w:p>
    <w:p w14:paraId="3E67E7E0" w14:textId="27A20DDA" w:rsidR="00D24330" w:rsidRPr="00A96255" w:rsidRDefault="00D24330" w:rsidP="00D24330">
      <w:pPr>
        <w:pStyle w:val="MIndHeader"/>
      </w:pPr>
      <w:r>
        <w:t xml:space="preserve">0.c. Indicator </w:t>
      </w:r>
      <w:r>
        <w:rPr>
          <w:color w:val="B4B4B4"/>
          <w:sz w:val="20"/>
        </w:rPr>
        <w:t>(SDG_INDICATOR)</w:t>
      </w:r>
    </w:p>
    <w:p w14:paraId="207F251E" w14:textId="4A846E91" w:rsidR="044AB268" w:rsidRDefault="044AB268" w:rsidP="22FF4E85">
      <w:pPr>
        <w:pStyle w:val="MGTHeader"/>
        <w:rPr>
          <w:rFonts w:ascii="Calibri" w:hAnsi="Calibri"/>
        </w:rPr>
      </w:pPr>
      <w:r w:rsidRPr="22FF4E85">
        <w:rPr>
          <w:rFonts w:ascii="Calibri" w:eastAsia="Calibri" w:hAnsi="Calibri" w:cs="Calibri"/>
          <w:color w:val="444444"/>
        </w:rPr>
        <w:t>Indicator 5.c.1: Proportion of countries with systems to track and make public allocations for gender equality and women’s empowerment</w:t>
      </w:r>
    </w:p>
    <w:p w14:paraId="37E5E4F6" w14:textId="0EFA2264" w:rsidR="00D24330" w:rsidRPr="000D1527" w:rsidRDefault="00D24330" w:rsidP="00D24330">
      <w:pPr>
        <w:pStyle w:val="MIndHeader"/>
        <w:rPr>
          <w:lang w:val="en-US"/>
        </w:rPr>
      </w:pPr>
      <w:r w:rsidRPr="000D1527">
        <w:rPr>
          <w:lang w:val="en-US"/>
        </w:rPr>
        <w:t>0.d. Series</w:t>
      </w:r>
      <w:r w:rsidRPr="00323ACF">
        <w:rPr>
          <w:lang w:val="en-US"/>
        </w:rPr>
        <w:t xml:space="preserve"> </w:t>
      </w:r>
      <w:r>
        <w:rPr>
          <w:color w:val="B4B4B4"/>
          <w:sz w:val="20"/>
        </w:rPr>
        <w:t>(SDG_SERIES_DESCR)</w:t>
      </w:r>
    </w:p>
    <w:p w14:paraId="06A142F6" w14:textId="2E173FF4" w:rsidR="009965BA" w:rsidRPr="000D1527" w:rsidRDefault="000B4F00" w:rsidP="009965BA">
      <w:pPr>
        <w:pStyle w:val="MGTHeader"/>
        <w:rPr>
          <w:lang w:val="en-US"/>
        </w:rPr>
      </w:pPr>
      <w:r w:rsidRPr="000D1527">
        <w:rPr>
          <w:lang w:val="en-US"/>
        </w:rPr>
        <w:t>Applies to all series</w:t>
      </w:r>
    </w:p>
    <w:p w14:paraId="157DACE7" w14:textId="5A544549" w:rsidR="00D24330" w:rsidRPr="00CE52B9" w:rsidRDefault="00D24330" w:rsidP="00D24330">
      <w:pPr>
        <w:pStyle w:val="MIndHeader"/>
        <w:rPr>
          <w:lang w:val="en-US"/>
        </w:rPr>
      </w:pPr>
      <w:r w:rsidRPr="00CE52B9">
        <w:rPr>
          <w:lang w:val="en-US"/>
        </w:rPr>
        <w:t>0.e. Metadata update</w:t>
      </w:r>
      <w:r w:rsidRPr="00323ACF">
        <w:rPr>
          <w:lang w:val="en-US"/>
        </w:rPr>
        <w:t xml:space="preserve"> </w:t>
      </w:r>
      <w:r>
        <w:rPr>
          <w:color w:val="B4B4B4"/>
          <w:sz w:val="20"/>
        </w:rPr>
        <w:t>(META_LAST_UPDATE)</w:t>
      </w:r>
    </w:p>
    <w:sdt>
      <w:sdtPr>
        <w:rPr>
          <w:lang w:val="en-US"/>
        </w:rPr>
        <w:id w:val="1232193333"/>
        <w:placeholder>
          <w:docPart w:val="319E79250B1A440FB6DBEF598F05EE09"/>
        </w:placeholder>
        <w:date w:fullDate="2023-03-31T00:00:00Z">
          <w:dateFormat w:val="yyyy-MM-dd"/>
          <w:lid w:val="en-US"/>
          <w:storeMappedDataAs w:val="dateTime"/>
          <w:calendar w:val="gregorian"/>
        </w:date>
      </w:sdtPr>
      <w:sdtEndPr/>
      <w:sdtContent>
        <w:p w14:paraId="03424B60" w14:textId="0B10FF34" w:rsidR="00D24330" w:rsidRPr="00CE52B9" w:rsidRDefault="00CE52B9" w:rsidP="00D24330">
          <w:pPr>
            <w:pStyle w:val="MGTHeader"/>
            <w:rPr>
              <w:lang w:val="en-US"/>
            </w:rPr>
          </w:pPr>
          <w:r w:rsidRPr="00CE52B9">
            <w:rPr>
              <w:lang w:val="en-US"/>
            </w:rPr>
            <w:t>202</w:t>
          </w:r>
          <w:r>
            <w:rPr>
              <w:lang w:val="en-US"/>
            </w:rPr>
            <w:t>3</w:t>
          </w:r>
          <w:r w:rsidRPr="00CE52B9">
            <w:rPr>
              <w:lang w:val="en-US"/>
            </w:rPr>
            <w:t>-</w:t>
          </w:r>
          <w:r>
            <w:rPr>
              <w:lang w:val="en-US"/>
            </w:rPr>
            <w:t>03</w:t>
          </w:r>
          <w:r w:rsidRPr="00CE52B9">
            <w:rPr>
              <w:lang w:val="en-US"/>
            </w:rPr>
            <w:t>-</w:t>
          </w:r>
          <w:r>
            <w:rPr>
              <w:lang w:val="en-US"/>
            </w:rPr>
            <w:t>31</w:t>
          </w:r>
        </w:p>
      </w:sdtContent>
    </w:sdt>
    <w:p w14:paraId="415C9FF1" w14:textId="184D8F03" w:rsidR="00D24330" w:rsidRPr="00A96255" w:rsidRDefault="00D24330" w:rsidP="00D24330">
      <w:pPr>
        <w:pStyle w:val="MIndHeader"/>
      </w:pPr>
      <w:r w:rsidRPr="00A96255">
        <w:t xml:space="preserve">0.f. Related indicators </w:t>
      </w:r>
      <w:r>
        <w:rPr>
          <w:color w:val="B4B4B4"/>
          <w:sz w:val="20"/>
        </w:rPr>
        <w:t>(SDG_RELATED_INDICATORS)</w:t>
      </w:r>
    </w:p>
    <w:p w14:paraId="21524279" w14:textId="21B5C045" w:rsidR="00D24330" w:rsidRPr="00A96255" w:rsidRDefault="00572B2A" w:rsidP="00D24330">
      <w:pPr>
        <w:pStyle w:val="MGTHeader"/>
      </w:pPr>
      <w:r>
        <w:t>No</w:t>
      </w:r>
      <w:r w:rsidR="00175C86">
        <w:t xml:space="preserve">t </w:t>
      </w:r>
      <w:r w:rsidR="0081423B">
        <w:t>a</w:t>
      </w:r>
      <w:r w:rsidR="00175C86">
        <w:t>pplicable</w:t>
      </w:r>
    </w:p>
    <w:p w14:paraId="077BC49E" w14:textId="6E109E4C"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31B6D8D7" w:rsidR="00621893" w:rsidRPr="00A96255" w:rsidRDefault="00697F96" w:rsidP="00D24330">
      <w:pPr>
        <w:pStyle w:val="MGTHeader"/>
        <w:rPr>
          <w:color w:val="4A4A4A"/>
        </w:rPr>
      </w:pPr>
      <w:bookmarkStart w:id="0" w:name="_Hlk126154239"/>
      <w:r>
        <w:t>United Nations Entity for Gender Equality and the Empowerment of Women (</w:t>
      </w:r>
      <w:r w:rsidR="001A3477" w:rsidRPr="001A3477">
        <w:t>UN Women</w:t>
      </w:r>
      <w:r>
        <w:t>)</w:t>
      </w:r>
      <w:r w:rsidR="001A3477" w:rsidRPr="001A3477">
        <w:t xml:space="preserve"> in c</w:t>
      </w:r>
      <w:r w:rsidR="001A3477">
        <w:t>ollaboration with</w:t>
      </w:r>
      <w:r>
        <w:t xml:space="preserve"> Organisation for Economic Co-operation and Development (</w:t>
      </w:r>
      <w:r w:rsidR="001A3477">
        <w:t>OECD</w:t>
      </w:r>
      <w:r>
        <w:t>)</w:t>
      </w:r>
      <w:r w:rsidR="001A3477">
        <w:t xml:space="preserve"> and </w:t>
      </w:r>
      <w:r>
        <w:t>United Nations Development Programme (</w:t>
      </w:r>
      <w:r w:rsidR="001A3477">
        <w:t>UNDP</w:t>
      </w:r>
      <w:r>
        <w:t>)</w:t>
      </w:r>
    </w:p>
    <w:bookmarkEnd w:id="0"/>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C93CBD6"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r w:rsidRPr="00EA05D3">
        <w:t xml:space="preserve"> </w:t>
      </w:r>
      <w:r>
        <w:rPr>
          <w:color w:val="B4B4B4"/>
          <w:sz w:val="20"/>
        </w:rPr>
        <w:t>(CONTACT)</w:t>
      </w:r>
    </w:p>
    <w:p w14:paraId="0BD77982" w14:textId="5CFFA9FB" w:rsidR="00576CFA" w:rsidRPr="00A96255" w:rsidRDefault="00576CFA" w:rsidP="00F719A8">
      <w:pPr>
        <w:pStyle w:val="MHeader2"/>
      </w:pPr>
      <w:r w:rsidRPr="00A96255">
        <w:t xml:space="preserve">1.a. Organisation </w:t>
      </w:r>
      <w:r>
        <w:rPr>
          <w:color w:val="B4B4B4"/>
          <w:sz w:val="20"/>
        </w:rPr>
        <w:t>(CONTACT_ORGANISATION)</w:t>
      </w:r>
    </w:p>
    <w:p w14:paraId="6E829FD0" w14:textId="7D74747B" w:rsidR="00F719A8" w:rsidRDefault="00697F96" w:rsidP="00576CFA">
      <w:pPr>
        <w:pStyle w:val="MText"/>
      </w:pPr>
      <w:r w:rsidRPr="00697F96">
        <w:t>United Nations Entity for Gender Equality and the Empowerment of Women (UN Women) in collaboration with Organisation for Economic Co-operation and Development (OECD) and United Nations Development Programme (UNDP)</w:t>
      </w:r>
    </w:p>
    <w:p w14:paraId="506A36E1" w14:textId="77777777" w:rsidR="00697F96" w:rsidRDefault="00697F96" w:rsidP="00576CFA">
      <w:pPr>
        <w:pStyle w:val="MText"/>
      </w:pPr>
    </w:p>
    <w:p w14:paraId="14915AC8" w14:textId="57792DBC"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5EDC76E3" w:rsidR="008B0AC7" w:rsidRPr="00A96255" w:rsidRDefault="008B0AC7" w:rsidP="00F719A8">
      <w:pPr>
        <w:pStyle w:val="MHeader2"/>
      </w:pPr>
      <w:r w:rsidRPr="00A96255">
        <w:t xml:space="preserve">2.a. Definition and concepts </w:t>
      </w:r>
      <w:r>
        <w:rPr>
          <w:color w:val="B4B4B4"/>
          <w:sz w:val="20"/>
        </w:rPr>
        <w:t>(STAT_CONC_DEF)</w:t>
      </w:r>
    </w:p>
    <w:p w14:paraId="2A29E44C" w14:textId="2D3D9545" w:rsidR="00D51E7C" w:rsidRPr="00EE5E18" w:rsidRDefault="00D51E7C" w:rsidP="00576CFA">
      <w:pPr>
        <w:pStyle w:val="MText"/>
        <w:rPr>
          <w:b/>
        </w:rPr>
      </w:pPr>
      <w:r w:rsidRPr="00EE5E18">
        <w:rPr>
          <w:b/>
        </w:rPr>
        <w:t>Definitions:</w:t>
      </w:r>
    </w:p>
    <w:p w14:paraId="72BBAFB9" w14:textId="77A57FB4" w:rsidR="001A3477" w:rsidRDefault="001A3477" w:rsidP="001A3477">
      <w:pPr>
        <w:pStyle w:val="MText"/>
      </w:pPr>
      <w:r>
        <w:t xml:space="preserve">Sustainable Development Goal (SDG) Indicator 5.c.1 seeks to measure government efforts to track budget allocations for gender equality throughout the public finance management cycle and to make these publicly available. This is an indicator of </w:t>
      </w:r>
      <w:r w:rsidR="0007379D">
        <w:t xml:space="preserve">the </w:t>
      </w:r>
      <w:r>
        <w:t xml:space="preserve">characteristics of the fiscal system. It is not an indicator of </w:t>
      </w:r>
      <w:r w:rsidR="00AE316C">
        <w:t xml:space="preserve">the </w:t>
      </w:r>
      <w:r>
        <w:t xml:space="preserve">quantity or quality of finance allocated for gender equality and women’s empowerment (GEWE). The indicator measures three criteria. The first focuses on the intent of a government to address GEWE by identifying if it has programs/policies and resource allocations </w:t>
      </w:r>
      <w:r w:rsidR="008E7D6C">
        <w:t xml:space="preserve">for </w:t>
      </w:r>
      <w:r>
        <w:t xml:space="preserve">GEWE. The second assesses if a </w:t>
      </w:r>
      <w:r>
        <w:lastRenderedPageBreak/>
        <w:t>government has planning and budget tools to track resources for GEWE throughout the public financial management cycle. The third focuses on transparency by identifying if a government has provisions to make allocations for GEWE publicly available.</w:t>
      </w:r>
    </w:p>
    <w:p w14:paraId="25513F99" w14:textId="77777777" w:rsidR="001A3477" w:rsidRDefault="001A3477" w:rsidP="001A3477">
      <w:pPr>
        <w:pStyle w:val="MText"/>
      </w:pPr>
    </w:p>
    <w:p w14:paraId="2E9433A3" w14:textId="0E615504" w:rsidR="00D51E7C" w:rsidRDefault="001A3477" w:rsidP="001A3477">
      <w:pPr>
        <w:pStyle w:val="MText"/>
      </w:pPr>
      <w:r>
        <w:t>The indicator aims to encourage national governments to develop appropriate budget tracking and monitoring systems and commit to making information about allocations for gender equality readily available to the public. The system should be led by the Ministry of Finance in collaboration with the sectoral ministries and National Women’s Machineries and overseen by an appropriate body such as Parliament or Public Auditors.</w:t>
      </w:r>
    </w:p>
    <w:p w14:paraId="47072EFA" w14:textId="77777777" w:rsidR="001A3477" w:rsidRPr="00C019E5" w:rsidRDefault="001A3477" w:rsidP="001A3477">
      <w:pPr>
        <w:pStyle w:val="MText"/>
        <w:rPr>
          <w:highlight w:val="cyan"/>
        </w:rPr>
      </w:pPr>
    </w:p>
    <w:p w14:paraId="5C907891" w14:textId="77777777" w:rsidR="001A3477" w:rsidRDefault="001A3477" w:rsidP="001A3477">
      <w:pPr>
        <w:pStyle w:val="MSubHeader"/>
      </w:pPr>
      <w:r>
        <w:t xml:space="preserve">Concepts: </w:t>
      </w:r>
    </w:p>
    <w:p w14:paraId="2D6E3EE0" w14:textId="5D6AE757" w:rsidR="001A3477" w:rsidRDefault="001A3477" w:rsidP="001A3477">
      <w:pPr>
        <w:pStyle w:val="MText"/>
      </w:pPr>
      <w:r>
        <w:t xml:space="preserve">To determine if a country has a system to track and make public allocations for gender equality and women’s empowerment, the following questionnaire </w:t>
      </w:r>
      <w:r w:rsidR="00415ACB">
        <w:t>is</w:t>
      </w:r>
      <w:r w:rsidR="007B23ED">
        <w:t xml:space="preserve"> </w:t>
      </w:r>
      <w:r>
        <w:t>sent to its Ministry of Finance, or agency in charge of the government budget:</w:t>
      </w:r>
    </w:p>
    <w:p w14:paraId="796ED5F0" w14:textId="77777777" w:rsidR="001A3477" w:rsidRDefault="001A3477" w:rsidP="001A3477">
      <w:pPr>
        <w:pStyle w:val="MText"/>
      </w:pPr>
    </w:p>
    <w:p w14:paraId="2C124BBA" w14:textId="0851FB89" w:rsidR="001A3477" w:rsidRDefault="001A3477" w:rsidP="001A3477">
      <w:pPr>
        <w:pStyle w:val="MText"/>
      </w:pPr>
      <w:r>
        <w:t>Criterion 1. Which of the following aspects of public expenditure are reflected in your government programs and its resource allocations? (In the last completed fiscal year)</w:t>
      </w:r>
    </w:p>
    <w:p w14:paraId="54EFFC01" w14:textId="23210152" w:rsidR="001A3477" w:rsidRDefault="001A3477" w:rsidP="001A3477">
      <w:pPr>
        <w:pStyle w:val="MText"/>
        <w:ind w:left="720"/>
      </w:pPr>
      <w:r>
        <w:t>Question 1.1. Are there policies and/or programs of the government designed to address well-identified gender equality goals, including those where gender equality is not the primary objective (such as public services, social protection</w:t>
      </w:r>
      <w:r w:rsidR="000C2C3C">
        <w:t>,</w:t>
      </w:r>
      <w:r>
        <w:t xml:space="preserve"> and infrastructure) but incorporate</w:t>
      </w:r>
      <w:r w:rsidR="000C2C3C">
        <w:t>s</w:t>
      </w:r>
      <w:r>
        <w:t xml:space="preserve"> action to close gender gaps? (Yes=1/No=0)</w:t>
      </w:r>
    </w:p>
    <w:p w14:paraId="66F36BE1" w14:textId="77777777" w:rsidR="008E7D6C" w:rsidRDefault="008E7D6C" w:rsidP="001A3477">
      <w:pPr>
        <w:pStyle w:val="MText"/>
        <w:ind w:left="720"/>
      </w:pPr>
    </w:p>
    <w:p w14:paraId="15A39F9D" w14:textId="2C2372AF" w:rsidR="001A3477" w:rsidRDefault="001A3477" w:rsidP="001A3477">
      <w:pPr>
        <w:pStyle w:val="MText"/>
        <w:ind w:left="720"/>
      </w:pPr>
      <w:r>
        <w:t>Question 1.2. Do these policies and/or programs have adequate resources allocated within the budget, sufficient to meet both their general objectives and their gender equality goals? (Yes=1/No=0)</w:t>
      </w:r>
    </w:p>
    <w:p w14:paraId="412EF711" w14:textId="77777777" w:rsidR="001A3477" w:rsidRDefault="001A3477" w:rsidP="001A3477">
      <w:pPr>
        <w:pStyle w:val="MText"/>
        <w:ind w:left="720"/>
      </w:pPr>
    </w:p>
    <w:p w14:paraId="41C92762" w14:textId="77777777" w:rsidR="001A3477" w:rsidRDefault="001A3477" w:rsidP="001A3477">
      <w:pPr>
        <w:pStyle w:val="MText"/>
        <w:ind w:left="720"/>
      </w:pPr>
      <w:r>
        <w:t>Question 1.3. Are there procedures in place to ensure that these resources are executed according to the budget? (Yes=1/No=0)</w:t>
      </w:r>
    </w:p>
    <w:p w14:paraId="5CF8BD21" w14:textId="77777777" w:rsidR="001A3477" w:rsidRDefault="001A3477" w:rsidP="001A3477">
      <w:pPr>
        <w:pStyle w:val="MText"/>
      </w:pPr>
    </w:p>
    <w:p w14:paraId="4D7C95B8" w14:textId="77777777" w:rsidR="001A3477" w:rsidRDefault="001A3477" w:rsidP="001A3477">
      <w:pPr>
        <w:pStyle w:val="MText"/>
      </w:pPr>
      <w:r>
        <w:t>Criterion 2. To what extent does your Public Financial Management system promote gender-related or gender-responsive goals? (In the last completed fiscal year)</w:t>
      </w:r>
    </w:p>
    <w:p w14:paraId="3F88A1EA" w14:textId="77777777" w:rsidR="001A3477" w:rsidRDefault="001A3477" w:rsidP="001A3477">
      <w:pPr>
        <w:pStyle w:val="MText"/>
        <w:ind w:left="720"/>
      </w:pPr>
    </w:p>
    <w:p w14:paraId="77B86153" w14:textId="77777777" w:rsidR="001A3477" w:rsidRDefault="001A3477" w:rsidP="001A3477">
      <w:pPr>
        <w:pStyle w:val="MText"/>
        <w:ind w:left="720"/>
      </w:pPr>
      <w:r>
        <w:t xml:space="preserve">Question 2.1. </w:t>
      </w:r>
      <w:proofErr w:type="gramStart"/>
      <w:r>
        <w:t>Does</w:t>
      </w:r>
      <w:proofErr w:type="gramEnd"/>
      <w:r>
        <w:t xml:space="preserve"> the Ministry of Finance/budget office issue call circulars, or other such directives, that provide specific guidance on gender-responsive budget allocations? (Yes=1/No=0)</w:t>
      </w:r>
    </w:p>
    <w:p w14:paraId="777AACC1" w14:textId="77777777" w:rsidR="001A3477" w:rsidRDefault="001A3477" w:rsidP="001A3477">
      <w:pPr>
        <w:pStyle w:val="MText"/>
        <w:ind w:left="720"/>
      </w:pPr>
    </w:p>
    <w:p w14:paraId="38424ED7" w14:textId="443C740A" w:rsidR="001A3477" w:rsidRDefault="001A3477" w:rsidP="001A3477">
      <w:pPr>
        <w:pStyle w:val="MText"/>
        <w:ind w:left="720"/>
      </w:pPr>
      <w:r>
        <w:t xml:space="preserve">Question 2.2. Are key policies and programs, proposed for inclusion in the budget, subject to an </w:t>
      </w:r>
      <w:r w:rsidR="00195744">
        <w:t>ex-ante</w:t>
      </w:r>
      <w:r>
        <w:t xml:space="preserve"> gender impact assessment? (Yes=1/No=0)</w:t>
      </w:r>
    </w:p>
    <w:p w14:paraId="62D76924" w14:textId="77777777" w:rsidR="001A3477" w:rsidRDefault="001A3477" w:rsidP="001A3477">
      <w:pPr>
        <w:pStyle w:val="MText"/>
        <w:ind w:left="720"/>
      </w:pPr>
    </w:p>
    <w:p w14:paraId="7CE97E83" w14:textId="1F191DB3" w:rsidR="001A3477" w:rsidRDefault="001A3477" w:rsidP="001A3477">
      <w:pPr>
        <w:pStyle w:val="MText"/>
        <w:ind w:left="720"/>
      </w:pPr>
      <w:r>
        <w:t>Question 2.3. Are sex-disaggregated statistics and data used across key policies and programs in a way which can inform budget-related policy decisions? (Yes=1/No=0)</w:t>
      </w:r>
    </w:p>
    <w:p w14:paraId="24A77222" w14:textId="77777777" w:rsidR="001A3477" w:rsidRDefault="001A3477" w:rsidP="001A3477">
      <w:pPr>
        <w:pStyle w:val="MText"/>
        <w:ind w:left="720"/>
      </w:pPr>
    </w:p>
    <w:p w14:paraId="46D256A5" w14:textId="479ED7E1" w:rsidR="001A3477" w:rsidRDefault="001A3477" w:rsidP="001A3477">
      <w:pPr>
        <w:pStyle w:val="MText"/>
        <w:ind w:left="720"/>
      </w:pPr>
      <w:r>
        <w:t>Question 2.4. Does the government provide, in the context of the budget, a clear statement of gender-related objectives (i.e.</w:t>
      </w:r>
      <w:r w:rsidR="00C77618">
        <w:t xml:space="preserve"> </w:t>
      </w:r>
      <w:r>
        <w:t xml:space="preserve"> gender budget statement or gender responsive budget legislation)? (Yes=1/No=0)</w:t>
      </w:r>
    </w:p>
    <w:p w14:paraId="0E52DF0C" w14:textId="77777777" w:rsidR="001A3477" w:rsidRDefault="001A3477" w:rsidP="001A3477">
      <w:pPr>
        <w:pStyle w:val="MText"/>
        <w:ind w:left="720"/>
      </w:pPr>
    </w:p>
    <w:p w14:paraId="1C438071" w14:textId="77777777" w:rsidR="001A3477" w:rsidRDefault="001A3477" w:rsidP="001A3477">
      <w:pPr>
        <w:pStyle w:val="MText"/>
        <w:ind w:left="720"/>
      </w:pPr>
      <w:r>
        <w:lastRenderedPageBreak/>
        <w:t>Question 2.5. Are budgetary allocations subject to “tagging” including by functional classifiers, to identify their linkage to gender-equality objectives? (Yes=1/No=0)</w:t>
      </w:r>
    </w:p>
    <w:p w14:paraId="614B0865" w14:textId="5677E4AE" w:rsidR="001A3477" w:rsidRDefault="001A3477" w:rsidP="000B4F00">
      <w:pPr>
        <w:pStyle w:val="MText"/>
        <w:ind w:left="720"/>
      </w:pPr>
      <w:r>
        <w:t>Question 2.6. Are key policies and programs subject to ex</w:t>
      </w:r>
      <w:r w:rsidR="00195744">
        <w:t>-</w:t>
      </w:r>
      <w:r>
        <w:t>post gender impact assessment? (Yes=1/No=0)</w:t>
      </w:r>
    </w:p>
    <w:p w14:paraId="168DF34B" w14:textId="77777777" w:rsidR="001A3477" w:rsidRDefault="001A3477" w:rsidP="001A3477">
      <w:pPr>
        <w:pStyle w:val="MText"/>
        <w:ind w:left="720"/>
      </w:pPr>
    </w:p>
    <w:p w14:paraId="5EBB4D99" w14:textId="27E3DDCD" w:rsidR="001A3477" w:rsidRDefault="001A3477" w:rsidP="001A3477">
      <w:pPr>
        <w:pStyle w:val="MText"/>
        <w:ind w:left="720"/>
      </w:pPr>
      <w:r>
        <w:t xml:space="preserve">Question 2.7. Is the budget </w:t>
      </w:r>
      <w:proofErr w:type="gramStart"/>
      <w:r>
        <w:t>as a whole subject</w:t>
      </w:r>
      <w:proofErr w:type="gramEnd"/>
      <w:r>
        <w:t xml:space="preserve"> to independent audit to assess the extent to which it promotes gender-responsive policies? (Yes=1/No=0)</w:t>
      </w:r>
    </w:p>
    <w:p w14:paraId="529CE01D" w14:textId="77777777" w:rsidR="001A3477" w:rsidRDefault="001A3477" w:rsidP="001A3477">
      <w:pPr>
        <w:pStyle w:val="MText"/>
      </w:pPr>
    </w:p>
    <w:p w14:paraId="674EAA33" w14:textId="77777777" w:rsidR="001A3477" w:rsidRDefault="001A3477" w:rsidP="001A3477">
      <w:pPr>
        <w:pStyle w:val="MText"/>
      </w:pPr>
      <w:r>
        <w:t>Criterion 3. Are allocations for gender equality and women’s empowerment made public? (In the last completed fiscal year)</w:t>
      </w:r>
    </w:p>
    <w:p w14:paraId="4FE4556C" w14:textId="77777777" w:rsidR="001A3477" w:rsidRDefault="001A3477" w:rsidP="001A3477">
      <w:pPr>
        <w:pStyle w:val="MText"/>
        <w:ind w:left="720"/>
      </w:pPr>
      <w:r>
        <w:t>Question 3.1. Is the data on gender equality allocations published? (Yes=1/No=0)</w:t>
      </w:r>
    </w:p>
    <w:p w14:paraId="05ADE37C" w14:textId="77777777" w:rsidR="001A3477" w:rsidRDefault="001A3477" w:rsidP="001A3477">
      <w:pPr>
        <w:pStyle w:val="MText"/>
        <w:ind w:left="720"/>
      </w:pPr>
    </w:p>
    <w:p w14:paraId="7AFCB7F4" w14:textId="77777777" w:rsidR="001A3477" w:rsidRDefault="001A3477" w:rsidP="001A3477">
      <w:pPr>
        <w:pStyle w:val="MText"/>
        <w:ind w:left="720"/>
      </w:pPr>
      <w:r>
        <w:t>Question 3.2. If published, has this data been published in an accessible manner on the Ministry of Finance (or office responsible for budget) website and/or related official bulletins or public notices? (Yes=1/No=0)</w:t>
      </w:r>
    </w:p>
    <w:p w14:paraId="4C29F66A" w14:textId="77777777" w:rsidR="001A3477" w:rsidRDefault="001A3477" w:rsidP="001A3477">
      <w:pPr>
        <w:pStyle w:val="MText"/>
        <w:ind w:left="720"/>
      </w:pPr>
    </w:p>
    <w:p w14:paraId="00DF1435" w14:textId="21952B27" w:rsidR="001A3477" w:rsidRDefault="001A3477" w:rsidP="001A3477">
      <w:pPr>
        <w:pStyle w:val="MText"/>
        <w:ind w:left="720"/>
      </w:pPr>
      <w:r>
        <w:t>Question 3.3. If so, has the data on gender equality allocations been published in a timely manner? (Yes=1/No=0)</w:t>
      </w:r>
    </w:p>
    <w:p w14:paraId="7D5CA33D" w14:textId="77E6B2B1" w:rsidR="001A3477" w:rsidRDefault="001A3477" w:rsidP="000D1527">
      <w:pPr>
        <w:autoSpaceDE w:val="0"/>
        <w:autoSpaceDN w:val="0"/>
        <w:adjustRightInd w:val="0"/>
        <w:jc w:val="both"/>
        <w:rPr>
          <w:rFonts w:cstheme="minorHAnsi"/>
          <w:bCs/>
          <w:color w:val="000000"/>
          <w:sz w:val="23"/>
          <w:szCs w:val="23"/>
        </w:rPr>
      </w:pPr>
    </w:p>
    <w:p w14:paraId="65EF4ED9" w14:textId="77777777" w:rsidR="001A3477" w:rsidRDefault="001A3477" w:rsidP="001A3477">
      <w:pPr>
        <w:pStyle w:val="MSubHeader"/>
      </w:pPr>
      <w:r>
        <w:t>Concept Definitions:</w:t>
      </w:r>
    </w:p>
    <w:p w14:paraId="28B0C60E" w14:textId="77777777" w:rsidR="001A3477" w:rsidRDefault="001A3477" w:rsidP="001A3477">
      <w:pPr>
        <w:pStyle w:val="MSubHeader"/>
      </w:pPr>
    </w:p>
    <w:p w14:paraId="20AADE28" w14:textId="77777777" w:rsidR="001A3477" w:rsidRDefault="001A3477" w:rsidP="001A3477">
      <w:pPr>
        <w:pStyle w:val="MSubHeader"/>
        <w:ind w:firstLine="360"/>
        <w:rPr>
          <w:u w:val="single"/>
        </w:rPr>
      </w:pPr>
      <w:r>
        <w:rPr>
          <w:u w:val="single"/>
        </w:rPr>
        <w:t>For Criterion 1:</w:t>
      </w:r>
    </w:p>
    <w:p w14:paraId="56195A8E" w14:textId="77777777" w:rsidR="001A3477" w:rsidRDefault="001A3477" w:rsidP="001A3477">
      <w:pPr>
        <w:pStyle w:val="MText"/>
        <w:numPr>
          <w:ilvl w:val="0"/>
          <w:numId w:val="5"/>
        </w:numPr>
      </w:pPr>
      <w:r>
        <w:t>“</w:t>
      </w:r>
      <w:r>
        <w:rPr>
          <w:b/>
          <w:bCs/>
        </w:rPr>
        <w:t>Programs or policies of the government, that are designed to address well-identified gender equality goals</w:t>
      </w:r>
      <w:r>
        <w:t>” can be defined as:</w:t>
      </w:r>
    </w:p>
    <w:p w14:paraId="25B3D201" w14:textId="77777777" w:rsidR="001A3477" w:rsidRDefault="001A3477" w:rsidP="001A3477">
      <w:pPr>
        <w:pStyle w:val="MText"/>
        <w:numPr>
          <w:ilvl w:val="1"/>
          <w:numId w:val="5"/>
        </w:numPr>
      </w:pPr>
      <w:r>
        <w:t>Programs or policies that specifically target only women and/or girls. For example, a government program that provides scholarships for girls only, or a prenatal care program, or a National Action Plan on Gender Equality; or</w:t>
      </w:r>
    </w:p>
    <w:p w14:paraId="7E8C30B9" w14:textId="77777777" w:rsidR="001A3477" w:rsidRDefault="001A3477" w:rsidP="001A3477">
      <w:pPr>
        <w:pStyle w:val="MText"/>
        <w:numPr>
          <w:ilvl w:val="1"/>
          <w:numId w:val="5"/>
        </w:numPr>
      </w:pPr>
      <w:r>
        <w:t>Programs or policies that target both women or girls and men or boys and have gender equality as the primary objective. For example, a national public information campaign against gender violence, or on-the-job training programs on gender equality; or</w:t>
      </w:r>
    </w:p>
    <w:p w14:paraId="63362A88" w14:textId="58454E05" w:rsidR="001A3477" w:rsidRDefault="001A3477" w:rsidP="001A3477">
      <w:pPr>
        <w:pStyle w:val="MText"/>
        <w:numPr>
          <w:ilvl w:val="1"/>
          <w:numId w:val="5"/>
        </w:numPr>
      </w:pPr>
      <w:r>
        <w:t xml:space="preserve">Programs or policies where gender equality is not the primary </w:t>
      </w:r>
      <w:r w:rsidR="00100995">
        <w:t>objective,</w:t>
      </w:r>
      <w:r>
        <w:t xml:space="preserve"> but the program includes action to close gender gaps. These programs could include </w:t>
      </w:r>
      <w:r w:rsidR="00597D80">
        <w:t xml:space="preserve">the </w:t>
      </w:r>
      <w:r>
        <w:t xml:space="preserve">provision of infrastructure, public </w:t>
      </w:r>
      <w:r w:rsidR="00100995">
        <w:t>services,</w:t>
      </w:r>
      <w:r>
        <w:t xml:space="preserve"> and social protection. For example, an infrastructure program that has a provision for using women</w:t>
      </w:r>
      <w:r w:rsidR="002621AE">
        <w:t>’s</w:t>
      </w:r>
      <w:r>
        <w:t xml:space="preserve"> labour, or a public transportation program that takes into consideration the mobility needs of women in its design. </w:t>
      </w:r>
    </w:p>
    <w:p w14:paraId="300A9107" w14:textId="77777777" w:rsidR="001A3477" w:rsidRDefault="001A3477" w:rsidP="001A3477">
      <w:pPr>
        <w:spacing w:after="0"/>
        <w:ind w:firstLine="45"/>
        <w:jc w:val="both"/>
        <w:rPr>
          <w:rFonts w:cstheme="minorHAnsi"/>
          <w:sz w:val="23"/>
          <w:szCs w:val="23"/>
        </w:rPr>
      </w:pPr>
    </w:p>
    <w:p w14:paraId="206A896B" w14:textId="77777777" w:rsidR="001A3477" w:rsidRDefault="001A3477" w:rsidP="001A3477">
      <w:pPr>
        <w:pStyle w:val="MText"/>
        <w:numPr>
          <w:ilvl w:val="0"/>
          <w:numId w:val="6"/>
        </w:numPr>
      </w:pPr>
      <w:r>
        <w:t>“</w:t>
      </w:r>
      <w:r>
        <w:rPr>
          <w:b/>
        </w:rPr>
        <w:t>Programs or policies have</w:t>
      </w:r>
      <w:r>
        <w:t xml:space="preserve"> </w:t>
      </w:r>
      <w:r>
        <w:rPr>
          <w:b/>
        </w:rPr>
        <w:t>adequate resources allocated within the budget</w:t>
      </w:r>
      <w:r>
        <w:t>, sufficient to meet both their general objectives and their gender equality goals” can be defined as:</w:t>
      </w:r>
    </w:p>
    <w:p w14:paraId="3226997A" w14:textId="77777777" w:rsidR="001A3477" w:rsidRDefault="001A3477" w:rsidP="001A3477">
      <w:pPr>
        <w:pStyle w:val="MText"/>
        <w:numPr>
          <w:ilvl w:val="1"/>
          <w:numId w:val="6"/>
        </w:numPr>
      </w:pPr>
      <w:r>
        <w:t>The programs or policies that are designed to address well-identified gender equality goals are allocated sufficient resources to cover the costs of meeting those goals from funding that is included in the budget rather than from off-budget sources.</w:t>
      </w:r>
    </w:p>
    <w:p w14:paraId="0DDA9B5D" w14:textId="77777777" w:rsidR="001A3477" w:rsidRDefault="001A3477" w:rsidP="001A3477">
      <w:pPr>
        <w:spacing w:after="0"/>
        <w:jc w:val="both"/>
        <w:rPr>
          <w:rFonts w:cstheme="minorHAnsi"/>
          <w:sz w:val="23"/>
          <w:szCs w:val="23"/>
        </w:rPr>
      </w:pPr>
    </w:p>
    <w:p w14:paraId="1687018D" w14:textId="77777777" w:rsidR="001A3477" w:rsidRDefault="001A3477" w:rsidP="001A3477">
      <w:pPr>
        <w:pStyle w:val="MText"/>
        <w:numPr>
          <w:ilvl w:val="0"/>
          <w:numId w:val="7"/>
        </w:numPr>
      </w:pPr>
      <w:r>
        <w:t>“</w:t>
      </w:r>
      <w:r>
        <w:rPr>
          <w:b/>
          <w:bCs/>
        </w:rPr>
        <w:t>Procedures in place to ensure that these resources are executed according to the budget</w:t>
      </w:r>
      <w:r>
        <w:t>” can be defined as:</w:t>
      </w:r>
    </w:p>
    <w:p w14:paraId="54532BA1" w14:textId="77777777" w:rsidR="001A3477" w:rsidRDefault="001A3477" w:rsidP="001A3477">
      <w:pPr>
        <w:pStyle w:val="MText"/>
        <w:numPr>
          <w:ilvl w:val="1"/>
          <w:numId w:val="7"/>
        </w:numPr>
      </w:pPr>
      <w:r>
        <w:t>There are procedures established in laws or regulations so that resources for programs or policies that are designed to address well-identified gender equality goals are executed as specified in the budget or if there are deviations in the exercise from the budgeted allocations, government agencies must justify to a supervising entity (e.g. ministries of finance, parliaments, audit bodies, or other relevant authorities) the reason for not executing resources according to budget.</w:t>
      </w:r>
    </w:p>
    <w:p w14:paraId="15BD9C2D" w14:textId="77777777" w:rsidR="001A3477" w:rsidRDefault="001A3477" w:rsidP="001A3477">
      <w:pPr>
        <w:spacing w:after="0"/>
        <w:jc w:val="both"/>
        <w:rPr>
          <w:rFonts w:cstheme="minorHAnsi"/>
          <w:sz w:val="23"/>
          <w:szCs w:val="23"/>
        </w:rPr>
      </w:pPr>
    </w:p>
    <w:p w14:paraId="261D3846" w14:textId="77777777" w:rsidR="001A3477" w:rsidRDefault="001A3477" w:rsidP="001A3477">
      <w:pPr>
        <w:pStyle w:val="MSubHeader"/>
        <w:ind w:firstLine="360"/>
        <w:rPr>
          <w:u w:val="single"/>
        </w:rPr>
      </w:pPr>
      <w:r>
        <w:rPr>
          <w:u w:val="single"/>
        </w:rPr>
        <w:t>For Criterion 2:</w:t>
      </w:r>
    </w:p>
    <w:p w14:paraId="4A04ABAC" w14:textId="77777777" w:rsidR="001A3477" w:rsidRDefault="001A3477" w:rsidP="001A3477">
      <w:pPr>
        <w:pStyle w:val="MText"/>
        <w:numPr>
          <w:ilvl w:val="0"/>
          <w:numId w:val="8"/>
        </w:numPr>
      </w:pPr>
      <w:r>
        <w:t>“</w:t>
      </w:r>
      <w:r>
        <w:rPr>
          <w:b/>
        </w:rPr>
        <w:t>Call circulars</w:t>
      </w:r>
      <w:r>
        <w:t>” can be defined as:</w:t>
      </w:r>
    </w:p>
    <w:p w14:paraId="303AC1F2" w14:textId="2F11C425" w:rsidR="001A3477" w:rsidRDefault="001A3477" w:rsidP="001A3477">
      <w:pPr>
        <w:pStyle w:val="MText"/>
        <w:numPr>
          <w:ilvl w:val="1"/>
          <w:numId w:val="8"/>
        </w:numPr>
      </w:pPr>
      <w:r>
        <w:t>Call circulars are the official notices that are issued by the Ministry of Finance or Budget Office in a country towards the beginning of each annual budget cycle. The circular instructs government agencies how they must submit their bids or demands for budget allocations for the coming year (in some countries the notice may have another name, such as budget guidelines or Treasury guidelines). It may inform each agency what its budget “ceiling” for the next fiscal year.</w:t>
      </w:r>
      <w:r>
        <w:rPr>
          <w:rStyle w:val="FootnoteReference"/>
          <w:rFonts w:cstheme="minorHAnsi"/>
          <w:sz w:val="23"/>
          <w:szCs w:val="23"/>
        </w:rPr>
        <w:footnoteReference w:id="2"/>
      </w:r>
    </w:p>
    <w:p w14:paraId="592F404C" w14:textId="77777777" w:rsidR="001A3477" w:rsidRDefault="001A3477" w:rsidP="001A3477">
      <w:pPr>
        <w:spacing w:after="0"/>
        <w:jc w:val="both"/>
        <w:rPr>
          <w:rFonts w:cstheme="minorHAnsi"/>
          <w:sz w:val="23"/>
          <w:szCs w:val="23"/>
        </w:rPr>
      </w:pPr>
    </w:p>
    <w:p w14:paraId="04C28638" w14:textId="77777777" w:rsidR="001A3477" w:rsidRDefault="001A3477" w:rsidP="001A3477">
      <w:pPr>
        <w:pStyle w:val="MText"/>
        <w:numPr>
          <w:ilvl w:val="0"/>
          <w:numId w:val="9"/>
        </w:numPr>
      </w:pPr>
      <w:r>
        <w:t>“</w:t>
      </w:r>
      <w:r>
        <w:rPr>
          <w:b/>
          <w:bCs/>
        </w:rPr>
        <w:t>Key programs and policies</w:t>
      </w:r>
      <w:r>
        <w:t>” can be defined as:</w:t>
      </w:r>
    </w:p>
    <w:p w14:paraId="35A3C752" w14:textId="77777777" w:rsidR="001A3477" w:rsidRDefault="001A3477" w:rsidP="001A3477">
      <w:pPr>
        <w:pStyle w:val="MText"/>
        <w:numPr>
          <w:ilvl w:val="1"/>
          <w:numId w:val="9"/>
        </w:numPr>
      </w:pPr>
      <w:r>
        <w:t>Programs or policies of the government, that are designed to address well-identified gender equality goals (as identified in Criterion 1).</w:t>
      </w:r>
    </w:p>
    <w:p w14:paraId="6722585F" w14:textId="77777777" w:rsidR="001A3477" w:rsidRDefault="001A3477" w:rsidP="001A3477">
      <w:pPr>
        <w:spacing w:after="0"/>
        <w:jc w:val="both"/>
        <w:rPr>
          <w:rFonts w:cstheme="minorHAnsi"/>
          <w:sz w:val="23"/>
          <w:szCs w:val="23"/>
        </w:rPr>
      </w:pPr>
    </w:p>
    <w:p w14:paraId="2BA52E92" w14:textId="77777777" w:rsidR="001A3477" w:rsidRDefault="001A3477" w:rsidP="001A3477">
      <w:pPr>
        <w:pStyle w:val="MText"/>
        <w:numPr>
          <w:ilvl w:val="0"/>
          <w:numId w:val="10"/>
        </w:numPr>
      </w:pPr>
      <w:r>
        <w:t>“</w:t>
      </w:r>
      <w:r>
        <w:rPr>
          <w:b/>
          <w:bCs/>
        </w:rPr>
        <w:t>Ex-ante gender impact assessment</w:t>
      </w:r>
      <w:r>
        <w:t>” can be defined as:</w:t>
      </w:r>
    </w:p>
    <w:p w14:paraId="7AF86CC1" w14:textId="77777777" w:rsidR="001A3477" w:rsidRDefault="001A3477" w:rsidP="001A3477">
      <w:pPr>
        <w:pStyle w:val="MText"/>
        <w:numPr>
          <w:ilvl w:val="1"/>
          <w:numId w:val="10"/>
        </w:numPr>
      </w:pPr>
      <w:r>
        <w:t>Assessing individual resource allocations, in advance of their inclusion in the budget, specifically for their impact on gender equality.</w:t>
      </w:r>
      <w:r>
        <w:rPr>
          <w:rStyle w:val="FootnoteReference"/>
          <w:rFonts w:cstheme="minorHAnsi"/>
          <w:sz w:val="23"/>
          <w:szCs w:val="23"/>
        </w:rPr>
        <w:footnoteReference w:id="3"/>
      </w:r>
      <w:r>
        <w:t xml:space="preserve"> For example, before its inclusion in the budget, there is an estimate of how a conditional cash transfer program will impact school attendance of girls.</w:t>
      </w:r>
    </w:p>
    <w:p w14:paraId="27712086" w14:textId="77777777" w:rsidR="001A3477" w:rsidRDefault="001A3477" w:rsidP="001A3477">
      <w:pPr>
        <w:spacing w:after="0"/>
        <w:ind w:firstLine="45"/>
        <w:jc w:val="both"/>
        <w:rPr>
          <w:rFonts w:cstheme="minorHAnsi"/>
          <w:sz w:val="23"/>
          <w:szCs w:val="23"/>
        </w:rPr>
      </w:pPr>
    </w:p>
    <w:p w14:paraId="39F98AA0" w14:textId="77777777" w:rsidR="001A3477" w:rsidRDefault="001A3477" w:rsidP="001A3477">
      <w:pPr>
        <w:pStyle w:val="MText"/>
        <w:numPr>
          <w:ilvl w:val="0"/>
          <w:numId w:val="11"/>
        </w:numPr>
      </w:pPr>
      <w:r>
        <w:t>“</w:t>
      </w:r>
      <w:r>
        <w:rPr>
          <w:b/>
          <w:bCs/>
        </w:rPr>
        <w:t>Sex-disaggregated statistics and data are available in a systematic manner across all key programs and policies</w:t>
      </w:r>
      <w:r>
        <w:t>” can be defined as:</w:t>
      </w:r>
    </w:p>
    <w:p w14:paraId="3547DCB7" w14:textId="77777777" w:rsidR="001A3477" w:rsidRDefault="001A3477" w:rsidP="001A3477">
      <w:pPr>
        <w:pStyle w:val="MText"/>
        <w:numPr>
          <w:ilvl w:val="1"/>
          <w:numId w:val="11"/>
        </w:numPr>
      </w:pPr>
      <w:r>
        <w:t>There is routine availability of gender-specific data sets and statistics that would greatly facilitate the evidential basis for the identification of gender equality gaps, design of policy interventions, and the evaluation of impacts.</w:t>
      </w:r>
      <w:r>
        <w:rPr>
          <w:rStyle w:val="FootnoteReference"/>
          <w:rFonts w:cstheme="minorHAnsi"/>
          <w:sz w:val="23"/>
          <w:szCs w:val="23"/>
        </w:rPr>
        <w:footnoteReference w:id="4"/>
      </w:r>
    </w:p>
    <w:p w14:paraId="20EB21FD" w14:textId="77777777" w:rsidR="001A3477" w:rsidRDefault="001A3477" w:rsidP="001A3477">
      <w:pPr>
        <w:spacing w:after="0"/>
        <w:jc w:val="both"/>
        <w:rPr>
          <w:rFonts w:cstheme="minorHAnsi"/>
          <w:sz w:val="23"/>
          <w:szCs w:val="23"/>
        </w:rPr>
      </w:pPr>
    </w:p>
    <w:p w14:paraId="7783A1A7" w14:textId="77777777" w:rsidR="001A3477" w:rsidRDefault="001A3477" w:rsidP="001A3477">
      <w:pPr>
        <w:pStyle w:val="MText"/>
        <w:numPr>
          <w:ilvl w:val="0"/>
          <w:numId w:val="12"/>
        </w:numPr>
      </w:pPr>
      <w:r>
        <w:t>“</w:t>
      </w:r>
      <w:r>
        <w:rPr>
          <w:b/>
          <w:bCs/>
        </w:rPr>
        <w:t>Gender budget statements</w:t>
      </w:r>
      <w:r>
        <w:t>” can be defined as:</w:t>
      </w:r>
    </w:p>
    <w:p w14:paraId="0FDD6D18" w14:textId="42B08A62" w:rsidR="001A3477" w:rsidRDefault="001A3477" w:rsidP="001A3477">
      <w:pPr>
        <w:pStyle w:val="MText"/>
        <w:numPr>
          <w:ilvl w:val="1"/>
          <w:numId w:val="12"/>
        </w:numPr>
      </w:pPr>
      <w:r>
        <w:t>A document that, either as part of the budget documentation or separately, provides a clear statement of gender-related goals. It is a document produced by a government agency, usually</w:t>
      </w:r>
      <w:r w:rsidR="004544CE">
        <w:t>,</w:t>
      </w:r>
      <w:r>
        <w:t xml:space="preserve"> the Ministry of Finance or Budget Office, to show what its programs and budgets are doing in respect of gender. It is generally prepared after government agencies have completed the process of drawing up the budget and allocating</w:t>
      </w:r>
      <w:r>
        <w:rPr>
          <w:rFonts w:ascii="Times New Roman" w:hAnsi="Times New Roman"/>
        </w:rPr>
        <w:t xml:space="preserve"> resources to </w:t>
      </w:r>
      <w:r>
        <w:t>different programs in response to the annual call circular.</w:t>
      </w:r>
      <w:r>
        <w:rPr>
          <w:rStyle w:val="FootnoteReference"/>
          <w:rFonts w:cstheme="minorHAnsi"/>
          <w:sz w:val="23"/>
          <w:szCs w:val="23"/>
        </w:rPr>
        <w:footnoteReference w:id="5"/>
      </w:r>
    </w:p>
    <w:p w14:paraId="3CAEFB13" w14:textId="77777777" w:rsidR="001A3477" w:rsidRDefault="001A3477" w:rsidP="001A3477">
      <w:pPr>
        <w:pStyle w:val="ListParagraph"/>
        <w:spacing w:after="0"/>
        <w:jc w:val="both"/>
        <w:rPr>
          <w:rFonts w:cstheme="minorHAnsi"/>
          <w:sz w:val="23"/>
          <w:szCs w:val="23"/>
        </w:rPr>
      </w:pPr>
    </w:p>
    <w:p w14:paraId="1FE2DB13" w14:textId="77777777" w:rsidR="001A3477" w:rsidRDefault="001A3477" w:rsidP="001A3477">
      <w:pPr>
        <w:pStyle w:val="MText"/>
        <w:numPr>
          <w:ilvl w:val="0"/>
          <w:numId w:val="13"/>
        </w:numPr>
      </w:pPr>
      <w:r>
        <w:t>“</w:t>
      </w:r>
      <w:r>
        <w:rPr>
          <w:b/>
          <w:bCs/>
        </w:rPr>
        <w:t>Functional classifiers</w:t>
      </w:r>
      <w:r>
        <w:t>” can be defined as</w:t>
      </w:r>
      <w:r>
        <w:rPr>
          <w:rStyle w:val="FootnoteReference"/>
          <w:rFonts w:cstheme="minorHAnsi"/>
          <w:sz w:val="23"/>
          <w:szCs w:val="23"/>
        </w:rPr>
        <w:footnoteReference w:id="6"/>
      </w:r>
      <w:r>
        <w:t>:</w:t>
      </w:r>
    </w:p>
    <w:p w14:paraId="5CFB3334" w14:textId="77777777" w:rsidR="001A3477" w:rsidRDefault="001A3477" w:rsidP="001A3477">
      <w:pPr>
        <w:pStyle w:val="MText"/>
        <w:numPr>
          <w:ilvl w:val="1"/>
          <w:numId w:val="13"/>
        </w:numPr>
      </w:pPr>
      <w:r>
        <w:t>Categorization of expenditure according to the purposes and objectives for which they are intended. A functional classifier on gender would identify expenditure that goes to programs or activities that address gender issues.</w:t>
      </w:r>
    </w:p>
    <w:p w14:paraId="2BE840C9" w14:textId="77777777" w:rsidR="001A3477" w:rsidRDefault="001A3477" w:rsidP="001A3477">
      <w:pPr>
        <w:pStyle w:val="ListParagraph"/>
        <w:spacing w:after="0"/>
        <w:ind w:left="1440"/>
        <w:rPr>
          <w:rFonts w:cstheme="minorHAnsi"/>
          <w:sz w:val="23"/>
          <w:szCs w:val="23"/>
        </w:rPr>
      </w:pPr>
    </w:p>
    <w:p w14:paraId="080A3245" w14:textId="77777777" w:rsidR="001A3477" w:rsidRDefault="001A3477" w:rsidP="001A3477">
      <w:pPr>
        <w:pStyle w:val="MText"/>
        <w:numPr>
          <w:ilvl w:val="0"/>
          <w:numId w:val="14"/>
        </w:numPr>
      </w:pPr>
      <w:r>
        <w:t>“</w:t>
      </w:r>
      <w:r>
        <w:rPr>
          <w:rStyle w:val="MSubHeaderChar"/>
        </w:rPr>
        <w:t>Ex-post gender impact assessment</w:t>
      </w:r>
      <w:r>
        <w:t>” can be defined as:</w:t>
      </w:r>
      <w:r>
        <w:rPr>
          <w:rStyle w:val="FootnoteReference"/>
          <w:rFonts w:cstheme="minorHAnsi"/>
          <w:sz w:val="23"/>
          <w:szCs w:val="23"/>
        </w:rPr>
        <w:footnoteReference w:id="7"/>
      </w:r>
      <w:r>
        <w:t xml:space="preserve"> </w:t>
      </w:r>
    </w:p>
    <w:p w14:paraId="0A372CFA" w14:textId="017CA7E2" w:rsidR="001A3477" w:rsidRDefault="001A3477" w:rsidP="001A3477">
      <w:pPr>
        <w:pStyle w:val="MText"/>
        <w:numPr>
          <w:ilvl w:val="1"/>
          <w:numId w:val="14"/>
        </w:numPr>
      </w:pPr>
      <w:r>
        <w:t xml:space="preserve">Assessing individual resource allocations, after their implementation, specifically for their impact on gender equality. For example, once the resources are spent and the program executed, how did a conditional cash transfer program </w:t>
      </w:r>
      <w:r w:rsidR="00F50D01">
        <w:t>affect</w:t>
      </w:r>
      <w:r>
        <w:t xml:space="preserve"> the school attendance rate of girls when compared to boys’ attendance rate?</w:t>
      </w:r>
    </w:p>
    <w:p w14:paraId="01C5373C" w14:textId="77777777" w:rsidR="001A3477" w:rsidRDefault="001A3477" w:rsidP="001A3477">
      <w:pPr>
        <w:spacing w:after="0"/>
        <w:jc w:val="both"/>
        <w:rPr>
          <w:rFonts w:cstheme="minorHAnsi"/>
          <w:sz w:val="23"/>
          <w:szCs w:val="23"/>
        </w:rPr>
      </w:pPr>
    </w:p>
    <w:p w14:paraId="05E4A60F" w14:textId="77777777" w:rsidR="001A3477" w:rsidRDefault="001A3477" w:rsidP="001A3477">
      <w:pPr>
        <w:pStyle w:val="MText"/>
        <w:numPr>
          <w:ilvl w:val="0"/>
          <w:numId w:val="15"/>
        </w:numPr>
      </w:pPr>
      <w:r>
        <w:rPr>
          <w:rStyle w:val="MSubHeaderChar"/>
        </w:rPr>
        <w:t>“The budget as a whole is subject to independent audit, to assess the extent to which it promotes gender-responsive policies”</w:t>
      </w:r>
      <w:r>
        <w:t xml:space="preserve"> can be defined as:</w:t>
      </w:r>
    </w:p>
    <w:p w14:paraId="2FC335D7" w14:textId="77777777" w:rsidR="001A3477" w:rsidRDefault="001A3477" w:rsidP="001A3477">
      <w:pPr>
        <w:pStyle w:val="MText"/>
        <w:numPr>
          <w:ilvl w:val="1"/>
          <w:numId w:val="15"/>
        </w:numPr>
      </w:pPr>
      <w:r>
        <w:t>Independent, objective analysis, conducted by a competent authority different from the central budget authority, of the extent to which gender equality is effectively promoted and/or attained through the policies set out in the annual budget.</w:t>
      </w:r>
      <w:r>
        <w:rPr>
          <w:rStyle w:val="FootnoteReference"/>
          <w:rFonts w:cstheme="minorHAnsi"/>
          <w:sz w:val="23"/>
          <w:szCs w:val="23"/>
        </w:rPr>
        <w:footnoteReference w:id="8"/>
      </w:r>
    </w:p>
    <w:p w14:paraId="6EF53FE7" w14:textId="77777777" w:rsidR="001A3477" w:rsidRDefault="001A3477" w:rsidP="001A3477">
      <w:pPr>
        <w:spacing w:after="0"/>
        <w:jc w:val="both"/>
        <w:rPr>
          <w:rFonts w:cstheme="minorHAnsi"/>
          <w:sz w:val="23"/>
          <w:szCs w:val="23"/>
        </w:rPr>
      </w:pPr>
    </w:p>
    <w:p w14:paraId="51A16476" w14:textId="77777777" w:rsidR="001A3477" w:rsidRDefault="001A3477" w:rsidP="001A3477">
      <w:pPr>
        <w:pStyle w:val="MSubHeader"/>
        <w:rPr>
          <w:u w:val="single"/>
        </w:rPr>
      </w:pPr>
      <w:r>
        <w:rPr>
          <w:u w:val="single"/>
        </w:rPr>
        <w:t>For Criterion 3:</w:t>
      </w:r>
    </w:p>
    <w:p w14:paraId="3797D584" w14:textId="77777777" w:rsidR="001A3477" w:rsidRDefault="001A3477" w:rsidP="001A3477">
      <w:pPr>
        <w:pStyle w:val="MText"/>
        <w:numPr>
          <w:ilvl w:val="0"/>
          <w:numId w:val="16"/>
        </w:numPr>
      </w:pPr>
      <w:r>
        <w:rPr>
          <w:rStyle w:val="MSubHeaderChar"/>
        </w:rPr>
        <w:t xml:space="preserve">“Published in an accessible manner” </w:t>
      </w:r>
      <w:r>
        <w:t>can be defined as:</w:t>
      </w:r>
    </w:p>
    <w:p w14:paraId="56E6E9D7" w14:textId="5CD349F6" w:rsidR="001A3477" w:rsidRDefault="001A3477" w:rsidP="001A3477">
      <w:pPr>
        <w:pStyle w:val="MText"/>
        <w:numPr>
          <w:ilvl w:val="1"/>
          <w:numId w:val="16"/>
        </w:numPr>
      </w:pPr>
      <w:r>
        <w:t>Allocations for gender equality and women’s empowerment are published on the Ministry of Finance (or office responsible for budget) website and/or related official bulletins or public notices in a way that is clearly signalled and/or made available in hard copies that are distributed to parliamentarians and NGOs.</w:t>
      </w:r>
    </w:p>
    <w:p w14:paraId="73A5C27B" w14:textId="77777777" w:rsidR="001A3477" w:rsidRDefault="001A3477" w:rsidP="001A3477">
      <w:pPr>
        <w:spacing w:after="0"/>
        <w:jc w:val="both"/>
        <w:rPr>
          <w:rFonts w:cstheme="minorHAnsi"/>
          <w:sz w:val="23"/>
          <w:szCs w:val="23"/>
        </w:rPr>
      </w:pPr>
    </w:p>
    <w:p w14:paraId="3922DFAC" w14:textId="6BC0C1AF" w:rsidR="001A3477" w:rsidRDefault="001A3477" w:rsidP="001A3477">
      <w:pPr>
        <w:pStyle w:val="MText"/>
        <w:numPr>
          <w:ilvl w:val="0"/>
          <w:numId w:val="17"/>
        </w:numPr>
      </w:pPr>
      <w:r>
        <w:rPr>
          <w:rStyle w:val="MSubHeaderChar"/>
        </w:rPr>
        <w:t>“Published in a timely manner”</w:t>
      </w:r>
      <w:r>
        <w:t xml:space="preserve"> can be defined as:</w:t>
      </w:r>
    </w:p>
    <w:p w14:paraId="09EB8E0C" w14:textId="77777777" w:rsidR="001A3477" w:rsidRDefault="001A3477" w:rsidP="001A3477">
      <w:pPr>
        <w:pStyle w:val="MText"/>
        <w:numPr>
          <w:ilvl w:val="1"/>
          <w:numId w:val="17"/>
        </w:numPr>
      </w:pPr>
      <w:r>
        <w:t>Allocations for gender equality and women’s empowerment and/or its exercise are published in the same quarter as when approved/exercised.</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7FB1C023"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1EF93C22" w:rsidR="00576CFA" w:rsidRPr="00A96255" w:rsidRDefault="00532735" w:rsidP="00576CFA">
      <w:pPr>
        <w:pStyle w:val="MText"/>
      </w:pPr>
      <w:r>
        <w:t>Percent</w:t>
      </w:r>
      <w:r w:rsidR="006A66D3">
        <w:t xml:space="preserve"> (%)</w:t>
      </w:r>
      <w:r>
        <w:t xml:space="preserve"> (</w:t>
      </w:r>
      <w:r w:rsidR="008E7D6C">
        <w:t xml:space="preserve">Proportion of countries that </w:t>
      </w:r>
      <w:r w:rsidR="00F228DC">
        <w:t>have a system in place to track budget allocations to gender equality out</w:t>
      </w:r>
      <w:r w:rsidR="008E7D6C">
        <w:t xml:space="preserve"> of the total number of reporting countries</w:t>
      </w:r>
      <w:r>
        <w:t>)</w:t>
      </w:r>
    </w:p>
    <w:p w14:paraId="548E9AAA" w14:textId="77777777" w:rsidR="00EC2915" w:rsidRPr="00A96255" w:rsidRDefault="00EC2915" w:rsidP="00576CFA">
      <w:pPr>
        <w:pStyle w:val="MText"/>
      </w:pPr>
    </w:p>
    <w:p w14:paraId="651AA7AC" w14:textId="6125050F" w:rsidR="00DA615C" w:rsidRPr="00A96255" w:rsidRDefault="008B0AC7" w:rsidP="00F719A8">
      <w:pPr>
        <w:pStyle w:val="MHeader2"/>
      </w:pPr>
      <w:r w:rsidRPr="00A96255">
        <w:t xml:space="preserve">2.c. Classifications </w:t>
      </w:r>
      <w:r>
        <w:rPr>
          <w:color w:val="B4B4B4"/>
          <w:sz w:val="20"/>
        </w:rPr>
        <w:t>(CLASS_SYSTEM)</w:t>
      </w:r>
    </w:p>
    <w:p w14:paraId="6291A7DD" w14:textId="73205BD4" w:rsidR="00576CFA" w:rsidRPr="00A96255" w:rsidRDefault="008E7D6C" w:rsidP="00576CFA">
      <w:pPr>
        <w:pStyle w:val="MText"/>
      </w:pPr>
      <w:r>
        <w:t xml:space="preserve"> N</w:t>
      </w:r>
      <w:r w:rsidR="003B25FE">
        <w:t>ot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64400483"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06F9FD4B" w:rsidR="008B0AC7" w:rsidRPr="00A96255" w:rsidRDefault="008B0AC7" w:rsidP="00F719A8">
      <w:pPr>
        <w:pStyle w:val="MHeader2"/>
      </w:pPr>
      <w:r w:rsidRPr="00A96255">
        <w:t xml:space="preserve">3.a. Data sources </w:t>
      </w:r>
      <w:r>
        <w:rPr>
          <w:color w:val="B4B4B4"/>
          <w:sz w:val="20"/>
        </w:rPr>
        <w:t>(SOURCE_TYPE)</w:t>
      </w:r>
    </w:p>
    <w:p w14:paraId="08E1C3DF" w14:textId="7BFC1765" w:rsidR="00576CFA" w:rsidRPr="00A96255" w:rsidRDefault="001A3477" w:rsidP="00576CFA">
      <w:pPr>
        <w:pStyle w:val="MText"/>
      </w:pPr>
      <w:r w:rsidRPr="001A3477">
        <w:t xml:space="preserve">An electronic questionnaire </w:t>
      </w:r>
      <w:r w:rsidR="00FC59EB">
        <w:t xml:space="preserve">composed of thirteen binary questions </w:t>
      </w:r>
      <w:r w:rsidRPr="001A3477">
        <w:t>with accompanying monitoring guidance will be used to collect data on this indicator.</w:t>
      </w:r>
    </w:p>
    <w:p w14:paraId="3018A8D8" w14:textId="77777777" w:rsidR="00EC2915" w:rsidRPr="00A96255" w:rsidRDefault="00EC2915" w:rsidP="00576CFA">
      <w:pPr>
        <w:pStyle w:val="MText"/>
      </w:pPr>
    </w:p>
    <w:p w14:paraId="79368080" w14:textId="3F76E8B5"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67150FFD" w14:textId="2F7BAE6A" w:rsidR="00E75E5E" w:rsidRDefault="00B51F9C" w:rsidP="001A3477">
      <w:pPr>
        <w:pStyle w:val="MText"/>
      </w:pPr>
      <w:r>
        <w:t>D</w:t>
      </w:r>
      <w:r w:rsidR="001A3477">
        <w:t xml:space="preserve">ata collection </w:t>
      </w:r>
      <w:r>
        <w:t>is</w:t>
      </w:r>
      <w:r w:rsidR="001A3477">
        <w:t xml:space="preserve"> undertaken as part of the country-level monitoring of effective development </w:t>
      </w:r>
      <w:r w:rsidR="007F5450">
        <w:t>cooperation where</w:t>
      </w:r>
      <w:r w:rsidR="001A3477">
        <w:t xml:space="preserve"> the Global Partnership monitoring framework provides a useful platform and mechanism. The Global Partnership monitoring is led by national coordinators appointed by their respective government to coordinate data collection and validation across relevant government ministries, </w:t>
      </w:r>
      <w:r w:rsidR="007F5450">
        <w:t>departments,</w:t>
      </w:r>
      <w:r w:rsidR="001A3477">
        <w:t xml:space="preserve"> and agencies. </w:t>
      </w:r>
      <w:r w:rsidR="00E75E5E">
        <w:t>Where countries are not reporting through the Global Partnership</w:t>
      </w:r>
      <w:r w:rsidR="00874876">
        <w:t>, efforts</w:t>
      </w:r>
      <w:r w:rsidR="00E75E5E">
        <w:t xml:space="preserve"> are made to expand country coverage by reaching out to national coordinator</w:t>
      </w:r>
      <w:r w:rsidR="003119F6">
        <w:t>s</w:t>
      </w:r>
      <w:r w:rsidR="00E75E5E">
        <w:t>/focal point</w:t>
      </w:r>
      <w:r w:rsidR="00874876">
        <w:t>s</w:t>
      </w:r>
      <w:r w:rsidR="00E75E5E">
        <w:t xml:space="preserve"> directly or through </w:t>
      </w:r>
      <w:r w:rsidR="003D1B7F">
        <w:t>custodian</w:t>
      </w:r>
      <w:r w:rsidR="00874876">
        <w:t>/co-custodian</w:t>
      </w:r>
      <w:r w:rsidR="003D1B7F">
        <w:t xml:space="preserve"> </w:t>
      </w:r>
      <w:r w:rsidR="00E75E5E">
        <w:t xml:space="preserve">country offices. </w:t>
      </w:r>
    </w:p>
    <w:p w14:paraId="3D32A8AF" w14:textId="77777777" w:rsidR="00697F96" w:rsidRDefault="00697F96" w:rsidP="001A3477">
      <w:pPr>
        <w:pStyle w:val="MText"/>
      </w:pPr>
    </w:p>
    <w:p w14:paraId="5823FBC8" w14:textId="36DEE918" w:rsidR="00576CFA" w:rsidRPr="00A96255" w:rsidRDefault="001A3477" w:rsidP="001A3477">
      <w:pPr>
        <w:pStyle w:val="MText"/>
      </w:pPr>
      <w:r>
        <w:t>For this indicator, the national coordinator</w:t>
      </w:r>
      <w:r w:rsidR="003D3BFA">
        <w:t>/focal point</w:t>
      </w:r>
      <w:r>
        <w:t xml:space="preserve"> will liaise with the Ministry of Finance, </w:t>
      </w:r>
      <w:r w:rsidR="006F562B">
        <w:t xml:space="preserve">the </w:t>
      </w:r>
      <w:r>
        <w:t xml:space="preserve">Ministry of </w:t>
      </w:r>
      <w:r w:rsidR="007F5450">
        <w:t>Women,</w:t>
      </w:r>
      <w:r>
        <w:t xml:space="preserve"> and other relevant ministries to complete the questionnaire. UN Women</w:t>
      </w:r>
      <w:r w:rsidR="008913D9">
        <w:t>’s</w:t>
      </w:r>
      <w:r>
        <w:t xml:space="preserve"> country office focal points will be available for support.</w:t>
      </w:r>
      <w:r w:rsidR="00576CFA" w:rsidRPr="00A96255">
        <w:tab/>
      </w:r>
    </w:p>
    <w:p w14:paraId="7D9F065F" w14:textId="77777777" w:rsidR="00EC2915" w:rsidRPr="00A96255" w:rsidRDefault="00EC2915" w:rsidP="00576CFA">
      <w:pPr>
        <w:pStyle w:val="MText"/>
      </w:pPr>
    </w:p>
    <w:p w14:paraId="170A2C05" w14:textId="5B3DBF88" w:rsidR="00E46D96" w:rsidRPr="00A96255" w:rsidRDefault="00E46D96" w:rsidP="00F719A8">
      <w:pPr>
        <w:pStyle w:val="MHeader2"/>
      </w:pPr>
      <w:r w:rsidRPr="00A96255">
        <w:t xml:space="preserve">3.c. Data collection calendar </w:t>
      </w:r>
      <w:r>
        <w:rPr>
          <w:color w:val="B4B4B4"/>
          <w:sz w:val="20"/>
        </w:rPr>
        <w:t>(FREQ_COLL)</w:t>
      </w:r>
    </w:p>
    <w:p w14:paraId="777F0337" w14:textId="7003FE4A" w:rsidR="00576CFA" w:rsidRPr="00A96255" w:rsidRDefault="000E0D53" w:rsidP="00576CFA">
      <w:pPr>
        <w:pStyle w:val="MText"/>
      </w:pPr>
      <w:r>
        <w:t>D</w:t>
      </w:r>
      <w:r w:rsidR="003D3BFA">
        <w:t>ata collected every 3 years</w:t>
      </w:r>
    </w:p>
    <w:p w14:paraId="01BA862E" w14:textId="77777777" w:rsidR="00EC2915" w:rsidRPr="00A96255" w:rsidRDefault="00EC2915" w:rsidP="00576CFA">
      <w:pPr>
        <w:pStyle w:val="MText"/>
      </w:pPr>
    </w:p>
    <w:p w14:paraId="7D466604" w14:textId="6AE9A68F" w:rsidR="00E46D96" w:rsidRPr="00F719A8" w:rsidRDefault="00E46D96" w:rsidP="00F719A8">
      <w:pPr>
        <w:pStyle w:val="MHeader2"/>
      </w:pPr>
      <w:r w:rsidRPr="00A96255">
        <w:t xml:space="preserve">3.d. Data release calendar </w:t>
      </w:r>
      <w:r>
        <w:rPr>
          <w:color w:val="B4B4B4"/>
          <w:sz w:val="20"/>
        </w:rPr>
        <w:t>(REL_CAL_POLICY)</w:t>
      </w:r>
    </w:p>
    <w:p w14:paraId="5EAB53D5" w14:textId="3CB4A5FA" w:rsidR="00576CFA" w:rsidRPr="00A96255" w:rsidRDefault="001B4085" w:rsidP="00576CFA">
      <w:pPr>
        <w:pStyle w:val="MText"/>
      </w:pPr>
      <w:r>
        <w:t>First quarter, every 3 years</w:t>
      </w:r>
    </w:p>
    <w:p w14:paraId="64C749BD" w14:textId="77777777" w:rsidR="00EC2915" w:rsidRPr="00A96255" w:rsidRDefault="00EC2915" w:rsidP="00576CFA">
      <w:pPr>
        <w:pStyle w:val="MText"/>
      </w:pPr>
    </w:p>
    <w:p w14:paraId="3A4F3065" w14:textId="20A7BA35" w:rsidR="00E46D96" w:rsidRPr="00A96255" w:rsidRDefault="00E46D96" w:rsidP="00F719A8">
      <w:pPr>
        <w:pStyle w:val="MHeader2"/>
      </w:pPr>
      <w:r w:rsidRPr="00A96255">
        <w:t xml:space="preserve">3.e. Data providers </w:t>
      </w:r>
      <w:r>
        <w:rPr>
          <w:color w:val="B4B4B4"/>
          <w:sz w:val="20"/>
        </w:rPr>
        <w:t>(DATA_SOURCE)</w:t>
      </w:r>
    </w:p>
    <w:p w14:paraId="6DBC0025" w14:textId="53A1DD8F" w:rsidR="00576CFA" w:rsidRPr="00A96255" w:rsidRDefault="00830D71" w:rsidP="00576CFA">
      <w:pPr>
        <w:pStyle w:val="MText"/>
      </w:pPr>
      <w:r w:rsidRPr="00830D71">
        <w:t xml:space="preserve">Response to questionnaire completed by </w:t>
      </w:r>
      <w:r w:rsidR="006F562B">
        <w:t xml:space="preserve">the </w:t>
      </w:r>
      <w:r w:rsidRPr="00830D71">
        <w:t>Ministries of Finance—as part of national statistical systems—or Budget Office in coordination with National Statistical Offices and relevant sectoral ministries and national women’s machineries.</w:t>
      </w:r>
    </w:p>
    <w:p w14:paraId="50A66E64" w14:textId="77777777" w:rsidR="00EC2915" w:rsidRPr="00A96255" w:rsidRDefault="00EC2915" w:rsidP="00576CFA">
      <w:pPr>
        <w:pStyle w:val="MText"/>
      </w:pPr>
    </w:p>
    <w:p w14:paraId="30DC8E05" w14:textId="5D9F3947" w:rsidR="00E46D96" w:rsidRPr="00A96255" w:rsidRDefault="00E46D96" w:rsidP="00F719A8">
      <w:pPr>
        <w:pStyle w:val="MHeader2"/>
      </w:pPr>
      <w:r w:rsidRPr="00A96255">
        <w:t xml:space="preserve">3.f. Data compilers </w:t>
      </w:r>
      <w:r>
        <w:rPr>
          <w:color w:val="B4B4B4"/>
          <w:sz w:val="20"/>
        </w:rPr>
        <w:t>(COMPILING_ORG)</w:t>
      </w:r>
    </w:p>
    <w:p w14:paraId="605E8F9D" w14:textId="16C8A402" w:rsidR="00576CFA" w:rsidRPr="00A96255" w:rsidRDefault="00830D71" w:rsidP="00576CFA">
      <w:pPr>
        <w:pStyle w:val="MText"/>
      </w:pPr>
      <w:r w:rsidRPr="00830D71">
        <w:t>UN Women</w:t>
      </w:r>
      <w:r w:rsidR="0008753D">
        <w:t xml:space="preserve">, with </w:t>
      </w:r>
      <w:r w:rsidRPr="00830D71">
        <w:t>UNDP</w:t>
      </w:r>
      <w:r w:rsidR="0008753D">
        <w:t xml:space="preserve"> and the </w:t>
      </w:r>
      <w:r w:rsidRPr="00830D71">
        <w:t>OECD.</w:t>
      </w:r>
    </w:p>
    <w:p w14:paraId="5C43435B" w14:textId="77777777" w:rsidR="00EC2915" w:rsidRPr="00A96255" w:rsidRDefault="00EC2915" w:rsidP="00576CFA">
      <w:pPr>
        <w:pStyle w:val="MText"/>
      </w:pPr>
    </w:p>
    <w:p w14:paraId="5655E768" w14:textId="40653135" w:rsidR="00E46D96" w:rsidRPr="00A96255" w:rsidRDefault="00E46D96" w:rsidP="00F719A8">
      <w:pPr>
        <w:pStyle w:val="MHeader2"/>
      </w:pPr>
      <w:r w:rsidRPr="00A96255">
        <w:t xml:space="preserve">3.g. Institutional mandate </w:t>
      </w:r>
      <w:r>
        <w:rPr>
          <w:color w:val="B4B4B4"/>
          <w:sz w:val="20"/>
        </w:rPr>
        <w:t>(INST_MANDATE)</w:t>
      </w:r>
    </w:p>
    <w:p w14:paraId="7D007C3C" w14:textId="512740EC" w:rsidR="00EC2915" w:rsidRDefault="001311FA" w:rsidP="00576CFA">
      <w:pPr>
        <w:pStyle w:val="MText"/>
      </w:pPr>
      <w:r>
        <w:t xml:space="preserve">UN Women is committed through its work at the global, </w:t>
      </w:r>
      <w:r w:rsidR="006B06D8">
        <w:t>regional,</w:t>
      </w:r>
      <w:r>
        <w:t xml:space="preserve"> and county level to support</w:t>
      </w:r>
      <w:r w:rsidR="00040DAD">
        <w:t xml:space="preserve"> the</w:t>
      </w:r>
      <w:r>
        <w:t xml:space="preserve"> Member States in filling critical gaps in generating and using data, statistics, </w:t>
      </w:r>
      <w:r w:rsidR="00040DAD">
        <w:t>evidence,</w:t>
      </w:r>
      <w:r>
        <w:t xml:space="preserve"> and analysis on gender equality. As part of its </w:t>
      </w:r>
      <w:r w:rsidR="00214C03">
        <w:t xml:space="preserve">triple </w:t>
      </w:r>
      <w:r>
        <w:t xml:space="preserve">mandate, UN Women supports </w:t>
      </w:r>
      <w:r w:rsidR="00040DAD">
        <w:t xml:space="preserve">the </w:t>
      </w:r>
      <w:r>
        <w:t>Member States in setting norms. UN Women also assists in implementing norms and standards through its country programmes. In addition, UN Women leads and coordinates the UN system’s work in support of gender equality and the empowerment of women.</w:t>
      </w:r>
    </w:p>
    <w:p w14:paraId="3D063F4C" w14:textId="77777777" w:rsidR="00F719A8" w:rsidRPr="00A96255" w:rsidRDefault="00F719A8" w:rsidP="00576CFA">
      <w:pPr>
        <w:pStyle w:val="MText"/>
      </w:pPr>
    </w:p>
    <w:p w14:paraId="6149DC94" w14:textId="051DA4FC" w:rsidR="00B31E2C" w:rsidRPr="00A96255" w:rsidRDefault="00B31E2C" w:rsidP="00AF5ED1">
      <w:pPr>
        <w:pStyle w:val="MHeader"/>
      </w:pPr>
      <w:r w:rsidRPr="00A96255">
        <w:t xml:space="preserve">4. Other methodological considerations </w:t>
      </w:r>
      <w:r>
        <w:rPr>
          <w:color w:val="B4B4B4"/>
          <w:sz w:val="20"/>
        </w:rPr>
        <w:t>(OTHER_METHOD)</w:t>
      </w:r>
    </w:p>
    <w:p w14:paraId="1AFA5517" w14:textId="5D4F0C25" w:rsidR="00AF5ED1" w:rsidRPr="00A96255" w:rsidRDefault="00576CFA" w:rsidP="00F719A8">
      <w:pPr>
        <w:pStyle w:val="MHeader2"/>
      </w:pPr>
      <w:r w:rsidRPr="00A96255">
        <w:t xml:space="preserve">4.a. Rationale </w:t>
      </w:r>
      <w:r>
        <w:rPr>
          <w:color w:val="B4B4B4"/>
          <w:sz w:val="20"/>
        </w:rPr>
        <w:t>(RATIONALE)</w:t>
      </w:r>
    </w:p>
    <w:p w14:paraId="34C24C55" w14:textId="5E3B744B" w:rsidR="001A3477" w:rsidRDefault="001A3477" w:rsidP="001A3477">
      <w:pPr>
        <w:pStyle w:val="MText"/>
      </w:pPr>
      <w:r>
        <w:t>Adequate and effective financing is essential to achieve SDG 5 and gender</w:t>
      </w:r>
      <w:r w:rsidR="001753D2">
        <w:t>-</w:t>
      </w:r>
      <w:r>
        <w:t xml:space="preserve">related targets across the SDG framework. By tracking and making public gender equality allocations, governments promote greater transparency </w:t>
      </w:r>
      <w:r w:rsidR="0034533C">
        <w:t>which can support stronger</w:t>
      </w:r>
      <w:r>
        <w:t xml:space="preserve"> accountability. The indicator encourages governments to put in place a system to track and make public resource allocations which can then inform policy review, better policy formulation</w:t>
      </w:r>
      <w:r w:rsidR="00A04AEB">
        <w:t>,</w:t>
      </w:r>
      <w:r>
        <w:t xml:space="preserve"> and more effective public financial management.  </w:t>
      </w:r>
    </w:p>
    <w:p w14:paraId="1CF72F20" w14:textId="77777777" w:rsidR="001A3477" w:rsidRDefault="001A3477" w:rsidP="001A3477">
      <w:pPr>
        <w:pStyle w:val="MText"/>
      </w:pPr>
    </w:p>
    <w:p w14:paraId="51D794B9" w14:textId="7405473B" w:rsidR="001A3477" w:rsidRDefault="001A3477" w:rsidP="001A3477">
      <w:pPr>
        <w:pStyle w:val="MText"/>
      </w:pPr>
      <w:r>
        <w:t>The principle of adequate financing for gender equality is rooted in the Beijing Declaration and Platform of Action (para 345 and 346) adopted in 1995. However, the Secretary General’s report on the twenty-year review and appraisal of the Platform for Action found that underinvestment in gender equality and women’s empowerment has contributed to slow and uneven progress in all 12 critical areas of concern. Inadequate financing hinders the implementation of gender</w:t>
      </w:r>
      <w:r w:rsidR="003232AC">
        <w:t>-</w:t>
      </w:r>
      <w:r>
        <w:t>responsive laws and policies. Data shows that financing gaps are sometimes a</w:t>
      </w:r>
      <w:r w:rsidR="006D3AE0">
        <w:t>s</w:t>
      </w:r>
      <w:r>
        <w:t xml:space="preserve"> high as 90% with critical shortfalls in infrastructure, productive and economic sectors.</w:t>
      </w:r>
    </w:p>
    <w:p w14:paraId="56715C97" w14:textId="77777777" w:rsidR="001A3477" w:rsidRDefault="001A3477" w:rsidP="001A3477">
      <w:pPr>
        <w:pStyle w:val="MText"/>
      </w:pPr>
    </w:p>
    <w:p w14:paraId="55F9EF76" w14:textId="42A99B07" w:rsidR="001A3477" w:rsidRDefault="001A3477" w:rsidP="001A3477">
      <w:pPr>
        <w:pStyle w:val="MText"/>
      </w:pPr>
      <w:r>
        <w:t>The 2030 Agenda for Sustainable Development Agenda commits to a “significant increase in investments to close the gender gap.” Ensuring requisite resources for gender equality is central to implementing and achieving SDG 5 and all gender targets across the framework. Tracking these allocations and making the data publicly available are important steps to assess</w:t>
      </w:r>
      <w:r w:rsidR="002B5EC4">
        <w:t>ing</w:t>
      </w:r>
      <w:r>
        <w:t xml:space="preserve"> progress towards meeting these goals. This has been reaffirmed at the Third International Conference on Financing for Development, where member states adopted the Addis Ababa Action Agenda which commits to track</w:t>
      </w:r>
      <w:r w:rsidR="002B5EC4">
        <w:t>ing</w:t>
      </w:r>
      <w:r>
        <w:t xml:space="preserve"> gender equality allocations and increas</w:t>
      </w:r>
      <w:r w:rsidR="00E17849">
        <w:t>ing</w:t>
      </w:r>
      <w:r>
        <w:t xml:space="preserve"> transparency on public spending.</w:t>
      </w:r>
      <w:r>
        <w:rPr>
          <w:rStyle w:val="FootnoteReference"/>
          <w:rFonts w:cstheme="minorHAnsi"/>
          <w:color w:val="000000"/>
          <w:sz w:val="23"/>
          <w:szCs w:val="23"/>
        </w:rPr>
        <w:footnoteReference w:id="9"/>
      </w:r>
      <w:r>
        <w:t xml:space="preserve"> Furthermore, the Commission on the Status of Women at its 60th session called upon states to support and institutionalize gender-responsive budgeting and tracking across all sectors of public expenditure to address gaps in resourcing for gender equality and the empowerment of women and girls.</w:t>
      </w:r>
    </w:p>
    <w:p w14:paraId="70645D34" w14:textId="77777777" w:rsidR="001A3477" w:rsidRDefault="001A3477" w:rsidP="001A3477">
      <w:pPr>
        <w:pStyle w:val="MText"/>
      </w:pPr>
    </w:p>
    <w:p w14:paraId="55587DD7" w14:textId="2B81065A" w:rsidR="001A3477" w:rsidRDefault="001A3477" w:rsidP="001A3477">
      <w:pPr>
        <w:pStyle w:val="MText"/>
      </w:pPr>
      <w:r>
        <w:t>Indicator 5.c.1 measure the p</w:t>
      </w:r>
      <w:r w:rsidR="00B67DA0">
        <w:t>roportion</w:t>
      </w:r>
      <w:r>
        <w:t xml:space="preserve"> of governments with systems to track and make public resource allocations for gender equality. It builds on Indicator 8 of the Global Partnership for Effective Development Co-operation </w:t>
      </w:r>
      <w:r w:rsidR="00697F96">
        <w:t xml:space="preserve">(GPEDC) </w:t>
      </w:r>
      <w:r>
        <w:t xml:space="preserve">that has been piloted, </w:t>
      </w:r>
      <w:r w:rsidR="00172C21">
        <w:t>tested,</w:t>
      </w:r>
      <w:r>
        <w:t xml:space="preserve"> and rolled out in 81 countries. Indicator 8 allowed, for the first time, the systematic collection of data on government efforts to track resource allocations for gender equality across countries. Indicator 5.c.1 is defined in almost identical terms to Indicator 8 of the </w:t>
      </w:r>
      <w:r w:rsidR="00697F96">
        <w:t>Global Partnership for Effective Development Co-operation (</w:t>
      </w:r>
      <w:r>
        <w:t>GPEDC</w:t>
      </w:r>
      <w:r w:rsidR="00697F96">
        <w:t>)</w:t>
      </w:r>
      <w:r>
        <w:t>. In addition, Indicator 5.c.1 is the only indicator in the SDG monitoring framework that links national budgeting systems with</w:t>
      </w:r>
      <w:r w:rsidR="00172C21">
        <w:t xml:space="preserve"> the</w:t>
      </w:r>
      <w:r>
        <w:t xml:space="preserve"> implementation of legislation and policies for gender equality and women’s empowerment.</w:t>
      </w:r>
    </w:p>
    <w:p w14:paraId="34F450E4" w14:textId="77777777" w:rsidR="008E7D6C" w:rsidRDefault="008E7D6C" w:rsidP="001A3477">
      <w:pPr>
        <w:pStyle w:val="MText"/>
      </w:pPr>
    </w:p>
    <w:p w14:paraId="3EE074F3" w14:textId="700618DA" w:rsidR="001A3477" w:rsidRDefault="001A3477" w:rsidP="001A3477">
      <w:pPr>
        <w:pStyle w:val="MText"/>
      </w:pPr>
      <w:r>
        <w:t xml:space="preserve">The refined methodology for Indicator 5.c.1 is an improvement over the original methodology for Indicator 8. The increased specificity of the criteria provides a greater level of detail and therefore, captures the variability in countries’ gender equality policies and public financial management systems. The application of a tiered scoring approach with specific thresholds increases the indicator’s rigor and gives incentive to countries to improve these systems over time. </w:t>
      </w:r>
    </w:p>
    <w:p w14:paraId="43F371EF" w14:textId="77777777" w:rsidR="001A3477" w:rsidRDefault="001A3477" w:rsidP="001A3477">
      <w:pPr>
        <w:pStyle w:val="MText"/>
      </w:pPr>
      <w:bookmarkStart w:id="6" w:name="_Hlk494808592"/>
    </w:p>
    <w:p w14:paraId="6D66A7A0" w14:textId="0FDD73AE" w:rsidR="001A3477" w:rsidRDefault="001A3477" w:rsidP="001A3477">
      <w:pPr>
        <w:pStyle w:val="MText"/>
      </w:pPr>
      <w:r>
        <w:t>Further, it is envisaged that the</w:t>
      </w:r>
      <w:r w:rsidR="00697F96">
        <w:t xml:space="preserve"> Organisation for Economic Co-operation and Development (</w:t>
      </w:r>
      <w:r>
        <w:t>OECD</w:t>
      </w:r>
      <w:r w:rsidR="00697F96">
        <w:t>)</w:t>
      </w:r>
      <w:r>
        <w:t xml:space="preserve"> Survey of Budget Practices and Procedures, conducted regularly among OECD countries, will be </w:t>
      </w:r>
      <w:r w:rsidR="00A76691">
        <w:t>modified,</w:t>
      </w:r>
      <w:r>
        <w:t xml:space="preserve"> and updated to align closely with Indicator 5.c.1. This will allow greater global coverage by strengthening the indicator’s relevance to ministries of finance in </w:t>
      </w:r>
      <w:r w:rsidR="002B7338">
        <w:t xml:space="preserve">OECD </w:t>
      </w:r>
      <w:r>
        <w:t>countries.</w:t>
      </w:r>
      <w:bookmarkEnd w:id="6"/>
    </w:p>
    <w:p w14:paraId="0AD7EEA2" w14:textId="1A39C188" w:rsidR="00576CFA" w:rsidRPr="00A96255" w:rsidRDefault="00576CFA" w:rsidP="00576CFA">
      <w:pPr>
        <w:pStyle w:val="MText"/>
      </w:pPr>
    </w:p>
    <w:p w14:paraId="18EA7892" w14:textId="77777777" w:rsidR="00576CFA" w:rsidRPr="00A96255" w:rsidRDefault="00576CFA" w:rsidP="00576CFA">
      <w:pPr>
        <w:pStyle w:val="MText"/>
      </w:pPr>
    </w:p>
    <w:p w14:paraId="2529B069" w14:textId="26BFC432" w:rsidR="00E1050F" w:rsidRPr="00A96255" w:rsidRDefault="00E1050F" w:rsidP="00F719A8">
      <w:pPr>
        <w:pStyle w:val="MHeader2"/>
      </w:pPr>
      <w:r w:rsidRPr="00A96255">
        <w:t xml:space="preserve">4.b. Comment and limitations </w:t>
      </w:r>
      <w:r>
        <w:rPr>
          <w:color w:val="B4B4B4"/>
          <w:sz w:val="20"/>
        </w:rPr>
        <w:t>(REC_USE_LIM)</w:t>
      </w:r>
    </w:p>
    <w:p w14:paraId="6035D5AD" w14:textId="752E90AD" w:rsidR="001A3477" w:rsidRDefault="001A3477" w:rsidP="001A3477">
      <w:pPr>
        <w:pStyle w:val="MText"/>
      </w:pPr>
      <w:r>
        <w:t xml:space="preserve">The indicator does not measure allocation of resources but the existence of mechanisms to track resource allocations and that make that information available publicly. However, there is an optional question in the questionnaire (not scored) that requests countries to report the percentage of the government budget allocated for gender equality programs. </w:t>
      </w:r>
    </w:p>
    <w:p w14:paraId="0C533A46" w14:textId="77777777" w:rsidR="001A3477" w:rsidRDefault="001A3477" w:rsidP="001A3477">
      <w:pPr>
        <w:pStyle w:val="MText"/>
      </w:pPr>
    </w:p>
    <w:p w14:paraId="762049F5" w14:textId="6FEF3C89" w:rsidR="00576CFA" w:rsidRPr="00A96255" w:rsidRDefault="001A3477" w:rsidP="001A3477">
      <w:pPr>
        <w:pStyle w:val="MText"/>
      </w:pPr>
      <w:r>
        <w:t>Another limitation is that the indicator, which is process oriented, does not provide data on the adequacy or quality of resource allocations.</w:t>
      </w:r>
    </w:p>
    <w:p w14:paraId="398C00AE" w14:textId="77777777" w:rsidR="00EC2915" w:rsidRPr="00A96255" w:rsidRDefault="00EC2915" w:rsidP="00576CFA">
      <w:pPr>
        <w:pStyle w:val="MText"/>
      </w:pPr>
    </w:p>
    <w:p w14:paraId="79EEEE38" w14:textId="25D66DE2" w:rsidR="00E1050F" w:rsidRPr="00A96255" w:rsidRDefault="00E1050F" w:rsidP="00F719A8">
      <w:pPr>
        <w:pStyle w:val="MHeader2"/>
      </w:pPr>
      <w:r w:rsidRPr="00A96255">
        <w:t xml:space="preserve">4.c. Method of computation </w:t>
      </w:r>
      <w:r>
        <w:rPr>
          <w:color w:val="B4B4B4"/>
          <w:sz w:val="20"/>
        </w:rPr>
        <w:t>(DATA_COMP)</w:t>
      </w:r>
    </w:p>
    <w:p w14:paraId="0DF37B42" w14:textId="62D9DE06" w:rsidR="00500B47" w:rsidRDefault="00500B47" w:rsidP="00EE481F">
      <w:pPr>
        <w:pStyle w:val="MText"/>
      </w:pPr>
      <w:r>
        <w:t xml:space="preserve">Data is collected via a questionnaire comprising 13 binary (Yes/No) questions to </w:t>
      </w:r>
      <w:r w:rsidR="00A41CAD">
        <w:t>assess whether a country has a system in place to track and make public allocations for gender equality and women’s empowerment.</w:t>
      </w:r>
    </w:p>
    <w:p w14:paraId="0EF55432" w14:textId="77777777" w:rsidR="00A41CAD" w:rsidRDefault="00A41CAD" w:rsidP="00EE481F">
      <w:pPr>
        <w:pStyle w:val="MText"/>
      </w:pPr>
    </w:p>
    <w:p w14:paraId="73DCE971" w14:textId="77777777" w:rsidR="00191D59" w:rsidRPr="00EE5E18" w:rsidRDefault="00191D59" w:rsidP="00EE5E18">
      <w:pPr>
        <w:pStyle w:val="MText"/>
      </w:pPr>
      <w:r w:rsidRPr="00EE5E18">
        <w:rPr>
          <w:b/>
        </w:rPr>
        <w:t>Scoring:</w:t>
      </w:r>
    </w:p>
    <w:p w14:paraId="4DEB3328" w14:textId="77777777" w:rsidR="00191D59" w:rsidRDefault="00191D59" w:rsidP="00EE481F">
      <w:pPr>
        <w:pStyle w:val="MText"/>
      </w:pPr>
    </w:p>
    <w:p w14:paraId="46142B06" w14:textId="55DCBCBB" w:rsidR="00EE481F" w:rsidRDefault="00AF02AB" w:rsidP="00EE481F">
      <w:pPr>
        <w:pStyle w:val="MText"/>
      </w:pPr>
      <w:r>
        <w:t xml:space="preserve">Each criterion </w:t>
      </w:r>
      <w:r w:rsidR="001A5D41">
        <w:t xml:space="preserve">is </w:t>
      </w:r>
      <w:r>
        <w:t>weight</w:t>
      </w:r>
      <w:r w:rsidR="001A5D41">
        <w:t>ed equally</w:t>
      </w:r>
      <w:r>
        <w:t xml:space="preserve">. A country would need to satisfy the threshold of “yes” responses per criterion. A </w:t>
      </w:r>
      <w:r w:rsidR="00EE481F">
        <w:t xml:space="preserve">country will be considered to satisfy each criterion as follows: </w:t>
      </w:r>
    </w:p>
    <w:p w14:paraId="0EC36EE8" w14:textId="77777777" w:rsidR="00EE481F" w:rsidRDefault="00EE481F" w:rsidP="00EE481F">
      <w:pPr>
        <w:spacing w:after="0"/>
        <w:jc w:val="both"/>
        <w:rPr>
          <w:rFonts w:cstheme="minorHAnsi"/>
          <w:sz w:val="23"/>
          <w:szCs w:val="23"/>
          <w:highlight w:val="yellow"/>
        </w:rPr>
      </w:pPr>
    </w:p>
    <w:tbl>
      <w:tblPr>
        <w:tblStyle w:val="TableGrid"/>
        <w:tblW w:w="0" w:type="auto"/>
        <w:jc w:val="center"/>
        <w:tblLook w:val="04A0" w:firstRow="1" w:lastRow="0" w:firstColumn="1" w:lastColumn="0" w:noHBand="0" w:noVBand="1"/>
      </w:tblPr>
      <w:tblGrid>
        <w:gridCol w:w="3301"/>
        <w:gridCol w:w="5469"/>
      </w:tblGrid>
      <w:tr w:rsidR="00EE481F" w14:paraId="0A8B69C3" w14:textId="77777777" w:rsidTr="00214341">
        <w:trPr>
          <w:jc w:val="center"/>
        </w:trPr>
        <w:tc>
          <w:tcPr>
            <w:tcW w:w="3301" w:type="dxa"/>
            <w:tcBorders>
              <w:top w:val="single" w:sz="4" w:space="0" w:color="auto"/>
              <w:left w:val="single" w:sz="4" w:space="0" w:color="auto"/>
              <w:bottom w:val="single" w:sz="4" w:space="0" w:color="auto"/>
              <w:right w:val="single" w:sz="4" w:space="0" w:color="auto"/>
            </w:tcBorders>
            <w:shd w:val="clear" w:color="auto" w:fill="31849B" w:themeFill="accent5" w:themeFillShade="BF"/>
          </w:tcPr>
          <w:p w14:paraId="7A827911" w14:textId="77777777" w:rsidR="00EE481F" w:rsidRDefault="00EE481F" w:rsidP="00214341">
            <w:pPr>
              <w:spacing w:line="276" w:lineRule="auto"/>
              <w:jc w:val="both"/>
              <w:rPr>
                <w:b/>
                <w:color w:val="FFFFFF" w:themeColor="background1"/>
                <w:sz w:val="23"/>
                <w:szCs w:val="23"/>
                <w:lang w:val="en-US"/>
              </w:rPr>
            </w:pPr>
          </w:p>
        </w:tc>
        <w:tc>
          <w:tcPr>
            <w:tcW w:w="5469"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14:paraId="7A6B899E" w14:textId="77777777" w:rsidR="00EE481F" w:rsidRDefault="00EE481F" w:rsidP="00214341">
            <w:pPr>
              <w:spacing w:line="276" w:lineRule="auto"/>
              <w:jc w:val="center"/>
              <w:rPr>
                <w:b/>
                <w:color w:val="FFFFFF" w:themeColor="background1"/>
                <w:sz w:val="23"/>
                <w:szCs w:val="23"/>
              </w:rPr>
            </w:pPr>
            <w:r>
              <w:rPr>
                <w:b/>
                <w:color w:val="FFFFFF" w:themeColor="background1"/>
                <w:sz w:val="23"/>
                <w:szCs w:val="23"/>
              </w:rPr>
              <w:t>Requirements per criterion</w:t>
            </w:r>
          </w:p>
        </w:tc>
      </w:tr>
      <w:tr w:rsidR="00EE481F" w14:paraId="5CB1DF16" w14:textId="77777777" w:rsidTr="00214341">
        <w:trPr>
          <w:jc w:val="center"/>
        </w:trPr>
        <w:tc>
          <w:tcPr>
            <w:tcW w:w="3301" w:type="dxa"/>
            <w:tcBorders>
              <w:top w:val="single" w:sz="4" w:space="0" w:color="auto"/>
              <w:left w:val="single" w:sz="4" w:space="0" w:color="auto"/>
              <w:bottom w:val="single" w:sz="4" w:space="0" w:color="auto"/>
              <w:right w:val="single" w:sz="4" w:space="0" w:color="auto"/>
            </w:tcBorders>
            <w:hideMark/>
          </w:tcPr>
          <w:p w14:paraId="21651EF4" w14:textId="77777777" w:rsidR="00EE481F" w:rsidRDefault="00EE481F" w:rsidP="00214341">
            <w:pPr>
              <w:spacing w:line="276" w:lineRule="auto"/>
              <w:jc w:val="both"/>
              <w:rPr>
                <w:rFonts w:cstheme="minorHAnsi"/>
                <w:color w:val="404040" w:themeColor="text1" w:themeTint="BF"/>
                <w:sz w:val="21"/>
                <w:szCs w:val="21"/>
                <w:highlight w:val="yellow"/>
              </w:rPr>
            </w:pPr>
            <w:r>
              <w:rPr>
                <w:color w:val="404040" w:themeColor="text1" w:themeTint="BF"/>
                <w:sz w:val="21"/>
                <w:szCs w:val="21"/>
              </w:rPr>
              <w:t>A country will satisfy Criterion 1</w:t>
            </w:r>
          </w:p>
        </w:tc>
        <w:tc>
          <w:tcPr>
            <w:tcW w:w="5469" w:type="dxa"/>
            <w:tcBorders>
              <w:top w:val="single" w:sz="4" w:space="0" w:color="auto"/>
              <w:left w:val="single" w:sz="4" w:space="0" w:color="auto"/>
              <w:bottom w:val="single" w:sz="4" w:space="0" w:color="auto"/>
              <w:right w:val="single" w:sz="4" w:space="0" w:color="auto"/>
            </w:tcBorders>
          </w:tcPr>
          <w:p w14:paraId="3F614A90" w14:textId="77777777" w:rsidR="00EE481F" w:rsidRDefault="00EE481F" w:rsidP="00214341">
            <w:pPr>
              <w:spacing w:line="276" w:lineRule="auto"/>
              <w:jc w:val="both"/>
              <w:rPr>
                <w:color w:val="404040" w:themeColor="text1" w:themeTint="BF"/>
                <w:sz w:val="21"/>
                <w:szCs w:val="21"/>
                <w:lang w:val="en-US"/>
              </w:rPr>
            </w:pPr>
            <w:r>
              <w:rPr>
                <w:color w:val="404040" w:themeColor="text1" w:themeTint="BF"/>
                <w:sz w:val="21"/>
                <w:szCs w:val="21"/>
              </w:rPr>
              <w:t>if it answers “Yes” to 2 out of 3 questions in Criterion 1</w:t>
            </w:r>
          </w:p>
          <w:p w14:paraId="12763A93" w14:textId="77777777" w:rsidR="00EE481F" w:rsidRDefault="00EE481F" w:rsidP="00214341">
            <w:pPr>
              <w:spacing w:line="276" w:lineRule="auto"/>
              <w:jc w:val="both"/>
              <w:rPr>
                <w:rFonts w:cstheme="minorHAnsi"/>
                <w:color w:val="404040" w:themeColor="text1" w:themeTint="BF"/>
                <w:sz w:val="21"/>
                <w:szCs w:val="21"/>
                <w:highlight w:val="yellow"/>
              </w:rPr>
            </w:pPr>
          </w:p>
        </w:tc>
      </w:tr>
      <w:tr w:rsidR="00EE481F" w14:paraId="4637880E" w14:textId="77777777" w:rsidTr="00214341">
        <w:trPr>
          <w:jc w:val="center"/>
        </w:trPr>
        <w:tc>
          <w:tcPr>
            <w:tcW w:w="3301" w:type="dxa"/>
            <w:tcBorders>
              <w:top w:val="single" w:sz="4" w:space="0" w:color="auto"/>
              <w:left w:val="single" w:sz="4" w:space="0" w:color="auto"/>
              <w:bottom w:val="single" w:sz="4" w:space="0" w:color="auto"/>
              <w:right w:val="single" w:sz="4" w:space="0" w:color="auto"/>
            </w:tcBorders>
            <w:hideMark/>
          </w:tcPr>
          <w:p w14:paraId="2EC825FC" w14:textId="77777777" w:rsidR="00EE481F" w:rsidRDefault="00EE481F" w:rsidP="00214341">
            <w:pPr>
              <w:spacing w:line="276" w:lineRule="auto"/>
              <w:jc w:val="both"/>
              <w:rPr>
                <w:rFonts w:cstheme="minorHAnsi"/>
                <w:color w:val="404040" w:themeColor="text1" w:themeTint="BF"/>
                <w:sz w:val="21"/>
                <w:szCs w:val="21"/>
                <w:highlight w:val="yellow"/>
              </w:rPr>
            </w:pPr>
            <w:r>
              <w:rPr>
                <w:color w:val="404040" w:themeColor="text1" w:themeTint="BF"/>
                <w:sz w:val="21"/>
                <w:szCs w:val="21"/>
              </w:rPr>
              <w:t>A country will satisfy Criterion 2</w:t>
            </w:r>
          </w:p>
        </w:tc>
        <w:tc>
          <w:tcPr>
            <w:tcW w:w="5469" w:type="dxa"/>
            <w:tcBorders>
              <w:top w:val="single" w:sz="4" w:space="0" w:color="auto"/>
              <w:left w:val="single" w:sz="4" w:space="0" w:color="auto"/>
              <w:bottom w:val="single" w:sz="4" w:space="0" w:color="auto"/>
              <w:right w:val="single" w:sz="4" w:space="0" w:color="auto"/>
            </w:tcBorders>
          </w:tcPr>
          <w:p w14:paraId="4F6609F7" w14:textId="77777777" w:rsidR="00EE481F" w:rsidRDefault="00EE481F" w:rsidP="00214341">
            <w:pPr>
              <w:spacing w:line="276" w:lineRule="auto"/>
              <w:jc w:val="both"/>
              <w:rPr>
                <w:color w:val="404040" w:themeColor="text1" w:themeTint="BF"/>
                <w:sz w:val="21"/>
                <w:szCs w:val="21"/>
                <w:lang w:val="en-US"/>
              </w:rPr>
            </w:pPr>
            <w:r>
              <w:rPr>
                <w:color w:val="404040" w:themeColor="text1" w:themeTint="BF"/>
                <w:sz w:val="21"/>
                <w:szCs w:val="21"/>
              </w:rPr>
              <w:t>if it answers “Yes” to 4 out of 7 questions in Criterion 2</w:t>
            </w:r>
          </w:p>
          <w:p w14:paraId="18992545" w14:textId="77777777" w:rsidR="00EE481F" w:rsidRDefault="00EE481F" w:rsidP="00214341">
            <w:pPr>
              <w:spacing w:line="276" w:lineRule="auto"/>
              <w:jc w:val="both"/>
              <w:rPr>
                <w:rFonts w:cstheme="minorHAnsi"/>
                <w:color w:val="404040" w:themeColor="text1" w:themeTint="BF"/>
                <w:sz w:val="21"/>
                <w:szCs w:val="21"/>
                <w:highlight w:val="yellow"/>
              </w:rPr>
            </w:pPr>
          </w:p>
        </w:tc>
      </w:tr>
      <w:tr w:rsidR="00EE481F" w14:paraId="582196CD" w14:textId="77777777" w:rsidTr="00214341">
        <w:trPr>
          <w:jc w:val="center"/>
        </w:trPr>
        <w:tc>
          <w:tcPr>
            <w:tcW w:w="3301" w:type="dxa"/>
            <w:tcBorders>
              <w:top w:val="single" w:sz="4" w:space="0" w:color="auto"/>
              <w:left w:val="single" w:sz="4" w:space="0" w:color="auto"/>
              <w:bottom w:val="single" w:sz="4" w:space="0" w:color="auto"/>
              <w:right w:val="single" w:sz="4" w:space="0" w:color="auto"/>
            </w:tcBorders>
            <w:hideMark/>
          </w:tcPr>
          <w:p w14:paraId="5B6B5F92" w14:textId="77777777" w:rsidR="00EE481F" w:rsidRDefault="00EE481F" w:rsidP="00214341">
            <w:pPr>
              <w:spacing w:line="276" w:lineRule="auto"/>
              <w:jc w:val="both"/>
              <w:rPr>
                <w:rFonts w:cstheme="minorHAnsi"/>
                <w:color w:val="404040" w:themeColor="text1" w:themeTint="BF"/>
                <w:sz w:val="21"/>
                <w:szCs w:val="21"/>
                <w:highlight w:val="yellow"/>
              </w:rPr>
            </w:pPr>
            <w:r>
              <w:rPr>
                <w:color w:val="404040" w:themeColor="text1" w:themeTint="BF"/>
                <w:sz w:val="21"/>
                <w:szCs w:val="21"/>
              </w:rPr>
              <w:t>A country will satisfy Criterion 3</w:t>
            </w:r>
          </w:p>
        </w:tc>
        <w:tc>
          <w:tcPr>
            <w:tcW w:w="5469" w:type="dxa"/>
            <w:tcBorders>
              <w:top w:val="single" w:sz="4" w:space="0" w:color="auto"/>
              <w:left w:val="single" w:sz="4" w:space="0" w:color="auto"/>
              <w:bottom w:val="single" w:sz="4" w:space="0" w:color="auto"/>
              <w:right w:val="single" w:sz="4" w:space="0" w:color="auto"/>
            </w:tcBorders>
          </w:tcPr>
          <w:p w14:paraId="413E3FC0" w14:textId="77777777" w:rsidR="00EE481F" w:rsidRDefault="00EE481F" w:rsidP="00214341">
            <w:pPr>
              <w:spacing w:line="276" w:lineRule="auto"/>
              <w:jc w:val="both"/>
              <w:rPr>
                <w:color w:val="404040" w:themeColor="text1" w:themeTint="BF"/>
                <w:sz w:val="21"/>
                <w:szCs w:val="21"/>
                <w:lang w:val="en-US"/>
              </w:rPr>
            </w:pPr>
            <w:r>
              <w:rPr>
                <w:color w:val="404040" w:themeColor="text1" w:themeTint="BF"/>
                <w:sz w:val="21"/>
                <w:szCs w:val="21"/>
              </w:rPr>
              <w:t>if it answers “Yes” to 2 out of 3 questions in Criterion 3</w:t>
            </w:r>
          </w:p>
          <w:p w14:paraId="0C208F2E" w14:textId="77777777" w:rsidR="00EE481F" w:rsidRDefault="00EE481F" w:rsidP="00214341">
            <w:pPr>
              <w:spacing w:line="276" w:lineRule="auto"/>
              <w:jc w:val="both"/>
              <w:rPr>
                <w:rFonts w:cstheme="minorHAnsi"/>
                <w:color w:val="404040" w:themeColor="text1" w:themeTint="BF"/>
                <w:sz w:val="21"/>
                <w:szCs w:val="21"/>
                <w:highlight w:val="yellow"/>
              </w:rPr>
            </w:pPr>
          </w:p>
        </w:tc>
      </w:tr>
    </w:tbl>
    <w:p w14:paraId="1BA30E11" w14:textId="77777777" w:rsidR="00EE481F" w:rsidRDefault="00EE481F" w:rsidP="00EE481F">
      <w:pPr>
        <w:spacing w:after="0"/>
        <w:jc w:val="both"/>
        <w:rPr>
          <w:rFonts w:cstheme="minorHAnsi"/>
          <w:sz w:val="23"/>
          <w:szCs w:val="23"/>
          <w:highlight w:val="yellow"/>
          <w:lang w:eastAsia="en-US"/>
        </w:rPr>
      </w:pPr>
    </w:p>
    <w:p w14:paraId="1419A715" w14:textId="77777777" w:rsidR="00EE481F" w:rsidRDefault="00EE481F" w:rsidP="00EE481F">
      <w:pPr>
        <w:pStyle w:val="MText"/>
        <w:rPr>
          <w:highlight w:val="yellow"/>
        </w:rPr>
      </w:pPr>
      <w:r>
        <w:t>Countries then will be classified as ‘fully meets requirements’, ‘approaches requirements’, and ‘does not meet requirements’ per the following matrices (There are 8 possible combinations of criteria being satisfied, Cases A-G below):</w:t>
      </w:r>
    </w:p>
    <w:p w14:paraId="372B92F1" w14:textId="77777777" w:rsidR="00EE481F" w:rsidRDefault="00EE481F" w:rsidP="00EE481F">
      <w:pPr>
        <w:spacing w:after="0"/>
        <w:rPr>
          <w:sz w:val="23"/>
          <w:szCs w:val="23"/>
        </w:rPr>
      </w:pPr>
    </w:p>
    <w:p w14:paraId="1DB0F7E0" w14:textId="77777777" w:rsidR="00EE481F" w:rsidRDefault="00EE481F" w:rsidP="00EE481F">
      <w:pPr>
        <w:spacing w:after="0"/>
        <w:rPr>
          <w:sz w:val="23"/>
          <w:szCs w:val="23"/>
        </w:rPr>
      </w:pPr>
    </w:p>
    <w:tbl>
      <w:tblPr>
        <w:tblW w:w="6012" w:type="dxa"/>
        <w:jc w:val="center"/>
        <w:tblLook w:val="04A0" w:firstRow="1" w:lastRow="0" w:firstColumn="1" w:lastColumn="0" w:noHBand="0" w:noVBand="1"/>
      </w:tblPr>
      <w:tblGrid>
        <w:gridCol w:w="2190"/>
        <w:gridCol w:w="1274"/>
        <w:gridCol w:w="1274"/>
        <w:gridCol w:w="1274"/>
      </w:tblGrid>
      <w:tr w:rsidR="00EE481F" w14:paraId="1C82F047" w14:textId="77777777" w:rsidTr="00214341">
        <w:trPr>
          <w:trHeight w:val="300"/>
          <w:jc w:val="center"/>
        </w:trPr>
        <w:tc>
          <w:tcPr>
            <w:tcW w:w="6012" w:type="dxa"/>
            <w:gridSpan w:val="4"/>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bottom"/>
            <w:hideMark/>
          </w:tcPr>
          <w:p w14:paraId="29221B6D"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FFFFFF" w:themeColor="background1"/>
                <w:sz w:val="21"/>
                <w:szCs w:val="21"/>
              </w:rPr>
              <w:t>Fully meets requirements</w:t>
            </w:r>
          </w:p>
        </w:tc>
      </w:tr>
      <w:tr w:rsidR="00EE481F" w14:paraId="621C5D60" w14:textId="77777777" w:rsidTr="00214341">
        <w:trPr>
          <w:trHeight w:val="300"/>
          <w:jc w:val="center"/>
        </w:trPr>
        <w:tc>
          <w:tcPr>
            <w:tcW w:w="2190" w:type="dxa"/>
            <w:tcBorders>
              <w:top w:val="nil"/>
              <w:left w:val="single" w:sz="4" w:space="0" w:color="auto"/>
              <w:bottom w:val="single" w:sz="4" w:space="0" w:color="auto"/>
              <w:right w:val="single" w:sz="4" w:space="0" w:color="auto"/>
            </w:tcBorders>
            <w:noWrap/>
            <w:vAlign w:val="bottom"/>
            <w:hideMark/>
          </w:tcPr>
          <w:p w14:paraId="664898CD"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noWrap/>
            <w:vAlign w:val="bottom"/>
            <w:hideMark/>
          </w:tcPr>
          <w:p w14:paraId="0A1AD57B"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Criterion 1</w:t>
            </w:r>
          </w:p>
        </w:tc>
        <w:tc>
          <w:tcPr>
            <w:tcW w:w="1274" w:type="dxa"/>
            <w:tcBorders>
              <w:top w:val="nil"/>
              <w:left w:val="nil"/>
              <w:bottom w:val="single" w:sz="4" w:space="0" w:color="auto"/>
              <w:right w:val="single" w:sz="4" w:space="0" w:color="auto"/>
            </w:tcBorders>
            <w:noWrap/>
            <w:vAlign w:val="bottom"/>
            <w:hideMark/>
          </w:tcPr>
          <w:p w14:paraId="427C7D77"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Criterion 2</w:t>
            </w:r>
          </w:p>
        </w:tc>
        <w:tc>
          <w:tcPr>
            <w:tcW w:w="1274" w:type="dxa"/>
            <w:tcBorders>
              <w:top w:val="nil"/>
              <w:left w:val="nil"/>
              <w:bottom w:val="single" w:sz="4" w:space="0" w:color="auto"/>
              <w:right w:val="single" w:sz="4" w:space="0" w:color="auto"/>
            </w:tcBorders>
            <w:noWrap/>
            <w:vAlign w:val="bottom"/>
            <w:hideMark/>
          </w:tcPr>
          <w:p w14:paraId="3CE61765"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Criterion 3</w:t>
            </w:r>
          </w:p>
        </w:tc>
      </w:tr>
      <w:tr w:rsidR="00EE481F" w14:paraId="05BFAAA8" w14:textId="77777777" w:rsidTr="00214341">
        <w:trPr>
          <w:trHeight w:val="300"/>
          <w:jc w:val="center"/>
        </w:trPr>
        <w:tc>
          <w:tcPr>
            <w:tcW w:w="219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53703FD"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Case A</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5AA0F220" w14:textId="77777777" w:rsidR="00EE481F" w:rsidRDefault="00EE481F" w:rsidP="00214341">
            <w:pPr>
              <w:spacing w:after="0"/>
              <w:jc w:val="center"/>
              <w:rPr>
                <w:rFonts w:eastAsia="Times New Roman" w:cs="Calibri"/>
                <w:b/>
                <w:color w:val="404040" w:themeColor="text1" w:themeTint="BF"/>
                <w:sz w:val="21"/>
                <w:szCs w:val="21"/>
              </w:rPr>
            </w:pPr>
            <w:r>
              <w:rPr>
                <w:rFonts w:ascii="Wingdings" w:eastAsia="Wingdings" w:hAnsi="Wingdings" w:cs="Wingdings"/>
                <w:b/>
                <w:color w:val="404040" w:themeColor="text1" w:themeTint="BF"/>
                <w:sz w:val="21"/>
                <w:szCs w:val="21"/>
              </w:rPr>
              <w:t>ü</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6B75A125" w14:textId="77777777" w:rsidR="00EE481F" w:rsidRDefault="00EE481F" w:rsidP="00214341">
            <w:pPr>
              <w:spacing w:after="0"/>
              <w:jc w:val="center"/>
              <w:rPr>
                <w:rFonts w:eastAsia="Times New Roman" w:cs="Calibri"/>
                <w:b/>
                <w:color w:val="404040" w:themeColor="text1" w:themeTint="BF"/>
                <w:sz w:val="21"/>
                <w:szCs w:val="21"/>
              </w:rPr>
            </w:pPr>
            <w:r>
              <w:rPr>
                <w:rFonts w:ascii="Wingdings" w:eastAsia="Wingdings" w:hAnsi="Wingdings" w:cs="Wingdings"/>
                <w:b/>
                <w:color w:val="404040" w:themeColor="text1" w:themeTint="BF"/>
                <w:sz w:val="21"/>
                <w:szCs w:val="21"/>
              </w:rPr>
              <w:t>ü</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1AB3FB62" w14:textId="77777777" w:rsidR="00EE481F" w:rsidRDefault="00EE481F" w:rsidP="00214341">
            <w:pPr>
              <w:spacing w:after="0"/>
              <w:jc w:val="center"/>
              <w:rPr>
                <w:rFonts w:eastAsia="Times New Roman" w:cs="Calibri"/>
                <w:b/>
                <w:color w:val="404040" w:themeColor="text1" w:themeTint="BF"/>
                <w:sz w:val="21"/>
                <w:szCs w:val="21"/>
              </w:rPr>
            </w:pPr>
            <w:r>
              <w:rPr>
                <w:rFonts w:ascii="Wingdings" w:eastAsia="Wingdings" w:hAnsi="Wingdings" w:cs="Wingdings"/>
                <w:b/>
                <w:color w:val="404040" w:themeColor="text1" w:themeTint="BF"/>
                <w:sz w:val="21"/>
                <w:szCs w:val="21"/>
              </w:rPr>
              <w:t>ü</w:t>
            </w:r>
          </w:p>
        </w:tc>
      </w:tr>
    </w:tbl>
    <w:p w14:paraId="2502B085" w14:textId="77777777" w:rsidR="00EE481F" w:rsidRDefault="00EE481F" w:rsidP="00EE481F">
      <w:pPr>
        <w:spacing w:after="0"/>
        <w:jc w:val="center"/>
        <w:rPr>
          <w:rFonts w:eastAsiaTheme="minorHAnsi"/>
          <w:color w:val="404040" w:themeColor="text1" w:themeTint="BF"/>
          <w:sz w:val="21"/>
          <w:szCs w:val="21"/>
          <w:lang w:eastAsia="en-US"/>
        </w:rPr>
      </w:pPr>
      <w:r>
        <w:rPr>
          <w:b/>
          <w:color w:val="404040" w:themeColor="text1" w:themeTint="BF"/>
          <w:sz w:val="21"/>
          <w:szCs w:val="21"/>
        </w:rPr>
        <w:t>Note</w:t>
      </w:r>
      <w:r>
        <w:rPr>
          <w:color w:val="404040" w:themeColor="text1" w:themeTint="BF"/>
          <w:sz w:val="21"/>
          <w:szCs w:val="21"/>
        </w:rPr>
        <w:t xml:space="preserve">: “Checked” boxes represent satisfied criteria; </w:t>
      </w:r>
    </w:p>
    <w:p w14:paraId="733AAEB6" w14:textId="77777777" w:rsidR="00EE481F" w:rsidRDefault="00EE481F" w:rsidP="00EE481F">
      <w:pPr>
        <w:spacing w:after="0"/>
        <w:jc w:val="center"/>
        <w:rPr>
          <w:color w:val="404040" w:themeColor="text1" w:themeTint="BF"/>
          <w:sz w:val="21"/>
          <w:szCs w:val="21"/>
        </w:rPr>
      </w:pPr>
      <w:r>
        <w:rPr>
          <w:color w:val="404040" w:themeColor="text1" w:themeTint="BF"/>
          <w:sz w:val="21"/>
          <w:szCs w:val="21"/>
        </w:rPr>
        <w:t>“unchecked” boxes represent unsatisfied criteria.</w:t>
      </w:r>
    </w:p>
    <w:p w14:paraId="2D4D7880" w14:textId="77777777" w:rsidR="00EE481F" w:rsidRDefault="00EE481F" w:rsidP="00EE481F">
      <w:pPr>
        <w:spacing w:after="0"/>
        <w:rPr>
          <w:color w:val="404040" w:themeColor="text1" w:themeTint="BF"/>
          <w:sz w:val="21"/>
          <w:szCs w:val="21"/>
        </w:rPr>
      </w:pPr>
    </w:p>
    <w:tbl>
      <w:tblPr>
        <w:tblW w:w="6006" w:type="dxa"/>
        <w:jc w:val="center"/>
        <w:tblLook w:val="04A0" w:firstRow="1" w:lastRow="0" w:firstColumn="1" w:lastColumn="0" w:noHBand="0" w:noVBand="1"/>
      </w:tblPr>
      <w:tblGrid>
        <w:gridCol w:w="2184"/>
        <w:gridCol w:w="1274"/>
        <w:gridCol w:w="1274"/>
        <w:gridCol w:w="1274"/>
      </w:tblGrid>
      <w:tr w:rsidR="00EE481F" w14:paraId="7F9A9AD4" w14:textId="77777777" w:rsidTr="00214341">
        <w:trPr>
          <w:trHeight w:val="300"/>
          <w:jc w:val="center"/>
        </w:trPr>
        <w:tc>
          <w:tcPr>
            <w:tcW w:w="6006" w:type="dxa"/>
            <w:gridSpan w:val="4"/>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bottom"/>
            <w:hideMark/>
          </w:tcPr>
          <w:p w14:paraId="10148E0F"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FFFFFF" w:themeColor="background1"/>
                <w:sz w:val="21"/>
                <w:szCs w:val="21"/>
              </w:rPr>
              <w:t>Approaches requirements</w:t>
            </w:r>
          </w:p>
        </w:tc>
      </w:tr>
      <w:tr w:rsidR="00EE481F" w14:paraId="54D58B42" w14:textId="77777777" w:rsidTr="00214341">
        <w:trPr>
          <w:trHeight w:val="300"/>
          <w:jc w:val="center"/>
        </w:trPr>
        <w:tc>
          <w:tcPr>
            <w:tcW w:w="2184" w:type="dxa"/>
            <w:tcBorders>
              <w:top w:val="nil"/>
              <w:left w:val="single" w:sz="4" w:space="0" w:color="auto"/>
              <w:bottom w:val="single" w:sz="4" w:space="0" w:color="auto"/>
              <w:right w:val="single" w:sz="4" w:space="0" w:color="auto"/>
            </w:tcBorders>
            <w:noWrap/>
            <w:vAlign w:val="bottom"/>
            <w:hideMark/>
          </w:tcPr>
          <w:p w14:paraId="6932BEDC"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noWrap/>
            <w:vAlign w:val="bottom"/>
            <w:hideMark/>
          </w:tcPr>
          <w:p w14:paraId="5AD0E3E6"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Criterion 1</w:t>
            </w:r>
          </w:p>
        </w:tc>
        <w:tc>
          <w:tcPr>
            <w:tcW w:w="1274" w:type="dxa"/>
            <w:tcBorders>
              <w:top w:val="nil"/>
              <w:left w:val="nil"/>
              <w:bottom w:val="single" w:sz="4" w:space="0" w:color="auto"/>
              <w:right w:val="single" w:sz="4" w:space="0" w:color="auto"/>
            </w:tcBorders>
            <w:noWrap/>
            <w:vAlign w:val="bottom"/>
            <w:hideMark/>
          </w:tcPr>
          <w:p w14:paraId="1AC3D090"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Criterion 2</w:t>
            </w:r>
          </w:p>
        </w:tc>
        <w:tc>
          <w:tcPr>
            <w:tcW w:w="1274" w:type="dxa"/>
            <w:tcBorders>
              <w:top w:val="nil"/>
              <w:left w:val="nil"/>
              <w:bottom w:val="single" w:sz="4" w:space="0" w:color="auto"/>
              <w:right w:val="single" w:sz="4" w:space="0" w:color="auto"/>
            </w:tcBorders>
            <w:noWrap/>
            <w:vAlign w:val="bottom"/>
            <w:hideMark/>
          </w:tcPr>
          <w:p w14:paraId="6524EE44"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Criterion 3</w:t>
            </w:r>
          </w:p>
        </w:tc>
      </w:tr>
      <w:tr w:rsidR="00EE481F" w14:paraId="4C03694F" w14:textId="77777777" w:rsidTr="00214341">
        <w:trPr>
          <w:trHeight w:val="300"/>
          <w:jc w:val="center"/>
        </w:trPr>
        <w:tc>
          <w:tcPr>
            <w:tcW w:w="21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F4C33AD"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Case B</w:t>
            </w:r>
          </w:p>
        </w:tc>
        <w:tc>
          <w:tcPr>
            <w:tcW w:w="127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9673F60" w14:textId="77777777" w:rsidR="00EE481F" w:rsidRDefault="00EE481F" w:rsidP="00214341">
            <w:pPr>
              <w:spacing w:after="0"/>
              <w:jc w:val="center"/>
              <w:rPr>
                <w:rFonts w:eastAsia="Times New Roman" w:cs="Calibri"/>
                <w:b/>
                <w:color w:val="404040" w:themeColor="text1" w:themeTint="BF"/>
                <w:sz w:val="21"/>
                <w:szCs w:val="21"/>
              </w:rPr>
            </w:pPr>
            <w:r>
              <w:rPr>
                <w:rFonts w:ascii="Wingdings" w:eastAsia="Wingdings" w:hAnsi="Wingdings" w:cs="Wingdings"/>
                <w:b/>
                <w:color w:val="404040" w:themeColor="text1" w:themeTint="BF"/>
                <w:sz w:val="21"/>
                <w:szCs w:val="21"/>
              </w:rPr>
              <w:t>ü</w:t>
            </w:r>
          </w:p>
        </w:tc>
        <w:tc>
          <w:tcPr>
            <w:tcW w:w="127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8F72350" w14:textId="77777777" w:rsidR="00EE481F" w:rsidRDefault="00EE481F" w:rsidP="00214341">
            <w:pPr>
              <w:rPr>
                <w:rFonts w:eastAsia="Times New Roman" w:cs="Calibri"/>
                <w:b/>
                <w:color w:val="404040" w:themeColor="text1" w:themeTint="BF"/>
                <w:sz w:val="21"/>
                <w:szCs w:val="21"/>
              </w:rPr>
            </w:pPr>
          </w:p>
        </w:tc>
        <w:tc>
          <w:tcPr>
            <w:tcW w:w="127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C127AF1" w14:textId="77777777" w:rsidR="00EE481F" w:rsidRDefault="00EE481F" w:rsidP="00214341">
            <w:pPr>
              <w:spacing w:after="0"/>
              <w:rPr>
                <w:sz w:val="20"/>
                <w:szCs w:val="20"/>
              </w:rPr>
            </w:pPr>
          </w:p>
        </w:tc>
      </w:tr>
      <w:tr w:rsidR="00EE481F" w14:paraId="666FACB9" w14:textId="77777777" w:rsidTr="00214341">
        <w:trPr>
          <w:trHeight w:val="300"/>
          <w:jc w:val="center"/>
        </w:trPr>
        <w:tc>
          <w:tcPr>
            <w:tcW w:w="21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9EBDBE8" w14:textId="77777777" w:rsidR="00EE481F" w:rsidRDefault="00EE481F" w:rsidP="00214341">
            <w:pPr>
              <w:spacing w:after="0"/>
              <w:rPr>
                <w:rFonts w:eastAsia="Times New Roman" w:cs="Calibri"/>
                <w:b/>
                <w:color w:val="404040" w:themeColor="text1" w:themeTint="BF"/>
                <w:sz w:val="21"/>
                <w:szCs w:val="21"/>
                <w:lang w:eastAsia="en-US"/>
              </w:rPr>
            </w:pPr>
            <w:r>
              <w:rPr>
                <w:rFonts w:eastAsia="Times New Roman" w:cs="Calibri"/>
                <w:b/>
                <w:color w:val="404040" w:themeColor="text1" w:themeTint="BF"/>
                <w:sz w:val="21"/>
                <w:szCs w:val="21"/>
              </w:rPr>
              <w:t>Case C</w:t>
            </w:r>
          </w:p>
        </w:tc>
        <w:tc>
          <w:tcPr>
            <w:tcW w:w="127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86035D0" w14:textId="77777777" w:rsidR="00EE481F" w:rsidRDefault="00EE481F" w:rsidP="00214341">
            <w:pPr>
              <w:rPr>
                <w:rFonts w:eastAsia="Times New Roman" w:cs="Calibri"/>
                <w:b/>
                <w:color w:val="404040" w:themeColor="text1" w:themeTint="BF"/>
                <w:sz w:val="21"/>
                <w:szCs w:val="21"/>
              </w:rPr>
            </w:pPr>
          </w:p>
        </w:tc>
        <w:tc>
          <w:tcPr>
            <w:tcW w:w="127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DFD40EF" w14:textId="77777777" w:rsidR="00EE481F" w:rsidRDefault="00EE481F" w:rsidP="00214341">
            <w:pPr>
              <w:spacing w:after="0"/>
              <w:jc w:val="center"/>
              <w:rPr>
                <w:rFonts w:eastAsia="Times New Roman" w:cs="Calibri"/>
                <w:b/>
                <w:color w:val="404040" w:themeColor="text1" w:themeTint="BF"/>
                <w:sz w:val="21"/>
                <w:szCs w:val="21"/>
                <w:lang w:eastAsia="en-US"/>
              </w:rPr>
            </w:pPr>
            <w:r>
              <w:rPr>
                <w:rFonts w:ascii="Wingdings" w:eastAsia="Wingdings" w:hAnsi="Wingdings" w:cs="Wingdings"/>
                <w:b/>
                <w:color w:val="404040" w:themeColor="text1" w:themeTint="BF"/>
                <w:sz w:val="21"/>
                <w:szCs w:val="21"/>
              </w:rPr>
              <w:t>ü</w:t>
            </w:r>
          </w:p>
        </w:tc>
        <w:tc>
          <w:tcPr>
            <w:tcW w:w="127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7B0D888" w14:textId="77777777" w:rsidR="00EE481F" w:rsidRDefault="00EE481F" w:rsidP="00214341">
            <w:pPr>
              <w:rPr>
                <w:rFonts w:eastAsia="Times New Roman" w:cs="Calibri"/>
                <w:b/>
                <w:color w:val="404040" w:themeColor="text1" w:themeTint="BF"/>
                <w:sz w:val="21"/>
                <w:szCs w:val="21"/>
              </w:rPr>
            </w:pPr>
          </w:p>
        </w:tc>
      </w:tr>
      <w:tr w:rsidR="00EE481F" w14:paraId="73786D77" w14:textId="77777777" w:rsidTr="00214341">
        <w:trPr>
          <w:trHeight w:val="300"/>
          <w:jc w:val="center"/>
        </w:trPr>
        <w:tc>
          <w:tcPr>
            <w:tcW w:w="218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54234CF" w14:textId="77777777" w:rsidR="00EE481F" w:rsidRDefault="00EE481F" w:rsidP="00214341">
            <w:pPr>
              <w:spacing w:after="0"/>
              <w:rPr>
                <w:rFonts w:eastAsia="Times New Roman" w:cs="Calibri"/>
                <w:b/>
                <w:color w:val="404040" w:themeColor="text1" w:themeTint="BF"/>
                <w:sz w:val="21"/>
                <w:szCs w:val="21"/>
                <w:lang w:eastAsia="en-US"/>
              </w:rPr>
            </w:pPr>
            <w:r>
              <w:rPr>
                <w:rFonts w:eastAsia="Times New Roman" w:cs="Calibri"/>
                <w:b/>
                <w:color w:val="404040" w:themeColor="text1" w:themeTint="BF"/>
                <w:sz w:val="21"/>
                <w:szCs w:val="21"/>
              </w:rPr>
              <w:t>Case D</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37F0CFDA" w14:textId="77777777" w:rsidR="00EE481F" w:rsidRDefault="00EE481F" w:rsidP="00214341">
            <w:pPr>
              <w:rPr>
                <w:rFonts w:eastAsia="Times New Roman" w:cs="Calibri"/>
                <w:b/>
                <w:color w:val="404040" w:themeColor="text1" w:themeTint="BF"/>
                <w:sz w:val="21"/>
                <w:szCs w:val="21"/>
              </w:rPr>
            </w:pP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2C62B231" w14:textId="77777777" w:rsidR="00EE481F" w:rsidRDefault="00EE481F" w:rsidP="00214341">
            <w:pPr>
              <w:spacing w:after="0"/>
              <w:rPr>
                <w:sz w:val="20"/>
                <w:szCs w:val="20"/>
              </w:rPr>
            </w:pP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615ACD07" w14:textId="77777777" w:rsidR="00EE481F" w:rsidRDefault="00EE481F" w:rsidP="00214341">
            <w:pPr>
              <w:spacing w:after="0"/>
              <w:jc w:val="center"/>
              <w:rPr>
                <w:rFonts w:eastAsia="Times New Roman" w:cs="Calibri"/>
                <w:b/>
                <w:color w:val="404040" w:themeColor="text1" w:themeTint="BF"/>
                <w:sz w:val="21"/>
                <w:szCs w:val="21"/>
                <w:lang w:eastAsia="en-US"/>
              </w:rPr>
            </w:pPr>
            <w:r>
              <w:rPr>
                <w:rFonts w:ascii="Wingdings" w:eastAsia="Wingdings" w:hAnsi="Wingdings" w:cs="Wingdings"/>
                <w:b/>
                <w:color w:val="404040" w:themeColor="text1" w:themeTint="BF"/>
                <w:sz w:val="21"/>
                <w:szCs w:val="21"/>
              </w:rPr>
              <w:t>ü</w:t>
            </w:r>
          </w:p>
        </w:tc>
      </w:tr>
      <w:tr w:rsidR="00EE481F" w14:paraId="006F4750" w14:textId="77777777" w:rsidTr="00214341">
        <w:trPr>
          <w:trHeight w:val="300"/>
          <w:jc w:val="center"/>
        </w:trPr>
        <w:tc>
          <w:tcPr>
            <w:tcW w:w="218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E0C6BF5"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Case E</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6D968E69" w14:textId="77777777" w:rsidR="00EE481F" w:rsidRDefault="00EE481F" w:rsidP="00214341">
            <w:pPr>
              <w:spacing w:after="0"/>
              <w:jc w:val="center"/>
              <w:rPr>
                <w:rFonts w:eastAsia="Times New Roman" w:cs="Calibri"/>
                <w:b/>
                <w:color w:val="404040" w:themeColor="text1" w:themeTint="BF"/>
                <w:sz w:val="21"/>
                <w:szCs w:val="21"/>
              </w:rPr>
            </w:pPr>
            <w:r>
              <w:rPr>
                <w:rFonts w:ascii="Wingdings" w:eastAsia="Wingdings" w:hAnsi="Wingdings" w:cs="Wingdings"/>
                <w:b/>
                <w:color w:val="404040" w:themeColor="text1" w:themeTint="BF"/>
                <w:sz w:val="21"/>
                <w:szCs w:val="21"/>
              </w:rPr>
              <w:t>ü</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43E24E73" w14:textId="77777777" w:rsidR="00EE481F" w:rsidRDefault="00EE481F" w:rsidP="00214341">
            <w:pPr>
              <w:spacing w:after="0"/>
              <w:jc w:val="center"/>
              <w:rPr>
                <w:rFonts w:eastAsia="Times New Roman" w:cs="Calibri"/>
                <w:b/>
                <w:color w:val="404040" w:themeColor="text1" w:themeTint="BF"/>
                <w:sz w:val="21"/>
                <w:szCs w:val="21"/>
              </w:rPr>
            </w:pPr>
            <w:r>
              <w:rPr>
                <w:rFonts w:ascii="Wingdings" w:eastAsia="Wingdings" w:hAnsi="Wingdings" w:cs="Wingdings"/>
                <w:b/>
                <w:color w:val="404040" w:themeColor="text1" w:themeTint="BF"/>
                <w:sz w:val="21"/>
                <w:szCs w:val="21"/>
              </w:rPr>
              <w:t>ü</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5BE878CD" w14:textId="77777777" w:rsidR="00EE481F" w:rsidRDefault="00EE481F" w:rsidP="00214341">
            <w:pPr>
              <w:rPr>
                <w:rFonts w:eastAsia="Times New Roman" w:cs="Calibri"/>
                <w:b/>
                <w:color w:val="404040" w:themeColor="text1" w:themeTint="BF"/>
                <w:sz w:val="21"/>
                <w:szCs w:val="21"/>
              </w:rPr>
            </w:pPr>
          </w:p>
        </w:tc>
      </w:tr>
      <w:tr w:rsidR="00EE481F" w14:paraId="54654F21" w14:textId="77777777" w:rsidTr="00214341">
        <w:trPr>
          <w:trHeight w:val="300"/>
          <w:jc w:val="center"/>
        </w:trPr>
        <w:tc>
          <w:tcPr>
            <w:tcW w:w="218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80F7EAF" w14:textId="77777777" w:rsidR="00EE481F" w:rsidRDefault="00EE481F" w:rsidP="00214341">
            <w:pPr>
              <w:spacing w:after="0"/>
              <w:rPr>
                <w:rFonts w:eastAsia="Times New Roman" w:cs="Calibri"/>
                <w:b/>
                <w:color w:val="404040" w:themeColor="text1" w:themeTint="BF"/>
                <w:sz w:val="21"/>
                <w:szCs w:val="21"/>
                <w:lang w:eastAsia="en-US"/>
              </w:rPr>
            </w:pPr>
            <w:r>
              <w:rPr>
                <w:rFonts w:eastAsia="Times New Roman" w:cs="Calibri"/>
                <w:b/>
                <w:color w:val="404040" w:themeColor="text1" w:themeTint="BF"/>
                <w:sz w:val="21"/>
                <w:szCs w:val="21"/>
              </w:rPr>
              <w:t>Case F</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157BE961" w14:textId="77777777" w:rsidR="00EE481F" w:rsidRDefault="00EE481F" w:rsidP="00214341">
            <w:pPr>
              <w:spacing w:after="0"/>
              <w:jc w:val="center"/>
              <w:rPr>
                <w:rFonts w:eastAsia="Times New Roman" w:cs="Calibri"/>
                <w:b/>
                <w:color w:val="404040" w:themeColor="text1" w:themeTint="BF"/>
                <w:sz w:val="21"/>
                <w:szCs w:val="21"/>
              </w:rPr>
            </w:pPr>
            <w:r>
              <w:rPr>
                <w:rFonts w:ascii="Wingdings" w:eastAsia="Wingdings" w:hAnsi="Wingdings" w:cs="Wingdings"/>
                <w:b/>
                <w:color w:val="404040" w:themeColor="text1" w:themeTint="BF"/>
                <w:sz w:val="21"/>
                <w:szCs w:val="21"/>
              </w:rPr>
              <w:t>ü</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4DB4D919" w14:textId="77777777" w:rsidR="00EE481F" w:rsidRDefault="00EE481F" w:rsidP="00214341">
            <w:pPr>
              <w:rPr>
                <w:rFonts w:eastAsia="Times New Roman" w:cs="Calibri"/>
                <w:b/>
                <w:color w:val="404040" w:themeColor="text1" w:themeTint="BF"/>
                <w:sz w:val="21"/>
                <w:szCs w:val="21"/>
              </w:rPr>
            </w:pP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2DF96A07" w14:textId="77777777" w:rsidR="00EE481F" w:rsidRDefault="00EE481F" w:rsidP="00214341">
            <w:pPr>
              <w:spacing w:after="0"/>
              <w:jc w:val="center"/>
              <w:rPr>
                <w:rFonts w:eastAsia="Times New Roman" w:cs="Calibri"/>
                <w:b/>
                <w:color w:val="404040" w:themeColor="text1" w:themeTint="BF"/>
                <w:sz w:val="21"/>
                <w:szCs w:val="21"/>
                <w:lang w:eastAsia="en-US"/>
              </w:rPr>
            </w:pPr>
            <w:r>
              <w:rPr>
                <w:rFonts w:ascii="Wingdings" w:eastAsia="Wingdings" w:hAnsi="Wingdings" w:cs="Wingdings"/>
                <w:b/>
                <w:color w:val="404040" w:themeColor="text1" w:themeTint="BF"/>
                <w:sz w:val="21"/>
                <w:szCs w:val="21"/>
              </w:rPr>
              <w:t>ü</w:t>
            </w:r>
          </w:p>
        </w:tc>
      </w:tr>
      <w:tr w:rsidR="00EE481F" w14:paraId="7DE37C68" w14:textId="77777777" w:rsidTr="00214341">
        <w:trPr>
          <w:trHeight w:val="300"/>
          <w:jc w:val="center"/>
        </w:trPr>
        <w:tc>
          <w:tcPr>
            <w:tcW w:w="2184"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D9994DB"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Case G</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17F076AB" w14:textId="77777777" w:rsidR="00EE481F" w:rsidRDefault="00EE481F" w:rsidP="00214341">
            <w:pPr>
              <w:rPr>
                <w:rFonts w:eastAsia="Times New Roman" w:cs="Calibri"/>
                <w:b/>
                <w:color w:val="404040" w:themeColor="text1" w:themeTint="BF"/>
                <w:sz w:val="21"/>
                <w:szCs w:val="21"/>
              </w:rPr>
            </w:pP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7F05412E" w14:textId="77777777" w:rsidR="00EE481F" w:rsidRDefault="00EE481F" w:rsidP="00214341">
            <w:pPr>
              <w:spacing w:after="0"/>
              <w:jc w:val="center"/>
              <w:rPr>
                <w:rFonts w:eastAsia="Times New Roman" w:cs="Calibri"/>
                <w:b/>
                <w:color w:val="404040" w:themeColor="text1" w:themeTint="BF"/>
                <w:sz w:val="21"/>
                <w:szCs w:val="21"/>
                <w:lang w:eastAsia="en-US"/>
              </w:rPr>
            </w:pPr>
            <w:r>
              <w:rPr>
                <w:rFonts w:ascii="Wingdings" w:eastAsia="Wingdings" w:hAnsi="Wingdings" w:cs="Wingdings"/>
                <w:b/>
                <w:color w:val="404040" w:themeColor="text1" w:themeTint="BF"/>
                <w:sz w:val="21"/>
                <w:szCs w:val="21"/>
              </w:rPr>
              <w:t>ü</w:t>
            </w:r>
          </w:p>
        </w:tc>
        <w:tc>
          <w:tcPr>
            <w:tcW w:w="1274" w:type="dxa"/>
            <w:tcBorders>
              <w:top w:val="nil"/>
              <w:left w:val="nil"/>
              <w:bottom w:val="single" w:sz="4" w:space="0" w:color="auto"/>
              <w:right w:val="single" w:sz="4" w:space="0" w:color="auto"/>
            </w:tcBorders>
            <w:shd w:val="clear" w:color="auto" w:fill="FFFFFF" w:themeFill="background1"/>
            <w:noWrap/>
            <w:vAlign w:val="bottom"/>
            <w:hideMark/>
          </w:tcPr>
          <w:p w14:paraId="07A2715C" w14:textId="77777777" w:rsidR="00EE481F" w:rsidRDefault="00EE481F" w:rsidP="00214341">
            <w:pPr>
              <w:spacing w:after="0"/>
              <w:jc w:val="center"/>
              <w:rPr>
                <w:rFonts w:eastAsia="Times New Roman" w:cs="Calibri"/>
                <w:b/>
                <w:color w:val="404040" w:themeColor="text1" w:themeTint="BF"/>
                <w:sz w:val="21"/>
                <w:szCs w:val="21"/>
              </w:rPr>
            </w:pPr>
            <w:r>
              <w:rPr>
                <w:rFonts w:ascii="Wingdings" w:eastAsia="Wingdings" w:hAnsi="Wingdings" w:cs="Wingdings"/>
                <w:b/>
                <w:color w:val="404040" w:themeColor="text1" w:themeTint="BF"/>
                <w:sz w:val="21"/>
                <w:szCs w:val="21"/>
              </w:rPr>
              <w:t>ü</w:t>
            </w:r>
          </w:p>
        </w:tc>
      </w:tr>
    </w:tbl>
    <w:p w14:paraId="1B28A582" w14:textId="77777777" w:rsidR="00EE481F" w:rsidRDefault="00EE481F" w:rsidP="00EE481F">
      <w:pPr>
        <w:spacing w:after="0"/>
        <w:jc w:val="center"/>
        <w:rPr>
          <w:rFonts w:eastAsiaTheme="minorHAnsi"/>
          <w:color w:val="404040" w:themeColor="text1" w:themeTint="BF"/>
          <w:sz w:val="21"/>
          <w:szCs w:val="21"/>
          <w:lang w:eastAsia="en-US"/>
        </w:rPr>
      </w:pPr>
      <w:r>
        <w:rPr>
          <w:b/>
          <w:color w:val="404040" w:themeColor="text1" w:themeTint="BF"/>
          <w:sz w:val="21"/>
          <w:szCs w:val="21"/>
        </w:rPr>
        <w:t>Note</w:t>
      </w:r>
      <w:r>
        <w:rPr>
          <w:color w:val="404040" w:themeColor="text1" w:themeTint="BF"/>
          <w:sz w:val="21"/>
          <w:szCs w:val="21"/>
        </w:rPr>
        <w:t xml:space="preserve">: “Checked” boxes represent satisfied criteria; </w:t>
      </w:r>
    </w:p>
    <w:p w14:paraId="01622C4B" w14:textId="77777777" w:rsidR="00EE481F" w:rsidRDefault="00EE481F" w:rsidP="00EE481F">
      <w:pPr>
        <w:spacing w:after="0"/>
        <w:jc w:val="center"/>
        <w:rPr>
          <w:color w:val="404040" w:themeColor="text1" w:themeTint="BF"/>
          <w:sz w:val="21"/>
          <w:szCs w:val="21"/>
        </w:rPr>
      </w:pPr>
      <w:r>
        <w:rPr>
          <w:color w:val="404040" w:themeColor="text1" w:themeTint="BF"/>
          <w:sz w:val="21"/>
          <w:szCs w:val="21"/>
        </w:rPr>
        <w:t>“unchecked” boxes represent unsatisfied criteria.</w:t>
      </w:r>
    </w:p>
    <w:p w14:paraId="2E49F856" w14:textId="77777777" w:rsidR="00EE481F" w:rsidRDefault="00EE481F" w:rsidP="00EE481F">
      <w:pPr>
        <w:spacing w:after="0"/>
        <w:rPr>
          <w:color w:val="404040" w:themeColor="text1" w:themeTint="BF"/>
          <w:sz w:val="21"/>
          <w:szCs w:val="21"/>
        </w:rPr>
      </w:pPr>
    </w:p>
    <w:tbl>
      <w:tblPr>
        <w:tblW w:w="6009" w:type="dxa"/>
        <w:jc w:val="center"/>
        <w:tblLook w:val="04A0" w:firstRow="1" w:lastRow="0" w:firstColumn="1" w:lastColumn="0" w:noHBand="0" w:noVBand="1"/>
      </w:tblPr>
      <w:tblGrid>
        <w:gridCol w:w="2187"/>
        <w:gridCol w:w="1274"/>
        <w:gridCol w:w="1274"/>
        <w:gridCol w:w="1274"/>
      </w:tblGrid>
      <w:tr w:rsidR="00EE481F" w14:paraId="414D27AF" w14:textId="77777777" w:rsidTr="00214341">
        <w:trPr>
          <w:trHeight w:val="300"/>
          <w:jc w:val="center"/>
        </w:trPr>
        <w:tc>
          <w:tcPr>
            <w:tcW w:w="6009" w:type="dxa"/>
            <w:gridSpan w:val="4"/>
            <w:tcBorders>
              <w:top w:val="single" w:sz="4" w:space="0" w:color="auto"/>
              <w:left w:val="single" w:sz="4" w:space="0" w:color="auto"/>
              <w:bottom w:val="single" w:sz="4" w:space="0" w:color="auto"/>
              <w:right w:val="single" w:sz="4" w:space="0" w:color="auto"/>
            </w:tcBorders>
            <w:shd w:val="clear" w:color="auto" w:fill="31849B" w:themeFill="accent5" w:themeFillShade="BF"/>
            <w:noWrap/>
            <w:vAlign w:val="bottom"/>
            <w:hideMark/>
          </w:tcPr>
          <w:p w14:paraId="66C8D2D5"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FFFFFF" w:themeColor="background1"/>
                <w:sz w:val="21"/>
                <w:szCs w:val="21"/>
              </w:rPr>
              <w:t>Does not meet requirements</w:t>
            </w:r>
          </w:p>
        </w:tc>
      </w:tr>
      <w:tr w:rsidR="00EE481F" w14:paraId="4C0C151E" w14:textId="77777777" w:rsidTr="00214341">
        <w:trPr>
          <w:trHeight w:val="300"/>
          <w:jc w:val="center"/>
        </w:trPr>
        <w:tc>
          <w:tcPr>
            <w:tcW w:w="2187" w:type="dxa"/>
            <w:tcBorders>
              <w:top w:val="nil"/>
              <w:left w:val="single" w:sz="4" w:space="0" w:color="auto"/>
              <w:bottom w:val="single" w:sz="4" w:space="0" w:color="auto"/>
              <w:right w:val="single" w:sz="4" w:space="0" w:color="auto"/>
            </w:tcBorders>
            <w:noWrap/>
            <w:vAlign w:val="bottom"/>
            <w:hideMark/>
          </w:tcPr>
          <w:p w14:paraId="47F82EC1"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noWrap/>
            <w:vAlign w:val="bottom"/>
            <w:hideMark/>
          </w:tcPr>
          <w:p w14:paraId="17267536"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Criterion 1</w:t>
            </w:r>
          </w:p>
        </w:tc>
        <w:tc>
          <w:tcPr>
            <w:tcW w:w="1274" w:type="dxa"/>
            <w:tcBorders>
              <w:top w:val="nil"/>
              <w:left w:val="nil"/>
              <w:bottom w:val="single" w:sz="4" w:space="0" w:color="auto"/>
              <w:right w:val="single" w:sz="4" w:space="0" w:color="auto"/>
            </w:tcBorders>
            <w:noWrap/>
            <w:vAlign w:val="bottom"/>
            <w:hideMark/>
          </w:tcPr>
          <w:p w14:paraId="396B5CF4"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Criterion 2</w:t>
            </w:r>
          </w:p>
        </w:tc>
        <w:tc>
          <w:tcPr>
            <w:tcW w:w="1274" w:type="dxa"/>
            <w:tcBorders>
              <w:top w:val="nil"/>
              <w:left w:val="nil"/>
              <w:bottom w:val="single" w:sz="4" w:space="0" w:color="auto"/>
              <w:right w:val="single" w:sz="4" w:space="0" w:color="auto"/>
            </w:tcBorders>
            <w:noWrap/>
            <w:vAlign w:val="bottom"/>
            <w:hideMark/>
          </w:tcPr>
          <w:p w14:paraId="66D9C94A" w14:textId="77777777" w:rsidR="00EE481F" w:rsidRDefault="00EE481F" w:rsidP="00214341">
            <w:pPr>
              <w:spacing w:after="0"/>
              <w:jc w:val="center"/>
              <w:rPr>
                <w:rFonts w:eastAsia="Times New Roman" w:cs="Calibri"/>
                <w:b/>
                <w:color w:val="404040" w:themeColor="text1" w:themeTint="BF"/>
                <w:sz w:val="21"/>
                <w:szCs w:val="21"/>
              </w:rPr>
            </w:pPr>
            <w:r>
              <w:rPr>
                <w:rFonts w:eastAsia="Times New Roman" w:cs="Calibri"/>
                <w:b/>
                <w:color w:val="404040" w:themeColor="text1" w:themeTint="BF"/>
                <w:sz w:val="21"/>
                <w:szCs w:val="21"/>
              </w:rPr>
              <w:t>Criterion 3</w:t>
            </w:r>
          </w:p>
        </w:tc>
      </w:tr>
      <w:tr w:rsidR="00EE481F" w14:paraId="08FFCF14" w14:textId="77777777" w:rsidTr="00214341">
        <w:trPr>
          <w:trHeight w:val="300"/>
          <w:jc w:val="center"/>
        </w:trPr>
        <w:tc>
          <w:tcPr>
            <w:tcW w:w="2187" w:type="dxa"/>
            <w:tcBorders>
              <w:top w:val="nil"/>
              <w:left w:val="single" w:sz="4" w:space="0" w:color="auto"/>
              <w:bottom w:val="single" w:sz="4" w:space="0" w:color="auto"/>
              <w:right w:val="single" w:sz="4" w:space="0" w:color="auto"/>
            </w:tcBorders>
            <w:noWrap/>
            <w:vAlign w:val="bottom"/>
            <w:hideMark/>
          </w:tcPr>
          <w:p w14:paraId="0692F5B2"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Case H</w:t>
            </w:r>
          </w:p>
        </w:tc>
        <w:tc>
          <w:tcPr>
            <w:tcW w:w="1274" w:type="dxa"/>
            <w:tcBorders>
              <w:top w:val="nil"/>
              <w:left w:val="nil"/>
              <w:bottom w:val="single" w:sz="4" w:space="0" w:color="auto"/>
              <w:right w:val="single" w:sz="4" w:space="0" w:color="auto"/>
            </w:tcBorders>
            <w:noWrap/>
            <w:vAlign w:val="bottom"/>
            <w:hideMark/>
          </w:tcPr>
          <w:p w14:paraId="4EE86051"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noWrap/>
            <w:vAlign w:val="bottom"/>
            <w:hideMark/>
          </w:tcPr>
          <w:p w14:paraId="43C3D52C"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 </w:t>
            </w:r>
          </w:p>
        </w:tc>
        <w:tc>
          <w:tcPr>
            <w:tcW w:w="1274" w:type="dxa"/>
            <w:tcBorders>
              <w:top w:val="nil"/>
              <w:left w:val="nil"/>
              <w:bottom w:val="single" w:sz="4" w:space="0" w:color="auto"/>
              <w:right w:val="single" w:sz="4" w:space="0" w:color="auto"/>
            </w:tcBorders>
            <w:noWrap/>
            <w:vAlign w:val="bottom"/>
            <w:hideMark/>
          </w:tcPr>
          <w:p w14:paraId="4AD5D958" w14:textId="77777777" w:rsidR="00EE481F" w:rsidRDefault="00EE481F" w:rsidP="00214341">
            <w:pPr>
              <w:spacing w:after="0"/>
              <w:rPr>
                <w:rFonts w:eastAsia="Times New Roman" w:cs="Calibri"/>
                <w:b/>
                <w:color w:val="404040" w:themeColor="text1" w:themeTint="BF"/>
                <w:sz w:val="21"/>
                <w:szCs w:val="21"/>
              </w:rPr>
            </w:pPr>
            <w:r>
              <w:rPr>
                <w:rFonts w:eastAsia="Times New Roman" w:cs="Calibri"/>
                <w:b/>
                <w:color w:val="404040" w:themeColor="text1" w:themeTint="BF"/>
                <w:sz w:val="21"/>
                <w:szCs w:val="21"/>
              </w:rPr>
              <w:t> </w:t>
            </w:r>
          </w:p>
        </w:tc>
      </w:tr>
    </w:tbl>
    <w:p w14:paraId="58B7D807" w14:textId="77777777" w:rsidR="00EE481F" w:rsidRDefault="00EE481F" w:rsidP="00EE481F">
      <w:pPr>
        <w:spacing w:after="0"/>
        <w:jc w:val="center"/>
        <w:rPr>
          <w:rFonts w:eastAsiaTheme="minorHAnsi"/>
          <w:color w:val="404040" w:themeColor="text1" w:themeTint="BF"/>
          <w:sz w:val="21"/>
          <w:szCs w:val="21"/>
          <w:lang w:eastAsia="en-US"/>
        </w:rPr>
      </w:pPr>
      <w:r>
        <w:rPr>
          <w:b/>
          <w:color w:val="404040" w:themeColor="text1" w:themeTint="BF"/>
          <w:sz w:val="21"/>
          <w:szCs w:val="21"/>
        </w:rPr>
        <w:t>Note</w:t>
      </w:r>
      <w:r>
        <w:rPr>
          <w:color w:val="404040" w:themeColor="text1" w:themeTint="BF"/>
          <w:sz w:val="21"/>
          <w:szCs w:val="21"/>
        </w:rPr>
        <w:t xml:space="preserve">: “Checked” boxes represent satisfied criteria; </w:t>
      </w:r>
    </w:p>
    <w:p w14:paraId="1FE7735D" w14:textId="77777777" w:rsidR="00EE481F" w:rsidRDefault="00EE481F" w:rsidP="00EE481F">
      <w:pPr>
        <w:spacing w:after="0"/>
        <w:jc w:val="center"/>
        <w:rPr>
          <w:color w:val="404040" w:themeColor="text1" w:themeTint="BF"/>
          <w:sz w:val="21"/>
          <w:szCs w:val="21"/>
        </w:rPr>
      </w:pPr>
      <w:r>
        <w:rPr>
          <w:color w:val="404040" w:themeColor="text1" w:themeTint="BF"/>
          <w:sz w:val="21"/>
          <w:szCs w:val="21"/>
        </w:rPr>
        <w:t>“unchecked” boxes represent unsatisfied criteria.</w:t>
      </w:r>
    </w:p>
    <w:p w14:paraId="0D418311" w14:textId="77777777" w:rsidR="00EE481F" w:rsidRDefault="00EE481F" w:rsidP="00EE481F">
      <w:pPr>
        <w:spacing w:after="0"/>
        <w:jc w:val="both"/>
        <w:rPr>
          <w:rFonts w:cstheme="minorHAnsi"/>
          <w:sz w:val="23"/>
          <w:szCs w:val="23"/>
          <w:highlight w:val="yellow"/>
        </w:rPr>
      </w:pPr>
    </w:p>
    <w:p w14:paraId="254DD335" w14:textId="77777777" w:rsidR="00EE481F" w:rsidRDefault="00EE481F" w:rsidP="00EE481F">
      <w:pPr>
        <w:pStyle w:val="MText"/>
      </w:pPr>
      <w:r>
        <w:t>Because the three criteria are equally important, a country would need to satisfy the three to fully meet requirements.</w:t>
      </w:r>
    </w:p>
    <w:p w14:paraId="5A1D7D33" w14:textId="77777777" w:rsidR="00874876" w:rsidRPr="00EE5E18" w:rsidRDefault="00874876" w:rsidP="00EE5E18">
      <w:pPr>
        <w:pStyle w:val="MText"/>
      </w:pPr>
    </w:p>
    <w:p w14:paraId="466CB0F9" w14:textId="41119211" w:rsidR="001A3477" w:rsidRDefault="001A3477" w:rsidP="001A3477">
      <w:pPr>
        <w:pStyle w:val="MText"/>
      </w:pPr>
      <w:r>
        <w:t xml:space="preserve">The method of computation is as follows: </w:t>
      </w:r>
    </w:p>
    <w:p w14:paraId="52CE25FC" w14:textId="6DF7B807" w:rsidR="001A3477" w:rsidRDefault="001A3477" w:rsidP="001A3477">
      <w:pPr>
        <w:pStyle w:val="MText"/>
      </w:pPr>
      <m:oMathPara>
        <m:oMath>
          <m:r>
            <w:rPr>
              <w:rFonts w:ascii="Cambria Math" w:hAnsi="Cambria Math"/>
            </w:rPr>
            <m:t>Indicator</m:t>
          </m:r>
          <m:r>
            <m:rPr>
              <m:sty m:val="p"/>
            </m:rPr>
            <w:rPr>
              <w:rFonts w:ascii="Cambria Math" w:hAnsi="Cambria Math"/>
            </w:rPr>
            <m:t xml:space="preserve"> 5.</m:t>
          </m:r>
          <m:r>
            <w:rPr>
              <w:rFonts w:ascii="Cambria Math" w:hAnsi="Cambria Math"/>
            </w:rPr>
            <m:t>c</m:t>
          </m:r>
          <m:r>
            <m:rPr>
              <m:sty m:val="p"/>
            </m:rPr>
            <w:rPr>
              <w:rFonts w:ascii="Cambria Math" w:hAnsi="Cambria Math"/>
            </w:rPr>
            <m:t xml:space="preserve">.1= </m:t>
          </m:r>
          <m:f>
            <m:fPr>
              <m:ctrlPr>
                <w:rPr>
                  <w:rFonts w:ascii="Cambria Math" w:hAnsi="Cambria Math"/>
                </w:rPr>
              </m:ctrlPr>
            </m:fPr>
            <m:num>
              <m:d>
                <m:dPr>
                  <m:ctrlPr>
                    <w:rPr>
                      <w:rFonts w:ascii="Cambria Math" w:hAnsi="Cambria Math"/>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fully</m:t>
                  </m:r>
                  <m:r>
                    <m:rPr>
                      <m:sty m:val="p"/>
                    </m:rPr>
                    <w:rPr>
                      <w:rFonts w:ascii="Cambria Math" w:hAnsi="Cambria Math"/>
                    </w:rPr>
                    <m:t xml:space="preserve">  </m:t>
                  </m:r>
                  <m:r>
                    <w:rPr>
                      <w:rFonts w:ascii="Cambria Math" w:hAnsi="Cambria Math"/>
                    </w:rPr>
                    <m:t>meet</m:t>
                  </m:r>
                  <m:r>
                    <m:rPr>
                      <m:sty m:val="p"/>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p w14:paraId="4994131B" w14:textId="535BE27F" w:rsidR="001A3477" w:rsidRDefault="001A3477" w:rsidP="001A3477">
      <w:pPr>
        <w:pStyle w:val="MSubHeader"/>
      </w:pPr>
    </w:p>
    <w:p w14:paraId="50ADD57D" w14:textId="1A1FA0FE" w:rsidR="001A3477" w:rsidRDefault="001A3477" w:rsidP="001A3477">
      <w:pPr>
        <w:pStyle w:val="MSubHeader"/>
      </w:pPr>
      <w:r>
        <w:t>Unit:</w:t>
      </w:r>
    </w:p>
    <w:p w14:paraId="6A89839E" w14:textId="78518E35" w:rsidR="00576CFA" w:rsidRDefault="001960F4" w:rsidP="001A3477">
      <w:pPr>
        <w:pStyle w:val="MText"/>
        <w:rPr>
          <w:sz w:val="23"/>
          <w:szCs w:val="23"/>
        </w:rPr>
      </w:pPr>
      <w:r>
        <w:rPr>
          <w:sz w:val="23"/>
          <w:szCs w:val="23"/>
        </w:rPr>
        <w:t>Percent (</w:t>
      </w:r>
      <w:r w:rsidR="001A3477">
        <w:rPr>
          <w:sz w:val="23"/>
          <w:szCs w:val="23"/>
        </w:rPr>
        <w:t>%</w:t>
      </w:r>
      <w:r>
        <w:rPr>
          <w:sz w:val="23"/>
          <w:szCs w:val="23"/>
        </w:rPr>
        <w:t>)</w:t>
      </w:r>
    </w:p>
    <w:p w14:paraId="2B72E2C5" w14:textId="08E1FE02" w:rsidR="001A3477" w:rsidRDefault="001A3477" w:rsidP="001A3477">
      <w:pPr>
        <w:pStyle w:val="MText"/>
        <w:rPr>
          <w:sz w:val="23"/>
          <w:szCs w:val="23"/>
        </w:rPr>
      </w:pPr>
    </w:p>
    <w:p w14:paraId="7FBF00A8" w14:textId="31CF5E89" w:rsidR="001A3477" w:rsidRDefault="001A3477" w:rsidP="001A3477">
      <w:pPr>
        <w:pStyle w:val="MSubHeader"/>
      </w:pPr>
      <w:r>
        <w:t xml:space="preserve">Disaggregation: </w:t>
      </w:r>
    </w:p>
    <w:p w14:paraId="5D892D88" w14:textId="03D9406F" w:rsidR="001A3477" w:rsidRDefault="001A3477" w:rsidP="00EE5E18">
      <w:pPr>
        <w:pStyle w:val="MText"/>
        <w:numPr>
          <w:ilvl w:val="0"/>
          <w:numId w:val="18"/>
        </w:numPr>
      </w:pPr>
      <w:r>
        <w:t xml:space="preserve">In addition to reporting Indicator 5.c.1 as described </w:t>
      </w:r>
      <w:r w:rsidR="00532735">
        <w:t>above;</w:t>
      </w:r>
      <w:r>
        <w:t xml:space="preserve"> the following two country classification global proportions will also be reported:</w:t>
      </w:r>
    </w:p>
    <w:p w14:paraId="72A4A806" w14:textId="10B7B913" w:rsidR="001A3477" w:rsidRDefault="001A3477" w:rsidP="001A3477">
      <w:pPr>
        <w:pStyle w:val="MText"/>
      </w:pPr>
      <w:r>
        <w:rPr>
          <w:noProof/>
        </w:rPr>
        <mc:AlternateContent>
          <mc:Choice Requires="wps">
            <w:drawing>
              <wp:anchor distT="0" distB="0" distL="114300" distR="114300" simplePos="0" relativeHeight="251657216" behindDoc="0" locked="0" layoutInCell="1" allowOverlap="1" wp14:anchorId="2114E360" wp14:editId="175CB3A9">
                <wp:simplePos x="0" y="0"/>
                <wp:positionH relativeFrom="column">
                  <wp:posOffset>666750</wp:posOffset>
                </wp:positionH>
                <wp:positionV relativeFrom="paragraph">
                  <wp:posOffset>59055</wp:posOffset>
                </wp:positionV>
                <wp:extent cx="4346575" cy="453390"/>
                <wp:effectExtent l="0" t="0" r="0" b="0"/>
                <wp:wrapNone/>
                <wp:docPr id="2" name="Rectangle 2"/>
                <wp:cNvGraphicFramePr/>
                <a:graphic xmlns:a="http://schemas.openxmlformats.org/drawingml/2006/main">
                  <a:graphicData uri="http://schemas.microsoft.com/office/word/2010/wordprocessingShape">
                    <wps:wsp>
                      <wps:cNvSpPr/>
                      <wps:spPr>
                        <a:xfrm>
                          <a:off x="0" y="0"/>
                          <a:ext cx="4346575" cy="453390"/>
                        </a:xfrm>
                        <a:prstGeom prst="rect">
                          <a:avLst/>
                        </a:prstGeom>
                      </wps:spPr>
                      <wps:txbx>
                        <w:txbxContent>
                          <w:p w14:paraId="04E26E0D" w14:textId="77777777" w:rsidR="001A3477" w:rsidRDefault="000D1527" w:rsidP="001A3477">
                            <w:pPr>
                              <w:pStyle w:val="MText"/>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do</m:t>
                                        </m:r>
                                        <m:r>
                                          <m:rPr>
                                            <m:sty m:val="b"/>
                                          </m:rPr>
                                          <w:rPr>
                                            <w:rFonts w:ascii="Cambria Math" w:hAnsi="Cambria Math"/>
                                          </w:rPr>
                                          <m:t xml:space="preserve"> </m:t>
                                        </m:r>
                                        <m:r>
                                          <m:rPr>
                                            <m:sty m:val="bi"/>
                                          </m:rPr>
                                          <w:rPr>
                                            <w:rFonts w:ascii="Cambria Math" w:hAnsi="Cambria Math"/>
                                          </w:rPr>
                                          <m:t>not</m:t>
                                        </m:r>
                                        <m:r>
                                          <m:rPr>
                                            <m:sty m:val="b"/>
                                          </m:rPr>
                                          <w:rPr>
                                            <w:rFonts w:ascii="Cambria Math" w:hAnsi="Cambria Math"/>
                                          </w:rPr>
                                          <m:t xml:space="preserve"> </m:t>
                                        </m:r>
                                        <m:r>
                                          <m:rPr>
                                            <m:sty m:val="bi"/>
                                          </m:rPr>
                                          <w:rPr>
                                            <w:rFonts w:ascii="Cambria Math" w:hAnsi="Cambria Math"/>
                                          </w:rPr>
                                          <m:t>meet</m:t>
                                        </m:r>
                                        <m:r>
                                          <m:rPr>
                                            <m:sty m:val="b"/>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2114E360" id="Rectangle 2" o:spid="_x0000_s1026" style="position:absolute;margin-left:52.5pt;margin-top:4.65pt;width:342.25pt;height:3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" filled="f" stroked="f">
                <v:textbox style="mso-fit-shape-to-text:t">
                  <w:txbxContent>
                    <w:p w14:paraId="04E26E0D" w14:textId="77777777" w:rsidR="001A3477" w:rsidRDefault="000D1527" w:rsidP="001A3477">
                      <w:pPr>
                        <w:pStyle w:val="MText"/>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do</m:t>
                                  </m:r>
                                  <m:r>
                                    <m:rPr>
                                      <m:sty m:val="b"/>
                                    </m:rPr>
                                    <w:rPr>
                                      <w:rFonts w:ascii="Cambria Math" w:hAnsi="Cambria Math"/>
                                    </w:rPr>
                                    <m:t xml:space="preserve"> </m:t>
                                  </m:r>
                                  <m:r>
                                    <m:rPr>
                                      <m:sty m:val="bi"/>
                                    </m:rPr>
                                    <w:rPr>
                                      <w:rFonts w:ascii="Cambria Math" w:hAnsi="Cambria Math"/>
                                    </w:rPr>
                                    <m:t>not</m:t>
                                  </m:r>
                                  <m:r>
                                    <m:rPr>
                                      <m:sty m:val="b"/>
                                    </m:rPr>
                                    <w:rPr>
                                      <w:rFonts w:ascii="Cambria Math" w:hAnsi="Cambria Math"/>
                                    </w:rPr>
                                    <m:t xml:space="preserve"> </m:t>
                                  </m:r>
                                  <m:r>
                                    <m:rPr>
                                      <m:sty m:val="bi"/>
                                    </m:rPr>
                                    <w:rPr>
                                      <w:rFonts w:ascii="Cambria Math" w:hAnsi="Cambria Math"/>
                                    </w:rPr>
                                    <m:t>meet</m:t>
                                  </m:r>
                                  <m:r>
                                    <m:rPr>
                                      <m:sty m:val="b"/>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963AACC" wp14:editId="6FE29CA7">
                <wp:simplePos x="0" y="0"/>
                <wp:positionH relativeFrom="column">
                  <wp:posOffset>570865</wp:posOffset>
                </wp:positionH>
                <wp:positionV relativeFrom="paragraph">
                  <wp:posOffset>631190</wp:posOffset>
                </wp:positionV>
                <wp:extent cx="4733925" cy="453390"/>
                <wp:effectExtent l="0" t="0" r="0" b="0"/>
                <wp:wrapNone/>
                <wp:docPr id="20" name="Rectangle 20"/>
                <wp:cNvGraphicFramePr/>
                <a:graphic xmlns:a="http://schemas.openxmlformats.org/drawingml/2006/main">
                  <a:graphicData uri="http://schemas.microsoft.com/office/word/2010/wordprocessingShape">
                    <wps:wsp>
                      <wps:cNvSpPr/>
                      <wps:spPr>
                        <a:xfrm>
                          <a:off x="0" y="0"/>
                          <a:ext cx="4733925" cy="453390"/>
                        </a:xfrm>
                        <a:prstGeom prst="rect">
                          <a:avLst/>
                        </a:prstGeom>
                      </wps:spPr>
                      <wps:txbx>
                        <w:txbxContent>
                          <w:p w14:paraId="2C7C9F8F" w14:textId="77777777" w:rsidR="001A3477" w:rsidRDefault="000D1527" w:rsidP="001A3477">
                            <w:pPr>
                              <w:pStyle w:val="MText"/>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approach</m:t>
                                        </m:r>
                                        <m:r>
                                          <m:rPr>
                                            <m:sty m:val="b"/>
                                          </m:rPr>
                                          <w:rPr>
                                            <w:rFonts w:ascii="Cambria Math" w:hAnsi="Cambria Math"/>
                                          </w:rPr>
                                          <m:t xml:space="preserve"> </m:t>
                                        </m:r>
                                        <m:r>
                                          <w:rPr>
                                            <w:rFonts w:ascii="Cambria Math" w:hAnsi="Cambria Math"/>
                                          </w:rPr>
                                          <m:t>approach</m:t>
                                        </m:r>
                                        <m:r>
                                          <m:rPr>
                                            <m:sty m:val="p"/>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w14:anchorId="3963AACC" id="Rectangle 20" o:spid="_x0000_s1027" style="position:absolute;margin-left:44.95pt;margin-top:49.7pt;width:372.75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" filled="f" stroked="f">
                <v:textbox style="mso-fit-shape-to-text:t">
                  <w:txbxContent>
                    <w:p w14:paraId="2C7C9F8F" w14:textId="77777777" w:rsidR="001A3477" w:rsidRDefault="000D1527" w:rsidP="001A3477">
                      <w:pPr>
                        <w:pStyle w:val="MText"/>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that</m:t>
                                  </m:r>
                                  <m:r>
                                    <m:rPr>
                                      <m:sty m:val="p"/>
                                    </m:rPr>
                                    <w:rPr>
                                      <w:rFonts w:ascii="Cambria Math" w:hAnsi="Cambria Math"/>
                                    </w:rPr>
                                    <m:t xml:space="preserve"> </m:t>
                                  </m:r>
                                  <m:r>
                                    <m:rPr>
                                      <m:sty m:val="bi"/>
                                    </m:rPr>
                                    <w:rPr>
                                      <w:rFonts w:ascii="Cambria Math" w:hAnsi="Cambria Math"/>
                                    </w:rPr>
                                    <m:t>approach</m:t>
                                  </m:r>
                                  <m:r>
                                    <m:rPr>
                                      <m:sty m:val="b"/>
                                    </m:rPr>
                                    <w:rPr>
                                      <w:rFonts w:ascii="Cambria Math" w:hAnsi="Cambria Math"/>
                                    </w:rPr>
                                    <m:t xml:space="preserve"> </m:t>
                                  </m:r>
                                  <m:r>
                                    <w:rPr>
                                      <w:rFonts w:ascii="Cambria Math" w:hAnsi="Cambria Math"/>
                                    </w:rPr>
                                    <m:t>approach</m:t>
                                  </m:r>
                                  <m:r>
                                    <m:rPr>
                                      <m:sty m:val="p"/>
                                    </m:rPr>
                                    <w:rPr>
                                      <w:rFonts w:ascii="Cambria Math" w:hAnsi="Cambria Math"/>
                                    </w:rPr>
                                    <m:t xml:space="preserve"> </m:t>
                                  </m:r>
                                  <m:r>
                                    <w:rPr>
                                      <w:rFonts w:ascii="Cambria Math" w:hAnsi="Cambria Math"/>
                                    </w:rPr>
                                    <m:t>requirements</m:t>
                                  </m:r>
                                  <m:r>
                                    <m:rPr>
                                      <m:sty m:val="p"/>
                                    </m:rPr>
                                    <w:rPr>
                                      <w:rFonts w:ascii="Cambria Math" w:hAnsi="Cambria Math"/>
                                    </w:rPr>
                                    <m:t xml:space="preserve">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den>
                          </m:f>
                        </m:oMath>
                      </m:oMathPara>
                    </w:p>
                  </w:txbxContent>
                </v:textbox>
              </v:rect>
            </w:pict>
          </mc:Fallback>
        </mc:AlternateContent>
      </w:r>
    </w:p>
    <w:p w14:paraId="31CEE46B" w14:textId="7343B5C3" w:rsidR="001A3477" w:rsidRDefault="001A3477" w:rsidP="001A3477">
      <w:pPr>
        <w:pStyle w:val="MText"/>
      </w:pPr>
    </w:p>
    <w:p w14:paraId="691DA89F" w14:textId="07A0EBF6" w:rsidR="001A3477" w:rsidRDefault="001A3477" w:rsidP="001A3477">
      <w:pPr>
        <w:pStyle w:val="MText"/>
      </w:pPr>
    </w:p>
    <w:p w14:paraId="31DACE1A" w14:textId="4388E20E" w:rsidR="001A3477" w:rsidRDefault="001A3477" w:rsidP="001A3477">
      <w:pPr>
        <w:pStyle w:val="MText"/>
      </w:pPr>
    </w:p>
    <w:p w14:paraId="32219C54" w14:textId="75551AEF" w:rsidR="001A3477" w:rsidRDefault="001A3477" w:rsidP="001A3477">
      <w:pPr>
        <w:pStyle w:val="MText"/>
      </w:pPr>
    </w:p>
    <w:p w14:paraId="4E771709" w14:textId="5CF73996" w:rsidR="001A3477" w:rsidRDefault="001A3477" w:rsidP="001A3477">
      <w:pPr>
        <w:pStyle w:val="MText"/>
      </w:pPr>
    </w:p>
    <w:p w14:paraId="49BB89EA" w14:textId="13690596" w:rsidR="001A3477" w:rsidRDefault="001A3477" w:rsidP="001A3477">
      <w:pPr>
        <w:pStyle w:val="MText"/>
      </w:pPr>
    </w:p>
    <w:p w14:paraId="3AA6A116" w14:textId="4EAC281F" w:rsidR="001A3477" w:rsidRDefault="001A3477" w:rsidP="00EE5E18">
      <w:pPr>
        <w:pStyle w:val="MText"/>
        <w:numPr>
          <w:ilvl w:val="0"/>
          <w:numId w:val="18"/>
        </w:numPr>
      </w:pPr>
      <w:r>
        <w:t>Additional disaggregation by region as follows:</w:t>
      </w:r>
    </w:p>
    <w:p w14:paraId="257EA2FC" w14:textId="3D8C0FA5" w:rsidR="001A3477" w:rsidRDefault="001A3477" w:rsidP="001A3477">
      <w:pPr>
        <w:pStyle w:val="ListParagraph"/>
        <w:spacing w:after="0"/>
        <w:jc w:val="both"/>
        <w:rPr>
          <w:rFonts w:cstheme="minorHAnsi"/>
          <w:b/>
        </w:rPr>
      </w:pPr>
    </w:p>
    <w:p w14:paraId="063F56CC" w14:textId="3577D412" w:rsidR="001A3477" w:rsidRDefault="001A3477" w:rsidP="001A3477">
      <w:pPr>
        <w:pStyle w:val="MText"/>
      </w:pPr>
      <w:r>
        <w:rPr>
          <w:noProof/>
        </w:rPr>
        <mc:AlternateContent>
          <mc:Choice Requires="wps">
            <w:drawing>
              <wp:inline distT="0" distB="0" distL="0" distR="0" wp14:anchorId="3F9C348B" wp14:editId="0140E7A2">
                <wp:extent cx="4857750" cy="453390"/>
                <wp:effectExtent l="0" t="0" r="0" b="381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CE271" w14:textId="77777777" w:rsidR="001A3477" w:rsidRDefault="000D1527" w:rsidP="001A3477">
                            <w:pPr>
                              <w:pStyle w:val="MText"/>
                              <w:jc w:val="center"/>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m:rPr>
                                            <m:sty m:val="bi"/>
                                          </m:rPr>
                                          <w:rPr>
                                            <w:rFonts w:ascii="Cambria Math" w:hAnsi="Cambria Math"/>
                                          </w:rPr>
                                          <m:t>region</m:t>
                                        </m:r>
                                        <m:r>
                                          <m:rPr>
                                            <m:sty m:val="b"/>
                                          </m:rPr>
                                          <w:rPr>
                                            <w:rFonts w:ascii="Cambria Math" w:hAnsi="Cambria Math"/>
                                          </w:rPr>
                                          <m:t xml:space="preserve"> </m:t>
                                        </m:r>
                                        <m:r>
                                          <m:rPr>
                                            <m:sty m:val="bi"/>
                                          </m:rPr>
                                          <w:rPr>
                                            <w:rFonts w:ascii="Cambria Math" w:hAnsi="Cambria Math"/>
                                          </w:rPr>
                                          <m:t>x</m:t>
                                        </m:r>
                                        <m:r>
                                          <m:rPr>
                                            <m:sty m:val="b"/>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country</m:t>
                                        </m:r>
                                        <m:r>
                                          <m:rPr>
                                            <m:sty m:val="p"/>
                                          </m:rPr>
                                          <w:rPr>
                                            <w:rFonts w:ascii="Cambria Math" w:hAnsi="Cambria Math"/>
                                          </w:rPr>
                                          <m:t xml:space="preserve"> </m:t>
                                        </m:r>
                                        <m:r>
                                          <m:rPr>
                                            <m:sty m:val="bi"/>
                                          </m:rPr>
                                          <w:rPr>
                                            <w:rFonts w:ascii="Cambria Math" w:hAnsi="Cambria Math"/>
                                          </w:rPr>
                                          <m:t>classification</m:t>
                                        </m:r>
                                        <m:r>
                                          <m:rPr>
                                            <m:sty m:val="b"/>
                                          </m:rPr>
                                          <w:rPr>
                                            <w:rFonts w:ascii="Cambria Math" w:hAnsi="Cambria Math"/>
                                          </w:rPr>
                                          <m:t xml:space="preserve"> y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m:rPr>
                                        <m:sty m:val="bi"/>
                                      </m:rPr>
                                      <w:rPr>
                                        <w:rFonts w:ascii="Cambria Math" w:hAnsi="Cambria Math"/>
                                      </w:rPr>
                                      <m:t>region</m:t>
                                    </m:r>
                                    <m:r>
                                      <m:rPr>
                                        <m:sty m:val="b"/>
                                      </m:rPr>
                                      <w:rPr>
                                        <w:rFonts w:ascii="Cambria Math" w:hAnsi="Cambria Math"/>
                                      </w:rPr>
                                      <m:t xml:space="preserve"> </m:t>
                                    </m:r>
                                    <m:r>
                                      <m:rPr>
                                        <m:sty m:val="bi"/>
                                      </m:rPr>
                                      <w:rPr>
                                        <w:rFonts w:ascii="Cambria Math" w:hAnsi="Cambria Math"/>
                                      </w:rPr>
                                      <m:t>x</m:t>
                                    </m:r>
                                  </m:den>
                                </m:f>
                              </m:oMath>
                            </m:oMathPara>
                          </w:p>
                        </w:txbxContent>
                      </wps:txbx>
                      <wps:bodyPr rot="0" vert="horz" wrap="square" lIns="91440" tIns="45720" rIns="91440" bIns="45720" anchor="t" anchorCtr="0" upright="1">
                        <a:spAutoFit/>
                      </wps:bodyPr>
                    </wps:wsp>
                  </a:graphicData>
                </a:graphic>
              </wp:inline>
            </w:drawing>
          </mc:Choice>
          <mc:Fallback>
            <w:pict>
              <v:rect w14:anchorId="3F9C348B" id="Rectangle 1" o:spid="_x0000_s1028" style="width:382.5pt;height: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" filled="f" stroked="f">
                <v:textbox style="mso-fit-shape-to-text:t">
                  <w:txbxContent>
                    <w:p w14:paraId="19CCE271" w14:textId="77777777" w:rsidR="001A3477" w:rsidRDefault="000D1527" w:rsidP="001A3477">
                      <w:pPr>
                        <w:pStyle w:val="MText"/>
                        <w:jc w:val="center"/>
                      </w:pPr>
                      <m:oMathPara>
                        <m:oMathParaPr>
                          <m:jc m:val="centerGroup"/>
                        </m:oMathParaPr>
                        <m:oMath>
                          <m:f>
                            <m:fPr>
                              <m:ctrlPr>
                                <w:rPr>
                                  <w:rFonts w:ascii="Cambria Math" w:hAnsi="Cambria Math"/>
                                  <w:iCs/>
                                </w:rPr>
                              </m:ctrlPr>
                            </m:fPr>
                            <m:num>
                              <m:d>
                                <m:dPr>
                                  <m:ctrlPr>
                                    <w:rPr>
                                      <w:rFonts w:ascii="Cambria Math" w:hAnsi="Cambria Math"/>
                                      <w:iCs/>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m:rPr>
                                      <m:sty m:val="bi"/>
                                    </m:rPr>
                                    <w:rPr>
                                      <w:rFonts w:ascii="Cambria Math" w:hAnsi="Cambria Math"/>
                                    </w:rPr>
                                    <m:t>region</m:t>
                                  </m:r>
                                  <m:r>
                                    <m:rPr>
                                      <m:sty m:val="b"/>
                                    </m:rPr>
                                    <w:rPr>
                                      <w:rFonts w:ascii="Cambria Math" w:hAnsi="Cambria Math"/>
                                    </w:rPr>
                                    <m:t xml:space="preserve"> </m:t>
                                  </m:r>
                                  <m:r>
                                    <m:rPr>
                                      <m:sty m:val="bi"/>
                                    </m:rPr>
                                    <w:rPr>
                                      <w:rFonts w:ascii="Cambria Math" w:hAnsi="Cambria Math"/>
                                    </w:rPr>
                                    <m:t>x</m:t>
                                  </m:r>
                                  <m:r>
                                    <m:rPr>
                                      <m:sty m:val="b"/>
                                    </m:rPr>
                                    <w:rPr>
                                      <w:rFonts w:ascii="Cambria Math" w:hAnsi="Cambria Math"/>
                                    </w:rPr>
                                    <m:t xml:space="preserve"> </m:t>
                                  </m:r>
                                  <m:r>
                                    <w:rPr>
                                      <w:rFonts w:ascii="Cambria Math" w:hAnsi="Cambria Math"/>
                                    </w:rPr>
                                    <m:t>with</m:t>
                                  </m:r>
                                  <m:r>
                                    <m:rPr>
                                      <m:sty m:val="p"/>
                                    </m:rPr>
                                    <w:rPr>
                                      <w:rFonts w:ascii="Cambria Math" w:hAnsi="Cambria Math"/>
                                    </w:rPr>
                                    <m:t xml:space="preserve"> </m:t>
                                  </m:r>
                                  <m:r>
                                    <w:rPr>
                                      <w:rFonts w:ascii="Cambria Math" w:hAnsi="Cambria Math"/>
                                    </w:rPr>
                                    <m:t>country</m:t>
                                  </m:r>
                                  <m:r>
                                    <m:rPr>
                                      <m:sty m:val="p"/>
                                    </m:rPr>
                                    <w:rPr>
                                      <w:rFonts w:ascii="Cambria Math" w:hAnsi="Cambria Math"/>
                                    </w:rPr>
                                    <m:t xml:space="preserve"> </m:t>
                                  </m:r>
                                  <m:r>
                                    <m:rPr>
                                      <m:sty m:val="bi"/>
                                    </m:rPr>
                                    <w:rPr>
                                      <w:rFonts w:ascii="Cambria Math" w:hAnsi="Cambria Math"/>
                                    </w:rPr>
                                    <m:t>classification</m:t>
                                  </m:r>
                                  <m:r>
                                    <m:rPr>
                                      <m:sty m:val="b"/>
                                    </m:rPr>
                                    <w:rPr>
                                      <w:rFonts w:ascii="Cambria Math" w:hAnsi="Cambria Math"/>
                                    </w:rPr>
                                    <m:t xml:space="preserve"> y </m:t>
                                  </m:r>
                                </m:e>
                              </m:d>
                              <m:r>
                                <m:rPr>
                                  <m:sty m:val="p"/>
                                </m:rPr>
                                <w:rPr>
                                  <w:rFonts w:ascii="Cambria Math" w:hAnsi="Cambria Math"/>
                                </w:rPr>
                                <m:t>×100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countries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m:rPr>
                                  <m:sty m:val="bi"/>
                                </m:rPr>
                                <w:rPr>
                                  <w:rFonts w:ascii="Cambria Math" w:hAnsi="Cambria Math"/>
                                </w:rPr>
                                <m:t>region</m:t>
                              </m:r>
                              <m:r>
                                <m:rPr>
                                  <m:sty m:val="b"/>
                                </m:rPr>
                                <w:rPr>
                                  <w:rFonts w:ascii="Cambria Math" w:hAnsi="Cambria Math"/>
                                </w:rPr>
                                <m:t xml:space="preserve"> </m:t>
                              </m:r>
                              <m:r>
                                <m:rPr>
                                  <m:sty m:val="bi"/>
                                </m:rPr>
                                <w:rPr>
                                  <w:rFonts w:ascii="Cambria Math" w:hAnsi="Cambria Math"/>
                                </w:rPr>
                                <m:t>x</m:t>
                              </m:r>
                            </m:den>
                          </m:f>
                        </m:oMath>
                      </m:oMathPara>
                    </w:p>
                  </w:txbxContent>
                </v:textbox>
                <w10:anchorlock/>
              </v:rect>
            </w:pict>
          </mc:Fallback>
        </mc:AlternateContent>
      </w:r>
    </w:p>
    <w:p w14:paraId="46F17AE5" w14:textId="510F7FAB" w:rsidR="001A3477" w:rsidRDefault="001A3477" w:rsidP="001A3477">
      <w:pPr>
        <w:pStyle w:val="MText"/>
      </w:pPr>
    </w:p>
    <w:p w14:paraId="3904722B" w14:textId="249D5283" w:rsidR="001A3477" w:rsidRDefault="001A3477" w:rsidP="001A3477">
      <w:pPr>
        <w:pStyle w:val="MText"/>
      </w:pPr>
      <w:r>
        <w:t xml:space="preserve">Where </w:t>
      </w:r>
      <w:r>
        <w:rPr>
          <w:b/>
          <w:bCs/>
          <w:i/>
          <w:iCs/>
        </w:rPr>
        <w:t>x</w:t>
      </w:r>
      <w:r>
        <w:t xml:space="preserve"> refers to the region of analysis and </w:t>
      </w:r>
      <w:r>
        <w:rPr>
          <w:b/>
          <w:bCs/>
          <w:i/>
          <w:iCs/>
        </w:rPr>
        <w:t>y</w:t>
      </w:r>
      <w:r>
        <w:t xml:space="preserve"> refers to the country classification based on the questionnaire.</w:t>
      </w:r>
    </w:p>
    <w:p w14:paraId="097011D5" w14:textId="77777777" w:rsidR="001A3477" w:rsidRPr="00A96255" w:rsidRDefault="001A3477" w:rsidP="001A3477">
      <w:pPr>
        <w:pStyle w:val="MText"/>
      </w:pPr>
    </w:p>
    <w:p w14:paraId="514CE3C0" w14:textId="73BBCE1B" w:rsidR="00E1050F" w:rsidRPr="00A96255" w:rsidRDefault="00576CFA" w:rsidP="00F719A8">
      <w:pPr>
        <w:pStyle w:val="MHeader2"/>
      </w:pPr>
      <w:r w:rsidRPr="00A96255">
        <w:t xml:space="preserve">4.d. Validation </w:t>
      </w:r>
      <w:r>
        <w:rPr>
          <w:color w:val="B4B4B4"/>
          <w:sz w:val="20"/>
        </w:rPr>
        <w:t>(DATA_VALIDATION)</w:t>
      </w:r>
    </w:p>
    <w:p w14:paraId="49CB8337" w14:textId="0B49099B" w:rsidR="00EC2915" w:rsidRDefault="008F773D" w:rsidP="00576CFA">
      <w:pPr>
        <w:pStyle w:val="MText"/>
      </w:pPr>
      <w:r>
        <w:t xml:space="preserve">Guidance and instructions for reporting on the indicator recommend coordination between </w:t>
      </w:r>
      <w:r w:rsidR="00E7239A">
        <w:t xml:space="preserve">the </w:t>
      </w:r>
      <w:r>
        <w:t xml:space="preserve">Ministry of Finance, national women’s machineries and/or national statistical institution. </w:t>
      </w:r>
      <w:r w:rsidR="00C4269E">
        <w:t>The validation process is led by country governments, in-line with existing standards and mechanisms. UN Women, as lead custodian, supports validation through review of questionnaire submission</w:t>
      </w:r>
      <w:r w:rsidR="0068396B">
        <w:t>s</w:t>
      </w:r>
      <w:r w:rsidR="00C4269E">
        <w:t xml:space="preserve"> and direct follow</w:t>
      </w:r>
      <w:r w:rsidR="007251FE">
        <w:t>-</w:t>
      </w:r>
      <w:r w:rsidR="00C4269E">
        <w:t>up with government focal points</w:t>
      </w:r>
      <w:r w:rsidR="009D1075">
        <w:t xml:space="preserve">. Further, qualitative data is requested to support </w:t>
      </w:r>
      <w:r w:rsidR="0068396B">
        <w:t xml:space="preserve">the </w:t>
      </w:r>
      <w:r w:rsidR="009D1075">
        <w:t xml:space="preserve">validation of ‘yes’ responses by a country. </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7179A61F" w:rsidR="00E1050F" w:rsidRPr="00A96255" w:rsidRDefault="00E1050F" w:rsidP="00F719A8">
      <w:pPr>
        <w:pStyle w:val="MHeader2"/>
      </w:pPr>
      <w:r w:rsidRPr="00A96255">
        <w:t xml:space="preserve">4.e. Adjustments </w:t>
      </w:r>
      <w:r>
        <w:rPr>
          <w:color w:val="B4B4B4"/>
          <w:sz w:val="20"/>
        </w:rPr>
        <w:t>(ADJUSTMENT)</w:t>
      </w:r>
    </w:p>
    <w:p w14:paraId="5032CC5E" w14:textId="0FD7B99E" w:rsidR="00576CFA" w:rsidRPr="00A96255" w:rsidRDefault="008265ED" w:rsidP="00576CFA">
      <w:pPr>
        <w:pStyle w:val="MText"/>
      </w:pPr>
      <w:r>
        <w:t>Not applicable</w:t>
      </w:r>
    </w:p>
    <w:p w14:paraId="7FBAEBBA" w14:textId="77777777" w:rsidR="00EC2915" w:rsidRPr="00A96255" w:rsidRDefault="00EC2915" w:rsidP="00576CFA">
      <w:pPr>
        <w:pStyle w:val="MText"/>
      </w:pPr>
    </w:p>
    <w:p w14:paraId="17735630" w14:textId="62E6D74A" w:rsidR="00E1050F" w:rsidRPr="00A96255" w:rsidRDefault="00576CFA" w:rsidP="00F719A8">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6A8CB84A" w14:textId="77777777" w:rsidR="001A3477" w:rsidRPr="00EE5E18" w:rsidRDefault="001A3477" w:rsidP="001A3477">
      <w:pPr>
        <w:pStyle w:val="MText"/>
        <w:rPr>
          <w:b/>
          <w:bCs/>
        </w:rPr>
      </w:pPr>
      <w:r w:rsidRPr="00EE5E18">
        <w:rPr>
          <w:b/>
          <w:bCs/>
        </w:rPr>
        <w:t>•</w:t>
      </w:r>
      <w:r w:rsidRPr="00EE5E18">
        <w:rPr>
          <w:b/>
          <w:bCs/>
        </w:rPr>
        <w:tab/>
        <w:t>At country level</w:t>
      </w:r>
    </w:p>
    <w:p w14:paraId="3386E6FE" w14:textId="086CE9AA" w:rsidR="001A3477" w:rsidRDefault="001A3477" w:rsidP="001A3477">
      <w:pPr>
        <w:pStyle w:val="MText"/>
      </w:pPr>
      <w:r>
        <w:t>Not Imputed</w:t>
      </w:r>
    </w:p>
    <w:p w14:paraId="554CD84D" w14:textId="77777777" w:rsidR="00882D78" w:rsidRDefault="00882D78" w:rsidP="001A3477">
      <w:pPr>
        <w:pStyle w:val="MText"/>
      </w:pPr>
    </w:p>
    <w:p w14:paraId="59587EA1" w14:textId="77777777" w:rsidR="001A3477" w:rsidRPr="00EE5E18" w:rsidRDefault="001A3477" w:rsidP="001A3477">
      <w:pPr>
        <w:pStyle w:val="MText"/>
        <w:rPr>
          <w:b/>
          <w:bCs/>
        </w:rPr>
      </w:pPr>
      <w:r w:rsidRPr="00EE5E18">
        <w:rPr>
          <w:b/>
          <w:bCs/>
        </w:rPr>
        <w:t>•</w:t>
      </w:r>
      <w:r w:rsidRPr="00EE5E18">
        <w:rPr>
          <w:b/>
          <w:bCs/>
        </w:rPr>
        <w:tab/>
        <w:t>At regional and global levels</w:t>
      </w:r>
    </w:p>
    <w:p w14:paraId="04748E1F" w14:textId="32FED6F5" w:rsidR="00D51E7C" w:rsidRDefault="001A3477" w:rsidP="001A3477">
      <w:pPr>
        <w:pStyle w:val="MText"/>
      </w:pPr>
      <w:r>
        <w:t>Not Imputed</w:t>
      </w:r>
    </w:p>
    <w:p w14:paraId="27033367" w14:textId="77777777" w:rsidR="00EC2915" w:rsidRPr="00A96255" w:rsidRDefault="00EC2915" w:rsidP="00576CFA">
      <w:pPr>
        <w:pStyle w:val="MText"/>
      </w:pPr>
    </w:p>
    <w:p w14:paraId="51FCD280" w14:textId="4CDE1E9A"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754F538A" w14:textId="77777777" w:rsidR="00874876" w:rsidRPr="00A96255" w:rsidRDefault="00874876" w:rsidP="00874876">
      <w:pPr>
        <w:pStyle w:val="MText"/>
      </w:pPr>
      <w:r w:rsidRPr="00874876">
        <w:t>Global aggregates are weighted averages of all the sub-regions that make up the world. Regional aggregates are weighted averages of all the countries within the region.</w:t>
      </w:r>
    </w:p>
    <w:p w14:paraId="68DBB714" w14:textId="0C024645" w:rsidR="007A349B" w:rsidRPr="00A96255" w:rsidRDefault="007A349B" w:rsidP="00E1050F">
      <w:pPr>
        <w:pStyle w:val="MText"/>
      </w:pPr>
      <w:r>
        <w:t>Country</w:t>
      </w:r>
      <w:r w:rsidR="009F7625">
        <w:t>-</w:t>
      </w:r>
      <w:r>
        <w:t>level data are updated on a periodic basis. Where data are not updated, the last reported year may be used for the global and</w:t>
      </w:r>
      <w:r w:rsidR="003D1B7F">
        <w:t>/or</w:t>
      </w:r>
      <w:r>
        <w:t xml:space="preserve"> regional aggregates. </w:t>
      </w:r>
    </w:p>
    <w:p w14:paraId="2EA010B7" w14:textId="77777777" w:rsidR="00EC2915" w:rsidRPr="00A96255" w:rsidRDefault="00EC2915" w:rsidP="00576CFA">
      <w:pPr>
        <w:pStyle w:val="MText"/>
      </w:pPr>
    </w:p>
    <w:p w14:paraId="71213FF2" w14:textId="082A9294"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18F9797D" w14:textId="7C88C699" w:rsidR="001255A2" w:rsidRPr="00A96255" w:rsidRDefault="00874876" w:rsidP="00576CFA">
      <w:pPr>
        <w:pStyle w:val="MText"/>
      </w:pPr>
      <w:r>
        <w:t>M</w:t>
      </w:r>
      <w:r w:rsidR="001255A2">
        <w:t>ethodology used by countries for the compilation of the data at the national level</w:t>
      </w:r>
      <w:r>
        <w:t>: q</w:t>
      </w:r>
      <w:r w:rsidR="001255A2">
        <w:t>uestionnair</w:t>
      </w:r>
      <w:r>
        <w:t>e</w:t>
      </w:r>
      <w:r w:rsidR="001255A2">
        <w:t xml:space="preserve"> with </w:t>
      </w:r>
      <w:r w:rsidR="00E6015F">
        <w:t>monitoring</w:t>
      </w:r>
      <w:r w:rsidR="001255A2">
        <w:t xml:space="preserve"> guidance</w:t>
      </w:r>
      <w:r w:rsidR="00E6015F">
        <w:t xml:space="preserve"> that includes </w:t>
      </w:r>
      <w:r w:rsidR="001255A2">
        <w:t>definitions and instructions.</w:t>
      </w:r>
    </w:p>
    <w:p w14:paraId="2939895F" w14:textId="77777777" w:rsidR="00EC2915" w:rsidRPr="00A96255" w:rsidRDefault="00EC2915" w:rsidP="00576CFA">
      <w:pPr>
        <w:pStyle w:val="MText"/>
      </w:pPr>
    </w:p>
    <w:p w14:paraId="494C36E8" w14:textId="6445F14F"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5484B16D" w14:textId="0012EEFF" w:rsidR="00EC2915" w:rsidRDefault="00C31EB9" w:rsidP="00576CFA">
      <w:pPr>
        <w:pStyle w:val="MText"/>
      </w:pPr>
      <w:r>
        <w:t xml:space="preserve"> See 4.d on validation</w:t>
      </w:r>
    </w:p>
    <w:p w14:paraId="71676B20" w14:textId="77777777" w:rsidR="00882D78" w:rsidRPr="00A96255" w:rsidRDefault="00882D78" w:rsidP="00576CFA">
      <w:pPr>
        <w:pStyle w:val="MText"/>
      </w:pPr>
    </w:p>
    <w:p w14:paraId="17B979CA" w14:textId="6A475F18" w:rsidR="00E1050F" w:rsidRPr="00A96255" w:rsidRDefault="00E1050F" w:rsidP="00F719A8">
      <w:pPr>
        <w:pStyle w:val="MHeader2"/>
      </w:pPr>
      <w:r w:rsidRPr="00A96255">
        <w:t xml:space="preserve">4.j Quality assurance </w:t>
      </w:r>
      <w:r>
        <w:rPr>
          <w:color w:val="B4B4B4"/>
          <w:sz w:val="20"/>
        </w:rPr>
        <w:t>(QUALITY_ASSURE)</w:t>
      </w:r>
    </w:p>
    <w:p w14:paraId="7E6B04E3" w14:textId="4321F5D5" w:rsidR="00576CFA" w:rsidRPr="00A96255" w:rsidRDefault="00063330" w:rsidP="00576CFA">
      <w:pPr>
        <w:pStyle w:val="MText"/>
      </w:pPr>
      <w:r>
        <w:t>See 4.d on validation</w:t>
      </w:r>
    </w:p>
    <w:p w14:paraId="03EF3244" w14:textId="77777777" w:rsidR="00EC2915" w:rsidRPr="00A96255" w:rsidRDefault="00EC2915" w:rsidP="00576CFA">
      <w:pPr>
        <w:pStyle w:val="MText"/>
      </w:pPr>
    </w:p>
    <w:p w14:paraId="34ADD322" w14:textId="4F1812DB"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326EB0AB" w14:textId="30754E61" w:rsidR="00576CFA" w:rsidRPr="00A96255" w:rsidRDefault="004B05A4" w:rsidP="00576CFA">
      <w:pPr>
        <w:pStyle w:val="MText"/>
      </w:pPr>
      <w:r>
        <w:t xml:space="preserve"> See 4.d on validation</w:t>
      </w:r>
    </w:p>
    <w:p w14:paraId="5B7C52CE" w14:textId="77777777" w:rsidR="00576CFA" w:rsidRPr="00A96255" w:rsidRDefault="00576CFA" w:rsidP="00576CFA">
      <w:pPr>
        <w:pStyle w:val="MText"/>
      </w:pPr>
    </w:p>
    <w:p w14:paraId="17787B3C" w14:textId="69982E0D"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488124FD" w:rsidR="00576CFA" w:rsidRPr="00EE5E18" w:rsidRDefault="00D51E7C" w:rsidP="00576CFA">
      <w:pPr>
        <w:pStyle w:val="MText"/>
        <w:rPr>
          <w:b/>
          <w:bCs/>
        </w:rPr>
      </w:pPr>
      <w:r w:rsidRPr="00EE5E18">
        <w:rPr>
          <w:b/>
          <w:bCs/>
        </w:rPr>
        <w:t>Data availability:</w:t>
      </w:r>
    </w:p>
    <w:p w14:paraId="1D74E863" w14:textId="6CDFBB4A" w:rsidR="001A3477" w:rsidRPr="00EE5E18" w:rsidRDefault="001A3477" w:rsidP="00576CFA">
      <w:pPr>
        <w:pStyle w:val="MText"/>
        <w:rPr>
          <w:highlight w:val="cyan"/>
        </w:rPr>
      </w:pPr>
      <w:r w:rsidRPr="001A3477">
        <w:t>As identified in the pilot exercise for Indicator 5.c.1, the information that is collected through administering the questionnaire is readily available by Ministries of Finance and/or Budget Offices.</w:t>
      </w:r>
    </w:p>
    <w:p w14:paraId="2D0542F7" w14:textId="3DE6BFAB" w:rsidR="00D51E7C" w:rsidRPr="00EE5E18" w:rsidRDefault="00D51E7C" w:rsidP="00576CFA">
      <w:pPr>
        <w:pStyle w:val="MText"/>
        <w:rPr>
          <w:highlight w:val="cyan"/>
        </w:rPr>
      </w:pPr>
    </w:p>
    <w:p w14:paraId="5853D6F7" w14:textId="4013B5E3" w:rsidR="00D51E7C" w:rsidRPr="00EE5E18" w:rsidRDefault="00D51E7C" w:rsidP="00576CFA">
      <w:pPr>
        <w:pStyle w:val="MText"/>
        <w:rPr>
          <w:b/>
          <w:bCs/>
        </w:rPr>
      </w:pPr>
      <w:r w:rsidRPr="00EE5E18">
        <w:rPr>
          <w:b/>
          <w:bCs/>
        </w:rPr>
        <w:t>Time series:</w:t>
      </w:r>
    </w:p>
    <w:p w14:paraId="4F358E5F" w14:textId="60A125CA" w:rsidR="00776CAC" w:rsidRPr="00725E47" w:rsidRDefault="00725E47" w:rsidP="00576CFA">
      <w:pPr>
        <w:pStyle w:val="MText"/>
      </w:pPr>
      <w:r w:rsidRPr="00725E47">
        <w:t>First release of data was 2019</w:t>
      </w:r>
    </w:p>
    <w:p w14:paraId="760C013A" w14:textId="4597FCBD" w:rsidR="00D51E7C" w:rsidRPr="00EE5E18" w:rsidRDefault="00D51E7C" w:rsidP="00576CFA">
      <w:pPr>
        <w:pStyle w:val="MText"/>
        <w:rPr>
          <w:highlight w:val="cyan"/>
        </w:rPr>
      </w:pPr>
    </w:p>
    <w:p w14:paraId="72C7C370" w14:textId="5C73C106" w:rsidR="00D51E7C" w:rsidRPr="00EE5E18" w:rsidRDefault="00D51E7C" w:rsidP="00576CFA">
      <w:pPr>
        <w:pStyle w:val="MText"/>
        <w:rPr>
          <w:b/>
          <w:bCs/>
        </w:rPr>
      </w:pPr>
      <w:r w:rsidRPr="00EE5E18">
        <w:rPr>
          <w:b/>
          <w:bCs/>
        </w:rPr>
        <w:t>Disaggregation:</w:t>
      </w:r>
    </w:p>
    <w:p w14:paraId="5FC0F837" w14:textId="4D2078C2" w:rsidR="009E2FB1" w:rsidRDefault="009E2FB1" w:rsidP="00576CFA">
      <w:pPr>
        <w:pStyle w:val="MText"/>
      </w:pPr>
      <w:r>
        <w:t>Not applicable</w:t>
      </w:r>
    </w:p>
    <w:p w14:paraId="42E8CA56" w14:textId="77777777" w:rsidR="00D51E7C" w:rsidRPr="00A96255" w:rsidRDefault="00D51E7C" w:rsidP="00576CFA">
      <w:pPr>
        <w:pStyle w:val="MText"/>
      </w:pPr>
    </w:p>
    <w:p w14:paraId="4D0520F7" w14:textId="0E2BA86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316258C" w14:textId="487B308C" w:rsidR="0050243C" w:rsidRDefault="001A3477" w:rsidP="00882D78">
      <w:pPr>
        <w:pStyle w:val="MText"/>
      </w:pPr>
      <w:r w:rsidRPr="00EE5E18">
        <w:rPr>
          <w:b/>
          <w:bCs/>
        </w:rPr>
        <w:t>Sources of discrepancies:</w:t>
      </w:r>
    </w:p>
    <w:p w14:paraId="3C2D4870" w14:textId="4FCAD33A" w:rsidR="00D51E7C" w:rsidRDefault="001A3477" w:rsidP="001A3477">
      <w:pPr>
        <w:pStyle w:val="MText"/>
      </w:pPr>
      <w:r>
        <w:t>Since data is reported by countries via a validated questionnaire, there should be no discrepancies.</w:t>
      </w:r>
    </w:p>
    <w:p w14:paraId="5AB6DD91" w14:textId="77777777" w:rsidR="00F719A8" w:rsidRPr="00A96255" w:rsidRDefault="00F719A8" w:rsidP="00576CFA">
      <w:pPr>
        <w:pStyle w:val="MText"/>
      </w:pPr>
    </w:p>
    <w:p w14:paraId="76DF099C" w14:textId="3BE83EAD"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31DD87BB" w14:textId="379D9700" w:rsidR="00067B69" w:rsidRDefault="008B786D" w:rsidP="001A3477">
      <w:pPr>
        <w:pStyle w:val="MText"/>
      </w:pPr>
      <w:r>
        <w:t>The Sustainable Development Goals Report 2022 (</w:t>
      </w:r>
      <w:hyperlink r:id="rId13" w:history="1">
        <w:r w:rsidR="0019487D" w:rsidRPr="0019487D">
          <w:rPr>
            <w:rStyle w:val="Hyperlink"/>
          </w:rPr>
          <w:t>Glossy Report</w:t>
        </w:r>
      </w:hyperlink>
      <w:r w:rsidR="0019487D">
        <w:t xml:space="preserve">; </w:t>
      </w:r>
      <w:hyperlink r:id="rId14" w:history="1">
        <w:r w:rsidR="0019487D" w:rsidRPr="0076078E">
          <w:rPr>
            <w:rStyle w:val="Hyperlink"/>
          </w:rPr>
          <w:t>Extended Report</w:t>
        </w:r>
      </w:hyperlink>
      <w:r w:rsidR="0019487D">
        <w:t xml:space="preserve">; </w:t>
      </w:r>
      <w:hyperlink r:id="rId15" w:history="1">
        <w:r w:rsidR="0019487D" w:rsidRPr="00067B69">
          <w:rPr>
            <w:rStyle w:val="Hyperlink"/>
          </w:rPr>
          <w:t>Gender Snapshot</w:t>
        </w:r>
        <w:r w:rsidR="0076078E" w:rsidRPr="00067B69">
          <w:rPr>
            <w:rStyle w:val="Hyperlink"/>
          </w:rPr>
          <w:t xml:space="preserve"> 2022</w:t>
        </w:r>
      </w:hyperlink>
      <w:r w:rsidR="0019487D">
        <w:t>)</w:t>
      </w:r>
    </w:p>
    <w:p w14:paraId="76670338" w14:textId="6E42A96E" w:rsidR="00067B69" w:rsidRDefault="00067B69" w:rsidP="001A3477">
      <w:pPr>
        <w:pStyle w:val="MText"/>
      </w:pPr>
      <w:r>
        <w:t xml:space="preserve">Organisation for Economic Co-operation and Development (OECD) and UN Women (2021). </w:t>
      </w:r>
      <w:r w:rsidR="002E0636">
        <w:t xml:space="preserve">Gender responsive COVID-19 recovery. </w:t>
      </w:r>
      <w:r w:rsidR="002E0636" w:rsidRPr="002E0636">
        <w:t>https://www.oecd-ilibrary.org/development/gender-responsive-covid-19-recovery_edb0172d-en</w:t>
      </w:r>
    </w:p>
    <w:p w14:paraId="726EC3F2" w14:textId="77777777" w:rsidR="00067B69" w:rsidRDefault="00067B69" w:rsidP="00067B69">
      <w:pPr>
        <w:pStyle w:val="MText"/>
      </w:pPr>
    </w:p>
    <w:p w14:paraId="4AD128D1" w14:textId="4E4E7911" w:rsidR="00067B69" w:rsidRDefault="00067B69" w:rsidP="00067B69">
      <w:pPr>
        <w:pStyle w:val="MText"/>
      </w:pPr>
      <w:r>
        <w:t xml:space="preserve">Global Partnership for Effective Development Corporation: </w:t>
      </w:r>
      <w:hyperlink r:id="rId16" w:history="1">
        <w:r w:rsidRPr="00FD56BD">
          <w:rPr>
            <w:rStyle w:val="Hyperlink"/>
          </w:rPr>
          <w:t>https://effectivecooperation.org/4thMonitoringRound</w:t>
        </w:r>
      </w:hyperlink>
      <w:r>
        <w:t xml:space="preserve"> </w:t>
      </w:r>
    </w:p>
    <w:p w14:paraId="1821A32C" w14:textId="77777777" w:rsidR="00067B69" w:rsidRDefault="00067B69" w:rsidP="001A3477">
      <w:pPr>
        <w:pStyle w:val="MText"/>
      </w:pPr>
    </w:p>
    <w:p w14:paraId="6F4B4D43" w14:textId="33875D44" w:rsidR="001A3477" w:rsidRDefault="005B5506" w:rsidP="001A3477">
      <w:pPr>
        <w:pStyle w:val="MText"/>
      </w:pPr>
      <w:r>
        <w:t>T</w:t>
      </w:r>
      <w:r w:rsidR="001A3477">
        <w:t xml:space="preserve">echnical materials on how to incorporate gender equality </w:t>
      </w:r>
      <w:r w:rsidR="00892A54">
        <w:t>into</w:t>
      </w:r>
      <w:r w:rsidR="001A3477">
        <w:t xml:space="preserve"> public finance management systems: </w:t>
      </w:r>
      <w:hyperlink r:id="rId17" w:history="1">
        <w:r w:rsidR="001A3477" w:rsidRPr="000D1527">
          <w:rPr>
            <w:rStyle w:val="Hyperlink"/>
            <w:rFonts w:eastAsiaTheme="majorEastAsia"/>
          </w:rPr>
          <w:t>http://gender-financing.unwomen.org/en</w:t>
        </w:r>
      </w:hyperlink>
    </w:p>
    <w:p w14:paraId="36DFE80B" w14:textId="77777777" w:rsidR="001A3477" w:rsidRDefault="001A3477" w:rsidP="001A3477">
      <w:pPr>
        <w:pStyle w:val="MText"/>
      </w:pPr>
    </w:p>
    <w:p w14:paraId="46D5CCA1" w14:textId="77777777" w:rsidR="001A3477" w:rsidRPr="006F73EC" w:rsidRDefault="001A3477" w:rsidP="001A3477">
      <w:pPr>
        <w:pStyle w:val="MText"/>
      </w:pPr>
      <w:r>
        <w:t xml:space="preserve">IMF research on gender responsive budgeting and tracking systems: </w:t>
      </w:r>
      <w:hyperlink r:id="rId18" w:history="1">
        <w:r w:rsidRPr="000D1527">
          <w:rPr>
            <w:rStyle w:val="Hyperlink"/>
            <w:rFonts w:eastAsiaTheme="majorEastAsia"/>
          </w:rPr>
          <w:t>https://www.imf.org/external/np/res/dfidimf/topic7.htm</w:t>
        </w:r>
      </w:hyperlink>
      <w:r w:rsidRPr="006F73EC">
        <w:t xml:space="preserve"> </w:t>
      </w:r>
    </w:p>
    <w:p w14:paraId="13182624" w14:textId="77777777" w:rsidR="001A3477" w:rsidRPr="006F73EC" w:rsidRDefault="00CE52B9" w:rsidP="001A3477">
      <w:pPr>
        <w:pStyle w:val="MText"/>
      </w:pPr>
      <w:hyperlink r:id="rId19" w:history="1">
        <w:r w:rsidR="001A3477" w:rsidRPr="000D1527">
          <w:rPr>
            <w:rStyle w:val="Hyperlink"/>
            <w:rFonts w:eastAsiaTheme="majorEastAsia"/>
          </w:rPr>
          <w:t>https://www.imf.org/external/pubs/ft/wp/2016/wp16149.pdf</w:t>
        </w:r>
      </w:hyperlink>
    </w:p>
    <w:p w14:paraId="207BEAE7" w14:textId="77777777" w:rsidR="001A3477" w:rsidRDefault="001A3477" w:rsidP="001A3477">
      <w:pPr>
        <w:pStyle w:val="MText"/>
      </w:pPr>
    </w:p>
    <w:p w14:paraId="4CEF5FC2" w14:textId="77777777" w:rsidR="001A3477" w:rsidRDefault="001A3477" w:rsidP="001A3477">
      <w:pPr>
        <w:pStyle w:val="MText"/>
      </w:pPr>
      <w:r>
        <w:t>Gender budgeting and tracking in OECD countries:</w:t>
      </w:r>
    </w:p>
    <w:p w14:paraId="16396607" w14:textId="77777777" w:rsidR="001A3477" w:rsidRPr="006F73EC" w:rsidRDefault="00CE52B9" w:rsidP="001A3477">
      <w:pPr>
        <w:pStyle w:val="MText"/>
      </w:pPr>
      <w:hyperlink r:id="rId20" w:history="1">
        <w:r w:rsidR="001A3477" w:rsidRPr="000D1527">
          <w:rPr>
            <w:rStyle w:val="Hyperlink"/>
            <w:rFonts w:eastAsiaTheme="majorEastAsia"/>
          </w:rPr>
          <w:t>https://www.imf.org/external/pubs/ft/wp/2016/wp16149.pdf</w:t>
        </w:r>
      </w:hyperlink>
    </w:p>
    <w:p w14:paraId="330BD823" w14:textId="77777777" w:rsidR="001A3477" w:rsidRPr="006F73EC" w:rsidRDefault="00CE52B9" w:rsidP="001A3477">
      <w:pPr>
        <w:pStyle w:val="MText"/>
      </w:pPr>
      <w:hyperlink r:id="rId21" w:history="1">
        <w:r w:rsidR="001A3477" w:rsidRPr="000D1527">
          <w:rPr>
            <w:rStyle w:val="Hyperlink"/>
            <w:rFonts w:eastAsiaTheme="majorEastAsia"/>
          </w:rPr>
          <w:t>https://www.oecd.org/gender/Gender-Budgeting-in-OECD-countries.pdf</w:t>
        </w:r>
      </w:hyperlink>
    </w:p>
    <w:p w14:paraId="686F7607" w14:textId="77777777" w:rsidR="001A3477" w:rsidRDefault="001A3477" w:rsidP="001A3477">
      <w:pPr>
        <w:pStyle w:val="MText"/>
      </w:pPr>
    </w:p>
    <w:p w14:paraId="384B0992" w14:textId="36889691" w:rsidR="00186795" w:rsidRDefault="00186795"/>
    <w:sectPr w:rsidR="00186795">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C55E" w14:textId="77777777" w:rsidR="00CE52B9" w:rsidRDefault="00CE52B9" w:rsidP="00573C0B">
      <w:pPr>
        <w:spacing w:after="0" w:line="240" w:lineRule="auto"/>
      </w:pPr>
      <w:r>
        <w:separator/>
      </w:r>
    </w:p>
  </w:endnote>
  <w:endnote w:type="continuationSeparator" w:id="0">
    <w:p w14:paraId="7D8376B8" w14:textId="77777777" w:rsidR="00CE52B9" w:rsidRDefault="00CE52B9" w:rsidP="00573C0B">
      <w:pPr>
        <w:spacing w:after="0" w:line="240" w:lineRule="auto"/>
      </w:pPr>
      <w:r>
        <w:continuationSeparator/>
      </w:r>
    </w:p>
  </w:endnote>
  <w:endnote w:type="continuationNotice" w:id="1">
    <w:p w14:paraId="251B9247" w14:textId="77777777" w:rsidR="00CE52B9" w:rsidRDefault="00CE52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FCEB" w14:textId="77777777" w:rsidR="00CE52B9" w:rsidRDefault="00CE52B9" w:rsidP="00573C0B">
      <w:pPr>
        <w:spacing w:after="0" w:line="240" w:lineRule="auto"/>
      </w:pPr>
      <w:r>
        <w:separator/>
      </w:r>
    </w:p>
  </w:footnote>
  <w:footnote w:type="continuationSeparator" w:id="0">
    <w:p w14:paraId="5CB6BC60" w14:textId="77777777" w:rsidR="00CE52B9" w:rsidRDefault="00CE52B9" w:rsidP="00573C0B">
      <w:pPr>
        <w:spacing w:after="0" w:line="240" w:lineRule="auto"/>
      </w:pPr>
      <w:r>
        <w:continuationSeparator/>
      </w:r>
    </w:p>
  </w:footnote>
  <w:footnote w:type="continuationNotice" w:id="1">
    <w:p w14:paraId="79570DD6" w14:textId="77777777" w:rsidR="00CE52B9" w:rsidRDefault="00CE52B9">
      <w:pPr>
        <w:spacing w:after="0" w:line="240" w:lineRule="auto"/>
      </w:pPr>
    </w:p>
  </w:footnote>
  <w:footnote w:id="2">
    <w:p w14:paraId="2CB51D8E" w14:textId="77777777" w:rsidR="001A3477" w:rsidRPr="000D1527" w:rsidRDefault="001A3477" w:rsidP="001A3477">
      <w:pPr>
        <w:pStyle w:val="FootnoteText"/>
        <w:rPr>
          <w:color w:val="4A4A4A"/>
          <w:sz w:val="18"/>
        </w:rPr>
      </w:pPr>
      <w:r w:rsidRPr="000D1527">
        <w:rPr>
          <w:rStyle w:val="FootnoteReference"/>
          <w:color w:val="4A4A4A"/>
          <w:sz w:val="18"/>
        </w:rPr>
        <w:footnoteRef/>
      </w:r>
      <w:r w:rsidRPr="000D1527">
        <w:rPr>
          <w:color w:val="4A4A4A"/>
          <w:sz w:val="18"/>
        </w:rPr>
        <w:t xml:space="preserve"> Ibid.</w:t>
      </w:r>
    </w:p>
  </w:footnote>
  <w:footnote w:id="3">
    <w:p w14:paraId="3B3B9718" w14:textId="77777777" w:rsidR="001A3477" w:rsidRPr="000D1527" w:rsidRDefault="001A3477" w:rsidP="001A3477">
      <w:pPr>
        <w:pStyle w:val="FootnoteText"/>
        <w:rPr>
          <w:color w:val="4A4A4A"/>
          <w:sz w:val="18"/>
        </w:rPr>
      </w:pPr>
      <w:r w:rsidRPr="000D1527">
        <w:rPr>
          <w:rStyle w:val="FootnoteReference"/>
          <w:color w:val="4A4A4A"/>
          <w:sz w:val="18"/>
        </w:rPr>
        <w:footnoteRef/>
      </w:r>
      <w:r w:rsidRPr="000D1527">
        <w:rPr>
          <w:color w:val="4A4A4A"/>
          <w:sz w:val="18"/>
        </w:rPr>
        <w:t xml:space="preserve"> “Gender Budgeting in OECD Countries,” OECD, 2016.</w:t>
      </w:r>
    </w:p>
  </w:footnote>
  <w:footnote w:id="4">
    <w:p w14:paraId="78204AA2" w14:textId="77777777" w:rsidR="001A3477" w:rsidRPr="000D1527" w:rsidRDefault="001A3477" w:rsidP="001A3477">
      <w:pPr>
        <w:pStyle w:val="FootnoteText"/>
        <w:rPr>
          <w:color w:val="4A4A4A"/>
          <w:sz w:val="18"/>
        </w:rPr>
      </w:pPr>
      <w:r w:rsidRPr="000D1527">
        <w:rPr>
          <w:rStyle w:val="FootnoteReference"/>
          <w:color w:val="4A4A4A"/>
          <w:sz w:val="18"/>
        </w:rPr>
        <w:footnoteRef/>
      </w:r>
      <w:r w:rsidRPr="000D1527">
        <w:rPr>
          <w:color w:val="4A4A4A"/>
          <w:sz w:val="18"/>
        </w:rPr>
        <w:t xml:space="preserve"> Ibid.</w:t>
      </w:r>
    </w:p>
  </w:footnote>
  <w:footnote w:id="5">
    <w:p w14:paraId="09DC1DAB" w14:textId="77777777" w:rsidR="001A3477" w:rsidRPr="000D1527" w:rsidRDefault="001A3477" w:rsidP="001A3477">
      <w:pPr>
        <w:pStyle w:val="FootnoteText"/>
        <w:rPr>
          <w:color w:val="4A4A4A"/>
          <w:sz w:val="18"/>
        </w:rPr>
      </w:pPr>
      <w:r w:rsidRPr="000D1527">
        <w:rPr>
          <w:rStyle w:val="FootnoteReference"/>
          <w:color w:val="4A4A4A"/>
          <w:sz w:val="18"/>
        </w:rPr>
        <w:footnoteRef/>
      </w:r>
      <w:r w:rsidRPr="000D1527">
        <w:rPr>
          <w:color w:val="4A4A4A"/>
          <w:sz w:val="18"/>
        </w:rPr>
        <w:t xml:space="preserve"> “Budget Call Circulars and Gender Budget Statements in the Asia Pacific: A Review,” UN Women, 2015.</w:t>
      </w:r>
    </w:p>
  </w:footnote>
  <w:footnote w:id="6">
    <w:p w14:paraId="5C6AE37D" w14:textId="77777777" w:rsidR="001A3477" w:rsidRPr="001A3477" w:rsidRDefault="001A3477" w:rsidP="001A3477">
      <w:pPr>
        <w:pStyle w:val="FootnoteText"/>
        <w:rPr>
          <w:color w:val="4A4A4A"/>
        </w:rPr>
      </w:pPr>
      <w:r w:rsidRPr="000D1527">
        <w:rPr>
          <w:rStyle w:val="FootnoteReference"/>
          <w:color w:val="4A4A4A"/>
          <w:sz w:val="18"/>
        </w:rPr>
        <w:footnoteRef/>
      </w:r>
      <w:r w:rsidRPr="000D1527">
        <w:rPr>
          <w:color w:val="4A4A4A"/>
          <w:sz w:val="18"/>
        </w:rPr>
        <w:t xml:space="preserve"> “Budget Classification,” IMF, 2009.</w:t>
      </w:r>
      <w:r w:rsidRPr="001A3477">
        <w:rPr>
          <w:color w:val="4A4A4A"/>
        </w:rPr>
        <w:t xml:space="preserve"> </w:t>
      </w:r>
    </w:p>
  </w:footnote>
  <w:footnote w:id="7">
    <w:p w14:paraId="0BA61F5C" w14:textId="77777777" w:rsidR="001A3477" w:rsidRPr="000D1527" w:rsidRDefault="001A3477" w:rsidP="001A3477">
      <w:pPr>
        <w:pStyle w:val="FootnoteText"/>
        <w:rPr>
          <w:color w:val="4A4A4A"/>
          <w:sz w:val="18"/>
        </w:rPr>
      </w:pPr>
      <w:r w:rsidRPr="000D1527">
        <w:rPr>
          <w:rStyle w:val="FootnoteReference"/>
          <w:color w:val="4A4A4A"/>
          <w:sz w:val="18"/>
        </w:rPr>
        <w:footnoteRef/>
      </w:r>
      <w:r w:rsidRPr="000D1527">
        <w:rPr>
          <w:color w:val="4A4A4A"/>
          <w:sz w:val="18"/>
        </w:rPr>
        <w:t xml:space="preserve"> Ibid.</w:t>
      </w:r>
    </w:p>
  </w:footnote>
  <w:footnote w:id="8">
    <w:p w14:paraId="7F0DC3F1" w14:textId="77777777" w:rsidR="001A3477" w:rsidRPr="001A3477" w:rsidRDefault="001A3477" w:rsidP="001A3477">
      <w:pPr>
        <w:pStyle w:val="FootnoteText"/>
        <w:rPr>
          <w:color w:val="4A4A4A"/>
        </w:rPr>
      </w:pPr>
      <w:r w:rsidRPr="000D1527">
        <w:rPr>
          <w:rStyle w:val="FootnoteReference"/>
          <w:color w:val="4A4A4A"/>
          <w:sz w:val="18"/>
        </w:rPr>
        <w:footnoteRef/>
      </w:r>
      <w:r w:rsidRPr="000D1527">
        <w:rPr>
          <w:color w:val="4A4A4A"/>
          <w:sz w:val="18"/>
        </w:rPr>
        <w:t xml:space="preserve"> Ibid.</w:t>
      </w:r>
    </w:p>
  </w:footnote>
  <w:footnote w:id="9">
    <w:p w14:paraId="1639A21C" w14:textId="77777777" w:rsidR="001A3477" w:rsidRPr="000D1527" w:rsidRDefault="001A3477" w:rsidP="001A3477">
      <w:pPr>
        <w:pStyle w:val="FootnoteText"/>
        <w:rPr>
          <w:color w:val="4A4A4A"/>
          <w:sz w:val="18"/>
        </w:rPr>
      </w:pPr>
      <w:r w:rsidRPr="000D1527">
        <w:rPr>
          <w:rStyle w:val="FootnoteReference"/>
          <w:color w:val="4A4A4A"/>
          <w:sz w:val="18"/>
        </w:rPr>
        <w:footnoteRef/>
      </w:r>
      <w:r w:rsidRPr="000D1527">
        <w:rPr>
          <w:color w:val="4A4A4A"/>
          <w:sz w:val="18"/>
        </w:rPr>
        <w:t xml:space="preserve"> Addis Ababa Action Agenda paragraphs 30 and 53.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F0B4C72"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D80E74">
      <w:rPr>
        <w:color w:val="404040" w:themeColor="text1" w:themeTint="BF"/>
        <w:sz w:val="18"/>
        <w:szCs w:val="18"/>
      </w:rPr>
      <w:t>202</w:t>
    </w:r>
    <w:r w:rsidR="00CE52B9">
      <w:rPr>
        <w:color w:val="404040" w:themeColor="text1" w:themeTint="BF"/>
        <w:sz w:val="18"/>
        <w:szCs w:val="18"/>
      </w:rPr>
      <w:t>3</w:t>
    </w:r>
    <w:r w:rsidR="00D96628">
      <w:rPr>
        <w:color w:val="404040" w:themeColor="text1" w:themeTint="BF"/>
        <w:sz w:val="18"/>
        <w:szCs w:val="18"/>
      </w:rPr>
      <w:t>-</w:t>
    </w:r>
    <w:r w:rsidR="00CE52B9">
      <w:rPr>
        <w:color w:val="404040" w:themeColor="text1" w:themeTint="BF"/>
        <w:sz w:val="18"/>
        <w:szCs w:val="18"/>
      </w:rPr>
      <w:t>03</w:t>
    </w:r>
    <w:r w:rsidR="00D96628">
      <w:rPr>
        <w:color w:val="404040" w:themeColor="text1" w:themeTint="BF"/>
        <w:sz w:val="18"/>
        <w:szCs w:val="18"/>
      </w:rPr>
      <w:t>-</w:t>
    </w:r>
    <w:r w:rsidR="00CE52B9">
      <w:rPr>
        <w:color w:val="404040" w:themeColor="text1" w:themeTint="BF"/>
        <w:sz w:val="18"/>
        <w:szCs w:val="18"/>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4009"/>
    <w:multiLevelType w:val="hybridMultilevel"/>
    <w:tmpl w:val="C592F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CC00B4"/>
    <w:multiLevelType w:val="hybridMultilevel"/>
    <w:tmpl w:val="0AC68D92"/>
    <w:lvl w:ilvl="0" w:tplc="A4F82F2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8057DC"/>
    <w:multiLevelType w:val="hybridMultilevel"/>
    <w:tmpl w:val="978C7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D044E"/>
    <w:multiLevelType w:val="hybridMultilevel"/>
    <w:tmpl w:val="C92EA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932A4A"/>
    <w:multiLevelType w:val="hybridMultilevel"/>
    <w:tmpl w:val="1A50C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47A5E27"/>
    <w:multiLevelType w:val="hybridMultilevel"/>
    <w:tmpl w:val="0308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86782E"/>
    <w:multiLevelType w:val="hybridMultilevel"/>
    <w:tmpl w:val="7AC4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05C43A2"/>
    <w:multiLevelType w:val="hybridMultilevel"/>
    <w:tmpl w:val="C2DC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B47110"/>
    <w:multiLevelType w:val="hybridMultilevel"/>
    <w:tmpl w:val="51E89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C3A0125"/>
    <w:multiLevelType w:val="hybridMultilevel"/>
    <w:tmpl w:val="1764C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B2D98"/>
    <w:multiLevelType w:val="hybridMultilevel"/>
    <w:tmpl w:val="D7CC6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C586912"/>
    <w:multiLevelType w:val="hybridMultilevel"/>
    <w:tmpl w:val="E828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30C7EB9"/>
    <w:multiLevelType w:val="hybridMultilevel"/>
    <w:tmpl w:val="C860A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A34D67"/>
    <w:multiLevelType w:val="hybridMultilevel"/>
    <w:tmpl w:val="96688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684337">
    <w:abstractNumId w:val="12"/>
  </w:num>
  <w:num w:numId="2" w16cid:durableId="551968839">
    <w:abstractNumId w:val="3"/>
  </w:num>
  <w:num w:numId="3" w16cid:durableId="456485235">
    <w:abstractNumId w:val="17"/>
  </w:num>
  <w:num w:numId="4" w16cid:durableId="780758978">
    <w:abstractNumId w:val="5"/>
  </w:num>
  <w:num w:numId="5" w16cid:durableId="431247246">
    <w:abstractNumId w:val="8"/>
  </w:num>
  <w:num w:numId="6" w16cid:durableId="1771000438">
    <w:abstractNumId w:val="10"/>
  </w:num>
  <w:num w:numId="7" w16cid:durableId="1166286702">
    <w:abstractNumId w:val="15"/>
  </w:num>
  <w:num w:numId="8" w16cid:durableId="1324620848">
    <w:abstractNumId w:val="9"/>
  </w:num>
  <w:num w:numId="9" w16cid:durableId="46684317">
    <w:abstractNumId w:val="16"/>
  </w:num>
  <w:num w:numId="10" w16cid:durableId="1433087390">
    <w:abstractNumId w:val="6"/>
  </w:num>
  <w:num w:numId="11" w16cid:durableId="2070953036">
    <w:abstractNumId w:val="13"/>
  </w:num>
  <w:num w:numId="12" w16cid:durableId="1549489767">
    <w:abstractNumId w:val="0"/>
  </w:num>
  <w:num w:numId="13" w16cid:durableId="1000622452">
    <w:abstractNumId w:val="2"/>
  </w:num>
  <w:num w:numId="14" w16cid:durableId="2113550690">
    <w:abstractNumId w:val="14"/>
  </w:num>
  <w:num w:numId="15" w16cid:durableId="591551600">
    <w:abstractNumId w:val="11"/>
  </w:num>
  <w:num w:numId="16" w16cid:durableId="2070415901">
    <w:abstractNumId w:val="4"/>
  </w:num>
  <w:num w:numId="17" w16cid:durableId="959150222">
    <w:abstractNumId w:val="7"/>
  </w:num>
  <w:num w:numId="18" w16cid:durableId="2061586196">
    <w:abstractNumId w:val="1"/>
  </w:num>
  <w:num w:numId="19" w16cid:durableId="1404110000">
    <w:abstractNumId w:val="1"/>
  </w:num>
  <w:num w:numId="20" w16cid:durableId="14340893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CD1"/>
    <w:rsid w:val="000070BA"/>
    <w:rsid w:val="0001306D"/>
    <w:rsid w:val="000173F9"/>
    <w:rsid w:val="0003431B"/>
    <w:rsid w:val="00040DAD"/>
    <w:rsid w:val="000412A0"/>
    <w:rsid w:val="00047DDA"/>
    <w:rsid w:val="0005455A"/>
    <w:rsid w:val="00056157"/>
    <w:rsid w:val="00063330"/>
    <w:rsid w:val="00067B69"/>
    <w:rsid w:val="00071D33"/>
    <w:rsid w:val="00071F07"/>
    <w:rsid w:val="0007379D"/>
    <w:rsid w:val="0007759D"/>
    <w:rsid w:val="000777AB"/>
    <w:rsid w:val="00077F46"/>
    <w:rsid w:val="0008753D"/>
    <w:rsid w:val="00090FB1"/>
    <w:rsid w:val="00096186"/>
    <w:rsid w:val="000A72E4"/>
    <w:rsid w:val="000B0E2F"/>
    <w:rsid w:val="000B2430"/>
    <w:rsid w:val="000B4F00"/>
    <w:rsid w:val="000C2C3C"/>
    <w:rsid w:val="000D0855"/>
    <w:rsid w:val="000D0B30"/>
    <w:rsid w:val="000D1527"/>
    <w:rsid w:val="000E0D53"/>
    <w:rsid w:val="000E21F1"/>
    <w:rsid w:val="000E79FE"/>
    <w:rsid w:val="000F703E"/>
    <w:rsid w:val="00100995"/>
    <w:rsid w:val="00120E86"/>
    <w:rsid w:val="001255A2"/>
    <w:rsid w:val="00125DE9"/>
    <w:rsid w:val="001311FA"/>
    <w:rsid w:val="001332E0"/>
    <w:rsid w:val="00134DE7"/>
    <w:rsid w:val="00143796"/>
    <w:rsid w:val="00154434"/>
    <w:rsid w:val="00172C21"/>
    <w:rsid w:val="001753D2"/>
    <w:rsid w:val="001759DC"/>
    <w:rsid w:val="00175C86"/>
    <w:rsid w:val="00175C93"/>
    <w:rsid w:val="00185354"/>
    <w:rsid w:val="001854DC"/>
    <w:rsid w:val="00186795"/>
    <w:rsid w:val="00191D59"/>
    <w:rsid w:val="0019487D"/>
    <w:rsid w:val="00194D09"/>
    <w:rsid w:val="00195744"/>
    <w:rsid w:val="001960F4"/>
    <w:rsid w:val="001A3477"/>
    <w:rsid w:val="001A5D41"/>
    <w:rsid w:val="001A7D5C"/>
    <w:rsid w:val="001B4085"/>
    <w:rsid w:val="001B4961"/>
    <w:rsid w:val="001B60AA"/>
    <w:rsid w:val="001B63C8"/>
    <w:rsid w:val="001B773B"/>
    <w:rsid w:val="001C0CBB"/>
    <w:rsid w:val="001C177D"/>
    <w:rsid w:val="001C1972"/>
    <w:rsid w:val="001C421F"/>
    <w:rsid w:val="001D360D"/>
    <w:rsid w:val="001E5606"/>
    <w:rsid w:val="00200A57"/>
    <w:rsid w:val="00201FFD"/>
    <w:rsid w:val="00214C03"/>
    <w:rsid w:val="00220247"/>
    <w:rsid w:val="00261A8D"/>
    <w:rsid w:val="002621AE"/>
    <w:rsid w:val="002755D3"/>
    <w:rsid w:val="00283C1C"/>
    <w:rsid w:val="00286AA4"/>
    <w:rsid w:val="00291A00"/>
    <w:rsid w:val="00291A11"/>
    <w:rsid w:val="002962C8"/>
    <w:rsid w:val="002A315C"/>
    <w:rsid w:val="002A3342"/>
    <w:rsid w:val="002A64BA"/>
    <w:rsid w:val="002B4989"/>
    <w:rsid w:val="002B5EC4"/>
    <w:rsid w:val="002B7338"/>
    <w:rsid w:val="002C2510"/>
    <w:rsid w:val="002D714E"/>
    <w:rsid w:val="002D7FB5"/>
    <w:rsid w:val="002E0636"/>
    <w:rsid w:val="002E1DEA"/>
    <w:rsid w:val="002E53C3"/>
    <w:rsid w:val="002F1468"/>
    <w:rsid w:val="002F5F0C"/>
    <w:rsid w:val="003119F6"/>
    <w:rsid w:val="0031243B"/>
    <w:rsid w:val="003132D6"/>
    <w:rsid w:val="003232AC"/>
    <w:rsid w:val="00323ACF"/>
    <w:rsid w:val="003265EB"/>
    <w:rsid w:val="0034329E"/>
    <w:rsid w:val="00343FAA"/>
    <w:rsid w:val="0034533C"/>
    <w:rsid w:val="00347F5E"/>
    <w:rsid w:val="00353C98"/>
    <w:rsid w:val="003563B1"/>
    <w:rsid w:val="00371A20"/>
    <w:rsid w:val="00380EDF"/>
    <w:rsid w:val="003821B4"/>
    <w:rsid w:val="00382CF3"/>
    <w:rsid w:val="00387D52"/>
    <w:rsid w:val="003A2315"/>
    <w:rsid w:val="003A7CEA"/>
    <w:rsid w:val="003B25FE"/>
    <w:rsid w:val="003C1A97"/>
    <w:rsid w:val="003C1FE3"/>
    <w:rsid w:val="003D1B7F"/>
    <w:rsid w:val="003D3BFA"/>
    <w:rsid w:val="003E3E06"/>
    <w:rsid w:val="003E48D3"/>
    <w:rsid w:val="003E5224"/>
    <w:rsid w:val="003F0BD3"/>
    <w:rsid w:val="003F278A"/>
    <w:rsid w:val="003F7A02"/>
    <w:rsid w:val="00405698"/>
    <w:rsid w:val="004154B7"/>
    <w:rsid w:val="00415ACB"/>
    <w:rsid w:val="00422EA5"/>
    <w:rsid w:val="00422EFA"/>
    <w:rsid w:val="00424D7F"/>
    <w:rsid w:val="0042791F"/>
    <w:rsid w:val="004456ED"/>
    <w:rsid w:val="004544CE"/>
    <w:rsid w:val="0048045A"/>
    <w:rsid w:val="004841B8"/>
    <w:rsid w:val="004930F2"/>
    <w:rsid w:val="004A686E"/>
    <w:rsid w:val="004B05A4"/>
    <w:rsid w:val="004B0F1C"/>
    <w:rsid w:val="004F2EE6"/>
    <w:rsid w:val="00500B47"/>
    <w:rsid w:val="0050243C"/>
    <w:rsid w:val="00502DBA"/>
    <w:rsid w:val="005040C4"/>
    <w:rsid w:val="00507637"/>
    <w:rsid w:val="00507852"/>
    <w:rsid w:val="00514DBF"/>
    <w:rsid w:val="00532735"/>
    <w:rsid w:val="00550921"/>
    <w:rsid w:val="00554BE6"/>
    <w:rsid w:val="00563712"/>
    <w:rsid w:val="00572B2A"/>
    <w:rsid w:val="00573631"/>
    <w:rsid w:val="00573C0B"/>
    <w:rsid w:val="00576CFA"/>
    <w:rsid w:val="00577177"/>
    <w:rsid w:val="0058556D"/>
    <w:rsid w:val="00592AF2"/>
    <w:rsid w:val="0059352F"/>
    <w:rsid w:val="005947AD"/>
    <w:rsid w:val="00597748"/>
    <w:rsid w:val="005979E8"/>
    <w:rsid w:val="00597D80"/>
    <w:rsid w:val="005A2133"/>
    <w:rsid w:val="005B5506"/>
    <w:rsid w:val="005D0AF4"/>
    <w:rsid w:val="005E54BD"/>
    <w:rsid w:val="005F14B3"/>
    <w:rsid w:val="005F6CCA"/>
    <w:rsid w:val="006104AF"/>
    <w:rsid w:val="00621893"/>
    <w:rsid w:val="006351E1"/>
    <w:rsid w:val="00643663"/>
    <w:rsid w:val="006447B1"/>
    <w:rsid w:val="00662775"/>
    <w:rsid w:val="00667ED7"/>
    <w:rsid w:val="0068396B"/>
    <w:rsid w:val="006852FC"/>
    <w:rsid w:val="0069728B"/>
    <w:rsid w:val="00697F96"/>
    <w:rsid w:val="006A66D3"/>
    <w:rsid w:val="006B06D8"/>
    <w:rsid w:val="006B40AB"/>
    <w:rsid w:val="006B5DC5"/>
    <w:rsid w:val="006B6751"/>
    <w:rsid w:val="006C4BFD"/>
    <w:rsid w:val="006C7D30"/>
    <w:rsid w:val="006D3AE0"/>
    <w:rsid w:val="006E1575"/>
    <w:rsid w:val="006E3C08"/>
    <w:rsid w:val="006F562B"/>
    <w:rsid w:val="006F73EC"/>
    <w:rsid w:val="00700ACF"/>
    <w:rsid w:val="00712487"/>
    <w:rsid w:val="007251FE"/>
    <w:rsid w:val="00725E47"/>
    <w:rsid w:val="00747A56"/>
    <w:rsid w:val="007530CA"/>
    <w:rsid w:val="00756D68"/>
    <w:rsid w:val="007578D9"/>
    <w:rsid w:val="00757E8A"/>
    <w:rsid w:val="0076078E"/>
    <w:rsid w:val="00763E43"/>
    <w:rsid w:val="00764EB5"/>
    <w:rsid w:val="00776CAC"/>
    <w:rsid w:val="00777A95"/>
    <w:rsid w:val="00782416"/>
    <w:rsid w:val="0079712D"/>
    <w:rsid w:val="007A349B"/>
    <w:rsid w:val="007B0364"/>
    <w:rsid w:val="007B23ED"/>
    <w:rsid w:val="007B3093"/>
    <w:rsid w:val="007D0981"/>
    <w:rsid w:val="007D1929"/>
    <w:rsid w:val="007F5450"/>
    <w:rsid w:val="00803CF1"/>
    <w:rsid w:val="008104BB"/>
    <w:rsid w:val="0081423B"/>
    <w:rsid w:val="008207CA"/>
    <w:rsid w:val="008249C5"/>
    <w:rsid w:val="008265ED"/>
    <w:rsid w:val="00830D71"/>
    <w:rsid w:val="008526F9"/>
    <w:rsid w:val="0085285E"/>
    <w:rsid w:val="00853023"/>
    <w:rsid w:val="008534D4"/>
    <w:rsid w:val="00860108"/>
    <w:rsid w:val="00861A87"/>
    <w:rsid w:val="008734E0"/>
    <w:rsid w:val="00874876"/>
    <w:rsid w:val="00877A00"/>
    <w:rsid w:val="00881E28"/>
    <w:rsid w:val="00882D78"/>
    <w:rsid w:val="008913D9"/>
    <w:rsid w:val="00892A54"/>
    <w:rsid w:val="00894C4B"/>
    <w:rsid w:val="008A12E3"/>
    <w:rsid w:val="008A42FA"/>
    <w:rsid w:val="008B0AC7"/>
    <w:rsid w:val="008B786D"/>
    <w:rsid w:val="008C2335"/>
    <w:rsid w:val="008C67C1"/>
    <w:rsid w:val="008D1D39"/>
    <w:rsid w:val="008E7D6C"/>
    <w:rsid w:val="008F07D2"/>
    <w:rsid w:val="008F67A4"/>
    <w:rsid w:val="008F773D"/>
    <w:rsid w:val="00917851"/>
    <w:rsid w:val="00917F65"/>
    <w:rsid w:val="00925797"/>
    <w:rsid w:val="009311E7"/>
    <w:rsid w:val="00942694"/>
    <w:rsid w:val="0096631D"/>
    <w:rsid w:val="009965BA"/>
    <w:rsid w:val="009A4552"/>
    <w:rsid w:val="009A7E3A"/>
    <w:rsid w:val="009B1265"/>
    <w:rsid w:val="009B4A15"/>
    <w:rsid w:val="009B5693"/>
    <w:rsid w:val="009C61A2"/>
    <w:rsid w:val="009C78E4"/>
    <w:rsid w:val="009D1075"/>
    <w:rsid w:val="009D687E"/>
    <w:rsid w:val="009E2FB1"/>
    <w:rsid w:val="009E4D7B"/>
    <w:rsid w:val="009F6DE7"/>
    <w:rsid w:val="009F7625"/>
    <w:rsid w:val="00A04AEB"/>
    <w:rsid w:val="00A10583"/>
    <w:rsid w:val="00A2639B"/>
    <w:rsid w:val="00A37FCB"/>
    <w:rsid w:val="00A41CAD"/>
    <w:rsid w:val="00A4254D"/>
    <w:rsid w:val="00A430B5"/>
    <w:rsid w:val="00A540F7"/>
    <w:rsid w:val="00A54863"/>
    <w:rsid w:val="00A61D74"/>
    <w:rsid w:val="00A76691"/>
    <w:rsid w:val="00A82224"/>
    <w:rsid w:val="00A8688B"/>
    <w:rsid w:val="00A91163"/>
    <w:rsid w:val="00A9286F"/>
    <w:rsid w:val="00A96255"/>
    <w:rsid w:val="00A976AF"/>
    <w:rsid w:val="00AB285B"/>
    <w:rsid w:val="00AC7233"/>
    <w:rsid w:val="00AD0591"/>
    <w:rsid w:val="00AE316C"/>
    <w:rsid w:val="00AF02AB"/>
    <w:rsid w:val="00AF5552"/>
    <w:rsid w:val="00AF5ADD"/>
    <w:rsid w:val="00AF5CB4"/>
    <w:rsid w:val="00AF5ED1"/>
    <w:rsid w:val="00AF71D6"/>
    <w:rsid w:val="00B216EE"/>
    <w:rsid w:val="00B22D8B"/>
    <w:rsid w:val="00B25398"/>
    <w:rsid w:val="00B3175F"/>
    <w:rsid w:val="00B31E2C"/>
    <w:rsid w:val="00B329B0"/>
    <w:rsid w:val="00B358D3"/>
    <w:rsid w:val="00B402D8"/>
    <w:rsid w:val="00B41EC8"/>
    <w:rsid w:val="00B4237C"/>
    <w:rsid w:val="00B42FE8"/>
    <w:rsid w:val="00B43FED"/>
    <w:rsid w:val="00B51F9C"/>
    <w:rsid w:val="00B52AFD"/>
    <w:rsid w:val="00B54077"/>
    <w:rsid w:val="00B67DA0"/>
    <w:rsid w:val="00B8087E"/>
    <w:rsid w:val="00BB646E"/>
    <w:rsid w:val="00BD1BA1"/>
    <w:rsid w:val="00BD5AC2"/>
    <w:rsid w:val="00C019E5"/>
    <w:rsid w:val="00C15FE1"/>
    <w:rsid w:val="00C259D2"/>
    <w:rsid w:val="00C31EB9"/>
    <w:rsid w:val="00C35BC4"/>
    <w:rsid w:val="00C40BBD"/>
    <w:rsid w:val="00C4269E"/>
    <w:rsid w:val="00C43F5B"/>
    <w:rsid w:val="00C469CC"/>
    <w:rsid w:val="00C77618"/>
    <w:rsid w:val="00CB4371"/>
    <w:rsid w:val="00CC516D"/>
    <w:rsid w:val="00CD749A"/>
    <w:rsid w:val="00CE52B9"/>
    <w:rsid w:val="00D239D4"/>
    <w:rsid w:val="00D24330"/>
    <w:rsid w:val="00D40056"/>
    <w:rsid w:val="00D516E0"/>
    <w:rsid w:val="00D51E7C"/>
    <w:rsid w:val="00D538E5"/>
    <w:rsid w:val="00D54F29"/>
    <w:rsid w:val="00D7020C"/>
    <w:rsid w:val="00D70AD9"/>
    <w:rsid w:val="00D72152"/>
    <w:rsid w:val="00D728A6"/>
    <w:rsid w:val="00D80E74"/>
    <w:rsid w:val="00D94BA5"/>
    <w:rsid w:val="00D9510F"/>
    <w:rsid w:val="00D96628"/>
    <w:rsid w:val="00DA14D3"/>
    <w:rsid w:val="00DA56AF"/>
    <w:rsid w:val="00DA615C"/>
    <w:rsid w:val="00DB36E5"/>
    <w:rsid w:val="00DD1BC6"/>
    <w:rsid w:val="00DE5DC3"/>
    <w:rsid w:val="00E00D8A"/>
    <w:rsid w:val="00E019FB"/>
    <w:rsid w:val="00E1050F"/>
    <w:rsid w:val="00E11604"/>
    <w:rsid w:val="00E11D92"/>
    <w:rsid w:val="00E130A0"/>
    <w:rsid w:val="00E17849"/>
    <w:rsid w:val="00E210C4"/>
    <w:rsid w:val="00E236F7"/>
    <w:rsid w:val="00E23DB7"/>
    <w:rsid w:val="00E46D96"/>
    <w:rsid w:val="00E52CCA"/>
    <w:rsid w:val="00E6015F"/>
    <w:rsid w:val="00E66409"/>
    <w:rsid w:val="00E7239A"/>
    <w:rsid w:val="00E75E5E"/>
    <w:rsid w:val="00E77758"/>
    <w:rsid w:val="00E81D5B"/>
    <w:rsid w:val="00E9036E"/>
    <w:rsid w:val="00E976B9"/>
    <w:rsid w:val="00EA05D3"/>
    <w:rsid w:val="00EB19AD"/>
    <w:rsid w:val="00EB2F31"/>
    <w:rsid w:val="00EB6493"/>
    <w:rsid w:val="00EC2915"/>
    <w:rsid w:val="00ED05A9"/>
    <w:rsid w:val="00ED1BA0"/>
    <w:rsid w:val="00EE1438"/>
    <w:rsid w:val="00EE481F"/>
    <w:rsid w:val="00EE5E18"/>
    <w:rsid w:val="00F17257"/>
    <w:rsid w:val="00F228DC"/>
    <w:rsid w:val="00F34D24"/>
    <w:rsid w:val="00F4130B"/>
    <w:rsid w:val="00F424C5"/>
    <w:rsid w:val="00F50D01"/>
    <w:rsid w:val="00F556A2"/>
    <w:rsid w:val="00F719A8"/>
    <w:rsid w:val="00F878B9"/>
    <w:rsid w:val="00FB24E8"/>
    <w:rsid w:val="00FB3B2B"/>
    <w:rsid w:val="00FC18DA"/>
    <w:rsid w:val="00FC3917"/>
    <w:rsid w:val="00FC59EB"/>
    <w:rsid w:val="00FC7748"/>
    <w:rsid w:val="00FD31FA"/>
    <w:rsid w:val="00FD60DA"/>
    <w:rsid w:val="00FE53D6"/>
    <w:rsid w:val="00FF07B4"/>
    <w:rsid w:val="044AB268"/>
    <w:rsid w:val="22FF4E8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CE52B9"/>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single space Char Char Char,single space Char Char1,Char Char,Nbpage Moens Char,single space Char1,Fußnote Char,ft Char,(NECG) Footnote Text Char,Footnote Text Char Char Char Char Char Char1,fn Char,Car Char"/>
    <w:basedOn w:val="DefaultParagraphFont"/>
    <w:link w:val="FootnoteText"/>
    <w:uiPriority w:val="99"/>
    <w:semiHidden/>
    <w:locked/>
    <w:rsid w:val="001A3477"/>
    <w:rPr>
      <w:sz w:val="20"/>
      <w:szCs w:val="20"/>
    </w:rPr>
  </w:style>
  <w:style w:type="paragraph" w:styleId="FootnoteText">
    <w:name w:val="footnote text"/>
    <w:aliases w:val="single space Char Char,single space Char,Char,Nbpage Moens,single space,Fußnote,ft,(NECG) Footnote Text,Footnote Text Char Char Char Char Char,Footnote Text Char Char Char Char Char Char,(NECG) Footnote Text Char Char Char Char Char,fn,Car"/>
    <w:basedOn w:val="Normal"/>
    <w:link w:val="FootnoteTextChar"/>
    <w:uiPriority w:val="99"/>
    <w:semiHidden/>
    <w:unhideWhenUsed/>
    <w:rsid w:val="001A3477"/>
    <w:pPr>
      <w:spacing w:after="0" w:line="240" w:lineRule="auto"/>
    </w:pPr>
    <w:rPr>
      <w:sz w:val="20"/>
      <w:szCs w:val="20"/>
    </w:rPr>
  </w:style>
  <w:style w:type="character" w:customStyle="1" w:styleId="FootnoteTextChar1">
    <w:name w:val="Footnote Text Char1"/>
    <w:basedOn w:val="DefaultParagraphFont"/>
    <w:uiPriority w:val="99"/>
    <w:semiHidden/>
    <w:rsid w:val="001A3477"/>
    <w:rPr>
      <w:sz w:val="20"/>
      <w:szCs w:val="20"/>
    </w:rPr>
  </w:style>
  <w:style w:type="character" w:styleId="FootnoteReference">
    <w:name w:val="footnote reference"/>
    <w:aliases w:val="ftref,4_G,Ref. de nota al pie EDEP,pie pddes,BVI fnr,BVI fnr Car Car,BVI fnr Char Car Car Car,BVI fnr Char Car Car Car Char,BVI fnr Car,BVI fnr Car Car Car Car,BVI fnr Char Char,BVI fnr Car Car Char Char,BVI fnr Car Char Cha"/>
    <w:basedOn w:val="DefaultParagraphFont"/>
    <w:uiPriority w:val="99"/>
    <w:semiHidden/>
    <w:unhideWhenUsed/>
    <w:rsid w:val="001A3477"/>
    <w:rPr>
      <w:vertAlign w:val="superscript"/>
    </w:rPr>
  </w:style>
  <w:style w:type="character" w:styleId="FollowedHyperlink">
    <w:name w:val="FollowedHyperlink"/>
    <w:basedOn w:val="DefaultParagraphFont"/>
    <w:uiPriority w:val="99"/>
    <w:semiHidden/>
    <w:unhideWhenUsed/>
    <w:rsid w:val="00286AA4"/>
    <w:rPr>
      <w:color w:val="800080" w:themeColor="followedHyperlink"/>
      <w:u w:val="single"/>
    </w:rPr>
  </w:style>
  <w:style w:type="paragraph" w:styleId="Revision">
    <w:name w:val="Revision"/>
    <w:hidden/>
    <w:uiPriority w:val="99"/>
    <w:semiHidden/>
    <w:rsid w:val="00D538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708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23725091">
      <w:bodyDiv w:val="1"/>
      <w:marLeft w:val="0"/>
      <w:marRight w:val="0"/>
      <w:marTop w:val="0"/>
      <w:marBottom w:val="0"/>
      <w:divBdr>
        <w:top w:val="none" w:sz="0" w:space="0" w:color="auto"/>
        <w:left w:val="none" w:sz="0" w:space="0" w:color="auto"/>
        <w:bottom w:val="none" w:sz="0" w:space="0" w:color="auto"/>
        <w:right w:val="none" w:sz="0" w:space="0" w:color="auto"/>
      </w:divBdr>
    </w:div>
    <w:div w:id="1449620188">
      <w:bodyDiv w:val="1"/>
      <w:marLeft w:val="0"/>
      <w:marRight w:val="0"/>
      <w:marTop w:val="0"/>
      <w:marBottom w:val="0"/>
      <w:divBdr>
        <w:top w:val="none" w:sz="0" w:space="0" w:color="auto"/>
        <w:left w:val="none" w:sz="0" w:space="0" w:color="auto"/>
        <w:bottom w:val="none" w:sz="0" w:space="0" w:color="auto"/>
        <w:right w:val="none" w:sz="0" w:space="0" w:color="auto"/>
      </w:divBdr>
    </w:div>
    <w:div w:id="1587113536">
      <w:bodyDiv w:val="1"/>
      <w:marLeft w:val="0"/>
      <w:marRight w:val="0"/>
      <w:marTop w:val="0"/>
      <w:marBottom w:val="0"/>
      <w:divBdr>
        <w:top w:val="none" w:sz="0" w:space="0" w:color="auto"/>
        <w:left w:val="none" w:sz="0" w:space="0" w:color="auto"/>
        <w:bottom w:val="none" w:sz="0" w:space="0" w:color="auto"/>
        <w:right w:val="none" w:sz="0" w:space="0" w:color="auto"/>
      </w:divBdr>
    </w:div>
    <w:div w:id="1838693739">
      <w:bodyDiv w:val="1"/>
      <w:marLeft w:val="0"/>
      <w:marRight w:val="0"/>
      <w:marTop w:val="0"/>
      <w:marBottom w:val="0"/>
      <w:divBdr>
        <w:top w:val="none" w:sz="0" w:space="0" w:color="auto"/>
        <w:left w:val="none" w:sz="0" w:space="0" w:color="auto"/>
        <w:bottom w:val="none" w:sz="0" w:space="0" w:color="auto"/>
        <w:right w:val="none" w:sz="0" w:space="0" w:color="auto"/>
      </w:divBdr>
    </w:div>
    <w:div w:id="211498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unstats.un.org/sdgs/report/2022/" TargetMode="External"/><Relationship Id="rId18" Type="http://schemas.openxmlformats.org/officeDocument/2006/relationships/hyperlink" Target="https://www.imf.org/external/np/res/dfidimf/topic7.htm" TargetMode="External"/><Relationship Id="rId3" Type="http://schemas.openxmlformats.org/officeDocument/2006/relationships/customXml" Target="../customXml/item3.xml"/><Relationship Id="rId21" Type="http://schemas.openxmlformats.org/officeDocument/2006/relationships/hyperlink" Target="https://www.oecd.org/gender/Gender-Budgeting-in-OECD-countries.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gender-financing.unwomen.org/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ffectivecooperation.org/4thMonitoringRound" TargetMode="External"/><Relationship Id="rId20" Type="http://schemas.openxmlformats.org/officeDocument/2006/relationships/hyperlink" Target="https://www.imf.org/external/pubs/ft/wp/2016/wp16149.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unstats.un.org/sdgs/gender-snapshot/2022/"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imf.org/external/pubs/ft/wp/2016/wp16149.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unstats.un.org/sdgs/report/2022/extended-report/"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9E79250B1A440FB6DBEF598F05EE09"/>
        <w:category>
          <w:name w:val="General"/>
          <w:gallery w:val="placeholder"/>
        </w:category>
        <w:types>
          <w:type w:val="bbPlcHdr"/>
        </w:types>
        <w:behaviors>
          <w:behavior w:val="content"/>
        </w:behaviors>
        <w:guid w:val="{FD4979AA-AD98-4100-A788-9DE13C056F59}"/>
      </w:docPartPr>
      <w:docPartBody>
        <w:p w:rsidR="009E4F79" w:rsidRDefault="009E4F79">
          <w:pPr>
            <w:pStyle w:val="319E79250B1A440FB6DBEF598F05EE09"/>
          </w:pPr>
          <w:r w:rsidRPr="00CA514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79"/>
    <w:rsid w:val="009E4F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9E79250B1A440FB6DBEF598F05EE09">
    <w:name w:val="319E79250B1A440FB6DBEF598F05E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15" ma:contentTypeDescription="Create a new document." ma:contentTypeScope="" ma:versionID="d94c80a54ac7a7d81886942b1cbc2453">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96003823bd4e78217d788706a02f4b19"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9b580d-3441-472b-b633-05114d4a3d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6496ee7-3c24-4ce0-9ddb-5a27ae42a294}" ma:internalName="TaxCatchAll" ma:showField="CatchAllData" ma:web="2a0920cc-17e2-4fde-a745-a5fd8e25cd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2b7c80-0f2d-4f77-964f-8aeab417169f">
      <Terms xmlns="http://schemas.microsoft.com/office/infopath/2007/PartnerControls"/>
    </lcf76f155ced4ddcb4097134ff3c332f>
    <TaxCatchAll xmlns="2a0920cc-17e2-4fde-a745-a5fd8e25cdb2"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CD9EA153BA55A4BBE480482AC7E5CB6" ma:contentTypeVersion="14" ma:contentTypeDescription="Create a new document." ma:contentTypeScope="" ma:versionID="5dbe87d2dd05ed6b0c8ef505d79d70c8">
  <xsd:schema xmlns:xsd="http://www.w3.org/2001/XMLSchema" xmlns:xs="http://www.w3.org/2001/XMLSchema" xmlns:p="http://schemas.microsoft.com/office/2006/metadata/properties" xmlns:ns3="ec7ac8d2-7227-4797-b819-56177412a92f" xmlns:ns4="2cf46619-002b-41c6-b3dc-fc269bb4d710" targetNamespace="http://schemas.microsoft.com/office/2006/metadata/properties" ma:root="true" ma:fieldsID="b5030d0f2606d4ff6b6e65b3f61f88b0" ns3:_="" ns4:_="">
    <xsd:import namespace="ec7ac8d2-7227-4797-b819-56177412a92f"/>
    <xsd:import namespace="2cf46619-002b-41c6-b3dc-fc269bb4d7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7ac8d2-7227-4797-b819-56177412a92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f46619-002b-41c6-b3dc-fc269bb4d7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24FD4D-6A59-4915-B8F2-A88745685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A3F4B2-2504-4AD0-A543-9D0E87A1D4C4}">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7f2b7c80-0f2d-4f77-964f-8aeab417169f"/>
    <ds:schemaRef ds:uri="2a0920cc-17e2-4fde-a745-a5fd8e25cdb2"/>
  </ds:schemaRefs>
</ds:datastoreItem>
</file>

<file path=customXml/itemProps5.xml><?xml version="1.0" encoding="utf-8"?>
<ds:datastoreItem xmlns:ds="http://schemas.openxmlformats.org/officeDocument/2006/customXml" ds:itemID="{CE45B0F3-50AA-4C35-9FE5-30A0BDAFE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7ac8d2-7227-4797-b819-56177412a92f"/>
    <ds:schemaRef ds:uri="2cf46619-002b-41c6-b3dc-fc269bb4d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3617</Words>
  <Characters>20621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2023-02-01T19:41:00Z</dcterms:created>
  <dcterms:modified xsi:type="dcterms:W3CDTF">2023-03-30T06:09:00Z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