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1CE9FE5F"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12C9E1FB" w14:textId="5563EF81" w:rsidR="00C51905" w:rsidRPr="00A96255" w:rsidRDefault="00C51905" w:rsidP="002F5F0C">
      <w:pPr>
        <w:pStyle w:val="MGTHeader"/>
      </w:pPr>
      <w:r w:rsidRPr="00C51905">
        <w:t>Goal 6: Ensure availability and sustainable management of water and sanitation for all</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24CC9C71" w14:textId="3954932D" w:rsidR="00C51905" w:rsidRPr="00A96255" w:rsidRDefault="00C51905" w:rsidP="00D24330">
      <w:pPr>
        <w:pStyle w:val="MGTHeader"/>
      </w:pPr>
      <w:r w:rsidRPr="00C51905">
        <w:t>Target 6.4: By 2030, substantially increase water-use efficiency across all sectors and ensure sustainable withdrawals and supply of freshwater to address water scarcity and substantially reduce the number of people suffering from water scarcity</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501BC12F" w14:textId="26D69B9C" w:rsidR="00C51905" w:rsidRPr="00A96255" w:rsidRDefault="00C51905" w:rsidP="00D24330">
      <w:pPr>
        <w:pStyle w:val="MGTHeader"/>
      </w:pPr>
      <w:r w:rsidRPr="00C51905">
        <w:t>Indicator 6.4.1: Change in water-use efficiency over time</w:t>
      </w:r>
    </w:p>
    <w:p w14:paraId="37E5E4F6" w14:textId="77777777" w:rsidR="00D24330" w:rsidRPr="00C27D64" w:rsidRDefault="00D24330" w:rsidP="00D24330">
      <w:pPr>
        <w:pStyle w:val="MIndHeader"/>
        <w:rPr>
          <w:lang w:val="en-US"/>
        </w:rPr>
      </w:pPr>
      <w:r w:rsidRPr="00C27D64">
        <w:rPr>
          <w:lang w:val="en-US"/>
        </w:rPr>
        <w:t xml:space="preserve">0.d. Series </w:t>
      </w:r>
      <w:r>
        <w:rPr>
          <w:color w:val="B4B4B4"/>
          <w:sz w:val="20"/>
        </w:rPr>
        <w:t>(SDG_SERIES_DESCR)</w:t>
      </w:r>
    </w:p>
    <w:p w14:paraId="771888BA" w14:textId="2664EDDB" w:rsidR="00D24330" w:rsidRPr="00C27D64" w:rsidRDefault="002D72BF" w:rsidP="00BB76E8">
      <w:pPr>
        <w:pStyle w:val="MGTHeader"/>
      </w:pPr>
      <w:r w:rsidRPr="002D72BF">
        <w:t>ER_H2O_WUEYST - Water Use Efficiency (United States dollars per cubic meter) [6.4.1]</w:t>
      </w:r>
    </w:p>
    <w:p w14:paraId="157DACE7" w14:textId="77777777" w:rsidR="00D24330" w:rsidRPr="003E1F42" w:rsidRDefault="00D24330" w:rsidP="00D24330">
      <w:pPr>
        <w:pStyle w:val="MIndHeader"/>
        <w:rPr>
          <w:lang w:val="en-US"/>
        </w:rPr>
      </w:pPr>
      <w:r w:rsidRPr="003E1F42">
        <w:rPr>
          <w:lang w:val="en-US"/>
        </w:rPr>
        <w:t xml:space="preserve">0.e. Metadata update </w:t>
      </w:r>
      <w:r>
        <w:rPr>
          <w:color w:val="B4B4B4"/>
          <w:sz w:val="20"/>
        </w:rPr>
        <w:t>(META_LAST_UPDATE)</w:t>
      </w:r>
    </w:p>
    <w:sdt>
      <w:sdtPr>
        <w:rPr>
          <w:lang w:val="en-US"/>
        </w:rPr>
        <w:id w:val="170232141"/>
        <w:placeholder>
          <w:docPart w:val="DefaultPlaceholder_-1854013437"/>
        </w:placeholder>
        <w:date w:fullDate="2024-07-29T00:00:00Z">
          <w:dateFormat w:val="yyyy-MM-dd"/>
          <w:lid w:val="en-US"/>
          <w:storeMappedDataAs w:val="dateTime"/>
          <w:calendar w:val="gregorian"/>
        </w:date>
      </w:sdtPr>
      <w:sdtContent>
        <w:p w14:paraId="01F11941" w14:textId="0905B33E" w:rsidR="00C51905" w:rsidRPr="003E1F42" w:rsidRDefault="0094382B" w:rsidP="00C27D64">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661F24E0" w14:textId="686DA08B" w:rsidR="005F19D3" w:rsidRDefault="005F19D3" w:rsidP="005F19D3">
      <w:pPr>
        <w:pStyle w:val="MGTHeader"/>
      </w:pPr>
      <w:r>
        <w:t>This indicator needs to be combined with the water stress indicator 6.4.2 to provide adequate follow-up of the target 6.4.</w:t>
      </w:r>
    </w:p>
    <w:p w14:paraId="0FB173E5" w14:textId="53D689B4" w:rsidR="005F19D3" w:rsidRPr="00A96255" w:rsidRDefault="005F19D3" w:rsidP="005F19D3">
      <w:pPr>
        <w:pStyle w:val="MGTHeader"/>
      </w:pPr>
      <w:r>
        <w:t>Other indicators, specifically those for Targets 1.1, 1.2, 2.1, 2.2, 5.4, 5.a, 6.1, 6.2, 6.3, 6.5 will complement the information provided by this indicator.</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793B8D3F" w14:textId="1C1A06D4" w:rsidR="00C51905" w:rsidRPr="00A96255" w:rsidRDefault="00C51905" w:rsidP="00D24330">
      <w:pPr>
        <w:pStyle w:val="MGTHeader"/>
        <w:rPr>
          <w:color w:val="4A4A4A"/>
        </w:rPr>
      </w:pPr>
      <w:r w:rsidRPr="00C51905">
        <w:t>Food and Agriculture Organization of the United Nations (FAO)</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1BD09950" w14:textId="56937C3E" w:rsidR="0009716A" w:rsidRDefault="0009716A" w:rsidP="00576CFA">
      <w:pPr>
        <w:pStyle w:val="MText"/>
      </w:pPr>
      <w:r w:rsidRPr="0009716A">
        <w:t>Food and Agriculture Organization of the United Nations (FAO)</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0538D423" w14:textId="27BCD419" w:rsidR="00223A77" w:rsidRDefault="008B0AC7" w:rsidP="00223A77">
      <w:pPr>
        <w:pStyle w:val="MHeader2"/>
      </w:pPr>
      <w:r w:rsidRPr="00A96255">
        <w:t xml:space="preserve">2.a. Definition and concepts </w:t>
      </w:r>
      <w:r>
        <w:rPr>
          <w:color w:val="B4B4B4"/>
          <w:sz w:val="20"/>
        </w:rPr>
        <w:t>(STAT_CONC_DEF)</w:t>
      </w:r>
    </w:p>
    <w:p w14:paraId="687EE1B5" w14:textId="77777777" w:rsidR="00223A77" w:rsidRPr="00E83A35" w:rsidRDefault="00223A77" w:rsidP="00223A77">
      <w:pPr>
        <w:shd w:val="clear" w:color="auto" w:fill="FFFFFF"/>
        <w:spacing w:after="0"/>
        <w:rPr>
          <w:b/>
          <w:color w:val="4A4A4A"/>
          <w:sz w:val="21"/>
        </w:rPr>
      </w:pPr>
      <w:r w:rsidRPr="00E83A35">
        <w:rPr>
          <w:b/>
          <w:color w:val="4A4A4A"/>
          <w:sz w:val="21"/>
        </w:rPr>
        <w:t>Definition:</w:t>
      </w:r>
    </w:p>
    <w:p w14:paraId="66A5C7AD" w14:textId="201CA259" w:rsidR="00223A77" w:rsidRDefault="00391D13" w:rsidP="00223A77">
      <w:pPr>
        <w:pStyle w:val="MText"/>
        <w:rPr>
          <w:rFonts w:eastAsia="Calibri"/>
        </w:rPr>
      </w:pPr>
      <w:r>
        <w:rPr>
          <w:rFonts w:eastAsia="Calibri"/>
        </w:rPr>
        <w:t>C</w:t>
      </w:r>
      <w:r w:rsidR="00223A77" w:rsidRPr="00483D28">
        <w:rPr>
          <w:rFonts w:eastAsia="Calibri"/>
        </w:rPr>
        <w:t>hange in</w:t>
      </w:r>
      <w:r w:rsidR="00223A77">
        <w:rPr>
          <w:rFonts w:eastAsia="Calibri"/>
        </w:rPr>
        <w:t xml:space="preserve"> water use efficiency over time (CWUE)</w:t>
      </w:r>
      <w:r>
        <w:rPr>
          <w:rFonts w:eastAsia="Calibri"/>
        </w:rPr>
        <w:t>:</w:t>
      </w:r>
      <w:r w:rsidR="00223A77" w:rsidRPr="00483D28">
        <w:rPr>
          <w:rFonts w:eastAsia="Calibri"/>
        </w:rPr>
        <w:t xml:space="preserve"> The change in the ratio of the </w:t>
      </w:r>
      <w:r w:rsidR="00223A77">
        <w:rPr>
          <w:rFonts w:eastAsia="Calibri"/>
        </w:rPr>
        <w:t>value added to the volume of water use</w:t>
      </w:r>
      <w:r w:rsidR="00223A77" w:rsidRPr="00483D28">
        <w:rPr>
          <w:rFonts w:eastAsia="Calibri"/>
        </w:rPr>
        <w:t>, over time.</w:t>
      </w:r>
    </w:p>
    <w:p w14:paraId="00EA1969" w14:textId="77777777" w:rsidR="00223A77" w:rsidRDefault="00223A77" w:rsidP="00223A77">
      <w:pPr>
        <w:pStyle w:val="MText"/>
        <w:rPr>
          <w:rFonts w:eastAsia="Calibri"/>
        </w:rPr>
      </w:pPr>
    </w:p>
    <w:p w14:paraId="2FDD714A" w14:textId="138714AE" w:rsidR="00223A77" w:rsidRPr="00CF1CA4" w:rsidRDefault="00223A77" w:rsidP="00A67894">
      <w:pPr>
        <w:pStyle w:val="MText"/>
        <w:rPr>
          <w:rFonts w:eastAsia="Calibri"/>
        </w:rPr>
      </w:pPr>
      <w:r>
        <w:rPr>
          <w:rFonts w:eastAsia="Calibri"/>
        </w:rPr>
        <w:lastRenderedPageBreak/>
        <w:t xml:space="preserve">Water Use Efficiency (WUE) </w:t>
      </w:r>
      <w:r w:rsidRPr="00CF1CA4">
        <w:rPr>
          <w:rFonts w:eastAsia="Calibri"/>
        </w:rPr>
        <w:t xml:space="preserve">is defined as the </w:t>
      </w:r>
      <w:r w:rsidRPr="00CF1CA4">
        <w:rPr>
          <w:rFonts w:eastAsia="Calibri"/>
          <w:shd w:val="clear" w:color="auto" w:fill="FFFFFF"/>
        </w:rPr>
        <w:t>value added</w:t>
      </w:r>
      <w:r w:rsidRPr="00CF1CA4">
        <w:rPr>
          <w:szCs w:val="20"/>
        </w:rPr>
        <w:t xml:space="preserve"> </w:t>
      </w:r>
      <w:r w:rsidRPr="00CF1CA4">
        <w:rPr>
          <w:rFonts w:eastAsia="Calibri"/>
        </w:rPr>
        <w:t>of a given major sector</w:t>
      </w:r>
      <w:r w:rsidRPr="00CF1CA4">
        <w:rPr>
          <w:rFonts w:eastAsia="Calibri"/>
          <w:vertAlign w:val="superscript"/>
        </w:rPr>
        <w:footnoteReference w:id="2"/>
      </w:r>
      <w:r>
        <w:rPr>
          <w:rFonts w:eastAsia="Calibri"/>
        </w:rPr>
        <w:t xml:space="preserve"> divided by the </w:t>
      </w:r>
      <w:r w:rsidRPr="00CF1CA4">
        <w:rPr>
          <w:rFonts w:eastAsia="Calibri"/>
        </w:rPr>
        <w:t xml:space="preserve">volume of water </w:t>
      </w:r>
      <w:r>
        <w:rPr>
          <w:rFonts w:eastAsia="Calibri"/>
        </w:rPr>
        <w:t>used</w:t>
      </w:r>
      <w:r w:rsidRPr="00CF1CA4">
        <w:rPr>
          <w:rFonts w:eastAsia="Calibri"/>
        </w:rPr>
        <w:t>. Following</w:t>
      </w:r>
      <w:r w:rsidR="00DE3214">
        <w:rPr>
          <w:rFonts w:eastAsia="Calibri"/>
        </w:rPr>
        <w:t xml:space="preserve"> the </w:t>
      </w:r>
      <w:r w:rsidR="00A67894">
        <w:rPr>
          <w:rFonts w:eastAsia="Calibri"/>
        </w:rPr>
        <w:t xml:space="preserve">United Nations International Standard Industrial Classification of All Economic Activities </w:t>
      </w:r>
      <w:r w:rsidRPr="00CF1CA4">
        <w:rPr>
          <w:rFonts w:eastAsia="Calibri"/>
        </w:rPr>
        <w:t xml:space="preserve">ISIC 4 </w:t>
      </w:r>
      <w:proofErr w:type="gramStart"/>
      <w:r w:rsidRPr="00CF1CA4">
        <w:rPr>
          <w:rFonts w:eastAsia="Calibri"/>
        </w:rPr>
        <w:t>coding</w:t>
      </w:r>
      <w:r w:rsidR="00A67894">
        <w:rPr>
          <w:rFonts w:eastAsia="Calibri"/>
        </w:rPr>
        <w:t xml:space="preserve"> </w:t>
      </w:r>
      <w:r w:rsidRPr="00CF1CA4">
        <w:rPr>
          <w:rFonts w:eastAsia="Calibri"/>
        </w:rPr>
        <w:t>,</w:t>
      </w:r>
      <w:proofErr w:type="gramEnd"/>
      <w:r w:rsidRPr="00CF1CA4">
        <w:rPr>
          <w:rFonts w:eastAsia="Calibri"/>
        </w:rPr>
        <w:t xml:space="preserve"> sectors are defined as:</w:t>
      </w:r>
    </w:p>
    <w:p w14:paraId="5D4FFACD" w14:textId="77777777" w:rsidR="00223A77" w:rsidRPr="00CF1CA4" w:rsidRDefault="00223A77" w:rsidP="00223A77">
      <w:pPr>
        <w:pStyle w:val="MText"/>
        <w:numPr>
          <w:ilvl w:val="0"/>
          <w:numId w:val="11"/>
        </w:numPr>
        <w:rPr>
          <w:rFonts w:eastAsia="Calibri"/>
          <w:lang w:bidi="en-US"/>
        </w:rPr>
      </w:pPr>
      <w:r w:rsidRPr="00CF1CA4">
        <w:rPr>
          <w:rFonts w:eastAsia="Calibri"/>
          <w:lang w:bidi="en-US"/>
        </w:rPr>
        <w:t>agriculture; forestry; fishing (ISIC A), hereinafter “agriculture”;</w:t>
      </w:r>
    </w:p>
    <w:p w14:paraId="6055646C" w14:textId="77777777" w:rsidR="00223A77" w:rsidRPr="00CF1CA4" w:rsidRDefault="00223A77" w:rsidP="00223A77">
      <w:pPr>
        <w:pStyle w:val="MText"/>
        <w:numPr>
          <w:ilvl w:val="0"/>
          <w:numId w:val="11"/>
        </w:numPr>
        <w:rPr>
          <w:rFonts w:eastAsia="Calibri"/>
          <w:lang w:bidi="en-US"/>
        </w:rPr>
      </w:pPr>
      <w:r w:rsidRPr="00CF1CA4">
        <w:rPr>
          <w:rFonts w:eastAsia="Calibri"/>
          <w:lang w:bidi="en-US"/>
        </w:rPr>
        <w:t>mining and quarrying; manufacturing; electricity, gas, steam and air conditioning supply; constructions (ISIC B, C, D and F), hereinafter “MIMEC”;</w:t>
      </w:r>
    </w:p>
    <w:p w14:paraId="46FA7294" w14:textId="77777777" w:rsidR="00223A77" w:rsidRDefault="00223A77" w:rsidP="00223A77">
      <w:pPr>
        <w:pStyle w:val="MText"/>
        <w:numPr>
          <w:ilvl w:val="0"/>
          <w:numId w:val="11"/>
        </w:numPr>
        <w:rPr>
          <w:rFonts w:eastAsia="Calibri"/>
          <w:lang w:bidi="en-US"/>
        </w:rPr>
      </w:pPr>
      <w:r w:rsidRPr="00CF1CA4">
        <w:rPr>
          <w:rFonts w:eastAsia="Calibri"/>
          <w:lang w:bidi="en-US"/>
        </w:rPr>
        <w:t>all the service sectors (ISIC E and ISIC G-T), hereinafter “services”.</w:t>
      </w:r>
    </w:p>
    <w:p w14:paraId="305E631D" w14:textId="77777777" w:rsidR="00223A77" w:rsidRDefault="00223A77" w:rsidP="00223A77">
      <w:pPr>
        <w:shd w:val="clear" w:color="auto" w:fill="FFFFFF"/>
        <w:spacing w:after="0"/>
        <w:rPr>
          <w:rFonts w:eastAsia="Times New Roman" w:cs="Times New Roman"/>
          <w:b/>
          <w:bCs/>
          <w:color w:val="4A4A4A"/>
          <w:sz w:val="21"/>
          <w:szCs w:val="21"/>
          <w:lang w:eastAsia="en-GB"/>
        </w:rPr>
      </w:pPr>
    </w:p>
    <w:p w14:paraId="300D15BF" w14:textId="77777777" w:rsidR="00223A77" w:rsidRPr="00E83A35" w:rsidRDefault="00223A77" w:rsidP="00223A77">
      <w:pPr>
        <w:shd w:val="clear" w:color="auto" w:fill="FFFFFF"/>
        <w:spacing w:after="0"/>
        <w:rPr>
          <w:b/>
          <w:color w:val="4A4A4A"/>
          <w:sz w:val="21"/>
        </w:rPr>
      </w:pPr>
      <w:r w:rsidRPr="00E83A35">
        <w:rPr>
          <w:b/>
          <w:color w:val="4A4A4A"/>
          <w:sz w:val="21"/>
        </w:rPr>
        <w:t>Concepts:</w:t>
      </w:r>
    </w:p>
    <w:p w14:paraId="0107FB6F" w14:textId="77777777" w:rsidR="00223A77" w:rsidRDefault="00223A77" w:rsidP="00223A77">
      <w:pPr>
        <w:pStyle w:val="MText"/>
        <w:numPr>
          <w:ilvl w:val="0"/>
          <w:numId w:val="12"/>
        </w:numPr>
        <w:rPr>
          <w:rFonts w:eastAsia="Calibri"/>
        </w:rPr>
      </w:pPr>
      <w:r w:rsidRPr="00CF1CA4">
        <w:rPr>
          <w:rFonts w:eastAsia="Calibri"/>
        </w:rPr>
        <w:t>Water use: water that is received by an industry or households from another industry or is directly abstracted.</w:t>
      </w:r>
      <w:r>
        <w:rPr>
          <w:rFonts w:eastAsia="Calibri"/>
        </w:rPr>
        <w:t xml:space="preserve"> [SEEA-Water (</w:t>
      </w:r>
      <w:r w:rsidRPr="00E95113">
        <w:rPr>
          <w:rFonts w:eastAsia="Calibri"/>
        </w:rPr>
        <w:t>ST/ESA/STAT/SER.F/100</w:t>
      </w:r>
      <w:r>
        <w:rPr>
          <w:rFonts w:eastAsia="Calibri"/>
        </w:rPr>
        <w:t>), par. 2.21]</w:t>
      </w:r>
    </w:p>
    <w:p w14:paraId="2A4589E6" w14:textId="77777777" w:rsidR="00223A77" w:rsidRPr="00CF1CA4" w:rsidRDefault="00223A77" w:rsidP="00223A77">
      <w:pPr>
        <w:pStyle w:val="MText"/>
        <w:ind w:left="720"/>
        <w:rPr>
          <w:rFonts w:eastAsia="Calibri"/>
        </w:rPr>
      </w:pPr>
    </w:p>
    <w:p w14:paraId="48C7F55A" w14:textId="77777777" w:rsidR="00223A77" w:rsidRDefault="00223A77" w:rsidP="00223A77">
      <w:pPr>
        <w:pStyle w:val="MText"/>
        <w:numPr>
          <w:ilvl w:val="0"/>
          <w:numId w:val="12"/>
        </w:numPr>
        <w:rPr>
          <w:rFonts w:eastAsia="Calibri"/>
        </w:rPr>
      </w:pPr>
      <w:r w:rsidRPr="00CF1CA4">
        <w:rPr>
          <w:rFonts w:eastAsia="Calibri"/>
        </w:rPr>
        <w:t xml:space="preserve">Water </w:t>
      </w:r>
      <w:r>
        <w:rPr>
          <w:rFonts w:eastAsia="Calibri"/>
        </w:rPr>
        <w:t>abstraction: water removed from the environment by the economy. [SEEA-Water (</w:t>
      </w:r>
      <w:r w:rsidRPr="00E95113">
        <w:rPr>
          <w:rFonts w:eastAsia="Calibri"/>
        </w:rPr>
        <w:t>ST/ESA/STAT/SER.F/100</w:t>
      </w:r>
      <w:r>
        <w:rPr>
          <w:rFonts w:eastAsia="Calibri"/>
        </w:rPr>
        <w:t>), par. 2.9]</w:t>
      </w:r>
    </w:p>
    <w:p w14:paraId="3A1C56E6" w14:textId="77777777" w:rsidR="00223A77" w:rsidRDefault="00223A77" w:rsidP="00223A77">
      <w:pPr>
        <w:pStyle w:val="MText"/>
        <w:rPr>
          <w:rFonts w:eastAsia="Calibri"/>
        </w:rPr>
      </w:pPr>
    </w:p>
    <w:p w14:paraId="6C3E8593" w14:textId="77777777" w:rsidR="00223A77" w:rsidRPr="00FE54D4" w:rsidRDefault="00223A77" w:rsidP="00223A77">
      <w:pPr>
        <w:pStyle w:val="MText"/>
        <w:numPr>
          <w:ilvl w:val="0"/>
          <w:numId w:val="12"/>
        </w:numPr>
        <w:rPr>
          <w:lang w:val="en-US"/>
        </w:rPr>
      </w:pPr>
      <w:r w:rsidRPr="00FE54D4">
        <w:rPr>
          <w:lang w:val="en-US"/>
        </w:rPr>
        <w:t xml:space="preserve">Water </w:t>
      </w:r>
      <w:r>
        <w:rPr>
          <w:lang w:val="en-US"/>
        </w:rPr>
        <w:t>use</w:t>
      </w:r>
      <w:r w:rsidRPr="00FE54D4">
        <w:rPr>
          <w:lang w:val="en-US"/>
        </w:rPr>
        <w:t xml:space="preserve"> for irrigation (km³/year) </w:t>
      </w:r>
    </w:p>
    <w:p w14:paraId="3597584E" w14:textId="77777777" w:rsidR="00223A77" w:rsidRPr="00807826" w:rsidRDefault="00223A77" w:rsidP="00223A77">
      <w:pPr>
        <w:pStyle w:val="MText"/>
        <w:numPr>
          <w:ilvl w:val="1"/>
          <w:numId w:val="12"/>
        </w:numPr>
        <w:rPr>
          <w:rFonts w:cs="Calibri"/>
        </w:rPr>
      </w:pPr>
      <w:r w:rsidRPr="00807826">
        <w:rPr>
          <w:rFonts w:cs="Calibri"/>
        </w:rPr>
        <w:t xml:space="preserve">Annual quantity of water </w:t>
      </w:r>
      <w:r>
        <w:rPr>
          <w:rFonts w:cs="Calibri"/>
        </w:rPr>
        <w:t>used</w:t>
      </w:r>
      <w:r w:rsidRPr="00807826">
        <w:rPr>
          <w:rFonts w:cs="Calibri"/>
        </w:rPr>
        <w:t xml:space="preserve"> for irrigation purposes. It includes water </w:t>
      </w:r>
      <w:r w:rsidRPr="00807826">
        <w:rPr>
          <w:rFonts w:ascii="Calibri" w:hAnsi="Calibri" w:cs="Calibri"/>
        </w:rPr>
        <w:t>from renewable freshwater resources</w:t>
      </w:r>
      <w:r w:rsidRPr="00807826">
        <w:rPr>
          <w:rFonts w:cs="Calibri"/>
        </w:rPr>
        <w:t xml:space="preserve">, as well as water from over-abstraction of renewable groundwater or </w:t>
      </w:r>
      <w:r>
        <w:rPr>
          <w:rFonts w:cs="Calibri"/>
        </w:rPr>
        <w:t>abstraction</w:t>
      </w:r>
      <w:r w:rsidRPr="00807826">
        <w:rPr>
          <w:rFonts w:cs="Calibri"/>
        </w:rPr>
        <w:t xml:space="preserve"> of fossil groundwater, direct use of agricultural drainage water, (treated) wastewater, and desalinated water</w:t>
      </w:r>
      <w:r w:rsidRPr="000620DF">
        <w:t>.</w:t>
      </w:r>
      <w:r w:rsidRPr="000620DF">
        <w:rPr>
          <w:rFonts w:eastAsia="Calibri"/>
        </w:rPr>
        <w:t xml:space="preserve"> [AQUASTAT Glossary]</w:t>
      </w:r>
    </w:p>
    <w:p w14:paraId="0A238494" w14:textId="77777777" w:rsidR="00223A77" w:rsidRDefault="00223A77" w:rsidP="00223A77">
      <w:pPr>
        <w:pStyle w:val="MText"/>
        <w:rPr>
          <w:lang w:val="en-US"/>
        </w:rPr>
      </w:pPr>
    </w:p>
    <w:p w14:paraId="0FA1C5E2" w14:textId="77777777" w:rsidR="00223A77" w:rsidRPr="000620DF" w:rsidRDefault="00223A77" w:rsidP="00223A77">
      <w:pPr>
        <w:pStyle w:val="MText"/>
        <w:numPr>
          <w:ilvl w:val="0"/>
          <w:numId w:val="13"/>
        </w:numPr>
      </w:pPr>
      <w:r w:rsidRPr="000620DF">
        <w:t xml:space="preserve">Water use for livestock (watering and cleaning) (km³/year) </w:t>
      </w:r>
    </w:p>
    <w:p w14:paraId="4C3137B5" w14:textId="77777777" w:rsidR="00223A77" w:rsidRPr="00E23633" w:rsidRDefault="00223A77" w:rsidP="00223A77">
      <w:pPr>
        <w:pStyle w:val="MText"/>
        <w:numPr>
          <w:ilvl w:val="1"/>
          <w:numId w:val="13"/>
        </w:numPr>
      </w:pPr>
      <w:r w:rsidRPr="000620DF">
        <w:t>Annual quantity of water used for livestock purposes. It includes water from renewable freshwater resources, as well as water from over-abstraction of renewable groundwater or abstraction of fossil groundwater, direct use of agricultural drainage water, (treated) wastewater, and desalinated water. It includes livestock watering, sanitation, cleaning of stables, etc. If connected to the public water supply network, water used for livestock is included in the services water use.</w:t>
      </w:r>
      <w:r w:rsidRPr="000620DF">
        <w:rPr>
          <w:rFonts w:eastAsia="Calibri"/>
        </w:rPr>
        <w:t xml:space="preserve"> [AQUASTAT Glossary]</w:t>
      </w:r>
    </w:p>
    <w:p w14:paraId="1732F4F8" w14:textId="77777777" w:rsidR="00223A77" w:rsidRPr="000620DF" w:rsidRDefault="00223A77" w:rsidP="00223A77">
      <w:pPr>
        <w:pStyle w:val="MText"/>
        <w:ind w:left="1440"/>
      </w:pPr>
    </w:p>
    <w:p w14:paraId="18EC9C3F" w14:textId="77777777" w:rsidR="00223A77" w:rsidRPr="000620DF" w:rsidRDefault="00223A77" w:rsidP="00223A77">
      <w:pPr>
        <w:pStyle w:val="MText"/>
        <w:numPr>
          <w:ilvl w:val="0"/>
          <w:numId w:val="13"/>
        </w:numPr>
      </w:pPr>
      <w:r w:rsidRPr="000620DF">
        <w:t xml:space="preserve">Water use for aquaculture (km³/year) </w:t>
      </w:r>
    </w:p>
    <w:p w14:paraId="4832E1AC" w14:textId="77777777" w:rsidR="00223A77" w:rsidRPr="00E23633" w:rsidRDefault="00223A77" w:rsidP="00223A77">
      <w:pPr>
        <w:pStyle w:val="MText"/>
        <w:numPr>
          <w:ilvl w:val="1"/>
          <w:numId w:val="13"/>
        </w:numPr>
      </w:pPr>
      <w:r w:rsidRPr="000620DF">
        <w:t>Annual quantity of water used for aquaculture. It includes water from renewable freshwater resources, as well as water from over-abstraction of renewable groundwater or abstraction of fossil groundwater, direct use of agricultural drainage water, (treated) wastewater, and desalinated water. Aquaculture is the farming of aquatic organisms in inland and coastal areas, involving intervention in the rearing process to enhance production and the individual or corporate ownership of the stock being cultivated.</w:t>
      </w:r>
      <w:r w:rsidRPr="000620DF">
        <w:rPr>
          <w:rFonts w:eastAsia="Calibri"/>
        </w:rPr>
        <w:t xml:space="preserve"> [AQUASTAT Glossary]</w:t>
      </w:r>
    </w:p>
    <w:p w14:paraId="63085395" w14:textId="77777777" w:rsidR="00223A77" w:rsidRPr="000620DF" w:rsidRDefault="00223A77" w:rsidP="00223A77">
      <w:pPr>
        <w:pStyle w:val="MText"/>
        <w:ind w:left="1440"/>
      </w:pPr>
    </w:p>
    <w:p w14:paraId="517B5BA3" w14:textId="77777777" w:rsidR="00223A77" w:rsidRPr="000620DF" w:rsidRDefault="00223A77" w:rsidP="00223A77">
      <w:pPr>
        <w:pStyle w:val="MText"/>
        <w:numPr>
          <w:ilvl w:val="0"/>
          <w:numId w:val="13"/>
        </w:numPr>
      </w:pPr>
      <w:r w:rsidRPr="000620DF">
        <w:t>Water use for the MIMEC sectors (km³/year)</w:t>
      </w:r>
    </w:p>
    <w:p w14:paraId="04775442" w14:textId="77777777" w:rsidR="00223A77" w:rsidRDefault="00223A77" w:rsidP="00223A77">
      <w:pPr>
        <w:pStyle w:val="MText"/>
        <w:numPr>
          <w:ilvl w:val="1"/>
          <w:numId w:val="13"/>
        </w:numPr>
      </w:pPr>
      <w:r w:rsidRPr="000620DF">
        <w:t xml:space="preserve">Annual quantity of water used for the MIMEC sector. It includes water from renewable freshwater resources, as well as over-abstraction of renewable groundwater or abstraction of fossil groundwater and use of desalinated water or direct use of (treated) wastewater. This sector refers to self-supplied industries not connected to the public </w:t>
      </w:r>
      <w:r w:rsidRPr="000620DF">
        <w:lastRenderedPageBreak/>
        <w:t>distribution network. [AQUASTAT Glossary. To be noted that in AQUASTAT, the sectors included in the MIMEC group are referred to as “industry”]</w:t>
      </w:r>
      <w:r w:rsidRPr="000620DF">
        <w:rPr>
          <w:rStyle w:val="FootnoteReference"/>
        </w:rPr>
        <w:footnoteReference w:id="3"/>
      </w:r>
    </w:p>
    <w:p w14:paraId="70E82BDC" w14:textId="77777777" w:rsidR="00223A77" w:rsidRPr="000620DF" w:rsidRDefault="00223A77" w:rsidP="00223A77">
      <w:pPr>
        <w:pStyle w:val="MText"/>
        <w:ind w:left="1440"/>
      </w:pPr>
    </w:p>
    <w:p w14:paraId="15E7867E" w14:textId="77777777" w:rsidR="00223A77" w:rsidRPr="000620DF" w:rsidRDefault="00223A77" w:rsidP="00223A77">
      <w:pPr>
        <w:pStyle w:val="MText"/>
        <w:numPr>
          <w:ilvl w:val="0"/>
          <w:numId w:val="13"/>
        </w:numPr>
      </w:pPr>
      <w:r w:rsidRPr="000620DF">
        <w:t>Water use for the services sectors (km³/year)</w:t>
      </w:r>
    </w:p>
    <w:p w14:paraId="6E1F5514" w14:textId="77777777" w:rsidR="00223A77" w:rsidRDefault="00223A77" w:rsidP="00223A77">
      <w:pPr>
        <w:pStyle w:val="MText"/>
        <w:numPr>
          <w:ilvl w:val="1"/>
          <w:numId w:val="13"/>
        </w:numPr>
      </w:pPr>
      <w:r w:rsidRPr="000620DF">
        <w:t>Annual quantity of water used primarily for the direct use by the population. It includes water from renewable freshwater resources, as well as over-abstraction of renewable groundwater or abstraction of fossil groundwater and the use of desalinated water or direct use of treated wastewater. It is usually computed as the total water used by the public distribution network. It can include that part of the industries, which is connected to the municipal network. [AQUASTAT Glossary. To be noted that in AQUASTAT, the sectors included in “services” are referred to as “municipal”]</w:t>
      </w:r>
    </w:p>
    <w:p w14:paraId="430FE124" w14:textId="77777777" w:rsidR="00223A77" w:rsidRPr="000620DF" w:rsidRDefault="00223A77" w:rsidP="00223A77">
      <w:pPr>
        <w:pStyle w:val="MText"/>
        <w:ind w:left="1440"/>
      </w:pPr>
    </w:p>
    <w:p w14:paraId="533D0C1A" w14:textId="77777777" w:rsidR="00223A77" w:rsidRPr="000620DF" w:rsidRDefault="00223A77" w:rsidP="00223A77">
      <w:pPr>
        <w:pStyle w:val="MText"/>
        <w:numPr>
          <w:ilvl w:val="0"/>
          <w:numId w:val="13"/>
        </w:numPr>
      </w:pPr>
      <w:r w:rsidRPr="000620DF">
        <w:t>Value added (gross)</w:t>
      </w:r>
    </w:p>
    <w:p w14:paraId="68061C1B" w14:textId="77777777" w:rsidR="00223A77" w:rsidRDefault="00223A77" w:rsidP="00223A77">
      <w:pPr>
        <w:pStyle w:val="MText"/>
        <w:numPr>
          <w:ilvl w:val="1"/>
          <w:numId w:val="13"/>
        </w:numPr>
      </w:pPr>
      <w:r w:rsidRPr="000620DF">
        <w:t>Value added is the net output of a sector after adding up all outputs and subtracting intermediate inputs. It is calculated without making deductions for depreciation of fabricated assets or depletion and degradation of natural resources. The industrial origin of value added is determined by the International Standard Industrial Classification (ISIC), revision 4. [WB Databank, metadata glossary, modified]</w:t>
      </w:r>
    </w:p>
    <w:p w14:paraId="4D712FC5" w14:textId="77777777" w:rsidR="00223A77" w:rsidRPr="000620DF" w:rsidRDefault="00223A77" w:rsidP="00223A77">
      <w:pPr>
        <w:pStyle w:val="MText"/>
        <w:ind w:left="1440"/>
      </w:pPr>
    </w:p>
    <w:p w14:paraId="0A426AFE" w14:textId="77777777" w:rsidR="00223A77" w:rsidRPr="000620DF" w:rsidRDefault="00223A77" w:rsidP="00223A77">
      <w:pPr>
        <w:pStyle w:val="MText"/>
        <w:numPr>
          <w:ilvl w:val="0"/>
          <w:numId w:val="13"/>
        </w:numPr>
      </w:pPr>
      <w:r w:rsidRPr="000620DF">
        <w:t>Arable land</w:t>
      </w:r>
    </w:p>
    <w:p w14:paraId="310F3E42" w14:textId="77777777" w:rsidR="00223A77" w:rsidRDefault="00223A77" w:rsidP="00223A77">
      <w:pPr>
        <w:pStyle w:val="MText"/>
        <w:numPr>
          <w:ilvl w:val="1"/>
          <w:numId w:val="13"/>
        </w:numPr>
      </w:pPr>
      <w:r w:rsidRPr="000620DF">
        <w:t>Arable land is the land under temporary agricultural crops (multiple-cropped areas are counted only once), temporary meadows for mowing or pasture, land under market and kitchen gardens and land temporarily fallow (less than five years). The abandoned land resulting from shifting cultivation is not included in this category. Data for “Arable land” are not meant to indicate the amount of land that is potentially cultivable. [FAOSTAT]</w:t>
      </w:r>
    </w:p>
    <w:p w14:paraId="30D4355B" w14:textId="77777777" w:rsidR="00223A77" w:rsidRPr="000620DF" w:rsidRDefault="00223A77" w:rsidP="00223A77">
      <w:pPr>
        <w:pStyle w:val="MText"/>
        <w:ind w:left="1440"/>
      </w:pPr>
    </w:p>
    <w:p w14:paraId="580FB38E" w14:textId="77777777" w:rsidR="00223A77" w:rsidRPr="000620DF" w:rsidRDefault="00223A77" w:rsidP="00223A77">
      <w:pPr>
        <w:pStyle w:val="MText"/>
        <w:numPr>
          <w:ilvl w:val="0"/>
          <w:numId w:val="13"/>
        </w:numPr>
      </w:pPr>
      <w:r w:rsidRPr="000620DF">
        <w:t>Permanent crops</w:t>
      </w:r>
    </w:p>
    <w:p w14:paraId="6D684412" w14:textId="77777777" w:rsidR="00223A77" w:rsidRDefault="00223A77" w:rsidP="00223A77">
      <w:pPr>
        <w:pStyle w:val="MText"/>
        <w:numPr>
          <w:ilvl w:val="1"/>
          <w:numId w:val="13"/>
        </w:numPr>
      </w:pPr>
      <w:r w:rsidRPr="000620DF">
        <w:t xml:space="preserve">Permanent crops </w:t>
      </w:r>
      <w:r>
        <w:t>are</w:t>
      </w:r>
      <w:r w:rsidRPr="000620DF">
        <w:t xml:space="preserve"> the land cultivated with long-term crops which do not have to be replanted for several years (such as cocoa and coffee); land under trees and shrubs producing flowers, such as roses and jasmine; and nurseries (except those for forest trees, which should be classified under "forest"). Permanent meadows and pastures are excluded from land under permanent crops. [FAOSTAT]</w:t>
      </w:r>
    </w:p>
    <w:p w14:paraId="54085F8C" w14:textId="77777777" w:rsidR="00223A77" w:rsidRPr="000620DF" w:rsidRDefault="00223A77" w:rsidP="00223A77">
      <w:pPr>
        <w:pStyle w:val="MText"/>
        <w:ind w:left="1440"/>
      </w:pPr>
    </w:p>
    <w:p w14:paraId="6046652F" w14:textId="77777777" w:rsidR="00223A77" w:rsidRPr="000620DF" w:rsidRDefault="00223A77" w:rsidP="00223A77">
      <w:pPr>
        <w:pStyle w:val="MText"/>
        <w:numPr>
          <w:ilvl w:val="0"/>
          <w:numId w:val="13"/>
        </w:numPr>
      </w:pPr>
      <w:r w:rsidRPr="000620DF">
        <w:t>Proportion of irrigated land on the total cultivated land</w:t>
      </w:r>
    </w:p>
    <w:p w14:paraId="07A4A86D" w14:textId="57AF03CB" w:rsidR="00223A77" w:rsidRPr="000620DF" w:rsidRDefault="00FF6AA4" w:rsidP="00616A93">
      <w:pPr>
        <w:pStyle w:val="MText"/>
        <w:numPr>
          <w:ilvl w:val="1"/>
          <w:numId w:val="13"/>
        </w:numPr>
      </w:pPr>
      <w:r w:rsidRPr="00FF6AA4">
        <w:t>Total harvested irrigated crop area</w:t>
      </w:r>
      <w:r>
        <w:t>,</w:t>
      </w:r>
      <w:r w:rsidRPr="00FF6AA4">
        <w:t xml:space="preserve"> </w:t>
      </w:r>
      <w:r w:rsidRPr="000620DF">
        <w:t>expressed in percentage</w:t>
      </w:r>
      <w:r w:rsidRPr="00FF6AA4">
        <w:t>. Area under double irrigated cropping (same area cultivated and irrigated twice a year) is counted twice</w:t>
      </w:r>
      <w:r w:rsidR="004D592A">
        <w:t>.</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40DDE6B2" w14:textId="77777777" w:rsidR="00B84C58" w:rsidRDefault="00B84C58" w:rsidP="00B84C58">
      <w:pPr>
        <w:pStyle w:val="MText"/>
        <w:rPr>
          <w:rFonts w:eastAsia="Calibri"/>
        </w:rPr>
      </w:pPr>
      <w:r>
        <w:rPr>
          <w:rFonts w:eastAsia="Calibri"/>
        </w:rPr>
        <w:t>The unit of the indicator is expressed in Value/Volume, commonly USD/m</w:t>
      </w:r>
      <w:r w:rsidRPr="00F0690D">
        <w:rPr>
          <w:rFonts w:eastAsia="Calibri"/>
          <w:vertAlign w:val="superscript"/>
        </w:rPr>
        <w:t>3</w:t>
      </w:r>
      <w:r>
        <w:rPr>
          <w:rFonts w:eastAsia="Calibri"/>
        </w:rPr>
        <w:t>.</w:t>
      </w:r>
    </w:p>
    <w:p w14:paraId="548E9AAA" w14:textId="77777777" w:rsidR="00EC2915" w:rsidRPr="00A96255" w:rsidRDefault="00EC2915" w:rsidP="00576CFA">
      <w:pPr>
        <w:pStyle w:val="MText"/>
      </w:pPr>
    </w:p>
    <w:p w14:paraId="7D45431E" w14:textId="1974FB64" w:rsidR="006B7994" w:rsidRPr="00EE1A9B" w:rsidRDefault="008B0AC7" w:rsidP="00EE1A9B">
      <w:pPr>
        <w:pStyle w:val="MHeader2"/>
        <w:rPr>
          <w:highlight w:val="yellow"/>
        </w:rPr>
      </w:pPr>
      <w:r w:rsidRPr="00A96255">
        <w:t xml:space="preserve">2.c. Classifications </w:t>
      </w:r>
      <w:r>
        <w:rPr>
          <w:color w:val="B4B4B4"/>
          <w:sz w:val="20"/>
        </w:rPr>
        <w:t>(CLASS_SYSTEM)</w:t>
      </w:r>
    </w:p>
    <w:p w14:paraId="35251E4B" w14:textId="0F621B27" w:rsidR="00FD28F2" w:rsidRDefault="00FD28F2" w:rsidP="00FD28F2">
      <w:pPr>
        <w:pStyle w:val="MText"/>
      </w:pPr>
      <w:r>
        <w:t>System of Environmental-Economic Accounting for Water</w:t>
      </w:r>
      <w:r w:rsidR="00391D13">
        <w:t xml:space="preserve"> (SEEA-water)</w:t>
      </w:r>
    </w:p>
    <w:p w14:paraId="1D9262EB" w14:textId="6C07FFEE" w:rsidR="00FD28F2" w:rsidRDefault="00FD28F2" w:rsidP="00FD28F2">
      <w:pPr>
        <w:pStyle w:val="MText"/>
      </w:pPr>
      <w:r>
        <w:lastRenderedPageBreak/>
        <w:t>SEEA-water is used to define the concept of “water use” in the context of this indicator, and to describe the water flows among users.</w:t>
      </w:r>
    </w:p>
    <w:p w14:paraId="1C664874" w14:textId="2AF895AA" w:rsidR="006B7994" w:rsidRPr="00EE1A9B" w:rsidRDefault="006B7994" w:rsidP="006B7994">
      <w:pPr>
        <w:pStyle w:val="MText"/>
        <w:rPr>
          <w:highlight w:val="yellow"/>
        </w:rPr>
      </w:pPr>
      <w:r w:rsidRPr="006B7994">
        <w:t>International Standard Industrial Classification of All Economic Activities, revision 4</w:t>
      </w:r>
    </w:p>
    <w:p w14:paraId="6291A7DD" w14:textId="42372534" w:rsidR="00576CFA" w:rsidRPr="00A96255" w:rsidRDefault="00EA0D57" w:rsidP="00576CFA">
      <w:pPr>
        <w:pStyle w:val="MText"/>
      </w:pPr>
      <w:r w:rsidRPr="00284FFD">
        <w:t>ISIC</w:t>
      </w:r>
      <w:r w:rsidR="006B7994" w:rsidRPr="00284FFD">
        <w:t>-</w:t>
      </w:r>
      <w:r w:rsidRPr="00284FFD">
        <w:t>4</w:t>
      </w:r>
      <w:r w:rsidR="006B7994" w:rsidRPr="00284FFD">
        <w:t xml:space="preserve"> is used as the standard for the definition of the economic sectors.</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46B90E59" w14:textId="640C026F" w:rsidR="00F40D6D" w:rsidRPr="00AD3536" w:rsidRDefault="32B15359" w:rsidP="4E9E304D">
      <w:pPr>
        <w:keepNext/>
        <w:keepLines/>
        <w:shd w:val="clear" w:color="auto" w:fill="FFFFFF" w:themeFill="background1"/>
        <w:spacing w:after="0"/>
        <w:contextualSpacing/>
        <w:rPr>
          <w:rFonts w:eastAsia="Times New Roman" w:cs="Times New Roman"/>
          <w:color w:val="4A4A4A"/>
          <w:sz w:val="21"/>
          <w:szCs w:val="21"/>
          <w:lang w:eastAsia="en-GB"/>
        </w:rPr>
      </w:pPr>
      <w:r w:rsidRPr="00284FFD">
        <w:rPr>
          <w:rStyle w:val="MTextChar"/>
          <w:rFonts w:eastAsiaTheme="minorEastAsia"/>
        </w:rPr>
        <w:t xml:space="preserve">Data </w:t>
      </w:r>
      <w:r w:rsidR="004063D1" w:rsidRPr="00284FFD">
        <w:rPr>
          <w:rStyle w:val="MTextChar"/>
          <w:rFonts w:eastAsiaTheme="minorEastAsia"/>
        </w:rPr>
        <w:t xml:space="preserve">needed for </w:t>
      </w:r>
      <w:r w:rsidR="4AF3459C" w:rsidRPr="00284FFD">
        <w:rPr>
          <w:rStyle w:val="MTextChar"/>
          <w:rFonts w:eastAsiaTheme="minorEastAsia"/>
        </w:rPr>
        <w:t>the calculation of the</w:t>
      </w:r>
      <w:r w:rsidR="004063D1" w:rsidRPr="00284FFD">
        <w:rPr>
          <w:rStyle w:val="MTextChar"/>
          <w:rFonts w:eastAsiaTheme="minorEastAsia"/>
        </w:rPr>
        <w:t xml:space="preserve"> indicator are administrative data collected at country level by the relevant institutions, either technical (for water and irrigation) or economic (for value added).</w:t>
      </w:r>
      <w:r w:rsidR="00F40D6D" w:rsidRPr="00284FFD">
        <w:rPr>
          <w:rStyle w:val="MTextChar"/>
          <w:rFonts w:eastAsiaTheme="minorEastAsia"/>
        </w:rPr>
        <w:t xml:space="preserve"> </w:t>
      </w:r>
      <w:r w:rsidR="00F40D6D" w:rsidRPr="4E9E304D">
        <w:rPr>
          <w:rFonts w:eastAsia="Times New Roman"/>
          <w:color w:val="4A4A4A"/>
          <w:sz w:val="21"/>
          <w:szCs w:val="21"/>
          <w:lang w:eastAsia="en-GB"/>
        </w:rPr>
        <w:t>Official counterparts at country level are the national statistics</w:t>
      </w:r>
      <w:r w:rsidR="00FD28F2">
        <w:rPr>
          <w:rFonts w:eastAsia="Times New Roman"/>
          <w:color w:val="4A4A4A"/>
          <w:sz w:val="21"/>
          <w:szCs w:val="21"/>
          <w:lang w:eastAsia="en-GB"/>
        </w:rPr>
        <w:t xml:space="preserve"> </w:t>
      </w:r>
      <w:r w:rsidR="00F40D6D" w:rsidRPr="4E9E304D">
        <w:rPr>
          <w:rFonts w:eastAsia="Times New Roman"/>
          <w:color w:val="4A4A4A"/>
          <w:sz w:val="21"/>
          <w:szCs w:val="21"/>
          <w:lang w:eastAsia="en-GB"/>
        </w:rPr>
        <w:t>office</w:t>
      </w:r>
      <w:r w:rsidR="10B88413" w:rsidRPr="4E9E304D">
        <w:rPr>
          <w:rFonts w:eastAsia="Times New Roman"/>
          <w:color w:val="4A4A4A"/>
          <w:sz w:val="21"/>
          <w:szCs w:val="21"/>
          <w:lang w:eastAsia="en-GB"/>
        </w:rPr>
        <w:t>s</w:t>
      </w:r>
      <w:r w:rsidR="00F40D6D" w:rsidRPr="4E9E304D">
        <w:rPr>
          <w:rFonts w:eastAsia="Times New Roman"/>
          <w:color w:val="4A4A4A"/>
          <w:sz w:val="21"/>
          <w:szCs w:val="21"/>
          <w:lang w:eastAsia="en-GB"/>
        </w:rPr>
        <w:t xml:space="preserve"> and/or the line </w:t>
      </w:r>
      <w:r w:rsidR="67C543AF" w:rsidRPr="4E9E304D">
        <w:rPr>
          <w:rFonts w:eastAsia="Times New Roman"/>
          <w:color w:val="4A4A4A"/>
          <w:sz w:val="21"/>
          <w:szCs w:val="21"/>
          <w:lang w:eastAsia="en-GB"/>
        </w:rPr>
        <w:t>M</w:t>
      </w:r>
      <w:r w:rsidR="00F40D6D" w:rsidRPr="4E9E304D">
        <w:rPr>
          <w:rFonts w:eastAsia="Times New Roman"/>
          <w:color w:val="4A4A4A"/>
          <w:sz w:val="21"/>
          <w:szCs w:val="21"/>
          <w:lang w:eastAsia="en-GB"/>
        </w:rPr>
        <w:t>inistry for water resources</w:t>
      </w:r>
      <w:r w:rsidR="10F05DAE" w:rsidRPr="4E9E304D">
        <w:rPr>
          <w:rFonts w:eastAsia="Times New Roman"/>
          <w:color w:val="4A4A4A"/>
          <w:sz w:val="21"/>
          <w:szCs w:val="21"/>
          <w:lang w:eastAsia="en-GB"/>
        </w:rPr>
        <w:t xml:space="preserve"> and irrigation</w:t>
      </w:r>
      <w:r w:rsidR="00F40D6D" w:rsidRPr="4E9E304D">
        <w:rPr>
          <w:rFonts w:eastAsia="Times New Roman"/>
          <w:color w:val="4A4A4A"/>
          <w:sz w:val="21"/>
          <w:szCs w:val="21"/>
          <w:lang w:eastAsia="en-GB"/>
        </w:rPr>
        <w:t xml:space="preserve">. More specifically, FAO requests countries to nominate a National Correspondent to act as the focal point for the data collection and communication. </w:t>
      </w:r>
      <w:r w:rsidR="00F40D6D" w:rsidRPr="4E9E304D">
        <w:rPr>
          <w:rFonts w:eastAsia="Times New Roman" w:cs="Times New Roman"/>
          <w:color w:val="4A4A4A"/>
          <w:sz w:val="21"/>
          <w:szCs w:val="21"/>
          <w:lang w:eastAsia="en-GB"/>
        </w:rPr>
        <w:t>Data are mainly published within national statistical yearbooks, national water resources and irrigation master plans, and other reports (such as those from projects, international surveys or results and publications from national and international research centres).</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4B213748" w14:textId="5962A6D8" w:rsidR="0387EDAC" w:rsidRDefault="0387EDAC" w:rsidP="4E9E304D">
      <w:pPr>
        <w:pStyle w:val="MText"/>
      </w:pPr>
      <w:r>
        <w:t xml:space="preserve">Data collection is </w:t>
      </w:r>
      <w:r w:rsidR="71895EEC">
        <w:t>done through</w:t>
      </w:r>
      <w:r>
        <w:t xml:space="preserve"> FAO's global information system on water and agriculture </w:t>
      </w:r>
      <w:r w:rsidR="754600DA">
        <w:t>(AQUASTAT</w:t>
      </w:r>
      <w:r>
        <w:t xml:space="preserve">)  </w:t>
      </w:r>
    </w:p>
    <w:p w14:paraId="3C08262B" w14:textId="2FAB8F2B" w:rsidR="377EDDFB" w:rsidRDefault="16D888A4" w:rsidP="00A67894">
      <w:pPr>
        <w:pStyle w:val="MText"/>
      </w:pPr>
      <w:r>
        <w:t>and</w:t>
      </w:r>
      <w:r w:rsidR="377EDDFB">
        <w:t xml:space="preserve"> </w:t>
      </w:r>
      <w:r w:rsidR="0FD74CAF">
        <w:t>the AQUASTAT questionnaire</w:t>
      </w:r>
      <w:r w:rsidR="23BC5A97">
        <w:t xml:space="preserve"> on water and agriculture</w:t>
      </w:r>
      <w:r w:rsidR="00FF6AA4">
        <w:t>.</w:t>
      </w:r>
      <w:r w:rsidR="372A1144">
        <w:t xml:space="preserve"> The data collection process relies on a network of National Correspondents</w:t>
      </w:r>
      <w:r w:rsidR="3473DBA7">
        <w:t xml:space="preserve">, officially nominated by their respective countries, </w:t>
      </w:r>
      <w:r w:rsidR="372A1144">
        <w:t>in charge of the provision of official national data to AQUASTAT. As of August 2020, 150 countries have nominated national correspondents, as well as alternate correspondents from different agencies.</w:t>
      </w:r>
      <w:r w:rsidR="6B1F61E3">
        <w:t xml:space="preserve"> </w:t>
      </w:r>
      <w:r w:rsidR="6113DE05">
        <w:t>Countries submit data through the annual AQUASTAT questionnaire on water and agriculture, which contains- among others - the information required for the calculation of SDG indicator 6.4.1. Reg</w:t>
      </w:r>
      <w:r w:rsidR="00DE3214">
        <w:t xml:space="preserve">arding the economic indicators </w:t>
      </w:r>
      <w:r w:rsidR="00A67894">
        <w:t xml:space="preserve">Gross Value Added </w:t>
      </w:r>
      <w:r w:rsidR="00DE3214">
        <w:t>(</w:t>
      </w:r>
      <w:r w:rsidR="00F569D5">
        <w:t>GVA), FAO uses UNSD data</w:t>
      </w:r>
      <w:r w:rsidR="6113DE05">
        <w:t>base and aggregates it following the revision 4 ISIC-4 is used as the standard for the definition of the economic sectors</w:t>
      </w:r>
      <w:r w:rsidR="3CB61D1F">
        <w:t>.</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15E9CC3C" w14:textId="0E82DADA" w:rsidR="00FD28F2" w:rsidRPr="00EE1A9B" w:rsidRDefault="6AB8FE39" w:rsidP="00A67894">
      <w:pPr>
        <w:pStyle w:val="MText"/>
      </w:pPr>
      <w:r w:rsidRPr="4E9E304D">
        <w:t>D</w:t>
      </w:r>
      <w:r w:rsidRPr="00EE1A9B">
        <w:t>ata are collected every year th</w:t>
      </w:r>
      <w:r w:rsidR="578BB197" w:rsidRPr="4E9E304D">
        <w:t>r</w:t>
      </w:r>
      <w:r w:rsidRPr="00EE1A9B">
        <w:t>ough the AQUASTAT network of National Correspondents.</w:t>
      </w:r>
      <w:r w:rsidR="381D0C10" w:rsidRPr="4E9E304D">
        <w:t xml:space="preserve"> FAO has dispatched the questionnaires to the National Correspondents </w:t>
      </w:r>
      <w:r w:rsidR="00A67894">
        <w:t>in July</w:t>
      </w:r>
      <w:r w:rsidR="00DE3214">
        <w:t xml:space="preserve"> 2021</w:t>
      </w:r>
      <w:r w:rsidR="40A44BB6" w:rsidRPr="4E9E304D">
        <w:t>.</w:t>
      </w:r>
    </w:p>
    <w:p w14:paraId="4E88CB7D" w14:textId="77777777" w:rsidR="005F19D3" w:rsidRPr="00A96255" w:rsidRDefault="005F19D3" w:rsidP="00576CFA">
      <w:pPr>
        <w:pStyle w:val="MText"/>
      </w:pPr>
    </w:p>
    <w:p w14:paraId="7D466604" w14:textId="674844F0" w:rsidR="00E46D96" w:rsidRPr="0054304F" w:rsidRDefault="00E46D96" w:rsidP="0054304F">
      <w:pPr>
        <w:pStyle w:val="MHeader2"/>
      </w:pPr>
      <w:r w:rsidRPr="00284FFD">
        <w:t xml:space="preserve">3.d. Data release calendar </w:t>
      </w:r>
      <w:r>
        <w:rPr>
          <w:color w:val="B4B4B4"/>
          <w:sz w:val="20"/>
        </w:rPr>
        <w:t>(REL_CAL_POLICY)</w:t>
      </w:r>
    </w:p>
    <w:p w14:paraId="64C749BD" w14:textId="0B7472E3" w:rsidR="00EC2915" w:rsidRDefault="7BE3293B" w:rsidP="00576CFA">
      <w:pPr>
        <w:pStyle w:val="MText"/>
      </w:pPr>
      <w:r>
        <w:t>Data are released every</w:t>
      </w:r>
      <w:r w:rsidR="361B7E65">
        <w:t xml:space="preserve"> year, usually in February following the UNSD collection schedule.</w:t>
      </w:r>
      <w:r w:rsidR="2A97E12A">
        <w:t xml:space="preserve"> </w:t>
      </w:r>
    </w:p>
    <w:p w14:paraId="655EFB96" w14:textId="77777777" w:rsidR="005F19D3" w:rsidRPr="00A96255" w:rsidRDefault="005F19D3"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D237623" w14:textId="608B06A6" w:rsidR="005F19D3" w:rsidRDefault="306803A7" w:rsidP="005F19D3">
      <w:pPr>
        <w:pStyle w:val="MText"/>
      </w:pPr>
      <w:r>
        <w:t>Data come from</w:t>
      </w:r>
      <w:r w:rsidR="481367AB">
        <w:t xml:space="preserve"> government</w:t>
      </w:r>
      <w:r w:rsidR="70DF8CFF">
        <w:t>al</w:t>
      </w:r>
      <w:r w:rsidR="481367AB">
        <w:t xml:space="preserve"> sources. </w:t>
      </w:r>
      <w:r>
        <w:t xml:space="preserve"> </w:t>
      </w:r>
      <w:r w:rsidR="005F19D3">
        <w:t xml:space="preserve">Data </w:t>
      </w:r>
      <w:r w:rsidR="500F1494">
        <w:t xml:space="preserve">providers are </w:t>
      </w:r>
      <w:r w:rsidR="7CDF59C1">
        <w:t>different</w:t>
      </w:r>
      <w:r w:rsidR="005F19D3">
        <w:t xml:space="preserve"> </w:t>
      </w:r>
      <w:r w:rsidR="31EA498C">
        <w:t>depending on the</w:t>
      </w:r>
      <w:r w:rsidR="005F19D3">
        <w:t xml:space="preserve"> countr</w:t>
      </w:r>
      <w:r w:rsidR="51E76DC5">
        <w:t>y</w:t>
      </w:r>
      <w:r w:rsidR="005F19D3">
        <w:t xml:space="preserve">. </w:t>
      </w:r>
      <w:r w:rsidR="6A22B888">
        <w:t xml:space="preserve"> In many </w:t>
      </w:r>
      <w:r w:rsidR="3AB330A1">
        <w:t>cases data</w:t>
      </w:r>
      <w:r w:rsidR="6A22B888">
        <w:t xml:space="preserve"> collection</w:t>
      </w:r>
      <w:r w:rsidR="532FEAEA">
        <w:t xml:space="preserve"> at country level</w:t>
      </w:r>
      <w:r w:rsidR="6A22B888">
        <w:t xml:space="preserve"> is coordinated by the National Statistics Office (NSO)</w:t>
      </w:r>
      <w:r w:rsidR="56F2DCF9">
        <w:t>. Data not generated by a country is displayed with an appropriate qualifier.</w:t>
      </w:r>
    </w:p>
    <w:p w14:paraId="7A822883" w14:textId="77777777" w:rsidR="005F19D3" w:rsidRDefault="005F19D3" w:rsidP="005F19D3">
      <w:pPr>
        <w:pStyle w:val="MText"/>
      </w:pPr>
    </w:p>
    <w:p w14:paraId="30DC8E05" w14:textId="484D6EC2" w:rsidR="00E46D96" w:rsidRPr="00A96255" w:rsidRDefault="00E46D96" w:rsidP="00F719A8">
      <w:pPr>
        <w:pStyle w:val="MHeader2"/>
      </w:pPr>
      <w:r>
        <w:t xml:space="preserve">3.f. Data compilers </w:t>
      </w:r>
      <w:r>
        <w:rPr>
          <w:color w:val="B4B4B4"/>
          <w:sz w:val="20"/>
        </w:rPr>
        <w:t>(COMPILING_ORG)</w:t>
      </w:r>
    </w:p>
    <w:p w14:paraId="0AB9A3CE" w14:textId="24702EDE" w:rsidR="00EC2915" w:rsidRDefault="41AFD119" w:rsidP="00576CFA">
      <w:pPr>
        <w:pStyle w:val="MText"/>
      </w:pPr>
      <w:r w:rsidRPr="00EE1A9B">
        <w:t xml:space="preserve">Calculation rules are predefined and use data referring to the same year to generate aggregate values. </w:t>
      </w:r>
    </w:p>
    <w:p w14:paraId="7F328717" w14:textId="77777777" w:rsidR="005F19D3" w:rsidRPr="00A96255" w:rsidRDefault="005F19D3" w:rsidP="00576CFA">
      <w:pPr>
        <w:pStyle w:val="MText"/>
      </w:pPr>
    </w:p>
    <w:p w14:paraId="5655E768" w14:textId="5429F32E" w:rsidR="00E46D96" w:rsidRPr="00A96255" w:rsidRDefault="00E46D96" w:rsidP="00F719A8">
      <w:pPr>
        <w:pStyle w:val="MHeader2"/>
      </w:pPr>
      <w:r w:rsidRPr="00A96255">
        <w:lastRenderedPageBreak/>
        <w:t xml:space="preserve">3.g. Institutional mandate </w:t>
      </w:r>
      <w:r>
        <w:rPr>
          <w:color w:val="B4B4B4"/>
          <w:sz w:val="20"/>
        </w:rPr>
        <w:t>(INST_MANDATE)</w:t>
      </w:r>
    </w:p>
    <w:p w14:paraId="06E0E024" w14:textId="7DAAB195" w:rsidR="00D103D5" w:rsidRDefault="00D103D5" w:rsidP="00576CFA">
      <w:pPr>
        <w:pStyle w:val="MText"/>
        <w:rPr>
          <w:highlight w:val="yellow"/>
        </w:rPr>
      </w:pPr>
      <w:r w:rsidRPr="00EE1A9B">
        <w:t>FAO has</w:t>
      </w:r>
      <w:r w:rsidR="009942E4">
        <w:t xml:space="preserve"> a mandate to</w:t>
      </w:r>
      <w:r w:rsidRPr="00EE1A9B">
        <w:t xml:space="preserve"> </w:t>
      </w:r>
      <w:r w:rsidRPr="00D103D5">
        <w:t xml:space="preserve">“collect, analyse, interpret and disseminate information relating to </w:t>
      </w:r>
      <w:r>
        <w:t>nutrition, food and agriculture”. (FAO Constitution, Article 1)</w:t>
      </w:r>
    </w:p>
    <w:p w14:paraId="2E3A19FB" w14:textId="77777777" w:rsidR="00D103D5" w:rsidRDefault="00D103D5" w:rsidP="00576CFA">
      <w:pPr>
        <w:pStyle w:val="MText"/>
        <w:rPr>
          <w:highlight w:val="yellow"/>
        </w:rPr>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56A39FD3" w14:textId="186B986B" w:rsidR="00223A77" w:rsidRPr="008062C9" w:rsidRDefault="00223A77" w:rsidP="00223A77">
      <w:pPr>
        <w:pStyle w:val="MText"/>
      </w:pPr>
      <w:r w:rsidRPr="008062C9">
        <w:t>The rationale behind this indicator consists in providing information on the efficiency of the economic and social usage of water resources, i.e.</w:t>
      </w:r>
      <w:r w:rsidR="009942E4">
        <w:t>,</w:t>
      </w:r>
      <w:r w:rsidRPr="008062C9">
        <w:t xml:space="preserve"> value added generated by the use of water in the main sectors of the economy, and distribution network losses.</w:t>
      </w:r>
    </w:p>
    <w:p w14:paraId="5E373964" w14:textId="77777777" w:rsidR="00223A77" w:rsidRDefault="00223A77" w:rsidP="00223A77">
      <w:pPr>
        <w:pStyle w:val="MText"/>
      </w:pPr>
    </w:p>
    <w:p w14:paraId="07A1A612" w14:textId="77777777" w:rsidR="00223A77" w:rsidRPr="008062C9" w:rsidRDefault="00223A77" w:rsidP="00223A77">
      <w:pPr>
        <w:pStyle w:val="MText"/>
      </w:pPr>
      <w:r w:rsidRPr="008062C9">
        <w:t>The distribution efficiency of water systems is implicit within the calculations and could be made explicit if needed and where data are available.</w:t>
      </w:r>
    </w:p>
    <w:p w14:paraId="5F6CB3DD" w14:textId="77777777" w:rsidR="00223A77" w:rsidRDefault="00223A77" w:rsidP="00223A77">
      <w:pPr>
        <w:pStyle w:val="MText"/>
      </w:pPr>
    </w:p>
    <w:p w14:paraId="683D0F62" w14:textId="77777777" w:rsidR="00223A77" w:rsidRPr="008062C9" w:rsidRDefault="00223A77" w:rsidP="00223A77">
      <w:pPr>
        <w:pStyle w:val="MText"/>
      </w:pPr>
      <w:r w:rsidRPr="008062C9">
        <w:t>This indicator addresses specifically the target component “substantially increase water-use efficiency across all sectors”, by measuring the output per unit of water from productive uses of water as well as losses in municipal water use. It does not aim at giving an exhaustive picture of the water utilization in a country. Other indicators, specifically those for Targets 1.1, 1.2, 2.1, 2.2, 5.4, 5.a, 6.1, 6.2, 6.3, 6.5 will complement the information provided by this indicator. In particular, the indicator needs to be combined with the water stress indicator 6.4.2 to provide adequate follow-up of the target 6.4.</w:t>
      </w:r>
    </w:p>
    <w:p w14:paraId="0984043D" w14:textId="77777777" w:rsidR="00223A77" w:rsidRDefault="00223A77" w:rsidP="00223A77">
      <w:pPr>
        <w:pStyle w:val="MText"/>
      </w:pPr>
    </w:p>
    <w:p w14:paraId="28A33F46" w14:textId="77777777" w:rsidR="00223A77" w:rsidRPr="008062C9" w:rsidRDefault="00223A77" w:rsidP="00223A77">
      <w:pPr>
        <w:pStyle w:val="MText"/>
      </w:pPr>
      <w:r w:rsidRPr="008062C9">
        <w:t>Together, the three sectoral efficiencies provide a measure of overall water efficiency in a country. The indicator provides incentives to improve water use efficiency through all sectors, highlighting those sectors where water use efficiency is lagging behind.</w:t>
      </w:r>
    </w:p>
    <w:p w14:paraId="19BF333A" w14:textId="77777777" w:rsidR="00223A77" w:rsidRDefault="00223A77" w:rsidP="00223A77">
      <w:pPr>
        <w:pStyle w:val="MText"/>
      </w:pPr>
    </w:p>
    <w:p w14:paraId="571D06E5" w14:textId="77777777" w:rsidR="00223A77" w:rsidRPr="00573631" w:rsidRDefault="00223A77" w:rsidP="00223A77">
      <w:pPr>
        <w:pStyle w:val="MText"/>
      </w:pPr>
      <w:r w:rsidRPr="008062C9">
        <w:t>The interpretation of the indicator would be enhanced by the utilization of supplementary indicators to be used at country level. Particularly important in this sense would be the indicator on efficiency of water for energy and the indicator on the efficiency of the municipality distribution networks.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216D924D" w14:textId="6EE585A3" w:rsidR="00223A77" w:rsidRPr="008062C9" w:rsidRDefault="00223A77" w:rsidP="00223A77">
      <w:p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The corrective coefficient</w:t>
      </w:r>
      <w:r w:rsidR="00E56591">
        <w:rPr>
          <w:rFonts w:eastAsia="Times New Roman" w:cs="Times New Roman"/>
          <w:color w:val="4A4A4A"/>
          <w:sz w:val="21"/>
          <w:szCs w:val="21"/>
          <w:lang w:eastAsia="en-GB"/>
        </w:rPr>
        <w:t>,</w:t>
      </w:r>
      <w:r w:rsidRPr="008062C9">
        <w:rPr>
          <w:rFonts w:eastAsia="Times New Roman" w:cs="Times New Roman"/>
          <w:color w:val="4A4A4A"/>
          <w:sz w:val="21"/>
          <w:szCs w:val="21"/>
          <w:lang w:eastAsia="en-GB"/>
        </w:rPr>
        <w:t xml:space="preserve"> C</w:t>
      </w:r>
      <w:r w:rsidRPr="00DE3214">
        <w:rPr>
          <w:color w:val="4A4A4A"/>
          <w:sz w:val="21"/>
          <w:vertAlign w:val="subscript"/>
        </w:rPr>
        <w:t>r</w:t>
      </w:r>
      <w:r w:rsidR="00E56591">
        <w:rPr>
          <w:rFonts w:eastAsia="Times New Roman" w:cs="Times New Roman"/>
          <w:color w:val="4A4A4A"/>
          <w:sz w:val="21"/>
          <w:szCs w:val="21"/>
          <w:lang w:eastAsia="en-GB"/>
        </w:rPr>
        <w:t>,</w:t>
      </w:r>
      <w:r w:rsidRPr="008062C9">
        <w:rPr>
          <w:rFonts w:eastAsia="Times New Roman" w:cs="Times New Roman"/>
          <w:color w:val="4A4A4A"/>
          <w:sz w:val="21"/>
          <w:szCs w:val="21"/>
          <w:lang w:eastAsia="en-GB"/>
        </w:rPr>
        <w:t xml:space="preserve"> for the agricultural sector is needed in order to focus the indicator on the irrigated production. This is done for two main reasons:</w:t>
      </w:r>
    </w:p>
    <w:p w14:paraId="03924AAD" w14:textId="77777777" w:rsidR="00223A77" w:rsidRPr="008062C9" w:rsidRDefault="00223A77" w:rsidP="00223A77">
      <w:pPr>
        <w:pStyle w:val="ListParagraph"/>
        <w:numPr>
          <w:ilvl w:val="0"/>
          <w:numId w:val="10"/>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To ensure that only runoff water and groundwater (so-called blue water) are considered in computing the indicator;</w:t>
      </w:r>
    </w:p>
    <w:p w14:paraId="1E4772E4" w14:textId="77777777" w:rsidR="00223A77" w:rsidRDefault="00223A77" w:rsidP="00223A77">
      <w:pPr>
        <w:pStyle w:val="ListParagraph"/>
        <w:numPr>
          <w:ilvl w:val="0"/>
          <w:numId w:val="10"/>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To eliminate a potential bias of the indicators, which otherwise would tend to decrease if rainfed cropland is converted to irrigated.</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19BD0ECC" w14:textId="77777777" w:rsidR="004063D1" w:rsidRPr="00573631" w:rsidRDefault="004063D1" w:rsidP="004063D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Computation Method:</w:t>
      </w:r>
    </w:p>
    <w:p w14:paraId="04ED7417" w14:textId="77777777" w:rsidR="004063D1" w:rsidRPr="000620DF" w:rsidRDefault="004063D1" w:rsidP="004063D1">
      <w:pPr>
        <w:pStyle w:val="MText"/>
        <w:rPr>
          <w:rFonts w:eastAsia="Calibri"/>
        </w:rPr>
      </w:pPr>
      <w:r w:rsidRPr="000620DF">
        <w:rPr>
          <w:rFonts w:eastAsia="Calibri"/>
        </w:rPr>
        <w:t>Water use efficiency is computed as the sum of the three sectors listed above, weighted according to the proportion of water used by each sector over the total use. In formula:</w:t>
      </w:r>
    </w:p>
    <w:p w14:paraId="248B50E0" w14:textId="6A7EFBF3" w:rsidR="004063D1" w:rsidRPr="000620DF" w:rsidRDefault="00821A2C" w:rsidP="004063D1">
      <w:pPr>
        <w:spacing w:after="120"/>
        <w:jc w:val="both"/>
        <w:rPr>
          <w:rFonts w:eastAsia="Calibri"/>
          <w:color w:val="404040" w:themeColor="text1" w:themeTint="BF"/>
          <w:sz w:val="21"/>
          <w:szCs w:val="21"/>
          <w:lang w:eastAsia="en-US"/>
        </w:rPr>
      </w:pPr>
      <w:r>
        <w:rPr>
          <w:noProof/>
          <w:lang w:val="en-US" w:eastAsia="en-US"/>
        </w:rPr>
        <w:drawing>
          <wp:inline distT="0" distB="0" distL="0" distR="0" wp14:anchorId="2494900A" wp14:editId="2B06B213">
            <wp:extent cx="5731510" cy="332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2740"/>
                    </a:xfrm>
                    <a:prstGeom prst="rect">
                      <a:avLst/>
                    </a:prstGeom>
                  </pic:spPr>
                </pic:pic>
              </a:graphicData>
            </a:graphic>
          </wp:inline>
        </w:drawing>
      </w:r>
    </w:p>
    <w:p w14:paraId="0FAA75E6" w14:textId="05764AC7" w:rsidR="004063D1" w:rsidRPr="000620DF" w:rsidRDefault="004063D1" w:rsidP="004063D1">
      <w:pPr>
        <w:spacing w:after="120"/>
        <w:rPr>
          <w:rFonts w:eastAsia="Calibri"/>
          <w:color w:val="404040" w:themeColor="text1" w:themeTint="BF"/>
          <w:sz w:val="21"/>
          <w:szCs w:val="21"/>
          <w:lang w:eastAsia="en-US"/>
        </w:rPr>
      </w:pPr>
    </w:p>
    <w:p w14:paraId="1979A7D6" w14:textId="77777777" w:rsidR="004063D1" w:rsidRPr="000620DF" w:rsidRDefault="004063D1" w:rsidP="004063D1">
      <w:pPr>
        <w:spacing w:after="120"/>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lastRenderedPageBreak/>
        <w:t>Where:</w:t>
      </w:r>
    </w:p>
    <w:p w14:paraId="6B2887D1" w14:textId="77777777" w:rsidR="004063D1" w:rsidRPr="000620DF" w:rsidRDefault="004063D1" w:rsidP="004063D1">
      <w:pPr>
        <w:pStyle w:val="MText"/>
        <w:ind w:left="720"/>
        <w:rPr>
          <w:rFonts w:eastAsia="Calibri"/>
        </w:rPr>
      </w:pPr>
      <w:r w:rsidRPr="000620DF">
        <w:rPr>
          <w:rFonts w:eastAsia="Calibri"/>
        </w:rPr>
        <w:t xml:space="preserve">WUE </w:t>
      </w:r>
      <w:r w:rsidRPr="000620DF">
        <w:rPr>
          <w:rFonts w:eastAsia="Calibri"/>
        </w:rPr>
        <w:tab/>
        <w:t>= Water use efficiency</w:t>
      </w:r>
    </w:p>
    <w:p w14:paraId="0CEF5D48" w14:textId="77777777" w:rsidR="004063D1" w:rsidRPr="000620DF" w:rsidRDefault="004063D1" w:rsidP="004063D1">
      <w:pPr>
        <w:pStyle w:val="MText"/>
        <w:ind w:left="720"/>
        <w:rPr>
          <w:rFonts w:eastAsia="Calibri"/>
        </w:rPr>
      </w:pPr>
      <w:r w:rsidRPr="000620DF">
        <w:rPr>
          <w:rFonts w:eastAsia="Calibri"/>
        </w:rPr>
        <w:t>A</w:t>
      </w:r>
      <w:r w:rsidRPr="000620DF">
        <w:rPr>
          <w:rFonts w:eastAsia="Calibri"/>
          <w:vertAlign w:val="subscript"/>
        </w:rPr>
        <w:t>we</w:t>
      </w:r>
      <w:r w:rsidRPr="000620DF">
        <w:rPr>
          <w:rFonts w:eastAsia="Calibri"/>
        </w:rPr>
        <w:t xml:space="preserve"> </w:t>
      </w:r>
      <w:r w:rsidRPr="000620DF">
        <w:rPr>
          <w:rFonts w:eastAsia="Calibri"/>
        </w:rPr>
        <w:tab/>
        <w:t>= Irrigated agriculture water use efficiency [USD/m</w:t>
      </w:r>
      <w:r w:rsidRPr="000620DF">
        <w:rPr>
          <w:rFonts w:eastAsia="Calibri"/>
          <w:vertAlign w:val="superscript"/>
        </w:rPr>
        <w:t>3</w:t>
      </w:r>
      <w:r w:rsidRPr="000620DF">
        <w:rPr>
          <w:rFonts w:eastAsia="Calibri"/>
        </w:rPr>
        <w:t>]</w:t>
      </w:r>
    </w:p>
    <w:p w14:paraId="55DA4C7A" w14:textId="77777777" w:rsidR="004063D1" w:rsidRPr="000620DF" w:rsidRDefault="004063D1" w:rsidP="004063D1">
      <w:pPr>
        <w:pStyle w:val="MText"/>
        <w:ind w:left="720"/>
        <w:rPr>
          <w:rFonts w:eastAsia="Calibri"/>
        </w:rPr>
      </w:pPr>
      <w:r w:rsidRPr="000620DF">
        <w:rPr>
          <w:rFonts w:eastAsia="Calibri"/>
        </w:rPr>
        <w:t>M</w:t>
      </w:r>
      <w:r w:rsidRPr="000620DF">
        <w:rPr>
          <w:rFonts w:eastAsia="Calibri"/>
          <w:vertAlign w:val="subscript"/>
        </w:rPr>
        <w:t>we</w:t>
      </w:r>
      <w:r w:rsidRPr="000620DF">
        <w:rPr>
          <w:rFonts w:eastAsia="Calibri"/>
        </w:rPr>
        <w:t xml:space="preserve"> </w:t>
      </w:r>
      <w:r w:rsidRPr="000620DF">
        <w:rPr>
          <w:rFonts w:eastAsia="Calibri"/>
        </w:rPr>
        <w:tab/>
        <w:t>= MIMEC water use efficiency [USD/m</w:t>
      </w:r>
      <w:r w:rsidRPr="000620DF">
        <w:rPr>
          <w:rFonts w:eastAsia="Calibri"/>
          <w:vertAlign w:val="superscript"/>
        </w:rPr>
        <w:t>3</w:t>
      </w:r>
      <w:r w:rsidRPr="000620DF">
        <w:rPr>
          <w:rFonts w:eastAsia="Calibri"/>
        </w:rPr>
        <w:t>]</w:t>
      </w:r>
    </w:p>
    <w:p w14:paraId="32B4BC70" w14:textId="77777777" w:rsidR="004063D1" w:rsidRPr="000620DF" w:rsidRDefault="004063D1" w:rsidP="004063D1">
      <w:pPr>
        <w:pStyle w:val="MText"/>
        <w:ind w:left="720"/>
        <w:rPr>
          <w:rFonts w:eastAsia="Calibri"/>
        </w:rPr>
      </w:pPr>
      <w:r w:rsidRPr="000620DF">
        <w:rPr>
          <w:rFonts w:eastAsia="Calibri"/>
        </w:rPr>
        <w:t>S</w:t>
      </w:r>
      <w:r w:rsidRPr="000620DF">
        <w:rPr>
          <w:rFonts w:eastAsia="Calibri"/>
          <w:vertAlign w:val="subscript"/>
        </w:rPr>
        <w:t>we</w:t>
      </w:r>
      <w:r w:rsidRPr="000620DF">
        <w:rPr>
          <w:rFonts w:eastAsia="Calibri"/>
        </w:rPr>
        <w:t xml:space="preserve"> </w:t>
      </w:r>
      <w:r w:rsidRPr="000620DF">
        <w:rPr>
          <w:rFonts w:eastAsia="Calibri"/>
        </w:rPr>
        <w:tab/>
        <w:t>= Services water use efficiency [USD/m</w:t>
      </w:r>
      <w:r w:rsidRPr="000620DF">
        <w:rPr>
          <w:rFonts w:eastAsia="Calibri"/>
          <w:vertAlign w:val="superscript"/>
        </w:rPr>
        <w:t>3</w:t>
      </w:r>
      <w:r w:rsidRPr="000620DF">
        <w:rPr>
          <w:rFonts w:eastAsia="Calibri"/>
        </w:rPr>
        <w:t>]</w:t>
      </w:r>
    </w:p>
    <w:p w14:paraId="5AADDF8A" w14:textId="77777777" w:rsidR="004063D1" w:rsidRPr="000620DF" w:rsidRDefault="004063D1" w:rsidP="004063D1">
      <w:pPr>
        <w:pStyle w:val="MText"/>
        <w:ind w:left="720"/>
        <w:rPr>
          <w:rFonts w:eastAsia="Calibri"/>
        </w:rPr>
      </w:pPr>
      <w:r w:rsidRPr="000620DF">
        <w:rPr>
          <w:rFonts w:eastAsia="Calibri"/>
        </w:rPr>
        <w:t>P</w:t>
      </w:r>
      <w:r w:rsidRPr="000620DF">
        <w:rPr>
          <w:rFonts w:eastAsia="Calibri"/>
          <w:vertAlign w:val="subscript"/>
        </w:rPr>
        <w:t>A</w:t>
      </w:r>
      <w:r w:rsidRPr="000620DF">
        <w:rPr>
          <w:rFonts w:eastAsia="Calibri"/>
        </w:rPr>
        <w:t xml:space="preserve"> </w:t>
      </w:r>
      <w:r w:rsidRPr="000620DF">
        <w:rPr>
          <w:rFonts w:eastAsia="Calibri"/>
        </w:rPr>
        <w:tab/>
        <w:t>= Proportion of water used by the agricultural sector over the total use</w:t>
      </w:r>
    </w:p>
    <w:p w14:paraId="5B659C94" w14:textId="77777777" w:rsidR="004063D1" w:rsidRPr="000620DF" w:rsidRDefault="004063D1" w:rsidP="004063D1">
      <w:pPr>
        <w:pStyle w:val="MText"/>
        <w:ind w:left="720"/>
        <w:rPr>
          <w:rFonts w:eastAsia="Calibri"/>
        </w:rPr>
      </w:pPr>
      <w:r w:rsidRPr="000620DF">
        <w:rPr>
          <w:rFonts w:eastAsia="Calibri"/>
        </w:rPr>
        <w:t>P</w:t>
      </w:r>
      <w:r w:rsidRPr="000620DF">
        <w:rPr>
          <w:rFonts w:eastAsia="Calibri"/>
          <w:vertAlign w:val="subscript"/>
        </w:rPr>
        <w:t>M</w:t>
      </w:r>
      <w:r w:rsidRPr="000620DF">
        <w:rPr>
          <w:rFonts w:eastAsia="Calibri"/>
        </w:rPr>
        <w:t xml:space="preserve"> </w:t>
      </w:r>
      <w:r w:rsidRPr="000620DF">
        <w:rPr>
          <w:rFonts w:eastAsia="Calibri"/>
        </w:rPr>
        <w:tab/>
        <w:t>= Proportion of water used by the MIMEC sector over the total use</w:t>
      </w:r>
    </w:p>
    <w:p w14:paraId="6434C5BC" w14:textId="77777777" w:rsidR="004063D1" w:rsidRPr="000620DF" w:rsidRDefault="004063D1" w:rsidP="004063D1">
      <w:pPr>
        <w:pStyle w:val="MText"/>
        <w:ind w:left="720"/>
        <w:rPr>
          <w:rFonts w:eastAsia="Calibri"/>
        </w:rPr>
      </w:pPr>
      <w:r w:rsidRPr="000620DF">
        <w:rPr>
          <w:rFonts w:eastAsia="Calibri"/>
        </w:rPr>
        <w:t>P</w:t>
      </w:r>
      <w:r w:rsidRPr="000620DF">
        <w:rPr>
          <w:rFonts w:eastAsia="Calibri"/>
          <w:vertAlign w:val="subscript"/>
        </w:rPr>
        <w:t>S</w:t>
      </w:r>
      <w:r w:rsidRPr="000620DF">
        <w:rPr>
          <w:rFonts w:eastAsia="Calibri"/>
        </w:rPr>
        <w:t xml:space="preserve">  </w:t>
      </w:r>
      <w:r w:rsidRPr="000620DF">
        <w:rPr>
          <w:rFonts w:eastAsia="Calibri"/>
        </w:rPr>
        <w:tab/>
        <w:t>= Proportion of water used by the service sector over the total use</w:t>
      </w:r>
    </w:p>
    <w:p w14:paraId="5792B3AF" w14:textId="77777777" w:rsidR="004063D1" w:rsidRPr="000620DF" w:rsidRDefault="004063D1" w:rsidP="004063D1">
      <w:pPr>
        <w:pStyle w:val="BodyText"/>
        <w:rPr>
          <w:rFonts w:asciiTheme="minorHAnsi" w:hAnsiTheme="minorHAnsi"/>
          <w:color w:val="404040" w:themeColor="text1" w:themeTint="BF"/>
          <w:sz w:val="21"/>
          <w:szCs w:val="21"/>
        </w:rPr>
      </w:pPr>
    </w:p>
    <w:p w14:paraId="32041A1D" w14:textId="77777777" w:rsidR="004063D1" w:rsidRPr="000620DF" w:rsidRDefault="004063D1" w:rsidP="004063D1">
      <w:pPr>
        <w:pStyle w:val="MText"/>
        <w:rPr>
          <w:rFonts w:eastAsia="Calibri"/>
        </w:rPr>
      </w:pPr>
      <w:r w:rsidRPr="000620DF">
        <w:rPr>
          <w:rFonts w:eastAsia="Calibri"/>
        </w:rPr>
        <w:t>The computing of each sector is described below.</w:t>
      </w:r>
    </w:p>
    <w:p w14:paraId="626AA6B2" w14:textId="77777777" w:rsidR="004063D1" w:rsidRPr="000620DF" w:rsidRDefault="004063D1" w:rsidP="004063D1">
      <w:pPr>
        <w:pStyle w:val="MText"/>
        <w:rPr>
          <w:rFonts w:eastAsia="Calibri"/>
        </w:rPr>
      </w:pPr>
      <w:r w:rsidRPr="000620DF">
        <w:rPr>
          <w:rFonts w:eastAsia="Calibri"/>
          <w:i/>
        </w:rPr>
        <w:t>Water use efficiency in irrigated agriculture</w:t>
      </w:r>
      <w:r w:rsidRPr="000620DF">
        <w:rPr>
          <w:rFonts w:eastAsia="Calibri"/>
        </w:rPr>
        <w:t xml:space="preserve"> is calculated as the agricultural value added per agricultural water use, expressed in USD/m</w:t>
      </w:r>
      <w:r w:rsidRPr="000620DF">
        <w:rPr>
          <w:rFonts w:eastAsia="Calibri"/>
          <w:vertAlign w:val="superscript"/>
        </w:rPr>
        <w:t>3</w:t>
      </w:r>
      <w:r w:rsidRPr="000620DF">
        <w:rPr>
          <w:rFonts w:eastAsia="Calibri"/>
        </w:rPr>
        <w:t xml:space="preserve">. </w:t>
      </w:r>
    </w:p>
    <w:p w14:paraId="3089E48A" w14:textId="7E2D20B1" w:rsidR="004063D1" w:rsidRDefault="004063D1" w:rsidP="004063D1">
      <w:pPr>
        <w:pStyle w:val="MText"/>
        <w:rPr>
          <w:rFonts w:eastAsia="Calibri"/>
        </w:rPr>
      </w:pPr>
      <w:r w:rsidRPr="000620DF">
        <w:rPr>
          <w:rFonts w:eastAsia="Calibri"/>
        </w:rPr>
        <w:t>In formula:</w:t>
      </w:r>
    </w:p>
    <w:p w14:paraId="244C1D10" w14:textId="46EEC8D5" w:rsidR="00821A2C" w:rsidRPr="000620DF" w:rsidRDefault="00821A2C" w:rsidP="004063D1">
      <w:pPr>
        <w:pStyle w:val="MText"/>
        <w:rPr>
          <w:rFonts w:eastAsia="Calibri"/>
        </w:rPr>
      </w:pPr>
      <w:r>
        <w:rPr>
          <w:noProof/>
          <w:lang w:val="en-US" w:eastAsia="en-US"/>
        </w:rPr>
        <w:drawing>
          <wp:inline distT="0" distB="0" distL="0" distR="0" wp14:anchorId="519B65F3" wp14:editId="51A2FB8F">
            <wp:extent cx="5400675" cy="419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419100"/>
                    </a:xfrm>
                    <a:prstGeom prst="rect">
                      <a:avLst/>
                    </a:prstGeom>
                  </pic:spPr>
                </pic:pic>
              </a:graphicData>
            </a:graphic>
          </wp:inline>
        </w:drawing>
      </w:r>
    </w:p>
    <w:p w14:paraId="6B013582" w14:textId="77777777" w:rsidR="004063D1" w:rsidRPr="000620DF" w:rsidRDefault="004063D1" w:rsidP="004063D1">
      <w:pPr>
        <w:pStyle w:val="MText"/>
        <w:rPr>
          <w:rFonts w:eastAsia="Calibri"/>
        </w:rPr>
      </w:pPr>
      <w:r w:rsidRPr="000620DF">
        <w:rPr>
          <w:rFonts w:eastAsia="Calibri"/>
        </w:rPr>
        <w:t>Where:</w:t>
      </w:r>
    </w:p>
    <w:p w14:paraId="286EBC22" w14:textId="77777777" w:rsidR="004063D1" w:rsidRPr="000620DF" w:rsidRDefault="004063D1" w:rsidP="004063D1">
      <w:pPr>
        <w:pStyle w:val="MText"/>
        <w:ind w:left="720"/>
        <w:rPr>
          <w:rFonts w:eastAsia="Calibri"/>
        </w:rPr>
      </w:pPr>
      <w:r w:rsidRPr="000620DF">
        <w:rPr>
          <w:rFonts w:eastAsia="Calibri"/>
        </w:rPr>
        <w:t>A</w:t>
      </w:r>
      <w:r w:rsidRPr="000620DF">
        <w:rPr>
          <w:rFonts w:eastAsia="Calibri"/>
          <w:vertAlign w:val="subscript"/>
        </w:rPr>
        <w:t>we</w:t>
      </w:r>
      <w:r w:rsidRPr="000620DF">
        <w:rPr>
          <w:rFonts w:eastAsia="Calibri"/>
        </w:rPr>
        <w:t xml:space="preserve"> </w:t>
      </w:r>
      <w:r w:rsidRPr="000620DF">
        <w:rPr>
          <w:rFonts w:eastAsia="Calibri"/>
        </w:rPr>
        <w:tab/>
        <w:t>= Irrigated agriculture water use efficiency [USD/m</w:t>
      </w:r>
      <w:r w:rsidRPr="000620DF">
        <w:rPr>
          <w:rFonts w:eastAsia="Calibri"/>
          <w:vertAlign w:val="superscript"/>
        </w:rPr>
        <w:t>3</w:t>
      </w:r>
      <w:r w:rsidRPr="000620DF">
        <w:rPr>
          <w:rFonts w:eastAsia="Calibri"/>
        </w:rPr>
        <w:t>]</w:t>
      </w:r>
    </w:p>
    <w:p w14:paraId="3B341A3A" w14:textId="77777777" w:rsidR="004063D1" w:rsidRPr="000620DF" w:rsidRDefault="004063D1" w:rsidP="004063D1">
      <w:pPr>
        <w:pStyle w:val="MText"/>
        <w:ind w:left="720"/>
        <w:rPr>
          <w:rFonts w:eastAsia="Calibri"/>
        </w:rPr>
      </w:pPr>
      <w:proofErr w:type="spellStart"/>
      <w:r w:rsidRPr="000620DF">
        <w:rPr>
          <w:rFonts w:eastAsia="Calibri"/>
        </w:rPr>
        <w:t>GVA</w:t>
      </w:r>
      <w:r w:rsidRPr="000620DF">
        <w:rPr>
          <w:rFonts w:eastAsia="Calibri"/>
          <w:vertAlign w:val="subscript"/>
        </w:rPr>
        <w:t>a</w:t>
      </w:r>
      <w:proofErr w:type="spellEnd"/>
      <w:r w:rsidRPr="000620DF">
        <w:rPr>
          <w:rFonts w:eastAsia="Calibri"/>
          <w:vertAlign w:val="subscript"/>
        </w:rPr>
        <w:tab/>
      </w:r>
      <w:r w:rsidRPr="000620DF">
        <w:rPr>
          <w:rFonts w:eastAsia="Calibri"/>
        </w:rPr>
        <w:t>= Gross value added by agriculture (excluding river and marine fisheries and forestry) [USD]</w:t>
      </w:r>
    </w:p>
    <w:p w14:paraId="58DEED8C" w14:textId="77777777" w:rsidR="004063D1" w:rsidRPr="000620DF" w:rsidRDefault="004063D1" w:rsidP="004063D1">
      <w:pPr>
        <w:pStyle w:val="MText"/>
        <w:ind w:left="720"/>
        <w:rPr>
          <w:rFonts w:eastAsia="Calibri"/>
        </w:rPr>
      </w:pPr>
      <w:r w:rsidRPr="000620DF">
        <w:rPr>
          <w:rFonts w:eastAsia="Calibri"/>
        </w:rPr>
        <w:t>C</w:t>
      </w:r>
      <w:r w:rsidRPr="000620DF">
        <w:rPr>
          <w:rFonts w:eastAsia="Calibri"/>
          <w:vertAlign w:val="subscript"/>
        </w:rPr>
        <w:t>r</w:t>
      </w:r>
      <w:r w:rsidRPr="000620DF">
        <w:rPr>
          <w:rFonts w:eastAsia="Calibri"/>
        </w:rPr>
        <w:t xml:space="preserve"> </w:t>
      </w:r>
      <w:r w:rsidRPr="000620DF">
        <w:rPr>
          <w:rFonts w:eastAsia="Calibri"/>
        </w:rPr>
        <w:tab/>
        <w:t xml:space="preserve">= Proportion of agricultural GVA produced by rainfed agriculture </w:t>
      </w:r>
    </w:p>
    <w:p w14:paraId="7B4C02D3" w14:textId="77777777" w:rsidR="004063D1" w:rsidRPr="000620DF" w:rsidRDefault="004063D1" w:rsidP="004063D1">
      <w:pPr>
        <w:pStyle w:val="MText"/>
        <w:ind w:left="720"/>
        <w:rPr>
          <w:rFonts w:eastAsia="Calibri"/>
        </w:rPr>
      </w:pPr>
      <w:r w:rsidRPr="000620DF">
        <w:rPr>
          <w:rFonts w:eastAsia="Calibri"/>
        </w:rPr>
        <w:t>V</w:t>
      </w:r>
      <w:r w:rsidRPr="000620DF">
        <w:rPr>
          <w:rFonts w:eastAsia="Calibri"/>
          <w:vertAlign w:val="subscript"/>
        </w:rPr>
        <w:t>a</w:t>
      </w:r>
      <w:r w:rsidRPr="000620DF">
        <w:rPr>
          <w:rFonts w:eastAsia="Calibri"/>
        </w:rPr>
        <w:t xml:space="preserve"> </w:t>
      </w:r>
      <w:r w:rsidRPr="000620DF">
        <w:rPr>
          <w:rFonts w:eastAsia="Calibri"/>
        </w:rPr>
        <w:tab/>
        <w:t>= Volume of water used by the agricultural sector (including irrigation, livestock and aquaculture) [m</w:t>
      </w:r>
      <w:r w:rsidRPr="000620DF">
        <w:rPr>
          <w:rFonts w:eastAsia="Calibri"/>
          <w:vertAlign w:val="superscript"/>
        </w:rPr>
        <w:t>3</w:t>
      </w:r>
      <w:r w:rsidRPr="000620DF">
        <w:rPr>
          <w:rFonts w:eastAsia="Calibri"/>
        </w:rPr>
        <w:t>]</w:t>
      </w:r>
    </w:p>
    <w:p w14:paraId="2E15593B" w14:textId="77777777" w:rsidR="004063D1" w:rsidRPr="000620DF" w:rsidRDefault="004063D1" w:rsidP="004063D1">
      <w:pPr>
        <w:tabs>
          <w:tab w:val="left" w:pos="497"/>
          <w:tab w:val="left" w:pos="1064"/>
          <w:tab w:val="left" w:pos="1631"/>
        </w:tabs>
        <w:ind w:left="215"/>
        <w:rPr>
          <w:rFonts w:eastAsia="Calibri"/>
          <w:color w:val="404040" w:themeColor="text1" w:themeTint="BF"/>
          <w:sz w:val="21"/>
          <w:szCs w:val="21"/>
          <w:lang w:eastAsia="en-US"/>
        </w:rPr>
      </w:pPr>
    </w:p>
    <w:p w14:paraId="040CFA96" w14:textId="77777777" w:rsidR="004063D1" w:rsidRPr="000620DF" w:rsidRDefault="004063D1" w:rsidP="004063D1">
      <w:pPr>
        <w:pStyle w:val="MText"/>
        <w:rPr>
          <w:rFonts w:eastAsia="Calibri"/>
        </w:rPr>
      </w:pPr>
      <w:r w:rsidRPr="00F016A0">
        <w:rPr>
          <w:rFonts w:eastAsia="Calibri"/>
        </w:rPr>
        <w:t>The volume of water used by the agricultural sectors (V) is collected at country level through national</w:t>
      </w:r>
      <w:r w:rsidRPr="000620DF">
        <w:rPr>
          <w:rFonts w:eastAsia="Calibri"/>
        </w:rPr>
        <w:t xml:space="preserve"> records and reported in questionnaires, in units of m</w:t>
      </w:r>
      <w:r w:rsidRPr="000620DF">
        <w:rPr>
          <w:rFonts w:eastAsia="Calibri"/>
          <w:vertAlign w:val="superscript"/>
        </w:rPr>
        <w:t>3</w:t>
      </w:r>
      <w:r w:rsidRPr="000620DF">
        <w:rPr>
          <w:rFonts w:eastAsia="Calibri"/>
        </w:rPr>
        <w:t xml:space="preserve">/year (see example in AQUASTAT </w:t>
      </w:r>
      <w:hyperlink r:id="rId13" w:history="1">
        <w:r w:rsidRPr="000620DF">
          <w:rPr>
            <w:rFonts w:eastAsia="Calibri"/>
            <w:u w:val="single"/>
          </w:rPr>
          <w:t>http://www.fao.org/nr/water/aquastat/sets/aq-5yr-quest_eng.xls</w:t>
        </w:r>
      </w:hyperlink>
      <w:r w:rsidRPr="000620DF">
        <w:rPr>
          <w:rFonts w:eastAsia="Calibri"/>
        </w:rPr>
        <w:t>). Agricultural value added in national currency is obtained from national statistics, converted to USD and deflated to the baseline year.</w:t>
      </w:r>
    </w:p>
    <w:p w14:paraId="00F61148" w14:textId="77777777" w:rsidR="004063D1" w:rsidRDefault="004063D1" w:rsidP="004063D1">
      <w:pPr>
        <w:pStyle w:val="MText"/>
        <w:rPr>
          <w:rFonts w:eastAsia="Calibri"/>
          <w:lang w:val="en-US"/>
        </w:rPr>
      </w:pPr>
    </w:p>
    <w:p w14:paraId="7B01A0E3" w14:textId="7EB9C02A" w:rsidR="004063D1" w:rsidRDefault="004063D1" w:rsidP="004063D1">
      <w:pPr>
        <w:pStyle w:val="MText"/>
        <w:rPr>
          <w:rFonts w:eastAsia="Calibri"/>
          <w:lang w:val="en-US"/>
        </w:rPr>
      </w:pPr>
      <w:r w:rsidRPr="4E9E304D">
        <w:rPr>
          <w:rFonts w:eastAsia="Calibri"/>
          <w:lang w:val="en-US"/>
        </w:rPr>
        <w:t>C</w:t>
      </w:r>
      <w:r w:rsidRPr="4E9E304D">
        <w:rPr>
          <w:rFonts w:eastAsia="Calibri"/>
          <w:vertAlign w:val="subscript"/>
          <w:lang w:val="en-US"/>
        </w:rPr>
        <w:t>r</w:t>
      </w:r>
      <w:r w:rsidRPr="4E9E304D">
        <w:rPr>
          <w:rFonts w:eastAsia="Calibri"/>
          <w:lang w:val="en-US"/>
        </w:rPr>
        <w:t xml:space="preserve"> can be calculated from the proportion of irrigated land on the total Arable land and Permanent crops (hereinafter “cultivated land”, as follows:</w:t>
      </w:r>
    </w:p>
    <w:p w14:paraId="370DF6A2" w14:textId="4CAF7F9E" w:rsidR="00821A2C" w:rsidRPr="000620DF" w:rsidRDefault="00821A2C" w:rsidP="004063D1">
      <w:pPr>
        <w:pStyle w:val="MText"/>
        <w:rPr>
          <w:rFonts w:eastAsia="Calibri"/>
          <w:lang w:val="en-US"/>
        </w:rPr>
      </w:pPr>
      <w:r>
        <w:rPr>
          <w:noProof/>
          <w:lang w:val="en-US" w:eastAsia="en-US"/>
        </w:rPr>
        <w:drawing>
          <wp:inline distT="0" distB="0" distL="0" distR="0" wp14:anchorId="03BFAAC4" wp14:editId="6B06D6ED">
            <wp:extent cx="57054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590550"/>
                    </a:xfrm>
                    <a:prstGeom prst="rect">
                      <a:avLst/>
                    </a:prstGeom>
                  </pic:spPr>
                </pic:pic>
              </a:graphicData>
            </a:graphic>
          </wp:inline>
        </w:drawing>
      </w:r>
    </w:p>
    <w:p w14:paraId="1E3965D3" w14:textId="77777777" w:rsidR="004063D1" w:rsidRPr="000620DF" w:rsidRDefault="004063D1">
      <w:pPr>
        <w:pStyle w:val="MText"/>
        <w:rPr>
          <w:rFonts w:eastAsia="SimSun"/>
          <w:lang w:val="en-US"/>
        </w:rPr>
      </w:pPr>
      <w:r w:rsidRPr="000620DF">
        <w:rPr>
          <w:rFonts w:eastAsia="SimSun"/>
          <w:lang w:val="en-US"/>
        </w:rPr>
        <w:t>Where:</w:t>
      </w:r>
    </w:p>
    <w:p w14:paraId="1B04127E" w14:textId="77777777" w:rsidR="004063D1" w:rsidRPr="000620DF" w:rsidRDefault="004063D1" w:rsidP="004063D1">
      <w:pPr>
        <w:pStyle w:val="MText"/>
        <w:ind w:left="720"/>
        <w:rPr>
          <w:rFonts w:eastAsia="Calibri"/>
          <w:lang w:val="en-US"/>
        </w:rPr>
      </w:pPr>
      <w:r w:rsidRPr="000620DF">
        <w:rPr>
          <w:rFonts w:eastAsia="SimSun"/>
          <w:lang w:val="en-US"/>
        </w:rPr>
        <w:t>A</w:t>
      </w:r>
      <w:r w:rsidRPr="000620DF">
        <w:rPr>
          <w:rFonts w:eastAsia="SimSun"/>
          <w:vertAlign w:val="subscript"/>
          <w:lang w:val="en-US"/>
        </w:rPr>
        <w:t>i</w:t>
      </w:r>
      <w:r w:rsidRPr="000620DF">
        <w:rPr>
          <w:rFonts w:eastAsia="SimSun"/>
          <w:lang w:val="en-US"/>
        </w:rPr>
        <w:t xml:space="preserve"> </w:t>
      </w:r>
      <w:r w:rsidRPr="000620DF">
        <w:rPr>
          <w:rFonts w:eastAsia="Calibri"/>
        </w:rPr>
        <w:tab/>
      </w:r>
      <w:r w:rsidRPr="000620DF">
        <w:rPr>
          <w:rFonts w:eastAsia="SimSun"/>
          <w:lang w:val="en-US"/>
        </w:rPr>
        <w:t xml:space="preserve">= </w:t>
      </w:r>
      <w:r w:rsidRPr="000620DF">
        <w:rPr>
          <w:rFonts w:eastAsia="Calibri"/>
          <w:lang w:val="en-US"/>
        </w:rPr>
        <w:t>proportion of irrigated land on the total cultivated land, in decimals</w:t>
      </w:r>
    </w:p>
    <w:p w14:paraId="06462027" w14:textId="12D90734" w:rsidR="004063D1" w:rsidRPr="000620DF" w:rsidRDefault="004063D1" w:rsidP="004063D1">
      <w:pPr>
        <w:pStyle w:val="MText"/>
        <w:ind w:left="720"/>
        <w:rPr>
          <w:rFonts w:eastAsia="Calibri"/>
          <w:lang w:val="en-US"/>
        </w:rPr>
      </w:pPr>
      <w:r w:rsidRPr="4E9E304D">
        <w:rPr>
          <w:rFonts w:eastAsia="Calibri"/>
          <w:lang w:val="en-US"/>
        </w:rPr>
        <w:t>0.</w:t>
      </w:r>
      <w:r w:rsidR="13555322" w:rsidRPr="4E9E304D">
        <w:rPr>
          <w:rFonts w:eastAsia="Calibri"/>
          <w:lang w:val="en-US"/>
        </w:rPr>
        <w:t>563</w:t>
      </w:r>
      <w:r w:rsidRPr="4E9E304D">
        <w:rPr>
          <w:rFonts w:eastAsia="Calibri"/>
          <w:lang w:val="en-US"/>
        </w:rPr>
        <w:t xml:space="preserve"> </w:t>
      </w:r>
      <w:r>
        <w:tab/>
      </w:r>
      <w:r w:rsidRPr="4E9E304D">
        <w:rPr>
          <w:rFonts w:eastAsia="Calibri"/>
          <w:lang w:val="en-US"/>
        </w:rPr>
        <w:t>= generic default ratio between rainfed and irrigated yields</w:t>
      </w:r>
    </w:p>
    <w:p w14:paraId="4B4C2A5F" w14:textId="77777777" w:rsidR="004063D1" w:rsidRPr="000620DF" w:rsidRDefault="004063D1" w:rsidP="004063D1">
      <w:pPr>
        <w:pStyle w:val="MText"/>
        <w:rPr>
          <w:rFonts w:eastAsia="Calibri"/>
        </w:rPr>
      </w:pPr>
      <w:r w:rsidRPr="000620DF">
        <w:rPr>
          <w:rFonts w:eastAsia="Calibri"/>
        </w:rPr>
        <w:t>More detailed estimations are however possible and encouraged at country level.</w:t>
      </w:r>
    </w:p>
    <w:p w14:paraId="44024CD0" w14:textId="77777777" w:rsidR="004063D1" w:rsidRPr="000620DF" w:rsidRDefault="004063D1" w:rsidP="004063D1">
      <w:pPr>
        <w:spacing w:after="120"/>
        <w:jc w:val="both"/>
        <w:rPr>
          <w:rFonts w:eastAsia="Calibri"/>
          <w:color w:val="404040" w:themeColor="text1" w:themeTint="BF"/>
          <w:sz w:val="21"/>
          <w:szCs w:val="21"/>
          <w:lang w:eastAsia="en-US"/>
        </w:rPr>
      </w:pPr>
    </w:p>
    <w:p w14:paraId="27499A49" w14:textId="77777777" w:rsidR="004063D1" w:rsidRPr="000620DF" w:rsidRDefault="004063D1" w:rsidP="004063D1">
      <w:pPr>
        <w:pStyle w:val="MText"/>
        <w:rPr>
          <w:rFonts w:eastAsia="Calibri"/>
        </w:rPr>
      </w:pPr>
      <w:r w:rsidRPr="000620DF">
        <w:rPr>
          <w:rFonts w:eastAsia="Calibri"/>
          <w:i/>
          <w:lang w:bidi="en-US"/>
        </w:rPr>
        <w:t xml:space="preserve">Water efficiency of the MIMEC sectors (including power production): </w:t>
      </w:r>
      <w:r w:rsidRPr="000620DF">
        <w:rPr>
          <w:rFonts w:eastAsia="Calibri"/>
        </w:rPr>
        <w:t>MIMEC value added per unit of water used for the MIMEC sector, expressed in USD/m</w:t>
      </w:r>
      <w:r w:rsidRPr="000620DF">
        <w:rPr>
          <w:rFonts w:eastAsia="Calibri"/>
          <w:vertAlign w:val="superscript"/>
        </w:rPr>
        <w:t>3</w:t>
      </w:r>
      <w:r w:rsidRPr="000620DF">
        <w:rPr>
          <w:rFonts w:eastAsia="Calibri"/>
        </w:rPr>
        <w:t>.</w:t>
      </w:r>
    </w:p>
    <w:p w14:paraId="4DB0AA60" w14:textId="77777777" w:rsidR="004063D1" w:rsidRDefault="004063D1" w:rsidP="004063D1">
      <w:pPr>
        <w:pStyle w:val="MText"/>
        <w:rPr>
          <w:rFonts w:eastAsia="Calibri"/>
        </w:rPr>
      </w:pPr>
    </w:p>
    <w:p w14:paraId="0D850623" w14:textId="44349CD4" w:rsidR="004063D1" w:rsidRDefault="004063D1" w:rsidP="004063D1">
      <w:pPr>
        <w:pStyle w:val="MText"/>
        <w:rPr>
          <w:rFonts w:eastAsia="Calibri"/>
        </w:rPr>
      </w:pPr>
      <w:r w:rsidRPr="000620DF">
        <w:rPr>
          <w:rFonts w:eastAsia="Calibri"/>
        </w:rPr>
        <w:t>In formula:</w:t>
      </w:r>
    </w:p>
    <w:p w14:paraId="31714589" w14:textId="0D7BF0D5" w:rsidR="00821A2C" w:rsidRPr="000620DF" w:rsidRDefault="00821A2C" w:rsidP="004063D1">
      <w:pPr>
        <w:pStyle w:val="MText"/>
        <w:rPr>
          <w:rFonts w:eastAsia="Calibri"/>
        </w:rPr>
      </w:pPr>
      <w:r>
        <w:rPr>
          <w:noProof/>
          <w:lang w:val="en-US" w:eastAsia="en-US"/>
        </w:rPr>
        <w:drawing>
          <wp:inline distT="0" distB="0" distL="0" distR="0" wp14:anchorId="66D2E482" wp14:editId="439533DB">
            <wp:extent cx="2952750" cy="49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2750" cy="495300"/>
                    </a:xfrm>
                    <a:prstGeom prst="rect">
                      <a:avLst/>
                    </a:prstGeom>
                  </pic:spPr>
                </pic:pic>
              </a:graphicData>
            </a:graphic>
          </wp:inline>
        </w:drawing>
      </w:r>
    </w:p>
    <w:p w14:paraId="661198BB" w14:textId="77777777" w:rsidR="004063D1" w:rsidRPr="000620DF" w:rsidRDefault="004063D1">
      <w:pPr>
        <w:spacing w:after="120"/>
        <w:jc w:val="both"/>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lastRenderedPageBreak/>
        <w:t>Where:</w:t>
      </w:r>
    </w:p>
    <w:p w14:paraId="4C1D313F" w14:textId="77777777" w:rsidR="004063D1" w:rsidRPr="000620DF" w:rsidRDefault="004063D1" w:rsidP="004063D1">
      <w:pPr>
        <w:pStyle w:val="MText"/>
        <w:ind w:left="720"/>
        <w:rPr>
          <w:rFonts w:eastAsia="Calibri"/>
        </w:rPr>
      </w:pPr>
      <w:r w:rsidRPr="000620DF">
        <w:rPr>
          <w:rFonts w:eastAsia="Calibri"/>
        </w:rPr>
        <w:t>M</w:t>
      </w:r>
      <w:r w:rsidRPr="000620DF">
        <w:rPr>
          <w:rFonts w:eastAsia="Calibri"/>
          <w:vertAlign w:val="subscript"/>
        </w:rPr>
        <w:t>we</w:t>
      </w:r>
      <w:r>
        <w:rPr>
          <w:rFonts w:eastAsia="Calibri"/>
        </w:rPr>
        <w:t xml:space="preserve"> </w:t>
      </w:r>
      <w:r>
        <w:rPr>
          <w:rFonts w:eastAsia="Calibri"/>
        </w:rPr>
        <w:tab/>
      </w:r>
      <w:r w:rsidRPr="000620DF">
        <w:rPr>
          <w:rFonts w:eastAsia="Calibri"/>
        </w:rPr>
        <w:t>= Industrial water use efficiency [USD/m</w:t>
      </w:r>
      <w:r w:rsidRPr="000620DF">
        <w:rPr>
          <w:rFonts w:eastAsia="Calibri"/>
          <w:vertAlign w:val="superscript"/>
        </w:rPr>
        <w:t>3</w:t>
      </w:r>
      <w:r w:rsidRPr="000620DF">
        <w:rPr>
          <w:rFonts w:eastAsia="Calibri"/>
        </w:rPr>
        <w:t>]</w:t>
      </w:r>
    </w:p>
    <w:p w14:paraId="16F72CA2" w14:textId="77777777" w:rsidR="004063D1" w:rsidRPr="000620DF" w:rsidRDefault="004063D1" w:rsidP="004063D1">
      <w:pPr>
        <w:pStyle w:val="MText"/>
        <w:ind w:left="720"/>
        <w:rPr>
          <w:rFonts w:eastAsia="Calibri"/>
        </w:rPr>
      </w:pPr>
      <w:proofErr w:type="spellStart"/>
      <w:r w:rsidRPr="000620DF">
        <w:rPr>
          <w:rFonts w:eastAsia="Calibri"/>
        </w:rPr>
        <w:t>GVA</w:t>
      </w:r>
      <w:r w:rsidRPr="000620DF">
        <w:rPr>
          <w:rFonts w:eastAsia="Calibri"/>
          <w:vertAlign w:val="subscript"/>
        </w:rPr>
        <w:t>m</w:t>
      </w:r>
      <w:proofErr w:type="spellEnd"/>
      <w:r w:rsidRPr="000620DF">
        <w:rPr>
          <w:rFonts w:eastAsia="Calibri"/>
        </w:rPr>
        <w:tab/>
        <w:t>= Gross value added by MIMEC (including energy) [USD]</w:t>
      </w:r>
    </w:p>
    <w:p w14:paraId="2378082A" w14:textId="77777777" w:rsidR="004063D1" w:rsidRPr="000620DF" w:rsidRDefault="004063D1" w:rsidP="004063D1">
      <w:pPr>
        <w:pStyle w:val="MText"/>
        <w:ind w:left="720"/>
        <w:rPr>
          <w:rFonts w:eastAsia="Calibri"/>
        </w:rPr>
      </w:pPr>
      <w:proofErr w:type="spellStart"/>
      <w:r w:rsidRPr="000620DF">
        <w:rPr>
          <w:rFonts w:eastAsia="Calibri"/>
        </w:rPr>
        <w:t>V</w:t>
      </w:r>
      <w:r w:rsidRPr="000620DF">
        <w:rPr>
          <w:rFonts w:eastAsia="Calibri"/>
          <w:vertAlign w:val="subscript"/>
        </w:rPr>
        <w:t>m</w:t>
      </w:r>
      <w:proofErr w:type="spellEnd"/>
      <w:r>
        <w:rPr>
          <w:rFonts w:eastAsia="Calibri"/>
        </w:rPr>
        <w:tab/>
      </w:r>
      <w:r w:rsidRPr="000620DF">
        <w:rPr>
          <w:rFonts w:eastAsia="Calibri"/>
        </w:rPr>
        <w:t>= Volume of water used by MIMEC (including energy) [m</w:t>
      </w:r>
      <w:r w:rsidRPr="000620DF">
        <w:rPr>
          <w:rFonts w:eastAsia="Calibri"/>
          <w:vertAlign w:val="superscript"/>
        </w:rPr>
        <w:t>3</w:t>
      </w:r>
      <w:r w:rsidRPr="000620DF">
        <w:rPr>
          <w:rFonts w:eastAsia="Calibri"/>
        </w:rPr>
        <w:t>]</w:t>
      </w:r>
    </w:p>
    <w:p w14:paraId="4EDDE768" w14:textId="77777777" w:rsidR="004063D1" w:rsidRPr="000620DF" w:rsidRDefault="004063D1" w:rsidP="004063D1">
      <w:pPr>
        <w:spacing w:after="120"/>
        <w:jc w:val="both"/>
        <w:rPr>
          <w:rFonts w:eastAsia="Calibri"/>
          <w:i/>
          <w:color w:val="404040" w:themeColor="text1" w:themeTint="BF"/>
          <w:sz w:val="21"/>
          <w:szCs w:val="21"/>
          <w:lang w:eastAsia="en-US"/>
        </w:rPr>
      </w:pPr>
    </w:p>
    <w:p w14:paraId="32036ACE" w14:textId="72C2FAF0" w:rsidR="004063D1" w:rsidRPr="000620DF" w:rsidRDefault="004063D1" w:rsidP="004063D1">
      <w:pPr>
        <w:pStyle w:val="MText"/>
        <w:rPr>
          <w:rFonts w:eastAsia="Calibri"/>
        </w:rPr>
      </w:pPr>
      <w:r w:rsidRPr="000620DF">
        <w:rPr>
          <w:rFonts w:eastAsia="Calibri"/>
        </w:rPr>
        <w:t>MIMEC water use (</w:t>
      </w:r>
      <w:proofErr w:type="spellStart"/>
      <w:r w:rsidRPr="000620DF">
        <w:rPr>
          <w:rFonts w:eastAsia="Calibri"/>
        </w:rPr>
        <w:t>V</w:t>
      </w:r>
      <w:r w:rsidRPr="000620DF">
        <w:rPr>
          <w:rFonts w:eastAsia="Calibri"/>
          <w:vertAlign w:val="subscript"/>
        </w:rPr>
        <w:t>m</w:t>
      </w:r>
      <w:proofErr w:type="spellEnd"/>
      <w:r w:rsidRPr="000620DF">
        <w:rPr>
          <w:rFonts w:eastAsia="Calibri"/>
        </w:rPr>
        <w:t>) is collected at country level through n</w:t>
      </w:r>
      <w:r>
        <w:rPr>
          <w:rFonts w:eastAsia="Calibri"/>
        </w:rPr>
        <w:t xml:space="preserve">ational records and reported in </w:t>
      </w:r>
      <w:r w:rsidRPr="000620DF">
        <w:rPr>
          <w:rFonts w:eastAsia="Calibri"/>
        </w:rPr>
        <w:t>questionnaires, in units of m</w:t>
      </w:r>
      <w:r w:rsidRPr="000620DF">
        <w:rPr>
          <w:rFonts w:eastAsia="Calibri"/>
          <w:vertAlign w:val="superscript"/>
        </w:rPr>
        <w:t>3</w:t>
      </w:r>
      <w:r w:rsidRPr="000620DF">
        <w:rPr>
          <w:rFonts w:eastAsia="Calibri"/>
        </w:rPr>
        <w:t xml:space="preserve">/year (see example in AQUASTAT </w:t>
      </w:r>
      <w:hyperlink r:id="rId16" w:history="1">
        <w:r w:rsidR="00F90048" w:rsidRPr="002B4812">
          <w:rPr>
            <w:rStyle w:val="Hyperlink"/>
            <w:rFonts w:eastAsia="Calibri"/>
          </w:rPr>
          <w:t>http://www.fao.org/nr/water/aquastat/sets/aq-5yr-quest_eng.xls</w:t>
        </w:r>
      </w:hyperlink>
      <w:r w:rsidRPr="000620DF">
        <w:rPr>
          <w:rFonts w:eastAsia="Calibri"/>
        </w:rPr>
        <w:t>). MIMEC value added is obtained from national statistics, deflated to the baseline year.</w:t>
      </w:r>
    </w:p>
    <w:p w14:paraId="48253B80" w14:textId="77777777" w:rsidR="004063D1" w:rsidRDefault="004063D1" w:rsidP="004063D1">
      <w:pPr>
        <w:pStyle w:val="MText"/>
        <w:rPr>
          <w:rFonts w:eastAsia="Calibri"/>
          <w:i/>
        </w:rPr>
      </w:pPr>
    </w:p>
    <w:p w14:paraId="57686F19" w14:textId="77777777" w:rsidR="004063D1" w:rsidRPr="000620DF" w:rsidRDefault="004063D1" w:rsidP="004063D1">
      <w:pPr>
        <w:pStyle w:val="MText"/>
        <w:rPr>
          <w:rFonts w:eastAsia="Calibri"/>
        </w:rPr>
      </w:pPr>
      <w:r w:rsidRPr="000620DF">
        <w:rPr>
          <w:rFonts w:eastAsia="Calibri"/>
          <w:i/>
        </w:rPr>
        <w:t xml:space="preserve">Services water supply efficiency </w:t>
      </w:r>
      <w:r w:rsidRPr="000620DF">
        <w:rPr>
          <w:rFonts w:eastAsia="Calibri"/>
        </w:rPr>
        <w:t>is calculated as the service sector value added (ISIC 36-39 and ISIC 45-98) divided by water used for distribution by the water collection, treatment and supply industry (ISIC 36), expressed in USD/m</w:t>
      </w:r>
      <w:r w:rsidRPr="000620DF">
        <w:rPr>
          <w:rFonts w:eastAsia="Calibri"/>
          <w:vertAlign w:val="superscript"/>
        </w:rPr>
        <w:t>3</w:t>
      </w:r>
      <w:r w:rsidRPr="000620DF">
        <w:rPr>
          <w:rFonts w:eastAsia="Calibri"/>
        </w:rPr>
        <w:t>.</w:t>
      </w:r>
    </w:p>
    <w:p w14:paraId="5C7AE480" w14:textId="77777777" w:rsidR="004063D1" w:rsidRDefault="004063D1" w:rsidP="000F4AB6">
      <w:pPr>
        <w:spacing w:after="0"/>
        <w:jc w:val="both"/>
        <w:rPr>
          <w:rFonts w:eastAsia="Calibri"/>
          <w:color w:val="404040" w:themeColor="text1" w:themeTint="BF"/>
          <w:sz w:val="21"/>
          <w:szCs w:val="21"/>
          <w:lang w:eastAsia="en-US"/>
        </w:rPr>
      </w:pPr>
    </w:p>
    <w:p w14:paraId="719CFB35" w14:textId="22E42A3F" w:rsidR="004063D1" w:rsidRDefault="004063D1" w:rsidP="004063D1">
      <w:pPr>
        <w:spacing w:after="120"/>
        <w:jc w:val="both"/>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In formula:</w:t>
      </w:r>
    </w:p>
    <w:p w14:paraId="26356DEF" w14:textId="38257E36" w:rsidR="00821A2C" w:rsidRPr="000620DF" w:rsidRDefault="00821A2C" w:rsidP="004063D1">
      <w:pPr>
        <w:spacing w:after="120"/>
        <w:jc w:val="both"/>
        <w:rPr>
          <w:rFonts w:eastAsia="Calibri"/>
          <w:color w:val="404040" w:themeColor="text1" w:themeTint="BF"/>
          <w:sz w:val="21"/>
          <w:szCs w:val="21"/>
          <w:lang w:eastAsia="en-US"/>
        </w:rPr>
      </w:pPr>
      <w:r>
        <w:rPr>
          <w:noProof/>
          <w:lang w:val="en-US" w:eastAsia="en-US"/>
        </w:rPr>
        <w:drawing>
          <wp:inline distT="0" distB="0" distL="0" distR="0" wp14:anchorId="1167A3AE" wp14:editId="4FFEF751">
            <wp:extent cx="5495925" cy="48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485775"/>
                    </a:xfrm>
                    <a:prstGeom prst="rect">
                      <a:avLst/>
                    </a:prstGeom>
                  </pic:spPr>
                </pic:pic>
              </a:graphicData>
            </a:graphic>
          </wp:inline>
        </w:drawing>
      </w:r>
    </w:p>
    <w:p w14:paraId="69E53349" w14:textId="77777777" w:rsidR="004063D1" w:rsidRPr="000620DF" w:rsidRDefault="004063D1" w:rsidP="004063D1">
      <w:pPr>
        <w:spacing w:after="60"/>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Where:</w:t>
      </w:r>
    </w:p>
    <w:p w14:paraId="18ED5495" w14:textId="77777777" w:rsidR="004063D1" w:rsidRPr="000620DF" w:rsidRDefault="004063D1" w:rsidP="004063D1">
      <w:pPr>
        <w:tabs>
          <w:tab w:val="left" w:pos="504"/>
          <w:tab w:val="left" w:pos="1064"/>
          <w:tab w:val="left" w:pos="1632"/>
        </w:tabs>
        <w:spacing w:after="120" w:line="240" w:lineRule="auto"/>
        <w:ind w:left="504"/>
        <w:contextualSpacing/>
        <w:rPr>
          <w:rFonts w:eastAsia="Calibri"/>
          <w:i/>
          <w:color w:val="404040" w:themeColor="text1" w:themeTint="BF"/>
          <w:sz w:val="21"/>
          <w:szCs w:val="21"/>
          <w:lang w:eastAsia="en-US"/>
        </w:rPr>
      </w:pPr>
      <w:r w:rsidRPr="000620DF">
        <w:rPr>
          <w:rFonts w:eastAsia="Calibri"/>
          <w:color w:val="404040" w:themeColor="text1" w:themeTint="BF"/>
          <w:sz w:val="21"/>
          <w:szCs w:val="21"/>
          <w:lang w:eastAsia="en-US"/>
        </w:rPr>
        <w:t>S</w:t>
      </w:r>
      <w:r w:rsidRPr="000620DF">
        <w:rPr>
          <w:rFonts w:eastAsia="Calibri"/>
          <w:color w:val="404040" w:themeColor="text1" w:themeTint="BF"/>
          <w:sz w:val="21"/>
          <w:szCs w:val="21"/>
          <w:vertAlign w:val="subscript"/>
          <w:lang w:eastAsia="en-US"/>
        </w:rPr>
        <w:t>we</w:t>
      </w:r>
      <w:r>
        <w:rPr>
          <w:rFonts w:eastAsia="Calibri"/>
          <w:color w:val="404040" w:themeColor="text1" w:themeTint="BF"/>
          <w:sz w:val="21"/>
          <w:szCs w:val="21"/>
          <w:lang w:eastAsia="en-US"/>
        </w:rPr>
        <w:t xml:space="preserve"> </w:t>
      </w:r>
      <w:r>
        <w:rPr>
          <w:rFonts w:eastAsia="Calibri"/>
          <w:color w:val="404040" w:themeColor="text1" w:themeTint="BF"/>
          <w:sz w:val="21"/>
          <w:szCs w:val="21"/>
          <w:lang w:eastAsia="en-US"/>
        </w:rPr>
        <w:tab/>
        <w:t xml:space="preserve">= </w:t>
      </w:r>
      <w:r w:rsidRPr="000620DF">
        <w:rPr>
          <w:rFonts w:eastAsia="Calibri"/>
          <w:i/>
          <w:color w:val="404040" w:themeColor="text1" w:themeTint="BF"/>
          <w:sz w:val="21"/>
          <w:szCs w:val="21"/>
          <w:lang w:eastAsia="en-US"/>
        </w:rPr>
        <w:t>Services water use efficiency [USD/m</w:t>
      </w:r>
      <w:r w:rsidRPr="000620DF">
        <w:rPr>
          <w:rFonts w:eastAsia="Calibri"/>
          <w:i/>
          <w:color w:val="404040" w:themeColor="text1" w:themeTint="BF"/>
          <w:sz w:val="21"/>
          <w:szCs w:val="21"/>
          <w:vertAlign w:val="superscript"/>
          <w:lang w:eastAsia="en-US"/>
        </w:rPr>
        <w:t>3</w:t>
      </w:r>
      <w:r w:rsidRPr="000620DF">
        <w:rPr>
          <w:rFonts w:eastAsia="Calibri"/>
          <w:i/>
          <w:color w:val="404040" w:themeColor="text1" w:themeTint="BF"/>
          <w:sz w:val="21"/>
          <w:szCs w:val="21"/>
          <w:lang w:eastAsia="en-US"/>
        </w:rPr>
        <w:t>]</w:t>
      </w:r>
    </w:p>
    <w:p w14:paraId="63D2A288" w14:textId="77777777" w:rsidR="004063D1" w:rsidRPr="000620DF" w:rsidRDefault="004063D1" w:rsidP="004063D1">
      <w:pPr>
        <w:tabs>
          <w:tab w:val="left" w:pos="504"/>
          <w:tab w:val="left" w:pos="1064"/>
          <w:tab w:val="left" w:pos="1632"/>
        </w:tabs>
        <w:spacing w:after="120" w:line="240" w:lineRule="auto"/>
        <w:ind w:left="504"/>
        <w:contextualSpacing/>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GVA</w:t>
      </w:r>
      <w:r w:rsidRPr="000620DF">
        <w:rPr>
          <w:rFonts w:eastAsia="Calibri"/>
          <w:color w:val="404040" w:themeColor="text1" w:themeTint="BF"/>
          <w:sz w:val="21"/>
          <w:szCs w:val="21"/>
          <w:vertAlign w:val="subscript"/>
          <w:lang w:eastAsia="en-US"/>
        </w:rPr>
        <w:t>s</w:t>
      </w:r>
      <w:r>
        <w:rPr>
          <w:rFonts w:eastAsia="Calibri"/>
          <w:color w:val="404040" w:themeColor="text1" w:themeTint="BF"/>
          <w:sz w:val="21"/>
          <w:szCs w:val="21"/>
          <w:lang w:eastAsia="en-US"/>
        </w:rPr>
        <w:tab/>
      </w:r>
      <w:r w:rsidRPr="000620DF">
        <w:rPr>
          <w:rFonts w:eastAsia="Calibri"/>
          <w:color w:val="404040" w:themeColor="text1" w:themeTint="BF"/>
          <w:sz w:val="21"/>
          <w:szCs w:val="21"/>
          <w:lang w:eastAsia="en-US"/>
        </w:rPr>
        <w:t>=</w:t>
      </w:r>
      <w:r>
        <w:rPr>
          <w:rFonts w:eastAsia="Calibri"/>
          <w:color w:val="404040" w:themeColor="text1" w:themeTint="BF"/>
          <w:sz w:val="21"/>
          <w:szCs w:val="21"/>
          <w:lang w:eastAsia="en-US"/>
        </w:rPr>
        <w:t xml:space="preserve"> </w:t>
      </w:r>
      <w:r w:rsidRPr="000620DF">
        <w:rPr>
          <w:rFonts w:eastAsia="Calibri"/>
          <w:color w:val="404040" w:themeColor="text1" w:themeTint="BF"/>
          <w:sz w:val="21"/>
          <w:szCs w:val="21"/>
          <w:lang w:eastAsia="en-US"/>
        </w:rPr>
        <w:t>Gross value added by services [USD]</w:t>
      </w:r>
    </w:p>
    <w:p w14:paraId="22B22369" w14:textId="2CEB664E" w:rsidR="004063D1" w:rsidRPr="000620DF" w:rsidRDefault="004063D1" w:rsidP="004063D1">
      <w:pPr>
        <w:tabs>
          <w:tab w:val="left" w:pos="504"/>
          <w:tab w:val="left" w:pos="1064"/>
          <w:tab w:val="left" w:pos="1632"/>
        </w:tabs>
        <w:spacing w:after="120" w:line="240" w:lineRule="auto"/>
        <w:ind w:left="504"/>
        <w:contextualSpacing/>
        <w:rPr>
          <w:rFonts w:eastAsia="Calibri"/>
          <w:color w:val="404040" w:themeColor="text1" w:themeTint="BF"/>
          <w:sz w:val="21"/>
          <w:szCs w:val="21"/>
          <w:lang w:eastAsia="en-US"/>
        </w:rPr>
      </w:pPr>
      <w:r w:rsidRPr="000620DF">
        <w:rPr>
          <w:rFonts w:eastAsia="Calibri"/>
          <w:color w:val="404040" w:themeColor="text1" w:themeTint="BF"/>
          <w:sz w:val="21"/>
          <w:szCs w:val="21"/>
          <w:lang w:eastAsia="en-US"/>
        </w:rPr>
        <w:t>V</w:t>
      </w:r>
      <w:r w:rsidRPr="000620DF">
        <w:rPr>
          <w:rFonts w:eastAsia="Calibri"/>
          <w:color w:val="404040" w:themeColor="text1" w:themeTint="BF"/>
          <w:sz w:val="21"/>
          <w:szCs w:val="21"/>
          <w:vertAlign w:val="subscript"/>
          <w:lang w:eastAsia="en-US"/>
        </w:rPr>
        <w:t>s</w:t>
      </w:r>
      <w:r>
        <w:rPr>
          <w:rFonts w:eastAsia="Calibri"/>
          <w:color w:val="404040" w:themeColor="text1" w:themeTint="BF"/>
          <w:sz w:val="21"/>
          <w:szCs w:val="21"/>
          <w:lang w:eastAsia="en-US"/>
        </w:rPr>
        <w:tab/>
        <w:t xml:space="preserve">= </w:t>
      </w:r>
      <w:r w:rsidRPr="000620DF">
        <w:rPr>
          <w:rFonts w:eastAsia="Calibri"/>
          <w:color w:val="404040" w:themeColor="text1" w:themeTint="BF"/>
          <w:sz w:val="21"/>
          <w:szCs w:val="21"/>
          <w:lang w:eastAsia="en-US"/>
        </w:rPr>
        <w:t>Volume of water used by the service sector [m</w:t>
      </w:r>
      <w:r w:rsidRPr="000620DF">
        <w:rPr>
          <w:rFonts w:eastAsia="Calibri"/>
          <w:color w:val="404040" w:themeColor="text1" w:themeTint="BF"/>
          <w:sz w:val="21"/>
          <w:szCs w:val="21"/>
          <w:vertAlign w:val="superscript"/>
          <w:lang w:eastAsia="en-US"/>
        </w:rPr>
        <w:t>3</w:t>
      </w:r>
      <w:r w:rsidRPr="000620DF">
        <w:rPr>
          <w:rFonts w:eastAsia="Calibri"/>
          <w:color w:val="404040" w:themeColor="text1" w:themeTint="BF"/>
          <w:sz w:val="21"/>
          <w:szCs w:val="21"/>
          <w:lang w:eastAsia="en-US"/>
        </w:rPr>
        <w:t>]</w:t>
      </w:r>
    </w:p>
    <w:p w14:paraId="0C53EBAD" w14:textId="40DACE4E" w:rsidR="004063D1" w:rsidRPr="000620DF" w:rsidRDefault="004063D1" w:rsidP="004063D1">
      <w:pPr>
        <w:pStyle w:val="MText"/>
        <w:rPr>
          <w:rFonts w:eastAsia="Calibri"/>
        </w:rPr>
      </w:pPr>
      <w:r w:rsidRPr="000620DF">
        <w:rPr>
          <w:rFonts w:eastAsia="Calibri"/>
        </w:rPr>
        <w:t>Data on volumes of used and distributed water are collected at country level from the municipal supply utilities records and reported in questionnaires, in units of km</w:t>
      </w:r>
      <w:r w:rsidRPr="000620DF">
        <w:rPr>
          <w:rFonts w:eastAsia="Calibri"/>
          <w:vertAlign w:val="superscript"/>
        </w:rPr>
        <w:t>3</w:t>
      </w:r>
      <w:r w:rsidRPr="000620DF">
        <w:rPr>
          <w:rFonts w:eastAsia="Calibri"/>
        </w:rPr>
        <w:t>/year or million m</w:t>
      </w:r>
      <w:r w:rsidRPr="000620DF">
        <w:rPr>
          <w:rFonts w:eastAsia="Calibri"/>
          <w:vertAlign w:val="superscript"/>
        </w:rPr>
        <w:t>3</w:t>
      </w:r>
      <w:r w:rsidRPr="000620DF">
        <w:rPr>
          <w:rFonts w:eastAsia="Calibri"/>
        </w:rPr>
        <w:t xml:space="preserve">/year (see example in AQUASTAT </w:t>
      </w:r>
      <w:hyperlink r:id="rId18" w:history="1">
        <w:r w:rsidRPr="000620DF">
          <w:rPr>
            <w:rFonts w:eastAsia="Calibri"/>
            <w:u w:val="single"/>
          </w:rPr>
          <w:t>http://www.fao.org/nr/water/aquastat/sets/aq-5yr-quest_eng.xls</w:t>
        </w:r>
      </w:hyperlink>
      <w:r w:rsidRPr="000620DF">
        <w:rPr>
          <w:rFonts w:eastAsia="Calibri"/>
        </w:rPr>
        <w:t>). Services value added is obtained from national statistics, deflated to the baseline year.</w:t>
      </w:r>
    </w:p>
    <w:p w14:paraId="0A851428" w14:textId="77777777" w:rsidR="004063D1" w:rsidRPr="000620DF" w:rsidRDefault="004063D1" w:rsidP="004063D1">
      <w:pPr>
        <w:pStyle w:val="MText"/>
        <w:rPr>
          <w:rFonts w:eastAsia="Calibri"/>
        </w:rPr>
      </w:pPr>
    </w:p>
    <w:p w14:paraId="2E6300DF" w14:textId="77777777" w:rsidR="004063D1" w:rsidRPr="000620DF" w:rsidRDefault="004063D1" w:rsidP="004063D1">
      <w:pPr>
        <w:pStyle w:val="MText"/>
      </w:pPr>
      <w:r w:rsidRPr="000620DF">
        <w:t xml:space="preserve">Change in water use efficiency (CWUE) is computed as the ratio of water use efficiency (WUE) in time </w:t>
      </w:r>
      <w:proofErr w:type="spellStart"/>
      <w:r w:rsidRPr="000620DF">
        <w:t>t</w:t>
      </w:r>
      <w:proofErr w:type="spellEnd"/>
      <w:r w:rsidRPr="000620DF">
        <w:t xml:space="preserve"> minus water use efficiency in time t-1, divided by water use efficiency in time t-1 and multiplied by 100:</w:t>
      </w:r>
    </w:p>
    <w:p w14:paraId="272549A6" w14:textId="47B581BA" w:rsidR="004063D1" w:rsidRPr="000620DF" w:rsidRDefault="00821A2C" w:rsidP="00017B86">
      <w:pPr>
        <w:pStyle w:val="BodyText"/>
        <w:ind w:left="0"/>
        <w:rPr>
          <w:rFonts w:asciiTheme="minorHAnsi" w:hAnsiTheme="minorHAnsi"/>
          <w:color w:val="404040" w:themeColor="text1" w:themeTint="BF"/>
          <w:sz w:val="21"/>
          <w:szCs w:val="21"/>
        </w:rPr>
      </w:pPr>
      <w:r>
        <w:rPr>
          <w:noProof/>
          <w:lang w:val="en-US" w:eastAsia="en-US"/>
        </w:rPr>
        <w:drawing>
          <wp:inline distT="0" distB="0" distL="0" distR="0" wp14:anchorId="193E9570" wp14:editId="10F7AD80">
            <wp:extent cx="5514975" cy="628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628650"/>
                    </a:xfrm>
                    <a:prstGeom prst="rect">
                      <a:avLst/>
                    </a:prstGeom>
                  </pic:spPr>
                </pic:pic>
              </a:graphicData>
            </a:graphic>
          </wp:inline>
        </w:drawing>
      </w:r>
    </w:p>
    <w:p w14:paraId="0273F0D7" w14:textId="77777777" w:rsidR="004063D1" w:rsidRPr="000620DF" w:rsidRDefault="004063D1" w:rsidP="004063D1">
      <w:pPr>
        <w:pStyle w:val="MText"/>
      </w:pPr>
      <w:r w:rsidRPr="000620DF">
        <w:t>It must be noted that computing the indicator in an aggregated manner, i.e. total GDP over total water use, would lead to an overestimation of the indicator. That is due to the fact that, for the agricultural sector, only the value produced under irrigation has to be counted in calculating the indicator. Hence, the sum of the value added of the various sectors used in these formulas is not equivalent to the total GDP of the country.</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10ECBDBA" w14:textId="47B6AFAC" w:rsidR="0025395A" w:rsidRDefault="73DE3FCB" w:rsidP="002922E6">
      <w:pPr>
        <w:pStyle w:val="MText"/>
      </w:pPr>
      <w:r>
        <w:t xml:space="preserve">Data validation is done in a number of steps. </w:t>
      </w:r>
    </w:p>
    <w:p w14:paraId="059CFB12" w14:textId="4EEDEA7B" w:rsidR="0025395A" w:rsidRDefault="0025395A" w:rsidP="002922E6">
      <w:pPr>
        <w:pStyle w:val="MText"/>
      </w:pPr>
    </w:p>
    <w:p w14:paraId="5571D921" w14:textId="52E78248" w:rsidR="0025395A" w:rsidRDefault="00935B5A" w:rsidP="00EE1A9B">
      <w:pPr>
        <w:pStyle w:val="MText"/>
        <w:numPr>
          <w:ilvl w:val="0"/>
          <w:numId w:val="20"/>
        </w:numPr>
        <w:rPr>
          <w:rFonts w:eastAsiaTheme="minorEastAsia" w:cstheme="minorBidi"/>
        </w:rPr>
      </w:pPr>
      <w:r>
        <w:t xml:space="preserve">The </w:t>
      </w:r>
      <w:r w:rsidR="4E716D1E">
        <w:t>AQUASTAT</w:t>
      </w:r>
      <w:r w:rsidR="00D82626">
        <w:t xml:space="preserve"> questionnaire </w:t>
      </w:r>
      <w:r w:rsidR="00C17120">
        <w:t>embeds automatic</w:t>
      </w:r>
      <w:r w:rsidR="0075412F">
        <w:t xml:space="preserve"> validation rules </w:t>
      </w:r>
      <w:r w:rsidR="00C17120">
        <w:t>to</w:t>
      </w:r>
      <w:r w:rsidR="0075412F">
        <w:t xml:space="preserve"> </w:t>
      </w:r>
      <w:r w:rsidR="00C17120">
        <w:t xml:space="preserve">allow National Correspondents to </w:t>
      </w:r>
      <w:r w:rsidR="00F11D11">
        <w:t xml:space="preserve">identify any data consistency errors while compiling the data. </w:t>
      </w:r>
    </w:p>
    <w:p w14:paraId="60CD7985" w14:textId="77777777" w:rsidR="00F11D11" w:rsidRDefault="00F11D11" w:rsidP="002922E6">
      <w:pPr>
        <w:pStyle w:val="MText"/>
      </w:pPr>
    </w:p>
    <w:p w14:paraId="332F6F25" w14:textId="167DDAED" w:rsidR="002922E6" w:rsidRDefault="3FE3BF46" w:rsidP="00EE1A9B">
      <w:pPr>
        <w:pStyle w:val="MText"/>
        <w:numPr>
          <w:ilvl w:val="0"/>
          <w:numId w:val="20"/>
        </w:numPr>
        <w:rPr>
          <w:rFonts w:eastAsiaTheme="minorEastAsia" w:cstheme="minorBidi"/>
        </w:rPr>
      </w:pPr>
      <w:r>
        <w:lastRenderedPageBreak/>
        <w:t>O</w:t>
      </w:r>
      <w:r w:rsidR="00A17C5D">
        <w:t>n</w:t>
      </w:r>
      <w:r>
        <w:t>ce</w:t>
      </w:r>
      <w:r w:rsidR="002922E6">
        <w:t xml:space="preserve"> the questionnaire </w:t>
      </w:r>
      <w:r w:rsidR="4E175DC9">
        <w:t>is</w:t>
      </w:r>
      <w:r w:rsidR="00F11D11">
        <w:t xml:space="preserve"> </w:t>
      </w:r>
      <w:r w:rsidR="234C5167">
        <w:t>submitted</w:t>
      </w:r>
      <w:r w:rsidR="002922E6">
        <w:t xml:space="preserve">, </w:t>
      </w:r>
      <w:r w:rsidR="00F11D11">
        <w:t xml:space="preserve">FAO </w:t>
      </w:r>
      <w:r w:rsidR="003B0E5A">
        <w:t xml:space="preserve">thoroughly </w:t>
      </w:r>
      <w:r w:rsidR="26A14EDD">
        <w:t>review</w:t>
      </w:r>
      <w:r w:rsidR="7BBAE811">
        <w:t>s</w:t>
      </w:r>
      <w:r w:rsidR="003B0E5A">
        <w:t xml:space="preserve"> the information reported</w:t>
      </w:r>
      <w:r w:rsidR="002E1A43">
        <w:t xml:space="preserve">, </w:t>
      </w:r>
      <w:r w:rsidR="6522EAC8">
        <w:t>using the following tools:</w:t>
      </w:r>
    </w:p>
    <w:p w14:paraId="3DC7B210" w14:textId="3E1F8467" w:rsidR="002922E6" w:rsidRDefault="00BB76E0" w:rsidP="00EE1A9B">
      <w:pPr>
        <w:pStyle w:val="MText"/>
        <w:numPr>
          <w:ilvl w:val="1"/>
          <w:numId w:val="18"/>
        </w:numPr>
        <w:rPr>
          <w:rFonts w:eastAsiaTheme="minorEastAsia" w:cstheme="minorBidi"/>
        </w:rPr>
      </w:pPr>
      <w:r>
        <w:t>Manual c</w:t>
      </w:r>
      <w:r w:rsidR="002922E6">
        <w:t>ross-variable check</w:t>
      </w:r>
      <w:r w:rsidR="0346BCA5">
        <w:t>. This includes cross-</w:t>
      </w:r>
      <w:r w:rsidR="31AC5977">
        <w:t>comparison</w:t>
      </w:r>
      <w:r w:rsidR="0346BCA5">
        <w:t xml:space="preserve"> with similar countries as well as historic data for the countries. </w:t>
      </w:r>
    </w:p>
    <w:p w14:paraId="3106DE90" w14:textId="05EE791E" w:rsidR="002922E6" w:rsidRDefault="002922E6" w:rsidP="00EE1A9B">
      <w:pPr>
        <w:pStyle w:val="MText"/>
        <w:numPr>
          <w:ilvl w:val="1"/>
          <w:numId w:val="18"/>
        </w:numPr>
        <w:rPr>
          <w:rFonts w:eastAsiaTheme="minorEastAsia" w:cstheme="minorBidi"/>
        </w:rPr>
      </w:pPr>
      <w:r>
        <w:t>Time-series coherency</w:t>
      </w:r>
      <w:r w:rsidR="00BA0B84">
        <w:t xml:space="preserve"> by running an R-script to compare reported data with those corresponding to previous yea</w:t>
      </w:r>
      <w:r w:rsidR="005F25B0">
        <w:t>rs</w:t>
      </w:r>
    </w:p>
    <w:p w14:paraId="5722BAB3" w14:textId="46F38E5D" w:rsidR="0BE34241" w:rsidRDefault="002922E6" w:rsidP="00EE1A9B">
      <w:pPr>
        <w:pStyle w:val="MText"/>
      </w:pPr>
      <w:r>
        <w:t>Verification of the metadata, in particular the source of the proposed data</w:t>
      </w:r>
      <w:r w:rsidR="003232EC">
        <w:t>. The critical analysis of the compiled data gives preference to national sources and expert knowledge.</w:t>
      </w:r>
    </w:p>
    <w:p w14:paraId="1B87DD29" w14:textId="63B53B15" w:rsidR="00A302C3" w:rsidRDefault="002922E6" w:rsidP="00EE1A9B">
      <w:pPr>
        <w:pStyle w:val="MText"/>
        <w:numPr>
          <w:ilvl w:val="0"/>
          <w:numId w:val="19"/>
        </w:numPr>
        <w:rPr>
          <w:rFonts w:eastAsiaTheme="minorEastAsia" w:cstheme="minorBidi"/>
        </w:rPr>
      </w:pPr>
      <w:r>
        <w:t xml:space="preserve">After </w:t>
      </w:r>
      <w:r w:rsidR="00BA0B84">
        <w:t>this verification</w:t>
      </w:r>
      <w:r>
        <w:t xml:space="preserve">, </w:t>
      </w:r>
      <w:r w:rsidR="000F2AFA">
        <w:t xml:space="preserve">exchanges between the National Correspondents and FAO </w:t>
      </w:r>
      <w:r w:rsidR="270DEEBA">
        <w:t>takes place</w:t>
      </w:r>
      <w:r w:rsidR="000F2AFA">
        <w:t xml:space="preserve"> to </w:t>
      </w:r>
      <w:r w:rsidR="00BA0B84">
        <w:t>correct</w:t>
      </w:r>
      <w:r w:rsidR="00BD439E">
        <w:t xml:space="preserve"> </w:t>
      </w:r>
      <w:r w:rsidR="000F2AFA">
        <w:t xml:space="preserve">and confirm the collected data. </w:t>
      </w:r>
    </w:p>
    <w:p w14:paraId="4DD4DBE8" w14:textId="2E20EF13" w:rsidR="00A302C3" w:rsidRDefault="00A302C3" w:rsidP="00284FFD">
      <w:pPr>
        <w:pStyle w:val="MText"/>
      </w:pPr>
    </w:p>
    <w:p w14:paraId="69032F1E" w14:textId="2715846A" w:rsidR="00A302C3" w:rsidRDefault="47CE0618" w:rsidP="00EE1A9B">
      <w:pPr>
        <w:pStyle w:val="MText"/>
        <w:numPr>
          <w:ilvl w:val="0"/>
          <w:numId w:val="19"/>
        </w:numPr>
        <w:rPr>
          <w:rFonts w:eastAsiaTheme="minorEastAsia" w:cstheme="minorBidi"/>
        </w:rPr>
      </w:pPr>
      <w:r>
        <w:t xml:space="preserve">The last validation step is an automated validation routine included in the </w:t>
      </w:r>
      <w:r w:rsidR="0672EB4A">
        <w:t>S</w:t>
      </w:r>
      <w:r w:rsidR="004870AA">
        <w:t xml:space="preserve">tatistical </w:t>
      </w:r>
      <w:r w:rsidR="73B9EAF4">
        <w:t>W</w:t>
      </w:r>
      <w:r w:rsidR="004870AA">
        <w:t xml:space="preserve">orking </w:t>
      </w:r>
      <w:r w:rsidR="36864261">
        <w:t>S</w:t>
      </w:r>
      <w:r w:rsidR="00A302C3">
        <w:t>ystem</w:t>
      </w:r>
      <w:r w:rsidR="004870AA">
        <w:t xml:space="preserve"> (SWS)</w:t>
      </w:r>
      <w:r w:rsidR="00B20703">
        <w:t>, which</w:t>
      </w:r>
      <w:r w:rsidR="27CDB950">
        <w:t xml:space="preserve"> uses</w:t>
      </w:r>
      <w:r w:rsidR="00A302C3">
        <w:t xml:space="preserve"> almost 200 validation rules. </w:t>
      </w:r>
    </w:p>
    <w:p w14:paraId="21949F3D" w14:textId="77777777" w:rsidR="002955B6" w:rsidRPr="00A96255" w:rsidRDefault="002955B6"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213BB4B9" w14:textId="50F2E42C" w:rsidR="25C8DF16" w:rsidRPr="00284FFD" w:rsidRDefault="25C8DF16" w:rsidP="0054304F">
      <w:pPr>
        <w:pStyle w:val="MText"/>
      </w:pPr>
      <w:r w:rsidRPr="00284FFD">
        <w:t>Since national level data is frequently tailored to be useful at national le</w:t>
      </w:r>
      <w:r w:rsidR="04C0E310" w:rsidRPr="00284FFD">
        <w:t>v</w:t>
      </w:r>
      <w:r w:rsidRPr="00284FFD">
        <w:t xml:space="preserve">el and not for international </w:t>
      </w:r>
      <w:r w:rsidR="353E0861" w:rsidRPr="00284FFD">
        <w:t>comparisons</w:t>
      </w:r>
      <w:r w:rsidRPr="00284FFD">
        <w:t>, data may be manipulated in order to maximize international comparabil</w:t>
      </w:r>
      <w:r w:rsidR="4DE89ACE" w:rsidRPr="00284FFD">
        <w:t>ity</w:t>
      </w:r>
      <w:r w:rsidR="3F2E9DF6" w:rsidRPr="00284FFD">
        <w:t xml:space="preserve">. Adjusted data is displayed with an appropriate qualifier. </w:t>
      </w:r>
      <w:r w:rsidR="5F7E5AD1" w:rsidRPr="00284FFD">
        <w:t xml:space="preserve">Data </w:t>
      </w:r>
      <w:r w:rsidR="47ED996B" w:rsidRPr="00284FFD">
        <w:t xml:space="preserve">is rounded according to a specific methodology </w:t>
      </w:r>
      <w:hyperlink r:id="rId20" w:history="1">
        <w:r w:rsidR="47ED996B" w:rsidRPr="00284FFD">
          <w:rPr>
            <w:rStyle w:val="Hyperlink"/>
          </w:rPr>
          <w:t>http://www.fao.org/aquastat/en/databases/maindatabase/metadata/</w:t>
        </w:r>
      </w:hyperlink>
    </w:p>
    <w:p w14:paraId="1C8B4B0D" w14:textId="5EE3A0B5" w:rsidR="4E9E304D" w:rsidRDefault="4E9E304D" w:rsidP="4E9E304D">
      <w:pPr>
        <w:pStyle w:val="MText"/>
        <w:rPr>
          <w:highlight w:val="yellow"/>
        </w:rPr>
      </w:pPr>
    </w:p>
    <w:p w14:paraId="3560299C" w14:textId="274111B1" w:rsidR="00E834B7" w:rsidRPr="00A96255" w:rsidRDefault="72C2C735" w:rsidP="00576CFA">
      <w:pPr>
        <w:pStyle w:val="MText"/>
      </w:pPr>
      <w:r>
        <w:t>Additionally, t</w:t>
      </w:r>
      <w:r w:rsidR="00E834B7">
        <w:t>he S</w:t>
      </w:r>
      <w:r w:rsidR="62FD1823">
        <w:t xml:space="preserve">tatistical </w:t>
      </w:r>
      <w:r w:rsidR="2405A445">
        <w:t>Working</w:t>
      </w:r>
      <w:r w:rsidR="6514A361">
        <w:t xml:space="preserve"> </w:t>
      </w:r>
      <w:r w:rsidR="00E834B7">
        <w:t>S</w:t>
      </w:r>
      <w:r w:rsidR="226243DF">
        <w:t>ystem (SWS)</w:t>
      </w:r>
      <w:r w:rsidR="00E834B7">
        <w:t xml:space="preserve"> has the correspondence among different international codes (FAOSTAT, UNSDM49, ISO2, ISO3) for geographic areas and is used to convert area codes in the external sources to UNSDM49 codes which is the standard</w:t>
      </w:r>
      <w:r w:rsidR="002F771F">
        <w:t xml:space="preserve"> used</w:t>
      </w:r>
      <w:r w:rsidR="00E834B7">
        <w:t xml:space="preserve"> in the SWS.</w:t>
      </w:r>
    </w:p>
    <w:p w14:paraId="7FBAEBBA" w14:textId="77777777" w:rsidR="00EC2915" w:rsidRPr="00A96255" w:rsidRDefault="00EC2915" w:rsidP="00576CFA">
      <w:pPr>
        <w:pStyle w:val="MText"/>
      </w:pPr>
    </w:p>
    <w:p w14:paraId="67043C18" w14:textId="7D5B410A" w:rsidR="00D51E7C" w:rsidRDefault="00576CFA" w:rsidP="004063D1">
      <w:pPr>
        <w:pStyle w:val="MHeader2"/>
      </w:pPr>
      <w:r w:rsidRPr="00A96255">
        <w:t xml:space="preserve">4.f. Treatment of missing values (i) at country level and (ii) at regional level </w:t>
      </w:r>
      <w:r>
        <w:rPr>
          <w:color w:val="B4B4B4"/>
          <w:sz w:val="20"/>
        </w:rPr>
        <w:t>(IMPUTATION)</w:t>
      </w:r>
    </w:p>
    <w:p w14:paraId="58DCB865" w14:textId="1A8FC2EE" w:rsidR="00D51E7C" w:rsidRPr="00E83A35" w:rsidRDefault="00D51E7C" w:rsidP="00D51E7C">
      <w:pPr>
        <w:pStyle w:val="MText"/>
        <w:rPr>
          <w:b/>
        </w:rPr>
      </w:pPr>
      <w:r w:rsidRPr="00E83A35">
        <w:rPr>
          <w:b/>
        </w:rPr>
        <w:t>•</w:t>
      </w:r>
      <w:r w:rsidRPr="00E83A35">
        <w:rPr>
          <w:b/>
        </w:rPr>
        <w:tab/>
        <w:t>At country level</w:t>
      </w:r>
    </w:p>
    <w:p w14:paraId="180F8654" w14:textId="64A3112B" w:rsidR="000D04D6" w:rsidRPr="000D04D6" w:rsidRDefault="004063D1" w:rsidP="00284FFD">
      <w:pPr>
        <w:pStyle w:val="MText"/>
      </w:pPr>
      <w:r w:rsidRPr="00284FFD">
        <w:rPr>
          <w:rStyle w:val="MTextChar"/>
        </w:rPr>
        <w:t xml:space="preserve">If scattered data (over time) are available, </w:t>
      </w:r>
      <w:r w:rsidR="000D04D6">
        <w:t xml:space="preserve">linear interpolation method takes place if there are at least two non-missing values in the time series. If not, the only possible way to impute it is through the carry-forward. </w:t>
      </w:r>
      <w:r w:rsidR="3572F786">
        <w:t xml:space="preserve"> Imputed data is displayed with an appropriate qualifier. </w:t>
      </w:r>
    </w:p>
    <w:p w14:paraId="1B6182A5" w14:textId="54983DC5" w:rsidR="00D51E7C" w:rsidRPr="00C019E5" w:rsidRDefault="00D51E7C" w:rsidP="00D51E7C">
      <w:pPr>
        <w:pStyle w:val="MText"/>
        <w:rPr>
          <w:highlight w:val="cyan"/>
        </w:rPr>
      </w:pPr>
    </w:p>
    <w:p w14:paraId="06DDC253" w14:textId="77777777" w:rsidR="00D51E7C" w:rsidRPr="00E83A35" w:rsidRDefault="00D51E7C" w:rsidP="00D51E7C">
      <w:pPr>
        <w:pStyle w:val="MText"/>
        <w:rPr>
          <w:b/>
        </w:rPr>
      </w:pPr>
      <w:r w:rsidRPr="00E83A35">
        <w:rPr>
          <w:b/>
        </w:rPr>
        <w:t>•</w:t>
      </w:r>
      <w:r w:rsidRPr="00E83A35">
        <w:rPr>
          <w:b/>
        </w:rPr>
        <w:tab/>
        <w:t>At regional and global levels</w:t>
      </w:r>
    </w:p>
    <w:p w14:paraId="04748E1F" w14:textId="68322D33" w:rsidR="00D51E7C" w:rsidRDefault="004063D1" w:rsidP="00D51E7C">
      <w:pPr>
        <w:pStyle w:val="MText"/>
      </w:pPr>
      <w:r>
        <w:t>If country data are missing, the value of the indicator will be considered in the average of the others in the same region.</w:t>
      </w:r>
      <w:r w:rsidR="17BD5271">
        <w:t xml:space="preserve"> Imputed data is displayed with an appropriate qualifier.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E530DF1" w14:textId="77777777" w:rsidR="00C521A8" w:rsidRPr="00E23633" w:rsidRDefault="00C521A8" w:rsidP="00C521A8">
      <w:pPr>
        <w:shd w:val="clear" w:color="auto" w:fill="FFFFFF"/>
        <w:spacing w:after="0"/>
        <w:rPr>
          <w:rFonts w:eastAsia="Times New Roman" w:cs="Times New Roman"/>
          <w:color w:val="4A4A4A"/>
          <w:sz w:val="21"/>
          <w:szCs w:val="21"/>
          <w:lang w:eastAsia="en-GB"/>
        </w:rPr>
      </w:pPr>
      <w:r w:rsidRPr="00E23633">
        <w:rPr>
          <w:rFonts w:eastAsia="Times New Roman" w:cs="Times New Roman"/>
          <w:color w:val="4A4A4A"/>
          <w:sz w:val="21"/>
          <w:szCs w:val="21"/>
          <w:lang w:eastAsia="en-GB"/>
        </w:rPr>
        <w:t>The aggregation for global and regional estimations is done by summing up the values of the various parameters constituting the elements of the formula, i.e. value added by sector and water use by sector. The aggregated indicator is then calculated by applying the formula with those aggregated data, as if it were a single country.</w:t>
      </w:r>
    </w:p>
    <w:p w14:paraId="334ABFC0" w14:textId="77777777" w:rsidR="00C521A8" w:rsidRDefault="00C521A8" w:rsidP="00C521A8">
      <w:pPr>
        <w:shd w:val="clear" w:color="auto" w:fill="FFFFFF"/>
        <w:spacing w:after="0"/>
        <w:rPr>
          <w:rFonts w:eastAsia="Times New Roman" w:cs="Times New Roman"/>
          <w:color w:val="4A4A4A"/>
          <w:sz w:val="21"/>
          <w:szCs w:val="21"/>
          <w:lang w:eastAsia="en-GB"/>
        </w:rPr>
      </w:pPr>
    </w:p>
    <w:p w14:paraId="55AB037D" w14:textId="5EFD560B" w:rsidR="00C521A8" w:rsidRDefault="00C521A8" w:rsidP="00C521A8">
      <w:pPr>
        <w:shd w:val="clear" w:color="auto" w:fill="FFFFFF"/>
        <w:spacing w:after="0"/>
        <w:rPr>
          <w:rFonts w:eastAsia="Times New Roman" w:cs="Times New Roman"/>
          <w:color w:val="4A4A4A"/>
          <w:sz w:val="21"/>
          <w:szCs w:val="21"/>
          <w:lang w:eastAsia="en-GB"/>
        </w:rPr>
      </w:pPr>
      <w:r w:rsidRPr="00E23633">
        <w:rPr>
          <w:rFonts w:eastAsia="Times New Roman" w:cs="Times New Roman"/>
          <w:color w:val="4A4A4A"/>
          <w:sz w:val="21"/>
          <w:szCs w:val="21"/>
          <w:lang w:eastAsia="en-GB"/>
        </w:rPr>
        <w:t xml:space="preserve">An Excel sheet with the calculations </w:t>
      </w:r>
      <w:r w:rsidR="00D87ACA">
        <w:rPr>
          <w:rFonts w:eastAsia="Times New Roman" w:cs="Times New Roman"/>
          <w:color w:val="4A4A4A"/>
          <w:sz w:val="21"/>
          <w:szCs w:val="21"/>
          <w:lang w:eastAsia="en-GB"/>
        </w:rPr>
        <w:t>exists</w:t>
      </w:r>
      <w:r w:rsidRPr="00E23633">
        <w:rPr>
          <w:rFonts w:eastAsia="Times New Roman" w:cs="Times New Roman"/>
          <w:color w:val="4A4A4A"/>
          <w:sz w:val="21"/>
          <w:szCs w:val="21"/>
          <w:lang w:eastAsia="en-GB"/>
        </w:rPr>
        <w:t xml:space="preserve">, and </w:t>
      </w:r>
      <w:r w:rsidR="00D87ACA">
        <w:rPr>
          <w:rFonts w:eastAsia="Times New Roman" w:cs="Times New Roman"/>
          <w:color w:val="4A4A4A"/>
          <w:sz w:val="21"/>
          <w:szCs w:val="21"/>
          <w:lang w:eastAsia="en-GB"/>
        </w:rPr>
        <w:t>can</w:t>
      </w:r>
      <w:r w:rsidR="00D87ACA" w:rsidRPr="00E23633">
        <w:rPr>
          <w:rFonts w:eastAsia="Times New Roman" w:cs="Times New Roman"/>
          <w:color w:val="4A4A4A"/>
          <w:sz w:val="21"/>
          <w:szCs w:val="21"/>
          <w:lang w:eastAsia="en-GB"/>
        </w:rPr>
        <w:t xml:space="preserve"> </w:t>
      </w:r>
      <w:r w:rsidRPr="00E23633">
        <w:rPr>
          <w:rFonts w:eastAsia="Times New Roman" w:cs="Times New Roman"/>
          <w:color w:val="4A4A4A"/>
          <w:sz w:val="21"/>
          <w:szCs w:val="21"/>
          <w:lang w:eastAsia="en-GB"/>
        </w:rPr>
        <w:t>be shared with the IAEG if required.</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lastRenderedPageBreak/>
        <w:t xml:space="preserve">4.h. Methods and guidance available to countries for the compilation of the data at the national level </w:t>
      </w:r>
      <w:r>
        <w:rPr>
          <w:color w:val="B4B4B4"/>
          <w:sz w:val="20"/>
        </w:rPr>
        <w:t>(DOC_METHOD)</w:t>
      </w:r>
    </w:p>
    <w:p w14:paraId="5CCCE7C1" w14:textId="240CF518" w:rsidR="00FD28F2" w:rsidRPr="00685626" w:rsidRDefault="00D87ACA" w:rsidP="4E9E304D">
      <w:pPr>
        <w:pStyle w:val="ListParagraph"/>
        <w:numPr>
          <w:ilvl w:val="0"/>
          <w:numId w:val="4"/>
        </w:numPr>
        <w:shd w:val="clear" w:color="auto" w:fill="FFFFFF" w:themeFill="background1"/>
        <w:spacing w:after="0"/>
        <w:rPr>
          <w:color w:val="4A86E8"/>
          <w:sz w:val="20"/>
          <w:szCs w:val="20"/>
        </w:rPr>
      </w:pPr>
      <w:r w:rsidRPr="4E9E304D">
        <w:rPr>
          <w:rFonts w:eastAsia="Times New Roman" w:cs="Times New Roman"/>
          <w:color w:val="4A4A4A"/>
          <w:sz w:val="21"/>
          <w:szCs w:val="21"/>
          <w:lang w:eastAsia="en-GB"/>
        </w:rPr>
        <w:t xml:space="preserve">A set of tools is available to countries for the compilation of the indicator. Among them, a step-by-step methodological guide, an interpretation paper, and an e-learning course. All the tools are available on the FAO web pages, at: </w:t>
      </w:r>
      <w:hyperlink r:id="rId21" w:history="1">
        <w:r w:rsidRPr="4E9E304D">
          <w:rPr>
            <w:rStyle w:val="Hyperlink"/>
            <w:rFonts w:eastAsia="Times New Roman" w:cs="Times New Roman"/>
            <w:sz w:val="21"/>
            <w:szCs w:val="21"/>
            <w:lang w:eastAsia="en-GB"/>
          </w:rPr>
          <w:t>http://www.fao.org/sustainable-development-goals/indicators/641/en/</w:t>
        </w:r>
      </w:hyperlink>
    </w:p>
    <w:p w14:paraId="4F4582A7" w14:textId="7D867862" w:rsidR="00FD28F2" w:rsidRPr="00284FFD" w:rsidRDefault="48D1847A" w:rsidP="00284FFD">
      <w:pPr>
        <w:pStyle w:val="ListParagraph"/>
        <w:numPr>
          <w:ilvl w:val="0"/>
          <w:numId w:val="4"/>
        </w:numPr>
        <w:shd w:val="clear" w:color="auto" w:fill="FFFFFF" w:themeFill="background1"/>
        <w:spacing w:after="0"/>
        <w:rPr>
          <w:rFonts w:eastAsia="Times New Roman" w:cs="Times New Roman"/>
          <w:color w:val="4A4A4A"/>
          <w:sz w:val="21"/>
          <w:szCs w:val="21"/>
          <w:lang w:eastAsia="en-GB"/>
        </w:rPr>
      </w:pPr>
      <w:r w:rsidRPr="00284FFD">
        <w:rPr>
          <w:rFonts w:eastAsia="Times New Roman" w:cs="Times New Roman"/>
          <w:color w:val="4A4A4A"/>
          <w:sz w:val="21"/>
          <w:szCs w:val="21"/>
          <w:lang w:eastAsia="en-GB"/>
        </w:rPr>
        <w:t xml:space="preserve">During 2020 </w:t>
      </w:r>
      <w:r w:rsidR="4C3A5A7F" w:rsidRPr="00284FFD">
        <w:rPr>
          <w:rFonts w:eastAsia="Times New Roman" w:cs="Times New Roman"/>
          <w:color w:val="4A4A4A"/>
          <w:sz w:val="21"/>
          <w:szCs w:val="21"/>
          <w:lang w:eastAsia="en-GB"/>
        </w:rPr>
        <w:t>and 2021</w:t>
      </w:r>
      <w:r w:rsidR="00AD2C1D">
        <w:rPr>
          <w:rFonts w:eastAsia="Times New Roman" w:cs="Times New Roman"/>
          <w:color w:val="4A4A4A"/>
          <w:sz w:val="21"/>
          <w:szCs w:val="21"/>
          <w:lang w:eastAsia="en-GB"/>
        </w:rPr>
        <w:t>,</w:t>
      </w:r>
      <w:r w:rsidR="4C3A5A7F" w:rsidRPr="00284FFD">
        <w:rPr>
          <w:rFonts w:eastAsia="Times New Roman" w:cs="Times New Roman"/>
          <w:color w:val="4A4A4A"/>
          <w:sz w:val="21"/>
          <w:szCs w:val="21"/>
          <w:lang w:eastAsia="en-GB"/>
        </w:rPr>
        <w:t xml:space="preserve"> FAO has organized four virtual</w:t>
      </w:r>
      <w:r w:rsidRPr="00284FFD">
        <w:rPr>
          <w:rFonts w:eastAsia="Times New Roman" w:cs="Times New Roman"/>
          <w:color w:val="4A4A4A"/>
          <w:sz w:val="21"/>
          <w:szCs w:val="21"/>
          <w:lang w:eastAsia="en-GB"/>
        </w:rPr>
        <w:t xml:space="preserve"> trainings </w:t>
      </w:r>
      <w:r w:rsidR="4CA92329" w:rsidRPr="00284FFD">
        <w:rPr>
          <w:rFonts w:eastAsia="Times New Roman" w:cs="Times New Roman"/>
          <w:color w:val="4A4A4A"/>
          <w:sz w:val="21"/>
          <w:szCs w:val="21"/>
          <w:lang w:eastAsia="en-GB"/>
        </w:rPr>
        <w:t>for</w:t>
      </w:r>
      <w:r w:rsidRPr="00284FFD">
        <w:rPr>
          <w:rFonts w:eastAsia="Times New Roman" w:cs="Times New Roman"/>
          <w:color w:val="4A4A4A"/>
          <w:sz w:val="21"/>
          <w:szCs w:val="21"/>
          <w:lang w:eastAsia="en-GB"/>
        </w:rPr>
        <w:t xml:space="preserve"> Asia, Latin-America and the </w:t>
      </w:r>
      <w:r w:rsidR="191A3C3F" w:rsidRPr="00284FFD">
        <w:rPr>
          <w:rFonts w:eastAsia="Times New Roman" w:cs="Times New Roman"/>
          <w:color w:val="4A4A4A"/>
          <w:sz w:val="21"/>
          <w:szCs w:val="21"/>
          <w:lang w:eastAsia="en-GB"/>
        </w:rPr>
        <w:t>Caribbean</w:t>
      </w:r>
      <w:r w:rsidRPr="00284FFD">
        <w:rPr>
          <w:rFonts w:eastAsia="Times New Roman" w:cs="Times New Roman"/>
          <w:color w:val="4A4A4A"/>
          <w:sz w:val="21"/>
          <w:szCs w:val="21"/>
          <w:lang w:eastAsia="en-GB"/>
        </w:rPr>
        <w:t xml:space="preserve"> and Africa </w:t>
      </w:r>
      <w:r w:rsidR="4F30E6FE" w:rsidRPr="00284FFD">
        <w:rPr>
          <w:rFonts w:eastAsia="Times New Roman" w:cs="Times New Roman"/>
          <w:color w:val="4A4A4A"/>
          <w:sz w:val="21"/>
          <w:szCs w:val="21"/>
          <w:lang w:eastAsia="en-GB"/>
        </w:rPr>
        <w:t xml:space="preserve">on SDG 6.4. </w:t>
      </w:r>
    </w:p>
    <w:p w14:paraId="247F34D1" w14:textId="5DC07FF9" w:rsidR="00D87ACA" w:rsidRPr="00284FFD" w:rsidRDefault="13221A19" w:rsidP="00284FFD">
      <w:pPr>
        <w:pStyle w:val="ListParagraph"/>
        <w:numPr>
          <w:ilvl w:val="0"/>
          <w:numId w:val="4"/>
        </w:numPr>
        <w:shd w:val="clear" w:color="auto" w:fill="FFFFFF" w:themeFill="background1"/>
        <w:spacing w:after="0"/>
        <w:rPr>
          <w:rFonts w:eastAsia="Times New Roman" w:cs="Times New Roman"/>
          <w:color w:val="4A4A4A"/>
          <w:sz w:val="21"/>
          <w:szCs w:val="21"/>
          <w:lang w:eastAsia="en-GB"/>
        </w:rPr>
      </w:pPr>
      <w:r w:rsidRPr="00284FFD">
        <w:rPr>
          <w:rFonts w:eastAsia="Times New Roman" w:cs="Times New Roman"/>
          <w:color w:val="4A4A4A"/>
          <w:sz w:val="21"/>
          <w:szCs w:val="21"/>
          <w:lang w:eastAsia="en-GB"/>
        </w:rPr>
        <w:t xml:space="preserve">FAO’s AQUASTAT team provides continued guidance to the countries </w:t>
      </w:r>
      <w:r w:rsidR="00AD2C1D">
        <w:rPr>
          <w:rFonts w:eastAsia="Times New Roman" w:cs="Times New Roman"/>
          <w:color w:val="4A4A4A"/>
          <w:sz w:val="21"/>
          <w:szCs w:val="21"/>
          <w:lang w:eastAsia="en-GB"/>
        </w:rPr>
        <w:t>through</w:t>
      </w:r>
      <w:r w:rsidRPr="00284FFD">
        <w:rPr>
          <w:rFonts w:eastAsia="Times New Roman" w:cs="Times New Roman"/>
          <w:color w:val="4A4A4A"/>
          <w:sz w:val="21"/>
          <w:szCs w:val="21"/>
          <w:lang w:eastAsia="en-GB"/>
        </w:rPr>
        <w:t xml:space="preserve"> the National Correspondents during the data collection time to ensure data is duly and timely compiled.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0AF00C05" w14:textId="71776B4D" w:rsidR="00BD439E" w:rsidRDefault="363385C4" w:rsidP="00BD439E">
      <w:pPr>
        <w:pStyle w:val="MText"/>
        <w:numPr>
          <w:ilvl w:val="0"/>
          <w:numId w:val="17"/>
        </w:numPr>
      </w:pPr>
      <w:r>
        <w:t>T</w:t>
      </w:r>
      <w:r w:rsidR="00BD439E">
        <w:t xml:space="preserve">he annual </w:t>
      </w:r>
      <w:r w:rsidR="2F2052D7">
        <w:t xml:space="preserve">AQUASTAT </w:t>
      </w:r>
      <w:r w:rsidR="00BD439E">
        <w:t>questionnaire, used for collecting information on SDG indicator 6.4.1</w:t>
      </w:r>
      <w:r w:rsidR="2BAD2CEA">
        <w:t xml:space="preserve"> has been</w:t>
      </w:r>
      <w:r w:rsidR="00BD439E">
        <w:t xml:space="preserve"> endorsed by FAO’s Office of the Chief Statistician (OCS).</w:t>
      </w:r>
    </w:p>
    <w:p w14:paraId="10A8BCD4" w14:textId="0D5C6BCD" w:rsidR="0020432B" w:rsidRDefault="00E501F2" w:rsidP="00BD439E">
      <w:pPr>
        <w:pStyle w:val="MText"/>
        <w:numPr>
          <w:ilvl w:val="0"/>
          <w:numId w:val="17"/>
        </w:numPr>
      </w:pPr>
      <w:r>
        <w:t xml:space="preserve">During the </w:t>
      </w:r>
      <w:r w:rsidR="16C46807">
        <w:t xml:space="preserve">SDG </w:t>
      </w:r>
      <w:r>
        <w:t>reporting process, the</w:t>
      </w:r>
      <w:r w:rsidR="0020432B">
        <w:t xml:space="preserve"> OCS </w:t>
      </w:r>
      <w:r w:rsidR="35C8D227">
        <w:t>provides</w:t>
      </w:r>
      <w:r w:rsidR="48C96D26">
        <w:t xml:space="preserve"> overall</w:t>
      </w:r>
      <w:r w:rsidR="0020432B">
        <w:t xml:space="preserve"> </w:t>
      </w:r>
      <w:r>
        <w:t>guidance</w:t>
      </w:r>
      <w:r w:rsidR="4B6068E6">
        <w:t>, including</w:t>
      </w:r>
      <w:r>
        <w:t xml:space="preserve"> metadata</w:t>
      </w:r>
      <w:r w:rsidR="092A37CA">
        <w:t xml:space="preserve"> reporting</w:t>
      </w:r>
      <w:r>
        <w:t>, based on the Metadata Dissemination Standard approved by the</w:t>
      </w:r>
      <w:r w:rsidR="22955BDA">
        <w:t xml:space="preserve"> FAO</w:t>
      </w:r>
      <w:r>
        <w:t xml:space="preserve"> IDWG-Statistics Technical Task Force.</w:t>
      </w:r>
    </w:p>
    <w:p w14:paraId="0E779ECF" w14:textId="7D7BB8D8" w:rsidR="00BD439E" w:rsidRDefault="00691333" w:rsidP="00EE1A9B">
      <w:pPr>
        <w:pStyle w:val="MText"/>
        <w:numPr>
          <w:ilvl w:val="0"/>
          <w:numId w:val="17"/>
        </w:numPr>
      </w:pPr>
      <w:r>
        <w:t xml:space="preserve">After revision and validation, </w:t>
      </w:r>
      <w:r w:rsidR="150F6650">
        <w:t>SDG indicators</w:t>
      </w:r>
      <w:r>
        <w:t xml:space="preserve"> </w:t>
      </w:r>
      <w:r w:rsidR="4F8DCB71">
        <w:t>are</w:t>
      </w:r>
      <w:r>
        <w:t xml:space="preserve"> submitted to the OCS</w:t>
      </w:r>
      <w:r w:rsidR="7929B0F3">
        <w:t xml:space="preserve"> </w:t>
      </w:r>
      <w:r w:rsidR="003C0D94">
        <w:t>wh</w:t>
      </w:r>
      <w:r w:rsidR="607FC392">
        <w:t>ich</w:t>
      </w:r>
      <w:r w:rsidR="4C6DDFE5">
        <w:t xml:space="preserve"> also</w:t>
      </w:r>
      <w:r w:rsidR="003C0D94">
        <w:t xml:space="preserve"> ensures</w:t>
      </w:r>
      <w:r w:rsidR="00653AF1">
        <w:t xml:space="preserve"> </w:t>
      </w:r>
      <w:r w:rsidR="003C0D94">
        <w:t xml:space="preserve">the quality </w:t>
      </w:r>
      <w:r w:rsidR="00535DC7">
        <w:t>of the data</w:t>
      </w:r>
      <w:r w:rsidR="00653AF1">
        <w:t xml:space="preserve"> and results</w:t>
      </w:r>
      <w:r w:rsidR="00535DC7">
        <w: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4D272D83" w14:textId="5E872792" w:rsidR="00030374" w:rsidRPr="00EE1A9B" w:rsidRDefault="008649D4" w:rsidP="0054304F">
      <w:pPr>
        <w:pStyle w:val="MText"/>
        <w:rPr>
          <w:color w:val="4A86E8"/>
          <w:sz w:val="20"/>
          <w:szCs w:val="20"/>
        </w:rPr>
      </w:pPr>
      <w:r>
        <w:t xml:space="preserve">FAO is responsible for the quality of the internal statistical processes used to compile the published datasets. The FAO Statistics Quality Assurance Framework (SQAF), available at: </w:t>
      </w:r>
      <w:hyperlink r:id="rId22" w:history="1">
        <w:r w:rsidR="00AD2C1D" w:rsidRPr="002B4812">
          <w:rPr>
            <w:rStyle w:val="Hyperlink"/>
          </w:rPr>
          <w:t>http://www.fao.org/docrep/019/i3664e/i3664e.pdf</w:t>
        </w:r>
      </w:hyperlink>
      <w:r>
        <w:t xml:space="preserve"> provides the necessary principles, guidelines</w:t>
      </w:r>
      <w:r w:rsidR="00AD2C1D">
        <w:t>,</w:t>
      </w:r>
      <w:r>
        <w:t xml:space="preserve"> and tools to carry out quality assessments. FAO is performing an internal bi-annual survey (FAO Quality Assessment and Planning Survey) designed to gather information on all of FAO’s statistical activities, notably to assess the extent to which quality standards are being implemented with a view to increasing compliance with the quality dimensions of SQAF, documenting best practices and prepare quality improvement plans, where necessary. Domain-specific quality assurance activities are carried out systematically (e.g. quality reviews, self-assessments, compliance monitoring).</w:t>
      </w:r>
    </w:p>
    <w:p w14:paraId="03EF3244" w14:textId="77777777" w:rsidR="00EC2915" w:rsidRPr="00A96255" w:rsidRDefault="00EC2915" w:rsidP="00284FFD">
      <w:pPr>
        <w:pStyle w:val="MText"/>
        <w:ind w:left="720"/>
        <w:rPr>
          <w:rFonts w:eastAsiaTheme="minorEastAsia" w:cstheme="minorBidi"/>
        </w:rPr>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5756BC62" w14:textId="4DAC4B74" w:rsidR="008D318F" w:rsidRDefault="00690F69" w:rsidP="00576CFA">
      <w:pPr>
        <w:pStyle w:val="MText"/>
      </w:pPr>
      <w:r w:rsidRPr="00690F69">
        <w:t>Overall evaluation of data quality</w:t>
      </w:r>
      <w:r w:rsidR="00E04910">
        <w:t xml:space="preserve"> is</w:t>
      </w:r>
      <w:r w:rsidRPr="00690F69">
        <w:t xml:space="preserve"> based on standard quality criteria</w:t>
      </w:r>
      <w:r w:rsidR="00A75F5C">
        <w:t xml:space="preserve"> and follows FAO’s </w:t>
      </w:r>
      <w:r w:rsidR="00A75F5C" w:rsidRPr="00A75F5C">
        <w:t>SQAF</w:t>
      </w:r>
      <w:r w:rsidR="00A75F5C">
        <w:t>.</w:t>
      </w:r>
      <w:r w:rsidRPr="00690F69">
        <w:t xml:space="preserve"> It </w:t>
      </w:r>
      <w:r w:rsidR="00334C6B">
        <w:t xml:space="preserve">also </w:t>
      </w:r>
      <w:r w:rsidRPr="00690F69">
        <w:t>includes</w:t>
      </w:r>
      <w:r w:rsidR="00032ECC">
        <w:t>:</w:t>
      </w:r>
    </w:p>
    <w:p w14:paraId="182BD725" w14:textId="77777777" w:rsidR="00996E4C" w:rsidRDefault="0082357B" w:rsidP="00996E4C">
      <w:pPr>
        <w:pStyle w:val="MText"/>
        <w:numPr>
          <w:ilvl w:val="0"/>
          <w:numId w:val="15"/>
        </w:numPr>
      </w:pPr>
      <w:r w:rsidRPr="00690F69">
        <w:t xml:space="preserve">A qualitative </w:t>
      </w:r>
      <w:r>
        <w:t>and quantitative m</w:t>
      </w:r>
      <w:r w:rsidR="008D318F">
        <w:t>anual cross-variable check after data is received</w:t>
      </w:r>
      <w:r>
        <w:t>. This consist</w:t>
      </w:r>
      <w:r w:rsidR="005F25B0">
        <w:t xml:space="preserve">s </w:t>
      </w:r>
      <w:r w:rsidR="00032ECC">
        <w:t>of</w:t>
      </w:r>
      <w:r w:rsidR="005F25B0">
        <w:t xml:space="preserve"> the verification that</w:t>
      </w:r>
      <w:r>
        <w:t xml:space="preserve"> all the numbers are consistent based on the internal validation rules embedded in the </w:t>
      </w:r>
      <w:r w:rsidR="005F25B0">
        <w:t xml:space="preserve">questionnaire. Any issues identified are flagged and listed to be followed-up with the countries. </w:t>
      </w:r>
    </w:p>
    <w:p w14:paraId="5B920A54" w14:textId="33055678" w:rsidR="008D318F" w:rsidRPr="00284FFD" w:rsidRDefault="008D318F" w:rsidP="00996E4C">
      <w:pPr>
        <w:pStyle w:val="MText"/>
        <w:numPr>
          <w:ilvl w:val="0"/>
          <w:numId w:val="15"/>
        </w:numPr>
      </w:pPr>
      <w:r>
        <w:t xml:space="preserve">Time-series coherency check </w:t>
      </w:r>
      <w:r w:rsidR="005F25B0">
        <w:t>done by</w:t>
      </w:r>
      <w:r>
        <w:t xml:space="preserve"> running an R-script to compare reported data with those corresponding to previous yea</w:t>
      </w:r>
      <w:r w:rsidR="005F25B0">
        <w:t>r</w:t>
      </w:r>
      <w:r>
        <w:t>s</w:t>
      </w:r>
      <w:r w:rsidR="005F25B0">
        <w:t>. Based on this, a scattered diagram is also made by variable and country to allow for a visual verification of historical data.</w:t>
      </w:r>
      <w:r w:rsidR="00996E4C">
        <w:t xml:space="preserve"> The critical analysis of the compiled data gives preference to national sources and expert </w:t>
      </w:r>
      <w:r w:rsidR="00996E4C">
        <w:lastRenderedPageBreak/>
        <w:t xml:space="preserve">knowledge, unless these </w:t>
      </w:r>
      <w:r w:rsidR="00996E4C" w:rsidRPr="0054304F">
        <w:t xml:space="preserve">greatly </w:t>
      </w:r>
      <w:r w:rsidR="00996E4C" w:rsidRPr="00284FFD">
        <w:t>diverge from historic data or in the case of drastic changes in methodologies used by countries</w:t>
      </w:r>
      <w:r w:rsidR="00996E4C" w:rsidRPr="0054304F">
        <w:t xml:space="preserve">. </w:t>
      </w:r>
    </w:p>
    <w:p w14:paraId="0CA30EB0" w14:textId="7DE303C1" w:rsidR="008D318F" w:rsidRDefault="008D318F" w:rsidP="008D318F">
      <w:pPr>
        <w:pStyle w:val="MText"/>
        <w:numPr>
          <w:ilvl w:val="0"/>
          <w:numId w:val="15"/>
        </w:numPr>
      </w:pPr>
      <w:r>
        <w:t>Verification of the metadata, in particular the source of the proposed data.</w:t>
      </w:r>
      <w:r w:rsidR="00032ECC">
        <w:t xml:space="preserve"> When data sources are not provided, the questionnaire is </w:t>
      </w:r>
      <w:r w:rsidR="00996E4C">
        <w:t xml:space="preserve">added as the data source of a given value. </w:t>
      </w:r>
    </w:p>
    <w:p w14:paraId="09140471" w14:textId="77777777" w:rsidR="00290A01" w:rsidRDefault="00290A01" w:rsidP="003E1F42">
      <w:pPr>
        <w:pStyle w:val="MText"/>
        <w:ind w:left="1440"/>
      </w:pPr>
    </w:p>
    <w:p w14:paraId="4CD8F3EF" w14:textId="5685B133" w:rsidR="00F719A8" w:rsidRPr="005F19D3" w:rsidRDefault="00576CFA" w:rsidP="005F19D3">
      <w:pPr>
        <w:pStyle w:val="MHeader"/>
        <w:spacing w:after="100"/>
      </w:pPr>
      <w:r w:rsidRPr="00A96255">
        <w:t xml:space="preserve">5. Data availability and disaggregation </w:t>
      </w:r>
      <w:r>
        <w:rPr>
          <w:color w:val="B4B4B4"/>
          <w:sz w:val="20"/>
        </w:rPr>
        <w:t>(COVERAGE)</w:t>
      </w:r>
    </w:p>
    <w:p w14:paraId="464A8CCF" w14:textId="7B67E32D" w:rsidR="00576CFA" w:rsidRPr="00E83A35" w:rsidRDefault="00D51E7C" w:rsidP="00576CFA">
      <w:pPr>
        <w:pStyle w:val="MText"/>
        <w:rPr>
          <w:b/>
        </w:rPr>
      </w:pPr>
      <w:r w:rsidRPr="00E83A35">
        <w:rPr>
          <w:b/>
        </w:rPr>
        <w:t>Data availability:</w:t>
      </w:r>
    </w:p>
    <w:p w14:paraId="2D0542F7" w14:textId="6A20A685" w:rsidR="00D51E7C" w:rsidRDefault="58F66157" w:rsidP="003E1F42">
      <w:pPr>
        <w:pStyle w:val="MText"/>
      </w:pPr>
      <w:r>
        <w:t>T</w:t>
      </w:r>
      <w:r w:rsidR="005F19D3">
        <w:t xml:space="preserve">he data needed for the indicator are collected </w:t>
      </w:r>
      <w:r w:rsidR="594248B2">
        <w:t>through</w:t>
      </w:r>
      <w:r w:rsidR="005F19D3">
        <w:t xml:space="preserve"> AQ</w:t>
      </w:r>
      <w:r w:rsidR="00D45F76">
        <w:t>U</w:t>
      </w:r>
      <w:r w:rsidR="005F19D3">
        <w:t xml:space="preserve">ASTAT and other databases </w:t>
      </w:r>
      <w:r w:rsidR="3A2B3DA0">
        <w:t>(FAOSTAT, UNSD)</w:t>
      </w:r>
      <w:r w:rsidR="4C6BE506">
        <w:t xml:space="preserve"> </w:t>
      </w:r>
      <w:r w:rsidR="005F19D3">
        <w:t>for 168 countries worldwide</w:t>
      </w:r>
    </w:p>
    <w:p w14:paraId="54A3DF2F" w14:textId="77777777" w:rsidR="003E1F42" w:rsidRPr="00C019E5" w:rsidRDefault="003E1F42" w:rsidP="003E1F42">
      <w:pPr>
        <w:pStyle w:val="MText"/>
        <w:rPr>
          <w:highlight w:val="cyan"/>
        </w:rPr>
      </w:pPr>
    </w:p>
    <w:p w14:paraId="5853D6F7" w14:textId="44EE14E1" w:rsidR="00D51E7C" w:rsidRPr="00E83A35" w:rsidRDefault="00D51E7C" w:rsidP="00576CFA">
      <w:pPr>
        <w:pStyle w:val="MText"/>
        <w:rPr>
          <w:b/>
        </w:rPr>
      </w:pPr>
      <w:r w:rsidRPr="00E83A35">
        <w:rPr>
          <w:b/>
        </w:rPr>
        <w:t>Time series:</w:t>
      </w:r>
    </w:p>
    <w:p w14:paraId="13572AAD" w14:textId="5592D5FD" w:rsidR="261ED2EA" w:rsidRPr="00284FFD" w:rsidRDefault="00C27D64" w:rsidP="4E9E304D">
      <w:pPr>
        <w:pStyle w:val="MText"/>
      </w:pPr>
      <w:r>
        <w:t>1961-2019</w:t>
      </w:r>
      <w:r w:rsidR="261ED2EA" w:rsidRPr="00284FFD">
        <w:t xml:space="preserve"> (Discontinuous depending on the country. Data are interpolated to create timelines</w:t>
      </w:r>
      <w:r>
        <w:t>)</w:t>
      </w:r>
      <w:r w:rsidR="261ED2EA" w:rsidRPr="00284FFD">
        <w:t xml:space="preserve">. </w:t>
      </w:r>
    </w:p>
    <w:p w14:paraId="760C013A" w14:textId="4597FCBD" w:rsidR="00D51E7C" w:rsidRPr="00C019E5" w:rsidRDefault="00D51E7C" w:rsidP="00576CFA">
      <w:pPr>
        <w:pStyle w:val="MText"/>
        <w:rPr>
          <w:highlight w:val="cyan"/>
        </w:rPr>
      </w:pPr>
    </w:p>
    <w:p w14:paraId="72C7C370" w14:textId="4280E0A5" w:rsidR="00D51E7C" w:rsidRPr="00E83A35" w:rsidRDefault="00D51E7C" w:rsidP="00576CFA">
      <w:pPr>
        <w:pStyle w:val="MText"/>
        <w:rPr>
          <w:b/>
        </w:rPr>
      </w:pPr>
      <w:r w:rsidRPr="00E83A35">
        <w:rPr>
          <w:b/>
        </w:rPr>
        <w:t>Disaggregation:</w:t>
      </w:r>
    </w:p>
    <w:p w14:paraId="06B4C288" w14:textId="77777777" w:rsidR="004063D1" w:rsidRPr="008062C9" w:rsidRDefault="004063D1" w:rsidP="004063D1">
      <w:pPr>
        <w:pStyle w:val="MText"/>
      </w:pPr>
      <w:r w:rsidRPr="008062C9">
        <w:t xml:space="preserve">The indicator covers all the economic sectors according to the ISIC classification, providing the means for more detailed analysis of the water use efficiency for national planning and decision-making. </w:t>
      </w:r>
    </w:p>
    <w:p w14:paraId="5F979972" w14:textId="77777777" w:rsidR="004063D1" w:rsidRPr="008062C9" w:rsidRDefault="004063D1" w:rsidP="004063D1">
      <w:pPr>
        <w:pStyle w:val="MText"/>
      </w:pPr>
    </w:p>
    <w:p w14:paraId="55E6938A" w14:textId="5F302BFA" w:rsidR="004063D1" w:rsidRPr="008062C9" w:rsidRDefault="004063D1" w:rsidP="000E2F00">
      <w:pPr>
        <w:pStyle w:val="MText"/>
      </w:pPr>
      <w:r w:rsidRPr="008062C9">
        <w:t>Although the subdivision into three major aggregated economic sectors is sufficient for the purpose of compiling the indicator, wherever possible it is advisable to further disaggregate the indicator, according to the following criteria:</w:t>
      </w:r>
    </w:p>
    <w:p w14:paraId="09B6E8E8" w14:textId="77777777" w:rsidR="004063D1" w:rsidRPr="008062C9" w:rsidRDefault="004063D1" w:rsidP="004063D1">
      <w:pPr>
        <w:shd w:val="clear" w:color="auto" w:fill="FFFFFF"/>
        <w:spacing w:after="0"/>
        <w:rPr>
          <w:rFonts w:eastAsia="Times New Roman" w:cs="Times New Roman"/>
          <w:color w:val="4A4A4A"/>
          <w:sz w:val="21"/>
          <w:szCs w:val="21"/>
          <w:lang w:eastAsia="en-GB"/>
        </w:rPr>
      </w:pPr>
    </w:p>
    <w:p w14:paraId="4911C29B" w14:textId="77777777" w:rsidR="004063D1" w:rsidRPr="008062C9" w:rsidRDefault="004063D1" w:rsidP="004063D1">
      <w:pPr>
        <w:pStyle w:val="ListParagraph"/>
        <w:numPr>
          <w:ilvl w:val="0"/>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Economically, a more refined subdivision of the economic sector can be done using ISIC Rev.4 by the following groups:</w:t>
      </w:r>
    </w:p>
    <w:p w14:paraId="4963823C"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Agriculture, Forestry and Fisheries (ISIC A); </w:t>
      </w:r>
    </w:p>
    <w:p w14:paraId="09880E0B"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Mining and Quarrying (ISIC B); </w:t>
      </w:r>
    </w:p>
    <w:p w14:paraId="438F7218"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Manufacturing (ISIC C);</w:t>
      </w:r>
    </w:p>
    <w:p w14:paraId="7118E21A"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Electricity, Gas, Steam and Air Conditioning Supply (ISIC D); </w:t>
      </w:r>
    </w:p>
    <w:p w14:paraId="62A6E20D"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Water Supply, Sewerage, Waste Management and Remediation Activities (ISIC E), by</w:t>
      </w:r>
    </w:p>
    <w:p w14:paraId="373AE810" w14:textId="77777777" w:rsidR="004063D1" w:rsidRPr="008062C9" w:rsidRDefault="004063D1" w:rsidP="004063D1">
      <w:pPr>
        <w:pStyle w:val="ListParagraph"/>
        <w:numPr>
          <w:ilvl w:val="1"/>
          <w:numId w:val="8"/>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 xml:space="preserve">Water Collection, Treatment and Supply (ISIC 36) </w:t>
      </w:r>
    </w:p>
    <w:p w14:paraId="69E57165" w14:textId="77777777" w:rsidR="004063D1" w:rsidRPr="008062C9" w:rsidRDefault="004063D1" w:rsidP="004063D1">
      <w:pPr>
        <w:pStyle w:val="ListParagraph"/>
        <w:numPr>
          <w:ilvl w:val="2"/>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Sewerage (ISIC 37)</w:t>
      </w:r>
    </w:p>
    <w:p w14:paraId="223C29C0" w14:textId="77777777" w:rsidR="004063D1" w:rsidRPr="008062C9" w:rsidRDefault="004063D1" w:rsidP="004063D1">
      <w:pPr>
        <w:pStyle w:val="ListParagraph"/>
        <w:numPr>
          <w:ilvl w:val="2"/>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Construction (ISIC F)</w:t>
      </w:r>
    </w:p>
    <w:p w14:paraId="791A8077" w14:textId="77777777" w:rsidR="004063D1" w:rsidRPr="008062C9" w:rsidRDefault="004063D1" w:rsidP="004063D1">
      <w:pPr>
        <w:pStyle w:val="ListParagraph"/>
        <w:numPr>
          <w:ilvl w:val="1"/>
          <w:numId w:val="9"/>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Other industries (sum of remaining industries)</w:t>
      </w:r>
    </w:p>
    <w:p w14:paraId="08BF4DA5" w14:textId="77777777" w:rsidR="004063D1" w:rsidRPr="008062C9" w:rsidRDefault="004063D1" w:rsidP="004063D1">
      <w:pPr>
        <w:pStyle w:val="ListParagraph"/>
        <w:numPr>
          <w:ilvl w:val="0"/>
          <w:numId w:val="7"/>
        </w:num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Geographically, computing the indicator by river basin, watershed or administrative units within a country.</w:t>
      </w:r>
    </w:p>
    <w:p w14:paraId="2E126286" w14:textId="77777777" w:rsidR="004063D1" w:rsidRPr="008062C9" w:rsidRDefault="004063D1" w:rsidP="004063D1">
      <w:pPr>
        <w:shd w:val="clear" w:color="auto" w:fill="FFFFFF"/>
        <w:spacing w:after="0"/>
        <w:rPr>
          <w:rFonts w:eastAsia="Times New Roman" w:cs="Times New Roman"/>
          <w:color w:val="4A4A4A"/>
          <w:sz w:val="21"/>
          <w:szCs w:val="21"/>
          <w:lang w:eastAsia="en-GB"/>
        </w:rPr>
      </w:pPr>
    </w:p>
    <w:p w14:paraId="125A6F45" w14:textId="77777777" w:rsidR="004063D1" w:rsidRDefault="004063D1" w:rsidP="004063D1">
      <w:pPr>
        <w:shd w:val="clear" w:color="auto" w:fill="FFFFFF"/>
        <w:spacing w:after="0"/>
        <w:rPr>
          <w:rFonts w:eastAsia="Times New Roman" w:cs="Times New Roman"/>
          <w:color w:val="4A4A4A"/>
          <w:sz w:val="21"/>
          <w:szCs w:val="21"/>
          <w:lang w:eastAsia="en-GB"/>
        </w:rPr>
      </w:pPr>
      <w:r w:rsidRPr="008062C9">
        <w:rPr>
          <w:rFonts w:eastAsia="Times New Roman" w:cs="Times New Roman"/>
          <w:color w:val="4A4A4A"/>
          <w:sz w:val="21"/>
          <w:szCs w:val="21"/>
          <w:lang w:eastAsia="en-GB"/>
        </w:rPr>
        <w:t>These levels of disaggregation, or a combination of those, will give further insight on the dynamics of water use efficiency, providing information for remedial policies and actions.</w:t>
      </w:r>
    </w:p>
    <w:p w14:paraId="16620674" w14:textId="77777777" w:rsidR="006C3A92" w:rsidRDefault="006C3A92" w:rsidP="004063D1">
      <w:pPr>
        <w:shd w:val="clear" w:color="auto" w:fill="FFFFFF"/>
        <w:spacing w:after="0"/>
        <w:rPr>
          <w:rFonts w:eastAsia="Times New Roman" w:cs="Times New Roman"/>
          <w:color w:val="4A4A4A"/>
          <w:sz w:val="21"/>
          <w:szCs w:val="21"/>
          <w:lang w:eastAsia="en-GB"/>
        </w:rPr>
      </w:pPr>
    </w:p>
    <w:p w14:paraId="5B26FA99" w14:textId="0CA8D30C" w:rsidR="006C3A92" w:rsidRPr="00573631" w:rsidRDefault="006C3A92" w:rsidP="004063D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Data are vertically interpolated in the presence of missing values to allow for a time series analysis.</w:t>
      </w:r>
    </w:p>
    <w:p w14:paraId="42E8CA56" w14:textId="77777777" w:rsidR="00D51E7C" w:rsidRPr="00A96255" w:rsidRDefault="00D51E7C" w:rsidP="00576CFA">
      <w:pPr>
        <w:pStyle w:val="MText"/>
      </w:pPr>
    </w:p>
    <w:p w14:paraId="33CAB7BE" w14:textId="24B8B837" w:rsidR="00EC2915" w:rsidRDefault="00B31E2C" w:rsidP="00C521A8">
      <w:pPr>
        <w:pStyle w:val="MHeader"/>
        <w:spacing w:after="100"/>
      </w:pPr>
      <w:r w:rsidRPr="00A96255">
        <w:t xml:space="preserve">6. Comparability / deviation from international standards </w:t>
      </w:r>
      <w:r>
        <w:rPr>
          <w:color w:val="B4B4B4"/>
          <w:sz w:val="20"/>
        </w:rPr>
        <w:t>(COMPARABILITY)</w:t>
      </w:r>
    </w:p>
    <w:p w14:paraId="0B72185A" w14:textId="309A3E3D" w:rsidR="009D5AA2" w:rsidRDefault="5E58D7AD" w:rsidP="00576CFA">
      <w:pPr>
        <w:pStyle w:val="MText"/>
      </w:pPr>
      <w:r>
        <w:t xml:space="preserve">Geographical: </w:t>
      </w:r>
      <w:r w:rsidR="00C521A8">
        <w:t xml:space="preserve">Regional differences, </w:t>
      </w:r>
      <w:r w:rsidR="00F642C5">
        <w:t>especially</w:t>
      </w:r>
      <w:r w:rsidR="00C521A8">
        <w:t xml:space="preserve"> in relation to irrigated agriculture and different climatic conditions (including variability) are to be considered in the interpretation of this indicator, especially in </w:t>
      </w:r>
      <w:r w:rsidR="00C521A8">
        <w:lastRenderedPageBreak/>
        <w:t xml:space="preserve">countries with </w:t>
      </w:r>
      <w:r w:rsidR="643B3BEF">
        <w:t>substantial amounts</w:t>
      </w:r>
      <w:r w:rsidR="00C521A8">
        <w:t xml:space="preserve"> of available water resources. Also for this reason, coupling this indicator with water stress (6.4.2) is important for the interpretation of the data.</w:t>
      </w:r>
    </w:p>
    <w:p w14:paraId="4CD095C2" w14:textId="70F89C42" w:rsidR="4383A67B" w:rsidRDefault="4383A67B" w:rsidP="4E9E304D">
      <w:pPr>
        <w:pStyle w:val="MText"/>
      </w:pPr>
      <w:r>
        <w:t xml:space="preserve">Over-time: time series are comparable across time. </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49F10CDA" w14:textId="28527CF5" w:rsidR="005F19D3" w:rsidRPr="000E14D7" w:rsidRDefault="005F19D3" w:rsidP="005F19D3">
      <w:pPr>
        <w:pStyle w:val="MText"/>
        <w:numPr>
          <w:ilvl w:val="0"/>
          <w:numId w:val="6"/>
        </w:numPr>
        <w:rPr>
          <w:rFonts w:eastAsiaTheme="minorEastAsia" w:cstheme="minorBidi"/>
          <w:i/>
          <w:lang w:val="sv-SE"/>
        </w:rPr>
      </w:pPr>
      <w:r w:rsidRPr="00217464">
        <w:rPr>
          <w:lang w:val="sv-SE"/>
        </w:rPr>
        <w:t>AQUASTAT</w:t>
      </w:r>
      <w:r>
        <w:rPr>
          <w:lang w:val="sv-SE"/>
        </w:rPr>
        <w:t xml:space="preserve"> main page: </w:t>
      </w:r>
      <w:r w:rsidR="0E9A8AFA" w:rsidRPr="662C8183">
        <w:rPr>
          <w:lang w:val="sv-SE"/>
        </w:rPr>
        <w:t xml:space="preserve"> </w:t>
      </w:r>
      <w:r w:rsidR="00000000">
        <w:fldChar w:fldCharType="begin"/>
      </w:r>
      <w:r w:rsidR="00000000" w:rsidRPr="003E2479">
        <w:rPr>
          <w:lang w:val="fr-FR"/>
        </w:rPr>
        <w:instrText>HYPERLINK "http://www.fao.org/aquastat/en/"</w:instrText>
      </w:r>
      <w:r w:rsidR="00000000">
        <w:fldChar w:fldCharType="separate"/>
      </w:r>
      <w:r w:rsidR="00581919" w:rsidRPr="002B4812">
        <w:rPr>
          <w:rStyle w:val="Hyperlink"/>
          <w:lang w:val="sv-SE"/>
        </w:rPr>
        <w:t>http://www.fao.org/aquastat/en/</w:t>
      </w:r>
      <w:r w:rsidR="00000000">
        <w:rPr>
          <w:rStyle w:val="Hyperlink"/>
          <w:lang w:val="sv-SE"/>
        </w:rPr>
        <w:fldChar w:fldCharType="end"/>
      </w:r>
      <w:r w:rsidR="00581919">
        <w:rPr>
          <w:lang w:val="sv-SE"/>
        </w:rPr>
        <w:t xml:space="preserve"> </w:t>
      </w:r>
    </w:p>
    <w:p w14:paraId="0CA40904" w14:textId="7F9091D3" w:rsidR="00581919" w:rsidRPr="00DE3214" w:rsidRDefault="005F19D3" w:rsidP="005F19D3">
      <w:pPr>
        <w:pStyle w:val="MText"/>
        <w:numPr>
          <w:ilvl w:val="0"/>
          <w:numId w:val="6"/>
        </w:numPr>
        <w:rPr>
          <w:rFonts w:eastAsiaTheme="minorEastAsia"/>
          <w:i/>
          <w:lang w:val="it-IT"/>
        </w:rPr>
      </w:pPr>
      <w:r w:rsidRPr="59177544">
        <w:rPr>
          <w:lang w:val="sv-SE"/>
        </w:rPr>
        <w:t xml:space="preserve">AQUASTAT glossary: </w:t>
      </w:r>
      <w:hyperlink r:id="rId23" w:history="1">
        <w:r w:rsidR="00581919" w:rsidRPr="002B4812">
          <w:rPr>
            <w:rStyle w:val="Hyperlink"/>
            <w:lang w:val="sv-SE"/>
          </w:rPr>
          <w:t>http://www.fao.org/aquastat/en/databases/glossary/</w:t>
        </w:r>
      </w:hyperlink>
      <w:r w:rsidR="00581919">
        <w:rPr>
          <w:lang w:val="sv-SE"/>
        </w:rPr>
        <w:t xml:space="preserve"> </w:t>
      </w:r>
      <w:r w:rsidR="5F3D6CB8" w:rsidRPr="59177544">
        <w:rPr>
          <w:lang w:val="sv-SE"/>
        </w:rPr>
        <w:t xml:space="preserve"> </w:t>
      </w:r>
    </w:p>
    <w:p w14:paraId="34ECA283" w14:textId="68374F26" w:rsidR="005F19D3" w:rsidRPr="00217464" w:rsidRDefault="005F19D3" w:rsidP="005F19D3">
      <w:pPr>
        <w:pStyle w:val="MText"/>
        <w:numPr>
          <w:ilvl w:val="0"/>
          <w:numId w:val="6"/>
        </w:numPr>
        <w:rPr>
          <w:rFonts w:eastAsiaTheme="minorEastAsia"/>
          <w:i/>
        </w:rPr>
      </w:pPr>
      <w:r>
        <w:t>AQUASTAT Main country database:</w:t>
      </w:r>
      <w:r w:rsidR="28FD0C66">
        <w:t xml:space="preserve"> </w:t>
      </w:r>
      <w:hyperlink r:id="rId24" w:history="1">
        <w:r w:rsidR="00581919" w:rsidRPr="002B4812">
          <w:rPr>
            <w:rStyle w:val="Hyperlink"/>
          </w:rPr>
          <w:t>http://www.fao.org/aquastat/statistics/query/index.html</w:t>
        </w:r>
      </w:hyperlink>
      <w:r w:rsidR="00581919">
        <w:t xml:space="preserve"> </w:t>
      </w:r>
      <w:r>
        <w:t xml:space="preserve"> </w:t>
      </w:r>
      <w:r w:rsidRPr="00217464">
        <w:t xml:space="preserve"> </w:t>
      </w:r>
    </w:p>
    <w:p w14:paraId="75234158" w14:textId="5B6A01B0" w:rsidR="005F19D3" w:rsidRPr="00217464" w:rsidRDefault="4C6BE506" w:rsidP="005F19D3">
      <w:pPr>
        <w:pStyle w:val="MText"/>
        <w:numPr>
          <w:ilvl w:val="0"/>
          <w:numId w:val="6"/>
        </w:numPr>
        <w:rPr>
          <w:rFonts w:eastAsiaTheme="minorEastAsia" w:cstheme="minorBidi"/>
          <w:i/>
        </w:rPr>
      </w:pPr>
      <w:r>
        <w:t>AQUASTAT Water use:</w:t>
      </w:r>
      <w:r w:rsidR="7A8C39C6">
        <w:t xml:space="preserve"> </w:t>
      </w:r>
      <w:hyperlink r:id="rId25" w:history="1">
        <w:r w:rsidR="00581919" w:rsidRPr="002B4812">
          <w:rPr>
            <w:rStyle w:val="Hyperlink"/>
          </w:rPr>
          <w:t>http://www.fao.org/aquastat/en/overview/methodology/water-use/</w:t>
        </w:r>
      </w:hyperlink>
      <w:r w:rsidR="00581919">
        <w:t xml:space="preserve"> </w:t>
      </w:r>
      <w:r>
        <w:t xml:space="preserve"> </w:t>
      </w:r>
    </w:p>
    <w:p w14:paraId="27A24443" w14:textId="0CCFADEF" w:rsidR="4C6BE506" w:rsidRDefault="4C6BE506" w:rsidP="3577B275">
      <w:pPr>
        <w:pStyle w:val="MText"/>
        <w:numPr>
          <w:ilvl w:val="0"/>
          <w:numId w:val="6"/>
        </w:numPr>
        <w:rPr>
          <w:rFonts w:eastAsiaTheme="minorEastAsia" w:cstheme="minorBidi"/>
          <w:i/>
          <w:iCs/>
        </w:rPr>
      </w:pPr>
      <w:r>
        <w:t xml:space="preserve">AQUASTAT Water resources: </w:t>
      </w:r>
      <w:r w:rsidR="209D990B">
        <w:t xml:space="preserve"> </w:t>
      </w:r>
      <w:hyperlink r:id="rId26" w:history="1">
        <w:r w:rsidR="00581919" w:rsidRPr="002B4812">
          <w:rPr>
            <w:rStyle w:val="Hyperlink"/>
          </w:rPr>
          <w:t>http://www.fao.org/aquastat/en/overview/methodology/water-resources/</w:t>
        </w:r>
      </w:hyperlink>
      <w:r w:rsidR="00581919">
        <w:t xml:space="preserve"> </w:t>
      </w:r>
    </w:p>
    <w:p w14:paraId="55FFFBB1" w14:textId="5BC4039F" w:rsidR="005F19D3" w:rsidRPr="008C4BD6" w:rsidRDefault="005F19D3" w:rsidP="005F19D3">
      <w:pPr>
        <w:pStyle w:val="MText"/>
        <w:numPr>
          <w:ilvl w:val="0"/>
          <w:numId w:val="6"/>
        </w:numPr>
        <w:rPr>
          <w:rFonts w:eastAsiaTheme="minorEastAsia" w:cstheme="minorBidi"/>
          <w:i/>
        </w:rPr>
      </w:pPr>
      <w:r w:rsidRPr="00217464">
        <w:t xml:space="preserve">AQUASTAT publications dealing with concepts, methodologies, definitions, terminologies, metadata, etc.: </w:t>
      </w:r>
      <w:r w:rsidR="7FF00BA3">
        <w:t xml:space="preserve"> </w:t>
      </w:r>
      <w:hyperlink r:id="rId27" w:history="1">
        <w:r w:rsidR="00581919" w:rsidRPr="002B4812">
          <w:rPr>
            <w:rStyle w:val="Hyperlink"/>
          </w:rPr>
          <w:t>http://www.fao.org/aquastat/en/resources/</w:t>
        </w:r>
      </w:hyperlink>
      <w:r w:rsidR="00581919">
        <w:t xml:space="preserve"> </w:t>
      </w:r>
    </w:p>
    <w:p w14:paraId="7EA62A63" w14:textId="07FC4F60" w:rsidR="00850274" w:rsidRPr="008C4BD6" w:rsidRDefault="005F19D3" w:rsidP="00850274">
      <w:pPr>
        <w:pStyle w:val="MText"/>
        <w:numPr>
          <w:ilvl w:val="0"/>
          <w:numId w:val="6"/>
        </w:numPr>
        <w:rPr>
          <w:rFonts w:eastAsiaTheme="minorEastAsia" w:cstheme="minorBidi"/>
          <w:i/>
        </w:rPr>
      </w:pPr>
      <w:r w:rsidRPr="008C4BD6">
        <w:rPr>
          <w:lang w:val="en-US"/>
        </w:rPr>
        <w:t xml:space="preserve">AQUASTAT </w:t>
      </w:r>
      <w:r w:rsidR="4758DB5D" w:rsidRPr="008C4BD6">
        <w:rPr>
          <w:lang w:val="en-US"/>
        </w:rPr>
        <w:t>methodology - q</w:t>
      </w:r>
      <w:r w:rsidRPr="008C4BD6">
        <w:rPr>
          <w:lang w:val="en-US"/>
        </w:rPr>
        <w:t xml:space="preserve">uality Control: </w:t>
      </w:r>
      <w:hyperlink r:id="rId28" w:anchor="main" w:history="1">
        <w:r w:rsidR="00850274" w:rsidRPr="000C1970">
          <w:rPr>
            <w:rStyle w:val="Hyperlink"/>
          </w:rPr>
          <w:t>https://www.fao.org/aquastat/en/overview/methodology#main</w:t>
        </w:r>
      </w:hyperlink>
    </w:p>
    <w:p w14:paraId="59E00BF7" w14:textId="72F8D5D2" w:rsidR="008C4BD6" w:rsidRPr="008C4BD6" w:rsidRDefault="008C4BD6" w:rsidP="003E1F42">
      <w:pPr>
        <w:pStyle w:val="MText"/>
        <w:ind w:left="720"/>
        <w:rPr>
          <w:rFonts w:eastAsiaTheme="minorEastAsia" w:cstheme="minorBidi"/>
          <w:i/>
        </w:rPr>
      </w:pPr>
    </w:p>
    <w:p w14:paraId="56010430" w14:textId="5665B5A0" w:rsidR="2BACD000" w:rsidRPr="008C4BD6" w:rsidRDefault="2BACD000" w:rsidP="008C4BD6">
      <w:pPr>
        <w:pStyle w:val="MText"/>
        <w:numPr>
          <w:ilvl w:val="0"/>
          <w:numId w:val="6"/>
        </w:numPr>
        <w:rPr>
          <w:rFonts w:eastAsiaTheme="minorEastAsia" w:cstheme="minorBidi"/>
          <w:i/>
          <w:lang w:val="it-IT"/>
        </w:rPr>
      </w:pPr>
      <w:r w:rsidRPr="008C4BD6">
        <w:rPr>
          <w:lang w:val="it-IT"/>
        </w:rPr>
        <w:t xml:space="preserve">AQUASTAT metadata </w:t>
      </w:r>
      <w:r w:rsidR="00000000">
        <w:fldChar w:fldCharType="begin"/>
      </w:r>
      <w:r w:rsidR="00000000" w:rsidRPr="003E2479">
        <w:rPr>
          <w:lang w:val="es-ES"/>
        </w:rPr>
        <w:instrText>HYPERLINK "http://www.fao.org/aquastat/en/databases/maindatabase/metadata/"</w:instrText>
      </w:r>
      <w:r w:rsidR="00000000">
        <w:fldChar w:fldCharType="separate"/>
      </w:r>
      <w:r w:rsidR="00581919" w:rsidRPr="008C4BD6">
        <w:rPr>
          <w:rStyle w:val="Hyperlink"/>
          <w:lang w:val="it-IT"/>
        </w:rPr>
        <w:t>http://www.fao.org/aquastat/en/databases/maindatabase/metadata/</w:t>
      </w:r>
      <w:r w:rsidR="00000000">
        <w:rPr>
          <w:rStyle w:val="Hyperlink"/>
          <w:lang w:val="it-IT"/>
        </w:rPr>
        <w:fldChar w:fldCharType="end"/>
      </w:r>
      <w:r w:rsidR="00581919" w:rsidRPr="008C4BD6">
        <w:rPr>
          <w:lang w:val="it-IT"/>
        </w:rPr>
        <w:t xml:space="preserve"> </w:t>
      </w:r>
    </w:p>
    <w:p w14:paraId="599B2FD6" w14:textId="33AB859D" w:rsidR="002F4BB7" w:rsidRPr="00D61447" w:rsidRDefault="002F4BB7" w:rsidP="00D61447">
      <w:pPr>
        <w:pStyle w:val="MText"/>
        <w:numPr>
          <w:ilvl w:val="0"/>
          <w:numId w:val="6"/>
        </w:numPr>
        <w:rPr>
          <w:rFonts w:eastAsiaTheme="minorEastAsia" w:cstheme="minorBidi"/>
          <w:color w:val="auto"/>
          <w:sz w:val="22"/>
          <w:szCs w:val="22"/>
          <w:lang w:val="it-IT" w:eastAsia="zh-CN"/>
        </w:rPr>
      </w:pPr>
      <w:r w:rsidRPr="002F4BB7">
        <w:t xml:space="preserve">AQUASTAT Statistical working system (SWS). Migration of the Statistical Processes into the SWS. </w:t>
      </w:r>
      <w:hyperlink r:id="rId29" w:anchor="welcome" w:history="1">
        <w:r w:rsidRPr="002F4BB7">
          <w:rPr>
            <w:rStyle w:val="Hyperlink"/>
          </w:rPr>
          <w:t>https://sws-methodology.github.io/faoswsAquastat/index.html#welcome</w:t>
        </w:r>
      </w:hyperlink>
      <w:r w:rsidRPr="002F4BB7">
        <w:t xml:space="preserve"> </w:t>
      </w:r>
    </w:p>
    <w:p w14:paraId="7C1D6951" w14:textId="59287424" w:rsidR="005F19D3" w:rsidRPr="00217464" w:rsidRDefault="005F19D3" w:rsidP="005F19D3">
      <w:pPr>
        <w:pStyle w:val="MText"/>
        <w:numPr>
          <w:ilvl w:val="0"/>
          <w:numId w:val="6"/>
        </w:numPr>
        <w:rPr>
          <w:lang w:val="fr-FR"/>
        </w:rPr>
      </w:pPr>
      <w:r w:rsidRPr="00A67894">
        <w:rPr>
          <w:lang w:val="fr-BE"/>
        </w:rPr>
        <w:t xml:space="preserve">FAOSTAT production </w:t>
      </w:r>
      <w:proofErr w:type="spellStart"/>
      <w:proofErr w:type="gramStart"/>
      <w:r w:rsidRPr="00A67894">
        <w:rPr>
          <w:lang w:val="fr-BE"/>
        </w:rPr>
        <w:t>database</w:t>
      </w:r>
      <w:proofErr w:type="spellEnd"/>
      <w:r>
        <w:rPr>
          <w:rFonts w:ascii="Arial" w:hAnsi="Arial" w:cs="Arial"/>
          <w:sz w:val="19"/>
          <w:szCs w:val="19"/>
          <w:lang w:val="fr-FR"/>
        </w:rPr>
        <w:t>:</w:t>
      </w:r>
      <w:proofErr w:type="gramEnd"/>
      <w:r>
        <w:rPr>
          <w:rFonts w:ascii="Arial" w:hAnsi="Arial" w:cs="Arial"/>
          <w:sz w:val="19"/>
          <w:szCs w:val="19"/>
          <w:lang w:val="fr-FR"/>
        </w:rPr>
        <w:t xml:space="preserve"> </w:t>
      </w:r>
      <w:r w:rsidR="00000000">
        <w:fldChar w:fldCharType="begin"/>
      </w:r>
      <w:r w:rsidR="00000000" w:rsidRPr="003E2479">
        <w:rPr>
          <w:lang w:val="fr-FR"/>
        </w:rPr>
        <w:instrText>HYPERLINK "http://faostat3.fao.org/download/Q/*/E"</w:instrText>
      </w:r>
      <w:r w:rsidR="00000000">
        <w:fldChar w:fldCharType="separate"/>
      </w:r>
      <w:r w:rsidR="005424F8" w:rsidRPr="002B4812">
        <w:rPr>
          <w:rStyle w:val="Hyperlink"/>
          <w:rFonts w:ascii="Arial" w:hAnsi="Arial" w:cs="Arial"/>
          <w:sz w:val="19"/>
          <w:szCs w:val="19"/>
          <w:lang w:val="fr-FR"/>
        </w:rPr>
        <w:t>http://faostat3.fao.org/download/Q/*/E</w:t>
      </w:r>
      <w:r w:rsidR="00000000">
        <w:rPr>
          <w:rStyle w:val="Hyperlink"/>
          <w:rFonts w:ascii="Arial" w:hAnsi="Arial" w:cs="Arial"/>
          <w:sz w:val="19"/>
          <w:szCs w:val="19"/>
          <w:lang w:val="fr-FR"/>
        </w:rPr>
        <w:fldChar w:fldCharType="end"/>
      </w:r>
      <w:r w:rsidR="005424F8">
        <w:rPr>
          <w:rFonts w:ascii="Arial" w:hAnsi="Arial" w:cs="Arial"/>
          <w:sz w:val="19"/>
          <w:szCs w:val="19"/>
          <w:lang w:val="fr-FR"/>
        </w:rPr>
        <w:t xml:space="preserve"> </w:t>
      </w:r>
    </w:p>
    <w:p w14:paraId="0F5E4556" w14:textId="77777777" w:rsidR="005F19D3" w:rsidRPr="00217464" w:rsidRDefault="005F19D3" w:rsidP="005F19D3">
      <w:pPr>
        <w:pStyle w:val="MText"/>
        <w:numPr>
          <w:ilvl w:val="0"/>
          <w:numId w:val="6"/>
        </w:numPr>
        <w:rPr>
          <w:lang w:val="fr-FR"/>
        </w:rPr>
      </w:pPr>
      <w:r w:rsidRPr="00A67894">
        <w:rPr>
          <w:lang w:val="fr-BE"/>
        </w:rPr>
        <w:t xml:space="preserve">UNSD/UNEP Questionnaire on </w:t>
      </w:r>
      <w:proofErr w:type="spellStart"/>
      <w:r w:rsidRPr="00A67894">
        <w:rPr>
          <w:lang w:val="fr-BE"/>
        </w:rPr>
        <w:t>Environment</w:t>
      </w:r>
      <w:proofErr w:type="spellEnd"/>
      <w:r w:rsidRPr="00A67894">
        <w:rPr>
          <w:lang w:val="fr-BE"/>
        </w:rPr>
        <w:t xml:space="preserve"> Statistics</w:t>
      </w:r>
      <w:r w:rsidRPr="00217464">
        <w:rPr>
          <w:lang w:val="fr-FR"/>
        </w:rPr>
        <w:t xml:space="preserve"> – Water Section</w:t>
      </w:r>
    </w:p>
    <w:p w14:paraId="2E969FED" w14:textId="77777777" w:rsidR="005F19D3" w:rsidRPr="00217464" w:rsidRDefault="00000000" w:rsidP="005F19D3">
      <w:pPr>
        <w:pStyle w:val="MText"/>
        <w:ind w:firstLine="720"/>
        <w:rPr>
          <w:u w:val="single"/>
          <w:lang w:val="fr-FR"/>
        </w:rPr>
      </w:pPr>
      <w:r>
        <w:fldChar w:fldCharType="begin"/>
      </w:r>
      <w:r w:rsidRPr="003E2479">
        <w:rPr>
          <w:lang w:val="fr-FR"/>
        </w:rPr>
        <w:instrText>HYPERLINK "http://unstats.un.org/unsd/environment/questionnaire.htm"</w:instrText>
      </w:r>
      <w:r>
        <w:fldChar w:fldCharType="separate"/>
      </w:r>
      <w:r w:rsidR="005F19D3" w:rsidRPr="00217464">
        <w:rPr>
          <w:rStyle w:val="Hyperlink"/>
          <w:lang w:val="fr-FR"/>
        </w:rPr>
        <w:t>http://unstats.un.org/unsd/environment/questionnaire.htm</w:t>
      </w:r>
      <w:r>
        <w:rPr>
          <w:rStyle w:val="Hyperlink"/>
          <w:lang w:val="fr-FR"/>
        </w:rPr>
        <w:fldChar w:fldCharType="end"/>
      </w:r>
    </w:p>
    <w:p w14:paraId="63821CF7" w14:textId="77777777" w:rsidR="005F19D3" w:rsidRPr="00217464" w:rsidRDefault="00000000" w:rsidP="005F19D3">
      <w:pPr>
        <w:pStyle w:val="MText"/>
        <w:ind w:left="720"/>
        <w:rPr>
          <w:lang w:val="fr-FR"/>
        </w:rPr>
      </w:pPr>
      <w:r>
        <w:fldChar w:fldCharType="begin"/>
      </w:r>
      <w:r w:rsidRPr="003E2479">
        <w:rPr>
          <w:lang w:val="fr-FR"/>
        </w:rPr>
        <w:instrText>HYPERLINK "http://unstats.un.org/unsd/environment/qindicators.htm"</w:instrText>
      </w:r>
      <w:r>
        <w:fldChar w:fldCharType="separate"/>
      </w:r>
      <w:r w:rsidR="005F19D3" w:rsidRPr="00217464">
        <w:rPr>
          <w:rStyle w:val="Hyperlink"/>
          <w:lang w:val="fr-FR"/>
        </w:rPr>
        <w:t>http://unstats.un.org/unsd/environment/qindicators.htm</w:t>
      </w:r>
      <w:r>
        <w:rPr>
          <w:rStyle w:val="Hyperlink"/>
          <w:lang w:val="fr-FR"/>
        </w:rPr>
        <w:fldChar w:fldCharType="end"/>
      </w:r>
      <w:r w:rsidR="005F19D3" w:rsidRPr="00217464">
        <w:rPr>
          <w:u w:val="single"/>
          <w:lang w:val="fr-FR"/>
        </w:rPr>
        <w:t xml:space="preserve"> </w:t>
      </w:r>
    </w:p>
    <w:p w14:paraId="119E0FB7" w14:textId="77777777" w:rsidR="005F19D3" w:rsidRPr="00217464" w:rsidRDefault="005F19D3" w:rsidP="005F19D3">
      <w:pPr>
        <w:pStyle w:val="MText"/>
        <w:numPr>
          <w:ilvl w:val="0"/>
          <w:numId w:val="6"/>
        </w:numPr>
        <w:rPr>
          <w:u w:val="single"/>
        </w:rPr>
      </w:pPr>
      <w:r w:rsidRPr="00217464">
        <w:t xml:space="preserve">Framework for the Development of Environment Statistics (FDES 2013) (Chapter 3): </w:t>
      </w:r>
      <w:hyperlink r:id="rId30" w:history="1">
        <w:r w:rsidRPr="00217464">
          <w:rPr>
            <w:rStyle w:val="Hyperlink"/>
          </w:rPr>
          <w:t>http://unstats.un.org/unsd/environment/FDES/FDES-2015-supporting-tools/FDES.pdf</w:t>
        </w:r>
      </w:hyperlink>
    </w:p>
    <w:p w14:paraId="77CDAD1A" w14:textId="39B208E9" w:rsidR="005F19D3" w:rsidRPr="00217464" w:rsidRDefault="005F19D3" w:rsidP="00850274">
      <w:pPr>
        <w:pStyle w:val="MText"/>
        <w:numPr>
          <w:ilvl w:val="0"/>
          <w:numId w:val="6"/>
        </w:numPr>
        <w:rPr>
          <w:u w:val="single"/>
        </w:rPr>
      </w:pPr>
      <w:r w:rsidRPr="00217464">
        <w:t xml:space="preserve">International Recommendations for Water Statistics (IRWS) (2012): </w:t>
      </w:r>
      <w:hyperlink r:id="rId31" w:history="1">
        <w:r w:rsidR="00850274" w:rsidRPr="000C1970">
          <w:rPr>
            <w:rStyle w:val="Hyperlink"/>
          </w:rPr>
          <w:t>https://unstats.un.org/unsd/publication/seriesM/seriesm_91e.pdf</w:t>
        </w:r>
      </w:hyperlink>
    </w:p>
    <w:p w14:paraId="2876C58B" w14:textId="75A61CB0" w:rsidR="005F19D3" w:rsidRPr="00217464" w:rsidRDefault="005F19D3" w:rsidP="005F19D3">
      <w:pPr>
        <w:pStyle w:val="MText"/>
        <w:numPr>
          <w:ilvl w:val="0"/>
          <w:numId w:val="6"/>
        </w:numPr>
        <w:rPr>
          <w:lang w:val="fr-FR"/>
        </w:rPr>
      </w:pPr>
      <w:r w:rsidRPr="00217464">
        <w:rPr>
          <w:lang w:val="fr-FR"/>
        </w:rPr>
        <w:t xml:space="preserve">OECD/Eurostat Questionnaire on </w:t>
      </w:r>
      <w:proofErr w:type="spellStart"/>
      <w:r w:rsidRPr="00217464">
        <w:rPr>
          <w:lang w:val="fr-FR"/>
        </w:rPr>
        <w:t>Environment</w:t>
      </w:r>
      <w:proofErr w:type="spellEnd"/>
      <w:r w:rsidRPr="00217464">
        <w:rPr>
          <w:lang w:val="fr-CH"/>
        </w:rPr>
        <w:t xml:space="preserve"> St</w:t>
      </w:r>
      <w:proofErr w:type="spellStart"/>
      <w:r w:rsidRPr="00217464">
        <w:rPr>
          <w:lang w:val="fr-FR"/>
        </w:rPr>
        <w:t>atistics</w:t>
      </w:r>
      <w:proofErr w:type="spellEnd"/>
      <w:r w:rsidRPr="00217464">
        <w:rPr>
          <w:lang w:val="fr-FR"/>
        </w:rPr>
        <w:t xml:space="preserve"> </w:t>
      </w:r>
      <w:r w:rsidRPr="00217464">
        <w:rPr>
          <w:lang w:val="fr-CH"/>
        </w:rPr>
        <w:t xml:space="preserve">– Water </w:t>
      </w:r>
      <w:proofErr w:type="gramStart"/>
      <w:r w:rsidRPr="00217464">
        <w:rPr>
          <w:lang w:val="fr-CH"/>
        </w:rPr>
        <w:t>Section:</w:t>
      </w:r>
      <w:proofErr w:type="gramEnd"/>
      <w:r w:rsidRPr="00217464">
        <w:rPr>
          <w:lang w:val="fr-CH"/>
        </w:rPr>
        <w:t xml:space="preserve"> </w:t>
      </w:r>
      <w:hyperlink r:id="rId32" w:history="1">
        <w:r w:rsidR="00A67894" w:rsidRPr="00217464">
          <w:rPr>
            <w:rStyle w:val="Hyperlink"/>
            <w:lang w:val="fr-FR"/>
          </w:rPr>
          <w:t>http://ec.europa.eu/eurostat/web/environment/water</w:t>
        </w:r>
      </w:hyperlink>
    </w:p>
    <w:p w14:paraId="6F852C27" w14:textId="77777777" w:rsidR="005F19D3" w:rsidRPr="00217464" w:rsidRDefault="005F19D3" w:rsidP="005F19D3">
      <w:pPr>
        <w:pStyle w:val="MText"/>
        <w:numPr>
          <w:ilvl w:val="0"/>
          <w:numId w:val="6"/>
        </w:numPr>
      </w:pPr>
      <w:r w:rsidRPr="00217464">
        <w:t xml:space="preserve">OECD National Accounts data files: </w:t>
      </w:r>
      <w:hyperlink r:id="rId33" w:history="1">
        <w:r w:rsidRPr="00217464">
          <w:rPr>
            <w:rStyle w:val="Hyperlink"/>
          </w:rPr>
          <w:t>http://www.oecd-ilibrary.org/economics/data/oecd-national-accounts-statistics_na-data-en</w:t>
        </w:r>
      </w:hyperlink>
    </w:p>
    <w:p w14:paraId="62FBB905" w14:textId="77777777" w:rsidR="005F19D3" w:rsidRPr="00217464" w:rsidRDefault="005F19D3" w:rsidP="005F19D3">
      <w:pPr>
        <w:pStyle w:val="MText"/>
        <w:numPr>
          <w:ilvl w:val="0"/>
          <w:numId w:val="6"/>
        </w:numPr>
      </w:pPr>
      <w:r w:rsidRPr="00217464">
        <w:t xml:space="preserve">SEEA-Water: </w:t>
      </w:r>
      <w:hyperlink r:id="rId34" w:history="1">
        <w:r w:rsidRPr="00217464">
          <w:rPr>
            <w:rStyle w:val="Hyperlink"/>
          </w:rPr>
          <w:t>https://seea.un.org/sites/seea.un.org/files/seeawaterwebversion_final_en.pdf</w:t>
        </w:r>
      </w:hyperlink>
    </w:p>
    <w:p w14:paraId="6DF5E189" w14:textId="77777777" w:rsidR="005F19D3" w:rsidRPr="00217464" w:rsidRDefault="005F19D3" w:rsidP="005F19D3">
      <w:pPr>
        <w:pStyle w:val="MText"/>
        <w:numPr>
          <w:ilvl w:val="0"/>
          <w:numId w:val="6"/>
        </w:numPr>
      </w:pPr>
      <w:r w:rsidRPr="00217464">
        <w:t xml:space="preserve">SEEA Central Framework: </w:t>
      </w:r>
      <w:hyperlink r:id="rId35" w:history="1">
        <w:r w:rsidRPr="00217464">
          <w:rPr>
            <w:rStyle w:val="Hyperlink"/>
          </w:rPr>
          <w:t>https://seea.un.org/sites/seea.un.org/files/seea_cf_final_en.pdf</w:t>
        </w:r>
      </w:hyperlink>
      <w:r w:rsidRPr="00217464">
        <w:t xml:space="preserve"> </w:t>
      </w:r>
    </w:p>
    <w:p w14:paraId="0CDA341E" w14:textId="77777777" w:rsidR="005F19D3" w:rsidRPr="00217464" w:rsidRDefault="005F19D3" w:rsidP="005F19D3">
      <w:pPr>
        <w:pStyle w:val="MText"/>
        <w:numPr>
          <w:ilvl w:val="0"/>
          <w:numId w:val="6"/>
        </w:numPr>
      </w:pPr>
      <w:r w:rsidRPr="00217464">
        <w:t xml:space="preserve">UNSD National Accounts Main Aggregates Database: </w:t>
      </w:r>
      <w:hyperlink r:id="rId36" w:history="1">
        <w:r w:rsidRPr="00217464">
          <w:rPr>
            <w:rStyle w:val="Hyperlink"/>
          </w:rPr>
          <w:t>http://unstats.un.org/unsd/snaama/selbasicFast.asp</w:t>
        </w:r>
      </w:hyperlink>
    </w:p>
    <w:p w14:paraId="2A0E1361" w14:textId="77777777" w:rsidR="005F19D3" w:rsidRPr="008C4BD6" w:rsidRDefault="005F19D3" w:rsidP="005F19D3">
      <w:pPr>
        <w:pStyle w:val="MText"/>
        <w:numPr>
          <w:ilvl w:val="0"/>
          <w:numId w:val="6"/>
        </w:numPr>
        <w:rPr>
          <w:rStyle w:val="Hyperlink"/>
        </w:rPr>
      </w:pPr>
      <w:r w:rsidRPr="00217464">
        <w:t xml:space="preserve">World Bank Databank (World Economic Indicators) </w:t>
      </w:r>
      <w:hyperlink r:id="rId37" w:history="1">
        <w:r w:rsidRPr="00217464">
          <w:rPr>
            <w:rStyle w:val="Hyperlink"/>
          </w:rPr>
          <w:t>http://databank.worldbank.org/data/home.aspx</w:t>
        </w:r>
      </w:hyperlink>
    </w:p>
    <w:p w14:paraId="4B132BB8" w14:textId="77777777" w:rsidR="00850274" w:rsidRPr="003E1F42" w:rsidRDefault="005F19D3" w:rsidP="00DE3214">
      <w:pPr>
        <w:pStyle w:val="MText"/>
        <w:numPr>
          <w:ilvl w:val="0"/>
          <w:numId w:val="6"/>
        </w:numPr>
        <w:rPr>
          <w:color w:val="0000FF" w:themeColor="hyperlink"/>
          <w:u w:val="single"/>
        </w:rPr>
      </w:pPr>
      <w:r w:rsidRPr="008C4BD6">
        <w:t>ISIC rev. 4:</w:t>
      </w:r>
      <w:r w:rsidR="00DE3214" w:rsidRPr="00DE3214">
        <w:t xml:space="preserve"> </w:t>
      </w:r>
    </w:p>
    <w:p w14:paraId="39810025" w14:textId="4D1E72E9" w:rsidR="00850274" w:rsidRPr="008C4BD6" w:rsidRDefault="00850274" w:rsidP="003E1F42">
      <w:pPr>
        <w:pStyle w:val="MText"/>
        <w:ind w:left="360"/>
        <w:rPr>
          <w:rStyle w:val="Hyperlink"/>
        </w:rPr>
      </w:pPr>
      <w:r>
        <w:t xml:space="preserve">       </w:t>
      </w:r>
      <w:hyperlink r:id="rId38" w:history="1">
        <w:r w:rsidRPr="008C4BD6">
          <w:rPr>
            <w:rStyle w:val="Hyperlink"/>
          </w:rPr>
          <w:t>https://unstats.un.org/unsd/classifications/Econ/Download/In%20Text/CPCprov_english.pdf</w:t>
        </w:r>
      </w:hyperlink>
    </w:p>
    <w:p w14:paraId="3194E84F" w14:textId="51AD88AA" w:rsidR="0010506C" w:rsidRPr="008C4BD6" w:rsidRDefault="0010506C" w:rsidP="005F19D3">
      <w:pPr>
        <w:pStyle w:val="MText"/>
        <w:numPr>
          <w:ilvl w:val="0"/>
          <w:numId w:val="6"/>
        </w:numPr>
        <w:rPr>
          <w:rStyle w:val="Hyperlink"/>
        </w:rPr>
      </w:pPr>
      <w:r w:rsidRPr="008C4BD6">
        <w:t xml:space="preserve">FAO e-learning course </w:t>
      </w:r>
      <w:r w:rsidR="00FE5E6D" w:rsidRPr="008C4BD6">
        <w:t>SDG Indicator 6.4.1 - Change in water-use efficiency over time</w:t>
      </w:r>
      <w:r w:rsidRPr="008C4BD6">
        <w:t>:</w:t>
      </w:r>
      <w:r w:rsidR="00FE5E6D" w:rsidRPr="006C3A92">
        <w:rPr>
          <w:rFonts w:cstheme="minorHAnsi"/>
          <w:sz w:val="19"/>
          <w:szCs w:val="19"/>
        </w:rPr>
        <w:t xml:space="preserve"> </w:t>
      </w:r>
      <w:hyperlink r:id="rId39" w:history="1">
        <w:r w:rsidR="00DE3214" w:rsidRPr="008C4BD6">
          <w:rPr>
            <w:rStyle w:val="Hyperlink"/>
          </w:rPr>
          <w:t>https://elearning.fao.org/course/view.php?id=475</w:t>
        </w:r>
      </w:hyperlink>
      <w:r w:rsidR="00FE5E6D" w:rsidRPr="008C4BD6">
        <w:rPr>
          <w:rStyle w:val="Hyperlink"/>
        </w:rPr>
        <w:t xml:space="preserve"> </w:t>
      </w:r>
    </w:p>
    <w:p w14:paraId="384B0992" w14:textId="5F74D15F" w:rsidR="00186795" w:rsidRDefault="00186795"/>
    <w:p w14:paraId="1F9120B0" w14:textId="77777777" w:rsidR="00C51905" w:rsidRDefault="00C51905"/>
    <w:sectPr w:rsidR="00C51905">
      <w:headerReference w:type="default" r:id="rId4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A2886" w14:textId="77777777" w:rsidR="005C1D51" w:rsidRDefault="005C1D51" w:rsidP="00573C0B">
      <w:pPr>
        <w:spacing w:after="0" w:line="240" w:lineRule="auto"/>
      </w:pPr>
      <w:r>
        <w:separator/>
      </w:r>
    </w:p>
  </w:endnote>
  <w:endnote w:type="continuationSeparator" w:id="0">
    <w:p w14:paraId="5C914E44" w14:textId="77777777" w:rsidR="005C1D51" w:rsidRDefault="005C1D51" w:rsidP="00573C0B">
      <w:pPr>
        <w:spacing w:after="0" w:line="240" w:lineRule="auto"/>
      </w:pPr>
      <w:r>
        <w:continuationSeparator/>
      </w:r>
    </w:p>
  </w:endnote>
  <w:endnote w:type="continuationNotice" w:id="1">
    <w:p w14:paraId="06AB0F06" w14:textId="77777777" w:rsidR="005C1D51" w:rsidRDefault="005C1D5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167D2" w14:textId="77777777" w:rsidR="005C1D51" w:rsidRDefault="005C1D51" w:rsidP="00573C0B">
      <w:pPr>
        <w:spacing w:after="0" w:line="240" w:lineRule="auto"/>
      </w:pPr>
      <w:r>
        <w:separator/>
      </w:r>
    </w:p>
  </w:footnote>
  <w:footnote w:type="continuationSeparator" w:id="0">
    <w:p w14:paraId="15CC0B3E" w14:textId="77777777" w:rsidR="005C1D51" w:rsidRDefault="005C1D51" w:rsidP="00573C0B">
      <w:pPr>
        <w:spacing w:after="0" w:line="240" w:lineRule="auto"/>
      </w:pPr>
      <w:r>
        <w:continuationSeparator/>
      </w:r>
    </w:p>
  </w:footnote>
  <w:footnote w:type="continuationNotice" w:id="1">
    <w:p w14:paraId="2AF5277A" w14:textId="77777777" w:rsidR="005C1D51" w:rsidRDefault="005C1D51">
      <w:pPr>
        <w:spacing w:after="0" w:line="240" w:lineRule="auto"/>
      </w:pPr>
    </w:p>
  </w:footnote>
  <w:footnote w:id="2">
    <w:p w14:paraId="52DE03BC" w14:textId="77777777" w:rsidR="008C4BD6" w:rsidRPr="008062C9" w:rsidRDefault="008C4BD6" w:rsidP="00223A77">
      <w:pPr>
        <w:pStyle w:val="MText"/>
        <w:rPr>
          <w:sz w:val="18"/>
          <w:szCs w:val="18"/>
        </w:rPr>
      </w:pPr>
      <w:r w:rsidRPr="008062C9">
        <w:rPr>
          <w:rStyle w:val="FootnoteReference"/>
          <w:sz w:val="18"/>
          <w:szCs w:val="18"/>
        </w:rPr>
        <w:footnoteRef/>
      </w:r>
      <w:r w:rsidRPr="008062C9">
        <w:rPr>
          <w:sz w:val="18"/>
          <w:szCs w:val="18"/>
        </w:rPr>
        <w:t xml:space="preserve"> In order to maintain consistency with the terminology used in SEEA-Water, the terms water use and water abstraction are utilized in this text. In particular, “water abstraction” must be considered synonym of “water withdrawal, as expressed in both AQUASTAT and the statement of the SDG target 6.4.</w:t>
      </w:r>
    </w:p>
  </w:footnote>
  <w:footnote w:id="3">
    <w:p w14:paraId="2A422E99" w14:textId="77777777" w:rsidR="008C4BD6" w:rsidRPr="000620DF" w:rsidRDefault="008C4BD6" w:rsidP="00223A77">
      <w:pPr>
        <w:pStyle w:val="MText"/>
        <w:rPr>
          <w:sz w:val="18"/>
          <w:szCs w:val="18"/>
        </w:rPr>
      </w:pPr>
      <w:r w:rsidRPr="000620DF">
        <w:rPr>
          <w:rStyle w:val="FootnoteReference"/>
          <w:sz w:val="18"/>
          <w:szCs w:val="18"/>
        </w:rPr>
        <w:footnoteRef/>
      </w:r>
      <w:r w:rsidRPr="000620DF">
        <w:rPr>
          <w:sz w:val="18"/>
          <w:szCs w:val="18"/>
        </w:rPr>
        <w:t xml:space="preserve"> In AQUASTAT, as well as in the World Bank databank and in other national and international datasets, the MIMEC sector is referred to as “Industry”. Also, SEEA-Water uses the term “industrial use” of water.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42FF1462" w:rsidR="008C4BD6" w:rsidRPr="00757E8A" w:rsidRDefault="008C4BD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FF6E5B">
      <w:rPr>
        <w:color w:val="404040" w:themeColor="text1" w:themeTint="BF"/>
        <w:sz w:val="18"/>
        <w:szCs w:val="18"/>
      </w:rPr>
      <w:t xml:space="preserve"> </w:t>
    </w:r>
    <w:r w:rsidR="0094382B">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17F"/>
    <w:multiLevelType w:val="hybridMultilevel"/>
    <w:tmpl w:val="09C077A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01A24400"/>
    <w:multiLevelType w:val="hybridMultilevel"/>
    <w:tmpl w:val="F98ACCD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01F2B"/>
    <w:multiLevelType w:val="hybridMultilevel"/>
    <w:tmpl w:val="3DCC168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21049A"/>
    <w:multiLevelType w:val="hybridMultilevel"/>
    <w:tmpl w:val="E8D4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53196"/>
    <w:multiLevelType w:val="hybridMultilevel"/>
    <w:tmpl w:val="11AC6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C4110"/>
    <w:multiLevelType w:val="hybridMultilevel"/>
    <w:tmpl w:val="75B8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026666"/>
    <w:multiLevelType w:val="hybridMultilevel"/>
    <w:tmpl w:val="6B587E90"/>
    <w:lvl w:ilvl="0" w:tplc="F9061DF6">
      <w:start w:val="1"/>
      <w:numFmt w:val="bullet"/>
      <w:lvlText w:val=""/>
      <w:lvlJc w:val="left"/>
      <w:pPr>
        <w:ind w:left="1440" w:hanging="360"/>
      </w:pPr>
      <w:rPr>
        <w:rFonts w:ascii="Symbol" w:hAnsi="Symbol" w:hint="default"/>
      </w:rPr>
    </w:lvl>
    <w:lvl w:ilvl="1" w:tplc="CBACF93A" w:tentative="1">
      <w:start w:val="1"/>
      <w:numFmt w:val="bullet"/>
      <w:lvlText w:val="o"/>
      <w:lvlJc w:val="left"/>
      <w:pPr>
        <w:ind w:left="2160" w:hanging="360"/>
      </w:pPr>
      <w:rPr>
        <w:rFonts w:ascii="Courier New" w:hAnsi="Courier New" w:hint="default"/>
      </w:rPr>
    </w:lvl>
    <w:lvl w:ilvl="2" w:tplc="D032A60E" w:tentative="1">
      <w:start w:val="1"/>
      <w:numFmt w:val="bullet"/>
      <w:lvlText w:val=""/>
      <w:lvlJc w:val="left"/>
      <w:pPr>
        <w:ind w:left="2880" w:hanging="360"/>
      </w:pPr>
      <w:rPr>
        <w:rFonts w:ascii="Wingdings" w:hAnsi="Wingdings" w:hint="default"/>
      </w:rPr>
    </w:lvl>
    <w:lvl w:ilvl="3" w:tplc="F5EE47D6" w:tentative="1">
      <w:start w:val="1"/>
      <w:numFmt w:val="bullet"/>
      <w:lvlText w:val=""/>
      <w:lvlJc w:val="left"/>
      <w:pPr>
        <w:ind w:left="3600" w:hanging="360"/>
      </w:pPr>
      <w:rPr>
        <w:rFonts w:ascii="Symbol" w:hAnsi="Symbol" w:hint="default"/>
      </w:rPr>
    </w:lvl>
    <w:lvl w:ilvl="4" w:tplc="2E2E09DA" w:tentative="1">
      <w:start w:val="1"/>
      <w:numFmt w:val="bullet"/>
      <w:lvlText w:val="o"/>
      <w:lvlJc w:val="left"/>
      <w:pPr>
        <w:ind w:left="4320" w:hanging="360"/>
      </w:pPr>
      <w:rPr>
        <w:rFonts w:ascii="Courier New" w:hAnsi="Courier New" w:hint="default"/>
      </w:rPr>
    </w:lvl>
    <w:lvl w:ilvl="5" w:tplc="3F028798" w:tentative="1">
      <w:start w:val="1"/>
      <w:numFmt w:val="bullet"/>
      <w:lvlText w:val=""/>
      <w:lvlJc w:val="left"/>
      <w:pPr>
        <w:ind w:left="5040" w:hanging="360"/>
      </w:pPr>
      <w:rPr>
        <w:rFonts w:ascii="Wingdings" w:hAnsi="Wingdings" w:hint="default"/>
      </w:rPr>
    </w:lvl>
    <w:lvl w:ilvl="6" w:tplc="30FC9578" w:tentative="1">
      <w:start w:val="1"/>
      <w:numFmt w:val="bullet"/>
      <w:lvlText w:val=""/>
      <w:lvlJc w:val="left"/>
      <w:pPr>
        <w:ind w:left="5760" w:hanging="360"/>
      </w:pPr>
      <w:rPr>
        <w:rFonts w:ascii="Symbol" w:hAnsi="Symbol" w:hint="default"/>
      </w:rPr>
    </w:lvl>
    <w:lvl w:ilvl="7" w:tplc="CB3E9940" w:tentative="1">
      <w:start w:val="1"/>
      <w:numFmt w:val="bullet"/>
      <w:lvlText w:val="o"/>
      <w:lvlJc w:val="left"/>
      <w:pPr>
        <w:ind w:left="6480" w:hanging="360"/>
      </w:pPr>
      <w:rPr>
        <w:rFonts w:ascii="Courier New" w:hAnsi="Courier New" w:hint="default"/>
      </w:rPr>
    </w:lvl>
    <w:lvl w:ilvl="8" w:tplc="AE36F01E" w:tentative="1">
      <w:start w:val="1"/>
      <w:numFmt w:val="bullet"/>
      <w:lvlText w:val=""/>
      <w:lvlJc w:val="left"/>
      <w:pPr>
        <w:ind w:left="7200" w:hanging="360"/>
      </w:pPr>
      <w:rPr>
        <w:rFonts w:ascii="Wingdings" w:hAnsi="Wingdings" w:hint="default"/>
      </w:rPr>
    </w:lvl>
  </w:abstractNum>
  <w:abstractNum w:abstractNumId="7"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A6B7E80"/>
    <w:multiLevelType w:val="hybridMultilevel"/>
    <w:tmpl w:val="FFFFFFFF"/>
    <w:lvl w:ilvl="0" w:tplc="8460DBDE">
      <w:start w:val="1"/>
      <w:numFmt w:val="bullet"/>
      <w:lvlText w:val=""/>
      <w:lvlJc w:val="left"/>
      <w:pPr>
        <w:ind w:left="720" w:hanging="360"/>
      </w:pPr>
      <w:rPr>
        <w:rFonts w:ascii="Symbol" w:hAnsi="Symbol" w:hint="default"/>
      </w:rPr>
    </w:lvl>
    <w:lvl w:ilvl="1" w:tplc="60E244E8">
      <w:start w:val="1"/>
      <w:numFmt w:val="bullet"/>
      <w:lvlText w:val=""/>
      <w:lvlJc w:val="left"/>
      <w:pPr>
        <w:ind w:left="1440" w:hanging="360"/>
      </w:pPr>
      <w:rPr>
        <w:rFonts w:ascii="Symbol" w:hAnsi="Symbol" w:hint="default"/>
      </w:rPr>
    </w:lvl>
    <w:lvl w:ilvl="2" w:tplc="F334BD98">
      <w:start w:val="1"/>
      <w:numFmt w:val="bullet"/>
      <w:lvlText w:val=""/>
      <w:lvlJc w:val="left"/>
      <w:pPr>
        <w:ind w:left="2160" w:hanging="360"/>
      </w:pPr>
      <w:rPr>
        <w:rFonts w:ascii="Wingdings" w:hAnsi="Wingdings" w:hint="default"/>
      </w:rPr>
    </w:lvl>
    <w:lvl w:ilvl="3" w:tplc="0A04A83E">
      <w:start w:val="1"/>
      <w:numFmt w:val="bullet"/>
      <w:lvlText w:val=""/>
      <w:lvlJc w:val="left"/>
      <w:pPr>
        <w:ind w:left="2880" w:hanging="360"/>
      </w:pPr>
      <w:rPr>
        <w:rFonts w:ascii="Symbol" w:hAnsi="Symbol" w:hint="default"/>
      </w:rPr>
    </w:lvl>
    <w:lvl w:ilvl="4" w:tplc="E52A20BE">
      <w:start w:val="1"/>
      <w:numFmt w:val="bullet"/>
      <w:lvlText w:val="o"/>
      <w:lvlJc w:val="left"/>
      <w:pPr>
        <w:ind w:left="3600" w:hanging="360"/>
      </w:pPr>
      <w:rPr>
        <w:rFonts w:ascii="Courier New" w:hAnsi="Courier New" w:hint="default"/>
      </w:rPr>
    </w:lvl>
    <w:lvl w:ilvl="5" w:tplc="85FCB750">
      <w:start w:val="1"/>
      <w:numFmt w:val="bullet"/>
      <w:lvlText w:val=""/>
      <w:lvlJc w:val="left"/>
      <w:pPr>
        <w:ind w:left="4320" w:hanging="360"/>
      </w:pPr>
      <w:rPr>
        <w:rFonts w:ascii="Wingdings" w:hAnsi="Wingdings" w:hint="default"/>
      </w:rPr>
    </w:lvl>
    <w:lvl w:ilvl="6" w:tplc="E61A251A">
      <w:start w:val="1"/>
      <w:numFmt w:val="bullet"/>
      <w:lvlText w:val=""/>
      <w:lvlJc w:val="left"/>
      <w:pPr>
        <w:ind w:left="5040" w:hanging="360"/>
      </w:pPr>
      <w:rPr>
        <w:rFonts w:ascii="Symbol" w:hAnsi="Symbol" w:hint="default"/>
      </w:rPr>
    </w:lvl>
    <w:lvl w:ilvl="7" w:tplc="D5F48560">
      <w:start w:val="1"/>
      <w:numFmt w:val="bullet"/>
      <w:lvlText w:val="o"/>
      <w:lvlJc w:val="left"/>
      <w:pPr>
        <w:ind w:left="5760" w:hanging="360"/>
      </w:pPr>
      <w:rPr>
        <w:rFonts w:ascii="Courier New" w:hAnsi="Courier New" w:hint="default"/>
      </w:rPr>
    </w:lvl>
    <w:lvl w:ilvl="8" w:tplc="3AE0F572">
      <w:start w:val="1"/>
      <w:numFmt w:val="bullet"/>
      <w:lvlText w:val=""/>
      <w:lvlJc w:val="left"/>
      <w:pPr>
        <w:ind w:left="6480" w:hanging="360"/>
      </w:pPr>
      <w:rPr>
        <w:rFonts w:ascii="Wingdings" w:hAnsi="Wingdings" w:hint="default"/>
      </w:rPr>
    </w:lvl>
  </w:abstractNum>
  <w:abstractNum w:abstractNumId="9"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09346F"/>
    <w:multiLevelType w:val="hybridMultilevel"/>
    <w:tmpl w:val="98AEDC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56A2623"/>
    <w:multiLevelType w:val="hybridMultilevel"/>
    <w:tmpl w:val="3C74A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344F4"/>
    <w:multiLevelType w:val="hybridMultilevel"/>
    <w:tmpl w:val="2AF8BEBC"/>
    <w:lvl w:ilvl="0" w:tplc="297E1F56">
      <w:start w:val="1"/>
      <w:numFmt w:val="bullet"/>
      <w:lvlText w:val=""/>
      <w:lvlJc w:val="left"/>
      <w:pPr>
        <w:tabs>
          <w:tab w:val="num" w:pos="720"/>
        </w:tabs>
        <w:ind w:left="720" w:hanging="360"/>
      </w:pPr>
      <w:rPr>
        <w:rFonts w:ascii="Symbol" w:hAnsi="Symbol" w:hint="default"/>
        <w:sz w:val="20"/>
      </w:rPr>
    </w:lvl>
    <w:lvl w:ilvl="1" w:tplc="9438C10E" w:tentative="1">
      <w:start w:val="1"/>
      <w:numFmt w:val="bullet"/>
      <w:lvlText w:val="o"/>
      <w:lvlJc w:val="left"/>
      <w:pPr>
        <w:tabs>
          <w:tab w:val="num" w:pos="1440"/>
        </w:tabs>
        <w:ind w:left="1440" w:hanging="360"/>
      </w:pPr>
      <w:rPr>
        <w:rFonts w:ascii="Courier New" w:hAnsi="Courier New" w:hint="default"/>
        <w:sz w:val="20"/>
      </w:rPr>
    </w:lvl>
    <w:lvl w:ilvl="2" w:tplc="CD1E7956" w:tentative="1">
      <w:start w:val="1"/>
      <w:numFmt w:val="bullet"/>
      <w:lvlText w:val=""/>
      <w:lvlJc w:val="left"/>
      <w:pPr>
        <w:tabs>
          <w:tab w:val="num" w:pos="2160"/>
        </w:tabs>
        <w:ind w:left="2160" w:hanging="360"/>
      </w:pPr>
      <w:rPr>
        <w:rFonts w:ascii="Wingdings" w:hAnsi="Wingdings" w:hint="default"/>
        <w:sz w:val="20"/>
      </w:rPr>
    </w:lvl>
    <w:lvl w:ilvl="3" w:tplc="7762454E" w:tentative="1">
      <w:start w:val="1"/>
      <w:numFmt w:val="bullet"/>
      <w:lvlText w:val=""/>
      <w:lvlJc w:val="left"/>
      <w:pPr>
        <w:tabs>
          <w:tab w:val="num" w:pos="2880"/>
        </w:tabs>
        <w:ind w:left="2880" w:hanging="360"/>
      </w:pPr>
      <w:rPr>
        <w:rFonts w:ascii="Wingdings" w:hAnsi="Wingdings" w:hint="default"/>
        <w:sz w:val="20"/>
      </w:rPr>
    </w:lvl>
    <w:lvl w:ilvl="4" w:tplc="16B2FD44" w:tentative="1">
      <w:start w:val="1"/>
      <w:numFmt w:val="bullet"/>
      <w:lvlText w:val=""/>
      <w:lvlJc w:val="left"/>
      <w:pPr>
        <w:tabs>
          <w:tab w:val="num" w:pos="3600"/>
        </w:tabs>
        <w:ind w:left="3600" w:hanging="360"/>
      </w:pPr>
      <w:rPr>
        <w:rFonts w:ascii="Wingdings" w:hAnsi="Wingdings" w:hint="default"/>
        <w:sz w:val="20"/>
      </w:rPr>
    </w:lvl>
    <w:lvl w:ilvl="5" w:tplc="CD92D18E" w:tentative="1">
      <w:start w:val="1"/>
      <w:numFmt w:val="bullet"/>
      <w:lvlText w:val=""/>
      <w:lvlJc w:val="left"/>
      <w:pPr>
        <w:tabs>
          <w:tab w:val="num" w:pos="4320"/>
        </w:tabs>
        <w:ind w:left="4320" w:hanging="360"/>
      </w:pPr>
      <w:rPr>
        <w:rFonts w:ascii="Wingdings" w:hAnsi="Wingdings" w:hint="default"/>
        <w:sz w:val="20"/>
      </w:rPr>
    </w:lvl>
    <w:lvl w:ilvl="6" w:tplc="C64E1148" w:tentative="1">
      <w:start w:val="1"/>
      <w:numFmt w:val="bullet"/>
      <w:lvlText w:val=""/>
      <w:lvlJc w:val="left"/>
      <w:pPr>
        <w:tabs>
          <w:tab w:val="num" w:pos="5040"/>
        </w:tabs>
        <w:ind w:left="5040" w:hanging="360"/>
      </w:pPr>
      <w:rPr>
        <w:rFonts w:ascii="Wingdings" w:hAnsi="Wingdings" w:hint="default"/>
        <w:sz w:val="20"/>
      </w:rPr>
    </w:lvl>
    <w:lvl w:ilvl="7" w:tplc="369ED5F0" w:tentative="1">
      <w:start w:val="1"/>
      <w:numFmt w:val="bullet"/>
      <w:lvlText w:val=""/>
      <w:lvlJc w:val="left"/>
      <w:pPr>
        <w:tabs>
          <w:tab w:val="num" w:pos="5760"/>
        </w:tabs>
        <w:ind w:left="5760" w:hanging="360"/>
      </w:pPr>
      <w:rPr>
        <w:rFonts w:ascii="Wingdings" w:hAnsi="Wingdings" w:hint="default"/>
        <w:sz w:val="20"/>
      </w:rPr>
    </w:lvl>
    <w:lvl w:ilvl="8" w:tplc="F58A43CE"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44F16"/>
    <w:multiLevelType w:val="hybridMultilevel"/>
    <w:tmpl w:val="6C58F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A30B6"/>
    <w:multiLevelType w:val="hybridMultilevel"/>
    <w:tmpl w:val="C3E2385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613F4F"/>
    <w:multiLevelType w:val="hybridMultilevel"/>
    <w:tmpl w:val="FFFFFFFF"/>
    <w:lvl w:ilvl="0" w:tplc="DD5477BE">
      <w:start w:val="1"/>
      <w:numFmt w:val="bullet"/>
      <w:lvlText w:val=""/>
      <w:lvlJc w:val="left"/>
      <w:pPr>
        <w:ind w:left="720" w:hanging="360"/>
      </w:pPr>
      <w:rPr>
        <w:rFonts w:ascii="Symbol" w:hAnsi="Symbol" w:hint="default"/>
      </w:rPr>
    </w:lvl>
    <w:lvl w:ilvl="1" w:tplc="55B8D562">
      <w:start w:val="1"/>
      <w:numFmt w:val="bullet"/>
      <w:lvlText w:val="o"/>
      <w:lvlJc w:val="left"/>
      <w:pPr>
        <w:ind w:left="1440" w:hanging="360"/>
      </w:pPr>
      <w:rPr>
        <w:rFonts w:ascii="Courier New" w:hAnsi="Courier New" w:hint="default"/>
      </w:rPr>
    </w:lvl>
    <w:lvl w:ilvl="2" w:tplc="A4EA54AA">
      <w:start w:val="1"/>
      <w:numFmt w:val="bullet"/>
      <w:lvlText w:val=""/>
      <w:lvlJc w:val="left"/>
      <w:pPr>
        <w:ind w:left="2160" w:hanging="360"/>
      </w:pPr>
      <w:rPr>
        <w:rFonts w:ascii="Wingdings" w:hAnsi="Wingdings" w:hint="default"/>
      </w:rPr>
    </w:lvl>
    <w:lvl w:ilvl="3" w:tplc="752209A2">
      <w:start w:val="1"/>
      <w:numFmt w:val="bullet"/>
      <w:lvlText w:val=""/>
      <w:lvlJc w:val="left"/>
      <w:pPr>
        <w:ind w:left="2880" w:hanging="360"/>
      </w:pPr>
      <w:rPr>
        <w:rFonts w:ascii="Symbol" w:hAnsi="Symbol" w:hint="default"/>
      </w:rPr>
    </w:lvl>
    <w:lvl w:ilvl="4" w:tplc="CAA22FEC">
      <w:start w:val="1"/>
      <w:numFmt w:val="bullet"/>
      <w:lvlText w:val="o"/>
      <w:lvlJc w:val="left"/>
      <w:pPr>
        <w:ind w:left="3600" w:hanging="360"/>
      </w:pPr>
      <w:rPr>
        <w:rFonts w:ascii="Courier New" w:hAnsi="Courier New" w:hint="default"/>
      </w:rPr>
    </w:lvl>
    <w:lvl w:ilvl="5" w:tplc="CA2A54B6">
      <w:start w:val="1"/>
      <w:numFmt w:val="bullet"/>
      <w:lvlText w:val=""/>
      <w:lvlJc w:val="left"/>
      <w:pPr>
        <w:ind w:left="4320" w:hanging="360"/>
      </w:pPr>
      <w:rPr>
        <w:rFonts w:ascii="Wingdings" w:hAnsi="Wingdings" w:hint="default"/>
      </w:rPr>
    </w:lvl>
    <w:lvl w:ilvl="6" w:tplc="5588B9EA">
      <w:start w:val="1"/>
      <w:numFmt w:val="bullet"/>
      <w:lvlText w:val=""/>
      <w:lvlJc w:val="left"/>
      <w:pPr>
        <w:ind w:left="5040" w:hanging="360"/>
      </w:pPr>
      <w:rPr>
        <w:rFonts w:ascii="Symbol" w:hAnsi="Symbol" w:hint="default"/>
      </w:rPr>
    </w:lvl>
    <w:lvl w:ilvl="7" w:tplc="CA8E3B02">
      <w:start w:val="1"/>
      <w:numFmt w:val="bullet"/>
      <w:lvlText w:val="o"/>
      <w:lvlJc w:val="left"/>
      <w:pPr>
        <w:ind w:left="5760" w:hanging="360"/>
      </w:pPr>
      <w:rPr>
        <w:rFonts w:ascii="Courier New" w:hAnsi="Courier New" w:hint="default"/>
      </w:rPr>
    </w:lvl>
    <w:lvl w:ilvl="8" w:tplc="0BE012A0">
      <w:start w:val="1"/>
      <w:numFmt w:val="bullet"/>
      <w:lvlText w:val=""/>
      <w:lvlJc w:val="left"/>
      <w:pPr>
        <w:ind w:left="6480" w:hanging="360"/>
      </w:pPr>
      <w:rPr>
        <w:rFonts w:ascii="Wingdings" w:hAnsi="Wingdings" w:hint="default"/>
      </w:rPr>
    </w:lvl>
  </w:abstractNum>
  <w:abstractNum w:abstractNumId="16" w15:restartNumberingAfterBreak="0">
    <w:nsid w:val="74DD1BF1"/>
    <w:multiLevelType w:val="hybridMultilevel"/>
    <w:tmpl w:val="47C48B8E"/>
    <w:lvl w:ilvl="0" w:tplc="3126C410">
      <w:start w:val="1"/>
      <w:numFmt w:val="bullet"/>
      <w:lvlText w:val=""/>
      <w:lvlJc w:val="left"/>
      <w:pPr>
        <w:ind w:left="720" w:hanging="360"/>
      </w:pPr>
      <w:rPr>
        <w:rFonts w:ascii="Symbol" w:hAnsi="Symbol" w:hint="default"/>
      </w:rPr>
    </w:lvl>
    <w:lvl w:ilvl="1" w:tplc="2CFE7914">
      <w:start w:val="1"/>
      <w:numFmt w:val="bullet"/>
      <w:lvlText w:val="o"/>
      <w:lvlJc w:val="left"/>
      <w:pPr>
        <w:ind w:left="1440" w:hanging="360"/>
      </w:pPr>
      <w:rPr>
        <w:rFonts w:ascii="Courier New" w:hAnsi="Courier New" w:hint="default"/>
      </w:rPr>
    </w:lvl>
    <w:lvl w:ilvl="2" w:tplc="5A3E5858">
      <w:start w:val="1"/>
      <w:numFmt w:val="bullet"/>
      <w:lvlText w:val=""/>
      <w:lvlJc w:val="left"/>
      <w:pPr>
        <w:ind w:left="2160" w:hanging="360"/>
      </w:pPr>
      <w:rPr>
        <w:rFonts w:ascii="Wingdings" w:hAnsi="Wingdings" w:hint="default"/>
      </w:rPr>
    </w:lvl>
    <w:lvl w:ilvl="3" w:tplc="7A12878C">
      <w:start w:val="1"/>
      <w:numFmt w:val="bullet"/>
      <w:lvlText w:val=""/>
      <w:lvlJc w:val="left"/>
      <w:pPr>
        <w:ind w:left="2880" w:hanging="360"/>
      </w:pPr>
      <w:rPr>
        <w:rFonts w:ascii="Symbol" w:hAnsi="Symbol" w:hint="default"/>
      </w:rPr>
    </w:lvl>
    <w:lvl w:ilvl="4" w:tplc="9560F5B2">
      <w:start w:val="1"/>
      <w:numFmt w:val="bullet"/>
      <w:lvlText w:val="o"/>
      <w:lvlJc w:val="left"/>
      <w:pPr>
        <w:ind w:left="3600" w:hanging="360"/>
      </w:pPr>
      <w:rPr>
        <w:rFonts w:ascii="Courier New" w:hAnsi="Courier New" w:hint="default"/>
      </w:rPr>
    </w:lvl>
    <w:lvl w:ilvl="5" w:tplc="43E4E370">
      <w:start w:val="1"/>
      <w:numFmt w:val="bullet"/>
      <w:lvlText w:val=""/>
      <w:lvlJc w:val="left"/>
      <w:pPr>
        <w:ind w:left="4320" w:hanging="360"/>
      </w:pPr>
      <w:rPr>
        <w:rFonts w:ascii="Wingdings" w:hAnsi="Wingdings" w:hint="default"/>
      </w:rPr>
    </w:lvl>
    <w:lvl w:ilvl="6" w:tplc="FB1C210A">
      <w:start w:val="1"/>
      <w:numFmt w:val="bullet"/>
      <w:lvlText w:val=""/>
      <w:lvlJc w:val="left"/>
      <w:pPr>
        <w:ind w:left="5040" w:hanging="360"/>
      </w:pPr>
      <w:rPr>
        <w:rFonts w:ascii="Symbol" w:hAnsi="Symbol" w:hint="default"/>
      </w:rPr>
    </w:lvl>
    <w:lvl w:ilvl="7" w:tplc="C81C57AE">
      <w:start w:val="1"/>
      <w:numFmt w:val="bullet"/>
      <w:lvlText w:val="o"/>
      <w:lvlJc w:val="left"/>
      <w:pPr>
        <w:ind w:left="5760" w:hanging="360"/>
      </w:pPr>
      <w:rPr>
        <w:rFonts w:ascii="Courier New" w:hAnsi="Courier New" w:hint="default"/>
      </w:rPr>
    </w:lvl>
    <w:lvl w:ilvl="8" w:tplc="3F16B95E">
      <w:start w:val="1"/>
      <w:numFmt w:val="bullet"/>
      <w:lvlText w:val=""/>
      <w:lvlJc w:val="left"/>
      <w:pPr>
        <w:ind w:left="6480" w:hanging="360"/>
      </w:pPr>
      <w:rPr>
        <w:rFonts w:ascii="Wingdings" w:hAnsi="Wingdings" w:hint="default"/>
      </w:rPr>
    </w:lvl>
  </w:abstractNum>
  <w:abstractNum w:abstractNumId="17" w15:restartNumberingAfterBreak="0">
    <w:nsid w:val="77401506"/>
    <w:multiLevelType w:val="hybridMultilevel"/>
    <w:tmpl w:val="FFFFFFFF"/>
    <w:lvl w:ilvl="0" w:tplc="531CF01E">
      <w:start w:val="1"/>
      <w:numFmt w:val="bullet"/>
      <w:lvlText w:val=""/>
      <w:lvlJc w:val="left"/>
      <w:pPr>
        <w:ind w:left="720" w:hanging="360"/>
      </w:pPr>
      <w:rPr>
        <w:rFonts w:ascii="Symbol" w:hAnsi="Symbol" w:hint="default"/>
      </w:rPr>
    </w:lvl>
    <w:lvl w:ilvl="1" w:tplc="66E03F36">
      <w:start w:val="1"/>
      <w:numFmt w:val="bullet"/>
      <w:lvlText w:val="o"/>
      <w:lvlJc w:val="left"/>
      <w:pPr>
        <w:ind w:left="1440" w:hanging="360"/>
      </w:pPr>
      <w:rPr>
        <w:rFonts w:ascii="Courier New" w:hAnsi="Courier New" w:hint="default"/>
      </w:rPr>
    </w:lvl>
    <w:lvl w:ilvl="2" w:tplc="5A060CA8">
      <w:start w:val="1"/>
      <w:numFmt w:val="bullet"/>
      <w:lvlText w:val=""/>
      <w:lvlJc w:val="left"/>
      <w:pPr>
        <w:ind w:left="2160" w:hanging="360"/>
      </w:pPr>
      <w:rPr>
        <w:rFonts w:ascii="Wingdings" w:hAnsi="Wingdings" w:hint="default"/>
      </w:rPr>
    </w:lvl>
    <w:lvl w:ilvl="3" w:tplc="D21C1904">
      <w:start w:val="1"/>
      <w:numFmt w:val="bullet"/>
      <w:lvlText w:val=""/>
      <w:lvlJc w:val="left"/>
      <w:pPr>
        <w:ind w:left="2880" w:hanging="360"/>
      </w:pPr>
      <w:rPr>
        <w:rFonts w:ascii="Symbol" w:hAnsi="Symbol" w:hint="default"/>
      </w:rPr>
    </w:lvl>
    <w:lvl w:ilvl="4" w:tplc="300A53CA">
      <w:start w:val="1"/>
      <w:numFmt w:val="bullet"/>
      <w:lvlText w:val="o"/>
      <w:lvlJc w:val="left"/>
      <w:pPr>
        <w:ind w:left="3600" w:hanging="360"/>
      </w:pPr>
      <w:rPr>
        <w:rFonts w:ascii="Courier New" w:hAnsi="Courier New" w:hint="default"/>
      </w:rPr>
    </w:lvl>
    <w:lvl w:ilvl="5" w:tplc="E6608E04">
      <w:start w:val="1"/>
      <w:numFmt w:val="bullet"/>
      <w:lvlText w:val=""/>
      <w:lvlJc w:val="left"/>
      <w:pPr>
        <w:ind w:left="4320" w:hanging="360"/>
      </w:pPr>
      <w:rPr>
        <w:rFonts w:ascii="Wingdings" w:hAnsi="Wingdings" w:hint="default"/>
      </w:rPr>
    </w:lvl>
    <w:lvl w:ilvl="6" w:tplc="B3D80ACA">
      <w:start w:val="1"/>
      <w:numFmt w:val="bullet"/>
      <w:lvlText w:val=""/>
      <w:lvlJc w:val="left"/>
      <w:pPr>
        <w:ind w:left="5040" w:hanging="360"/>
      </w:pPr>
      <w:rPr>
        <w:rFonts w:ascii="Symbol" w:hAnsi="Symbol" w:hint="default"/>
      </w:rPr>
    </w:lvl>
    <w:lvl w:ilvl="7" w:tplc="29E6DAB4">
      <w:start w:val="1"/>
      <w:numFmt w:val="bullet"/>
      <w:lvlText w:val="o"/>
      <w:lvlJc w:val="left"/>
      <w:pPr>
        <w:ind w:left="5760" w:hanging="360"/>
      </w:pPr>
      <w:rPr>
        <w:rFonts w:ascii="Courier New" w:hAnsi="Courier New" w:hint="default"/>
      </w:rPr>
    </w:lvl>
    <w:lvl w:ilvl="8" w:tplc="CBC624D6">
      <w:start w:val="1"/>
      <w:numFmt w:val="bullet"/>
      <w:lvlText w:val=""/>
      <w:lvlJc w:val="left"/>
      <w:pPr>
        <w:ind w:left="6480" w:hanging="360"/>
      </w:pPr>
      <w:rPr>
        <w:rFonts w:ascii="Wingdings" w:hAnsi="Wingdings" w:hint="default"/>
      </w:rPr>
    </w:lvl>
  </w:abstractNum>
  <w:abstractNum w:abstractNumId="1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C7A1513"/>
    <w:multiLevelType w:val="hybridMultilevel"/>
    <w:tmpl w:val="8D20802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6203079">
    <w:abstractNumId w:val="16"/>
  </w:num>
  <w:num w:numId="2" w16cid:durableId="498161826">
    <w:abstractNumId w:val="12"/>
  </w:num>
  <w:num w:numId="3" w16cid:durableId="435298618">
    <w:abstractNumId w:val="7"/>
  </w:num>
  <w:num w:numId="4" w16cid:durableId="401605320">
    <w:abstractNumId w:val="18"/>
  </w:num>
  <w:num w:numId="5" w16cid:durableId="798230846">
    <w:abstractNumId w:val="9"/>
  </w:num>
  <w:num w:numId="6" w16cid:durableId="1210074889">
    <w:abstractNumId w:val="13"/>
  </w:num>
  <w:num w:numId="7" w16cid:durableId="496506865">
    <w:abstractNumId w:val="3"/>
  </w:num>
  <w:num w:numId="8" w16cid:durableId="1421180547">
    <w:abstractNumId w:val="14"/>
  </w:num>
  <w:num w:numId="9" w16cid:durableId="1635141826">
    <w:abstractNumId w:val="19"/>
  </w:num>
  <w:num w:numId="10" w16cid:durableId="1893467139">
    <w:abstractNumId w:val="1"/>
  </w:num>
  <w:num w:numId="11" w16cid:durableId="1106510486">
    <w:abstractNumId w:val="4"/>
  </w:num>
  <w:num w:numId="12" w16cid:durableId="1866017157">
    <w:abstractNumId w:val="11"/>
  </w:num>
  <w:num w:numId="13" w16cid:durableId="768739518">
    <w:abstractNumId w:val="5"/>
  </w:num>
  <w:num w:numId="14" w16cid:durableId="702173617">
    <w:abstractNumId w:val="2"/>
  </w:num>
  <w:num w:numId="15" w16cid:durableId="74475448">
    <w:abstractNumId w:val="6"/>
  </w:num>
  <w:num w:numId="16" w16cid:durableId="1806313579">
    <w:abstractNumId w:val="0"/>
  </w:num>
  <w:num w:numId="17" w16cid:durableId="741635628">
    <w:abstractNumId w:val="10"/>
  </w:num>
  <w:num w:numId="18" w16cid:durableId="900795517">
    <w:abstractNumId w:val="8"/>
  </w:num>
  <w:num w:numId="19" w16cid:durableId="1457791387">
    <w:abstractNumId w:val="15"/>
  </w:num>
  <w:num w:numId="20" w16cid:durableId="166516007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BE" w:vendorID="64" w:dllVersion="6" w:nlCheck="1" w:checkStyle="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fr-BE" w:vendorID="64" w:dllVersion="0" w:nlCheck="1" w:checkStyle="0"/>
  <w:activeWritingStyle w:appName="MSWord" w:lang="fr-FR" w:vendorID="64" w:dllVersion="0" w:nlCheck="1" w:checkStyle="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44AD"/>
    <w:rsid w:val="000173F9"/>
    <w:rsid w:val="00017B86"/>
    <w:rsid w:val="000273F6"/>
    <w:rsid w:val="00030374"/>
    <w:rsid w:val="00032ECC"/>
    <w:rsid w:val="000412A0"/>
    <w:rsid w:val="00047DDA"/>
    <w:rsid w:val="0005455A"/>
    <w:rsid w:val="00057710"/>
    <w:rsid w:val="000577BA"/>
    <w:rsid w:val="00066952"/>
    <w:rsid w:val="00071F07"/>
    <w:rsid w:val="0007584B"/>
    <w:rsid w:val="0007759D"/>
    <w:rsid w:val="000777AB"/>
    <w:rsid w:val="00077F46"/>
    <w:rsid w:val="00085AE2"/>
    <w:rsid w:val="00090FB1"/>
    <w:rsid w:val="00096186"/>
    <w:rsid w:val="0009716A"/>
    <w:rsid w:val="000A4EDC"/>
    <w:rsid w:val="000A72E4"/>
    <w:rsid w:val="000B0E2F"/>
    <w:rsid w:val="000B2430"/>
    <w:rsid w:val="000C24F8"/>
    <w:rsid w:val="000C649E"/>
    <w:rsid w:val="000D04D6"/>
    <w:rsid w:val="000D0B30"/>
    <w:rsid w:val="000D1A6D"/>
    <w:rsid w:val="000E21F1"/>
    <w:rsid w:val="000E2F00"/>
    <w:rsid w:val="000F2AFA"/>
    <w:rsid w:val="000F4132"/>
    <w:rsid w:val="000F4AB6"/>
    <w:rsid w:val="000F703E"/>
    <w:rsid w:val="0010506C"/>
    <w:rsid w:val="00117064"/>
    <w:rsid w:val="00120E86"/>
    <w:rsid w:val="00125DE9"/>
    <w:rsid w:val="00131004"/>
    <w:rsid w:val="001332E0"/>
    <w:rsid w:val="00134DE7"/>
    <w:rsid w:val="001423AA"/>
    <w:rsid w:val="00145B40"/>
    <w:rsid w:val="00146421"/>
    <w:rsid w:val="001602E5"/>
    <w:rsid w:val="00175781"/>
    <w:rsid w:val="00177926"/>
    <w:rsid w:val="001808C0"/>
    <w:rsid w:val="00185354"/>
    <w:rsid w:val="001854DC"/>
    <w:rsid w:val="00186795"/>
    <w:rsid w:val="00194D09"/>
    <w:rsid w:val="00197603"/>
    <w:rsid w:val="001A7D5C"/>
    <w:rsid w:val="001B60AA"/>
    <w:rsid w:val="001B63C8"/>
    <w:rsid w:val="001C1972"/>
    <w:rsid w:val="001C38B5"/>
    <w:rsid w:val="001C421F"/>
    <w:rsid w:val="001D0833"/>
    <w:rsid w:val="001D0AFA"/>
    <w:rsid w:val="001D360D"/>
    <w:rsid w:val="0020432B"/>
    <w:rsid w:val="00205873"/>
    <w:rsid w:val="00206680"/>
    <w:rsid w:val="00216F53"/>
    <w:rsid w:val="00223A77"/>
    <w:rsid w:val="00236BDC"/>
    <w:rsid w:val="00253586"/>
    <w:rsid w:val="0025395A"/>
    <w:rsid w:val="00261A8D"/>
    <w:rsid w:val="00261E42"/>
    <w:rsid w:val="00267050"/>
    <w:rsid w:val="0027734D"/>
    <w:rsid w:val="00283C1C"/>
    <w:rsid w:val="00284FFD"/>
    <w:rsid w:val="00290A01"/>
    <w:rsid w:val="00291A00"/>
    <w:rsid w:val="00291A11"/>
    <w:rsid w:val="002922E6"/>
    <w:rsid w:val="002955B6"/>
    <w:rsid w:val="002A315C"/>
    <w:rsid w:val="002A3342"/>
    <w:rsid w:val="002A64BA"/>
    <w:rsid w:val="002B4989"/>
    <w:rsid w:val="002C0725"/>
    <w:rsid w:val="002C2510"/>
    <w:rsid w:val="002C3C5E"/>
    <w:rsid w:val="002D714E"/>
    <w:rsid w:val="002D72BF"/>
    <w:rsid w:val="002E1A43"/>
    <w:rsid w:val="002E53C3"/>
    <w:rsid w:val="002E6622"/>
    <w:rsid w:val="002F1468"/>
    <w:rsid w:val="002F2166"/>
    <w:rsid w:val="002F4BB7"/>
    <w:rsid w:val="002F5F0C"/>
    <w:rsid w:val="002F771F"/>
    <w:rsid w:val="0030466F"/>
    <w:rsid w:val="003049D1"/>
    <w:rsid w:val="003132EB"/>
    <w:rsid w:val="003232EC"/>
    <w:rsid w:val="00324BD0"/>
    <w:rsid w:val="00324DCE"/>
    <w:rsid w:val="003265EB"/>
    <w:rsid w:val="00334C6B"/>
    <w:rsid w:val="0034329E"/>
    <w:rsid w:val="00343FAA"/>
    <w:rsid w:val="00347DFA"/>
    <w:rsid w:val="00347F5E"/>
    <w:rsid w:val="00353C98"/>
    <w:rsid w:val="00371A20"/>
    <w:rsid w:val="003821B4"/>
    <w:rsid w:val="00382CF3"/>
    <w:rsid w:val="00385D5A"/>
    <w:rsid w:val="00387D52"/>
    <w:rsid w:val="00391D13"/>
    <w:rsid w:val="00391E35"/>
    <w:rsid w:val="003A7CEA"/>
    <w:rsid w:val="003B0E5A"/>
    <w:rsid w:val="003C0A35"/>
    <w:rsid w:val="003C0D94"/>
    <w:rsid w:val="003C23C6"/>
    <w:rsid w:val="003E1F42"/>
    <w:rsid w:val="003E2479"/>
    <w:rsid w:val="003F0BD3"/>
    <w:rsid w:val="003F278A"/>
    <w:rsid w:val="003F7A02"/>
    <w:rsid w:val="0040338A"/>
    <w:rsid w:val="004063D1"/>
    <w:rsid w:val="00422EA5"/>
    <w:rsid w:val="00422EFA"/>
    <w:rsid w:val="0042791F"/>
    <w:rsid w:val="00432F06"/>
    <w:rsid w:val="004456ED"/>
    <w:rsid w:val="00453826"/>
    <w:rsid w:val="00466115"/>
    <w:rsid w:val="0048045A"/>
    <w:rsid w:val="004841B8"/>
    <w:rsid w:val="004870AA"/>
    <w:rsid w:val="004930F2"/>
    <w:rsid w:val="004B0F1C"/>
    <w:rsid w:val="004D33A8"/>
    <w:rsid w:val="004D592A"/>
    <w:rsid w:val="004F2EE6"/>
    <w:rsid w:val="00500D8D"/>
    <w:rsid w:val="00502DBA"/>
    <w:rsid w:val="00502F08"/>
    <w:rsid w:val="005040C4"/>
    <w:rsid w:val="00507637"/>
    <w:rsid w:val="00507852"/>
    <w:rsid w:val="00514DBF"/>
    <w:rsid w:val="00535DC7"/>
    <w:rsid w:val="0053695D"/>
    <w:rsid w:val="005424F8"/>
    <w:rsid w:val="0054304F"/>
    <w:rsid w:val="00550921"/>
    <w:rsid w:val="00563712"/>
    <w:rsid w:val="00573631"/>
    <w:rsid w:val="00573690"/>
    <w:rsid w:val="00573C0B"/>
    <w:rsid w:val="00575632"/>
    <w:rsid w:val="00576CFA"/>
    <w:rsid w:val="00581919"/>
    <w:rsid w:val="0058556D"/>
    <w:rsid w:val="00586259"/>
    <w:rsid w:val="00592AF2"/>
    <w:rsid w:val="005947AD"/>
    <w:rsid w:val="00597748"/>
    <w:rsid w:val="005979E8"/>
    <w:rsid w:val="005C1D51"/>
    <w:rsid w:val="005C4F0C"/>
    <w:rsid w:val="005D0AF4"/>
    <w:rsid w:val="005E54BD"/>
    <w:rsid w:val="005E6346"/>
    <w:rsid w:val="005E6EBA"/>
    <w:rsid w:val="005F19D3"/>
    <w:rsid w:val="005F25B0"/>
    <w:rsid w:val="005F6CCA"/>
    <w:rsid w:val="006104AF"/>
    <w:rsid w:val="006114AC"/>
    <w:rsid w:val="00616A93"/>
    <w:rsid w:val="00621893"/>
    <w:rsid w:val="006351E1"/>
    <w:rsid w:val="006447B1"/>
    <w:rsid w:val="00653AF1"/>
    <w:rsid w:val="00662775"/>
    <w:rsid w:val="006852FC"/>
    <w:rsid w:val="00685626"/>
    <w:rsid w:val="006902D2"/>
    <w:rsid w:val="00690D34"/>
    <w:rsid w:val="00690F69"/>
    <w:rsid w:val="00691333"/>
    <w:rsid w:val="006B40AB"/>
    <w:rsid w:val="006B5DC5"/>
    <w:rsid w:val="006B7994"/>
    <w:rsid w:val="006B7A56"/>
    <w:rsid w:val="006C279F"/>
    <w:rsid w:val="006C371F"/>
    <w:rsid w:val="006C3A92"/>
    <w:rsid w:val="006C476F"/>
    <w:rsid w:val="006C4BFD"/>
    <w:rsid w:val="006C7D30"/>
    <w:rsid w:val="006D1D04"/>
    <w:rsid w:val="006E3C08"/>
    <w:rsid w:val="00700ACF"/>
    <w:rsid w:val="00712487"/>
    <w:rsid w:val="0071742B"/>
    <w:rsid w:val="007219A3"/>
    <w:rsid w:val="00722277"/>
    <w:rsid w:val="007530CA"/>
    <w:rsid w:val="0075412F"/>
    <w:rsid w:val="00756D68"/>
    <w:rsid w:val="007578D9"/>
    <w:rsid w:val="00757E8A"/>
    <w:rsid w:val="00763E43"/>
    <w:rsid w:val="00764EB5"/>
    <w:rsid w:val="00766E4F"/>
    <w:rsid w:val="00777A95"/>
    <w:rsid w:val="00782416"/>
    <w:rsid w:val="007A3CDF"/>
    <w:rsid w:val="007B0364"/>
    <w:rsid w:val="007D0981"/>
    <w:rsid w:val="007D1929"/>
    <w:rsid w:val="00803CF1"/>
    <w:rsid w:val="008104BB"/>
    <w:rsid w:val="00821A2C"/>
    <w:rsid w:val="0082357B"/>
    <w:rsid w:val="008249C5"/>
    <w:rsid w:val="00850274"/>
    <w:rsid w:val="008526F9"/>
    <w:rsid w:val="0085285E"/>
    <w:rsid w:val="00853023"/>
    <w:rsid w:val="008534D4"/>
    <w:rsid w:val="008649D4"/>
    <w:rsid w:val="00881E28"/>
    <w:rsid w:val="00894C4B"/>
    <w:rsid w:val="008A0479"/>
    <w:rsid w:val="008A12E3"/>
    <w:rsid w:val="008A3144"/>
    <w:rsid w:val="008A42FA"/>
    <w:rsid w:val="008B0AC7"/>
    <w:rsid w:val="008B161C"/>
    <w:rsid w:val="008C2335"/>
    <w:rsid w:val="008C4BD6"/>
    <w:rsid w:val="008C67C1"/>
    <w:rsid w:val="008D1D39"/>
    <w:rsid w:val="008D318F"/>
    <w:rsid w:val="008E02CC"/>
    <w:rsid w:val="008F07D2"/>
    <w:rsid w:val="009014BA"/>
    <w:rsid w:val="00914087"/>
    <w:rsid w:val="00917851"/>
    <w:rsid w:val="00917F65"/>
    <w:rsid w:val="009311E7"/>
    <w:rsid w:val="00935B5A"/>
    <w:rsid w:val="009402C3"/>
    <w:rsid w:val="00942694"/>
    <w:rsid w:val="0094382B"/>
    <w:rsid w:val="00946F9C"/>
    <w:rsid w:val="009512E8"/>
    <w:rsid w:val="009942E4"/>
    <w:rsid w:val="00996E4C"/>
    <w:rsid w:val="009A7E3A"/>
    <w:rsid w:val="009B1265"/>
    <w:rsid w:val="009B2B61"/>
    <w:rsid w:val="009B3A20"/>
    <w:rsid w:val="009B4A15"/>
    <w:rsid w:val="009B5693"/>
    <w:rsid w:val="009C61A2"/>
    <w:rsid w:val="009C78E4"/>
    <w:rsid w:val="009D5AA2"/>
    <w:rsid w:val="009D687E"/>
    <w:rsid w:val="009F2989"/>
    <w:rsid w:val="009F6DE7"/>
    <w:rsid w:val="00A10583"/>
    <w:rsid w:val="00A17C5D"/>
    <w:rsid w:val="00A302C3"/>
    <w:rsid w:val="00A322AD"/>
    <w:rsid w:val="00A37FCB"/>
    <w:rsid w:val="00A470C6"/>
    <w:rsid w:val="00A51D3F"/>
    <w:rsid w:val="00A54863"/>
    <w:rsid w:val="00A56726"/>
    <w:rsid w:val="00A61D74"/>
    <w:rsid w:val="00A67894"/>
    <w:rsid w:val="00A75F5C"/>
    <w:rsid w:val="00A8688B"/>
    <w:rsid w:val="00A87CE3"/>
    <w:rsid w:val="00A91163"/>
    <w:rsid w:val="00A9127F"/>
    <w:rsid w:val="00A9286F"/>
    <w:rsid w:val="00A96255"/>
    <w:rsid w:val="00A96EF0"/>
    <w:rsid w:val="00AA2F85"/>
    <w:rsid w:val="00AA4E82"/>
    <w:rsid w:val="00AB285B"/>
    <w:rsid w:val="00AC6486"/>
    <w:rsid w:val="00AD2C1D"/>
    <w:rsid w:val="00AE26BD"/>
    <w:rsid w:val="00AF5552"/>
    <w:rsid w:val="00AF5CB4"/>
    <w:rsid w:val="00AF5ED1"/>
    <w:rsid w:val="00AF71D6"/>
    <w:rsid w:val="00B074F7"/>
    <w:rsid w:val="00B20703"/>
    <w:rsid w:val="00B216EE"/>
    <w:rsid w:val="00B3175F"/>
    <w:rsid w:val="00B31E2C"/>
    <w:rsid w:val="00B329B0"/>
    <w:rsid w:val="00B402D8"/>
    <w:rsid w:val="00B4237C"/>
    <w:rsid w:val="00B42FE8"/>
    <w:rsid w:val="00B505D8"/>
    <w:rsid w:val="00B52AFD"/>
    <w:rsid w:val="00B53FF9"/>
    <w:rsid w:val="00B54077"/>
    <w:rsid w:val="00B72395"/>
    <w:rsid w:val="00B8087E"/>
    <w:rsid w:val="00B83E6A"/>
    <w:rsid w:val="00B84C58"/>
    <w:rsid w:val="00B93036"/>
    <w:rsid w:val="00B97555"/>
    <w:rsid w:val="00BA0B84"/>
    <w:rsid w:val="00BB646E"/>
    <w:rsid w:val="00BB76E0"/>
    <w:rsid w:val="00BB76E8"/>
    <w:rsid w:val="00BD1BA1"/>
    <w:rsid w:val="00BD439E"/>
    <w:rsid w:val="00BE3F03"/>
    <w:rsid w:val="00BF426C"/>
    <w:rsid w:val="00C019E5"/>
    <w:rsid w:val="00C17120"/>
    <w:rsid w:val="00C27D64"/>
    <w:rsid w:val="00C35BC4"/>
    <w:rsid w:val="00C36055"/>
    <w:rsid w:val="00C4254F"/>
    <w:rsid w:val="00C43F5B"/>
    <w:rsid w:val="00C51905"/>
    <w:rsid w:val="00C521A8"/>
    <w:rsid w:val="00C77F30"/>
    <w:rsid w:val="00C9199E"/>
    <w:rsid w:val="00CB4371"/>
    <w:rsid w:val="00CC516D"/>
    <w:rsid w:val="00CE189F"/>
    <w:rsid w:val="00D103D5"/>
    <w:rsid w:val="00D1310E"/>
    <w:rsid w:val="00D24330"/>
    <w:rsid w:val="00D263A2"/>
    <w:rsid w:val="00D35103"/>
    <w:rsid w:val="00D40056"/>
    <w:rsid w:val="00D45F76"/>
    <w:rsid w:val="00D51E7C"/>
    <w:rsid w:val="00D54F29"/>
    <w:rsid w:val="00D61447"/>
    <w:rsid w:val="00D7020C"/>
    <w:rsid w:val="00D70AD9"/>
    <w:rsid w:val="00D72152"/>
    <w:rsid w:val="00D82626"/>
    <w:rsid w:val="00D87ACA"/>
    <w:rsid w:val="00D94BA5"/>
    <w:rsid w:val="00D9510F"/>
    <w:rsid w:val="00DA615C"/>
    <w:rsid w:val="00DA6640"/>
    <w:rsid w:val="00DC3BB7"/>
    <w:rsid w:val="00DD1BC6"/>
    <w:rsid w:val="00DE3214"/>
    <w:rsid w:val="00DE37B3"/>
    <w:rsid w:val="00DE5DC3"/>
    <w:rsid w:val="00DF7877"/>
    <w:rsid w:val="00E00D8A"/>
    <w:rsid w:val="00E04910"/>
    <w:rsid w:val="00E1050F"/>
    <w:rsid w:val="00E11604"/>
    <w:rsid w:val="00E11D92"/>
    <w:rsid w:val="00E130A0"/>
    <w:rsid w:val="00E14156"/>
    <w:rsid w:val="00E210C4"/>
    <w:rsid w:val="00E216E6"/>
    <w:rsid w:val="00E23DB7"/>
    <w:rsid w:val="00E352C6"/>
    <w:rsid w:val="00E46D96"/>
    <w:rsid w:val="00E501F2"/>
    <w:rsid w:val="00E52CCA"/>
    <w:rsid w:val="00E56591"/>
    <w:rsid w:val="00E66409"/>
    <w:rsid w:val="00E710AD"/>
    <w:rsid w:val="00E81D5B"/>
    <w:rsid w:val="00E834B7"/>
    <w:rsid w:val="00E83A35"/>
    <w:rsid w:val="00E871BA"/>
    <w:rsid w:val="00E976B9"/>
    <w:rsid w:val="00EA05D3"/>
    <w:rsid w:val="00EA0D57"/>
    <w:rsid w:val="00EA72BF"/>
    <w:rsid w:val="00EB19AD"/>
    <w:rsid w:val="00EB2F31"/>
    <w:rsid w:val="00EB6493"/>
    <w:rsid w:val="00EC2915"/>
    <w:rsid w:val="00EC3B89"/>
    <w:rsid w:val="00ED041F"/>
    <w:rsid w:val="00ED05A9"/>
    <w:rsid w:val="00ED1BA0"/>
    <w:rsid w:val="00EE1382"/>
    <w:rsid w:val="00EE1A9B"/>
    <w:rsid w:val="00F016A0"/>
    <w:rsid w:val="00F0700A"/>
    <w:rsid w:val="00F078B7"/>
    <w:rsid w:val="00F11D11"/>
    <w:rsid w:val="00F17257"/>
    <w:rsid w:val="00F34D24"/>
    <w:rsid w:val="00F40D6D"/>
    <w:rsid w:val="00F4130B"/>
    <w:rsid w:val="00F44529"/>
    <w:rsid w:val="00F556A2"/>
    <w:rsid w:val="00F569D5"/>
    <w:rsid w:val="00F642C5"/>
    <w:rsid w:val="00F719A8"/>
    <w:rsid w:val="00F878B9"/>
    <w:rsid w:val="00F90048"/>
    <w:rsid w:val="00FB24E8"/>
    <w:rsid w:val="00FB3B2B"/>
    <w:rsid w:val="00FC18DA"/>
    <w:rsid w:val="00FC34D9"/>
    <w:rsid w:val="00FC3917"/>
    <w:rsid w:val="00FD28F2"/>
    <w:rsid w:val="00FD60DA"/>
    <w:rsid w:val="00FE5E6D"/>
    <w:rsid w:val="00FF07B4"/>
    <w:rsid w:val="00FF6AA4"/>
    <w:rsid w:val="00FF6E5B"/>
    <w:rsid w:val="02447F57"/>
    <w:rsid w:val="02EE326A"/>
    <w:rsid w:val="0346BCA5"/>
    <w:rsid w:val="0387EDAC"/>
    <w:rsid w:val="041BC685"/>
    <w:rsid w:val="043DCBF9"/>
    <w:rsid w:val="04482651"/>
    <w:rsid w:val="04C0E310"/>
    <w:rsid w:val="0542517B"/>
    <w:rsid w:val="057A009D"/>
    <w:rsid w:val="05E0242B"/>
    <w:rsid w:val="05FEC459"/>
    <w:rsid w:val="066E9776"/>
    <w:rsid w:val="0672EB4A"/>
    <w:rsid w:val="06A077F6"/>
    <w:rsid w:val="06E378C3"/>
    <w:rsid w:val="076A79C5"/>
    <w:rsid w:val="0793E755"/>
    <w:rsid w:val="0800AA4C"/>
    <w:rsid w:val="080B6814"/>
    <w:rsid w:val="08B9C0BB"/>
    <w:rsid w:val="09064A26"/>
    <w:rsid w:val="090EF567"/>
    <w:rsid w:val="092A37CA"/>
    <w:rsid w:val="09E86208"/>
    <w:rsid w:val="0A51EDAF"/>
    <w:rsid w:val="0ACC312E"/>
    <w:rsid w:val="0B1DAD01"/>
    <w:rsid w:val="0B426265"/>
    <w:rsid w:val="0BE34241"/>
    <w:rsid w:val="0CF0F640"/>
    <w:rsid w:val="0D2B7558"/>
    <w:rsid w:val="0DF85FD3"/>
    <w:rsid w:val="0E5091BD"/>
    <w:rsid w:val="0E563371"/>
    <w:rsid w:val="0E91E182"/>
    <w:rsid w:val="0E9A8AFA"/>
    <w:rsid w:val="0EAC85FA"/>
    <w:rsid w:val="0EFA0E2F"/>
    <w:rsid w:val="0F11C788"/>
    <w:rsid w:val="0FBB9AA4"/>
    <w:rsid w:val="0FD74CAF"/>
    <w:rsid w:val="0FDA2B28"/>
    <w:rsid w:val="0FF6271F"/>
    <w:rsid w:val="10B88413"/>
    <w:rsid w:val="10F05DAE"/>
    <w:rsid w:val="10F97F44"/>
    <w:rsid w:val="1101B369"/>
    <w:rsid w:val="1126780A"/>
    <w:rsid w:val="11342BC8"/>
    <w:rsid w:val="1143EC83"/>
    <w:rsid w:val="115C1A30"/>
    <w:rsid w:val="116869B8"/>
    <w:rsid w:val="11801323"/>
    <w:rsid w:val="118DD433"/>
    <w:rsid w:val="12382D73"/>
    <w:rsid w:val="125BC16E"/>
    <w:rsid w:val="1317986D"/>
    <w:rsid w:val="13221A19"/>
    <w:rsid w:val="13555322"/>
    <w:rsid w:val="13AE7CA3"/>
    <w:rsid w:val="13DCADA7"/>
    <w:rsid w:val="13F197FA"/>
    <w:rsid w:val="13FBB3B1"/>
    <w:rsid w:val="13FC51A4"/>
    <w:rsid w:val="147121F2"/>
    <w:rsid w:val="14B91592"/>
    <w:rsid w:val="14F0A14A"/>
    <w:rsid w:val="150F6650"/>
    <w:rsid w:val="152B14AF"/>
    <w:rsid w:val="15A28D33"/>
    <w:rsid w:val="15B1348D"/>
    <w:rsid w:val="16C46807"/>
    <w:rsid w:val="16D888A4"/>
    <w:rsid w:val="16FA63BF"/>
    <w:rsid w:val="1707B39A"/>
    <w:rsid w:val="1765AFC5"/>
    <w:rsid w:val="1780CD0A"/>
    <w:rsid w:val="17BD5271"/>
    <w:rsid w:val="18E11F5C"/>
    <w:rsid w:val="1908D11C"/>
    <w:rsid w:val="191A3C3F"/>
    <w:rsid w:val="19EF38A1"/>
    <w:rsid w:val="1A6CE41A"/>
    <w:rsid w:val="1B7A266D"/>
    <w:rsid w:val="1B8B0902"/>
    <w:rsid w:val="1C609E37"/>
    <w:rsid w:val="1C8BAD53"/>
    <w:rsid w:val="1C963882"/>
    <w:rsid w:val="1CAF71F2"/>
    <w:rsid w:val="1CDC1FFD"/>
    <w:rsid w:val="1D2D8F26"/>
    <w:rsid w:val="1DF44644"/>
    <w:rsid w:val="1E2B177C"/>
    <w:rsid w:val="1FBDCC62"/>
    <w:rsid w:val="1FD0C309"/>
    <w:rsid w:val="209D990B"/>
    <w:rsid w:val="20B09336"/>
    <w:rsid w:val="20C9D52C"/>
    <w:rsid w:val="21280BBA"/>
    <w:rsid w:val="217EF19E"/>
    <w:rsid w:val="2185ECFE"/>
    <w:rsid w:val="21D806AE"/>
    <w:rsid w:val="21D9FEEC"/>
    <w:rsid w:val="21E90FAF"/>
    <w:rsid w:val="21F25D00"/>
    <w:rsid w:val="226243DF"/>
    <w:rsid w:val="226E1195"/>
    <w:rsid w:val="22855F72"/>
    <w:rsid w:val="22955BDA"/>
    <w:rsid w:val="234C5167"/>
    <w:rsid w:val="239DEACC"/>
    <w:rsid w:val="23BC5A97"/>
    <w:rsid w:val="23D1B853"/>
    <w:rsid w:val="2405A445"/>
    <w:rsid w:val="24565F2B"/>
    <w:rsid w:val="2486BD9A"/>
    <w:rsid w:val="256D88B4"/>
    <w:rsid w:val="25C8DF16"/>
    <w:rsid w:val="25EBFDD6"/>
    <w:rsid w:val="261ED2EA"/>
    <w:rsid w:val="26A14EDD"/>
    <w:rsid w:val="26AE19BA"/>
    <w:rsid w:val="26C066B6"/>
    <w:rsid w:val="270DEEBA"/>
    <w:rsid w:val="2715C39B"/>
    <w:rsid w:val="27CDB950"/>
    <w:rsid w:val="27D44177"/>
    <w:rsid w:val="28158553"/>
    <w:rsid w:val="2831F9C7"/>
    <w:rsid w:val="283891DA"/>
    <w:rsid w:val="289C4B08"/>
    <w:rsid w:val="28CBEA4E"/>
    <w:rsid w:val="28FD0C66"/>
    <w:rsid w:val="292C14E7"/>
    <w:rsid w:val="2A71CBCE"/>
    <w:rsid w:val="2A97E12A"/>
    <w:rsid w:val="2BACD000"/>
    <w:rsid w:val="2BAD2CEA"/>
    <w:rsid w:val="2D31FA87"/>
    <w:rsid w:val="2D442B02"/>
    <w:rsid w:val="2D625CA0"/>
    <w:rsid w:val="2E31DDC4"/>
    <w:rsid w:val="2EA5ED3A"/>
    <w:rsid w:val="2F0D6F9A"/>
    <w:rsid w:val="2F2052D7"/>
    <w:rsid w:val="2F90BB88"/>
    <w:rsid w:val="30076EDB"/>
    <w:rsid w:val="306803A7"/>
    <w:rsid w:val="30AB10FB"/>
    <w:rsid w:val="30F8FB88"/>
    <w:rsid w:val="313EAE5E"/>
    <w:rsid w:val="31AC5977"/>
    <w:rsid w:val="31EA498C"/>
    <w:rsid w:val="320E80AA"/>
    <w:rsid w:val="32B15359"/>
    <w:rsid w:val="32EBE442"/>
    <w:rsid w:val="330A62F9"/>
    <w:rsid w:val="3321473A"/>
    <w:rsid w:val="334A0293"/>
    <w:rsid w:val="33887950"/>
    <w:rsid w:val="338AF6F8"/>
    <w:rsid w:val="33BBFC1C"/>
    <w:rsid w:val="33CFA780"/>
    <w:rsid w:val="33E4A55D"/>
    <w:rsid w:val="346DB0EA"/>
    <w:rsid w:val="3473DBA7"/>
    <w:rsid w:val="3488517C"/>
    <w:rsid w:val="34A6335A"/>
    <w:rsid w:val="34BD0452"/>
    <w:rsid w:val="34DF3B3F"/>
    <w:rsid w:val="353E0861"/>
    <w:rsid w:val="355DFF71"/>
    <w:rsid w:val="356388C1"/>
    <w:rsid w:val="3572F786"/>
    <w:rsid w:val="3577B275"/>
    <w:rsid w:val="35C8D227"/>
    <w:rsid w:val="35DD8C86"/>
    <w:rsid w:val="361B7E65"/>
    <w:rsid w:val="36300FAE"/>
    <w:rsid w:val="363385C4"/>
    <w:rsid w:val="3639E45F"/>
    <w:rsid w:val="364331B0"/>
    <w:rsid w:val="364B1F36"/>
    <w:rsid w:val="36864261"/>
    <w:rsid w:val="36EB0D48"/>
    <w:rsid w:val="37012A22"/>
    <w:rsid w:val="370B637A"/>
    <w:rsid w:val="372A1144"/>
    <w:rsid w:val="372FC6CE"/>
    <w:rsid w:val="377EDDFB"/>
    <w:rsid w:val="380640CE"/>
    <w:rsid w:val="381D0C10"/>
    <w:rsid w:val="386E5469"/>
    <w:rsid w:val="38BD8DDB"/>
    <w:rsid w:val="38C0456E"/>
    <w:rsid w:val="3927883E"/>
    <w:rsid w:val="3A2B3DA0"/>
    <w:rsid w:val="3A3D045C"/>
    <w:rsid w:val="3A6F8D17"/>
    <w:rsid w:val="3A7DE296"/>
    <w:rsid w:val="3AB330A1"/>
    <w:rsid w:val="3B8E4EFC"/>
    <w:rsid w:val="3B9A830E"/>
    <w:rsid w:val="3BA5560E"/>
    <w:rsid w:val="3BD6ED92"/>
    <w:rsid w:val="3BE8E19F"/>
    <w:rsid w:val="3C93136C"/>
    <w:rsid w:val="3C9DACDC"/>
    <w:rsid w:val="3CB61D1F"/>
    <w:rsid w:val="3CC966B3"/>
    <w:rsid w:val="3CFD2C9A"/>
    <w:rsid w:val="3D39C6C4"/>
    <w:rsid w:val="3D7D8EC3"/>
    <w:rsid w:val="3E1B415D"/>
    <w:rsid w:val="3EC89B45"/>
    <w:rsid w:val="3F2E9DF6"/>
    <w:rsid w:val="3F38FC20"/>
    <w:rsid w:val="3F739D6E"/>
    <w:rsid w:val="3F8085FB"/>
    <w:rsid w:val="3FE3BF46"/>
    <w:rsid w:val="40431B59"/>
    <w:rsid w:val="404B7F34"/>
    <w:rsid w:val="40A44BB6"/>
    <w:rsid w:val="40AC45E0"/>
    <w:rsid w:val="418EFFD2"/>
    <w:rsid w:val="41AFD119"/>
    <w:rsid w:val="41BD6590"/>
    <w:rsid w:val="426DCFC3"/>
    <w:rsid w:val="42996C7F"/>
    <w:rsid w:val="42B357AF"/>
    <w:rsid w:val="42E7F59E"/>
    <w:rsid w:val="42F4CFCB"/>
    <w:rsid w:val="4301B4D1"/>
    <w:rsid w:val="43126787"/>
    <w:rsid w:val="43190977"/>
    <w:rsid w:val="4383A67B"/>
    <w:rsid w:val="44043CD4"/>
    <w:rsid w:val="4417E74B"/>
    <w:rsid w:val="444F2810"/>
    <w:rsid w:val="449B0F6B"/>
    <w:rsid w:val="44BD8519"/>
    <w:rsid w:val="44DED940"/>
    <w:rsid w:val="4510F9C2"/>
    <w:rsid w:val="457797A7"/>
    <w:rsid w:val="46067A6A"/>
    <w:rsid w:val="4627929B"/>
    <w:rsid w:val="471D6A72"/>
    <w:rsid w:val="471EF9A6"/>
    <w:rsid w:val="4758DB5D"/>
    <w:rsid w:val="475E5344"/>
    <w:rsid w:val="478508E5"/>
    <w:rsid w:val="47CE0618"/>
    <w:rsid w:val="47ED996B"/>
    <w:rsid w:val="481367AB"/>
    <w:rsid w:val="4834F987"/>
    <w:rsid w:val="483DC545"/>
    <w:rsid w:val="48C96D26"/>
    <w:rsid w:val="48CE927C"/>
    <w:rsid w:val="48D1847A"/>
    <w:rsid w:val="490EBD42"/>
    <w:rsid w:val="491A79D7"/>
    <w:rsid w:val="493E0562"/>
    <w:rsid w:val="495628F5"/>
    <w:rsid w:val="4987A8EB"/>
    <w:rsid w:val="4A305EE4"/>
    <w:rsid w:val="4A56DC34"/>
    <w:rsid w:val="4A5C0694"/>
    <w:rsid w:val="4A6A62DD"/>
    <w:rsid w:val="4AF3459C"/>
    <w:rsid w:val="4B15979F"/>
    <w:rsid w:val="4B6068E6"/>
    <w:rsid w:val="4BAA3F01"/>
    <w:rsid w:val="4BBB4802"/>
    <w:rsid w:val="4BC5FC43"/>
    <w:rsid w:val="4BDE29E0"/>
    <w:rsid w:val="4BF2C51B"/>
    <w:rsid w:val="4C3A5A7F"/>
    <w:rsid w:val="4C6BE506"/>
    <w:rsid w:val="4C6DDFE5"/>
    <w:rsid w:val="4C9D0C50"/>
    <w:rsid w:val="4CA92329"/>
    <w:rsid w:val="4CAF3CCB"/>
    <w:rsid w:val="4CD9A441"/>
    <w:rsid w:val="4D044717"/>
    <w:rsid w:val="4D36C231"/>
    <w:rsid w:val="4D5A9DAA"/>
    <w:rsid w:val="4D661200"/>
    <w:rsid w:val="4D85E7FE"/>
    <w:rsid w:val="4DE89ACE"/>
    <w:rsid w:val="4E175DC9"/>
    <w:rsid w:val="4E297EDF"/>
    <w:rsid w:val="4E716D1E"/>
    <w:rsid w:val="4E730749"/>
    <w:rsid w:val="4E9E304D"/>
    <w:rsid w:val="4F30E6FE"/>
    <w:rsid w:val="4F8DCB71"/>
    <w:rsid w:val="4FBE67FF"/>
    <w:rsid w:val="5002F717"/>
    <w:rsid w:val="500F1494"/>
    <w:rsid w:val="505ECABC"/>
    <w:rsid w:val="51D5295D"/>
    <w:rsid w:val="51E76DC5"/>
    <w:rsid w:val="5243E3B9"/>
    <w:rsid w:val="527574C2"/>
    <w:rsid w:val="52EBBF51"/>
    <w:rsid w:val="5317507A"/>
    <w:rsid w:val="532FEAEA"/>
    <w:rsid w:val="53614A2F"/>
    <w:rsid w:val="54BEC177"/>
    <w:rsid w:val="54D9458B"/>
    <w:rsid w:val="54F068D7"/>
    <w:rsid w:val="54F6ABCD"/>
    <w:rsid w:val="5569E63D"/>
    <w:rsid w:val="55B630FF"/>
    <w:rsid w:val="55E9AFAE"/>
    <w:rsid w:val="560B8CD8"/>
    <w:rsid w:val="56C8E57E"/>
    <w:rsid w:val="56DAC12D"/>
    <w:rsid w:val="56F2DCF9"/>
    <w:rsid w:val="570F3580"/>
    <w:rsid w:val="57616E77"/>
    <w:rsid w:val="578BB197"/>
    <w:rsid w:val="57A1CA82"/>
    <w:rsid w:val="57B7AE57"/>
    <w:rsid w:val="584DE3AF"/>
    <w:rsid w:val="58E68DC1"/>
    <w:rsid w:val="58F66157"/>
    <w:rsid w:val="59177544"/>
    <w:rsid w:val="59328B47"/>
    <w:rsid w:val="594248B2"/>
    <w:rsid w:val="5955653E"/>
    <w:rsid w:val="597E72A2"/>
    <w:rsid w:val="59CF151E"/>
    <w:rsid w:val="5A6FF45B"/>
    <w:rsid w:val="5ACE5BA8"/>
    <w:rsid w:val="5B162631"/>
    <w:rsid w:val="5B4AD7ED"/>
    <w:rsid w:val="5B77F812"/>
    <w:rsid w:val="5B8C541A"/>
    <w:rsid w:val="5C3FC8D5"/>
    <w:rsid w:val="5C9BBD12"/>
    <w:rsid w:val="5CF4AC47"/>
    <w:rsid w:val="5D0E4851"/>
    <w:rsid w:val="5D2282C7"/>
    <w:rsid w:val="5D44C69F"/>
    <w:rsid w:val="5D4A7DDF"/>
    <w:rsid w:val="5D51F037"/>
    <w:rsid w:val="5DDB9936"/>
    <w:rsid w:val="5E58D7AD"/>
    <w:rsid w:val="5E7B8748"/>
    <w:rsid w:val="5E90D03C"/>
    <w:rsid w:val="5F2F17D4"/>
    <w:rsid w:val="5F3D6CB8"/>
    <w:rsid w:val="5F408686"/>
    <w:rsid w:val="5F776997"/>
    <w:rsid w:val="5F7E5AD1"/>
    <w:rsid w:val="5F7F8EC3"/>
    <w:rsid w:val="5FBB9EB8"/>
    <w:rsid w:val="600BB80B"/>
    <w:rsid w:val="604C887B"/>
    <w:rsid w:val="606A306B"/>
    <w:rsid w:val="607FC392"/>
    <w:rsid w:val="6080539F"/>
    <w:rsid w:val="60E7A8CF"/>
    <w:rsid w:val="6113DE05"/>
    <w:rsid w:val="617D3EBD"/>
    <w:rsid w:val="619D6BBA"/>
    <w:rsid w:val="627904B3"/>
    <w:rsid w:val="62952441"/>
    <w:rsid w:val="62C04530"/>
    <w:rsid w:val="62CBB941"/>
    <w:rsid w:val="62FD1823"/>
    <w:rsid w:val="63F6D403"/>
    <w:rsid w:val="6433745A"/>
    <w:rsid w:val="643B3BEF"/>
    <w:rsid w:val="645F6EF1"/>
    <w:rsid w:val="6494A914"/>
    <w:rsid w:val="64ECABDA"/>
    <w:rsid w:val="6514A361"/>
    <w:rsid w:val="6522EAC8"/>
    <w:rsid w:val="653DA18E"/>
    <w:rsid w:val="655F25B5"/>
    <w:rsid w:val="659E77CE"/>
    <w:rsid w:val="65A53358"/>
    <w:rsid w:val="662C8183"/>
    <w:rsid w:val="663983DD"/>
    <w:rsid w:val="6643CD4D"/>
    <w:rsid w:val="667FBA43"/>
    <w:rsid w:val="66C04992"/>
    <w:rsid w:val="66D34AD1"/>
    <w:rsid w:val="670BF35B"/>
    <w:rsid w:val="671BC7BF"/>
    <w:rsid w:val="6725594A"/>
    <w:rsid w:val="672FCB4F"/>
    <w:rsid w:val="67663367"/>
    <w:rsid w:val="6791C0C7"/>
    <w:rsid w:val="67BD893A"/>
    <w:rsid w:val="67C2C9B4"/>
    <w:rsid w:val="67C543AF"/>
    <w:rsid w:val="68261D9C"/>
    <w:rsid w:val="6851A796"/>
    <w:rsid w:val="688F98A2"/>
    <w:rsid w:val="6894A2DE"/>
    <w:rsid w:val="6934AEBC"/>
    <w:rsid w:val="6980784B"/>
    <w:rsid w:val="6994966C"/>
    <w:rsid w:val="69C62775"/>
    <w:rsid w:val="69DE9021"/>
    <w:rsid w:val="6A22B888"/>
    <w:rsid w:val="6A562F7E"/>
    <w:rsid w:val="6A6D435C"/>
    <w:rsid w:val="6A87D812"/>
    <w:rsid w:val="6A9FC5EC"/>
    <w:rsid w:val="6AB8FE39"/>
    <w:rsid w:val="6B1C48AC"/>
    <w:rsid w:val="6B1F61E3"/>
    <w:rsid w:val="6B7A6082"/>
    <w:rsid w:val="6B7C4E28"/>
    <w:rsid w:val="6B8B78E2"/>
    <w:rsid w:val="6BB363A0"/>
    <w:rsid w:val="6BBD39C0"/>
    <w:rsid w:val="6BC647DD"/>
    <w:rsid w:val="6BD6F6CF"/>
    <w:rsid w:val="6C83719C"/>
    <w:rsid w:val="6C9D71DF"/>
    <w:rsid w:val="6CA0A605"/>
    <w:rsid w:val="6CA9C180"/>
    <w:rsid w:val="6CFDC837"/>
    <w:rsid w:val="6D1630E3"/>
    <w:rsid w:val="6D817BF7"/>
    <w:rsid w:val="6D83F8EF"/>
    <w:rsid w:val="6D8C7B72"/>
    <w:rsid w:val="6DE99DA4"/>
    <w:rsid w:val="6E121332"/>
    <w:rsid w:val="6E898BB6"/>
    <w:rsid w:val="6E907D1D"/>
    <w:rsid w:val="6F03E462"/>
    <w:rsid w:val="6F04B848"/>
    <w:rsid w:val="6F94BB36"/>
    <w:rsid w:val="705934D5"/>
    <w:rsid w:val="70B21126"/>
    <w:rsid w:val="70BD8538"/>
    <w:rsid w:val="70DF8CFF"/>
    <w:rsid w:val="714688A9"/>
    <w:rsid w:val="71895EEC"/>
    <w:rsid w:val="724EB1BE"/>
    <w:rsid w:val="7299C92C"/>
    <w:rsid w:val="72C2C735"/>
    <w:rsid w:val="73190304"/>
    <w:rsid w:val="7372F2D1"/>
    <w:rsid w:val="737E4492"/>
    <w:rsid w:val="738E01FD"/>
    <w:rsid w:val="7390D597"/>
    <w:rsid w:val="739FC8B9"/>
    <w:rsid w:val="73A83F25"/>
    <w:rsid w:val="73B8F116"/>
    <w:rsid w:val="73B9EAF4"/>
    <w:rsid w:val="73DE3FCB"/>
    <w:rsid w:val="74489539"/>
    <w:rsid w:val="74C9AA6D"/>
    <w:rsid w:val="750D1B65"/>
    <w:rsid w:val="750FCA9C"/>
    <w:rsid w:val="754600DA"/>
    <w:rsid w:val="757D3705"/>
    <w:rsid w:val="761D2517"/>
    <w:rsid w:val="76753EFF"/>
    <w:rsid w:val="777E48F4"/>
    <w:rsid w:val="779DDBF1"/>
    <w:rsid w:val="77A08CCC"/>
    <w:rsid w:val="77A5C8DE"/>
    <w:rsid w:val="77E1B731"/>
    <w:rsid w:val="783936DE"/>
    <w:rsid w:val="7878BE4B"/>
    <w:rsid w:val="789293EF"/>
    <w:rsid w:val="78B4D7C7"/>
    <w:rsid w:val="79050913"/>
    <w:rsid w:val="791A1955"/>
    <w:rsid w:val="7929B0F3"/>
    <w:rsid w:val="79428EE3"/>
    <w:rsid w:val="796F1C2B"/>
    <w:rsid w:val="7A83437F"/>
    <w:rsid w:val="7A8C39C6"/>
    <w:rsid w:val="7A946870"/>
    <w:rsid w:val="7AA3B283"/>
    <w:rsid w:val="7AB56147"/>
    <w:rsid w:val="7B33621A"/>
    <w:rsid w:val="7B66E0C9"/>
    <w:rsid w:val="7B9158B2"/>
    <w:rsid w:val="7BBAE811"/>
    <w:rsid w:val="7BC402FB"/>
    <w:rsid w:val="7BE3293B"/>
    <w:rsid w:val="7C475625"/>
    <w:rsid w:val="7CDF59C1"/>
    <w:rsid w:val="7D207D26"/>
    <w:rsid w:val="7D6F1B42"/>
    <w:rsid w:val="7D8976DF"/>
    <w:rsid w:val="7D99B86D"/>
    <w:rsid w:val="7DB15BB6"/>
    <w:rsid w:val="7E4A7AD4"/>
    <w:rsid w:val="7E956610"/>
    <w:rsid w:val="7F0373A2"/>
    <w:rsid w:val="7F4DBCCE"/>
    <w:rsid w:val="7FDE5DAF"/>
    <w:rsid w:val="7FEDAAE0"/>
    <w:rsid w:val="7FF00BA3"/>
    <w:rsid w:val="7FFEB3E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1DB0529E-41BB-47C3-8C48-1E6DD4B1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aliases w:val="Titulo 4"/>
    <w:basedOn w:val="Normal"/>
    <w:link w:val="ListParagraphChar"/>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Mencinsinresolver1">
    <w:name w:val="Mención sin resolver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table" w:styleId="PlainTable4">
    <w:name w:val="Plain Table 4"/>
    <w:basedOn w:val="TableNormal"/>
    <w:uiPriority w:val="44"/>
    <w:rsid w:val="005F19D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ListParagraphChar">
    <w:name w:val="List Paragraph Char"/>
    <w:aliases w:val="Titulo 4 Char"/>
    <w:link w:val="ListParagraph"/>
    <w:uiPriority w:val="34"/>
    <w:locked/>
    <w:rsid w:val="004063D1"/>
  </w:style>
  <w:style w:type="paragraph" w:styleId="BodyText">
    <w:name w:val="Body Text"/>
    <w:basedOn w:val="Normal"/>
    <w:link w:val="BodyTextChar"/>
    <w:uiPriority w:val="1"/>
    <w:qFormat/>
    <w:rsid w:val="004063D1"/>
    <w:pPr>
      <w:widowControl w:val="0"/>
      <w:autoSpaceDE w:val="0"/>
      <w:autoSpaceDN w:val="0"/>
      <w:adjustRightInd w:val="0"/>
      <w:spacing w:before="64" w:after="0" w:line="240" w:lineRule="auto"/>
      <w:ind w:left="845"/>
    </w:pPr>
    <w:rPr>
      <w:rFonts w:ascii="Arial" w:hAnsi="Arial" w:cs="Arial"/>
      <w:sz w:val="19"/>
      <w:szCs w:val="19"/>
      <w:lang w:eastAsia="en-GB"/>
    </w:rPr>
  </w:style>
  <w:style w:type="character" w:customStyle="1" w:styleId="BodyTextChar">
    <w:name w:val="Body Text Char"/>
    <w:basedOn w:val="DefaultParagraphFont"/>
    <w:link w:val="BodyText"/>
    <w:uiPriority w:val="1"/>
    <w:rsid w:val="004063D1"/>
    <w:rPr>
      <w:rFonts w:ascii="Arial" w:hAnsi="Arial" w:cs="Arial"/>
      <w:sz w:val="19"/>
      <w:szCs w:val="19"/>
      <w:lang w:eastAsia="en-GB"/>
    </w:rPr>
  </w:style>
  <w:style w:type="character" w:styleId="FootnoteReference">
    <w:name w:val="footnote reference"/>
    <w:aliases w:val="ftref,16 Point,Superscript 6 Point,Footnote Reference Number,Ref,de nota al pie,BVI fnr,Superscript 10 Point,Footnote symbol,Footnotes refss"/>
    <w:basedOn w:val="DefaultParagraphFont"/>
    <w:uiPriority w:val="99"/>
    <w:rsid w:val="00223A77"/>
    <w:rPr>
      <w:vertAlign w:val="superscript"/>
    </w:rPr>
  </w:style>
  <w:style w:type="character" w:styleId="FollowedHyperlink">
    <w:name w:val="FollowedHyperlink"/>
    <w:basedOn w:val="DefaultParagraphFont"/>
    <w:uiPriority w:val="99"/>
    <w:semiHidden/>
    <w:unhideWhenUsed/>
    <w:rsid w:val="00D87ACA"/>
    <w:rPr>
      <w:color w:val="800080" w:themeColor="followedHyperlink"/>
      <w:u w:val="single"/>
    </w:rPr>
  </w:style>
  <w:style w:type="character" w:customStyle="1" w:styleId="UnresolvedMention1">
    <w:name w:val="Unresolved Mention1"/>
    <w:basedOn w:val="DefaultParagraphFont"/>
    <w:uiPriority w:val="99"/>
    <w:semiHidden/>
    <w:unhideWhenUsed/>
    <w:rsid w:val="00261E42"/>
    <w:rPr>
      <w:color w:val="605E5C"/>
      <w:shd w:val="clear" w:color="auto" w:fill="E1DFDD"/>
    </w:rPr>
  </w:style>
  <w:style w:type="paragraph" w:styleId="Revision">
    <w:name w:val="Revision"/>
    <w:hidden/>
    <w:uiPriority w:val="99"/>
    <w:semiHidden/>
    <w:rsid w:val="00AA2F85"/>
    <w:pPr>
      <w:spacing w:after="0" w:line="240" w:lineRule="auto"/>
    </w:pPr>
  </w:style>
  <w:style w:type="character" w:customStyle="1" w:styleId="UnresolvedMention2">
    <w:name w:val="Unresolved Mention2"/>
    <w:basedOn w:val="DefaultParagraphFont"/>
    <w:uiPriority w:val="99"/>
    <w:semiHidden/>
    <w:unhideWhenUsed/>
    <w:rsid w:val="00AD2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24284">
      <w:bodyDiv w:val="1"/>
      <w:marLeft w:val="0"/>
      <w:marRight w:val="0"/>
      <w:marTop w:val="0"/>
      <w:marBottom w:val="0"/>
      <w:divBdr>
        <w:top w:val="none" w:sz="0" w:space="0" w:color="auto"/>
        <w:left w:val="none" w:sz="0" w:space="0" w:color="auto"/>
        <w:bottom w:val="none" w:sz="0" w:space="0" w:color="auto"/>
        <w:right w:val="none" w:sz="0" w:space="0" w:color="auto"/>
      </w:divBdr>
    </w:div>
    <w:div w:id="575746011">
      <w:bodyDiv w:val="1"/>
      <w:marLeft w:val="0"/>
      <w:marRight w:val="0"/>
      <w:marTop w:val="0"/>
      <w:marBottom w:val="0"/>
      <w:divBdr>
        <w:top w:val="none" w:sz="0" w:space="0" w:color="auto"/>
        <w:left w:val="none" w:sz="0" w:space="0" w:color="auto"/>
        <w:bottom w:val="none" w:sz="0" w:space="0" w:color="auto"/>
        <w:right w:val="none" w:sz="0" w:space="0" w:color="auto"/>
      </w:divBdr>
    </w:div>
    <w:div w:id="827138891">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48811566">
      <w:bodyDiv w:val="1"/>
      <w:marLeft w:val="0"/>
      <w:marRight w:val="0"/>
      <w:marTop w:val="0"/>
      <w:marBottom w:val="0"/>
      <w:divBdr>
        <w:top w:val="none" w:sz="0" w:space="0" w:color="auto"/>
        <w:left w:val="none" w:sz="0" w:space="0" w:color="auto"/>
        <w:bottom w:val="none" w:sz="0" w:space="0" w:color="auto"/>
        <w:right w:val="none" w:sz="0" w:space="0" w:color="auto"/>
      </w:divBdr>
    </w:div>
    <w:div w:id="1348412434">
      <w:bodyDiv w:val="1"/>
      <w:marLeft w:val="0"/>
      <w:marRight w:val="0"/>
      <w:marTop w:val="0"/>
      <w:marBottom w:val="0"/>
      <w:divBdr>
        <w:top w:val="none" w:sz="0" w:space="0" w:color="auto"/>
        <w:left w:val="none" w:sz="0" w:space="0" w:color="auto"/>
        <w:bottom w:val="none" w:sz="0" w:space="0" w:color="auto"/>
        <w:right w:val="none" w:sz="0" w:space="0" w:color="auto"/>
      </w:divBdr>
    </w:div>
    <w:div w:id="1534001249">
      <w:bodyDiv w:val="1"/>
      <w:marLeft w:val="0"/>
      <w:marRight w:val="0"/>
      <w:marTop w:val="0"/>
      <w:marBottom w:val="0"/>
      <w:divBdr>
        <w:top w:val="none" w:sz="0" w:space="0" w:color="auto"/>
        <w:left w:val="none" w:sz="0" w:space="0" w:color="auto"/>
        <w:bottom w:val="none" w:sz="0" w:space="0" w:color="auto"/>
        <w:right w:val="none" w:sz="0" w:space="0" w:color="auto"/>
      </w:divBdr>
    </w:div>
    <w:div w:id="1837843854">
      <w:bodyDiv w:val="1"/>
      <w:marLeft w:val="0"/>
      <w:marRight w:val="0"/>
      <w:marTop w:val="0"/>
      <w:marBottom w:val="0"/>
      <w:divBdr>
        <w:top w:val="none" w:sz="0" w:space="0" w:color="auto"/>
        <w:left w:val="none" w:sz="0" w:space="0" w:color="auto"/>
        <w:bottom w:val="none" w:sz="0" w:space="0" w:color="auto"/>
        <w:right w:val="none" w:sz="0" w:space="0" w:color="auto"/>
      </w:divBdr>
      <w:divsChild>
        <w:div w:id="481583010">
          <w:marLeft w:val="0"/>
          <w:marRight w:val="0"/>
          <w:marTop w:val="0"/>
          <w:marBottom w:val="0"/>
          <w:divBdr>
            <w:top w:val="none" w:sz="0" w:space="0" w:color="auto"/>
            <w:left w:val="none" w:sz="0" w:space="0" w:color="auto"/>
            <w:bottom w:val="none" w:sz="0" w:space="0" w:color="auto"/>
            <w:right w:val="none" w:sz="0" w:space="0" w:color="auto"/>
          </w:divBdr>
        </w:div>
        <w:div w:id="1741173970">
          <w:marLeft w:val="0"/>
          <w:marRight w:val="0"/>
          <w:marTop w:val="0"/>
          <w:marBottom w:val="0"/>
          <w:divBdr>
            <w:top w:val="none" w:sz="0" w:space="0" w:color="auto"/>
            <w:left w:val="none" w:sz="0" w:space="0" w:color="auto"/>
            <w:bottom w:val="none" w:sz="0" w:space="0" w:color="auto"/>
            <w:right w:val="none" w:sz="0" w:space="0" w:color="auto"/>
          </w:divBdr>
        </w:div>
      </w:divsChild>
    </w:div>
    <w:div w:id="210549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ao.org/nr/water/aquastat/sets/aq-5yr-quest_eng.xls" TargetMode="External"/><Relationship Id="rId18" Type="http://schemas.openxmlformats.org/officeDocument/2006/relationships/hyperlink" Target="http://www.fao.org/nr/water/aquastat/sets/aq-5yr-quest_eng.xls" TargetMode="External"/><Relationship Id="rId26" Type="http://schemas.openxmlformats.org/officeDocument/2006/relationships/hyperlink" Target="http://www.fao.org/aquastat/en/overview/methodology/water-resources/" TargetMode="External"/><Relationship Id="rId39" Type="http://schemas.openxmlformats.org/officeDocument/2006/relationships/hyperlink" Target="https://elearning.fao.org/course/view.php?id=475" TargetMode="External"/><Relationship Id="rId3" Type="http://schemas.openxmlformats.org/officeDocument/2006/relationships/customXml" Target="../customXml/item3.xml"/><Relationship Id="rId21" Type="http://schemas.openxmlformats.org/officeDocument/2006/relationships/hyperlink" Target="http://www.fao.org/sustainable-development-goals/indicators/641/en/" TargetMode="External"/><Relationship Id="rId34" Type="http://schemas.openxmlformats.org/officeDocument/2006/relationships/hyperlink" Target="https://seea.un.org/sites/seea.un.org/files/seeawaterwebversion_final_en.pdf" TargetMode="External"/><Relationship Id="rId42"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www.fao.org/aquastat/en/overview/methodology/water-use/" TargetMode="External"/><Relationship Id="rId33" Type="http://schemas.openxmlformats.org/officeDocument/2006/relationships/hyperlink" Target="http://www.oecd-ilibrary.org/economics/data/oecd-national-accounts-statistics_na-data-en" TargetMode="External"/><Relationship Id="rId38" Type="http://schemas.openxmlformats.org/officeDocument/2006/relationships/hyperlink" Target="https://unstats.un.org/unsd/classifications/Econ/Download/In%20Text/CPCprov_english.pdf" TargetMode="External"/><Relationship Id="rId2" Type="http://schemas.openxmlformats.org/officeDocument/2006/relationships/customXml" Target="../customXml/item2.xml"/><Relationship Id="rId16" Type="http://schemas.openxmlformats.org/officeDocument/2006/relationships/hyperlink" Target="http://www.fao.org/nr/water/aquastat/sets/aq-5yr-quest_eng.xls" TargetMode="External"/><Relationship Id="rId20" Type="http://schemas.openxmlformats.org/officeDocument/2006/relationships/hyperlink" Target="http://www.fao.org/aquastat/en/databases/maindatabase/metadata/" TargetMode="External"/><Relationship Id="rId29" Type="http://schemas.openxmlformats.org/officeDocument/2006/relationships/hyperlink" Target="https://sws-methodology.github.io/faoswsAquastat/index.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fao.org/aquastat/statistics/query/index.html" TargetMode="External"/><Relationship Id="rId32" Type="http://schemas.openxmlformats.org/officeDocument/2006/relationships/hyperlink" Target="http://ec.europa.eu/eurostat/web/environment/water" TargetMode="External"/><Relationship Id="rId37" Type="http://schemas.openxmlformats.org/officeDocument/2006/relationships/hyperlink" Target="http://databank.worldbank.org/data/home.aspx"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www.fao.org/aquastat/en/databases/glossary/" TargetMode="External"/><Relationship Id="rId28" Type="http://schemas.openxmlformats.org/officeDocument/2006/relationships/hyperlink" Target="https://www.fao.org/aquastat/en/overview/methodology" TargetMode="External"/><Relationship Id="rId36" Type="http://schemas.openxmlformats.org/officeDocument/2006/relationships/hyperlink" Target="http://unstats.un.org/unsd/snaama/selbasicFast.asp" TargetMode="Externa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unstats.un.org/unsd/publication/seriesM/seriesm_91e.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fao.org/docrep/019/i3664e/i3664e.pdf" TargetMode="External"/><Relationship Id="rId27" Type="http://schemas.openxmlformats.org/officeDocument/2006/relationships/hyperlink" Target="http://www.fao.org/aquastat/en/resources/" TargetMode="External"/><Relationship Id="rId30" Type="http://schemas.openxmlformats.org/officeDocument/2006/relationships/hyperlink" Target="http://unstats.un.org/unsd/environment/FDES/FDES-2015-supporting-tools/FDES.pdf" TargetMode="External"/><Relationship Id="rId35" Type="http://schemas.openxmlformats.org/officeDocument/2006/relationships/hyperlink" Target="https://seea.un.org/sites/seea.un.org/files/seea_cf_final_en.pdf" TargetMode="Externa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F01DF5FF-16B8-40AF-B041-EBCA20DDA6E5}"/>
      </w:docPartPr>
      <w:docPartBody>
        <w:p w:rsidR="00EB79D4" w:rsidRDefault="00E84ED8">
          <w:r w:rsidRPr="00BE2328">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ED8"/>
    <w:rsid w:val="00CC3085"/>
    <w:rsid w:val="00D42F27"/>
    <w:rsid w:val="00E84ED8"/>
    <w:rsid w:val="00EB79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4ED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8" ma:contentTypeDescription="Create a new document." ma:contentTypeScope="" ma:versionID="5b5d640fedaaa6e4137951ecd60b6652">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cc6e3c2fa769c5d9e7fd25ad599d334f"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d114b01d-ae01-4749-b845-9d88e7ef5c0e" xsi:nil="true"/>
  </documentManagement>
</p:properties>
</file>

<file path=customXml/itemProps1.xml><?xml version="1.0" encoding="utf-8"?>
<ds:datastoreItem xmlns:ds="http://schemas.openxmlformats.org/officeDocument/2006/customXml" ds:itemID="{40C740C6-F2C6-444C-A31A-D4686F787A13}">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A8AAB51C-0F2D-4FC5-BF33-547A5CD95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 ds:uri="d114b01d-ae01-4749-b845-9d88e7ef5c0e"/>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4302</Words>
  <Characters>24526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Kebebush Welkema</dc:creator>
  <cp:keywords/>
  <cp:lastModifiedBy>Kebebush Welkema</cp:lastModifiedBy>
  <cp:revision>5</cp:revision>
  <cp:lastPrinted>2016-07-16T23:25:00Z</cp:lastPrinted>
  <dcterms:created xsi:type="dcterms:W3CDTF">2024-05-29T15:33:00Z</dcterms:created>
  <dcterms:modified xsi:type="dcterms:W3CDTF">2024-07-25T21:22:00Z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