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2F01CE1" w14:textId="77777777" w:rsidR="00943C3A" w:rsidRPr="00375232" w:rsidRDefault="00943C3A" w:rsidP="00943C3A">
      <w:pPr>
        <w:shd w:val="clear" w:color="auto" w:fill="F5F5F5"/>
        <w:spacing w:after="0"/>
        <w:contextualSpacing/>
        <w:outlineLvl w:val="4"/>
        <w:rPr>
          <w:rFonts w:eastAsia="Times New Roman" w:cs="Times New Roman"/>
          <w:color w:val="333333"/>
          <w:sz w:val="21"/>
          <w:szCs w:val="21"/>
          <w:lang w:eastAsia="en-GB"/>
        </w:rPr>
      </w:pPr>
      <w:r w:rsidRPr="00375232">
        <w:rPr>
          <w:rFonts w:eastAsia="Times New Roman" w:cs="Times New Roman"/>
          <w:color w:val="333333"/>
          <w:sz w:val="21"/>
          <w:szCs w:val="21"/>
          <w:lang w:eastAsia="en-GB"/>
        </w:rPr>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3B0102E" w14:textId="13D326A0" w:rsidR="00943C3A" w:rsidRPr="00943C3A" w:rsidRDefault="00943C3A" w:rsidP="00943C3A">
      <w:pPr>
        <w:shd w:val="clear" w:color="auto" w:fill="F5F5F5"/>
        <w:spacing w:after="0"/>
        <w:contextualSpacing/>
        <w:outlineLvl w:val="4"/>
        <w:rPr>
          <w:rFonts w:eastAsia="Times New Roman" w:cs="Times New Roman"/>
          <w:color w:val="333333"/>
          <w:sz w:val="21"/>
          <w:szCs w:val="21"/>
          <w:lang w:eastAsia="en-GB"/>
        </w:rPr>
      </w:pPr>
      <w:r w:rsidRPr="00375232">
        <w:rPr>
          <w:rFonts w:eastAsia="Times New Roman" w:cs="Times New Roman"/>
          <w:color w:val="333333"/>
          <w:sz w:val="21"/>
          <w:szCs w:val="21"/>
          <w:lang w:eastAsia="en-GB"/>
        </w:rPr>
        <w:t>Target 6.4: By 2030, substantially increase water-use efficiency across all sectors and ensure sustainable withdrawals and supply of freshwater to address water scarcity and substantially reduce the number of people suffering from water scarcity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BA9B15" w14:textId="157463B0" w:rsidR="00943C3A" w:rsidRPr="00A96255" w:rsidRDefault="00943C3A" w:rsidP="00D24330">
      <w:pPr>
        <w:pStyle w:val="MGTHeader"/>
      </w:pPr>
      <w:r w:rsidRPr="00943C3A">
        <w:t>Indicator 6.4.2: Level of water stress: freshwater withdrawal as a proportion of available freshwater resources</w:t>
      </w:r>
    </w:p>
    <w:p w14:paraId="37E5E4F6" w14:textId="77777777" w:rsidR="00D24330" w:rsidRPr="007624FE" w:rsidRDefault="00D24330" w:rsidP="00D24330">
      <w:pPr>
        <w:pStyle w:val="MIndHeader"/>
        <w:rPr>
          <w:lang w:val="en-US"/>
        </w:rPr>
      </w:pPr>
      <w:r w:rsidRPr="007624FE">
        <w:rPr>
          <w:lang w:val="en-US"/>
        </w:rPr>
        <w:t xml:space="preserve">0.d. Series </w:t>
      </w:r>
      <w:r>
        <w:rPr>
          <w:color w:val="B4B4B4"/>
          <w:sz w:val="20"/>
        </w:rPr>
        <w:t>(SDG_SERIES_DESCR)</w:t>
      </w:r>
    </w:p>
    <w:p w14:paraId="771888BA" w14:textId="4EB0D6BD" w:rsidR="00D24330" w:rsidRPr="007624FE" w:rsidRDefault="00C30013">
      <w:pPr>
        <w:pStyle w:val="MGTHeader"/>
        <w:rPr>
          <w:highlight w:val="yellow"/>
          <w:lang w:val="en-US"/>
        </w:rPr>
      </w:pPr>
      <w:r w:rsidRPr="00C30013">
        <w:rPr>
          <w:lang w:val="en-US"/>
        </w:rPr>
        <w:t>ER_H2O_STRESS - Level of water stress: freshwater withdrawal as a proportion of available freshwater resources [6.4.2]</w:t>
      </w:r>
    </w:p>
    <w:p w14:paraId="157DACE7" w14:textId="77777777" w:rsidR="00D24330" w:rsidRPr="007624FE" w:rsidRDefault="00D24330" w:rsidP="00D24330">
      <w:pPr>
        <w:pStyle w:val="MIndHeader"/>
        <w:rPr>
          <w:lang w:val="en-US"/>
        </w:rPr>
      </w:pPr>
      <w:r w:rsidRPr="007624FE">
        <w:rPr>
          <w:lang w:val="en-US"/>
        </w:rPr>
        <w:t xml:space="preserve">0.e. Metadata update </w:t>
      </w:r>
      <w:r>
        <w:rPr>
          <w:color w:val="B4B4B4"/>
          <w:sz w:val="20"/>
        </w:rPr>
        <w:t>(META_LAST_UPDATE)</w:t>
      </w:r>
    </w:p>
    <w:sdt>
      <w:sdtPr>
        <w:rPr>
          <w:lang w:val="en-US"/>
        </w:rPr>
        <w:id w:val="-2140862174"/>
        <w:placeholder>
          <w:docPart w:val="DefaultPlaceholder_-1854013437"/>
        </w:placeholder>
        <w:date w:fullDate="2024-07-29T00:00:00Z">
          <w:dateFormat w:val="yyyy-MM-dd"/>
          <w:lid w:val="en-US"/>
          <w:storeMappedDataAs w:val="dateTime"/>
          <w:calendar w:val="gregorian"/>
        </w:date>
      </w:sdtPr>
      <w:sdtContent>
        <w:p w14:paraId="6A8B277A" w14:textId="712AFBA8" w:rsidR="00943C3A" w:rsidRPr="007624FE" w:rsidRDefault="001E65CB" w:rsidP="001D1FD1">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570DCF4" w14:textId="7BD07685" w:rsidR="00B25C2A" w:rsidRDefault="00B25C2A" w:rsidP="00CB6543">
      <w:pPr>
        <w:pStyle w:val="MGTHeader"/>
      </w:pPr>
      <w:r>
        <w:t>6.4.1:</w:t>
      </w:r>
      <w:r w:rsidR="00CB6543">
        <w:t xml:space="preserve"> </w:t>
      </w:r>
      <w:r>
        <w:t>Change in water-use efficiency over time</w:t>
      </w:r>
    </w:p>
    <w:p w14:paraId="5BF0814A" w14:textId="17F9DA39" w:rsidR="00B25C2A" w:rsidRDefault="00B25C2A" w:rsidP="00CB6543">
      <w:pPr>
        <w:pStyle w:val="MGTHeader"/>
      </w:pPr>
      <w:r>
        <w:t>6.1.1:</w:t>
      </w:r>
      <w:r w:rsidR="00CB6543">
        <w:t xml:space="preserve"> </w:t>
      </w:r>
      <w:r>
        <w:t>Proportion of population using safely managed drinking water services</w:t>
      </w:r>
    </w:p>
    <w:p w14:paraId="4B4A8D4F" w14:textId="3D614C35" w:rsidR="00B25C2A" w:rsidRDefault="00B25C2A" w:rsidP="00CB6543">
      <w:pPr>
        <w:pStyle w:val="MGTHeader"/>
      </w:pPr>
      <w:r>
        <w:t>6.3.1:</w:t>
      </w:r>
      <w:r w:rsidR="00CB6543">
        <w:t xml:space="preserve"> </w:t>
      </w:r>
      <w:r>
        <w:t>Proportion of wastewater safely treated</w:t>
      </w:r>
    </w:p>
    <w:p w14:paraId="3ABD6540" w14:textId="67EE3069" w:rsidR="00B25C2A" w:rsidRDefault="00B25C2A" w:rsidP="00CB6543">
      <w:pPr>
        <w:pStyle w:val="MGTHeader"/>
      </w:pPr>
      <w:r>
        <w:t>6.6.1:</w:t>
      </w:r>
      <w:r w:rsidR="00CB6543">
        <w:t xml:space="preserve"> </w:t>
      </w:r>
      <w:r>
        <w:t>Change in the extent of water-related ecosystems over time</w:t>
      </w:r>
    </w:p>
    <w:p w14:paraId="2B9A8D1E" w14:textId="65B65122" w:rsidR="00B25C2A" w:rsidRDefault="00B25C2A" w:rsidP="00CB6543">
      <w:pPr>
        <w:pStyle w:val="MGTHeader"/>
      </w:pPr>
      <w:r>
        <w:t>6.5.1:</w:t>
      </w:r>
      <w:r w:rsidR="00CB6543">
        <w:t xml:space="preserve"> </w:t>
      </w:r>
      <w:r>
        <w:t>Degree of integrated water resources management implementation (0-100)</w:t>
      </w:r>
    </w:p>
    <w:p w14:paraId="76D27427" w14:textId="19279AC9" w:rsidR="00B25C2A" w:rsidRDefault="00B25C2A" w:rsidP="00CB6543">
      <w:pPr>
        <w:pStyle w:val="MGTHeader"/>
      </w:pPr>
      <w:r>
        <w:t>2.4.1:</w:t>
      </w:r>
      <w:r w:rsidR="00CB6543">
        <w:t xml:space="preserve"> </w:t>
      </w:r>
      <w:r>
        <w:t>Proportion of agricultural area under productive and sustainable agriculture</w:t>
      </w:r>
    </w:p>
    <w:p w14:paraId="3B8C15BF" w14:textId="4DAB0619" w:rsidR="00B25C2A" w:rsidRDefault="00B25C2A" w:rsidP="00CB6543">
      <w:pPr>
        <w:pStyle w:val="MGTHeader"/>
      </w:pPr>
      <w:r>
        <w:t>15.3.1:</w:t>
      </w:r>
      <w:r w:rsidR="00CB6543">
        <w:t xml:space="preserve"> </w:t>
      </w:r>
      <w:r>
        <w:t>Proportion of land that is degraded over total land area</w:t>
      </w:r>
    </w:p>
    <w:p w14:paraId="653294B7" w14:textId="71E06E0F" w:rsidR="00B25C2A" w:rsidRDefault="00B25C2A" w:rsidP="00CB6543">
      <w:pPr>
        <w:pStyle w:val="MGTHeader"/>
      </w:pPr>
      <w:r>
        <w:t>1.5.1:</w:t>
      </w:r>
      <w:r w:rsidR="00CB6543">
        <w:t xml:space="preserve"> </w:t>
      </w:r>
      <w:r>
        <w:t>Number of deaths, missing persons and persons affected by disaster per 100,000 people [a]</w:t>
      </w:r>
    </w:p>
    <w:p w14:paraId="49DBF13F" w14:textId="4FD62682" w:rsidR="00B25C2A" w:rsidRPr="00A96255" w:rsidRDefault="00B25C2A" w:rsidP="00CB6543">
      <w:pPr>
        <w:pStyle w:val="MGTHeader"/>
      </w:pPr>
      <w:r>
        <w:t>11.5.1:</w:t>
      </w:r>
      <w:r w:rsidR="00CB6543">
        <w:t xml:space="preserve"> </w:t>
      </w:r>
      <w:r>
        <w:t>Number of deaths, missing persons and persons affected by disaster per 100,000 people [a]</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500CB33" w14:textId="42AE350A" w:rsidR="00943C3A" w:rsidRPr="00A96255" w:rsidRDefault="00943C3A" w:rsidP="00D24330">
      <w:pPr>
        <w:pStyle w:val="MGTHeader"/>
        <w:rPr>
          <w:color w:val="4A4A4A"/>
        </w:rPr>
      </w:pPr>
      <w:r w:rsidRPr="00943C3A">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5936C17" w14:textId="5A380CEC" w:rsidR="004B0479" w:rsidRDefault="004B0479" w:rsidP="00576CFA">
      <w:pPr>
        <w:pStyle w:val="MText"/>
      </w:pPr>
      <w:r w:rsidRPr="004B0479">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69ED350F" w14:textId="6A7DE372" w:rsidR="00B25C2A" w:rsidRPr="00B25C2A" w:rsidRDefault="008B0AC7" w:rsidP="00B25C2A">
      <w:pPr>
        <w:pStyle w:val="MHeader2"/>
      </w:pPr>
      <w:r w:rsidRPr="00A96255">
        <w:t xml:space="preserve">2.a. Definition and concepts </w:t>
      </w:r>
      <w:r>
        <w:rPr>
          <w:color w:val="B4B4B4"/>
          <w:sz w:val="20"/>
        </w:rPr>
        <w:t>(STAT_CONC_DEF)</w:t>
      </w:r>
    </w:p>
    <w:p w14:paraId="084145AA" w14:textId="7A8B8F03"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lastRenderedPageBreak/>
        <w:t>Definition:</w:t>
      </w:r>
    </w:p>
    <w:p w14:paraId="4B1A4042"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level of water stress: freshwater withdrawal as a proportion of available freshwater resources is the ratio between total freshwater withdrawn by all major sectors and total renewable freshwater resources, after taking into account environmental </w:t>
      </w:r>
      <w:r>
        <w:rPr>
          <w:rFonts w:eastAsia="Times New Roman" w:cs="Times New Roman"/>
          <w:color w:val="4A4A4A"/>
          <w:sz w:val="21"/>
          <w:szCs w:val="21"/>
          <w:lang w:eastAsia="en-GB"/>
        </w:rPr>
        <w:t>flow</w:t>
      </w:r>
      <w:r w:rsidRPr="00375232">
        <w:rPr>
          <w:rFonts w:eastAsia="Times New Roman" w:cs="Times New Roman"/>
          <w:color w:val="4A4A4A"/>
          <w:sz w:val="21"/>
          <w:szCs w:val="21"/>
          <w:lang w:eastAsia="en-GB"/>
        </w:rPr>
        <w:t xml:space="preserve"> requirements. Main sectors, as defined by ISIC standards, include agriculture; forestry and fishing; manufacturing; electricity industry; and services. This indicator is also known as water withdrawal intensity.</w:t>
      </w:r>
    </w:p>
    <w:p w14:paraId="6CA7C8AD" w14:textId="77777777" w:rsidR="00B25C2A" w:rsidRPr="00375232" w:rsidRDefault="00B25C2A" w:rsidP="00B25C2A">
      <w:pPr>
        <w:shd w:val="clear" w:color="auto" w:fill="FFFFFF"/>
        <w:spacing w:after="0"/>
        <w:contextualSpacing/>
        <w:rPr>
          <w:rFonts w:eastAsia="Times New Roman" w:cs="Times New Roman"/>
          <w:b/>
          <w:bCs/>
          <w:color w:val="4A4A4A"/>
          <w:sz w:val="21"/>
          <w:szCs w:val="21"/>
          <w:lang w:eastAsia="en-GB"/>
        </w:rPr>
      </w:pPr>
    </w:p>
    <w:p w14:paraId="256329DE" w14:textId="5E9DA3B7" w:rsidR="00B25C2A" w:rsidRPr="00B25C2A" w:rsidRDefault="00B25C2A" w:rsidP="00B25C2A">
      <w:pPr>
        <w:shd w:val="clear" w:color="auto" w:fill="FFFFFF"/>
        <w:spacing w:after="0"/>
        <w:contextualSpacing/>
        <w:rPr>
          <w:rFonts w:eastAsia="Times New Roman" w:cs="Times New Roman"/>
          <w:b/>
          <w:bCs/>
          <w:color w:val="4A4A4A"/>
          <w:sz w:val="21"/>
          <w:szCs w:val="21"/>
          <w:lang w:eastAsia="en-GB"/>
        </w:rPr>
      </w:pPr>
      <w:r w:rsidRPr="00375232">
        <w:rPr>
          <w:rFonts w:eastAsia="Times New Roman" w:cs="Times New Roman"/>
          <w:b/>
          <w:bCs/>
          <w:color w:val="4A4A4A"/>
          <w:sz w:val="21"/>
          <w:szCs w:val="21"/>
          <w:lang w:eastAsia="en-GB"/>
        </w:rPr>
        <w:t>Concepts:</w:t>
      </w:r>
    </w:p>
    <w:p w14:paraId="3061D714"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 </w:t>
      </w:r>
    </w:p>
    <w:p w14:paraId="3484F920"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6C5618D0"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Total renewable freshwater resources (TRWR) are expressed as the sum of internal and external renewable water resources. The terms “water resources” and “water withdrawal” are understood here as freshwater resources and freshwater withdrawal. </w:t>
      </w:r>
    </w:p>
    <w:p w14:paraId="3E02DBBF"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0EB515B7"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Internal renewable water resources are defined as the long-term average annual flow of rivers and recharge of groundwater for a given country generated from endogenous precipitation. </w:t>
      </w:r>
    </w:p>
    <w:p w14:paraId="540ED376"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57D348BB"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External renewable water resources refer to the flows of water entering the country, taking into consideration the quantity of flows reserved to upstream and downstream countries through agreements or treaties. </w:t>
      </w:r>
    </w:p>
    <w:p w14:paraId="5F9A193B"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35C6CA78"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Total freshwater withdrawal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xml:space="preserve">) is the volume of freshwater extracted from its source (rivers, lakes, aquifers) for agriculture, industries and </w:t>
      </w:r>
      <w:r>
        <w:rPr>
          <w:rFonts w:eastAsia="Times New Roman" w:cs="Times New Roman"/>
          <w:color w:val="4A4A4A"/>
          <w:sz w:val="21"/>
          <w:szCs w:val="21"/>
          <w:lang w:eastAsia="en-GB"/>
        </w:rPr>
        <w:t>services</w:t>
      </w:r>
      <w:r>
        <w:rPr>
          <w:rStyle w:val="FootnoteReference"/>
          <w:rFonts w:eastAsia="Times New Roman" w:cs="Times New Roman"/>
          <w:color w:val="4A4A4A"/>
          <w:sz w:val="21"/>
          <w:szCs w:val="21"/>
          <w:lang w:eastAsia="en-GB"/>
        </w:rPr>
        <w:footnoteReference w:id="2"/>
      </w:r>
      <w:r w:rsidRPr="00375232">
        <w:rPr>
          <w:rFonts w:eastAsia="Times New Roman" w:cs="Times New Roman"/>
          <w:color w:val="4A4A4A"/>
          <w:sz w:val="21"/>
          <w:szCs w:val="21"/>
          <w:lang w:eastAsia="en-GB"/>
        </w:rPr>
        <w:t xml:space="preserve">. It is estimated at the country level for the following three main sectors: agriculture, </w:t>
      </w:r>
      <w:r>
        <w:rPr>
          <w:rFonts w:eastAsia="Times New Roman" w:cs="Times New Roman"/>
          <w:color w:val="4A4A4A"/>
          <w:sz w:val="21"/>
          <w:szCs w:val="21"/>
          <w:lang w:eastAsia="en-GB"/>
        </w:rPr>
        <w:t xml:space="preserve">services </w:t>
      </w:r>
      <w:r w:rsidRPr="00375232">
        <w:rPr>
          <w:rFonts w:eastAsia="Times New Roman" w:cs="Times New Roman"/>
          <w:color w:val="4A4A4A"/>
          <w:sz w:val="21"/>
          <w:szCs w:val="21"/>
          <w:lang w:eastAsia="en-GB"/>
        </w:rPr>
        <w:t>(including domestic water withdrawal) and industries</w:t>
      </w:r>
      <w:r>
        <w:rPr>
          <w:rFonts w:eastAsia="Times New Roman" w:cs="Times New Roman"/>
          <w:color w:val="4A4A4A"/>
          <w:sz w:val="21"/>
          <w:szCs w:val="21"/>
          <w:lang w:eastAsia="en-GB"/>
        </w:rPr>
        <w:t xml:space="preserve"> </w:t>
      </w:r>
      <w:r w:rsidRPr="00CB6543">
        <w:rPr>
          <w:rFonts w:eastAsia="Times New Roman" w:cs="Times New Roman"/>
          <w:color w:val="4A4A4A"/>
          <w:sz w:val="21"/>
          <w:szCs w:val="21"/>
          <w:lang w:eastAsia="en-GB"/>
        </w:rPr>
        <w:t>(including cooling of thermoelectric plants)</w:t>
      </w:r>
      <w:r w:rsidRPr="00375232">
        <w:rPr>
          <w:rFonts w:eastAsia="Times New Roman" w:cs="Times New Roman"/>
          <w:color w:val="4A4A4A"/>
          <w:sz w:val="21"/>
          <w:szCs w:val="21"/>
          <w:lang w:eastAsia="en-GB"/>
        </w:rPr>
        <w:t xml:space="preserve">. Freshwater withdrawal includes fossil groundwater. It does not include non-conventional water, i.e. direct use of treated wastewater, direct use of agricultural drainage water and desalinated water. </w:t>
      </w:r>
    </w:p>
    <w:p w14:paraId="265235DC"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p>
    <w:p w14:paraId="3AE911B6" w14:textId="77777777" w:rsidR="004B3F5E" w:rsidRPr="00375232" w:rsidRDefault="004B3F5E" w:rsidP="004B3F5E">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Environmental </w:t>
      </w:r>
      <w:r>
        <w:rPr>
          <w:rFonts w:eastAsia="Times New Roman" w:cs="Times New Roman"/>
          <w:color w:val="4A4A4A"/>
          <w:sz w:val="21"/>
          <w:szCs w:val="21"/>
          <w:lang w:eastAsia="en-GB"/>
        </w:rPr>
        <w:t>flow</w:t>
      </w:r>
      <w:r w:rsidRPr="00375232">
        <w:rPr>
          <w:rFonts w:eastAsia="Times New Roman" w:cs="Times New Roman"/>
          <w:color w:val="4A4A4A"/>
          <w:sz w:val="21"/>
          <w:szCs w:val="21"/>
          <w:lang w:eastAsia="en-GB"/>
        </w:rPr>
        <w:t xml:space="preserve"> requirements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xml:space="preserve">) </w:t>
      </w:r>
      <w:r w:rsidRPr="00CB6543">
        <w:rPr>
          <w:rFonts w:eastAsia="Times New Roman" w:cs="Times New Roman"/>
          <w:color w:val="4A4A4A"/>
          <w:sz w:val="21"/>
          <w:szCs w:val="21"/>
          <w:lang w:eastAsia="en-GB"/>
        </w:rPr>
        <w:t xml:space="preserve">are defined as the quantity and timing of freshwater flows and levels necessary to sustain aquatic ecosystems, which, in turn, support human cultures, economies, sustainable livelihoods, and wellbeing. </w:t>
      </w:r>
      <w:r w:rsidRPr="00375232">
        <w:rPr>
          <w:rFonts w:eastAsia="Times New Roman" w:cs="Times New Roman"/>
          <w:color w:val="4A4A4A"/>
          <w:sz w:val="21"/>
          <w:szCs w:val="21"/>
          <w:lang w:eastAsia="en-GB"/>
        </w:rPr>
        <w:t xml:space="preserve"> Water quality and also the resulting ecosystem services are excluded from this formulation which is confined to water volumes. This does not imply that quality and the support to societies which are dependent on environmental flows are not important and should not be taken care of.</w:t>
      </w:r>
      <w:r>
        <w:rPr>
          <w:rStyle w:val="FootnoteReference"/>
          <w:rFonts w:eastAsia="Times New Roman" w:cs="Times New Roman"/>
          <w:color w:val="4A4A4A"/>
          <w:sz w:val="21"/>
          <w:szCs w:val="21"/>
          <w:lang w:eastAsia="en-GB"/>
        </w:rPr>
        <w:footnoteReference w:id="3"/>
      </w:r>
      <w:r w:rsidRPr="00375232">
        <w:rPr>
          <w:rFonts w:eastAsia="Times New Roman" w:cs="Times New Roman"/>
          <w:color w:val="4A4A4A"/>
          <w:sz w:val="21"/>
          <w:szCs w:val="21"/>
          <w:lang w:eastAsia="en-GB"/>
        </w:rPr>
        <w:t xml:space="preserve"> Methods of computation of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xml:space="preserve"> are extremely variable and range from global estimates to comprehensive assessments for river reaches. For the purpose of the SDG indicator, water volumes can be expressed in the same units as the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and then as percentages of the available water resources.</w:t>
      </w:r>
    </w:p>
    <w:p w14:paraId="1D73F87A" w14:textId="05100FAE" w:rsidR="009534F7" w:rsidRDefault="009534F7" w:rsidP="00F719A8">
      <w:pPr>
        <w:pStyle w:val="MHeader2"/>
      </w:pPr>
    </w:p>
    <w:p w14:paraId="7932F8BD" w14:textId="2F5CFD73" w:rsidR="008B0AC7" w:rsidRPr="00A96255" w:rsidRDefault="00576CFA" w:rsidP="00F719A8">
      <w:pPr>
        <w:pStyle w:val="MHeader2"/>
      </w:pPr>
      <w:r w:rsidRPr="00A96255">
        <w:lastRenderedPageBreak/>
        <w:t xml:space="preserve">2.b. Unit of measure </w:t>
      </w:r>
      <w:r>
        <w:rPr>
          <w:color w:val="B4B4B4"/>
          <w:sz w:val="20"/>
        </w:rPr>
        <w:t>(UNIT_MEASURE)</w:t>
      </w:r>
    </w:p>
    <w:p w14:paraId="1CAE3771" w14:textId="28BD0EF7" w:rsidR="00576CFA" w:rsidRPr="00A96255" w:rsidRDefault="006405B8" w:rsidP="00576CFA">
      <w:pPr>
        <w:pStyle w:val="MText"/>
      </w:pPr>
      <w:r>
        <w:t>P</w:t>
      </w:r>
      <w:r w:rsidR="00B46C5D">
        <w:t>ercent</w:t>
      </w:r>
      <w:r w:rsidR="00D720AD">
        <w:t xml:space="preserve"> </w:t>
      </w:r>
      <w:r w:rsidR="005F1AF8">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1A54052" w14:textId="6675A99F" w:rsidR="00A57348" w:rsidRPr="00EC0CCF" w:rsidRDefault="00A57348" w:rsidP="001D1FD1">
      <w:pPr>
        <w:pStyle w:val="ListParagraph"/>
        <w:keepNext/>
        <w:keepLines/>
        <w:numPr>
          <w:ilvl w:val="0"/>
          <w:numId w:val="20"/>
        </w:numPr>
        <w:shd w:val="clear" w:color="auto" w:fill="FFFFFF"/>
        <w:spacing w:after="0"/>
        <w:rPr>
          <w:rFonts w:eastAsia="Times New Roman" w:cstheme="minorHAnsi"/>
          <w:color w:val="4A4A4A"/>
          <w:sz w:val="21"/>
          <w:szCs w:val="21"/>
          <w:lang w:eastAsia="en-GB"/>
        </w:rPr>
      </w:pPr>
      <w:r w:rsidRPr="00EC0CCF">
        <w:rPr>
          <w:rFonts w:eastAsia="Times New Roman" w:cstheme="minorHAnsi"/>
          <w:color w:val="4A4A4A"/>
          <w:sz w:val="21"/>
          <w:szCs w:val="21"/>
          <w:lang w:eastAsia="en-GB"/>
        </w:rPr>
        <w:t>The System of Environmental-Economic Accounting for Water: </w:t>
      </w:r>
      <w:r w:rsidR="00484521" w:rsidRPr="00EC0CCF">
        <w:rPr>
          <w:rFonts w:eastAsia="Times New Roman" w:cstheme="minorHAnsi"/>
          <w:color w:val="4A4A4A"/>
          <w:sz w:val="21"/>
          <w:szCs w:val="21"/>
          <w:lang w:eastAsia="en-GB"/>
        </w:rPr>
        <w:t>SEEA-Water</w:t>
      </w:r>
      <w:r w:rsidRPr="00EC0CCF">
        <w:rPr>
          <w:rFonts w:eastAsia="Times New Roman" w:cstheme="minorHAnsi"/>
          <w:color w:val="4A4A4A"/>
          <w:sz w:val="21"/>
          <w:szCs w:val="21"/>
          <w:lang w:eastAsia="en-GB"/>
        </w:rPr>
        <w:t> for water resources and withdrawals</w:t>
      </w:r>
      <w:r w:rsidR="00484521">
        <w:rPr>
          <w:rFonts w:eastAsia="Times New Roman" w:cstheme="minorHAnsi"/>
          <w:color w:val="4A4A4A"/>
          <w:sz w:val="21"/>
          <w:szCs w:val="21"/>
          <w:lang w:eastAsia="en-GB"/>
        </w:rPr>
        <w:t xml:space="preserve"> (Available at</w:t>
      </w:r>
      <w:r w:rsidR="001D1FD1" w:rsidRPr="001D1FD1">
        <w:t xml:space="preserve"> </w:t>
      </w:r>
      <w:r w:rsidR="001D1FD1" w:rsidRPr="001D1FD1">
        <w:rPr>
          <w:rFonts w:eastAsia="Times New Roman" w:cstheme="minorHAnsi"/>
          <w:color w:val="4A4A4A"/>
          <w:sz w:val="21"/>
          <w:szCs w:val="21"/>
          <w:lang w:eastAsia="en-GB"/>
        </w:rPr>
        <w:t>https://seea.un.org/content/seea-water</w:t>
      </w:r>
    </w:p>
    <w:p w14:paraId="4BA17A8E" w14:textId="0CCB8568" w:rsidR="00A57348" w:rsidRPr="00EC0CCF" w:rsidRDefault="00A57348" w:rsidP="00EC0CCF">
      <w:pPr>
        <w:pStyle w:val="ListParagraph"/>
        <w:keepNext/>
        <w:keepLines/>
        <w:numPr>
          <w:ilvl w:val="0"/>
          <w:numId w:val="20"/>
        </w:numPr>
        <w:shd w:val="clear" w:color="auto" w:fill="FFFFFF"/>
        <w:spacing w:after="0"/>
        <w:rPr>
          <w:rFonts w:ascii="Helvetica Neue" w:eastAsia="Times New Roman" w:hAnsi="Helvetica Neue" w:cs="Times New Roman"/>
          <w:color w:val="333333"/>
          <w:spacing w:val="3"/>
          <w:sz w:val="24"/>
          <w:szCs w:val="24"/>
          <w:lang w:val="en-US" w:eastAsia="es-MX"/>
        </w:rPr>
      </w:pPr>
      <w:r w:rsidRPr="00EC0CCF">
        <w:rPr>
          <w:rFonts w:eastAsia="Times New Roman" w:cstheme="minorHAnsi"/>
          <w:color w:val="4A4A4A"/>
          <w:sz w:val="21"/>
          <w:szCs w:val="21"/>
          <w:lang w:eastAsia="en-GB"/>
        </w:rPr>
        <w:t>The World Census of Agriculture 2020: </w:t>
      </w:r>
      <w:r w:rsidR="00484521" w:rsidRPr="00EC0CCF">
        <w:rPr>
          <w:rFonts w:eastAsia="Times New Roman" w:cstheme="minorHAnsi"/>
          <w:color w:val="4A4A4A"/>
          <w:sz w:val="21"/>
          <w:szCs w:val="21"/>
          <w:lang w:eastAsia="en-GB"/>
        </w:rPr>
        <w:t>WCA</w:t>
      </w:r>
      <w:r w:rsidRPr="00EC0CCF">
        <w:rPr>
          <w:rFonts w:eastAsia="Times New Roman" w:cstheme="minorHAnsi"/>
          <w:color w:val="4A4A4A"/>
          <w:sz w:val="21"/>
          <w:szCs w:val="21"/>
          <w:lang w:eastAsia="en-GB"/>
        </w:rPr>
        <w:t> (Volume 1), for irrigation definitions</w:t>
      </w:r>
      <w:r w:rsidR="00484521">
        <w:rPr>
          <w:rFonts w:eastAsia="Times New Roman" w:cstheme="minorHAnsi"/>
          <w:color w:val="4A4A4A"/>
          <w:sz w:val="21"/>
          <w:szCs w:val="21"/>
          <w:lang w:eastAsia="en-GB"/>
        </w:rPr>
        <w:t xml:space="preserve"> (Available at: </w:t>
      </w:r>
      <w:r w:rsidR="00484521" w:rsidRPr="00484521">
        <w:rPr>
          <w:rFonts w:eastAsia="Times New Roman" w:cstheme="minorHAnsi"/>
          <w:color w:val="4A4A4A"/>
          <w:sz w:val="21"/>
          <w:szCs w:val="21"/>
          <w:lang w:eastAsia="en-GB"/>
        </w:rPr>
        <w:t>http://www.fao.org/world-census-agriculture</w:t>
      </w:r>
      <w:r w:rsidR="00484521">
        <w:rPr>
          <w:rFonts w:eastAsia="Times New Roman" w:cstheme="minorHAnsi"/>
          <w:color w:val="4A4A4A"/>
          <w:sz w:val="21"/>
          <w:szCs w:val="21"/>
          <w:lang w:eastAsia="en-GB"/>
        </w:rPr>
        <w:t>)</w:t>
      </w:r>
      <w:r w:rsidRPr="00EC0CCF">
        <w:rPr>
          <w:rFonts w:ascii="Helvetica Neue" w:eastAsia="Times New Roman" w:hAnsi="Helvetica Neue" w:cs="Times New Roman"/>
          <w:color w:val="333333"/>
          <w:spacing w:val="3"/>
          <w:sz w:val="24"/>
          <w:szCs w:val="24"/>
          <w:lang w:val="en-US" w:eastAsia="es-MX"/>
        </w:rPr>
        <w:t>.</w:t>
      </w:r>
    </w:p>
    <w:p w14:paraId="513FFADB" w14:textId="3679A1A5" w:rsidR="00E91612" w:rsidRPr="007142BB" w:rsidRDefault="00E91612" w:rsidP="00F719A8">
      <w:pPr>
        <w:pStyle w:val="MHeader"/>
        <w:rPr>
          <w:lang w:val="en-US"/>
        </w:rPr>
      </w:pPr>
    </w:p>
    <w:p w14:paraId="1D3AEECA" w14:textId="366163D7"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F8DBB26" w14:textId="7A7E2BD5" w:rsidR="00B25C2A" w:rsidRPr="00375232" w:rsidRDefault="00B25C2A" w:rsidP="5A4FC662">
      <w:pPr>
        <w:keepNext/>
        <w:keepLines/>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Data for this indicator are usually collected by national ministries and institutions having water-related issues in their mandate, such as national statistic</w:t>
      </w:r>
      <w:r w:rsidR="3D7D0020" w:rsidRPr="1FD4E239">
        <w:rPr>
          <w:rFonts w:eastAsia="Times New Roman" w:cs="Times New Roman"/>
          <w:color w:val="4A4A4A"/>
          <w:sz w:val="21"/>
          <w:szCs w:val="21"/>
          <w:lang w:eastAsia="en-GB"/>
        </w:rPr>
        <w:t xml:space="preserve"> offices</w:t>
      </w:r>
      <w:r w:rsidRPr="1FD4E239">
        <w:rPr>
          <w:rFonts w:eastAsia="Times New Roman" w:cs="Times New Roman"/>
          <w:color w:val="4A4A4A"/>
          <w:sz w:val="21"/>
          <w:szCs w:val="21"/>
          <w:lang w:eastAsia="en-GB"/>
        </w:rPr>
        <w:t xml:space="preserve">, ministries of water resources, agriculture or environment. </w:t>
      </w:r>
      <w:r w:rsidRPr="1FD4E239">
        <w:rPr>
          <w:rFonts w:eastAsia="Times New Roman"/>
          <w:color w:val="4A4A4A"/>
          <w:sz w:val="21"/>
          <w:szCs w:val="21"/>
          <w:lang w:eastAsia="en-GB"/>
        </w:rPr>
        <w:t>Official counterparts at country level are the national statistics office and/or the line ministry for water resources</w:t>
      </w:r>
      <w:r w:rsidR="08642622" w:rsidRPr="1FD4E239">
        <w:rPr>
          <w:rFonts w:eastAsia="Times New Roman"/>
          <w:color w:val="4A4A4A"/>
          <w:sz w:val="21"/>
          <w:szCs w:val="21"/>
          <w:lang w:eastAsia="en-GB"/>
        </w:rPr>
        <w:t xml:space="preserve"> and irrigation</w:t>
      </w:r>
      <w:r w:rsidRPr="1FD4E239">
        <w:rPr>
          <w:rFonts w:eastAsia="Times New Roman"/>
          <w:color w:val="4A4A4A"/>
          <w:sz w:val="21"/>
          <w:szCs w:val="21"/>
          <w:lang w:eastAsia="en-GB"/>
        </w:rPr>
        <w:t xml:space="preserve">. More specifically, FAO requests countries to nominate a National Correspondent to act as the focal point for the data collection and communication. </w:t>
      </w:r>
      <w:r w:rsidRPr="1FD4E239">
        <w:rPr>
          <w:rFonts w:eastAsia="Times New Roman" w:cs="Times New Roman"/>
          <w:color w:val="4A4A4A"/>
          <w:sz w:val="21"/>
          <w:szCs w:val="21"/>
          <w:lang w:eastAsia="en-GB"/>
        </w:rPr>
        <w:t>Data are mainly published within national statistical yearbooks, national water resources and irrigation master plans and other reports (such as those from projects, international surveys or results and publications from national and international research centres).</w:t>
      </w:r>
    </w:p>
    <w:p w14:paraId="3018A8D8" w14:textId="77777777" w:rsidR="00EC2915" w:rsidRPr="00A96255" w:rsidRDefault="00EC2915" w:rsidP="00576CFA">
      <w:pPr>
        <w:pStyle w:val="MText"/>
      </w:pPr>
    </w:p>
    <w:p w14:paraId="68C0F531" w14:textId="71F39707" w:rsidR="5925BA99" w:rsidRDefault="00576CFA" w:rsidP="00D85023">
      <w:pPr>
        <w:pStyle w:val="MHeader2"/>
      </w:pPr>
      <w:r>
        <w:t xml:space="preserve">3.b. Data collection method </w:t>
      </w:r>
      <w:r>
        <w:rPr>
          <w:color w:val="B4B4B4"/>
          <w:sz w:val="20"/>
        </w:rPr>
        <w:t>(COLL_METHOD)</w:t>
      </w:r>
    </w:p>
    <w:p w14:paraId="4789A674" w14:textId="59D1D4F3" w:rsidR="00D85023" w:rsidRDefault="00D85023" w:rsidP="00576CFA">
      <w:pPr>
        <w:pStyle w:val="MText"/>
      </w:pPr>
      <w:r w:rsidRPr="00D85023">
        <w:t>Data collection is done through FAO’s Global Information System on Water and Agriculture</w:t>
      </w:r>
      <w:r w:rsidR="001D1FD1">
        <w:t xml:space="preserve"> (AQUASTAT)</w:t>
      </w:r>
      <w:r w:rsidRPr="00D85023">
        <w:t xml:space="preserve"> and AQUASTAT questionnaire on water and agriculture. The data collection process relies on a network of National Correspondents, officially nominated by their respective countries, in charge of the provision of official national data to AQUASTAT. As </w:t>
      </w:r>
      <w:r w:rsidR="00D255B2">
        <w:t xml:space="preserve">at </w:t>
      </w:r>
      <w:r w:rsidRPr="00D85023">
        <w:t>August 2020, 150 countries have nominated national correspondents as well as alternate correspondents from different agencies. Countries submit data through the annual AQUASTAT questionnaire on water and agriculture, which contains, among others, the information required for the calculation of SDG indicator 6.4.2.</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D4BD951" w14:textId="512305EB" w:rsidR="00D85023" w:rsidRPr="00375232" w:rsidRDefault="0E463B7E" w:rsidP="001D1FD1">
      <w:pPr>
        <w:spacing w:after="0"/>
        <w:rPr>
          <w:rFonts w:eastAsia="Times New Roman" w:cs="Times New Roman"/>
          <w:color w:val="4A4A4A"/>
          <w:sz w:val="21"/>
          <w:szCs w:val="21"/>
          <w:lang w:eastAsia="en-GB"/>
        </w:rPr>
      </w:pPr>
      <w:r w:rsidRPr="1FD4E239">
        <w:rPr>
          <w:rFonts w:eastAsia="Times New Roman" w:cs="Times New Roman"/>
          <w:color w:val="4A4A4A"/>
          <w:sz w:val="21"/>
          <w:szCs w:val="21"/>
          <w:lang w:eastAsia="en-GB"/>
        </w:rPr>
        <w:t>D</w:t>
      </w:r>
      <w:r w:rsidR="7D06A703" w:rsidRPr="1FD4E239">
        <w:rPr>
          <w:rFonts w:eastAsia="Times New Roman" w:cs="Times New Roman"/>
          <w:color w:val="4A4A4A"/>
          <w:sz w:val="21"/>
          <w:szCs w:val="21"/>
          <w:lang w:eastAsia="en-GB"/>
        </w:rPr>
        <w:t xml:space="preserve">ata are collected every year through the AQUASTAT network of National </w:t>
      </w:r>
      <w:r w:rsidR="3E0DB5B7" w:rsidRPr="1FD4E239">
        <w:rPr>
          <w:rFonts w:eastAsia="Times New Roman" w:cs="Times New Roman"/>
          <w:color w:val="4A4A4A"/>
          <w:sz w:val="21"/>
          <w:szCs w:val="21"/>
          <w:lang w:eastAsia="en-GB"/>
        </w:rPr>
        <w:t xml:space="preserve">Correspondents. FAO has dispatched the questionnaires to the National Correspondents </w:t>
      </w:r>
      <w:r w:rsidR="001D1FD1">
        <w:rPr>
          <w:rFonts w:eastAsia="Times New Roman" w:cs="Times New Roman"/>
          <w:color w:val="4A4A4A"/>
          <w:sz w:val="21"/>
          <w:szCs w:val="21"/>
          <w:lang w:eastAsia="en-GB"/>
        </w:rPr>
        <w:t>in July</w:t>
      </w:r>
      <w:r w:rsidR="3E0DB5B7" w:rsidRPr="1FD4E239">
        <w:rPr>
          <w:rFonts w:eastAsia="Times New Roman" w:cs="Times New Roman"/>
          <w:color w:val="4A4A4A"/>
          <w:sz w:val="21"/>
          <w:szCs w:val="21"/>
          <w:lang w:eastAsia="en-GB"/>
        </w:rPr>
        <w:t xml:space="preserve"> 202</w:t>
      </w:r>
      <w:r w:rsidR="001D1FD1">
        <w:rPr>
          <w:rFonts w:eastAsia="Times New Roman" w:cs="Times New Roman"/>
          <w:color w:val="4A4A4A"/>
          <w:sz w:val="21"/>
          <w:szCs w:val="21"/>
          <w:lang w:eastAsia="en-GB"/>
        </w:rPr>
        <w:t>2</w:t>
      </w:r>
      <w:r w:rsidR="3E0DB5B7" w:rsidRPr="1FD4E239">
        <w:rPr>
          <w:rFonts w:eastAsia="Times New Roman" w:cs="Times New Roman"/>
          <w:color w:val="4A4A4A"/>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A9604C4" w14:textId="77777777" w:rsidR="00D85023" w:rsidRDefault="00B25C2A" w:rsidP="00576CFA">
      <w:pPr>
        <w:pStyle w:val="MText"/>
      </w:pPr>
      <w:r w:rsidRPr="1FD4E239">
        <w:t>Data for the indicator are</w:t>
      </w:r>
      <w:r w:rsidR="04603834" w:rsidRPr="1FD4E239">
        <w:t xml:space="preserve"> released every year, usually in February following the UNSD collection schedule.</w:t>
      </w:r>
    </w:p>
    <w:p w14:paraId="64C749BD" w14:textId="63D16768" w:rsidR="00EC2915" w:rsidRPr="00A96255" w:rsidRDefault="00B25C2A" w:rsidP="00576CFA">
      <w:pPr>
        <w:pStyle w:val="MText"/>
      </w:pPr>
      <w:r w:rsidRPr="1FD4E239">
        <w:t xml:space="preserve"> </w:t>
      </w: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C25E6FB" w14:textId="0851B309" w:rsidR="00B25C2A" w:rsidRPr="00375232" w:rsidRDefault="58FF81C9" w:rsidP="1FD4E239">
      <w:pPr>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 xml:space="preserve">Data come from governmental sources. </w:t>
      </w:r>
      <w:r w:rsidR="00B25C2A" w:rsidRPr="1FD4E239">
        <w:rPr>
          <w:rFonts w:eastAsia="Times New Roman" w:cs="Times New Roman"/>
          <w:color w:val="4A4A4A"/>
          <w:sz w:val="21"/>
          <w:szCs w:val="21"/>
          <w:lang w:eastAsia="en-GB"/>
        </w:rPr>
        <w:t xml:space="preserve">The institutions responsible for data collection at national level vary according to countries. However, in general data for this indicator are provided by the Ministry of </w:t>
      </w:r>
      <w:r w:rsidR="00B25C2A" w:rsidRPr="1FD4E239">
        <w:rPr>
          <w:rFonts w:eastAsia="Times New Roman" w:cs="Times New Roman"/>
          <w:color w:val="4A4A4A"/>
          <w:sz w:val="21"/>
          <w:szCs w:val="21"/>
          <w:lang w:eastAsia="en-GB"/>
        </w:rPr>
        <w:lastRenderedPageBreak/>
        <w:t>Agriculture, Ministry of Water, Ministry of Environment and other line Ministries.</w:t>
      </w:r>
      <w:r w:rsidR="00D85023">
        <w:rPr>
          <w:rFonts w:eastAsia="Times New Roman" w:cs="Times New Roman"/>
          <w:color w:val="4A4A4A"/>
          <w:sz w:val="21"/>
          <w:szCs w:val="21"/>
          <w:lang w:eastAsia="en-GB"/>
        </w:rPr>
        <w:t xml:space="preserve"> </w:t>
      </w:r>
      <w:r w:rsidR="08B36FD2" w:rsidRPr="1FD4E239">
        <w:rPr>
          <w:rFonts w:eastAsia="Times New Roman" w:cs="Times New Roman"/>
          <w:color w:val="4A4A4A"/>
          <w:sz w:val="21"/>
          <w:szCs w:val="21"/>
          <w:lang w:eastAsia="en-GB"/>
        </w:rPr>
        <w:t>In many cases</w:t>
      </w:r>
      <w:r w:rsidR="00D255B2">
        <w:rPr>
          <w:rFonts w:eastAsia="Times New Roman" w:cs="Times New Roman"/>
          <w:color w:val="4A4A4A"/>
          <w:sz w:val="21"/>
          <w:szCs w:val="21"/>
          <w:lang w:eastAsia="en-GB"/>
        </w:rPr>
        <w:t>,</w:t>
      </w:r>
      <w:r w:rsidR="08B36FD2" w:rsidRPr="1FD4E239">
        <w:rPr>
          <w:rFonts w:eastAsia="Times New Roman" w:cs="Times New Roman"/>
          <w:color w:val="4A4A4A"/>
          <w:sz w:val="21"/>
          <w:szCs w:val="21"/>
          <w:lang w:eastAsia="en-GB"/>
        </w:rPr>
        <w:t xml:space="preserve"> data collection at country level is coordinated by the National Statistics office (NSO).</w:t>
      </w:r>
    </w:p>
    <w:p w14:paraId="50A66E64" w14:textId="77777777" w:rsidR="00EC2915" w:rsidRPr="00A96255" w:rsidRDefault="00EC2915" w:rsidP="00576CFA">
      <w:pPr>
        <w:pStyle w:val="MText"/>
      </w:pPr>
    </w:p>
    <w:p w14:paraId="7A86EE64" w14:textId="6C9B58E7" w:rsidR="5E64E447" w:rsidRDefault="00E46D96" w:rsidP="00D85023">
      <w:pPr>
        <w:pStyle w:val="MHeader2"/>
      </w:pPr>
      <w:r>
        <w:t xml:space="preserve">3.f. Data compilers </w:t>
      </w:r>
      <w:r>
        <w:rPr>
          <w:color w:val="B4B4B4"/>
          <w:sz w:val="20"/>
        </w:rPr>
        <w:t>(COMPILING_ORG)</w:t>
      </w:r>
    </w:p>
    <w:p w14:paraId="0F279B6C" w14:textId="414E1266" w:rsidR="00D85023" w:rsidRDefault="00D85023" w:rsidP="00576CFA">
      <w:pPr>
        <w:pStyle w:val="MText"/>
      </w:pPr>
      <w:r w:rsidRPr="00D85023">
        <w:t>Calculation rules are predefined and use data referring to the same year to general aggregate values</w:t>
      </w:r>
      <w:r w:rsidR="00D255B2">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8922EA6" w14:textId="77777777" w:rsidR="00773998" w:rsidRDefault="00773998" w:rsidP="00773998">
      <w:pPr>
        <w:pStyle w:val="MText"/>
        <w:rPr>
          <w:highlight w:val="yellow"/>
        </w:rPr>
      </w:pPr>
      <w:r w:rsidRPr="00A11ADD">
        <w:t xml:space="preserve">FAO has, as part of its mandate, the function of </w:t>
      </w:r>
      <w:r w:rsidRPr="00D103D5">
        <w:t xml:space="preserve">“collect, analyse, interpret and disseminate information relating to </w:t>
      </w:r>
      <w:r>
        <w:t>nutrition, food and agriculture”. (FAO Constitution, Article 1)</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455A4A5" w14:textId="0D878D1A" w:rsidR="004605D2" w:rsidRPr="00375232" w:rsidRDefault="004605D2" w:rsidP="004605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The purpose of this indicator is to show the degree to which water resources are being exploited to meet the country's water demand. It measures a country's pressure on its water resources and therefore the challenge on the sustainability of its water use. It tracks progress</w:t>
      </w:r>
      <w:r w:rsidR="003C4EB9">
        <w:rPr>
          <w:rFonts w:eastAsia="Times New Roman" w:cs="Times New Roman"/>
          <w:color w:val="4A4A4A"/>
          <w:sz w:val="21"/>
          <w:szCs w:val="21"/>
          <w:lang w:eastAsia="en-GB"/>
        </w:rPr>
        <w:t xml:space="preserve"> </w:t>
      </w:r>
      <w:r w:rsidRPr="00375232">
        <w:rPr>
          <w:rFonts w:eastAsia="Times New Roman" w:cs="Times New Roman"/>
          <w:color w:val="4A4A4A"/>
          <w:sz w:val="21"/>
          <w:szCs w:val="21"/>
          <w:lang w:eastAsia="en-GB"/>
        </w:rPr>
        <w:t>regard</w:t>
      </w:r>
      <w:r w:rsidR="003C4EB9">
        <w:rPr>
          <w:rFonts w:eastAsia="Times New Roman" w:cs="Times New Roman"/>
          <w:color w:val="4A4A4A"/>
          <w:sz w:val="21"/>
          <w:szCs w:val="21"/>
          <w:lang w:eastAsia="en-GB"/>
        </w:rPr>
        <w:t>ing</w:t>
      </w:r>
      <w:r w:rsidRPr="00375232">
        <w:rPr>
          <w:rFonts w:eastAsia="Times New Roman" w:cs="Times New Roman"/>
          <w:color w:val="4A4A4A"/>
          <w:sz w:val="21"/>
          <w:szCs w:val="21"/>
          <w:lang w:eastAsia="en-GB"/>
        </w:rPr>
        <w:t xml:space="preserve"> “withdrawals and supply of freshwater to address water scarcity”, i.e. the environmental component of target 6.4.</w:t>
      </w:r>
    </w:p>
    <w:p w14:paraId="549A0D1B" w14:textId="77777777" w:rsidR="004605D2" w:rsidRPr="00375232" w:rsidRDefault="004605D2" w:rsidP="004605D2">
      <w:pPr>
        <w:shd w:val="clear" w:color="auto" w:fill="FFFFFF"/>
        <w:spacing w:after="0"/>
        <w:contextualSpacing/>
        <w:rPr>
          <w:rFonts w:eastAsia="Times New Roman" w:cs="Times New Roman"/>
          <w:color w:val="4A4A4A"/>
          <w:sz w:val="21"/>
          <w:szCs w:val="21"/>
          <w:lang w:eastAsia="en-GB"/>
        </w:rPr>
      </w:pPr>
    </w:p>
    <w:p w14:paraId="34F5A35E" w14:textId="77777777" w:rsidR="004605D2" w:rsidRDefault="004605D2" w:rsidP="004605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particular challenge for economic development and sustainability.</w:t>
      </w:r>
    </w:p>
    <w:p w14:paraId="4E892FD4" w14:textId="77777777" w:rsidR="004605D2" w:rsidRDefault="004605D2" w:rsidP="004605D2">
      <w:pPr>
        <w:shd w:val="clear" w:color="auto" w:fill="FFFFFF"/>
        <w:spacing w:after="0"/>
        <w:contextualSpacing/>
        <w:rPr>
          <w:rFonts w:eastAsia="Times New Roman" w:cs="Times New Roman"/>
          <w:color w:val="4A4A4A"/>
          <w:sz w:val="21"/>
          <w:szCs w:val="21"/>
          <w:lang w:eastAsia="en-GB"/>
        </w:rPr>
      </w:pPr>
    </w:p>
    <w:p w14:paraId="7FFCBA51" w14:textId="77777777" w:rsidR="004605D2" w:rsidRPr="00375232" w:rsidRDefault="004605D2" w:rsidP="1FD4E239">
      <w:pPr>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However, extremely low values may indicate the inability of a country to use properly its water resources for the benefit of the population. In such cases, a moderate and controlled increase in the value of the indicator can be a sign of positive development.</w:t>
      </w:r>
    </w:p>
    <w:p w14:paraId="4945D399" w14:textId="23DB9D3D" w:rsidR="1FD4E239" w:rsidRDefault="1FD4E239" w:rsidP="1FD4E239">
      <w:pPr>
        <w:shd w:val="clear" w:color="auto" w:fill="FFFFFF" w:themeFill="background1"/>
        <w:spacing w:after="0"/>
        <w:rPr>
          <w:rFonts w:eastAsia="Times New Roman" w:cs="Times New Roman"/>
          <w:color w:val="4A4A4A"/>
          <w:sz w:val="21"/>
          <w:szCs w:val="21"/>
          <w:lang w:eastAsia="en-GB"/>
        </w:rPr>
      </w:pPr>
    </w:p>
    <w:p w14:paraId="5E42C579" w14:textId="77777777" w:rsidR="16F130DF" w:rsidRDefault="16F130DF" w:rsidP="1FD4E239">
      <w:pPr>
        <w:pStyle w:val="MText"/>
      </w:pPr>
      <w:r>
        <w:t>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w:t>
      </w:r>
    </w:p>
    <w:p w14:paraId="0440ED4E" w14:textId="77777777" w:rsidR="16F130DF" w:rsidRDefault="16F130DF" w:rsidP="1FD4E239">
      <w:pPr>
        <w:pStyle w:val="MText"/>
      </w:pPr>
      <w:r>
        <w:t>The indicator is computed based on three components:</w:t>
      </w:r>
    </w:p>
    <w:p w14:paraId="084880D7" w14:textId="77777777" w:rsidR="16F130DF" w:rsidRPr="00993A06" w:rsidRDefault="16F130DF" w:rsidP="00993A06">
      <w:pPr>
        <w:pStyle w:val="MText"/>
        <w:numPr>
          <w:ilvl w:val="0"/>
          <w:numId w:val="26"/>
        </w:numPr>
      </w:pPr>
      <w:r w:rsidRPr="00993A06">
        <w:t>Total renewable freshwater resources (TRWR)</w:t>
      </w:r>
    </w:p>
    <w:p w14:paraId="74ED7A3F" w14:textId="77777777" w:rsidR="16F130DF" w:rsidRPr="00993A06" w:rsidRDefault="16F130DF" w:rsidP="00993A06">
      <w:pPr>
        <w:pStyle w:val="MText"/>
        <w:numPr>
          <w:ilvl w:val="0"/>
          <w:numId w:val="26"/>
        </w:numPr>
      </w:pPr>
      <w:r w:rsidRPr="00993A06">
        <w:t>Total freshwater withdrawal (TFWW)</w:t>
      </w:r>
    </w:p>
    <w:p w14:paraId="3CBA532C" w14:textId="1A3C04B8" w:rsidR="16F130DF" w:rsidRPr="00993A06" w:rsidRDefault="16F130DF" w:rsidP="00993A06">
      <w:pPr>
        <w:pStyle w:val="MText"/>
        <w:numPr>
          <w:ilvl w:val="0"/>
          <w:numId w:val="26"/>
        </w:numPr>
      </w:pPr>
      <w:r w:rsidRPr="00993A06">
        <w:t>Environmental flow requirements (EFR)</w:t>
      </w:r>
    </w:p>
    <w:p w14:paraId="0B8DC0B1" w14:textId="77777777" w:rsidR="001F618B" w:rsidRDefault="001F618B" w:rsidP="1FD4E239">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067B013"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Freshw</w:t>
      </w:r>
      <w:r w:rsidRPr="00375232">
        <w:rPr>
          <w:rFonts w:eastAsia="Times New Roman" w:cs="Times New Roman"/>
          <w:color w:val="4A4A4A"/>
          <w:sz w:val="21"/>
          <w:szCs w:val="21"/>
          <w:lang w:eastAsia="en-GB"/>
        </w:rPr>
        <w:t xml:space="preserve">ater withdrawal as a percentage of </w:t>
      </w:r>
      <w:r>
        <w:rPr>
          <w:rFonts w:eastAsia="Times New Roman" w:cs="Times New Roman"/>
          <w:color w:val="4A4A4A"/>
          <w:sz w:val="21"/>
          <w:szCs w:val="21"/>
          <w:lang w:eastAsia="en-GB"/>
        </w:rPr>
        <w:t>renewable fresh</w:t>
      </w:r>
      <w:r w:rsidRPr="00375232">
        <w:rPr>
          <w:rFonts w:eastAsia="Times New Roman" w:cs="Times New Roman"/>
          <w:color w:val="4A4A4A"/>
          <w:sz w:val="21"/>
          <w:szCs w:val="21"/>
          <w:lang w:eastAsia="en-GB"/>
        </w:rPr>
        <w:t xml:space="preserve">water resources is a good indicator of pressure on limited water resources, one of the most important natural resources. However, it only partially addresses the issues related to sustainable water management. </w:t>
      </w:r>
    </w:p>
    <w:p w14:paraId="44DA9986"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1140949B" w14:textId="243CDF8F"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Supplementary indicators that capture the multiple dimensions of water management would combine data on water demand management, behavioural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that affect water use in countries, </w:t>
      </w:r>
      <w:r w:rsidR="003C4EB9">
        <w:rPr>
          <w:rFonts w:eastAsia="Times New Roman" w:cs="Times New Roman"/>
          <w:color w:val="4A4A4A"/>
          <w:sz w:val="21"/>
          <w:szCs w:val="21"/>
          <w:lang w:eastAsia="en-GB"/>
        </w:rPr>
        <w:t>especially</w:t>
      </w:r>
      <w:r w:rsidRPr="00375232">
        <w:rPr>
          <w:rFonts w:eastAsia="Times New Roman" w:cs="Times New Roman"/>
          <w:color w:val="4A4A4A"/>
          <w:sz w:val="21"/>
          <w:szCs w:val="21"/>
          <w:lang w:eastAsia="en-GB"/>
        </w:rPr>
        <w:t xml:space="preserve"> in agriculture, which is the main user of water. </w:t>
      </w:r>
      <w:r w:rsidRPr="00B34D45">
        <w:rPr>
          <w:rFonts w:eastAsia="Times New Roman" w:cs="Times New Roman"/>
          <w:color w:val="4A4A4A"/>
          <w:sz w:val="21"/>
          <w:szCs w:val="21"/>
          <w:lang w:eastAsia="en-GB"/>
        </w:rPr>
        <w:t>Sustainability assessment is also linked to the critical thresholds fixed for this indicator</w:t>
      </w:r>
      <w:r>
        <w:rPr>
          <w:rFonts w:eastAsia="Times New Roman" w:cs="Times New Roman"/>
          <w:color w:val="4A4A4A"/>
          <w:sz w:val="21"/>
          <w:szCs w:val="21"/>
          <w:lang w:eastAsia="en-GB"/>
        </w:rPr>
        <w:t>. Although</w:t>
      </w:r>
      <w:r w:rsidRPr="00B34D45">
        <w:rPr>
          <w:rFonts w:eastAsia="Times New Roman" w:cs="Times New Roman"/>
          <w:color w:val="4A4A4A"/>
          <w:sz w:val="21"/>
          <w:szCs w:val="21"/>
          <w:lang w:eastAsia="en-GB"/>
        </w:rPr>
        <w:t xml:space="preserve"> there is no universal consensus on such threshold</w:t>
      </w:r>
      <w:r>
        <w:rPr>
          <w:rFonts w:eastAsia="Times New Roman" w:cs="Times New Roman"/>
          <w:color w:val="4A4A4A"/>
          <w:sz w:val="21"/>
          <w:szCs w:val="21"/>
          <w:lang w:eastAsia="en-GB"/>
        </w:rPr>
        <w:t>s, a proposal is presented below.</w:t>
      </w:r>
    </w:p>
    <w:p w14:paraId="7591B980"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7286505E"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Trends in </w:t>
      </w:r>
      <w:r>
        <w:rPr>
          <w:rFonts w:eastAsia="Times New Roman" w:cs="Times New Roman"/>
          <w:color w:val="4A4A4A"/>
          <w:sz w:val="21"/>
          <w:szCs w:val="21"/>
          <w:lang w:eastAsia="en-GB"/>
        </w:rPr>
        <w:t>fresh</w:t>
      </w:r>
      <w:r w:rsidRPr="00375232">
        <w:rPr>
          <w:rFonts w:eastAsia="Times New Roman" w:cs="Times New Roman"/>
          <w:color w:val="4A4A4A"/>
          <w:sz w:val="21"/>
          <w:szCs w:val="21"/>
          <w:lang w:eastAsia="en-GB"/>
        </w:rPr>
        <w:t xml:space="preserve">water withdrawal show relatively slow patterns of change. Usually, three-five years are a minimum frequency to be able to detect significant changes, as it is unlikely that the indicator would show meaningful variations from one year to the other. </w:t>
      </w:r>
    </w:p>
    <w:p w14:paraId="25C62381"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3D4CE15B" w14:textId="51B3E345"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w:t>
      </w:r>
      <w:r>
        <w:rPr>
          <w:rFonts w:eastAsia="Times New Roman" w:cs="Times New Roman"/>
          <w:color w:val="4A4A4A"/>
          <w:sz w:val="21"/>
          <w:szCs w:val="21"/>
          <w:lang w:eastAsia="en-GB"/>
        </w:rPr>
        <w:t>may represent a</w:t>
      </w:r>
      <w:r w:rsidRPr="00375232">
        <w:rPr>
          <w:rFonts w:eastAsia="Times New Roman" w:cs="Times New Roman"/>
          <w:color w:val="4A4A4A"/>
          <w:sz w:val="21"/>
          <w:szCs w:val="21"/>
          <w:lang w:eastAsia="en-GB"/>
        </w:rPr>
        <w:t xml:space="preserve"> limitation to the computation of the indicator. Few countries publish water withdrawal data on a regular basis by sector. </w:t>
      </w:r>
    </w:p>
    <w:p w14:paraId="496E4390"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2622CD8C"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20342C5C"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p>
    <w:p w14:paraId="0C967741"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Other limitations that affect the interpretation of the water stress indicator include: </w:t>
      </w:r>
    </w:p>
    <w:p w14:paraId="0369A413" w14:textId="6FA226BA"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difficulty to obtain accurate, complete and up-to-date data; </w:t>
      </w:r>
    </w:p>
    <w:p w14:paraId="06C82DDE" w14:textId="3AB4A768"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potentially large variation of sub-national data; </w:t>
      </w:r>
    </w:p>
    <w:p w14:paraId="489463A2" w14:textId="3F8701BF"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lack of account of </w:t>
      </w:r>
      <w:r w:rsidR="00B0219C" w:rsidRPr="00EC0CCF">
        <w:rPr>
          <w:rFonts w:eastAsia="Times New Roman" w:cs="Times New Roman"/>
          <w:color w:val="4A4A4A"/>
          <w:sz w:val="21"/>
          <w:szCs w:val="21"/>
          <w:lang w:eastAsia="en-GB"/>
        </w:rPr>
        <w:t>historical (</w:t>
      </w:r>
      <w:r w:rsidR="007E3CD7" w:rsidRPr="00EC0CCF">
        <w:rPr>
          <w:rFonts w:eastAsia="Times New Roman" w:cs="Times New Roman"/>
          <w:color w:val="4A4A4A"/>
          <w:sz w:val="21"/>
          <w:szCs w:val="21"/>
          <w:lang w:eastAsia="en-GB"/>
        </w:rPr>
        <w:t>e.g.</w:t>
      </w:r>
      <w:r w:rsidR="00B0219C" w:rsidRPr="00EC0CCF">
        <w:rPr>
          <w:rFonts w:eastAsia="Times New Roman" w:cs="Times New Roman"/>
          <w:color w:val="4A4A4A"/>
          <w:sz w:val="21"/>
          <w:szCs w:val="21"/>
          <w:lang w:eastAsia="en-GB"/>
        </w:rPr>
        <w:t xml:space="preserve">, due to climate change and </w:t>
      </w:r>
      <w:r w:rsidR="007E3CD7" w:rsidRPr="00EC0CCF">
        <w:rPr>
          <w:rFonts w:eastAsia="Times New Roman" w:cs="Times New Roman"/>
          <w:color w:val="4A4A4A"/>
          <w:sz w:val="21"/>
          <w:szCs w:val="21"/>
          <w:lang w:eastAsia="en-GB"/>
        </w:rPr>
        <w:t xml:space="preserve">population growth) and </w:t>
      </w:r>
      <w:r w:rsidRPr="00EC0CCF">
        <w:rPr>
          <w:rFonts w:eastAsia="Times New Roman" w:cs="Times New Roman"/>
          <w:color w:val="4A4A4A"/>
          <w:sz w:val="21"/>
          <w:szCs w:val="21"/>
          <w:lang w:eastAsia="en-GB"/>
        </w:rPr>
        <w:t>seasonal variations in water resources;</w:t>
      </w:r>
    </w:p>
    <w:p w14:paraId="7FBF0A5A" w14:textId="395AC25F"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lack of consideration to the distribution among water uses; </w:t>
      </w:r>
    </w:p>
    <w:p w14:paraId="5EFD09FE" w14:textId="69DF8303" w:rsidR="00717CB4"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lack of consideration of water quality and its suitability for use; and</w:t>
      </w:r>
    </w:p>
    <w:p w14:paraId="7DCC58B3" w14:textId="384AC187" w:rsidR="00B430B8" w:rsidRPr="00EC0CCF" w:rsidRDefault="00717CB4" w:rsidP="00EC0CCF">
      <w:pPr>
        <w:pStyle w:val="ListParagraph"/>
        <w:numPr>
          <w:ilvl w:val="0"/>
          <w:numId w:val="23"/>
        </w:numPr>
        <w:shd w:val="clear" w:color="auto" w:fill="FFFFFF"/>
        <w:spacing w:after="0"/>
        <w:rPr>
          <w:rFonts w:eastAsia="Times New Roman" w:cs="Times New Roman"/>
          <w:color w:val="4A4A4A"/>
          <w:sz w:val="21"/>
          <w:szCs w:val="21"/>
          <w:lang w:eastAsia="en-GB"/>
        </w:rPr>
      </w:pPr>
      <w:r w:rsidRPr="00EC0CCF">
        <w:rPr>
          <w:rFonts w:eastAsia="Times New Roman" w:cs="Times New Roman"/>
          <w:color w:val="4A4A4A"/>
          <w:sz w:val="21"/>
          <w:szCs w:val="21"/>
          <w:lang w:eastAsia="en-GB"/>
        </w:rPr>
        <w:t xml:space="preserve">the indicator can be higher than 100 percent when water withdrawal non-renewable freshwater (fossil groundwater), when annual groundwater withdrawal is higher than annual replenishment (over-abstraction) or when freshwater withdrawal includes </w:t>
      </w:r>
      <w:proofErr w:type="gramStart"/>
      <w:r w:rsidRPr="00EC0CCF">
        <w:rPr>
          <w:rFonts w:eastAsia="Times New Roman" w:cs="Times New Roman"/>
          <w:color w:val="4A4A4A"/>
          <w:sz w:val="21"/>
          <w:szCs w:val="21"/>
          <w:lang w:eastAsia="en-GB"/>
        </w:rPr>
        <w:t>part</w:t>
      </w:r>
      <w:proofErr w:type="gramEnd"/>
      <w:r w:rsidRPr="00EC0CCF">
        <w:rPr>
          <w:rFonts w:eastAsia="Times New Roman" w:cs="Times New Roman"/>
          <w:color w:val="4A4A4A"/>
          <w:sz w:val="21"/>
          <w:szCs w:val="21"/>
          <w:lang w:eastAsia="en-GB"/>
        </w:rPr>
        <w:t xml:space="preserve"> or all the water set aside for environmental flow requirements. </w:t>
      </w:r>
    </w:p>
    <w:p w14:paraId="273E35F7" w14:textId="77777777" w:rsidR="00717CB4" w:rsidRPr="00375232" w:rsidRDefault="00717CB4" w:rsidP="00717CB4">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Some of these issues can be solved through disaggregation of the </w:t>
      </w:r>
      <w:r>
        <w:rPr>
          <w:rFonts w:eastAsia="Times New Roman" w:cs="Times New Roman"/>
          <w:color w:val="4A4A4A"/>
          <w:sz w:val="21"/>
          <w:szCs w:val="21"/>
          <w:lang w:eastAsia="en-GB"/>
        </w:rPr>
        <w:t>indicator</w:t>
      </w:r>
      <w:r w:rsidRPr="00375232">
        <w:rPr>
          <w:rFonts w:eastAsia="Times New Roman" w:cs="Times New Roman"/>
          <w:color w:val="4A4A4A"/>
          <w:sz w:val="21"/>
          <w:szCs w:val="21"/>
          <w:lang w:eastAsia="en-GB"/>
        </w:rPr>
        <w:t xml:space="preserve"> at the level of hydrological units and by distinguishing between different use sectors. However, due to the complexity of water flows, both within a country and between countries, care should be taken not to double-count.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388B4B1"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Computation Method:</w:t>
      </w:r>
    </w:p>
    <w:p w14:paraId="5CDFAD05"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Method of computation: The indicator is computed as the total freshwater withdrawn (</w:t>
      </w:r>
      <w:r>
        <w:rPr>
          <w:rFonts w:eastAsia="Times New Roman" w:cs="Times New Roman"/>
          <w:color w:val="4A4A4A"/>
          <w:sz w:val="21"/>
          <w:szCs w:val="21"/>
          <w:lang w:eastAsia="en-GB"/>
        </w:rPr>
        <w:t>TFWW</w:t>
      </w:r>
      <w:r w:rsidRPr="00375232">
        <w:rPr>
          <w:rFonts w:eastAsia="Times New Roman" w:cs="Times New Roman"/>
          <w:color w:val="4A4A4A"/>
          <w:sz w:val="21"/>
          <w:szCs w:val="21"/>
          <w:lang w:eastAsia="en-GB"/>
        </w:rPr>
        <w:t xml:space="preserve">) divided by the difference between the total renewable freshwater resources (TRWR) and the environmental </w:t>
      </w:r>
      <w:r>
        <w:rPr>
          <w:rFonts w:eastAsia="Times New Roman" w:cs="Times New Roman"/>
          <w:color w:val="4A4A4A"/>
          <w:sz w:val="21"/>
          <w:szCs w:val="21"/>
          <w:lang w:eastAsia="en-GB"/>
        </w:rPr>
        <w:t>flow</w:t>
      </w:r>
      <w:r w:rsidRPr="00375232">
        <w:rPr>
          <w:rFonts w:eastAsia="Times New Roman" w:cs="Times New Roman"/>
          <w:color w:val="4A4A4A"/>
          <w:sz w:val="21"/>
          <w:szCs w:val="21"/>
          <w:lang w:eastAsia="en-GB"/>
        </w:rPr>
        <w:t xml:space="preserve"> requirements (</w:t>
      </w:r>
      <w:r>
        <w:rPr>
          <w:rFonts w:eastAsia="Times New Roman" w:cs="Times New Roman"/>
          <w:color w:val="4A4A4A"/>
          <w:sz w:val="21"/>
          <w:szCs w:val="21"/>
          <w:lang w:eastAsia="en-GB"/>
        </w:rPr>
        <w:t>EFR</w:t>
      </w:r>
      <w:r w:rsidRPr="00375232">
        <w:rPr>
          <w:rFonts w:eastAsia="Times New Roman" w:cs="Times New Roman"/>
          <w:color w:val="4A4A4A"/>
          <w:sz w:val="21"/>
          <w:szCs w:val="21"/>
          <w:lang w:eastAsia="en-GB"/>
        </w:rPr>
        <w:t>), multiplied by 100. All variables are expressed in km</w:t>
      </w:r>
      <w:r w:rsidRPr="00375232">
        <w:rPr>
          <w:rFonts w:eastAsia="Times New Roman" w:cs="Times New Roman"/>
          <w:color w:val="4A4A4A"/>
          <w:sz w:val="21"/>
          <w:szCs w:val="21"/>
          <w:vertAlign w:val="superscript"/>
          <w:lang w:eastAsia="en-GB"/>
        </w:rPr>
        <w:t>3</w:t>
      </w:r>
      <w:r w:rsidRPr="00375232">
        <w:rPr>
          <w:rFonts w:eastAsia="Times New Roman" w:cs="Times New Roman"/>
          <w:color w:val="4A4A4A"/>
          <w:sz w:val="21"/>
          <w:szCs w:val="21"/>
          <w:lang w:eastAsia="en-GB"/>
        </w:rPr>
        <w:t>/year (10</w:t>
      </w:r>
      <w:r w:rsidRPr="00375232">
        <w:rPr>
          <w:rFonts w:eastAsia="Times New Roman" w:cs="Times New Roman"/>
          <w:color w:val="4A4A4A"/>
          <w:sz w:val="21"/>
          <w:szCs w:val="21"/>
          <w:vertAlign w:val="superscript"/>
          <w:lang w:eastAsia="en-GB"/>
        </w:rPr>
        <w:t>9</w:t>
      </w:r>
      <w:r w:rsidRPr="00375232">
        <w:rPr>
          <w:rFonts w:eastAsia="Times New Roman" w:cs="Times New Roman"/>
          <w:color w:val="4A4A4A"/>
          <w:sz w:val="21"/>
          <w:szCs w:val="21"/>
          <w:lang w:eastAsia="en-GB"/>
        </w:rPr>
        <w:t xml:space="preserve"> m</w:t>
      </w:r>
      <w:r w:rsidRPr="00375232">
        <w:rPr>
          <w:rFonts w:eastAsia="Times New Roman" w:cs="Times New Roman"/>
          <w:color w:val="4A4A4A"/>
          <w:sz w:val="21"/>
          <w:szCs w:val="21"/>
          <w:vertAlign w:val="superscript"/>
          <w:lang w:eastAsia="en-GB"/>
        </w:rPr>
        <w:t>3</w:t>
      </w:r>
      <w:r w:rsidRPr="00375232">
        <w:rPr>
          <w:rFonts w:eastAsia="Times New Roman" w:cs="Times New Roman"/>
          <w:color w:val="4A4A4A"/>
          <w:sz w:val="21"/>
          <w:szCs w:val="21"/>
          <w:lang w:eastAsia="en-GB"/>
        </w:rPr>
        <w:t>/year).</w:t>
      </w:r>
    </w:p>
    <w:p w14:paraId="0BFD8431"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p>
    <w:p w14:paraId="50DBE6FC" w14:textId="037D2ACF" w:rsidR="005742E0" w:rsidRPr="00375232" w:rsidRDefault="00B25C2A" w:rsidP="00B25C2A">
      <w:pPr>
        <w:shd w:val="clear" w:color="auto" w:fill="FFFFFF"/>
        <w:spacing w:after="0"/>
        <w:contextualSpacing/>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w:lastRenderedPageBreak/>
            <m:t xml:space="preserve">Stress </m:t>
          </m:r>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m:t>
              </m:r>
            </m:e>
          </m:d>
          <m:r>
            <w:rPr>
              <w:rFonts w:ascii="Cambria Math" w:eastAsia="Times New Roman" w:hAnsi="Cambria Math" w:cs="Times New Roman"/>
              <w:color w:val="4A4A4A"/>
              <w:sz w:val="21"/>
              <w:szCs w:val="21"/>
              <w:lang w:eastAsia="en-GB"/>
            </w:rPr>
            <m:t xml:space="preserve">=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TFWW</m:t>
              </m:r>
            </m:num>
            <m:den>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TRWR-EFR</m:t>
                  </m:r>
                </m:e>
              </m:d>
            </m:den>
          </m:f>
          <m:r>
            <w:rPr>
              <w:rFonts w:ascii="Cambria Math" w:eastAsia="Times New Roman" w:hAnsi="Cambria Math" w:cs="Times New Roman"/>
              <w:color w:val="4A4A4A"/>
              <w:sz w:val="21"/>
              <w:szCs w:val="21"/>
              <w:lang w:eastAsia="en-GB"/>
            </w:rPr>
            <m:t>×100</m:t>
          </m:r>
        </m:oMath>
      </m:oMathPara>
    </w:p>
    <w:p w14:paraId="7D2E6531" w14:textId="77777777" w:rsidR="00B25C2A" w:rsidRDefault="00B25C2A" w:rsidP="00B25C2A">
      <w:pPr>
        <w:shd w:val="clear" w:color="auto" w:fill="FFFFFF"/>
        <w:spacing w:after="0"/>
        <w:contextualSpacing/>
        <w:rPr>
          <w:rFonts w:eastAsia="Times New Roman" w:cs="Times New Roman"/>
          <w:color w:val="4A4A4A"/>
          <w:sz w:val="21"/>
          <w:szCs w:val="21"/>
          <w:lang w:eastAsia="en-GB"/>
        </w:rPr>
      </w:pPr>
    </w:p>
    <w:p w14:paraId="77ED0853" w14:textId="77777777" w:rsidR="00B25C2A" w:rsidRPr="00CB6543" w:rsidRDefault="00B25C2A" w:rsidP="00B25C2A">
      <w:pPr>
        <w:rPr>
          <w:rFonts w:eastAsia="Times New Roman" w:cs="Times New Roman"/>
          <w:color w:val="4A4A4A"/>
          <w:sz w:val="21"/>
          <w:szCs w:val="21"/>
          <w:lang w:eastAsia="en-GB"/>
        </w:rPr>
      </w:pPr>
      <w:r w:rsidRPr="00CB6543">
        <w:rPr>
          <w:rFonts w:eastAsia="Times New Roman" w:cs="Times New Roman"/>
          <w:color w:val="4A4A4A"/>
          <w:sz w:val="21"/>
          <w:szCs w:val="21"/>
          <w:lang w:eastAsia="en-GB"/>
        </w:rPr>
        <w:t>Following the experience of the initial five years of application of the indicator, and consistent with the approach taken during the MDG program, the threshold of 25% has been identified as the upper limit for a full and unconditional safety of water stress as assessed by the indicator 6.4.2.</w:t>
      </w:r>
    </w:p>
    <w:p w14:paraId="5B655E59" w14:textId="77777777" w:rsidR="00B25C2A" w:rsidRPr="00CB6543" w:rsidRDefault="00B25C2A" w:rsidP="00B25C2A">
      <w:pPr>
        <w:rPr>
          <w:rFonts w:eastAsia="Times New Roman" w:cs="Times New Roman"/>
          <w:color w:val="4A4A4A"/>
          <w:sz w:val="21"/>
          <w:szCs w:val="21"/>
          <w:lang w:eastAsia="en-GB"/>
        </w:rPr>
      </w:pPr>
      <w:r w:rsidRPr="00CB6543">
        <w:rPr>
          <w:rFonts w:eastAsia="Times New Roman" w:cs="Times New Roman"/>
          <w:color w:val="4A4A4A"/>
          <w:sz w:val="21"/>
          <w:szCs w:val="21"/>
          <w:lang w:eastAsia="en-GB"/>
        </w:rPr>
        <w:t>That means on one hand, that values below 25% can be considered safe in any instance (no stress); on the other, that values above 25% should be regarded as potentially and increasingly problematic, and should be qualified and/or reduced.</w:t>
      </w:r>
    </w:p>
    <w:p w14:paraId="5AE16275" w14:textId="77777777" w:rsidR="00B25C2A" w:rsidRPr="00616A54" w:rsidRDefault="00B25C2A" w:rsidP="00B25C2A">
      <w:pPr>
        <w:shd w:val="clear" w:color="auto" w:fill="FFFFFF"/>
        <w:spacing w:after="0"/>
        <w:contextualSpacing/>
        <w:rPr>
          <w:rFonts w:eastAsia="Times New Roman" w:cs="Times New Roman"/>
          <w:color w:val="4A4A4A"/>
          <w:sz w:val="21"/>
          <w:szCs w:val="21"/>
          <w:lang w:eastAsia="en-GB"/>
        </w:rPr>
      </w:pPr>
      <w:r w:rsidRPr="00CB6543">
        <w:rPr>
          <w:rFonts w:eastAsia="Times New Roman" w:cs="Times New Roman"/>
          <w:color w:val="4A4A4A"/>
          <w:sz w:val="21"/>
          <w:szCs w:val="21"/>
          <w:lang w:eastAsia="en-GB"/>
        </w:rPr>
        <w:t>Above 25% of water stress, four classes have been identified to signal different levels of stress severity:</w:t>
      </w:r>
    </w:p>
    <w:p w14:paraId="594F877D"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NO STRESS &lt;25%</w:t>
      </w:r>
      <w:r w:rsidRPr="00A9302C">
        <w:rPr>
          <w:rFonts w:eastAsia="Times New Roman" w:cs="Times New Roman"/>
          <w:color w:val="4A4A4A"/>
          <w:sz w:val="21"/>
          <w:szCs w:val="21"/>
          <w:lang w:val="en-US" w:eastAsia="en-GB"/>
        </w:rPr>
        <w:t> </w:t>
      </w:r>
    </w:p>
    <w:p w14:paraId="5B0DABB6"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LOW 25% - 50%</w:t>
      </w:r>
      <w:r w:rsidRPr="00A9302C">
        <w:rPr>
          <w:rFonts w:eastAsia="Times New Roman" w:cs="Times New Roman"/>
          <w:color w:val="4A4A4A"/>
          <w:sz w:val="21"/>
          <w:szCs w:val="21"/>
          <w:lang w:val="en-US" w:eastAsia="en-GB"/>
        </w:rPr>
        <w:t> </w:t>
      </w:r>
    </w:p>
    <w:p w14:paraId="36815523"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MEDIUM 50% - 75%</w:t>
      </w:r>
      <w:r w:rsidRPr="00A9302C">
        <w:rPr>
          <w:rFonts w:eastAsia="Times New Roman" w:cs="Times New Roman"/>
          <w:color w:val="4A4A4A"/>
          <w:sz w:val="21"/>
          <w:szCs w:val="21"/>
          <w:lang w:val="en-US" w:eastAsia="en-GB"/>
        </w:rPr>
        <w:t> </w:t>
      </w:r>
    </w:p>
    <w:p w14:paraId="1AABE866" w14:textId="77777777"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val="en-US" w:eastAsia="en-GB"/>
        </w:rPr>
        <w:t>HIGH 75-100%</w:t>
      </w:r>
    </w:p>
    <w:p w14:paraId="1B464CF1" w14:textId="456C8EBB" w:rsidR="00B25C2A" w:rsidRPr="00A9302C" w:rsidRDefault="00B25C2A" w:rsidP="00EC0CCF">
      <w:pPr>
        <w:pStyle w:val="ListParagraph"/>
        <w:numPr>
          <w:ilvl w:val="0"/>
          <w:numId w:val="14"/>
        </w:numPr>
        <w:shd w:val="clear" w:color="auto" w:fill="FFFFFF"/>
        <w:spacing w:after="0"/>
        <w:rPr>
          <w:rFonts w:eastAsia="Times New Roman" w:cs="Times New Roman"/>
          <w:color w:val="4A4A4A"/>
          <w:sz w:val="21"/>
          <w:szCs w:val="21"/>
          <w:lang w:val="en-US" w:eastAsia="en-GB"/>
        </w:rPr>
      </w:pPr>
      <w:r w:rsidRPr="00A9302C">
        <w:rPr>
          <w:rFonts w:eastAsia="Times New Roman" w:cs="Times New Roman"/>
          <w:color w:val="4A4A4A"/>
          <w:sz w:val="21"/>
          <w:szCs w:val="21"/>
          <w:lang w:eastAsia="en-GB"/>
        </w:rPr>
        <w:t>CRITICAL &gt;100%</w:t>
      </w:r>
      <w:r w:rsidRPr="00A9302C">
        <w:rPr>
          <w:rFonts w:eastAsia="Times New Roman" w:cs="Times New Roman"/>
          <w:color w:val="4A4A4A"/>
          <w:sz w:val="21"/>
          <w:szCs w:val="21"/>
          <w:lang w:val="en-US" w:eastAsia="en-GB"/>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62B7777" w14:textId="73DFF2BB" w:rsidR="007F0369" w:rsidRPr="003817F1" w:rsidRDefault="2BD80C30" w:rsidP="003817F1">
      <w:pPr>
        <w:pStyle w:val="MText"/>
        <w:rPr>
          <w:rFonts w:eastAsia="Calibri"/>
        </w:rPr>
      </w:pPr>
      <w:r w:rsidRPr="003817F1">
        <w:rPr>
          <w:rFonts w:eastAsia="Calibri"/>
        </w:rPr>
        <w:t xml:space="preserve">Data validation is done in </w:t>
      </w:r>
      <w:r w:rsidR="006F3E0D">
        <w:rPr>
          <w:rFonts w:eastAsia="Calibri"/>
        </w:rPr>
        <w:t>a few</w:t>
      </w:r>
      <w:r w:rsidRPr="003817F1">
        <w:rPr>
          <w:rFonts w:eastAsia="Calibri"/>
        </w:rPr>
        <w:t xml:space="preserve"> steps. </w:t>
      </w:r>
    </w:p>
    <w:p w14:paraId="33463074" w14:textId="184FF8B9" w:rsidR="1FD4E239" w:rsidRPr="003817F1" w:rsidRDefault="1FD4E239" w:rsidP="003817F1">
      <w:pPr>
        <w:pStyle w:val="MText"/>
        <w:rPr>
          <w:rFonts w:eastAsia="Calibri"/>
        </w:rPr>
      </w:pPr>
    </w:p>
    <w:p w14:paraId="2587BEA5" w14:textId="2F8A5259" w:rsidR="00D85023" w:rsidRPr="003817F1" w:rsidRDefault="00D85023" w:rsidP="003817F1">
      <w:pPr>
        <w:pStyle w:val="MText"/>
        <w:numPr>
          <w:ilvl w:val="0"/>
          <w:numId w:val="24"/>
        </w:numPr>
      </w:pPr>
      <w:r w:rsidRPr="00D85023">
        <w:t>the AQUASTAT questionnaire embeds automatic validation rules to allow National Correspondents to identify any data consistency errors while compiling the data.</w:t>
      </w:r>
    </w:p>
    <w:p w14:paraId="3472B877" w14:textId="4B77A961" w:rsidR="2BD80C30" w:rsidRPr="003817F1" w:rsidRDefault="2BD80C30" w:rsidP="003817F1">
      <w:pPr>
        <w:pStyle w:val="MText"/>
        <w:numPr>
          <w:ilvl w:val="0"/>
          <w:numId w:val="24"/>
        </w:numPr>
      </w:pPr>
      <w:r w:rsidRPr="003817F1">
        <w:rPr>
          <w:rFonts w:eastAsia="Calibri"/>
        </w:rPr>
        <w:t>Once the questionnaire is submitted, FAO thoroughly reviews the information reported, using the following tools:</w:t>
      </w:r>
    </w:p>
    <w:p w14:paraId="19E85634" w14:textId="751B59A6" w:rsidR="2BD80C30" w:rsidRPr="003817F1" w:rsidRDefault="2BD80C30" w:rsidP="003817F1">
      <w:pPr>
        <w:pStyle w:val="MText"/>
        <w:numPr>
          <w:ilvl w:val="1"/>
          <w:numId w:val="24"/>
        </w:numPr>
      </w:pPr>
      <w:r w:rsidRPr="003817F1">
        <w:rPr>
          <w:rFonts w:eastAsia="Calibri"/>
        </w:rPr>
        <w:t xml:space="preserve">Manual cross-variable check. This includes cross-comparison with similar countries as well as historic data for the countries. </w:t>
      </w:r>
    </w:p>
    <w:p w14:paraId="658DA43D" w14:textId="2E5AA8D8" w:rsidR="2BD80C30" w:rsidRPr="003817F1" w:rsidRDefault="2BD80C30" w:rsidP="003817F1">
      <w:pPr>
        <w:pStyle w:val="MText"/>
        <w:numPr>
          <w:ilvl w:val="1"/>
          <w:numId w:val="24"/>
        </w:numPr>
      </w:pPr>
      <w:r w:rsidRPr="003817F1">
        <w:rPr>
          <w:rFonts w:eastAsia="Calibri"/>
        </w:rPr>
        <w:t>Time-series coherency by running an R-script to compare reported data with those corresponding to previous years</w:t>
      </w:r>
    </w:p>
    <w:p w14:paraId="4D442D40" w14:textId="6BAD3F4B" w:rsidR="2BD80C30" w:rsidRPr="003817F1" w:rsidRDefault="2BD80C30" w:rsidP="003817F1">
      <w:pPr>
        <w:pStyle w:val="MText"/>
        <w:numPr>
          <w:ilvl w:val="1"/>
          <w:numId w:val="24"/>
        </w:numPr>
      </w:pPr>
      <w:r w:rsidRPr="003817F1">
        <w:rPr>
          <w:rFonts w:eastAsia="Calibri"/>
        </w:rPr>
        <w:t xml:space="preserve">Verification of the metadata, </w:t>
      </w:r>
      <w:r w:rsidR="003C4EB9">
        <w:rPr>
          <w:rFonts w:eastAsia="Calibri"/>
        </w:rPr>
        <w:t>especially</w:t>
      </w:r>
      <w:r w:rsidRPr="003817F1">
        <w:rPr>
          <w:rFonts w:eastAsia="Calibri"/>
        </w:rPr>
        <w:t xml:space="preserve"> the source of the proposed data. The critical analysis of the compiled data gives preference to national sources and expert knowledge.</w:t>
      </w:r>
    </w:p>
    <w:p w14:paraId="4895CF13" w14:textId="3AFCA848" w:rsidR="1FD4E239" w:rsidRDefault="1FD4E239" w:rsidP="1FD4E239">
      <w:pPr>
        <w:spacing w:after="0"/>
        <w:rPr>
          <w:rFonts w:ascii="Calibri" w:eastAsia="Calibri" w:hAnsi="Calibri" w:cs="Calibri"/>
          <w:color w:val="4A4A4A"/>
          <w:sz w:val="21"/>
          <w:szCs w:val="21"/>
        </w:rPr>
      </w:pPr>
    </w:p>
    <w:p w14:paraId="19C8BBBF" w14:textId="303DB582" w:rsidR="1FD4E239" w:rsidRPr="003817F1" w:rsidRDefault="2BD80C30" w:rsidP="003817F1">
      <w:pPr>
        <w:pStyle w:val="MText"/>
        <w:numPr>
          <w:ilvl w:val="0"/>
          <w:numId w:val="24"/>
        </w:numPr>
        <w:rPr>
          <w:rFonts w:eastAsia="Calibri"/>
        </w:rPr>
      </w:pPr>
      <w:r w:rsidRPr="003817F1">
        <w:rPr>
          <w:rFonts w:eastAsia="Calibri"/>
        </w:rPr>
        <w:t xml:space="preserve">After this verification, exchanges between the National Correspondents and FAO take place to correct and confirm the collected data. </w:t>
      </w:r>
    </w:p>
    <w:p w14:paraId="538D3BFB" w14:textId="4096360D" w:rsidR="2BD80C30" w:rsidRPr="003817F1" w:rsidRDefault="2BD80C30" w:rsidP="003817F1">
      <w:pPr>
        <w:pStyle w:val="MText"/>
        <w:numPr>
          <w:ilvl w:val="0"/>
          <w:numId w:val="24"/>
        </w:numPr>
        <w:rPr>
          <w:rFonts w:eastAsia="Calibri"/>
        </w:rPr>
      </w:pPr>
      <w:r w:rsidRPr="003817F1">
        <w:rPr>
          <w:rFonts w:eastAsia="Calibri"/>
        </w:rPr>
        <w:t>The last validation step is an automated validation routine included in the</w:t>
      </w:r>
      <w:r w:rsidR="009B280B" w:rsidRPr="003817F1">
        <w:rPr>
          <w:rFonts w:eastAsia="Calibri"/>
        </w:rPr>
        <w:t xml:space="preserve"> </w:t>
      </w:r>
      <w:r w:rsidRPr="003817F1">
        <w:rPr>
          <w:rFonts w:eastAsia="Calibri"/>
        </w:rPr>
        <w:t>Statistical Working System (SWS), which uses almost 200 validation rules.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BF10E12" w14:textId="1CCFA8A7" w:rsidR="00F743A2" w:rsidRPr="00A96255" w:rsidRDefault="50F8E241" w:rsidP="1FD4E239">
      <w:pPr>
        <w:pStyle w:val="MText"/>
        <w:rPr>
          <w:rFonts w:ascii="Calibri" w:eastAsia="Calibri" w:hAnsi="Calibri" w:cs="Calibri"/>
          <w:color w:val="D13438"/>
          <w:lang w:val="en-US"/>
        </w:rPr>
      </w:pPr>
      <w:r w:rsidRPr="003817F1">
        <w:rPr>
          <w:rFonts w:eastAsia="Calibri"/>
        </w:rPr>
        <w:t>Since national level data is frequently tailored to be useful at national level and not for international comparisons, data may be manipulated in order to maximize international comparability. Adjusted data is displayed with an appropriate qualifier. Data is rounded according to a specific methodology</w:t>
      </w:r>
      <w:r w:rsidRPr="003817F1">
        <w:rPr>
          <w:rFonts w:ascii="Calibri" w:eastAsia="Calibri" w:hAnsi="Calibri" w:cs="Calibri"/>
          <w:color w:val="D13438"/>
          <w:u w:val="single"/>
        </w:rPr>
        <w:t xml:space="preserve"> </w:t>
      </w:r>
      <w:hyperlink r:id="rId11" w:history="1">
        <w:r w:rsidRPr="003817F1">
          <w:rPr>
            <w:rStyle w:val="Hyperlink"/>
            <w:rFonts w:ascii="Calibri" w:eastAsia="Calibri" w:hAnsi="Calibri" w:cs="Calibri"/>
          </w:rPr>
          <w:t>http://www.fao.org/aquastat/en/databases/maindatabase/metadata/</w:t>
        </w:r>
      </w:hyperlink>
    </w:p>
    <w:p w14:paraId="4FB7A907" w14:textId="3EB37EFF" w:rsidR="00F743A2" w:rsidRPr="003817F1" w:rsidRDefault="00F743A2" w:rsidP="003817F1">
      <w:pPr>
        <w:pStyle w:val="MText"/>
        <w:rPr>
          <w:rFonts w:eastAsia="Calibri"/>
        </w:rPr>
      </w:pPr>
    </w:p>
    <w:p w14:paraId="2C6D4D28" w14:textId="591C641A" w:rsidR="00F743A2" w:rsidRPr="00A52708" w:rsidRDefault="50F8E241" w:rsidP="003817F1">
      <w:pPr>
        <w:pStyle w:val="MText"/>
        <w:rPr>
          <w:rFonts w:eastAsia="Calibri"/>
        </w:rPr>
      </w:pPr>
      <w:r w:rsidRPr="003817F1">
        <w:rPr>
          <w:rFonts w:eastAsia="Calibri"/>
        </w:rPr>
        <w:lastRenderedPageBreak/>
        <w:t>Additionally, the Statistical Working System (SWS) has the correspondence among different international codes (FAOSTAT, UNSDM49, ISO2, ISO3) for geographic areas and is used to convert area codes in the external sources to UNSDM49 codes which is the standard used in the SWS.</w:t>
      </w:r>
    </w:p>
    <w:p w14:paraId="7FBAEBBA" w14:textId="77777777" w:rsidR="00EC2915" w:rsidRPr="00A96255" w:rsidRDefault="00EC2915" w:rsidP="00576CFA">
      <w:pPr>
        <w:pStyle w:val="MText"/>
      </w:pPr>
    </w:p>
    <w:p w14:paraId="67043C18" w14:textId="2511E8E0" w:rsidR="00D51E7C" w:rsidRDefault="00576CFA" w:rsidP="003127E1">
      <w:pPr>
        <w:pStyle w:val="MHeader2"/>
      </w:pPr>
      <w:r w:rsidRPr="00A96255">
        <w:t xml:space="preserve">4.f. Treatment of missing values (i) at country level and (ii) at regional level </w:t>
      </w:r>
      <w:r>
        <w:rPr>
          <w:color w:val="B4B4B4"/>
          <w:sz w:val="20"/>
        </w:rPr>
        <w:t>(IMPUTATION)</w:t>
      </w:r>
    </w:p>
    <w:p w14:paraId="58DCB865" w14:textId="168A3492" w:rsidR="00D51E7C" w:rsidRPr="00CC0D57" w:rsidRDefault="00D51E7C" w:rsidP="00D51E7C">
      <w:pPr>
        <w:pStyle w:val="MText"/>
        <w:rPr>
          <w:b/>
        </w:rPr>
      </w:pPr>
      <w:r w:rsidRPr="00CC0D57">
        <w:rPr>
          <w:b/>
        </w:rPr>
        <w:t>•</w:t>
      </w:r>
      <w:r w:rsidRPr="00CC0D57">
        <w:rPr>
          <w:b/>
        </w:rPr>
        <w:tab/>
        <w:t>At country level</w:t>
      </w:r>
    </w:p>
    <w:p w14:paraId="230D2968" w14:textId="77777777" w:rsidR="00B25C2A" w:rsidRDefault="00B25C2A" w:rsidP="00B25C2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Three types of imputation are made at country level to fill in missing years in the timeseries:</w:t>
      </w:r>
    </w:p>
    <w:p w14:paraId="4AFA4483" w14:textId="371633E5" w:rsidR="00B25C2A" w:rsidRDefault="00B25C2A" w:rsidP="007624FE">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1E3784">
        <w:rPr>
          <w:rFonts w:eastAsia="Times New Roman" w:cstheme="minorHAnsi"/>
          <w:color w:val="4A4A4A"/>
          <w:sz w:val="21"/>
          <w:szCs w:val="21"/>
          <w:lang w:eastAsia="en-GB"/>
        </w:rPr>
        <w:t>Linear imputation</w:t>
      </w:r>
      <w:r>
        <w:rPr>
          <w:rFonts w:eastAsia="Times New Roman" w:cstheme="minorHAnsi"/>
          <w:color w:val="4A4A4A"/>
          <w:sz w:val="21"/>
          <w:szCs w:val="21"/>
          <w:lang w:eastAsia="en-GB"/>
        </w:rPr>
        <w:t>: between two available data-points</w:t>
      </w:r>
      <w:r w:rsidR="00BA53AA">
        <w:rPr>
          <w:rFonts w:eastAsia="Times New Roman" w:cstheme="minorHAnsi"/>
          <w:color w:val="4A4A4A"/>
          <w:sz w:val="21"/>
          <w:szCs w:val="21"/>
          <w:lang w:eastAsia="en-GB"/>
        </w:rPr>
        <w:t>.</w:t>
      </w:r>
    </w:p>
    <w:p w14:paraId="7E23253C" w14:textId="69D1B759" w:rsidR="00B25C2A" w:rsidRDefault="00B25C2A" w:rsidP="007624FE">
      <w:pPr>
        <w:pStyle w:val="ListParagraph"/>
        <w:numPr>
          <w:ilvl w:val="0"/>
          <w:numId w:val="13"/>
        </w:num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Carry forward: after the last available data-points and up to 10 years</w:t>
      </w:r>
      <w:r w:rsidR="00BA53AA">
        <w:rPr>
          <w:rFonts w:eastAsia="Times New Roman" w:cstheme="minorHAnsi"/>
          <w:color w:val="4A4A4A"/>
          <w:sz w:val="21"/>
          <w:szCs w:val="21"/>
          <w:lang w:eastAsia="en-GB"/>
        </w:rPr>
        <w:t>.</w:t>
      </w:r>
    </w:p>
    <w:p w14:paraId="4F0F8FD1" w14:textId="3C83F18B" w:rsidR="00B25C2A" w:rsidRPr="003127E1" w:rsidRDefault="00B25C2A" w:rsidP="007624FE">
      <w:pPr>
        <w:pStyle w:val="ListParagraph"/>
        <w:numPr>
          <w:ilvl w:val="0"/>
          <w:numId w:val="13"/>
        </w:numPr>
        <w:shd w:val="clear" w:color="auto" w:fill="FFFFFF"/>
        <w:spacing w:after="0"/>
        <w:jc w:val="both"/>
        <w:rPr>
          <w:rFonts w:eastAsia="Times New Roman" w:cstheme="minorHAnsi"/>
          <w:color w:val="4A4A4A"/>
          <w:sz w:val="21"/>
          <w:szCs w:val="21"/>
          <w:lang w:eastAsia="en-GB"/>
        </w:rPr>
      </w:pPr>
      <w:r>
        <w:rPr>
          <w:rFonts w:eastAsia="Times New Roman" w:cstheme="minorHAnsi"/>
          <w:color w:val="4A4A4A"/>
          <w:sz w:val="21"/>
          <w:szCs w:val="21"/>
          <w:lang w:eastAsia="en-GB"/>
        </w:rPr>
        <w:t>Vertical imputation: in case of available total freshwater withdrawal but missing disaggregation by sources, and if existing disaggregation existed for previous years, the respective ratio by sources is applied to the available total.</w:t>
      </w:r>
    </w:p>
    <w:p w14:paraId="1B6182A5" w14:textId="54983DC5" w:rsidR="00D51E7C" w:rsidRPr="00C019E5" w:rsidRDefault="00D51E7C" w:rsidP="00D51E7C">
      <w:pPr>
        <w:pStyle w:val="MText"/>
        <w:rPr>
          <w:highlight w:val="cyan"/>
        </w:rPr>
      </w:pPr>
    </w:p>
    <w:p w14:paraId="06DDC253" w14:textId="77777777" w:rsidR="00D51E7C" w:rsidRPr="00CC0D57" w:rsidRDefault="00D51E7C" w:rsidP="00D51E7C">
      <w:pPr>
        <w:pStyle w:val="MText"/>
        <w:rPr>
          <w:b/>
        </w:rPr>
      </w:pPr>
      <w:r w:rsidRPr="00CC0D57">
        <w:rPr>
          <w:b/>
        </w:rPr>
        <w:t>•</w:t>
      </w:r>
      <w:r w:rsidRPr="00CC0D57">
        <w:rPr>
          <w:b/>
        </w:rPr>
        <w:tab/>
        <w:t>At regional and global levels</w:t>
      </w:r>
    </w:p>
    <w:p w14:paraId="35CCBAF9" w14:textId="517CAD6E" w:rsidR="00B25C2A" w:rsidRPr="00375232" w:rsidRDefault="00B25C2A" w:rsidP="1FD4E239">
      <w:pPr>
        <w:shd w:val="clear" w:color="auto" w:fill="FFFFFF" w:themeFill="background1"/>
        <w:spacing w:after="0"/>
        <w:ind w:left="495"/>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Thanks to the imputation methods at country level, data will be available for the whole time series (unless the latest official value was obtained more than 10 years ago).</w:t>
      </w:r>
      <w:r w:rsidR="2488AB30" w:rsidRPr="1FD4E239">
        <w:rPr>
          <w:rFonts w:eastAsia="Times New Roman" w:cs="Times New Roman"/>
          <w:color w:val="4A4A4A"/>
          <w:sz w:val="21"/>
          <w:szCs w:val="21"/>
          <w:lang w:eastAsia="en-GB"/>
        </w:rPr>
        <w:t xml:space="preserve"> Imputed data is displayed with an appropriate qualifier</w:t>
      </w:r>
      <w:r w:rsidR="00BA53AA">
        <w:rPr>
          <w:rFonts w:eastAsia="Times New Roman" w:cs="Times New Roman"/>
          <w:color w:val="4A4A4A"/>
          <w:sz w:val="21"/>
          <w:szCs w:val="21"/>
          <w:lang w:eastAsia="en-GB"/>
        </w:rPr>
        <w:t>.</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D0A8694" w14:textId="7D9543C4" w:rsidR="00B25C2A" w:rsidRPr="00375232" w:rsidRDefault="00B25C2A" w:rsidP="00B25C2A">
      <w:pPr>
        <w:shd w:val="clear" w:color="auto" w:fill="FFFFFF" w:themeFill="background1"/>
        <w:spacing w:after="0"/>
        <w:contextualSpacing/>
        <w:rPr>
          <w:rFonts w:eastAsia="Times New Roman" w:cs="Times New Roman"/>
          <w:color w:val="4A4A4A"/>
          <w:sz w:val="21"/>
          <w:szCs w:val="21"/>
          <w:lang w:eastAsia="en-GB"/>
        </w:rPr>
      </w:pPr>
      <w:r w:rsidRPr="4D8B2CF2">
        <w:rPr>
          <w:rFonts w:eastAsia="Times New Roman" w:cs="Times New Roman"/>
          <w:color w:val="4A4A4A"/>
          <w:sz w:val="21"/>
          <w:szCs w:val="21"/>
          <w:lang w:eastAsia="en-GB"/>
        </w:rPr>
        <w:t>Regional and global estimates will be done by summing up the national figures on renewable freshwater resources and total freshwater withdrawal, considering only the internal renewable water resources of each country to avoid double counting, and the external renewable freshwater resources of the region</w:t>
      </w:r>
      <w:r w:rsidR="003C4EB9">
        <w:rPr>
          <w:rFonts w:eastAsia="Times New Roman" w:cs="Times New Roman"/>
          <w:color w:val="4A4A4A"/>
          <w:sz w:val="21"/>
          <w:szCs w:val="21"/>
          <w:lang w:eastAsia="en-GB"/>
        </w:rPr>
        <w:t>,</w:t>
      </w:r>
      <w:r w:rsidRPr="4D8B2CF2">
        <w:rPr>
          <w:rFonts w:eastAsia="Times New Roman" w:cs="Times New Roman"/>
          <w:color w:val="4A4A4A"/>
          <w:sz w:val="21"/>
          <w:szCs w:val="21"/>
          <w:lang w:eastAsia="en-GB"/>
        </w:rPr>
        <w:t xml:space="preserve"> if any. </w:t>
      </w:r>
      <w:r w:rsidRPr="4D8B2CF2">
        <w:rPr>
          <w:rFonts w:eastAsia="Times New Roman"/>
          <w:color w:val="4A4A4A"/>
          <w:sz w:val="21"/>
          <w:szCs w:val="21"/>
          <w:lang w:eastAsia="en-GB"/>
        </w:rPr>
        <w:t>In case of regional aggregation without physical continuity (such as income groupings or Least Developed Countries group, etc.), total renewable water resources are summed up.</w:t>
      </w:r>
      <w:r w:rsidRPr="4D8B2CF2">
        <w:rPr>
          <w:rFonts w:eastAsia="Times New Roman" w:cs="Times New Roman"/>
          <w:color w:val="4A4A4A"/>
          <w:sz w:val="21"/>
          <w:szCs w:val="21"/>
          <w:lang w:eastAsia="en-GB"/>
        </w:rPr>
        <w:t xml:space="preserve"> The EFR at regional level is estimated as the average of the countries’ EFRs, in percentage, and applied to the regional water resources.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t xml:space="preserve">4.h. Methods and guidance available to countries for the compilation of the data at the national level </w:t>
      </w:r>
      <w:r>
        <w:rPr>
          <w:color w:val="B4B4B4"/>
          <w:sz w:val="20"/>
        </w:rPr>
        <w:t>(DOC_METHOD)</w:t>
      </w:r>
    </w:p>
    <w:p w14:paraId="0A10ED8C" w14:textId="6255A8EB" w:rsidR="07248B9F" w:rsidRDefault="07248B9F" w:rsidP="003817F1">
      <w:pPr>
        <w:pStyle w:val="MText"/>
        <w:numPr>
          <w:ilvl w:val="0"/>
          <w:numId w:val="1"/>
        </w:numPr>
        <w:rPr>
          <w:rStyle w:val="Hyperlink"/>
          <w:color w:val="000000" w:themeColor="text1"/>
        </w:rPr>
      </w:pPr>
      <w:r w:rsidRPr="1FD4E239">
        <w:rPr>
          <w:rFonts w:eastAsia="Calibri"/>
        </w:rPr>
        <w:t>A set of tools is available to countries for the compilation of the indicator. Among them, a step-by-step methodological guide, an interpretation</w:t>
      </w:r>
      <w:r w:rsidRPr="1FD4E239">
        <w:rPr>
          <w:rFonts w:ascii="Times New Roman" w:hAnsi="Times New Roman"/>
        </w:rPr>
        <w:t xml:space="preserve"> </w:t>
      </w:r>
      <w:r w:rsidRPr="1FD4E239">
        <w:rPr>
          <w:rFonts w:eastAsia="Calibri"/>
        </w:rPr>
        <w:t>paper, and an e-learning course. All the tools are available on the FAO web pages, at:</w:t>
      </w:r>
      <w:r w:rsidR="72BFF8DD" w:rsidRPr="1FD4E239">
        <w:rPr>
          <w:rFonts w:eastAsia="Calibri"/>
        </w:rPr>
        <w:t xml:space="preserve"> http://www.fao.org/sustainable-development-goals/indicators/642/en/</w:t>
      </w:r>
      <w:r w:rsidR="004D5A62">
        <w:rPr>
          <w:rFonts w:eastAsia="Calibri"/>
        </w:rPr>
        <w:t>.</w:t>
      </w:r>
      <w:r w:rsidRPr="1FD4E239">
        <w:rPr>
          <w:rFonts w:eastAsia="Calibri"/>
        </w:rPr>
        <w:t xml:space="preserve"> </w:t>
      </w:r>
    </w:p>
    <w:p w14:paraId="4465D027" w14:textId="68E3F814" w:rsidR="07248B9F" w:rsidRDefault="07248B9F" w:rsidP="00E40243">
      <w:pPr>
        <w:pStyle w:val="MText"/>
        <w:numPr>
          <w:ilvl w:val="0"/>
          <w:numId w:val="1"/>
        </w:numPr>
        <w:rPr>
          <w:color w:val="000000" w:themeColor="text1"/>
        </w:rPr>
      </w:pPr>
      <w:r w:rsidRPr="1FD4E239">
        <w:rPr>
          <w:rFonts w:eastAsia="Calibri"/>
        </w:rPr>
        <w:t>During 2020</w:t>
      </w:r>
      <w:r w:rsidR="00E40243">
        <w:rPr>
          <w:rFonts w:eastAsia="Calibri"/>
        </w:rPr>
        <w:t>,</w:t>
      </w:r>
      <w:r w:rsidRPr="1FD4E239">
        <w:rPr>
          <w:rFonts w:eastAsia="Calibri"/>
        </w:rPr>
        <w:t>2021</w:t>
      </w:r>
      <w:r w:rsidR="00E40243">
        <w:rPr>
          <w:rFonts w:eastAsia="Calibri"/>
        </w:rPr>
        <w:t xml:space="preserve"> and 2022</w:t>
      </w:r>
      <w:r w:rsidR="004D5A62">
        <w:rPr>
          <w:rFonts w:eastAsia="Calibri"/>
        </w:rPr>
        <w:t>,</w:t>
      </w:r>
      <w:r w:rsidRPr="1FD4E239">
        <w:rPr>
          <w:rFonts w:eastAsia="Calibri"/>
        </w:rPr>
        <w:t xml:space="preserve"> FAO has organized </w:t>
      </w:r>
      <w:r w:rsidR="00E40243">
        <w:rPr>
          <w:rFonts w:eastAsia="Calibri"/>
        </w:rPr>
        <w:t>regional</w:t>
      </w:r>
      <w:r w:rsidR="00E40243" w:rsidRPr="1FD4E239">
        <w:rPr>
          <w:rFonts w:eastAsia="Calibri"/>
        </w:rPr>
        <w:t xml:space="preserve"> </w:t>
      </w:r>
      <w:r w:rsidRPr="1FD4E239">
        <w:rPr>
          <w:rFonts w:eastAsia="Calibri"/>
        </w:rPr>
        <w:t xml:space="preserve">virtual trainings for Asia, Latin-America and the Caribbean and Africa on SDG 6.4. </w:t>
      </w:r>
      <w:r w:rsidR="00E40243">
        <w:rPr>
          <w:rFonts w:eastAsia="Calibri"/>
        </w:rPr>
        <w:t xml:space="preserve">and contributed to global workshops on SDG 6. </w:t>
      </w:r>
    </w:p>
    <w:p w14:paraId="41488845" w14:textId="116217DB" w:rsidR="07248B9F" w:rsidRDefault="07248B9F" w:rsidP="003817F1">
      <w:pPr>
        <w:pStyle w:val="MText"/>
        <w:numPr>
          <w:ilvl w:val="0"/>
          <w:numId w:val="1"/>
        </w:numPr>
      </w:pPr>
      <w:r w:rsidRPr="1FD4E239">
        <w:rPr>
          <w:rFonts w:eastAsia="Calibri"/>
        </w:rPr>
        <w:t>FAO’s AQUASTAT team provides continued guidance to the countries thought the National Correspondents during the data collection time to ensure data is duly and timely compiled</w:t>
      </w:r>
      <w:r w:rsidR="004D5A62">
        <w:rPr>
          <w:rFonts w:eastAsia="Calibri"/>
        </w:rPr>
        <w:t>.</w:t>
      </w:r>
    </w:p>
    <w:p w14:paraId="2CD05529" w14:textId="293376E6" w:rsidR="1FD4E239" w:rsidRDefault="1FD4E239" w:rsidP="00EA6495">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3162FB4" w14:textId="7FE6F362" w:rsidR="001D3CE0" w:rsidRDefault="00E40243" w:rsidP="00E40243">
      <w:pPr>
        <w:pStyle w:val="MText"/>
        <w:numPr>
          <w:ilvl w:val="0"/>
          <w:numId w:val="18"/>
        </w:numPr>
      </w:pPr>
      <w:r>
        <w:t>The</w:t>
      </w:r>
      <w:r w:rsidR="001D3CE0">
        <w:t xml:space="preserve"> </w:t>
      </w:r>
      <w:r w:rsidR="006E4420" w:rsidRPr="00D85023">
        <w:t>AQUASTAT questionnaire on water and agriculture</w:t>
      </w:r>
      <w:r w:rsidR="001D3CE0">
        <w:t>, used for collecting information on SDG indicator 6.4.</w:t>
      </w:r>
      <w:r w:rsidR="005C1A38">
        <w:t>2</w:t>
      </w:r>
      <w:r w:rsidR="001D3CE0">
        <w:t xml:space="preserve">, </w:t>
      </w:r>
      <w:r w:rsidR="00BC6A44">
        <w:t>was</w:t>
      </w:r>
      <w:r w:rsidR="001D3CE0">
        <w:t xml:space="preserve"> endorsed by FAO’s Office of the Chief Statistician (OCS).</w:t>
      </w:r>
    </w:p>
    <w:p w14:paraId="049549B7" w14:textId="4DE82991" w:rsidR="00780BF3" w:rsidRDefault="001D3CE0" w:rsidP="00E43D84">
      <w:pPr>
        <w:pStyle w:val="MText"/>
        <w:numPr>
          <w:ilvl w:val="0"/>
          <w:numId w:val="18"/>
        </w:numPr>
      </w:pPr>
      <w:r>
        <w:lastRenderedPageBreak/>
        <w:t xml:space="preserve">During the reporting process, the OCS </w:t>
      </w:r>
      <w:r w:rsidR="0213A544">
        <w:t>provides overall</w:t>
      </w:r>
      <w:r>
        <w:t xml:space="preserve"> guidance</w:t>
      </w:r>
      <w:r w:rsidR="7DBF34BF">
        <w:t>, including on</w:t>
      </w:r>
      <w:r>
        <w:t xml:space="preserve"> metadata</w:t>
      </w:r>
      <w:r w:rsidR="087A3BA8">
        <w:t xml:space="preserve"> reporting</w:t>
      </w:r>
      <w:r>
        <w:t xml:space="preserve">, based on the Metadata Dissemination Standard approved by the </w:t>
      </w:r>
      <w:r w:rsidR="28BB11BC">
        <w:t xml:space="preserve">FAO </w:t>
      </w:r>
      <w:r>
        <w:t>IDWG-Statistics Technical Task Force.</w:t>
      </w:r>
    </w:p>
    <w:p w14:paraId="0427FCC5" w14:textId="6E5445CD" w:rsidR="00E43D84" w:rsidRDefault="00E43D84" w:rsidP="00E43D84">
      <w:pPr>
        <w:pStyle w:val="MText"/>
        <w:numPr>
          <w:ilvl w:val="0"/>
          <w:numId w:val="18"/>
        </w:numPr>
      </w:pPr>
      <w:r>
        <w:t xml:space="preserve">Data on Environmental flow requirements </w:t>
      </w:r>
      <w:r w:rsidR="389CF25A">
        <w:t xml:space="preserve">is </w:t>
      </w:r>
      <w:r w:rsidR="65937A67">
        <w:t>re</w:t>
      </w:r>
      <w:r w:rsidR="0385BDD3">
        <w:t>updated</w:t>
      </w:r>
      <w:r w:rsidR="009B280B">
        <w:t xml:space="preserve"> </w:t>
      </w:r>
      <w:r>
        <w:t xml:space="preserve">only when detailed methodology and metadata </w:t>
      </w:r>
      <w:r w:rsidR="003C4EB9">
        <w:t>a</w:t>
      </w:r>
      <w:r w:rsidR="4C51CD3D">
        <w:t>re</w:t>
      </w:r>
      <w:r w:rsidR="003C4EB9">
        <w:t xml:space="preserve"> </w:t>
      </w:r>
      <w:r>
        <w:t xml:space="preserve">provided and when consistency in the values </w:t>
      </w:r>
      <w:r w:rsidR="70730713">
        <w:t>i</w:t>
      </w:r>
      <w:r>
        <w:t>s ensured.</w:t>
      </w:r>
    </w:p>
    <w:p w14:paraId="49FE3C2A" w14:textId="5D046479" w:rsidR="001D3CE0" w:rsidRDefault="001D3CE0" w:rsidP="001D3CE0">
      <w:pPr>
        <w:pStyle w:val="MText"/>
        <w:numPr>
          <w:ilvl w:val="0"/>
          <w:numId w:val="18"/>
        </w:numPr>
      </w:pPr>
      <w:r>
        <w:t xml:space="preserve">After revision and validation, data </w:t>
      </w:r>
      <w:r w:rsidR="27E2BD0F">
        <w:t>are</w:t>
      </w:r>
      <w:r>
        <w:t xml:space="preserve"> submitted to the OCS who </w:t>
      </w:r>
      <w:r w:rsidR="0D47BC77">
        <w:t xml:space="preserve">also </w:t>
      </w:r>
      <w:r>
        <w:t>ensure</w:t>
      </w:r>
      <w:r w:rsidR="70F4C65A">
        <w:t>s</w:t>
      </w:r>
      <w:r>
        <w:t xml:space="preserve"> the quality of the data</w:t>
      </w:r>
      <w:r w:rsidR="00484E39">
        <w:t xml:space="preserve"> and results</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t xml:space="preserve">4.j Quality assurance </w:t>
      </w:r>
      <w:r>
        <w:rPr>
          <w:color w:val="B4B4B4"/>
          <w:sz w:val="20"/>
        </w:rPr>
        <w:t>(QUALITY_ASSURE)</w:t>
      </w:r>
    </w:p>
    <w:p w14:paraId="7290D307" w14:textId="48D8CD65" w:rsidR="75776C5C" w:rsidRDefault="75776C5C" w:rsidP="00A52708">
      <w:pPr>
        <w:pStyle w:val="MText"/>
        <w:rPr>
          <w:rFonts w:eastAsia="Calibri"/>
        </w:rPr>
      </w:pPr>
      <w:r w:rsidRPr="003817F1">
        <w:rPr>
          <w:rFonts w:eastAsia="Calibri"/>
        </w:rPr>
        <w:t>FAO is responsible for the quality of the internal statistical processes used to compile the published datasets. The FAO Statistics Quality Assurance Framework (SQAF), available at: http://www.fao.org/docrep/019/i3664e/i3664e.pdf,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p>
    <w:p w14:paraId="404C8172" w14:textId="77777777" w:rsidR="00D85023" w:rsidRPr="003817F1" w:rsidRDefault="00D85023" w:rsidP="00A52708">
      <w:pPr>
        <w:pStyle w:val="MText"/>
        <w:rPr>
          <w:rFonts w:eastAsia="Calibri"/>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3442428" w14:textId="77777777" w:rsidR="003E1A9D" w:rsidRDefault="003E1A9D" w:rsidP="003E1A9D">
      <w:pPr>
        <w:pStyle w:val="MText"/>
      </w:pPr>
      <w:r w:rsidRPr="00690F69">
        <w:t>Overall evaluation of data quality</w:t>
      </w:r>
      <w:r>
        <w:t xml:space="preserve"> is</w:t>
      </w:r>
      <w:r w:rsidRPr="00690F69">
        <w:t xml:space="preserve"> based on standard quality criteria</w:t>
      </w:r>
      <w:r>
        <w:t xml:space="preserve"> and follows FAO’s </w:t>
      </w:r>
      <w:r w:rsidRPr="00A75F5C">
        <w:t>SQAF</w:t>
      </w:r>
      <w:r>
        <w:t>.</w:t>
      </w:r>
      <w:r w:rsidRPr="00690F69">
        <w:t xml:space="preserve"> It </w:t>
      </w:r>
      <w:r>
        <w:t xml:space="preserve">also </w:t>
      </w:r>
      <w:r w:rsidRPr="00690F69">
        <w:t>includes</w:t>
      </w:r>
      <w:r>
        <w:t>:</w:t>
      </w:r>
    </w:p>
    <w:p w14:paraId="282BFBE2" w14:textId="77777777" w:rsidR="003E1A9D" w:rsidRDefault="003E1A9D" w:rsidP="003E1A9D">
      <w:pPr>
        <w:pStyle w:val="MText"/>
        <w:numPr>
          <w:ilvl w:val="0"/>
          <w:numId w:val="16"/>
        </w:numPr>
      </w:pPr>
      <w:r w:rsidRPr="00690F69">
        <w:t xml:space="preserve">A qualitative </w:t>
      </w:r>
      <w:r>
        <w:t xml:space="preserve">and quantitative manual cross-variable check after data is received. This consists of the verification that all the numbers are consistent based on the internal validation rules embedded in the questionnaire. Any issues identified are flagged and listed to be followed-up with the countries. </w:t>
      </w:r>
    </w:p>
    <w:p w14:paraId="3A6ACF6A" w14:textId="45EF6698" w:rsidR="003E1A9D" w:rsidRDefault="003E1A9D" w:rsidP="003E1A9D">
      <w:pPr>
        <w:pStyle w:val="MText"/>
        <w:numPr>
          <w:ilvl w:val="0"/>
          <w:numId w:val="16"/>
        </w:numPr>
      </w:pPr>
      <w:r>
        <w:t xml:space="preserve">Time-series coherency check done by running an R-script to compare reported data with those corresponding to previous years. Based on this, a scattered diagram is also made by variable and country to allow for a visual verification of historical data. The critical analysis of the compiled data gives preference to national sources and expert knowledge, unless these </w:t>
      </w:r>
      <w:r w:rsidRPr="00A52708">
        <w:t xml:space="preserve">greatly </w:t>
      </w:r>
      <w:r w:rsidRPr="003817F1">
        <w:t>diverge from historic data or in the case of drastic changes in methodologies used by countries</w:t>
      </w:r>
      <w:r w:rsidRPr="00A52708">
        <w:t xml:space="preserve"> with</w:t>
      </w:r>
      <w:r>
        <w:t xml:space="preserve"> significant influence on the results. </w:t>
      </w:r>
    </w:p>
    <w:p w14:paraId="2EA3E5D5" w14:textId="3206BF09" w:rsidR="003E1A9D" w:rsidRDefault="003E1A9D" w:rsidP="003E1A9D">
      <w:pPr>
        <w:pStyle w:val="MText"/>
        <w:numPr>
          <w:ilvl w:val="0"/>
          <w:numId w:val="16"/>
        </w:numPr>
      </w:pPr>
      <w:r>
        <w:t xml:space="preserve">Verification of the metadata, </w:t>
      </w:r>
      <w:r w:rsidR="003C4EB9">
        <w:t>especially</w:t>
      </w:r>
      <w:r>
        <w:t xml:space="preserve"> the source of the proposed data. When data sources </w:t>
      </w:r>
      <w:r w:rsidR="00780BF3">
        <w:t>were</w:t>
      </w:r>
      <w:r>
        <w:t xml:space="preserve"> not provided, the questionnaire </w:t>
      </w:r>
      <w:r w:rsidR="00780BF3">
        <w:t>was</w:t>
      </w:r>
      <w:r>
        <w:t xml:space="preserve"> added as the data source of a given value.</w:t>
      </w:r>
      <w:r w:rsidR="00780BF3">
        <w:t xml:space="preserve"> For the </w:t>
      </w:r>
    </w:p>
    <w:p w14:paraId="285FC57F" w14:textId="77777777" w:rsidR="005325D6" w:rsidRPr="00A96255" w:rsidRDefault="005325D6" w:rsidP="00576CFA">
      <w:pPr>
        <w:pStyle w:val="MText"/>
      </w:pPr>
    </w:p>
    <w:p w14:paraId="21A13FD1" w14:textId="3C4FF1AC" w:rsidR="765013CE" w:rsidRDefault="006E3F86" w:rsidP="1FD4E239">
      <w:pPr>
        <w:pStyle w:val="MHeader"/>
        <w:spacing w:after="100"/>
        <w:rPr>
          <w:color w:val="4A4A4A"/>
          <w:sz w:val="21"/>
          <w:szCs w:val="21"/>
        </w:rPr>
      </w:pPr>
      <w:r w:rsidRPr="006E3F86">
        <w:t xml:space="preserve">5. Data availability and disaggregation </w:t>
      </w:r>
      <w:r>
        <w:rPr>
          <w:color w:val="B4B4B4"/>
          <w:sz w:val="20"/>
        </w:rPr>
        <w:t>(COVERAGE)</w:t>
      </w:r>
    </w:p>
    <w:p w14:paraId="53C26B8C" w14:textId="03B5C5F3" w:rsidR="009B280B" w:rsidRDefault="009B280B" w:rsidP="007624FE">
      <w:pPr>
        <w:pStyle w:val="MText"/>
      </w:pPr>
      <w:r>
        <w:t xml:space="preserve">Data needed for the indicator are collected through AQUASTAT for 168 countries worldwide. </w:t>
      </w:r>
    </w:p>
    <w:p w14:paraId="64D58B01" w14:textId="77777777" w:rsidR="00E40243" w:rsidRDefault="00E40243" w:rsidP="00B25C2A">
      <w:pPr>
        <w:shd w:val="clear" w:color="auto" w:fill="FFFFFF"/>
        <w:spacing w:after="0"/>
        <w:contextualSpacing/>
        <w:rPr>
          <w:rFonts w:eastAsia="Times New Roman" w:cs="Times New Roman"/>
          <w:color w:val="4A4A4A"/>
          <w:sz w:val="21"/>
          <w:szCs w:val="21"/>
          <w:lang w:eastAsia="en-GB"/>
        </w:rPr>
      </w:pPr>
    </w:p>
    <w:p w14:paraId="5853D6F7" w14:textId="2D50EDC5" w:rsidR="00D51E7C" w:rsidRPr="00CC0D57" w:rsidRDefault="00D51E7C" w:rsidP="00576CFA">
      <w:pPr>
        <w:pStyle w:val="MText"/>
        <w:rPr>
          <w:b/>
        </w:rPr>
      </w:pPr>
      <w:r w:rsidRPr="00CC0D57">
        <w:rPr>
          <w:b/>
        </w:rPr>
        <w:t>Time series:</w:t>
      </w:r>
    </w:p>
    <w:p w14:paraId="652A587C" w14:textId="41F66867" w:rsidR="00B25C2A" w:rsidRPr="00375232" w:rsidRDefault="00B25C2A" w:rsidP="00E40243">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1961-</w:t>
      </w:r>
      <w:r w:rsidR="00E40243">
        <w:rPr>
          <w:rFonts w:eastAsia="Times New Roman" w:cs="Times New Roman"/>
          <w:color w:val="4A4A4A"/>
          <w:sz w:val="21"/>
          <w:szCs w:val="21"/>
          <w:lang w:eastAsia="en-GB"/>
        </w:rPr>
        <w:t>2019</w:t>
      </w:r>
      <w:r w:rsidR="00E40243" w:rsidRPr="00375232">
        <w:rPr>
          <w:rFonts w:eastAsia="Times New Roman" w:cs="Times New Roman"/>
          <w:color w:val="4A4A4A"/>
          <w:sz w:val="21"/>
          <w:szCs w:val="21"/>
          <w:lang w:eastAsia="en-GB"/>
        </w:rPr>
        <w:t xml:space="preserve"> </w:t>
      </w:r>
      <w:r w:rsidRPr="00375232">
        <w:rPr>
          <w:rFonts w:eastAsia="Times New Roman" w:cs="Times New Roman"/>
          <w:color w:val="4A4A4A"/>
          <w:sz w:val="21"/>
          <w:szCs w:val="21"/>
          <w:lang w:eastAsia="en-GB"/>
        </w:rPr>
        <w:t>(Discontinuous, depending on country</w:t>
      </w:r>
      <w:r>
        <w:rPr>
          <w:rFonts w:eastAsia="Times New Roman" w:cs="Times New Roman"/>
          <w:color w:val="4A4A4A"/>
          <w:sz w:val="21"/>
          <w:szCs w:val="21"/>
          <w:lang w:eastAsia="en-GB"/>
        </w:rPr>
        <w:t>. Data are interpolated to create timelines.</w:t>
      </w:r>
      <w:r w:rsidRPr="00375232">
        <w:rPr>
          <w:rFonts w:eastAsia="Times New Roman" w:cs="Times New Roman"/>
          <w:color w:val="4A4A4A"/>
          <w:sz w:val="21"/>
          <w:szCs w:val="21"/>
          <w:lang w:eastAsia="en-GB"/>
        </w:rPr>
        <w:t xml:space="preserve">) </w:t>
      </w:r>
    </w:p>
    <w:p w14:paraId="760C013A" w14:textId="4597FCBD" w:rsidR="00D51E7C" w:rsidRPr="00C019E5" w:rsidRDefault="00D51E7C" w:rsidP="00576CFA">
      <w:pPr>
        <w:pStyle w:val="MText"/>
        <w:rPr>
          <w:highlight w:val="cyan"/>
        </w:rPr>
      </w:pPr>
    </w:p>
    <w:p w14:paraId="72C7C370" w14:textId="418BE66C" w:rsidR="00D51E7C" w:rsidRPr="00CC0D57" w:rsidRDefault="00D51E7C" w:rsidP="00576CFA">
      <w:pPr>
        <w:pStyle w:val="MText"/>
        <w:rPr>
          <w:b/>
        </w:rPr>
      </w:pPr>
      <w:r w:rsidRPr="00CC0D57">
        <w:rPr>
          <w:b/>
        </w:rPr>
        <w:t>Disaggregation:</w:t>
      </w:r>
    </w:p>
    <w:p w14:paraId="30DBEEC8" w14:textId="01EB6E0C" w:rsidR="00163D47" w:rsidRPr="00CF1CA4" w:rsidRDefault="00BA39DF" w:rsidP="00163D47">
      <w:pPr>
        <w:pStyle w:val="MText"/>
        <w:rPr>
          <w:rFonts w:eastAsia="Calibri"/>
        </w:rPr>
      </w:pPr>
      <w:r>
        <w:t>S</w:t>
      </w:r>
      <w:r w:rsidR="00B25C2A" w:rsidRPr="00375232">
        <w:t xml:space="preserve">ectoral </w:t>
      </w:r>
      <w:r>
        <w:t xml:space="preserve">disaggregated </w:t>
      </w:r>
      <w:r w:rsidR="00B25C2A" w:rsidRPr="00375232">
        <w:t xml:space="preserve">data are </w:t>
      </w:r>
      <w:r>
        <w:t xml:space="preserve">provided </w:t>
      </w:r>
      <w:r w:rsidR="00B25C2A">
        <w:t>t</w:t>
      </w:r>
      <w:r w:rsidR="00B25C2A" w:rsidRPr="00375232">
        <w:t xml:space="preserve">o show the respective contribution of </w:t>
      </w:r>
      <w:r>
        <w:t xml:space="preserve">the </w:t>
      </w:r>
      <w:r w:rsidR="00B25C2A" w:rsidRPr="00375232">
        <w:t xml:space="preserve">different sectors to </w:t>
      </w:r>
      <w:proofErr w:type="gramStart"/>
      <w:r w:rsidR="00B25C2A" w:rsidRPr="00375232">
        <w:t>the  water</w:t>
      </w:r>
      <w:proofErr w:type="gramEnd"/>
      <w:r w:rsidR="00B25C2A" w:rsidRPr="00375232">
        <w:t xml:space="preserve"> stress</w:t>
      </w:r>
      <w:r>
        <w:t xml:space="preserve"> level</w:t>
      </w:r>
      <w:r w:rsidR="00B25C2A" w:rsidRPr="00375232">
        <w:t xml:space="preserve">, and therefore the relative importance of actions needed to contain water demand </w:t>
      </w:r>
      <w:r w:rsidR="00B25C2A" w:rsidRPr="00375232">
        <w:lastRenderedPageBreak/>
        <w:t xml:space="preserve">in the different sectors (agriculture, </w:t>
      </w:r>
      <w:r w:rsidR="00B25C2A">
        <w:t>services</w:t>
      </w:r>
      <w:r w:rsidR="00B25C2A" w:rsidRPr="00375232">
        <w:t xml:space="preserve"> and industry). </w:t>
      </w:r>
      <w:r w:rsidR="009F2F2F">
        <w:t xml:space="preserve">The contribution of the different sectors to the water stress level is calculated as the proportion of sectoral withdrawals over total freshwater withdrawals, after taking into account the EFR. </w:t>
      </w:r>
      <w:r w:rsidR="00163D47">
        <w:rPr>
          <w:rFonts w:eastAsia="Calibri"/>
        </w:rPr>
        <w:t>sectors are defined f</w:t>
      </w:r>
      <w:r w:rsidR="00163D47" w:rsidRPr="00CF1CA4">
        <w:rPr>
          <w:rFonts w:eastAsia="Calibri"/>
        </w:rPr>
        <w:t>ollowing</w:t>
      </w:r>
      <w:r w:rsidR="00163D47">
        <w:rPr>
          <w:rFonts w:eastAsia="Calibri"/>
        </w:rPr>
        <w:t xml:space="preserve"> the </w:t>
      </w:r>
      <w:r w:rsidR="00163D47" w:rsidRPr="00DE3214">
        <w:rPr>
          <w:rFonts w:eastAsia="Calibri"/>
        </w:rPr>
        <w:t>United Nations International Standard Industrial Classification of All Economic Activities</w:t>
      </w:r>
      <w:r w:rsidR="00163D47" w:rsidRPr="00CF1CA4">
        <w:rPr>
          <w:rFonts w:eastAsia="Calibri"/>
        </w:rPr>
        <w:t xml:space="preserve"> ISIC 4 coding, </w:t>
      </w:r>
    </w:p>
    <w:p w14:paraId="00644B0C" w14:textId="77777777" w:rsidR="00163D47" w:rsidRPr="00CF1CA4" w:rsidRDefault="00163D47" w:rsidP="00163D47">
      <w:pPr>
        <w:pStyle w:val="MText"/>
        <w:numPr>
          <w:ilvl w:val="0"/>
          <w:numId w:val="25"/>
        </w:numPr>
        <w:rPr>
          <w:rFonts w:eastAsia="Calibri"/>
          <w:lang w:bidi="en-US"/>
        </w:rPr>
      </w:pPr>
      <w:r w:rsidRPr="00CF1CA4">
        <w:rPr>
          <w:rFonts w:eastAsia="Calibri"/>
          <w:lang w:bidi="en-US"/>
        </w:rPr>
        <w:t>agriculture; forestry; fishing (ISIC A), hereinafter “agriculture”;</w:t>
      </w:r>
    </w:p>
    <w:p w14:paraId="229FBD6A" w14:textId="77777777" w:rsidR="00163D47" w:rsidRPr="00CF1CA4" w:rsidRDefault="00163D47" w:rsidP="00163D47">
      <w:pPr>
        <w:pStyle w:val="MText"/>
        <w:numPr>
          <w:ilvl w:val="0"/>
          <w:numId w:val="25"/>
        </w:numPr>
        <w:rPr>
          <w:rFonts w:eastAsia="Calibri"/>
          <w:lang w:bidi="en-US"/>
        </w:rPr>
      </w:pPr>
      <w:r w:rsidRPr="00CF1CA4">
        <w:rPr>
          <w:rFonts w:eastAsia="Calibri"/>
          <w:lang w:bidi="en-US"/>
        </w:rPr>
        <w:t>mining and quarrying; manufacturing; electricity, gas, steam and air conditioning supply; constructions (ISIC B, C, D and F), hereinafter “MIMEC”;</w:t>
      </w:r>
    </w:p>
    <w:p w14:paraId="65324BDF" w14:textId="77777777" w:rsidR="00163D47" w:rsidRDefault="00163D47" w:rsidP="00163D47">
      <w:pPr>
        <w:pStyle w:val="MText"/>
        <w:numPr>
          <w:ilvl w:val="0"/>
          <w:numId w:val="25"/>
        </w:numPr>
        <w:rPr>
          <w:rFonts w:eastAsia="Calibri"/>
          <w:lang w:bidi="en-US"/>
        </w:rPr>
      </w:pPr>
      <w:r w:rsidRPr="00CF1CA4">
        <w:rPr>
          <w:rFonts w:eastAsia="Calibri"/>
          <w:lang w:bidi="en-US"/>
        </w:rPr>
        <w:t>all the service sectors (ISIC E and ISIC G-T), hereinafter “services”.</w:t>
      </w:r>
    </w:p>
    <w:p w14:paraId="6EF00474"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p>
    <w:p w14:paraId="08E7D0A7" w14:textId="77777777"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At national level, water resources and withdrawal</w:t>
      </w:r>
      <w:r>
        <w:rPr>
          <w:rFonts w:eastAsia="Times New Roman" w:cs="Times New Roman"/>
          <w:color w:val="4A4A4A"/>
          <w:sz w:val="21"/>
          <w:szCs w:val="21"/>
          <w:lang w:eastAsia="en-GB"/>
        </w:rPr>
        <w:t>s</w:t>
      </w:r>
      <w:r w:rsidRPr="00375232">
        <w:rPr>
          <w:rFonts w:eastAsia="Times New Roman" w:cs="Times New Roman"/>
          <w:color w:val="4A4A4A"/>
          <w:sz w:val="21"/>
          <w:szCs w:val="21"/>
          <w:lang w:eastAsia="en-GB"/>
        </w:rPr>
        <w:t xml:space="preserve">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p w14:paraId="42E8CA56" w14:textId="77777777" w:rsidR="00D51E7C" w:rsidRPr="00A96255" w:rsidRDefault="00D51E7C" w:rsidP="00576CFA">
      <w:pPr>
        <w:pStyle w:val="MText"/>
      </w:pPr>
    </w:p>
    <w:p w14:paraId="33CAB7BE" w14:textId="2CD6344B" w:rsidR="00EC2915" w:rsidRDefault="00B31E2C" w:rsidP="003127E1">
      <w:pPr>
        <w:pStyle w:val="MHeader"/>
        <w:spacing w:after="100"/>
      </w:pPr>
      <w:r w:rsidRPr="00A96255">
        <w:t xml:space="preserve">6. Comparability / deviation from international standards </w:t>
      </w:r>
      <w:r>
        <w:rPr>
          <w:color w:val="B4B4B4"/>
          <w:sz w:val="20"/>
        </w:rPr>
        <w:t>(COMPARABILITY)</w:t>
      </w:r>
    </w:p>
    <w:p w14:paraId="60169A4B" w14:textId="1ABB4180" w:rsidR="00B25C2A" w:rsidRPr="00375232" w:rsidRDefault="7578A36B" w:rsidP="1FD4E239">
      <w:pPr>
        <w:shd w:val="clear" w:color="auto" w:fill="FFFFFF" w:themeFill="background1"/>
        <w:spacing w:after="0"/>
        <w:contextualSpacing/>
        <w:rPr>
          <w:rFonts w:eastAsia="Times New Roman" w:cs="Times New Roman"/>
          <w:color w:val="4A4A4A"/>
          <w:sz w:val="21"/>
          <w:szCs w:val="21"/>
          <w:lang w:eastAsia="en-GB"/>
        </w:rPr>
      </w:pPr>
      <w:r w:rsidRPr="1FD4E239">
        <w:rPr>
          <w:rFonts w:eastAsia="Times New Roman" w:cs="Times New Roman"/>
          <w:color w:val="4A4A4A"/>
          <w:sz w:val="21"/>
          <w:szCs w:val="21"/>
          <w:lang w:eastAsia="en-GB"/>
        </w:rPr>
        <w:t>Geographical:</w:t>
      </w:r>
      <w:r w:rsidR="00B25C2A" w:rsidRPr="1FD4E239">
        <w:rPr>
          <w:rFonts w:eastAsia="Times New Roman" w:cs="Times New Roman"/>
          <w:color w:val="4A4A4A"/>
          <w:sz w:val="21"/>
          <w:szCs w:val="21"/>
          <w:lang w:eastAsia="en-GB"/>
        </w:rPr>
        <w:t xml:space="preserve"> For national estimates incoming freshwater is counted as being part of the country’s available freshwater resources, while global estimates can only be done by adding up the internal renewable freshwater resources (water generated within the country) of all countries in order to avoid double counting. Moreover, external freshwater resources are computed according to treaties, if present, which may lead to different values with respect to the actual freshwater resources assessed through hydrology.</w:t>
      </w:r>
    </w:p>
    <w:p w14:paraId="5DBB5112" w14:textId="1CCC8605" w:rsidR="24362197" w:rsidRDefault="24362197" w:rsidP="1FD4E239">
      <w:pPr>
        <w:shd w:val="clear" w:color="auto" w:fill="FFFFFF" w:themeFill="background1"/>
        <w:spacing w:after="0"/>
        <w:rPr>
          <w:rFonts w:eastAsia="Times New Roman" w:cs="Times New Roman"/>
          <w:color w:val="4A4A4A"/>
          <w:sz w:val="21"/>
          <w:szCs w:val="21"/>
          <w:lang w:eastAsia="en-GB"/>
        </w:rPr>
      </w:pPr>
      <w:r w:rsidRPr="1FD4E239">
        <w:rPr>
          <w:rFonts w:eastAsia="Times New Roman" w:cs="Times New Roman"/>
          <w:color w:val="4A4A4A"/>
          <w:sz w:val="21"/>
          <w:szCs w:val="21"/>
          <w:lang w:eastAsia="en-GB"/>
        </w:rPr>
        <w:t>Over-time: time series are comparable across tim</w:t>
      </w:r>
      <w:r w:rsidR="00653117">
        <w:rPr>
          <w:rFonts w:eastAsia="Times New Roman" w:cs="Times New Roman"/>
          <w:color w:val="4A4A4A"/>
          <w:sz w:val="21"/>
          <w:szCs w:val="21"/>
          <w:lang w:eastAsia="en-GB"/>
        </w:rPr>
        <w:t>e</w:t>
      </w:r>
      <w:r w:rsidRPr="1FD4E239">
        <w:rPr>
          <w:rFonts w:eastAsia="Times New Roman" w:cs="Times New Roman"/>
          <w:color w:val="4A4A4A"/>
          <w:sz w:val="21"/>
          <w:szCs w:val="21"/>
          <w:lang w:eastAsia="en-GB"/>
        </w:rPr>
        <w:t xml:space="preserve">.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1547178" w14:textId="4BF3BF0A" w:rsidR="00B25C2A" w:rsidRPr="00375232" w:rsidRDefault="00B25C2A" w:rsidP="00B25C2A">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URL:</w:t>
      </w:r>
    </w:p>
    <w:p w14:paraId="0F91C98F" w14:textId="77777777" w:rsidR="00B25C2A" w:rsidRPr="00236764" w:rsidRDefault="00000000" w:rsidP="00B25C2A">
      <w:pPr>
        <w:shd w:val="clear" w:color="auto" w:fill="FFFFFF"/>
        <w:spacing w:after="0"/>
        <w:contextualSpacing/>
        <w:rPr>
          <w:rFonts w:eastAsia="Times New Roman" w:cs="Times New Roman"/>
          <w:b/>
          <w:bCs/>
          <w:color w:val="4A4A4A"/>
          <w:sz w:val="21"/>
          <w:szCs w:val="21"/>
          <w:lang w:eastAsia="en-GB"/>
        </w:rPr>
      </w:pPr>
      <w:hyperlink r:id="rId12" w:history="1">
        <w:r w:rsidR="00B25C2A" w:rsidRPr="007624FE">
          <w:rPr>
            <w:rStyle w:val="Hyperlink"/>
            <w:sz w:val="21"/>
          </w:rPr>
          <w:t>http://www.fao.org/aquastat/en/</w:t>
        </w:r>
      </w:hyperlink>
      <w:r w:rsidR="00B25C2A" w:rsidRPr="00236764" w:rsidDel="00E45757">
        <w:rPr>
          <w:rFonts w:eastAsia="Times New Roman" w:cs="Times New Roman"/>
          <w:color w:val="4A4A4A"/>
          <w:sz w:val="21"/>
          <w:szCs w:val="21"/>
          <w:lang w:eastAsia="en-GB"/>
        </w:rPr>
        <w:t xml:space="preserve"> </w:t>
      </w:r>
    </w:p>
    <w:p w14:paraId="66EE38EE" w14:textId="77777777" w:rsidR="00B25C2A" w:rsidRDefault="00B25C2A" w:rsidP="00B25C2A">
      <w:pPr>
        <w:keepNext/>
        <w:keepLines/>
        <w:shd w:val="clear" w:color="auto" w:fill="FFFFFF"/>
        <w:spacing w:after="0"/>
        <w:contextualSpacing/>
        <w:rPr>
          <w:rFonts w:eastAsia="Times New Roman" w:cs="Times New Roman"/>
          <w:b/>
          <w:bCs/>
          <w:color w:val="4A4A4A"/>
          <w:sz w:val="21"/>
          <w:szCs w:val="21"/>
          <w:lang w:eastAsia="en-GB"/>
        </w:rPr>
      </w:pPr>
    </w:p>
    <w:p w14:paraId="28CA5D18" w14:textId="60F4CF5A" w:rsidR="00B25C2A" w:rsidRDefault="00B25C2A" w:rsidP="00D91FA6">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b/>
          <w:bCs/>
          <w:color w:val="4A4A4A"/>
          <w:sz w:val="21"/>
          <w:szCs w:val="21"/>
          <w:lang w:eastAsia="en-GB"/>
        </w:rPr>
        <w:t>References:</w:t>
      </w:r>
    </w:p>
    <w:p w14:paraId="5490EB8C" w14:textId="230F9B6D" w:rsidR="00D91FA6" w:rsidRPr="00375232" w:rsidRDefault="00D91FA6" w:rsidP="00D91FA6">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Food and Agricultural Organization of the United Nations (FAO). AQUASTAT, FAO's Global Water Information System. Rome. Website </w:t>
      </w:r>
      <w:hyperlink r:id="rId13" w:history="1">
        <w:r w:rsidRPr="007624FE">
          <w:rPr>
            <w:rStyle w:val="Hyperlink"/>
            <w:sz w:val="21"/>
          </w:rPr>
          <w:t>http://www.fao.org/aquastat/en/</w:t>
        </w:r>
      </w:hyperlink>
      <w:r w:rsidRPr="00375232">
        <w:rPr>
          <w:rFonts w:eastAsia="Times New Roman" w:cs="Times New Roman"/>
          <w:color w:val="4A4A4A"/>
          <w:sz w:val="21"/>
          <w:szCs w:val="21"/>
          <w:lang w:eastAsia="en-GB"/>
        </w:rPr>
        <w:t xml:space="preserve">. </w:t>
      </w:r>
    </w:p>
    <w:p w14:paraId="56A94F32" w14:textId="77777777" w:rsidR="00D91FA6" w:rsidRPr="00375232" w:rsidRDefault="00D91FA6" w:rsidP="00D91FA6">
      <w:pPr>
        <w:keepNext/>
        <w:keepLines/>
        <w:shd w:val="clear" w:color="auto" w:fill="FFFFFF"/>
        <w:spacing w:after="0"/>
        <w:contextualSpacing/>
        <w:rPr>
          <w:rFonts w:eastAsia="Times New Roman" w:cs="Times New Roman"/>
          <w:color w:val="4A4A4A"/>
          <w:sz w:val="21"/>
          <w:szCs w:val="21"/>
          <w:lang w:eastAsia="en-GB"/>
        </w:rPr>
      </w:pPr>
    </w:p>
    <w:p w14:paraId="38501C3D" w14:textId="77777777" w:rsidR="00D91FA6" w:rsidRPr="00375232" w:rsidRDefault="00D91FA6" w:rsidP="00D91FA6">
      <w:pPr>
        <w:keepNext/>
        <w:keepLines/>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The following resources of specific interest to this indicator are available on </w:t>
      </w:r>
      <w:r>
        <w:rPr>
          <w:rFonts w:eastAsia="Times New Roman" w:cs="Times New Roman"/>
          <w:color w:val="4A4A4A"/>
          <w:sz w:val="21"/>
          <w:szCs w:val="21"/>
          <w:lang w:eastAsia="en-GB"/>
        </w:rPr>
        <w:t>these</w:t>
      </w:r>
      <w:r w:rsidRPr="0037523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sites</w:t>
      </w:r>
      <w:r w:rsidRPr="00375232">
        <w:rPr>
          <w:rFonts w:eastAsia="Times New Roman" w:cs="Times New Roman"/>
          <w:color w:val="4A4A4A"/>
          <w:sz w:val="21"/>
          <w:szCs w:val="21"/>
          <w:lang w:eastAsia="en-GB"/>
        </w:rPr>
        <w:t xml:space="preserve">: </w:t>
      </w:r>
    </w:p>
    <w:p w14:paraId="7458194A" w14:textId="77777777" w:rsidR="00D91FA6" w:rsidRPr="008215E2" w:rsidRDefault="00D91FA6" w:rsidP="00D91FA6">
      <w:pPr>
        <w:shd w:val="clear" w:color="auto" w:fill="FFFFFF"/>
        <w:rPr>
          <w:rFonts w:eastAsia="Times New Roman" w:cs="Times New Roman"/>
          <w:color w:val="4A4A4A"/>
          <w:sz w:val="21"/>
          <w:szCs w:val="21"/>
          <w:lang w:val="it-IT" w:eastAsia="en-GB"/>
        </w:rPr>
      </w:pPr>
      <w:bookmarkStart w:id="5" w:name="_Hlk36714411"/>
      <w:r w:rsidRPr="008215E2">
        <w:rPr>
          <w:rFonts w:eastAsia="Times New Roman" w:cs="Times New Roman"/>
          <w:color w:val="4A4A4A"/>
          <w:sz w:val="21"/>
          <w:szCs w:val="21"/>
          <w:lang w:val="it-IT" w:eastAsia="en-GB"/>
        </w:rPr>
        <w:t>AQUASTAT glossary (</w:t>
      </w:r>
      <w:r w:rsidR="005A1AF8">
        <w:fldChar w:fldCharType="begin"/>
      </w:r>
      <w:r w:rsidR="005A1AF8">
        <w:instrText xml:space="preserve"> HYPERLINK "http://www.fao.org/aquastat/en/databases/glossary/" </w:instrText>
      </w:r>
      <w:r w:rsidR="005A1AF8">
        <w:fldChar w:fldCharType="separate"/>
      </w:r>
      <w:r w:rsidRPr="007624FE">
        <w:rPr>
          <w:rStyle w:val="Hyperlink"/>
          <w:sz w:val="21"/>
          <w:lang w:val="it-IT"/>
        </w:rPr>
        <w:t>http://www.fao.org/aquastat/en/databases/glossary/</w:t>
      </w:r>
      <w:r w:rsidR="005A1AF8">
        <w:rPr>
          <w:rStyle w:val="Hyperlink"/>
          <w:sz w:val="21"/>
          <w:lang w:val="it-IT"/>
        </w:rPr>
        <w:fldChar w:fldCharType="end"/>
      </w:r>
      <w:r w:rsidRPr="008215E2">
        <w:rPr>
          <w:rFonts w:eastAsia="Times New Roman" w:cs="Times New Roman"/>
          <w:color w:val="4A4A4A"/>
          <w:sz w:val="21"/>
          <w:szCs w:val="21"/>
          <w:lang w:val="it-IT" w:eastAsia="en-GB"/>
        </w:rPr>
        <w:t xml:space="preserve">). </w:t>
      </w:r>
    </w:p>
    <w:p w14:paraId="72CF1082" w14:textId="2D688453"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Main country database (</w:t>
      </w:r>
      <w:hyperlink r:id="rId14" w:history="1">
        <w:r w:rsidR="000A20B2" w:rsidRPr="00613B2A">
          <w:rPr>
            <w:rStyle w:val="Hyperlink"/>
            <w:rFonts w:eastAsia="Times New Roman" w:cs="Times New Roman"/>
            <w:sz w:val="21"/>
            <w:szCs w:val="21"/>
            <w:lang w:eastAsia="en-GB"/>
          </w:rPr>
          <w:t>http://www.fao.org/nr/water/aquastat/data/query/index.html?lang=en</w:t>
        </w:r>
      </w:hyperlink>
      <w:r w:rsidR="000A20B2">
        <w:rPr>
          <w:rFonts w:eastAsia="Times New Roman" w:cs="Times New Roman"/>
          <w:color w:val="4A4A4A"/>
          <w:sz w:val="21"/>
          <w:szCs w:val="21"/>
          <w:lang w:eastAsia="en-GB"/>
        </w:rPr>
        <w:t xml:space="preserve"> </w:t>
      </w:r>
      <w:r w:rsidRPr="008215E2">
        <w:rPr>
          <w:rFonts w:eastAsia="Times New Roman" w:cs="Times New Roman"/>
          <w:color w:val="4A4A4A"/>
          <w:sz w:val="21"/>
          <w:szCs w:val="21"/>
          <w:lang w:eastAsia="en-GB"/>
        </w:rPr>
        <w:t xml:space="preserve">) </w:t>
      </w:r>
    </w:p>
    <w:p w14:paraId="0CB94956"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Water use (</w:t>
      </w:r>
      <w:hyperlink r:id="rId15" w:history="1">
        <w:r w:rsidRPr="007624FE">
          <w:rPr>
            <w:rStyle w:val="Hyperlink"/>
            <w:sz w:val="21"/>
          </w:rPr>
          <w:t>http://www.fao.org/aquastat/en/overview/methodology/water-use/</w:t>
        </w:r>
      </w:hyperlink>
      <w:r w:rsidRPr="008215E2">
        <w:rPr>
          <w:rFonts w:eastAsia="Times New Roman" w:cs="Times New Roman"/>
          <w:color w:val="4A4A4A"/>
          <w:sz w:val="21"/>
          <w:szCs w:val="21"/>
          <w:lang w:eastAsia="en-GB"/>
        </w:rPr>
        <w:t xml:space="preserve">). </w:t>
      </w:r>
    </w:p>
    <w:p w14:paraId="3B3F1054"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Water resources (</w:t>
      </w:r>
      <w:hyperlink r:id="rId16" w:history="1">
        <w:r w:rsidRPr="007624FE">
          <w:rPr>
            <w:rStyle w:val="Hyperlink"/>
            <w:sz w:val="21"/>
          </w:rPr>
          <w:t>http://www.fao.org/aquastat/en/overview/methodology/water-resources/</w:t>
        </w:r>
      </w:hyperlink>
      <w:r w:rsidRPr="008215E2">
        <w:rPr>
          <w:rFonts w:eastAsia="Times New Roman" w:cs="Times New Roman"/>
          <w:color w:val="4A4A4A"/>
          <w:sz w:val="21"/>
          <w:szCs w:val="21"/>
          <w:lang w:eastAsia="en-GB"/>
        </w:rPr>
        <w:t xml:space="preserve">). </w:t>
      </w:r>
    </w:p>
    <w:p w14:paraId="7D62472B" w14:textId="586044C2" w:rsidR="00D91FA6"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AQUASTAT publications dealing with concepts, methodologies, definitions, terminologies, metadata, etc. (</w:t>
      </w:r>
      <w:hyperlink r:id="rId17" w:history="1">
        <w:r w:rsidRPr="007624FE">
          <w:rPr>
            <w:rStyle w:val="Hyperlink"/>
            <w:sz w:val="21"/>
          </w:rPr>
          <w:t>http://www.fao.org/aquastat/en/resources/publications/reports/</w:t>
        </w:r>
      </w:hyperlink>
      <w:r w:rsidRPr="008215E2">
        <w:rPr>
          <w:rFonts w:eastAsia="Times New Roman" w:cs="Times New Roman"/>
          <w:color w:val="4A4A4A"/>
          <w:sz w:val="21"/>
          <w:szCs w:val="21"/>
          <w:lang w:eastAsia="en-GB"/>
        </w:rPr>
        <w:t>)</w:t>
      </w:r>
    </w:p>
    <w:bookmarkEnd w:id="5"/>
    <w:p w14:paraId="3E5148F6" w14:textId="77777777"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lastRenderedPageBreak/>
        <w:t xml:space="preserve">IWMI – Global environmental flows assessment </w:t>
      </w:r>
      <w:r w:rsidRPr="008215E2">
        <w:rPr>
          <w:rFonts w:eastAsia="Times New Roman" w:cs="Times New Roman"/>
          <w:color w:val="4A4A4A"/>
          <w:sz w:val="21"/>
          <w:szCs w:val="21"/>
          <w:lang w:eastAsia="en-GB"/>
        </w:rPr>
        <w:br/>
      </w:r>
      <w:hyperlink r:id="rId18" w:history="1">
        <w:r w:rsidRPr="00B34D45">
          <w:rPr>
            <w:rStyle w:val="Hyperlink"/>
            <w:rFonts w:eastAsia="Times New Roman" w:cs="Times New Roman"/>
            <w:sz w:val="21"/>
            <w:szCs w:val="21"/>
            <w:lang w:eastAsia="en-GB"/>
          </w:rPr>
          <w:t>http://eflows.iwmi.org/</w:t>
        </w:r>
      </w:hyperlink>
      <w:r w:rsidRPr="008215E2">
        <w:rPr>
          <w:rFonts w:eastAsia="Times New Roman" w:cs="Times New Roman"/>
          <w:color w:val="4A4A4A"/>
          <w:sz w:val="21"/>
          <w:szCs w:val="21"/>
          <w:lang w:eastAsia="en-GB"/>
        </w:rPr>
        <w:t xml:space="preserve"> </w:t>
      </w:r>
    </w:p>
    <w:p w14:paraId="4F68E773" w14:textId="20697292" w:rsidR="00D91FA6" w:rsidRDefault="00D91FA6" w:rsidP="00D91FA6">
      <w:pPr>
        <w:pStyle w:val="ListParagraph"/>
        <w:shd w:val="clear" w:color="auto" w:fill="FFFFFF"/>
        <w:ind w:left="0"/>
        <w:rPr>
          <w:rFonts w:eastAsia="Times New Roman" w:cs="Times New Roman"/>
          <w:color w:val="4A4A4A"/>
          <w:sz w:val="21"/>
          <w:szCs w:val="21"/>
          <w:lang w:eastAsia="en-GB"/>
        </w:rPr>
      </w:pPr>
      <w:r>
        <w:rPr>
          <w:rFonts w:eastAsia="Times New Roman" w:cs="Times New Roman"/>
          <w:color w:val="4A4A4A"/>
          <w:sz w:val="21"/>
          <w:szCs w:val="21"/>
          <w:lang w:eastAsia="en-GB"/>
        </w:rPr>
        <w:t xml:space="preserve">IWMI - </w:t>
      </w:r>
      <w:r w:rsidRPr="00B34D45">
        <w:rPr>
          <w:rFonts w:eastAsia="Times New Roman" w:cs="Times New Roman"/>
          <w:color w:val="4A4A4A"/>
          <w:sz w:val="21"/>
          <w:szCs w:val="21"/>
          <w:lang w:eastAsia="en-GB"/>
        </w:rPr>
        <w:t>Global Environmental Flow Information for the Sustainable Development Goals</w:t>
      </w:r>
      <w:r>
        <w:rPr>
          <w:rFonts w:eastAsia="Times New Roman" w:cs="Times New Roman"/>
          <w:color w:val="4A4A4A"/>
          <w:sz w:val="21"/>
          <w:szCs w:val="21"/>
          <w:lang w:eastAsia="en-GB"/>
        </w:rPr>
        <w:br/>
      </w:r>
      <w:hyperlink r:id="rId19" w:history="1">
        <w:r w:rsidR="00F31D62" w:rsidRPr="002A70B3">
          <w:rPr>
            <w:rStyle w:val="Hyperlink"/>
            <w:rFonts w:eastAsia="Times New Roman" w:cs="Times New Roman"/>
            <w:sz w:val="21"/>
            <w:szCs w:val="21"/>
            <w:lang w:eastAsia="en-GB"/>
          </w:rPr>
          <w:t>http://www.iwmi.cgiar.org/Publications/IWMI_Research_Reports/PDF/pub168/rr168.pdf</w:t>
        </w:r>
      </w:hyperlink>
      <w:r w:rsidR="00F31D62">
        <w:rPr>
          <w:rFonts w:eastAsia="Times New Roman" w:cs="Times New Roman"/>
          <w:color w:val="4A4A4A"/>
          <w:sz w:val="21"/>
          <w:szCs w:val="21"/>
          <w:lang w:eastAsia="en-GB"/>
        </w:rPr>
        <w:t xml:space="preserve"> </w:t>
      </w:r>
    </w:p>
    <w:p w14:paraId="0683F7B4" w14:textId="77777777" w:rsidR="00D91FA6" w:rsidRDefault="00D91FA6" w:rsidP="00D91FA6">
      <w:pPr>
        <w:pStyle w:val="ListParagraph"/>
        <w:shd w:val="clear" w:color="auto" w:fill="FFFFFF"/>
        <w:ind w:left="0"/>
        <w:rPr>
          <w:rFonts w:eastAsia="Times New Roman" w:cs="Times New Roman"/>
          <w:color w:val="4A4A4A"/>
          <w:sz w:val="21"/>
          <w:szCs w:val="21"/>
          <w:lang w:eastAsia="en-GB"/>
        </w:rPr>
      </w:pPr>
    </w:p>
    <w:p w14:paraId="0FC26E77" w14:textId="77777777" w:rsidR="00D91FA6" w:rsidRDefault="00D91FA6" w:rsidP="00D91FA6">
      <w:pPr>
        <w:pStyle w:val="ListParagraph"/>
        <w:shd w:val="clear" w:color="auto" w:fill="FFFFFF"/>
        <w:ind w:left="0"/>
        <w:rPr>
          <w:rFonts w:eastAsia="Times New Roman" w:cs="Times New Roman"/>
          <w:color w:val="4A4A4A"/>
          <w:sz w:val="21"/>
          <w:szCs w:val="21"/>
          <w:lang w:val="fr-FR" w:eastAsia="en-GB"/>
        </w:rPr>
      </w:pPr>
      <w:r w:rsidRPr="00375232">
        <w:rPr>
          <w:rFonts w:eastAsia="Times New Roman" w:cs="Times New Roman"/>
          <w:color w:val="4A4A4A"/>
          <w:sz w:val="21"/>
          <w:szCs w:val="21"/>
          <w:lang w:val="fr-FR" w:eastAsia="en-GB"/>
        </w:rPr>
        <w:t xml:space="preserve">UNSD/UNEP Questionnaire on </w:t>
      </w:r>
      <w:proofErr w:type="spellStart"/>
      <w:r w:rsidRPr="00375232">
        <w:rPr>
          <w:rFonts w:eastAsia="Times New Roman" w:cs="Times New Roman"/>
          <w:color w:val="4A4A4A"/>
          <w:sz w:val="21"/>
          <w:szCs w:val="21"/>
          <w:lang w:val="fr-FR" w:eastAsia="en-GB"/>
        </w:rPr>
        <w:t>Environment</w:t>
      </w:r>
      <w:proofErr w:type="spellEnd"/>
      <w:r w:rsidRPr="00375232">
        <w:rPr>
          <w:rFonts w:eastAsia="Times New Roman" w:cs="Times New Roman"/>
          <w:color w:val="4A4A4A"/>
          <w:sz w:val="21"/>
          <w:szCs w:val="21"/>
          <w:lang w:val="fr-FR" w:eastAsia="en-GB"/>
        </w:rPr>
        <w:t xml:space="preserve"> Statistics – Water Section</w:t>
      </w:r>
    </w:p>
    <w:p w14:paraId="78FD668E" w14:textId="085D07CF" w:rsidR="00D91FA6" w:rsidRPr="008215E2" w:rsidRDefault="00000000" w:rsidP="00D91FA6">
      <w:pPr>
        <w:pStyle w:val="ListParagraph"/>
        <w:shd w:val="clear" w:color="auto" w:fill="FFFFFF"/>
        <w:ind w:left="0"/>
        <w:rPr>
          <w:rFonts w:eastAsia="Times New Roman" w:cs="Times New Roman"/>
          <w:color w:val="4A4A4A"/>
          <w:sz w:val="21"/>
          <w:szCs w:val="21"/>
          <w:lang w:val="fr-FR" w:eastAsia="en-GB"/>
        </w:rPr>
      </w:pPr>
      <w:r>
        <w:fldChar w:fldCharType="begin"/>
      </w:r>
      <w:r w:rsidRPr="00993A06">
        <w:rPr>
          <w:lang w:val="fr-FR"/>
        </w:rPr>
        <w:instrText>HYPERLINK "http://unstats.un.org/unsd/environment/qindicators.htm"</w:instrText>
      </w:r>
      <w:r>
        <w:fldChar w:fldCharType="separate"/>
      </w:r>
      <w:r w:rsidR="00F31D62" w:rsidRPr="002A70B3">
        <w:rPr>
          <w:rStyle w:val="Hyperlink"/>
          <w:rFonts w:eastAsia="Times New Roman" w:cs="Times New Roman"/>
          <w:sz w:val="21"/>
          <w:szCs w:val="21"/>
          <w:lang w:val="fr-FR" w:eastAsia="en-GB"/>
        </w:rPr>
        <w:t>http://unstats.un.org/unsd/environment/qindicators.htm</w:t>
      </w:r>
      <w:r>
        <w:rPr>
          <w:rStyle w:val="Hyperlink"/>
          <w:rFonts w:eastAsia="Times New Roman" w:cs="Times New Roman"/>
          <w:sz w:val="21"/>
          <w:szCs w:val="21"/>
          <w:lang w:val="fr-FR" w:eastAsia="en-GB"/>
        </w:rPr>
        <w:fldChar w:fldCharType="end"/>
      </w:r>
      <w:r w:rsidR="00F31D62">
        <w:rPr>
          <w:rFonts w:eastAsia="Times New Roman" w:cs="Times New Roman"/>
          <w:color w:val="4A4A4A"/>
          <w:sz w:val="21"/>
          <w:szCs w:val="21"/>
          <w:lang w:val="fr-FR" w:eastAsia="en-GB"/>
        </w:rPr>
        <w:t xml:space="preserve"> </w:t>
      </w:r>
      <w:r w:rsidR="00D91FA6" w:rsidRPr="00375232">
        <w:rPr>
          <w:rFonts w:eastAsia="Times New Roman" w:cs="Times New Roman"/>
          <w:color w:val="4A4A4A"/>
          <w:sz w:val="21"/>
          <w:szCs w:val="21"/>
          <w:lang w:val="fr-FR" w:eastAsia="en-GB"/>
        </w:rPr>
        <w:t xml:space="preserve"> </w:t>
      </w:r>
    </w:p>
    <w:p w14:paraId="2C5444C8" w14:textId="74014F96" w:rsidR="00D91FA6" w:rsidRPr="008215E2" w:rsidRDefault="00D91FA6" w:rsidP="00D91FA6">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 xml:space="preserve">Framework for the Development of Environment Statistics (FDES 2013) (Chapter 3) </w:t>
      </w:r>
      <w:hyperlink r:id="rId20" w:history="1">
        <w:r w:rsidR="00F31D62" w:rsidRPr="002A70B3">
          <w:rPr>
            <w:rStyle w:val="Hyperlink"/>
            <w:rFonts w:eastAsia="Times New Roman" w:cs="Times New Roman"/>
            <w:sz w:val="21"/>
            <w:szCs w:val="21"/>
            <w:lang w:eastAsia="en-GB"/>
          </w:rPr>
          <w:t>http://unstats.un.org/unsd/environment/FDES/FDES-2015-supporting-tools/FDES.pdf</w:t>
        </w:r>
      </w:hyperlink>
      <w:r w:rsidR="00F31D62">
        <w:rPr>
          <w:rFonts w:eastAsia="Times New Roman" w:cs="Times New Roman"/>
          <w:color w:val="4A4A4A"/>
          <w:sz w:val="21"/>
          <w:szCs w:val="21"/>
          <w:lang w:eastAsia="en-GB"/>
        </w:rPr>
        <w:t xml:space="preserve"> </w:t>
      </w:r>
    </w:p>
    <w:p w14:paraId="37DF756A" w14:textId="08AE76CD" w:rsidR="00D91FA6" w:rsidRDefault="00D91FA6" w:rsidP="00D91FA6">
      <w:pPr>
        <w:shd w:val="clear" w:color="auto" w:fill="FFFFFF"/>
        <w:rPr>
          <w:rFonts w:eastAsia="Times New Roman" w:cs="Times New Roman"/>
          <w:color w:val="4A4A4A"/>
          <w:sz w:val="21"/>
          <w:szCs w:val="21"/>
          <w:lang w:val="fr-FR" w:eastAsia="en-GB"/>
        </w:rPr>
      </w:pPr>
      <w:r w:rsidRPr="008215E2">
        <w:rPr>
          <w:rFonts w:eastAsia="Times New Roman" w:cs="Times New Roman"/>
          <w:color w:val="4A4A4A"/>
          <w:sz w:val="21"/>
          <w:szCs w:val="21"/>
          <w:lang w:val="fr-FR" w:eastAsia="en-GB"/>
        </w:rPr>
        <w:t xml:space="preserve">OECD/Eurostat Questionnaire on </w:t>
      </w:r>
      <w:proofErr w:type="spellStart"/>
      <w:r w:rsidRPr="008215E2">
        <w:rPr>
          <w:rFonts w:eastAsia="Times New Roman" w:cs="Times New Roman"/>
          <w:color w:val="4A4A4A"/>
          <w:sz w:val="21"/>
          <w:szCs w:val="21"/>
          <w:lang w:val="fr-FR" w:eastAsia="en-GB"/>
        </w:rPr>
        <w:t>Environment</w:t>
      </w:r>
      <w:proofErr w:type="spellEnd"/>
      <w:r w:rsidRPr="008215E2">
        <w:rPr>
          <w:rFonts w:eastAsia="Times New Roman" w:cs="Times New Roman"/>
          <w:color w:val="4A4A4A"/>
          <w:sz w:val="21"/>
          <w:szCs w:val="21"/>
          <w:lang w:val="fr-FR" w:eastAsia="en-GB"/>
        </w:rPr>
        <w:t xml:space="preserve"> Statistics – Water Section</w:t>
      </w:r>
      <w:r w:rsidR="00F31D62">
        <w:rPr>
          <w:rFonts w:eastAsia="Times New Roman" w:cs="Times New Roman"/>
          <w:color w:val="4A4A4A"/>
          <w:sz w:val="21"/>
          <w:szCs w:val="21"/>
          <w:lang w:val="fr-FR" w:eastAsia="en-GB"/>
        </w:rPr>
        <w:t xml:space="preserve"> </w:t>
      </w:r>
    </w:p>
    <w:p w14:paraId="281055A4" w14:textId="5665EC49" w:rsidR="001D1FD1" w:rsidRPr="008215E2" w:rsidRDefault="001D1FD1" w:rsidP="00D91FA6">
      <w:pPr>
        <w:shd w:val="clear" w:color="auto" w:fill="FFFFFF"/>
        <w:rPr>
          <w:rFonts w:eastAsia="Times New Roman" w:cs="Times New Roman"/>
          <w:color w:val="4A4A4A"/>
          <w:sz w:val="21"/>
          <w:szCs w:val="21"/>
          <w:lang w:val="fr-FR" w:eastAsia="en-GB"/>
        </w:rPr>
      </w:pPr>
      <w:r w:rsidRPr="001D1FD1">
        <w:rPr>
          <w:rFonts w:eastAsia="Times New Roman" w:cs="Times New Roman"/>
          <w:color w:val="4A4A4A"/>
          <w:sz w:val="21"/>
          <w:szCs w:val="21"/>
          <w:lang w:val="fr-FR" w:eastAsia="en-GB"/>
        </w:rPr>
        <w:t>https://ec.europa.eu/eurostat/documents/1798247/6664269/Data-Collection-Manual-for-OECD_Eurostat-Questionnaire-on-Inland-Waters.pdf/f5f60d49-e88c-4e3c-bc23-c1ec26a01b2a?t=1611245054001</w:t>
      </w:r>
    </w:p>
    <w:p w14:paraId="77B4B41E" w14:textId="77777777" w:rsidR="00943C3A" w:rsidRPr="0010585A" w:rsidRDefault="00943C3A" w:rsidP="00943C3A">
      <w:pPr>
        <w:pStyle w:val="MText"/>
      </w:pPr>
      <w:r w:rsidRPr="0010585A">
        <w:t>Several documents exist that can be used to support countries in the computation of this indicator. Among them:</w:t>
      </w:r>
    </w:p>
    <w:p w14:paraId="6A6EE053" w14:textId="77777777" w:rsidR="00943C3A" w:rsidRPr="0010585A" w:rsidRDefault="00943C3A" w:rsidP="00943C3A">
      <w:pPr>
        <w:pStyle w:val="MText"/>
      </w:pPr>
    </w:p>
    <w:p w14:paraId="3AA0D30D" w14:textId="2BD2FDA4" w:rsidR="00943C3A" w:rsidRPr="0010585A" w:rsidRDefault="00943C3A" w:rsidP="00943C3A">
      <w:pPr>
        <w:pStyle w:val="MText"/>
      </w:pPr>
      <w:r w:rsidRPr="0010585A">
        <w:rPr>
          <w:b/>
          <w:bCs/>
        </w:rPr>
        <w:t>Understanding AQUASTAT - FAO's global water information system</w:t>
      </w:r>
      <w:r w:rsidRPr="0010585A">
        <w:rPr>
          <w:b/>
          <w:bCs/>
        </w:rPr>
        <w:br/>
      </w:r>
      <w:r w:rsidRPr="0010585A">
        <w:t>This information note covers a twenty</w:t>
      </w:r>
      <w:r w:rsidR="00EA7082">
        <w:t>-</w:t>
      </w:r>
      <w:r w:rsidRPr="0010585A">
        <w:t>year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21" w:history="1">
        <w:r w:rsidRPr="0010585A">
          <w:rPr>
            <w:rStyle w:val="Hyperlink"/>
          </w:rPr>
          <w:t>http://www.fao.org/3/a-bc817e.pdf</w:t>
        </w:r>
      </w:hyperlink>
    </w:p>
    <w:p w14:paraId="46CD8013" w14:textId="77777777" w:rsidR="00943C3A" w:rsidRDefault="00943C3A" w:rsidP="00943C3A">
      <w:pPr>
        <w:pStyle w:val="MText"/>
      </w:pPr>
    </w:p>
    <w:p w14:paraId="54B73763" w14:textId="77777777" w:rsidR="00943C3A" w:rsidRPr="009B1AE4" w:rsidRDefault="00943C3A" w:rsidP="00943C3A">
      <w:pPr>
        <w:pStyle w:val="MText"/>
        <w:rPr>
          <w:b/>
        </w:rPr>
      </w:pPr>
      <w:r w:rsidRPr="009B1AE4">
        <w:rPr>
          <w:b/>
        </w:rPr>
        <w:t>Incorporating environmental flows into “water stress” indicator 6.4.2 - Guidelines for a minimum standard method for global reporting.</w:t>
      </w:r>
    </w:p>
    <w:p w14:paraId="13D4ACAE" w14:textId="77777777" w:rsidR="00943C3A" w:rsidRDefault="00943C3A" w:rsidP="00943C3A">
      <w:pPr>
        <w:pStyle w:val="MText"/>
      </w:pPr>
      <w:r>
        <w:t xml:space="preserve">These guidelines are intended to assist countries to participate in the assessment of SDG 6.4.2 on water stress by contributing data and information on environmental flows (EF). They provide a minimum standard method, principally based on the Global Environmental Flows Information System (GEFIS), which is accessible via </w:t>
      </w:r>
      <w:hyperlink r:id="rId22" w:history="1">
        <w:r w:rsidRPr="00ED20BC">
          <w:rPr>
            <w:rStyle w:val="Hyperlink"/>
          </w:rPr>
          <w:t>http://eflows.iwmi.org</w:t>
        </w:r>
      </w:hyperlink>
      <w:r>
        <w:t>.</w:t>
      </w:r>
    </w:p>
    <w:p w14:paraId="60F14F46" w14:textId="77777777" w:rsidR="00943C3A" w:rsidRDefault="00000000" w:rsidP="00943C3A">
      <w:pPr>
        <w:pStyle w:val="MText"/>
      </w:pPr>
      <w:hyperlink r:id="rId23" w:history="1">
        <w:r w:rsidR="00943C3A" w:rsidRPr="00ED20BC">
          <w:rPr>
            <w:rStyle w:val="Hyperlink"/>
          </w:rPr>
          <w:t>https://www.unwater.org/app/uploads/2019/01/SDG6_EF_LOW2.pdf</w:t>
        </w:r>
      </w:hyperlink>
    </w:p>
    <w:p w14:paraId="247B15E2" w14:textId="77777777" w:rsidR="00943C3A" w:rsidRDefault="00943C3A" w:rsidP="00943C3A">
      <w:pPr>
        <w:pStyle w:val="MText"/>
      </w:pPr>
    </w:p>
    <w:p w14:paraId="1821AB1B" w14:textId="77777777" w:rsidR="00943C3A" w:rsidRPr="0010585A" w:rsidRDefault="00943C3A" w:rsidP="00943C3A">
      <w:pPr>
        <w:pStyle w:val="MText"/>
        <w:rPr>
          <w:u w:val="single"/>
        </w:rPr>
      </w:pPr>
      <w:r w:rsidRPr="0010585A">
        <w:rPr>
          <w:b/>
          <w:bCs/>
        </w:rPr>
        <w:t>Renewable Water Resources Assessment - 2015 AQUASTAT methodology review</w:t>
      </w:r>
      <w:r w:rsidRPr="0010585A">
        <w:rPr>
          <w:b/>
          <w:bCs/>
        </w:rPr>
        <w:br/>
      </w:r>
      <w:hyperlink r:id="rId24" w:history="1">
        <w:r w:rsidRPr="0010585A">
          <w:rPr>
            <w:rStyle w:val="Hyperlink"/>
          </w:rPr>
          <w:t>http://www.fao.org/3/a-bc818e.pdf</w:t>
        </w:r>
      </w:hyperlink>
    </w:p>
    <w:p w14:paraId="5EADE660" w14:textId="77777777" w:rsidR="00943C3A" w:rsidRPr="0010585A" w:rsidRDefault="00943C3A" w:rsidP="00943C3A">
      <w:pPr>
        <w:pStyle w:val="MText"/>
        <w:rPr>
          <w:b/>
          <w:bCs/>
        </w:rPr>
      </w:pPr>
    </w:p>
    <w:p w14:paraId="506BDA39" w14:textId="0569524A" w:rsidR="00943C3A" w:rsidRPr="0010585A" w:rsidRDefault="00943C3A" w:rsidP="00943C3A">
      <w:pPr>
        <w:pStyle w:val="MText"/>
      </w:pPr>
      <w:r w:rsidRPr="0010585A">
        <w:rPr>
          <w:b/>
          <w:bCs/>
        </w:rPr>
        <w:t>Global database on municipal wastewater production, collection, treatment, discharge and direct use in agriculture </w:t>
      </w:r>
      <w:r w:rsidRPr="0010585A">
        <w:rPr>
          <w:b/>
          <w:bCs/>
        </w:rPr>
        <w:br/>
      </w:r>
      <w:r w:rsidRPr="0010585A">
        <w:t xml:space="preserve">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w:t>
      </w:r>
      <w:r w:rsidRPr="0010585A">
        <w:lastRenderedPageBreak/>
        <w:t>and direct communications by country government officials and experts</w:t>
      </w:r>
      <w:r w:rsidR="00476042">
        <w:t>.</w:t>
      </w:r>
      <w:r w:rsidRPr="0010585A">
        <w:br/>
      </w:r>
      <w:hyperlink r:id="rId25" w:history="1">
        <w:r w:rsidRPr="0010585A">
          <w:rPr>
            <w:rStyle w:val="Hyperlink"/>
          </w:rPr>
          <w:t>http://www.fao.org/3/a-bc823e.pdf</w:t>
        </w:r>
      </w:hyperlink>
    </w:p>
    <w:p w14:paraId="549FA562" w14:textId="77777777" w:rsidR="00943C3A" w:rsidRPr="0010585A" w:rsidRDefault="00943C3A" w:rsidP="00943C3A">
      <w:pPr>
        <w:pStyle w:val="MText"/>
      </w:pPr>
    </w:p>
    <w:p w14:paraId="0B9870EE" w14:textId="77777777" w:rsidR="00943C3A" w:rsidRPr="0010585A" w:rsidRDefault="00943C3A" w:rsidP="00943C3A">
      <w:pPr>
        <w:pStyle w:val="MText"/>
      </w:pPr>
      <w:r w:rsidRPr="0010585A">
        <w:rPr>
          <w:b/>
          <w:bCs/>
        </w:rPr>
        <w:t>Cooling water for energy generation and its impact on national-level water statistics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26" w:history="1">
        <w:r w:rsidRPr="0010585A">
          <w:rPr>
            <w:rStyle w:val="Hyperlink"/>
          </w:rPr>
          <w:t>http://www.fao.org/3/a-bc822e.pdf</w:t>
        </w:r>
      </w:hyperlink>
    </w:p>
    <w:p w14:paraId="72310325" w14:textId="77777777" w:rsidR="00943C3A" w:rsidRPr="0010585A" w:rsidRDefault="00943C3A" w:rsidP="00943C3A">
      <w:pPr>
        <w:pStyle w:val="MText"/>
      </w:pPr>
    </w:p>
    <w:p w14:paraId="5D52947B" w14:textId="77777777" w:rsidR="00943C3A" w:rsidRPr="0010585A" w:rsidRDefault="00943C3A" w:rsidP="00943C3A">
      <w:pPr>
        <w:pStyle w:val="MText"/>
      </w:pPr>
      <w:r w:rsidRPr="0010585A">
        <w:rPr>
          <w:b/>
          <w:bCs/>
        </w:rPr>
        <w:t>Municipal and industrial water withdrawal modelling for the years 2000 and 2005 using statistical methods </w:t>
      </w:r>
      <w:r w:rsidRPr="0010585A">
        <w:rPr>
          <w:b/>
          <w:bCs/>
        </w:rPr>
        <w:br/>
      </w:r>
      <w:r w:rsidRPr="0010585A">
        <w:t>This document describes the efforts to generate models that estimate the municipal and industrial water withdrawals for the years 2000 and 2005. </w:t>
      </w:r>
      <w:r w:rsidRPr="0010585A">
        <w:br/>
      </w:r>
      <w:hyperlink r:id="rId27" w:history="1">
        <w:r w:rsidRPr="0010585A">
          <w:rPr>
            <w:rStyle w:val="Hyperlink"/>
          </w:rPr>
          <w:t>http://www.fao.org/3/a-bc821e.pdf</w:t>
        </w:r>
      </w:hyperlink>
    </w:p>
    <w:p w14:paraId="44171E35" w14:textId="77777777" w:rsidR="00943C3A" w:rsidRPr="0010585A" w:rsidRDefault="00943C3A" w:rsidP="00943C3A">
      <w:pPr>
        <w:pStyle w:val="MText"/>
      </w:pPr>
    </w:p>
    <w:p w14:paraId="45EEA3D5" w14:textId="77777777" w:rsidR="00943C3A" w:rsidRPr="0010585A" w:rsidRDefault="00943C3A" w:rsidP="00943C3A">
      <w:pPr>
        <w:pStyle w:val="MText"/>
      </w:pPr>
      <w:r w:rsidRPr="00947B0D">
        <w:rPr>
          <w:b/>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28" w:history="1">
        <w:r w:rsidRPr="0010585A">
          <w:rPr>
            <w:rStyle w:val="Hyperlink"/>
          </w:rPr>
          <w:t>http://www.fao.org/3/a-bc816e.pdf</w:t>
        </w:r>
      </w:hyperlink>
    </w:p>
    <w:p w14:paraId="6F0FEE47" w14:textId="77777777" w:rsidR="00943C3A" w:rsidRPr="0010585A" w:rsidRDefault="00943C3A" w:rsidP="00943C3A">
      <w:pPr>
        <w:pStyle w:val="MText"/>
      </w:pPr>
    </w:p>
    <w:p w14:paraId="7CE70FF5" w14:textId="77777777" w:rsidR="00476042" w:rsidRDefault="00943C3A" w:rsidP="00943C3A">
      <w:pPr>
        <w:pStyle w:val="MText"/>
        <w:rPr>
          <w:rStyle w:val="Hyperlink"/>
        </w:rPr>
      </w:pPr>
      <w:r w:rsidRPr="4D8B2CF2">
        <w:rPr>
          <w:b/>
          <w:bCs/>
        </w:rPr>
        <w:t>FAO-AQUASTAT questionnaire on water and agriculture</w:t>
      </w:r>
      <w:r>
        <w:br/>
        <w:t>These annual Guidelines and questionnaires have been prepared specifically designed to collect the SDG 6.4. related water variables, and therefore to update the core variables in AQUASTAT database.</w:t>
      </w:r>
      <w:r>
        <w:br/>
      </w:r>
      <w:hyperlink r:id="rId29">
        <w:r w:rsidRPr="4D8B2CF2">
          <w:rPr>
            <w:rStyle w:val="Hyperlink"/>
          </w:rPr>
          <w:t>http://www.fao.org/aquastat/en/overview/methodology/</w:t>
        </w:r>
      </w:hyperlink>
    </w:p>
    <w:p w14:paraId="51351A12" w14:textId="60036282" w:rsidR="00943C3A" w:rsidRPr="0010585A" w:rsidRDefault="00943C3A" w:rsidP="00943C3A">
      <w:pPr>
        <w:pStyle w:val="MText"/>
      </w:pPr>
      <w:r>
        <w:t xml:space="preserve"> </w:t>
      </w:r>
    </w:p>
    <w:p w14:paraId="7D35FD2D" w14:textId="36982D66" w:rsidR="00943C3A" w:rsidRPr="007624FE" w:rsidRDefault="00943C3A" w:rsidP="00943C3A">
      <w:pPr>
        <w:pStyle w:val="MText"/>
        <w:rPr>
          <w:u w:val="single"/>
          <w:lang w:val="fr-CA"/>
        </w:rPr>
      </w:pPr>
      <w:r w:rsidRPr="0010585A">
        <w:rPr>
          <w:b/>
          <w:bCs/>
        </w:rPr>
        <w:t>International Recommendations for Water Statistics</w:t>
      </w:r>
      <w:r w:rsidRPr="0010585A">
        <w:rPr>
          <w:b/>
          <w:bCs/>
        </w:rPr>
        <w:br/>
      </w:r>
      <w:r w:rsidRPr="0010585A">
        <w:t>The International Recommendations for Water Statistics (IRWS) were developed to help strengthen national information systems for water in support of design and evaluation of Integrated Water Resources Management (IWRM) policies.</w:t>
      </w:r>
      <w:r w:rsidRPr="0010585A">
        <w:br/>
      </w:r>
      <w:hyperlink r:id="rId30" w:history="1">
        <w:r w:rsidR="00210801" w:rsidRPr="007624FE">
          <w:rPr>
            <w:rStyle w:val="Hyperlink"/>
            <w:lang w:val="fr-CA"/>
          </w:rPr>
          <w:t>https://unstats.un.org/unsd/EconStatKB/KnowledgebaseArticle10209.aspx</w:t>
        </w:r>
      </w:hyperlink>
      <w:r w:rsidR="00210801" w:rsidRPr="007624FE">
        <w:rPr>
          <w:lang w:val="fr-CA"/>
        </w:rPr>
        <w:t xml:space="preserve"> </w:t>
      </w:r>
      <w:r w:rsidR="004A34D2" w:rsidRPr="007624FE" w:rsidDel="004A34D2">
        <w:rPr>
          <w:lang w:val="fr-CA"/>
        </w:rPr>
        <w:t xml:space="preserve"> </w:t>
      </w:r>
    </w:p>
    <w:p w14:paraId="1B3EA2FB" w14:textId="77777777" w:rsidR="00943C3A" w:rsidRPr="007624FE" w:rsidRDefault="00943C3A" w:rsidP="00943C3A">
      <w:pPr>
        <w:pStyle w:val="MText"/>
        <w:rPr>
          <w:lang w:val="fr-CA"/>
        </w:rPr>
      </w:pPr>
    </w:p>
    <w:p w14:paraId="4CFF45EF" w14:textId="77777777" w:rsidR="00943C3A" w:rsidRPr="0010585A" w:rsidRDefault="00943C3A" w:rsidP="00943C3A">
      <w:pPr>
        <w:pStyle w:val="MText"/>
        <w:rPr>
          <w:u w:val="single"/>
          <w:lang w:val="fr-FR"/>
        </w:rPr>
      </w:pPr>
      <w:r w:rsidRPr="0010585A">
        <w:rPr>
          <w:b/>
          <w:bCs/>
          <w:lang w:val="fr-FR"/>
        </w:rPr>
        <w:t xml:space="preserve">UNSD/UNEP </w:t>
      </w:r>
      <w:r w:rsidRPr="00D812B4">
        <w:rPr>
          <w:b/>
          <w:bCs/>
          <w:lang w:val="fr-FR"/>
        </w:rPr>
        <w:t xml:space="preserve">Questionnaire on </w:t>
      </w:r>
      <w:proofErr w:type="spellStart"/>
      <w:r w:rsidRPr="00D812B4">
        <w:rPr>
          <w:b/>
          <w:bCs/>
          <w:lang w:val="fr-FR"/>
        </w:rPr>
        <w:t>Environment</w:t>
      </w:r>
      <w:proofErr w:type="spellEnd"/>
      <w:r w:rsidRPr="00D812B4">
        <w:rPr>
          <w:b/>
          <w:bCs/>
          <w:lang w:val="fr-FR"/>
        </w:rPr>
        <w:t xml:space="preserve"> Statistics</w:t>
      </w:r>
      <w:r w:rsidRPr="0010585A">
        <w:rPr>
          <w:b/>
          <w:bCs/>
          <w:lang w:val="fr-FR"/>
        </w:rPr>
        <w:t xml:space="preserve"> – Water Section</w:t>
      </w:r>
      <w:r w:rsidRPr="0010585A">
        <w:rPr>
          <w:b/>
          <w:bCs/>
          <w:lang w:val="fr-FR"/>
        </w:rPr>
        <w:br/>
      </w:r>
      <w:hyperlink r:id="rId31" w:history="1">
        <w:r w:rsidRPr="0010585A">
          <w:rPr>
            <w:rStyle w:val="Hyperlink"/>
            <w:lang w:val="fr-FR"/>
          </w:rPr>
          <w:t>http://unstats.un.org/unsd/environment/questionnaire.htm</w:t>
        </w:r>
      </w:hyperlink>
      <w:r w:rsidRPr="0010585A">
        <w:rPr>
          <w:u w:val="single"/>
          <w:lang w:val="fr-FR"/>
        </w:rPr>
        <w:br/>
      </w:r>
      <w:hyperlink r:id="rId32" w:history="1">
        <w:r w:rsidRPr="0010585A">
          <w:rPr>
            <w:rStyle w:val="Hyperlink"/>
            <w:lang w:val="fr-FR"/>
          </w:rPr>
          <w:t>http://unstats.un.org/unsd/environment/qindicators.htm</w:t>
        </w:r>
      </w:hyperlink>
    </w:p>
    <w:p w14:paraId="782AB7FD" w14:textId="77777777" w:rsidR="00943C3A" w:rsidRPr="0010585A" w:rsidRDefault="00943C3A" w:rsidP="00943C3A">
      <w:pPr>
        <w:pStyle w:val="MText"/>
        <w:rPr>
          <w:lang w:val="fr-FR"/>
        </w:rPr>
      </w:pPr>
    </w:p>
    <w:p w14:paraId="19E160C5" w14:textId="77777777" w:rsidR="00943C3A" w:rsidRPr="0010585A" w:rsidRDefault="00943C3A" w:rsidP="00943C3A">
      <w:pPr>
        <w:pStyle w:val="MText"/>
        <w:rPr>
          <w:u w:val="single"/>
        </w:rPr>
      </w:pPr>
      <w:r w:rsidRPr="0010585A">
        <w:rPr>
          <w:b/>
          <w:bCs/>
        </w:rPr>
        <w:t>UNSD ‘National Accounts Main Aggregates Database’</w:t>
      </w:r>
      <w:r w:rsidRPr="0010585A">
        <w:rPr>
          <w:b/>
          <w:bCs/>
        </w:rPr>
        <w:br/>
      </w:r>
      <w:hyperlink r:id="rId33" w:history="1">
        <w:r w:rsidRPr="0010585A">
          <w:rPr>
            <w:rStyle w:val="Hyperlink"/>
          </w:rPr>
          <w:t>http://unstats.un.org/unsd/snaama/selbasicFast.asp</w:t>
        </w:r>
      </w:hyperlink>
    </w:p>
    <w:p w14:paraId="5FA159D7" w14:textId="77777777" w:rsidR="00EA7082" w:rsidRDefault="00EA7082" w:rsidP="00EA7082">
      <w:pPr>
        <w:pStyle w:val="MText"/>
        <w:rPr>
          <w:b/>
          <w:bCs/>
        </w:rPr>
      </w:pPr>
    </w:p>
    <w:p w14:paraId="5C57D402" w14:textId="0712662B" w:rsidR="00210801" w:rsidRDefault="00EA7082" w:rsidP="00EA7082">
      <w:pPr>
        <w:pStyle w:val="MText"/>
        <w:rPr>
          <w:rFonts w:cstheme="minorHAnsi"/>
        </w:rPr>
      </w:pPr>
      <w:r w:rsidRPr="003C4EB9">
        <w:rPr>
          <w:rFonts w:cstheme="minorHAnsi"/>
          <w:b/>
          <w:bCs/>
        </w:rPr>
        <w:t xml:space="preserve">FAO e-learning course on </w:t>
      </w:r>
      <w:r w:rsidRPr="007624FE">
        <w:t xml:space="preserve">SDG Indicator 6.4.2 - Level of water stress: https://elearning.fao.org/course/view.php?id=365 </w:t>
      </w:r>
    </w:p>
    <w:p w14:paraId="0E64D3E9" w14:textId="67E6375E" w:rsidR="00EA7082" w:rsidRPr="007624FE" w:rsidRDefault="00EA7082" w:rsidP="00EA7082">
      <w:pPr>
        <w:pStyle w:val="MText"/>
      </w:pPr>
    </w:p>
    <w:p w14:paraId="482A6FFA" w14:textId="4D2249C4" w:rsidR="00EA7082" w:rsidRPr="00EA7082" w:rsidRDefault="00EA7082">
      <w:pPr>
        <w:rPr>
          <w:b/>
          <w:bCs/>
        </w:rPr>
      </w:pPr>
    </w:p>
    <w:sectPr w:rsidR="00EA7082" w:rsidRPr="00EA7082">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7398F" w14:textId="77777777" w:rsidR="00EA3CE7" w:rsidRDefault="00EA3CE7" w:rsidP="00573C0B">
      <w:pPr>
        <w:spacing w:after="0" w:line="240" w:lineRule="auto"/>
      </w:pPr>
      <w:r>
        <w:separator/>
      </w:r>
    </w:p>
  </w:endnote>
  <w:endnote w:type="continuationSeparator" w:id="0">
    <w:p w14:paraId="4FA0ECD0" w14:textId="77777777" w:rsidR="00EA3CE7" w:rsidRDefault="00EA3CE7" w:rsidP="00573C0B">
      <w:pPr>
        <w:spacing w:after="0" w:line="240" w:lineRule="auto"/>
      </w:pPr>
      <w:r>
        <w:continuationSeparator/>
      </w:r>
    </w:p>
  </w:endnote>
  <w:endnote w:type="continuationNotice" w:id="1">
    <w:p w14:paraId="6ABAFA99" w14:textId="77777777" w:rsidR="00EA3CE7" w:rsidRDefault="00EA3C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9239" w14:textId="77777777" w:rsidR="00EA3CE7" w:rsidRDefault="00EA3CE7" w:rsidP="00573C0B">
      <w:pPr>
        <w:spacing w:after="0" w:line="240" w:lineRule="auto"/>
      </w:pPr>
      <w:r>
        <w:separator/>
      </w:r>
    </w:p>
  </w:footnote>
  <w:footnote w:type="continuationSeparator" w:id="0">
    <w:p w14:paraId="31D4FB8C" w14:textId="77777777" w:rsidR="00EA3CE7" w:rsidRDefault="00EA3CE7" w:rsidP="00573C0B">
      <w:pPr>
        <w:spacing w:after="0" w:line="240" w:lineRule="auto"/>
      </w:pPr>
      <w:r>
        <w:continuationSeparator/>
      </w:r>
    </w:p>
  </w:footnote>
  <w:footnote w:type="continuationNotice" w:id="1">
    <w:p w14:paraId="1F85AF49" w14:textId="77777777" w:rsidR="00EA3CE7" w:rsidRDefault="00EA3CE7">
      <w:pPr>
        <w:spacing w:after="0" w:line="240" w:lineRule="auto"/>
      </w:pPr>
    </w:p>
  </w:footnote>
  <w:footnote w:id="2">
    <w:p w14:paraId="125C79C7" w14:textId="77777777" w:rsidR="004B3F5E" w:rsidRPr="00DF729E" w:rsidRDefault="004B3F5E" w:rsidP="004B3F5E">
      <w:pPr>
        <w:pStyle w:val="FootnoteText"/>
        <w:rPr>
          <w:sz w:val="18"/>
          <w:szCs w:val="18"/>
        </w:rPr>
      </w:pPr>
      <w:r w:rsidRPr="00DF729E">
        <w:rPr>
          <w:rStyle w:val="FootnoteReference"/>
          <w:sz w:val="18"/>
          <w:szCs w:val="18"/>
        </w:rPr>
        <w:footnoteRef/>
      </w:r>
      <w:r w:rsidRPr="00DF729E">
        <w:rPr>
          <w:sz w:val="18"/>
          <w:szCs w:val="18"/>
        </w:rPr>
        <w:t xml:space="preserve"> </w:t>
      </w:r>
      <w:r w:rsidRPr="00DF729E">
        <w:rPr>
          <w:color w:val="000000" w:themeColor="text1"/>
          <w:sz w:val="18"/>
          <w:szCs w:val="18"/>
        </w:rPr>
        <w:t>In AQUASTAT, Services water withdrawal is reported as Municipal water withdrawal.</w:t>
      </w:r>
    </w:p>
  </w:footnote>
  <w:footnote w:id="3">
    <w:p w14:paraId="00B886D6" w14:textId="77777777" w:rsidR="004B3F5E" w:rsidRPr="00DF729E" w:rsidRDefault="004B3F5E" w:rsidP="004B3F5E">
      <w:pPr>
        <w:pStyle w:val="FootnoteText"/>
        <w:rPr>
          <w:sz w:val="18"/>
          <w:szCs w:val="18"/>
        </w:rPr>
      </w:pPr>
      <w:r w:rsidRPr="00DF729E">
        <w:rPr>
          <w:rStyle w:val="FootnoteReference"/>
          <w:sz w:val="18"/>
          <w:szCs w:val="18"/>
        </w:rPr>
        <w:footnoteRef/>
      </w:r>
      <w:r w:rsidRPr="00DF729E">
        <w:rPr>
          <w:sz w:val="18"/>
          <w:szCs w:val="18"/>
        </w:rPr>
        <w:t xml:space="preserve"> They are indeed taken into account by other targets and indicators, such as 6.3.2, 6.5.1 and 6.6.1.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39E49C1"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E65CB">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F5"/>
    <w:multiLevelType w:val="hybridMultilevel"/>
    <w:tmpl w:val="7F24E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1E017F"/>
    <w:multiLevelType w:val="hybridMultilevel"/>
    <w:tmpl w:val="09C077A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0BA01F2B"/>
    <w:multiLevelType w:val="hybridMultilevel"/>
    <w:tmpl w:val="3DCC16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2E6E2D"/>
    <w:multiLevelType w:val="hybridMultilevel"/>
    <w:tmpl w:val="0672A4CC"/>
    <w:lvl w:ilvl="0" w:tplc="D7B00336">
      <w:start w:val="1"/>
      <w:numFmt w:val="bullet"/>
      <w:lvlText w:val=""/>
      <w:lvlJc w:val="left"/>
      <w:pPr>
        <w:ind w:left="720" w:hanging="360"/>
      </w:pPr>
      <w:rPr>
        <w:rFonts w:ascii="Symbol" w:hAnsi="Symbol" w:hint="default"/>
      </w:rPr>
    </w:lvl>
    <w:lvl w:ilvl="1" w:tplc="815ABBF2">
      <w:start w:val="1"/>
      <w:numFmt w:val="bullet"/>
      <w:lvlText w:val=""/>
      <w:lvlJc w:val="left"/>
      <w:pPr>
        <w:ind w:left="1440" w:hanging="360"/>
      </w:pPr>
      <w:rPr>
        <w:rFonts w:ascii="Symbol" w:hAnsi="Symbol" w:hint="default"/>
      </w:rPr>
    </w:lvl>
    <w:lvl w:ilvl="2" w:tplc="D056EB3A">
      <w:start w:val="1"/>
      <w:numFmt w:val="bullet"/>
      <w:lvlText w:val=""/>
      <w:lvlJc w:val="left"/>
      <w:pPr>
        <w:ind w:left="2160" w:hanging="360"/>
      </w:pPr>
      <w:rPr>
        <w:rFonts w:ascii="Wingdings" w:hAnsi="Wingdings" w:hint="default"/>
      </w:rPr>
    </w:lvl>
    <w:lvl w:ilvl="3" w:tplc="90685EF6">
      <w:start w:val="1"/>
      <w:numFmt w:val="bullet"/>
      <w:lvlText w:val=""/>
      <w:lvlJc w:val="left"/>
      <w:pPr>
        <w:ind w:left="2880" w:hanging="360"/>
      </w:pPr>
      <w:rPr>
        <w:rFonts w:ascii="Symbol" w:hAnsi="Symbol" w:hint="default"/>
      </w:rPr>
    </w:lvl>
    <w:lvl w:ilvl="4" w:tplc="654CA926">
      <w:start w:val="1"/>
      <w:numFmt w:val="bullet"/>
      <w:lvlText w:val="o"/>
      <w:lvlJc w:val="left"/>
      <w:pPr>
        <w:ind w:left="3600" w:hanging="360"/>
      </w:pPr>
      <w:rPr>
        <w:rFonts w:ascii="Courier New" w:hAnsi="Courier New" w:hint="default"/>
      </w:rPr>
    </w:lvl>
    <w:lvl w:ilvl="5" w:tplc="AF12E124">
      <w:start w:val="1"/>
      <w:numFmt w:val="bullet"/>
      <w:lvlText w:val=""/>
      <w:lvlJc w:val="left"/>
      <w:pPr>
        <w:ind w:left="4320" w:hanging="360"/>
      </w:pPr>
      <w:rPr>
        <w:rFonts w:ascii="Wingdings" w:hAnsi="Wingdings" w:hint="default"/>
      </w:rPr>
    </w:lvl>
    <w:lvl w:ilvl="6" w:tplc="D0E0B8A2">
      <w:start w:val="1"/>
      <w:numFmt w:val="bullet"/>
      <w:lvlText w:val=""/>
      <w:lvlJc w:val="left"/>
      <w:pPr>
        <w:ind w:left="5040" w:hanging="360"/>
      </w:pPr>
      <w:rPr>
        <w:rFonts w:ascii="Symbol" w:hAnsi="Symbol" w:hint="default"/>
      </w:rPr>
    </w:lvl>
    <w:lvl w:ilvl="7" w:tplc="D39EED20">
      <w:start w:val="1"/>
      <w:numFmt w:val="bullet"/>
      <w:lvlText w:val="o"/>
      <w:lvlJc w:val="left"/>
      <w:pPr>
        <w:ind w:left="5760" w:hanging="360"/>
      </w:pPr>
      <w:rPr>
        <w:rFonts w:ascii="Courier New" w:hAnsi="Courier New" w:hint="default"/>
      </w:rPr>
    </w:lvl>
    <w:lvl w:ilvl="8" w:tplc="8A821718">
      <w:start w:val="1"/>
      <w:numFmt w:val="bullet"/>
      <w:lvlText w:val=""/>
      <w:lvlJc w:val="left"/>
      <w:pPr>
        <w:ind w:left="6480" w:hanging="360"/>
      </w:pPr>
      <w:rPr>
        <w:rFonts w:ascii="Wingdings" w:hAnsi="Wingdings" w:hint="default"/>
      </w:rPr>
    </w:lvl>
  </w:abstractNum>
  <w:abstractNum w:abstractNumId="4" w15:restartNumberingAfterBreak="0">
    <w:nsid w:val="153007C8"/>
    <w:multiLevelType w:val="hybridMultilevel"/>
    <w:tmpl w:val="5B7E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53196"/>
    <w:multiLevelType w:val="hybridMultilevel"/>
    <w:tmpl w:val="11AC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26666"/>
    <w:multiLevelType w:val="hybridMultilevel"/>
    <w:tmpl w:val="AC1C4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D082A"/>
    <w:multiLevelType w:val="hybridMultilevel"/>
    <w:tmpl w:val="B89A6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A4312A"/>
    <w:multiLevelType w:val="hybridMultilevel"/>
    <w:tmpl w:val="9BEE9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514DE"/>
    <w:multiLevelType w:val="hybridMultilevel"/>
    <w:tmpl w:val="74FC8968"/>
    <w:lvl w:ilvl="0" w:tplc="C14AE64C">
      <w:start w:val="1"/>
      <w:numFmt w:val="bullet"/>
      <w:lvlText w:val=""/>
      <w:lvlJc w:val="left"/>
      <w:pPr>
        <w:ind w:left="720" w:hanging="360"/>
      </w:pPr>
      <w:rPr>
        <w:rFonts w:ascii="Symbol" w:hAnsi="Symbol" w:hint="default"/>
      </w:rPr>
    </w:lvl>
    <w:lvl w:ilvl="1" w:tplc="6EA04B0E">
      <w:start w:val="1"/>
      <w:numFmt w:val="bullet"/>
      <w:lvlText w:val="o"/>
      <w:lvlJc w:val="left"/>
      <w:pPr>
        <w:ind w:left="1440" w:hanging="360"/>
      </w:pPr>
      <w:rPr>
        <w:rFonts w:ascii="Courier New" w:hAnsi="Courier New" w:hint="default"/>
      </w:rPr>
    </w:lvl>
    <w:lvl w:ilvl="2" w:tplc="DEC4AB2C">
      <w:start w:val="1"/>
      <w:numFmt w:val="bullet"/>
      <w:lvlText w:val=""/>
      <w:lvlJc w:val="left"/>
      <w:pPr>
        <w:ind w:left="2160" w:hanging="360"/>
      </w:pPr>
      <w:rPr>
        <w:rFonts w:ascii="Symbol" w:hAnsi="Symbol" w:hint="default"/>
      </w:rPr>
    </w:lvl>
    <w:lvl w:ilvl="3" w:tplc="2AE4C520">
      <w:start w:val="1"/>
      <w:numFmt w:val="bullet"/>
      <w:lvlText w:val=""/>
      <w:lvlJc w:val="left"/>
      <w:pPr>
        <w:ind w:left="2880" w:hanging="360"/>
      </w:pPr>
      <w:rPr>
        <w:rFonts w:ascii="Symbol" w:hAnsi="Symbol" w:hint="default"/>
      </w:rPr>
    </w:lvl>
    <w:lvl w:ilvl="4" w:tplc="1890BF72">
      <w:start w:val="1"/>
      <w:numFmt w:val="bullet"/>
      <w:lvlText w:val="o"/>
      <w:lvlJc w:val="left"/>
      <w:pPr>
        <w:ind w:left="3600" w:hanging="360"/>
      </w:pPr>
      <w:rPr>
        <w:rFonts w:ascii="Courier New" w:hAnsi="Courier New" w:hint="default"/>
      </w:rPr>
    </w:lvl>
    <w:lvl w:ilvl="5" w:tplc="0BA89550">
      <w:start w:val="1"/>
      <w:numFmt w:val="bullet"/>
      <w:lvlText w:val=""/>
      <w:lvlJc w:val="left"/>
      <w:pPr>
        <w:ind w:left="4320" w:hanging="360"/>
      </w:pPr>
      <w:rPr>
        <w:rFonts w:ascii="Wingdings" w:hAnsi="Wingdings" w:hint="default"/>
      </w:rPr>
    </w:lvl>
    <w:lvl w:ilvl="6" w:tplc="98D83B9E">
      <w:start w:val="1"/>
      <w:numFmt w:val="bullet"/>
      <w:lvlText w:val=""/>
      <w:lvlJc w:val="left"/>
      <w:pPr>
        <w:ind w:left="5040" w:hanging="360"/>
      </w:pPr>
      <w:rPr>
        <w:rFonts w:ascii="Symbol" w:hAnsi="Symbol" w:hint="default"/>
      </w:rPr>
    </w:lvl>
    <w:lvl w:ilvl="7" w:tplc="706A037C">
      <w:start w:val="1"/>
      <w:numFmt w:val="bullet"/>
      <w:lvlText w:val="o"/>
      <w:lvlJc w:val="left"/>
      <w:pPr>
        <w:ind w:left="5760" w:hanging="360"/>
      </w:pPr>
      <w:rPr>
        <w:rFonts w:ascii="Courier New" w:hAnsi="Courier New" w:hint="default"/>
      </w:rPr>
    </w:lvl>
    <w:lvl w:ilvl="8" w:tplc="18082E6E">
      <w:start w:val="1"/>
      <w:numFmt w:val="bullet"/>
      <w:lvlText w:val=""/>
      <w:lvlJc w:val="left"/>
      <w:pPr>
        <w:ind w:left="6480" w:hanging="360"/>
      </w:pPr>
      <w:rPr>
        <w:rFonts w:ascii="Wingdings" w:hAnsi="Wingdings" w:hint="default"/>
      </w:rPr>
    </w:lvl>
  </w:abstractNum>
  <w:abstractNum w:abstractNumId="12" w15:restartNumberingAfterBreak="0">
    <w:nsid w:val="30E5729F"/>
    <w:multiLevelType w:val="hybridMultilevel"/>
    <w:tmpl w:val="B5FAC65A"/>
    <w:lvl w:ilvl="0" w:tplc="3564A000">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09346F"/>
    <w:multiLevelType w:val="hybridMultilevel"/>
    <w:tmpl w:val="98AED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4A3968"/>
    <w:multiLevelType w:val="hybridMultilevel"/>
    <w:tmpl w:val="2C82E034"/>
    <w:lvl w:ilvl="0" w:tplc="A6720288">
      <w:start w:val="1"/>
      <w:numFmt w:val="bullet"/>
      <w:lvlText w:val=""/>
      <w:lvlJc w:val="left"/>
      <w:pPr>
        <w:ind w:left="720" w:hanging="360"/>
      </w:pPr>
      <w:rPr>
        <w:rFonts w:ascii="Symbol" w:hAnsi="Symbol" w:hint="default"/>
      </w:rPr>
    </w:lvl>
    <w:lvl w:ilvl="1" w:tplc="8D2A029C">
      <w:start w:val="1"/>
      <w:numFmt w:val="bullet"/>
      <w:lvlText w:val="o"/>
      <w:lvlJc w:val="left"/>
      <w:pPr>
        <w:ind w:left="1440" w:hanging="360"/>
      </w:pPr>
      <w:rPr>
        <w:rFonts w:ascii="Courier New" w:hAnsi="Courier New" w:hint="default"/>
      </w:rPr>
    </w:lvl>
    <w:lvl w:ilvl="2" w:tplc="70668A8E">
      <w:start w:val="1"/>
      <w:numFmt w:val="bullet"/>
      <w:lvlText w:val=""/>
      <w:lvlJc w:val="left"/>
      <w:pPr>
        <w:ind w:left="2160" w:hanging="360"/>
      </w:pPr>
      <w:rPr>
        <w:rFonts w:ascii="Wingdings" w:hAnsi="Wingdings" w:hint="default"/>
      </w:rPr>
    </w:lvl>
    <w:lvl w:ilvl="3" w:tplc="110C8108">
      <w:start w:val="1"/>
      <w:numFmt w:val="bullet"/>
      <w:lvlText w:val=""/>
      <w:lvlJc w:val="left"/>
      <w:pPr>
        <w:ind w:left="2880" w:hanging="360"/>
      </w:pPr>
      <w:rPr>
        <w:rFonts w:ascii="Symbol" w:hAnsi="Symbol" w:hint="default"/>
      </w:rPr>
    </w:lvl>
    <w:lvl w:ilvl="4" w:tplc="8FB6D5D6">
      <w:start w:val="1"/>
      <w:numFmt w:val="bullet"/>
      <w:lvlText w:val="o"/>
      <w:lvlJc w:val="left"/>
      <w:pPr>
        <w:ind w:left="3600" w:hanging="360"/>
      </w:pPr>
      <w:rPr>
        <w:rFonts w:ascii="Courier New" w:hAnsi="Courier New" w:hint="default"/>
      </w:rPr>
    </w:lvl>
    <w:lvl w:ilvl="5" w:tplc="13725A20">
      <w:start w:val="1"/>
      <w:numFmt w:val="bullet"/>
      <w:lvlText w:val=""/>
      <w:lvlJc w:val="left"/>
      <w:pPr>
        <w:ind w:left="4320" w:hanging="360"/>
      </w:pPr>
      <w:rPr>
        <w:rFonts w:ascii="Wingdings" w:hAnsi="Wingdings" w:hint="default"/>
      </w:rPr>
    </w:lvl>
    <w:lvl w:ilvl="6" w:tplc="D1B22768">
      <w:start w:val="1"/>
      <w:numFmt w:val="bullet"/>
      <w:lvlText w:val=""/>
      <w:lvlJc w:val="left"/>
      <w:pPr>
        <w:ind w:left="5040" w:hanging="360"/>
      </w:pPr>
      <w:rPr>
        <w:rFonts w:ascii="Symbol" w:hAnsi="Symbol" w:hint="default"/>
      </w:rPr>
    </w:lvl>
    <w:lvl w:ilvl="7" w:tplc="119AA0F4">
      <w:start w:val="1"/>
      <w:numFmt w:val="bullet"/>
      <w:lvlText w:val="o"/>
      <w:lvlJc w:val="left"/>
      <w:pPr>
        <w:ind w:left="5760" w:hanging="360"/>
      </w:pPr>
      <w:rPr>
        <w:rFonts w:ascii="Courier New" w:hAnsi="Courier New" w:hint="default"/>
      </w:rPr>
    </w:lvl>
    <w:lvl w:ilvl="8" w:tplc="3E48CBA8">
      <w:start w:val="1"/>
      <w:numFmt w:val="bullet"/>
      <w:lvlText w:val=""/>
      <w:lvlJc w:val="left"/>
      <w:pPr>
        <w:ind w:left="6480" w:hanging="360"/>
      </w:pPr>
      <w:rPr>
        <w:rFonts w:ascii="Wingdings" w:hAnsi="Wingdings" w:hint="default"/>
      </w:rPr>
    </w:lvl>
  </w:abstractNum>
  <w:abstractNum w:abstractNumId="15" w15:restartNumberingAfterBreak="0">
    <w:nsid w:val="3E7F61FB"/>
    <w:multiLevelType w:val="hybridMultilevel"/>
    <w:tmpl w:val="6224728A"/>
    <w:lvl w:ilvl="0" w:tplc="82E06800">
      <w:start w:val="1"/>
      <w:numFmt w:val="bullet"/>
      <w:lvlText w:val=""/>
      <w:lvlJc w:val="left"/>
      <w:pPr>
        <w:ind w:left="720" w:hanging="360"/>
      </w:pPr>
      <w:rPr>
        <w:rFonts w:ascii="Symbol" w:hAnsi="Symbol" w:hint="default"/>
      </w:rPr>
    </w:lvl>
    <w:lvl w:ilvl="1" w:tplc="284C726A">
      <w:start w:val="1"/>
      <w:numFmt w:val="bullet"/>
      <w:lvlText w:val="o"/>
      <w:lvlJc w:val="left"/>
      <w:pPr>
        <w:ind w:left="1440" w:hanging="360"/>
      </w:pPr>
      <w:rPr>
        <w:rFonts w:ascii="Courier New" w:hAnsi="Courier New" w:hint="default"/>
      </w:rPr>
    </w:lvl>
    <w:lvl w:ilvl="2" w:tplc="F1968738">
      <w:start w:val="1"/>
      <w:numFmt w:val="bullet"/>
      <w:lvlText w:val=""/>
      <w:lvlJc w:val="left"/>
      <w:pPr>
        <w:ind w:left="2160" w:hanging="360"/>
      </w:pPr>
      <w:rPr>
        <w:rFonts w:ascii="Wingdings" w:hAnsi="Wingdings" w:hint="default"/>
      </w:rPr>
    </w:lvl>
    <w:lvl w:ilvl="3" w:tplc="DA9C4FFC">
      <w:start w:val="1"/>
      <w:numFmt w:val="bullet"/>
      <w:lvlText w:val=""/>
      <w:lvlJc w:val="left"/>
      <w:pPr>
        <w:ind w:left="2880" w:hanging="360"/>
      </w:pPr>
      <w:rPr>
        <w:rFonts w:ascii="Symbol" w:hAnsi="Symbol" w:hint="default"/>
      </w:rPr>
    </w:lvl>
    <w:lvl w:ilvl="4" w:tplc="06A4175E">
      <w:start w:val="1"/>
      <w:numFmt w:val="bullet"/>
      <w:lvlText w:val="o"/>
      <w:lvlJc w:val="left"/>
      <w:pPr>
        <w:ind w:left="3600" w:hanging="360"/>
      </w:pPr>
      <w:rPr>
        <w:rFonts w:ascii="Courier New" w:hAnsi="Courier New" w:hint="default"/>
      </w:rPr>
    </w:lvl>
    <w:lvl w:ilvl="5" w:tplc="D9E0E644">
      <w:start w:val="1"/>
      <w:numFmt w:val="bullet"/>
      <w:lvlText w:val=""/>
      <w:lvlJc w:val="left"/>
      <w:pPr>
        <w:ind w:left="4320" w:hanging="360"/>
      </w:pPr>
      <w:rPr>
        <w:rFonts w:ascii="Wingdings" w:hAnsi="Wingdings" w:hint="default"/>
      </w:rPr>
    </w:lvl>
    <w:lvl w:ilvl="6" w:tplc="82321840">
      <w:start w:val="1"/>
      <w:numFmt w:val="bullet"/>
      <w:lvlText w:val=""/>
      <w:lvlJc w:val="left"/>
      <w:pPr>
        <w:ind w:left="5040" w:hanging="360"/>
      </w:pPr>
      <w:rPr>
        <w:rFonts w:ascii="Symbol" w:hAnsi="Symbol" w:hint="default"/>
      </w:rPr>
    </w:lvl>
    <w:lvl w:ilvl="7" w:tplc="8D707F4A">
      <w:start w:val="1"/>
      <w:numFmt w:val="bullet"/>
      <w:lvlText w:val="o"/>
      <w:lvlJc w:val="left"/>
      <w:pPr>
        <w:ind w:left="5760" w:hanging="360"/>
      </w:pPr>
      <w:rPr>
        <w:rFonts w:ascii="Courier New" w:hAnsi="Courier New" w:hint="default"/>
      </w:rPr>
    </w:lvl>
    <w:lvl w:ilvl="8" w:tplc="CDE66ED8">
      <w:start w:val="1"/>
      <w:numFmt w:val="bullet"/>
      <w:lvlText w:val=""/>
      <w:lvlJc w:val="left"/>
      <w:pPr>
        <w:ind w:left="6480" w:hanging="360"/>
      </w:pPr>
      <w:rPr>
        <w:rFonts w:ascii="Wingdings" w:hAnsi="Wingdings" w:hint="default"/>
      </w:rPr>
    </w:lvl>
  </w:abstractNum>
  <w:abstractNum w:abstractNumId="16" w15:restartNumberingAfterBreak="0">
    <w:nsid w:val="403B4706"/>
    <w:multiLevelType w:val="hybridMultilevel"/>
    <w:tmpl w:val="D224644A"/>
    <w:lvl w:ilvl="0" w:tplc="0794F920">
      <w:start w:val="1"/>
      <w:numFmt w:val="bullet"/>
      <w:lvlText w:val=""/>
      <w:lvlJc w:val="left"/>
      <w:pPr>
        <w:tabs>
          <w:tab w:val="num" w:pos="720"/>
        </w:tabs>
        <w:ind w:left="720" w:hanging="360"/>
      </w:pPr>
      <w:rPr>
        <w:rFonts w:ascii="Symbol" w:hAnsi="Symbol" w:hint="default"/>
        <w:sz w:val="20"/>
      </w:rPr>
    </w:lvl>
    <w:lvl w:ilvl="1" w:tplc="CAA6CE2C" w:tentative="1">
      <w:start w:val="1"/>
      <w:numFmt w:val="bullet"/>
      <w:lvlText w:val="o"/>
      <w:lvlJc w:val="left"/>
      <w:pPr>
        <w:tabs>
          <w:tab w:val="num" w:pos="1440"/>
        </w:tabs>
        <w:ind w:left="1440" w:hanging="360"/>
      </w:pPr>
      <w:rPr>
        <w:rFonts w:ascii="Courier New" w:hAnsi="Courier New" w:hint="default"/>
        <w:sz w:val="20"/>
      </w:rPr>
    </w:lvl>
    <w:lvl w:ilvl="2" w:tplc="2D90604C" w:tentative="1">
      <w:start w:val="1"/>
      <w:numFmt w:val="bullet"/>
      <w:lvlText w:val=""/>
      <w:lvlJc w:val="left"/>
      <w:pPr>
        <w:tabs>
          <w:tab w:val="num" w:pos="2160"/>
        </w:tabs>
        <w:ind w:left="2160" w:hanging="360"/>
      </w:pPr>
      <w:rPr>
        <w:rFonts w:ascii="Wingdings" w:hAnsi="Wingdings" w:hint="default"/>
        <w:sz w:val="20"/>
      </w:rPr>
    </w:lvl>
    <w:lvl w:ilvl="3" w:tplc="B5703998" w:tentative="1">
      <w:start w:val="1"/>
      <w:numFmt w:val="bullet"/>
      <w:lvlText w:val=""/>
      <w:lvlJc w:val="left"/>
      <w:pPr>
        <w:tabs>
          <w:tab w:val="num" w:pos="2880"/>
        </w:tabs>
        <w:ind w:left="2880" w:hanging="360"/>
      </w:pPr>
      <w:rPr>
        <w:rFonts w:ascii="Wingdings" w:hAnsi="Wingdings" w:hint="default"/>
        <w:sz w:val="20"/>
      </w:rPr>
    </w:lvl>
    <w:lvl w:ilvl="4" w:tplc="C68A186E" w:tentative="1">
      <w:start w:val="1"/>
      <w:numFmt w:val="bullet"/>
      <w:lvlText w:val=""/>
      <w:lvlJc w:val="left"/>
      <w:pPr>
        <w:tabs>
          <w:tab w:val="num" w:pos="3600"/>
        </w:tabs>
        <w:ind w:left="3600" w:hanging="360"/>
      </w:pPr>
      <w:rPr>
        <w:rFonts w:ascii="Wingdings" w:hAnsi="Wingdings" w:hint="default"/>
        <w:sz w:val="20"/>
      </w:rPr>
    </w:lvl>
    <w:lvl w:ilvl="5" w:tplc="92F08D9E" w:tentative="1">
      <w:start w:val="1"/>
      <w:numFmt w:val="bullet"/>
      <w:lvlText w:val=""/>
      <w:lvlJc w:val="left"/>
      <w:pPr>
        <w:tabs>
          <w:tab w:val="num" w:pos="4320"/>
        </w:tabs>
        <w:ind w:left="4320" w:hanging="360"/>
      </w:pPr>
      <w:rPr>
        <w:rFonts w:ascii="Wingdings" w:hAnsi="Wingdings" w:hint="default"/>
        <w:sz w:val="20"/>
      </w:rPr>
    </w:lvl>
    <w:lvl w:ilvl="6" w:tplc="87009E98" w:tentative="1">
      <w:start w:val="1"/>
      <w:numFmt w:val="bullet"/>
      <w:lvlText w:val=""/>
      <w:lvlJc w:val="left"/>
      <w:pPr>
        <w:tabs>
          <w:tab w:val="num" w:pos="5040"/>
        </w:tabs>
        <w:ind w:left="5040" w:hanging="360"/>
      </w:pPr>
      <w:rPr>
        <w:rFonts w:ascii="Wingdings" w:hAnsi="Wingdings" w:hint="default"/>
        <w:sz w:val="20"/>
      </w:rPr>
    </w:lvl>
    <w:lvl w:ilvl="7" w:tplc="DF520FDA" w:tentative="1">
      <w:start w:val="1"/>
      <w:numFmt w:val="bullet"/>
      <w:lvlText w:val=""/>
      <w:lvlJc w:val="left"/>
      <w:pPr>
        <w:tabs>
          <w:tab w:val="num" w:pos="5760"/>
        </w:tabs>
        <w:ind w:left="5760" w:hanging="360"/>
      </w:pPr>
      <w:rPr>
        <w:rFonts w:ascii="Wingdings" w:hAnsi="Wingdings" w:hint="default"/>
        <w:sz w:val="20"/>
      </w:rPr>
    </w:lvl>
    <w:lvl w:ilvl="8" w:tplc="599AF43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344F4"/>
    <w:multiLevelType w:val="hybridMultilevel"/>
    <w:tmpl w:val="2AF8BEBC"/>
    <w:lvl w:ilvl="0" w:tplc="F9BE9D44">
      <w:start w:val="1"/>
      <w:numFmt w:val="bullet"/>
      <w:lvlText w:val=""/>
      <w:lvlJc w:val="left"/>
      <w:pPr>
        <w:tabs>
          <w:tab w:val="num" w:pos="720"/>
        </w:tabs>
        <w:ind w:left="720" w:hanging="360"/>
      </w:pPr>
      <w:rPr>
        <w:rFonts w:ascii="Symbol" w:hAnsi="Symbol" w:hint="default"/>
        <w:sz w:val="20"/>
      </w:rPr>
    </w:lvl>
    <w:lvl w:ilvl="1" w:tplc="DE5E4610" w:tentative="1">
      <w:start w:val="1"/>
      <w:numFmt w:val="bullet"/>
      <w:lvlText w:val="o"/>
      <w:lvlJc w:val="left"/>
      <w:pPr>
        <w:tabs>
          <w:tab w:val="num" w:pos="1440"/>
        </w:tabs>
        <w:ind w:left="1440" w:hanging="360"/>
      </w:pPr>
      <w:rPr>
        <w:rFonts w:ascii="Courier New" w:hAnsi="Courier New" w:hint="default"/>
        <w:sz w:val="20"/>
      </w:rPr>
    </w:lvl>
    <w:lvl w:ilvl="2" w:tplc="6556ED20" w:tentative="1">
      <w:start w:val="1"/>
      <w:numFmt w:val="bullet"/>
      <w:lvlText w:val=""/>
      <w:lvlJc w:val="left"/>
      <w:pPr>
        <w:tabs>
          <w:tab w:val="num" w:pos="2160"/>
        </w:tabs>
        <w:ind w:left="2160" w:hanging="360"/>
      </w:pPr>
      <w:rPr>
        <w:rFonts w:ascii="Wingdings" w:hAnsi="Wingdings" w:hint="default"/>
        <w:sz w:val="20"/>
      </w:rPr>
    </w:lvl>
    <w:lvl w:ilvl="3" w:tplc="9FAE8844" w:tentative="1">
      <w:start w:val="1"/>
      <w:numFmt w:val="bullet"/>
      <w:lvlText w:val=""/>
      <w:lvlJc w:val="left"/>
      <w:pPr>
        <w:tabs>
          <w:tab w:val="num" w:pos="2880"/>
        </w:tabs>
        <w:ind w:left="2880" w:hanging="360"/>
      </w:pPr>
      <w:rPr>
        <w:rFonts w:ascii="Wingdings" w:hAnsi="Wingdings" w:hint="default"/>
        <w:sz w:val="20"/>
      </w:rPr>
    </w:lvl>
    <w:lvl w:ilvl="4" w:tplc="222682D4" w:tentative="1">
      <w:start w:val="1"/>
      <w:numFmt w:val="bullet"/>
      <w:lvlText w:val=""/>
      <w:lvlJc w:val="left"/>
      <w:pPr>
        <w:tabs>
          <w:tab w:val="num" w:pos="3600"/>
        </w:tabs>
        <w:ind w:left="3600" w:hanging="360"/>
      </w:pPr>
      <w:rPr>
        <w:rFonts w:ascii="Wingdings" w:hAnsi="Wingdings" w:hint="default"/>
        <w:sz w:val="20"/>
      </w:rPr>
    </w:lvl>
    <w:lvl w:ilvl="5" w:tplc="63DC74D2" w:tentative="1">
      <w:start w:val="1"/>
      <w:numFmt w:val="bullet"/>
      <w:lvlText w:val=""/>
      <w:lvlJc w:val="left"/>
      <w:pPr>
        <w:tabs>
          <w:tab w:val="num" w:pos="4320"/>
        </w:tabs>
        <w:ind w:left="4320" w:hanging="360"/>
      </w:pPr>
      <w:rPr>
        <w:rFonts w:ascii="Wingdings" w:hAnsi="Wingdings" w:hint="default"/>
        <w:sz w:val="20"/>
      </w:rPr>
    </w:lvl>
    <w:lvl w:ilvl="6" w:tplc="371A2C1E" w:tentative="1">
      <w:start w:val="1"/>
      <w:numFmt w:val="bullet"/>
      <w:lvlText w:val=""/>
      <w:lvlJc w:val="left"/>
      <w:pPr>
        <w:tabs>
          <w:tab w:val="num" w:pos="5040"/>
        </w:tabs>
        <w:ind w:left="5040" w:hanging="360"/>
      </w:pPr>
      <w:rPr>
        <w:rFonts w:ascii="Wingdings" w:hAnsi="Wingdings" w:hint="default"/>
        <w:sz w:val="20"/>
      </w:rPr>
    </w:lvl>
    <w:lvl w:ilvl="7" w:tplc="C01C65A2" w:tentative="1">
      <w:start w:val="1"/>
      <w:numFmt w:val="bullet"/>
      <w:lvlText w:val=""/>
      <w:lvlJc w:val="left"/>
      <w:pPr>
        <w:tabs>
          <w:tab w:val="num" w:pos="5760"/>
        </w:tabs>
        <w:ind w:left="5760" w:hanging="360"/>
      </w:pPr>
      <w:rPr>
        <w:rFonts w:ascii="Wingdings" w:hAnsi="Wingdings" w:hint="default"/>
        <w:sz w:val="20"/>
      </w:rPr>
    </w:lvl>
    <w:lvl w:ilvl="8" w:tplc="69FC6ED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44F16"/>
    <w:multiLevelType w:val="hybridMultilevel"/>
    <w:tmpl w:val="6C58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A2FE1"/>
    <w:multiLevelType w:val="hybridMultilevel"/>
    <w:tmpl w:val="15ACB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CFA3561"/>
    <w:multiLevelType w:val="hybridMultilevel"/>
    <w:tmpl w:val="2B166126"/>
    <w:lvl w:ilvl="0" w:tplc="BFCA23E4">
      <w:start w:val="1"/>
      <w:numFmt w:val="bullet"/>
      <w:lvlText w:val=""/>
      <w:lvlJc w:val="left"/>
      <w:pPr>
        <w:ind w:left="720" w:hanging="360"/>
      </w:pPr>
      <w:rPr>
        <w:rFonts w:ascii="Symbol" w:hAnsi="Symbol" w:hint="default"/>
      </w:rPr>
    </w:lvl>
    <w:lvl w:ilvl="1" w:tplc="550E72F4">
      <w:start w:val="1"/>
      <w:numFmt w:val="bullet"/>
      <w:lvlText w:val="o"/>
      <w:lvlJc w:val="left"/>
      <w:pPr>
        <w:ind w:left="1440" w:hanging="360"/>
      </w:pPr>
      <w:rPr>
        <w:rFonts w:ascii="Courier New" w:hAnsi="Courier New" w:hint="default"/>
      </w:rPr>
    </w:lvl>
    <w:lvl w:ilvl="2" w:tplc="9DF2C9FE">
      <w:start w:val="1"/>
      <w:numFmt w:val="bullet"/>
      <w:lvlText w:val=""/>
      <w:lvlJc w:val="left"/>
      <w:pPr>
        <w:ind w:left="2160" w:hanging="360"/>
      </w:pPr>
      <w:rPr>
        <w:rFonts w:ascii="Wingdings" w:hAnsi="Wingdings" w:hint="default"/>
      </w:rPr>
    </w:lvl>
    <w:lvl w:ilvl="3" w:tplc="AF60A47A">
      <w:start w:val="1"/>
      <w:numFmt w:val="bullet"/>
      <w:lvlText w:val=""/>
      <w:lvlJc w:val="left"/>
      <w:pPr>
        <w:ind w:left="2880" w:hanging="360"/>
      </w:pPr>
      <w:rPr>
        <w:rFonts w:ascii="Symbol" w:hAnsi="Symbol" w:hint="default"/>
      </w:rPr>
    </w:lvl>
    <w:lvl w:ilvl="4" w:tplc="6B921B04">
      <w:start w:val="1"/>
      <w:numFmt w:val="bullet"/>
      <w:lvlText w:val="o"/>
      <w:lvlJc w:val="left"/>
      <w:pPr>
        <w:ind w:left="3600" w:hanging="360"/>
      </w:pPr>
      <w:rPr>
        <w:rFonts w:ascii="Courier New" w:hAnsi="Courier New" w:hint="default"/>
      </w:rPr>
    </w:lvl>
    <w:lvl w:ilvl="5" w:tplc="ADF4E81E">
      <w:start w:val="1"/>
      <w:numFmt w:val="bullet"/>
      <w:lvlText w:val=""/>
      <w:lvlJc w:val="left"/>
      <w:pPr>
        <w:ind w:left="4320" w:hanging="360"/>
      </w:pPr>
      <w:rPr>
        <w:rFonts w:ascii="Wingdings" w:hAnsi="Wingdings" w:hint="default"/>
      </w:rPr>
    </w:lvl>
    <w:lvl w:ilvl="6" w:tplc="73BEE50E">
      <w:start w:val="1"/>
      <w:numFmt w:val="bullet"/>
      <w:lvlText w:val=""/>
      <w:lvlJc w:val="left"/>
      <w:pPr>
        <w:ind w:left="5040" w:hanging="360"/>
      </w:pPr>
      <w:rPr>
        <w:rFonts w:ascii="Symbol" w:hAnsi="Symbol" w:hint="default"/>
      </w:rPr>
    </w:lvl>
    <w:lvl w:ilvl="7" w:tplc="CA34C5F8">
      <w:start w:val="1"/>
      <w:numFmt w:val="bullet"/>
      <w:lvlText w:val="o"/>
      <w:lvlJc w:val="left"/>
      <w:pPr>
        <w:ind w:left="5760" w:hanging="360"/>
      </w:pPr>
      <w:rPr>
        <w:rFonts w:ascii="Courier New" w:hAnsi="Courier New" w:hint="default"/>
      </w:rPr>
    </w:lvl>
    <w:lvl w:ilvl="8" w:tplc="7234972E">
      <w:start w:val="1"/>
      <w:numFmt w:val="bullet"/>
      <w:lvlText w:val=""/>
      <w:lvlJc w:val="left"/>
      <w:pPr>
        <w:ind w:left="6480" w:hanging="360"/>
      </w:pPr>
      <w:rPr>
        <w:rFonts w:ascii="Wingdings" w:hAnsi="Wingdings" w:hint="default"/>
      </w:rPr>
    </w:lvl>
  </w:abstractNum>
  <w:abstractNum w:abstractNumId="21" w15:restartNumberingAfterBreak="0">
    <w:nsid w:val="5F0922C6"/>
    <w:multiLevelType w:val="hybridMultilevel"/>
    <w:tmpl w:val="9D542418"/>
    <w:lvl w:ilvl="0" w:tplc="F2B6E370">
      <w:start w:val="1"/>
      <w:numFmt w:val="bullet"/>
      <w:lvlText w:val=""/>
      <w:lvlJc w:val="left"/>
      <w:pPr>
        <w:ind w:left="720" w:hanging="360"/>
      </w:pPr>
      <w:rPr>
        <w:rFonts w:ascii="Symbol" w:hAnsi="Symbol" w:hint="default"/>
      </w:rPr>
    </w:lvl>
    <w:lvl w:ilvl="1" w:tplc="FBC41868">
      <w:start w:val="1"/>
      <w:numFmt w:val="bullet"/>
      <w:lvlText w:val="o"/>
      <w:lvlJc w:val="left"/>
      <w:pPr>
        <w:ind w:left="1440" w:hanging="360"/>
      </w:pPr>
      <w:rPr>
        <w:rFonts w:ascii="Courier New" w:hAnsi="Courier New" w:hint="default"/>
      </w:rPr>
    </w:lvl>
    <w:lvl w:ilvl="2" w:tplc="C732730C">
      <w:start w:val="1"/>
      <w:numFmt w:val="bullet"/>
      <w:lvlText w:val=""/>
      <w:lvlJc w:val="left"/>
      <w:pPr>
        <w:ind w:left="2160" w:hanging="360"/>
      </w:pPr>
      <w:rPr>
        <w:rFonts w:ascii="Wingdings" w:hAnsi="Wingdings" w:hint="default"/>
      </w:rPr>
    </w:lvl>
    <w:lvl w:ilvl="3" w:tplc="1C84465A">
      <w:start w:val="1"/>
      <w:numFmt w:val="bullet"/>
      <w:lvlText w:val=""/>
      <w:lvlJc w:val="left"/>
      <w:pPr>
        <w:ind w:left="2880" w:hanging="360"/>
      </w:pPr>
      <w:rPr>
        <w:rFonts w:ascii="Symbol" w:hAnsi="Symbol" w:hint="default"/>
      </w:rPr>
    </w:lvl>
    <w:lvl w:ilvl="4" w:tplc="676057FC">
      <w:start w:val="1"/>
      <w:numFmt w:val="bullet"/>
      <w:lvlText w:val="o"/>
      <w:lvlJc w:val="left"/>
      <w:pPr>
        <w:ind w:left="3600" w:hanging="360"/>
      </w:pPr>
      <w:rPr>
        <w:rFonts w:ascii="Courier New" w:hAnsi="Courier New" w:hint="default"/>
      </w:rPr>
    </w:lvl>
    <w:lvl w:ilvl="5" w:tplc="D46CB056">
      <w:start w:val="1"/>
      <w:numFmt w:val="bullet"/>
      <w:lvlText w:val=""/>
      <w:lvlJc w:val="left"/>
      <w:pPr>
        <w:ind w:left="4320" w:hanging="360"/>
      </w:pPr>
      <w:rPr>
        <w:rFonts w:ascii="Wingdings" w:hAnsi="Wingdings" w:hint="default"/>
      </w:rPr>
    </w:lvl>
    <w:lvl w:ilvl="6" w:tplc="669E2E6C">
      <w:start w:val="1"/>
      <w:numFmt w:val="bullet"/>
      <w:lvlText w:val=""/>
      <w:lvlJc w:val="left"/>
      <w:pPr>
        <w:ind w:left="5040" w:hanging="360"/>
      </w:pPr>
      <w:rPr>
        <w:rFonts w:ascii="Symbol" w:hAnsi="Symbol" w:hint="default"/>
      </w:rPr>
    </w:lvl>
    <w:lvl w:ilvl="7" w:tplc="5B5660DA">
      <w:start w:val="1"/>
      <w:numFmt w:val="bullet"/>
      <w:lvlText w:val="o"/>
      <w:lvlJc w:val="left"/>
      <w:pPr>
        <w:ind w:left="5760" w:hanging="360"/>
      </w:pPr>
      <w:rPr>
        <w:rFonts w:ascii="Courier New" w:hAnsi="Courier New" w:hint="default"/>
      </w:rPr>
    </w:lvl>
    <w:lvl w:ilvl="8" w:tplc="0D18A72A">
      <w:start w:val="1"/>
      <w:numFmt w:val="bullet"/>
      <w:lvlText w:val=""/>
      <w:lvlJc w:val="left"/>
      <w:pPr>
        <w:ind w:left="6480" w:hanging="360"/>
      </w:pPr>
      <w:rPr>
        <w:rFonts w:ascii="Wingdings" w:hAnsi="Wingdings" w:hint="default"/>
      </w:rPr>
    </w:lvl>
  </w:abstractNum>
  <w:abstractNum w:abstractNumId="22" w15:restartNumberingAfterBreak="0">
    <w:nsid w:val="6F931EE5"/>
    <w:multiLevelType w:val="hybridMultilevel"/>
    <w:tmpl w:val="15549992"/>
    <w:lvl w:ilvl="0" w:tplc="DEC4AB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21755"/>
    <w:multiLevelType w:val="hybridMultilevel"/>
    <w:tmpl w:val="8A66EF68"/>
    <w:lvl w:ilvl="0" w:tplc="F4FC0F54">
      <w:start w:val="1"/>
      <w:numFmt w:val="bullet"/>
      <w:lvlText w:val=""/>
      <w:lvlJc w:val="left"/>
      <w:pPr>
        <w:ind w:left="720" w:hanging="360"/>
      </w:pPr>
      <w:rPr>
        <w:rFonts w:ascii="Symbol" w:hAnsi="Symbol" w:hint="default"/>
      </w:rPr>
    </w:lvl>
    <w:lvl w:ilvl="1" w:tplc="5B58C434">
      <w:start w:val="1"/>
      <w:numFmt w:val="bullet"/>
      <w:lvlText w:val="o"/>
      <w:lvlJc w:val="left"/>
      <w:pPr>
        <w:ind w:left="1440" w:hanging="360"/>
      </w:pPr>
      <w:rPr>
        <w:rFonts w:ascii="Courier New" w:hAnsi="Courier New" w:hint="default"/>
      </w:rPr>
    </w:lvl>
    <w:lvl w:ilvl="2" w:tplc="70781E8E">
      <w:start w:val="1"/>
      <w:numFmt w:val="bullet"/>
      <w:lvlText w:val=""/>
      <w:lvlJc w:val="left"/>
      <w:pPr>
        <w:ind w:left="2160" w:hanging="360"/>
      </w:pPr>
      <w:rPr>
        <w:rFonts w:ascii="Wingdings" w:hAnsi="Wingdings" w:hint="default"/>
      </w:rPr>
    </w:lvl>
    <w:lvl w:ilvl="3" w:tplc="896201E0">
      <w:start w:val="1"/>
      <w:numFmt w:val="bullet"/>
      <w:lvlText w:val=""/>
      <w:lvlJc w:val="left"/>
      <w:pPr>
        <w:ind w:left="2880" w:hanging="360"/>
      </w:pPr>
      <w:rPr>
        <w:rFonts w:ascii="Symbol" w:hAnsi="Symbol" w:hint="default"/>
      </w:rPr>
    </w:lvl>
    <w:lvl w:ilvl="4" w:tplc="5C0CD4A4">
      <w:start w:val="1"/>
      <w:numFmt w:val="bullet"/>
      <w:lvlText w:val="o"/>
      <w:lvlJc w:val="left"/>
      <w:pPr>
        <w:ind w:left="3600" w:hanging="360"/>
      </w:pPr>
      <w:rPr>
        <w:rFonts w:ascii="Courier New" w:hAnsi="Courier New" w:hint="default"/>
      </w:rPr>
    </w:lvl>
    <w:lvl w:ilvl="5" w:tplc="1EF63F66">
      <w:start w:val="1"/>
      <w:numFmt w:val="bullet"/>
      <w:lvlText w:val=""/>
      <w:lvlJc w:val="left"/>
      <w:pPr>
        <w:ind w:left="4320" w:hanging="360"/>
      </w:pPr>
      <w:rPr>
        <w:rFonts w:ascii="Wingdings" w:hAnsi="Wingdings" w:hint="default"/>
      </w:rPr>
    </w:lvl>
    <w:lvl w:ilvl="6" w:tplc="8FF645A2">
      <w:start w:val="1"/>
      <w:numFmt w:val="bullet"/>
      <w:lvlText w:val=""/>
      <w:lvlJc w:val="left"/>
      <w:pPr>
        <w:ind w:left="5040" w:hanging="360"/>
      </w:pPr>
      <w:rPr>
        <w:rFonts w:ascii="Symbol" w:hAnsi="Symbol" w:hint="default"/>
      </w:rPr>
    </w:lvl>
    <w:lvl w:ilvl="7" w:tplc="AF0AC148">
      <w:start w:val="1"/>
      <w:numFmt w:val="bullet"/>
      <w:lvlText w:val="o"/>
      <w:lvlJc w:val="left"/>
      <w:pPr>
        <w:ind w:left="5760" w:hanging="360"/>
      </w:pPr>
      <w:rPr>
        <w:rFonts w:ascii="Courier New" w:hAnsi="Courier New" w:hint="default"/>
      </w:rPr>
    </w:lvl>
    <w:lvl w:ilvl="8" w:tplc="5B765264">
      <w:start w:val="1"/>
      <w:numFmt w:val="bullet"/>
      <w:lvlText w:val=""/>
      <w:lvlJc w:val="left"/>
      <w:pPr>
        <w:ind w:left="6480" w:hanging="360"/>
      </w:pPr>
      <w:rPr>
        <w:rFonts w:ascii="Wingdings" w:hAnsi="Wingdings" w:hint="default"/>
      </w:rPr>
    </w:lvl>
  </w:abstractNum>
  <w:abstractNum w:abstractNumId="2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3F056B"/>
    <w:multiLevelType w:val="hybridMultilevel"/>
    <w:tmpl w:val="41DAAE10"/>
    <w:lvl w:ilvl="0" w:tplc="CDF6F8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263312">
    <w:abstractNumId w:val="20"/>
  </w:num>
  <w:num w:numId="2" w16cid:durableId="13389176">
    <w:abstractNumId w:val="11"/>
  </w:num>
  <w:num w:numId="3" w16cid:durableId="1537159629">
    <w:abstractNumId w:val="21"/>
  </w:num>
  <w:num w:numId="4" w16cid:durableId="513419091">
    <w:abstractNumId w:val="15"/>
  </w:num>
  <w:num w:numId="5" w16cid:durableId="712728576">
    <w:abstractNumId w:val="23"/>
  </w:num>
  <w:num w:numId="6" w16cid:durableId="846015826">
    <w:abstractNumId w:val="3"/>
  </w:num>
  <w:num w:numId="7" w16cid:durableId="94831397">
    <w:abstractNumId w:val="14"/>
  </w:num>
  <w:num w:numId="8" w16cid:durableId="1460801684">
    <w:abstractNumId w:val="17"/>
  </w:num>
  <w:num w:numId="9" w16cid:durableId="502549642">
    <w:abstractNumId w:val="7"/>
  </w:num>
  <w:num w:numId="10" w16cid:durableId="978649983">
    <w:abstractNumId w:val="24"/>
  </w:num>
  <w:num w:numId="11" w16cid:durableId="83301715">
    <w:abstractNumId w:val="10"/>
  </w:num>
  <w:num w:numId="12" w16cid:durableId="574389923">
    <w:abstractNumId w:val="25"/>
  </w:num>
  <w:num w:numId="13" w16cid:durableId="1169515257">
    <w:abstractNumId w:val="1"/>
  </w:num>
  <w:num w:numId="14" w16cid:durableId="1699744180">
    <w:abstractNumId w:val="8"/>
  </w:num>
  <w:num w:numId="15" w16cid:durableId="1749107451">
    <w:abstractNumId w:val="2"/>
  </w:num>
  <w:num w:numId="16" w16cid:durableId="102963782">
    <w:abstractNumId w:val="6"/>
  </w:num>
  <w:num w:numId="17" w16cid:durableId="1484740607">
    <w:abstractNumId w:val="9"/>
  </w:num>
  <w:num w:numId="18" w16cid:durableId="552545129">
    <w:abstractNumId w:val="13"/>
  </w:num>
  <w:num w:numId="19" w16cid:durableId="192034091">
    <w:abstractNumId w:val="16"/>
  </w:num>
  <w:num w:numId="20" w16cid:durableId="1154179590">
    <w:abstractNumId w:val="19"/>
  </w:num>
  <w:num w:numId="21" w16cid:durableId="887843165">
    <w:abstractNumId w:val="18"/>
  </w:num>
  <w:num w:numId="22" w16cid:durableId="486556428">
    <w:abstractNumId w:val="0"/>
  </w:num>
  <w:num w:numId="23" w16cid:durableId="203951091">
    <w:abstractNumId w:val="12"/>
  </w:num>
  <w:num w:numId="24" w16cid:durableId="1861045744">
    <w:abstractNumId w:val="22"/>
  </w:num>
  <w:num w:numId="25" w16cid:durableId="340091278">
    <w:abstractNumId w:val="5"/>
  </w:num>
  <w:num w:numId="26" w16cid:durableId="757487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64" w:dllVersion="6" w:nlCheck="1" w:checkStyle="1"/>
  <w:activeWritingStyle w:appName="MSWord" w:lang="fr-FR" w:vendorID="64" w:dllVersion="6" w:nlCheck="1" w:checkStyle="0"/>
  <w:activeWritingStyle w:appName="MSWord" w:lang="fr-CA" w:vendorID="64" w:dllVersion="6" w:nlCheck="1" w:checkStyle="0"/>
  <w:activeWritingStyle w:appName="MSWord" w:lang="it-IT" w:vendorID="64" w:dllVersion="6" w:nlCheck="1" w:checkStyle="0"/>
  <w:activeWritingStyle w:appName="MSWord" w:lang="en-US" w:vendorID="64" w:dllVersion="6" w:nlCheck="1" w:checkStyle="1"/>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2883"/>
    <w:rsid w:val="000070BA"/>
    <w:rsid w:val="000173F9"/>
    <w:rsid w:val="00024A9A"/>
    <w:rsid w:val="000412A0"/>
    <w:rsid w:val="000435EC"/>
    <w:rsid w:val="00047D79"/>
    <w:rsid w:val="00047DDA"/>
    <w:rsid w:val="00051512"/>
    <w:rsid w:val="0005455A"/>
    <w:rsid w:val="00071F07"/>
    <w:rsid w:val="0007759D"/>
    <w:rsid w:val="000777AB"/>
    <w:rsid w:val="00077F46"/>
    <w:rsid w:val="00080847"/>
    <w:rsid w:val="00086215"/>
    <w:rsid w:val="00090FB1"/>
    <w:rsid w:val="00096186"/>
    <w:rsid w:val="000A20B2"/>
    <w:rsid w:val="000A72E4"/>
    <w:rsid w:val="000B03B2"/>
    <w:rsid w:val="000B0E2F"/>
    <w:rsid w:val="000B2430"/>
    <w:rsid w:val="000D0B30"/>
    <w:rsid w:val="000E21F1"/>
    <w:rsid w:val="000F1BBB"/>
    <w:rsid w:val="000F703E"/>
    <w:rsid w:val="00120E86"/>
    <w:rsid w:val="00125DE9"/>
    <w:rsid w:val="00130118"/>
    <w:rsid w:val="001332E0"/>
    <w:rsid w:val="00134DE7"/>
    <w:rsid w:val="0014682F"/>
    <w:rsid w:val="00163D47"/>
    <w:rsid w:val="00185354"/>
    <w:rsid w:val="001854DC"/>
    <w:rsid w:val="00186795"/>
    <w:rsid w:val="00194D09"/>
    <w:rsid w:val="001A7D5C"/>
    <w:rsid w:val="001B440A"/>
    <w:rsid w:val="001B60AA"/>
    <w:rsid w:val="001B63C8"/>
    <w:rsid w:val="001C1972"/>
    <w:rsid w:val="001C421F"/>
    <w:rsid w:val="001C5C7C"/>
    <w:rsid w:val="001D1FD1"/>
    <w:rsid w:val="001D360D"/>
    <w:rsid w:val="001D3CE0"/>
    <w:rsid w:val="001D3E97"/>
    <w:rsid w:val="001E65CB"/>
    <w:rsid w:val="001F5C6A"/>
    <w:rsid w:val="001F618B"/>
    <w:rsid w:val="00210801"/>
    <w:rsid w:val="00236764"/>
    <w:rsid w:val="00261A8D"/>
    <w:rsid w:val="00283C1C"/>
    <w:rsid w:val="00291A00"/>
    <w:rsid w:val="00291A11"/>
    <w:rsid w:val="002A315C"/>
    <w:rsid w:val="002A3342"/>
    <w:rsid w:val="002A4703"/>
    <w:rsid w:val="002A64BA"/>
    <w:rsid w:val="002B062E"/>
    <w:rsid w:val="002B4989"/>
    <w:rsid w:val="002C2510"/>
    <w:rsid w:val="002D714E"/>
    <w:rsid w:val="002D72F2"/>
    <w:rsid w:val="002E1395"/>
    <w:rsid w:val="002E53C3"/>
    <w:rsid w:val="002E5DB4"/>
    <w:rsid w:val="002F1468"/>
    <w:rsid w:val="002F5F0C"/>
    <w:rsid w:val="003030F7"/>
    <w:rsid w:val="003126C2"/>
    <w:rsid w:val="003127E1"/>
    <w:rsid w:val="003265EB"/>
    <w:rsid w:val="0034329E"/>
    <w:rsid w:val="00343FAA"/>
    <w:rsid w:val="00344773"/>
    <w:rsid w:val="00347F5E"/>
    <w:rsid w:val="00353C98"/>
    <w:rsid w:val="00356BBC"/>
    <w:rsid w:val="0036567B"/>
    <w:rsid w:val="00371A20"/>
    <w:rsid w:val="003817F1"/>
    <w:rsid w:val="003821B4"/>
    <w:rsid w:val="00382CF3"/>
    <w:rsid w:val="00387D52"/>
    <w:rsid w:val="003A7CEA"/>
    <w:rsid w:val="003C027E"/>
    <w:rsid w:val="003C4EB9"/>
    <w:rsid w:val="003C7027"/>
    <w:rsid w:val="003E1A9D"/>
    <w:rsid w:val="003F0BD3"/>
    <w:rsid w:val="003F278A"/>
    <w:rsid w:val="003F7A02"/>
    <w:rsid w:val="00422EA5"/>
    <w:rsid w:val="00422EFA"/>
    <w:rsid w:val="0042791F"/>
    <w:rsid w:val="004456ED"/>
    <w:rsid w:val="004605D2"/>
    <w:rsid w:val="0046615F"/>
    <w:rsid w:val="00476042"/>
    <w:rsid w:val="0048045A"/>
    <w:rsid w:val="004841B8"/>
    <w:rsid w:val="00484521"/>
    <w:rsid w:val="00484E39"/>
    <w:rsid w:val="004930F2"/>
    <w:rsid w:val="00497702"/>
    <w:rsid w:val="004A34D2"/>
    <w:rsid w:val="004B0479"/>
    <w:rsid w:val="004B0F1C"/>
    <w:rsid w:val="004B28D2"/>
    <w:rsid w:val="004B3F5E"/>
    <w:rsid w:val="004D5A62"/>
    <w:rsid w:val="004F2EE6"/>
    <w:rsid w:val="00502DBA"/>
    <w:rsid w:val="005040C4"/>
    <w:rsid w:val="00507637"/>
    <w:rsid w:val="00507852"/>
    <w:rsid w:val="00514DBF"/>
    <w:rsid w:val="00522A12"/>
    <w:rsid w:val="005325D6"/>
    <w:rsid w:val="00533E21"/>
    <w:rsid w:val="00550921"/>
    <w:rsid w:val="00556367"/>
    <w:rsid w:val="00563712"/>
    <w:rsid w:val="00566E3A"/>
    <w:rsid w:val="00573631"/>
    <w:rsid w:val="005738C3"/>
    <w:rsid w:val="00573C0B"/>
    <w:rsid w:val="005742E0"/>
    <w:rsid w:val="00576CFA"/>
    <w:rsid w:val="0058556D"/>
    <w:rsid w:val="00592AF2"/>
    <w:rsid w:val="005947AD"/>
    <w:rsid w:val="00597748"/>
    <w:rsid w:val="005979E8"/>
    <w:rsid w:val="005A1AF8"/>
    <w:rsid w:val="005A4688"/>
    <w:rsid w:val="005A6995"/>
    <w:rsid w:val="005C1A38"/>
    <w:rsid w:val="005D0AF4"/>
    <w:rsid w:val="005E54BD"/>
    <w:rsid w:val="005F1AF8"/>
    <w:rsid w:val="005F1C36"/>
    <w:rsid w:val="005F6CCA"/>
    <w:rsid w:val="006104AF"/>
    <w:rsid w:val="00621893"/>
    <w:rsid w:val="00627167"/>
    <w:rsid w:val="006351E1"/>
    <w:rsid w:val="006405B8"/>
    <w:rsid w:val="006447B1"/>
    <w:rsid w:val="00653117"/>
    <w:rsid w:val="00653B19"/>
    <w:rsid w:val="00660031"/>
    <w:rsid w:val="00662775"/>
    <w:rsid w:val="00677AB4"/>
    <w:rsid w:val="00681E5C"/>
    <w:rsid w:val="006852FC"/>
    <w:rsid w:val="00695AC4"/>
    <w:rsid w:val="006B40AB"/>
    <w:rsid w:val="006B5620"/>
    <w:rsid w:val="006B5DC5"/>
    <w:rsid w:val="006C4BFD"/>
    <w:rsid w:val="006C7D30"/>
    <w:rsid w:val="006E0ED0"/>
    <w:rsid w:val="006E3C08"/>
    <w:rsid w:val="006E3F86"/>
    <w:rsid w:val="006E4420"/>
    <w:rsid w:val="006F3E0D"/>
    <w:rsid w:val="00700ACF"/>
    <w:rsid w:val="00711584"/>
    <w:rsid w:val="00712487"/>
    <w:rsid w:val="007142BB"/>
    <w:rsid w:val="00717CB4"/>
    <w:rsid w:val="007530CA"/>
    <w:rsid w:val="00756D68"/>
    <w:rsid w:val="007578D9"/>
    <w:rsid w:val="00757E8A"/>
    <w:rsid w:val="00760874"/>
    <w:rsid w:val="007624FE"/>
    <w:rsid w:val="00763E43"/>
    <w:rsid w:val="00764EB5"/>
    <w:rsid w:val="00771C19"/>
    <w:rsid w:val="00773998"/>
    <w:rsid w:val="00777A95"/>
    <w:rsid w:val="00780BF3"/>
    <w:rsid w:val="00782416"/>
    <w:rsid w:val="007B0364"/>
    <w:rsid w:val="007D0981"/>
    <w:rsid w:val="007D1929"/>
    <w:rsid w:val="007D7C64"/>
    <w:rsid w:val="007E3769"/>
    <w:rsid w:val="007E3CD7"/>
    <w:rsid w:val="007F0369"/>
    <w:rsid w:val="00800DF6"/>
    <w:rsid w:val="00803CF1"/>
    <w:rsid w:val="008104BB"/>
    <w:rsid w:val="008249C5"/>
    <w:rsid w:val="00834840"/>
    <w:rsid w:val="008526F9"/>
    <w:rsid w:val="0085285E"/>
    <w:rsid w:val="00853023"/>
    <w:rsid w:val="008534D4"/>
    <w:rsid w:val="00881E28"/>
    <w:rsid w:val="00894C4B"/>
    <w:rsid w:val="008969C0"/>
    <w:rsid w:val="008A12E3"/>
    <w:rsid w:val="008A42FA"/>
    <w:rsid w:val="008B0AC7"/>
    <w:rsid w:val="008C2335"/>
    <w:rsid w:val="008C67C1"/>
    <w:rsid w:val="008D1D39"/>
    <w:rsid w:val="008F07D2"/>
    <w:rsid w:val="008F2E32"/>
    <w:rsid w:val="00905842"/>
    <w:rsid w:val="00917851"/>
    <w:rsid w:val="00917F65"/>
    <w:rsid w:val="009311E7"/>
    <w:rsid w:val="00942694"/>
    <w:rsid w:val="00943C3A"/>
    <w:rsid w:val="009534F7"/>
    <w:rsid w:val="00993A06"/>
    <w:rsid w:val="009A7E3A"/>
    <w:rsid w:val="009B1265"/>
    <w:rsid w:val="009B280B"/>
    <w:rsid w:val="009B4A15"/>
    <w:rsid w:val="009B5693"/>
    <w:rsid w:val="009C61A2"/>
    <w:rsid w:val="009C72CB"/>
    <w:rsid w:val="009C78E4"/>
    <w:rsid w:val="009D687E"/>
    <w:rsid w:val="009F2F2F"/>
    <w:rsid w:val="009F69DC"/>
    <w:rsid w:val="009F6DE7"/>
    <w:rsid w:val="00A10583"/>
    <w:rsid w:val="00A12A00"/>
    <w:rsid w:val="00A2369C"/>
    <w:rsid w:val="00A37FCB"/>
    <w:rsid w:val="00A52708"/>
    <w:rsid w:val="00A54863"/>
    <w:rsid w:val="00A55A50"/>
    <w:rsid w:val="00A57348"/>
    <w:rsid w:val="00A61D74"/>
    <w:rsid w:val="00A6313D"/>
    <w:rsid w:val="00A8688B"/>
    <w:rsid w:val="00A91163"/>
    <w:rsid w:val="00A9286F"/>
    <w:rsid w:val="00A9302C"/>
    <w:rsid w:val="00A96255"/>
    <w:rsid w:val="00AB285B"/>
    <w:rsid w:val="00AB6A9D"/>
    <w:rsid w:val="00AF5552"/>
    <w:rsid w:val="00AF5CB4"/>
    <w:rsid w:val="00AF5ED1"/>
    <w:rsid w:val="00AF71D6"/>
    <w:rsid w:val="00B0219C"/>
    <w:rsid w:val="00B17F2B"/>
    <w:rsid w:val="00B216EE"/>
    <w:rsid w:val="00B25C2A"/>
    <w:rsid w:val="00B3175F"/>
    <w:rsid w:val="00B31E2C"/>
    <w:rsid w:val="00B329B0"/>
    <w:rsid w:val="00B402D8"/>
    <w:rsid w:val="00B4237C"/>
    <w:rsid w:val="00B42FE8"/>
    <w:rsid w:val="00B430B8"/>
    <w:rsid w:val="00B46C5D"/>
    <w:rsid w:val="00B52AFD"/>
    <w:rsid w:val="00B54077"/>
    <w:rsid w:val="00B8087E"/>
    <w:rsid w:val="00B82B40"/>
    <w:rsid w:val="00BA39DF"/>
    <w:rsid w:val="00BA53AA"/>
    <w:rsid w:val="00BB646E"/>
    <w:rsid w:val="00BC6A44"/>
    <w:rsid w:val="00BD1BA1"/>
    <w:rsid w:val="00C019E5"/>
    <w:rsid w:val="00C30013"/>
    <w:rsid w:val="00C3438F"/>
    <w:rsid w:val="00C35BC4"/>
    <w:rsid w:val="00C43F5B"/>
    <w:rsid w:val="00C558ED"/>
    <w:rsid w:val="00C74FCE"/>
    <w:rsid w:val="00C871C2"/>
    <w:rsid w:val="00CB4371"/>
    <w:rsid w:val="00CB6543"/>
    <w:rsid w:val="00CC0D57"/>
    <w:rsid w:val="00CC516D"/>
    <w:rsid w:val="00CD1981"/>
    <w:rsid w:val="00CD6688"/>
    <w:rsid w:val="00D1342B"/>
    <w:rsid w:val="00D24330"/>
    <w:rsid w:val="00D255B2"/>
    <w:rsid w:val="00D27950"/>
    <w:rsid w:val="00D367BD"/>
    <w:rsid w:val="00D40056"/>
    <w:rsid w:val="00D51E7C"/>
    <w:rsid w:val="00D54F29"/>
    <w:rsid w:val="00D56ABD"/>
    <w:rsid w:val="00D7020C"/>
    <w:rsid w:val="00D70AD9"/>
    <w:rsid w:val="00D720AD"/>
    <w:rsid w:val="00D72152"/>
    <w:rsid w:val="00D812B4"/>
    <w:rsid w:val="00D85023"/>
    <w:rsid w:val="00D91FA6"/>
    <w:rsid w:val="00D94BA5"/>
    <w:rsid w:val="00D9510F"/>
    <w:rsid w:val="00DA615C"/>
    <w:rsid w:val="00DD1BC6"/>
    <w:rsid w:val="00DE5DC3"/>
    <w:rsid w:val="00E00D8A"/>
    <w:rsid w:val="00E0123C"/>
    <w:rsid w:val="00E1050F"/>
    <w:rsid w:val="00E11604"/>
    <w:rsid w:val="00E11D92"/>
    <w:rsid w:val="00E130A0"/>
    <w:rsid w:val="00E210C4"/>
    <w:rsid w:val="00E23180"/>
    <w:rsid w:val="00E23DB7"/>
    <w:rsid w:val="00E40243"/>
    <w:rsid w:val="00E43D84"/>
    <w:rsid w:val="00E46D96"/>
    <w:rsid w:val="00E52CCA"/>
    <w:rsid w:val="00E66409"/>
    <w:rsid w:val="00E81D5B"/>
    <w:rsid w:val="00E85E0F"/>
    <w:rsid w:val="00E90EC0"/>
    <w:rsid w:val="00E91612"/>
    <w:rsid w:val="00E976B9"/>
    <w:rsid w:val="00EA05D3"/>
    <w:rsid w:val="00EA3CE7"/>
    <w:rsid w:val="00EA6495"/>
    <w:rsid w:val="00EA7082"/>
    <w:rsid w:val="00EB19AD"/>
    <w:rsid w:val="00EB2F31"/>
    <w:rsid w:val="00EB6493"/>
    <w:rsid w:val="00EC0CCF"/>
    <w:rsid w:val="00EC2915"/>
    <w:rsid w:val="00ED05A9"/>
    <w:rsid w:val="00ED1BA0"/>
    <w:rsid w:val="00F17257"/>
    <w:rsid w:val="00F31D62"/>
    <w:rsid w:val="00F34D24"/>
    <w:rsid w:val="00F4130B"/>
    <w:rsid w:val="00F556A2"/>
    <w:rsid w:val="00F56E23"/>
    <w:rsid w:val="00F719A8"/>
    <w:rsid w:val="00F743A2"/>
    <w:rsid w:val="00F743F2"/>
    <w:rsid w:val="00F878B9"/>
    <w:rsid w:val="00FA552C"/>
    <w:rsid w:val="00FA5C72"/>
    <w:rsid w:val="00FB24E8"/>
    <w:rsid w:val="00FB3B2B"/>
    <w:rsid w:val="00FC18DA"/>
    <w:rsid w:val="00FC3917"/>
    <w:rsid w:val="00FD60DA"/>
    <w:rsid w:val="00FF07B4"/>
    <w:rsid w:val="0213A544"/>
    <w:rsid w:val="0385BDD3"/>
    <w:rsid w:val="04603834"/>
    <w:rsid w:val="04F5554C"/>
    <w:rsid w:val="067C36C8"/>
    <w:rsid w:val="06BA6489"/>
    <w:rsid w:val="07248B9F"/>
    <w:rsid w:val="08642622"/>
    <w:rsid w:val="087A3BA8"/>
    <w:rsid w:val="08B36FD2"/>
    <w:rsid w:val="0B5B9180"/>
    <w:rsid w:val="0D47BC77"/>
    <w:rsid w:val="0DA92F81"/>
    <w:rsid w:val="0E463B7E"/>
    <w:rsid w:val="108E78B1"/>
    <w:rsid w:val="113B0D7F"/>
    <w:rsid w:val="16F130DF"/>
    <w:rsid w:val="183F295C"/>
    <w:rsid w:val="1911D66C"/>
    <w:rsid w:val="1914AF1E"/>
    <w:rsid w:val="1B25B7C4"/>
    <w:rsid w:val="1B39BFBA"/>
    <w:rsid w:val="1D09899C"/>
    <w:rsid w:val="1DE82041"/>
    <w:rsid w:val="1E80EB16"/>
    <w:rsid w:val="1F83F0A2"/>
    <w:rsid w:val="1FD4E239"/>
    <w:rsid w:val="24362197"/>
    <w:rsid w:val="2488AB30"/>
    <w:rsid w:val="24B45221"/>
    <w:rsid w:val="25909CF4"/>
    <w:rsid w:val="27E2BD0F"/>
    <w:rsid w:val="28BB11BC"/>
    <w:rsid w:val="29DACDDC"/>
    <w:rsid w:val="2BD80C30"/>
    <w:rsid w:val="2C779FF8"/>
    <w:rsid w:val="2DF83993"/>
    <w:rsid w:val="2E385917"/>
    <w:rsid w:val="2E9D8575"/>
    <w:rsid w:val="30E6846D"/>
    <w:rsid w:val="31E5DFC1"/>
    <w:rsid w:val="327492FC"/>
    <w:rsid w:val="3299BF9E"/>
    <w:rsid w:val="33AC4FC4"/>
    <w:rsid w:val="371F3F33"/>
    <w:rsid w:val="381D2BB5"/>
    <w:rsid w:val="389CF25A"/>
    <w:rsid w:val="3D002772"/>
    <w:rsid w:val="3D7D0020"/>
    <w:rsid w:val="3E0DB5B7"/>
    <w:rsid w:val="3EA3E559"/>
    <w:rsid w:val="408AD2CC"/>
    <w:rsid w:val="41DCD0B6"/>
    <w:rsid w:val="43D36664"/>
    <w:rsid w:val="4B82C175"/>
    <w:rsid w:val="4BBC05A5"/>
    <w:rsid w:val="4C51CD3D"/>
    <w:rsid w:val="4D8E50A0"/>
    <w:rsid w:val="4F9653F6"/>
    <w:rsid w:val="50F8E241"/>
    <w:rsid w:val="51F0C971"/>
    <w:rsid w:val="58412089"/>
    <w:rsid w:val="58FF81C9"/>
    <w:rsid w:val="5925BA99"/>
    <w:rsid w:val="599BCF5F"/>
    <w:rsid w:val="5A369E05"/>
    <w:rsid w:val="5A4FC662"/>
    <w:rsid w:val="5B7457EA"/>
    <w:rsid w:val="5C6727FC"/>
    <w:rsid w:val="5E64E447"/>
    <w:rsid w:val="6080938D"/>
    <w:rsid w:val="6101EF71"/>
    <w:rsid w:val="62DF0065"/>
    <w:rsid w:val="63BEB318"/>
    <w:rsid w:val="646EAE0C"/>
    <w:rsid w:val="6575E59D"/>
    <w:rsid w:val="65937A67"/>
    <w:rsid w:val="6D4180E7"/>
    <w:rsid w:val="70730713"/>
    <w:rsid w:val="70F4C65A"/>
    <w:rsid w:val="71213A49"/>
    <w:rsid w:val="72BBD122"/>
    <w:rsid w:val="72BFF8DD"/>
    <w:rsid w:val="738F5EA6"/>
    <w:rsid w:val="75776C5C"/>
    <w:rsid w:val="7578A36B"/>
    <w:rsid w:val="765013CE"/>
    <w:rsid w:val="76FEC8A2"/>
    <w:rsid w:val="7973141D"/>
    <w:rsid w:val="797B0B64"/>
    <w:rsid w:val="7A4BAAE2"/>
    <w:rsid w:val="7B9A708B"/>
    <w:rsid w:val="7BA4E38D"/>
    <w:rsid w:val="7D06A703"/>
    <w:rsid w:val="7D3B55C0"/>
    <w:rsid w:val="7DBF34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31B589CC-F453-4522-9332-54A9837F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D47"/>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FollowedHyperlink">
    <w:name w:val="FollowedHyperlink"/>
    <w:basedOn w:val="DefaultParagraphFont"/>
    <w:uiPriority w:val="99"/>
    <w:semiHidden/>
    <w:unhideWhenUsed/>
    <w:rsid w:val="004B28D2"/>
    <w:rPr>
      <w:color w:val="800080" w:themeColor="followedHyperlink"/>
      <w:u w:val="single"/>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B25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C2A"/>
    <w:rPr>
      <w:sz w:val="20"/>
      <w:szCs w:val="20"/>
    </w:rPr>
  </w:style>
  <w:style w:type="character" w:styleId="FootnoteReference">
    <w:name w:val="footnote reference"/>
    <w:basedOn w:val="DefaultParagraphFont"/>
    <w:uiPriority w:val="99"/>
    <w:semiHidden/>
    <w:unhideWhenUsed/>
    <w:rsid w:val="00B25C2A"/>
    <w:rPr>
      <w:vertAlign w:val="superscript"/>
    </w:rPr>
  </w:style>
  <w:style w:type="character" w:customStyle="1" w:styleId="UnresolvedMention1">
    <w:name w:val="Unresolved Mention1"/>
    <w:basedOn w:val="DefaultParagraphFont"/>
    <w:uiPriority w:val="99"/>
    <w:semiHidden/>
    <w:unhideWhenUsed/>
    <w:rsid w:val="00627167"/>
    <w:rPr>
      <w:color w:val="808080"/>
      <w:shd w:val="clear" w:color="auto" w:fill="E6E6E6"/>
    </w:rPr>
  </w:style>
  <w:style w:type="character" w:customStyle="1" w:styleId="UnresolvedMention2">
    <w:name w:val="Unresolved Mention2"/>
    <w:basedOn w:val="DefaultParagraphFont"/>
    <w:uiPriority w:val="99"/>
    <w:semiHidden/>
    <w:unhideWhenUsed/>
    <w:rsid w:val="00F743F2"/>
    <w:rPr>
      <w:color w:val="605E5C"/>
      <w:shd w:val="clear" w:color="auto" w:fill="E1DFDD"/>
    </w:rPr>
  </w:style>
  <w:style w:type="paragraph" w:styleId="NormalWeb">
    <w:name w:val="Normal (Web)"/>
    <w:basedOn w:val="Normal"/>
    <w:uiPriority w:val="99"/>
    <w:semiHidden/>
    <w:unhideWhenUsed/>
    <w:rsid w:val="00A5734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Revision">
    <w:name w:val="Revision"/>
    <w:hidden/>
    <w:uiPriority w:val="99"/>
    <w:semiHidden/>
    <w:rsid w:val="00905842"/>
    <w:pPr>
      <w:spacing w:after="0" w:line="240" w:lineRule="auto"/>
    </w:pPr>
  </w:style>
  <w:style w:type="character" w:customStyle="1" w:styleId="UnresolvedMention3">
    <w:name w:val="Unresolved Mention3"/>
    <w:basedOn w:val="DefaultParagraphFont"/>
    <w:uiPriority w:val="99"/>
    <w:semiHidden/>
    <w:unhideWhenUsed/>
    <w:rsid w:val="00F31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7990">
      <w:bodyDiv w:val="1"/>
      <w:marLeft w:val="0"/>
      <w:marRight w:val="0"/>
      <w:marTop w:val="0"/>
      <w:marBottom w:val="0"/>
      <w:divBdr>
        <w:top w:val="none" w:sz="0" w:space="0" w:color="auto"/>
        <w:left w:val="none" w:sz="0" w:space="0" w:color="auto"/>
        <w:bottom w:val="none" w:sz="0" w:space="0" w:color="auto"/>
        <w:right w:val="none" w:sz="0" w:space="0" w:color="auto"/>
      </w:divBdr>
    </w:div>
    <w:div w:id="408578560">
      <w:bodyDiv w:val="1"/>
      <w:marLeft w:val="0"/>
      <w:marRight w:val="0"/>
      <w:marTop w:val="0"/>
      <w:marBottom w:val="0"/>
      <w:divBdr>
        <w:top w:val="none" w:sz="0" w:space="0" w:color="auto"/>
        <w:left w:val="none" w:sz="0" w:space="0" w:color="auto"/>
        <w:bottom w:val="none" w:sz="0" w:space="0" w:color="auto"/>
        <w:right w:val="none" w:sz="0" w:space="0" w:color="auto"/>
      </w:divBdr>
      <w:divsChild>
        <w:div w:id="978916861">
          <w:marLeft w:val="0"/>
          <w:marRight w:val="0"/>
          <w:marTop w:val="0"/>
          <w:marBottom w:val="0"/>
          <w:divBdr>
            <w:top w:val="none" w:sz="0" w:space="0" w:color="auto"/>
            <w:left w:val="none" w:sz="0" w:space="0" w:color="auto"/>
            <w:bottom w:val="none" w:sz="0" w:space="0" w:color="auto"/>
            <w:right w:val="none" w:sz="0" w:space="0" w:color="auto"/>
          </w:divBdr>
          <w:divsChild>
            <w:div w:id="12277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070">
      <w:bodyDiv w:val="1"/>
      <w:marLeft w:val="0"/>
      <w:marRight w:val="0"/>
      <w:marTop w:val="0"/>
      <w:marBottom w:val="0"/>
      <w:divBdr>
        <w:top w:val="none" w:sz="0" w:space="0" w:color="auto"/>
        <w:left w:val="none" w:sz="0" w:space="0" w:color="auto"/>
        <w:bottom w:val="none" w:sz="0" w:space="0" w:color="auto"/>
        <w:right w:val="none" w:sz="0" w:space="0" w:color="auto"/>
      </w:divBdr>
    </w:div>
    <w:div w:id="87261248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5930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aquastat/en/" TargetMode="External"/><Relationship Id="rId18" Type="http://schemas.openxmlformats.org/officeDocument/2006/relationships/hyperlink" Target="http://eflows.iwmi.org/" TargetMode="External"/><Relationship Id="rId26" Type="http://schemas.openxmlformats.org/officeDocument/2006/relationships/hyperlink" Target="http://www.fao.org/3/a-bc822e.pdf" TargetMode="External"/><Relationship Id="rId3" Type="http://schemas.openxmlformats.org/officeDocument/2006/relationships/customXml" Target="../customXml/item3.xml"/><Relationship Id="rId21" Type="http://schemas.openxmlformats.org/officeDocument/2006/relationships/hyperlink" Target="http://www.fao.org/3/a-bc817e.pdf"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fao.org/aquastat/en/" TargetMode="External"/><Relationship Id="rId17" Type="http://schemas.openxmlformats.org/officeDocument/2006/relationships/hyperlink" Target="http://www.fao.org/aquastat/en/resources/publications/reports/" TargetMode="External"/><Relationship Id="rId25" Type="http://schemas.openxmlformats.org/officeDocument/2006/relationships/hyperlink" Target="http://www.fao.org/3/a-bc823e.pdf" TargetMode="External"/><Relationship Id="rId33" Type="http://schemas.openxmlformats.org/officeDocument/2006/relationships/hyperlink" Target="http://unstats.un.org/unsd/snaama/selbasicFast.asp" TargetMode="External"/><Relationship Id="rId2" Type="http://schemas.openxmlformats.org/officeDocument/2006/relationships/customXml" Target="../customXml/item2.xml"/><Relationship Id="rId16" Type="http://schemas.openxmlformats.org/officeDocument/2006/relationships/hyperlink" Target="http://www.fao.org/aquastat/en/overview/methodology/water-resources/" TargetMode="External"/><Relationship Id="rId20" Type="http://schemas.openxmlformats.org/officeDocument/2006/relationships/hyperlink" Target="http://unstats.un.org/unsd/environment/FDES/FDES-2015-supporting-tools/FDES.pdf" TargetMode="External"/><Relationship Id="rId29" Type="http://schemas.openxmlformats.org/officeDocument/2006/relationships/hyperlink" Target="http://www.fao.org/aquastat/en/overview/methodolo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aquastat/en/databases/maindatabase/metadata/" TargetMode="External"/><Relationship Id="rId24" Type="http://schemas.openxmlformats.org/officeDocument/2006/relationships/hyperlink" Target="http://www.fao.org/3/a-bc818e.pdf" TargetMode="External"/><Relationship Id="rId32" Type="http://schemas.openxmlformats.org/officeDocument/2006/relationships/hyperlink" Target="http://unstats.un.org/unsd/environment/qindicators.ht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fao.org/aquastat/en/overview/methodology/water-use/" TargetMode="External"/><Relationship Id="rId23" Type="http://schemas.openxmlformats.org/officeDocument/2006/relationships/hyperlink" Target="https://www.unwater.org/app/uploads/2019/01/SDG6_EF_LOW2.pdf" TargetMode="External"/><Relationship Id="rId28" Type="http://schemas.openxmlformats.org/officeDocument/2006/relationships/hyperlink" Target="http://www.fao.org/3/a-bc816e.pdf"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iwmi.cgiar.org/Publications/IWMI_Research_Reports/PDF/pub168/rr168.pdf" TargetMode="External"/><Relationship Id="rId31" Type="http://schemas.openxmlformats.org/officeDocument/2006/relationships/hyperlink" Target="http://unstats.un.org/unsd/environment/questionnair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nr/water/aquastat/data/query/index.html?lang=en" TargetMode="External"/><Relationship Id="rId22" Type="http://schemas.openxmlformats.org/officeDocument/2006/relationships/hyperlink" Target="http://eflows.iwmi.org" TargetMode="External"/><Relationship Id="rId27" Type="http://schemas.openxmlformats.org/officeDocument/2006/relationships/hyperlink" Target="http://www.fao.org/3/a-bc821e.pdf" TargetMode="External"/><Relationship Id="rId30" Type="http://schemas.openxmlformats.org/officeDocument/2006/relationships/hyperlink" Target="https://unstats.un.org/unsd/EconStatKB/KnowledgebaseArticle10209.aspx"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2E52367-DC52-4F7E-83B1-6D547DDA5987}"/>
      </w:docPartPr>
      <w:docPartBody>
        <w:p w:rsidR="002C0B32" w:rsidRDefault="00AD12FF">
          <w:r w:rsidRPr="00CD5D9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2FF"/>
    <w:rsid w:val="002C0B32"/>
    <w:rsid w:val="008A7C57"/>
    <w:rsid w:val="00A65780"/>
    <w:rsid w:val="00AD12FF"/>
    <w:rsid w:val="00E81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2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BD8722D7-0D19-4202-9C37-658D353AF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BE80AE-73FD-41F7-8450-0703876FD87A}">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4697</Words>
  <Characters>26778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cp:keywords/>
  <cp:lastModifiedBy>Kebebush Welkema</cp:lastModifiedBy>
  <cp:revision>5</cp:revision>
  <cp:lastPrinted>2016-07-16T23:25:00Z</cp:lastPrinted>
  <dcterms:created xsi:type="dcterms:W3CDTF">2024-05-29T15:34:00Z</dcterms:created>
  <dcterms:modified xsi:type="dcterms:W3CDTF">2024-07-25T21:45:00Z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