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C87131" w:rsidRDefault="006C4BFD" w:rsidP="006C4BFD">
      <w:pPr>
        <w:spacing w:after="0"/>
        <w:jc w:val="center"/>
        <w:rPr>
          <w:rFonts w:cstheme="minorHAnsi"/>
        </w:rPr>
      </w:pPr>
      <w:r w:rsidRPr="00C87131">
        <w:rPr>
          <w:rFonts w:eastAsia="Times New Roman" w:cstheme="minorHAnsi"/>
          <w:color w:val="1C75BC"/>
          <w:sz w:val="36"/>
          <w:szCs w:val="36"/>
          <w:lang w:eastAsia="en-GB"/>
        </w:rPr>
        <w:t>SDG indicator metadata</w:t>
      </w:r>
    </w:p>
    <w:p w14:paraId="129054E9" w14:textId="2E583254" w:rsidR="006C4BFD" w:rsidRPr="00C87131" w:rsidRDefault="002C2510" w:rsidP="006C4BFD">
      <w:pPr>
        <w:spacing w:after="0"/>
        <w:jc w:val="center"/>
        <w:rPr>
          <w:rFonts w:eastAsia="Times New Roman" w:cstheme="minorHAnsi"/>
          <w:b/>
          <w:bCs/>
          <w:color w:val="4A4A4A"/>
          <w:sz w:val="21"/>
          <w:szCs w:val="21"/>
          <w:lang w:eastAsia="en-GB"/>
        </w:rPr>
      </w:pPr>
      <w:r w:rsidRPr="00C87131">
        <w:rPr>
          <w:rFonts w:eastAsia="Times New Roman" w:cstheme="minorHAnsi"/>
          <w:b/>
          <w:bCs/>
          <w:color w:val="4A4A4A"/>
          <w:sz w:val="21"/>
          <w:szCs w:val="21"/>
          <w:lang w:eastAsia="en-GB"/>
        </w:rPr>
        <w:t>(Harmonized metadata template - format version 1.1)</w:t>
      </w:r>
    </w:p>
    <w:p w14:paraId="773F63CF" w14:textId="77777777" w:rsidR="006C4BFD" w:rsidRPr="00C87131" w:rsidRDefault="006C4BFD" w:rsidP="006C4BFD">
      <w:pPr>
        <w:spacing w:after="0"/>
        <w:rPr>
          <w:rFonts w:eastAsia="Times New Roman" w:cstheme="minorHAnsi"/>
          <w:b/>
          <w:bCs/>
          <w:color w:val="4A4A4A"/>
          <w:sz w:val="21"/>
          <w:szCs w:val="21"/>
          <w:lang w:eastAsia="en-GB"/>
        </w:rPr>
      </w:pPr>
    </w:p>
    <w:p w14:paraId="6AEAC6DA" w14:textId="6C7C2D3A" w:rsidR="00B31E2C" w:rsidRPr="00C87131" w:rsidRDefault="00B31E2C" w:rsidP="00EA05D3">
      <w:pPr>
        <w:pStyle w:val="MIndHeader2"/>
        <w:rPr>
          <w:rFonts w:cstheme="minorHAnsi"/>
        </w:rPr>
      </w:pPr>
      <w:r w:rsidRPr="00C87131">
        <w:rPr>
          <w:rFonts w:cstheme="minorHAnsi"/>
        </w:rPr>
        <w:t xml:space="preserve">0. Indicator information </w:t>
      </w:r>
      <w:r>
        <w:rPr>
          <w:color w:val="B4B4B4"/>
          <w:sz w:val="20"/>
        </w:rPr>
        <w:t>(SDG_INDICATOR_INFO)</w:t>
      </w:r>
    </w:p>
    <w:p w14:paraId="043ED752" w14:textId="28D7692E" w:rsidR="00D24330" w:rsidRPr="00C87131" w:rsidRDefault="00D24330" w:rsidP="00EA05D3">
      <w:pPr>
        <w:pStyle w:val="MIndHeader"/>
        <w:rPr>
          <w:rFonts w:cstheme="minorHAnsi"/>
        </w:rPr>
      </w:pPr>
      <w:r w:rsidRPr="00C87131">
        <w:rPr>
          <w:rFonts w:cstheme="minorHAnsi"/>
        </w:rPr>
        <w:t xml:space="preserve">0.a. Goal </w:t>
      </w:r>
      <w:r>
        <w:rPr>
          <w:color w:val="B4B4B4"/>
          <w:sz w:val="20"/>
        </w:rPr>
        <w:t>(SDG_GOAL)</w:t>
      </w:r>
    </w:p>
    <w:p w14:paraId="36853237" w14:textId="6B1DE247" w:rsidR="00171DA2" w:rsidRPr="00053B6C" w:rsidRDefault="00171DA2" w:rsidP="00D24330">
      <w:pPr>
        <w:pStyle w:val="MIndHeader"/>
        <w:rPr>
          <w:rFonts w:ascii="Calibri" w:hAnsi="Calibri"/>
          <w:sz w:val="21"/>
        </w:rPr>
      </w:pPr>
      <w:r w:rsidRPr="00053B6C">
        <w:rPr>
          <w:rFonts w:ascii="Calibri" w:hAnsi="Calibri"/>
          <w:color w:val="444444"/>
          <w:sz w:val="21"/>
        </w:rPr>
        <w:t>Goal 8: Promote sustained, inclusive and sustainable economic growth, full and productive employment and decent work for all</w:t>
      </w:r>
    </w:p>
    <w:p w14:paraId="084142D2" w14:textId="333FED73" w:rsidR="00D24330" w:rsidRPr="00C87131" w:rsidRDefault="00D24330" w:rsidP="00D24330">
      <w:pPr>
        <w:pStyle w:val="MIndHeader"/>
        <w:rPr>
          <w:rFonts w:cstheme="minorHAnsi"/>
        </w:rPr>
      </w:pPr>
      <w:r w:rsidRPr="00C87131">
        <w:rPr>
          <w:rFonts w:cstheme="minorHAnsi"/>
        </w:rPr>
        <w:t xml:space="preserve">0.b. Target </w:t>
      </w:r>
      <w:r>
        <w:rPr>
          <w:color w:val="B4B4B4"/>
          <w:sz w:val="20"/>
        </w:rPr>
        <w:t>(SDG_TARGET)</w:t>
      </w:r>
    </w:p>
    <w:p w14:paraId="3032E87B" w14:textId="747EB05B" w:rsidR="00171DA2" w:rsidRPr="00053B6C" w:rsidRDefault="00171DA2" w:rsidP="00D24330">
      <w:pPr>
        <w:pStyle w:val="MIndHeader"/>
        <w:rPr>
          <w:rFonts w:ascii="Calibri" w:hAnsi="Calibri"/>
          <w:sz w:val="21"/>
        </w:rPr>
      </w:pPr>
      <w:r w:rsidRPr="00053B6C">
        <w:rPr>
          <w:rFonts w:ascii="Calibri" w:hAnsi="Calibri"/>
          <w:color w:val="444444"/>
          <w:sz w:val="21"/>
        </w:rPr>
        <w:t>Target 8.8: Protect labour rights and promote safe and secure working environments for all workers, including migrant workers, in particular women migrants, and those in precarious employment</w:t>
      </w:r>
    </w:p>
    <w:p w14:paraId="3E67E7E0" w14:textId="3A3F79DD" w:rsidR="00D24330" w:rsidRPr="00C87131" w:rsidRDefault="00D24330" w:rsidP="00D24330">
      <w:pPr>
        <w:pStyle w:val="MIndHeader"/>
        <w:rPr>
          <w:rFonts w:cstheme="minorHAnsi"/>
        </w:rPr>
      </w:pPr>
      <w:r w:rsidRPr="00C87131">
        <w:rPr>
          <w:rFonts w:cstheme="minorHAnsi"/>
        </w:rPr>
        <w:t xml:space="preserve">0.c. Indicator </w:t>
      </w:r>
      <w:r>
        <w:rPr>
          <w:color w:val="B4B4B4"/>
          <w:sz w:val="20"/>
        </w:rPr>
        <w:t>(SDG_INDICATOR)</w:t>
      </w:r>
    </w:p>
    <w:p w14:paraId="4357C744" w14:textId="04D69FDA" w:rsidR="00A4061C" w:rsidRPr="00053B6C" w:rsidRDefault="00865A38" w:rsidP="00A4061C">
      <w:pPr>
        <w:pStyle w:val="MGTHeader"/>
        <w:rPr>
          <w:rFonts w:ascii="Calibri" w:hAnsi="Calibri"/>
        </w:rPr>
      </w:pPr>
      <w:r w:rsidRPr="00053B6C">
        <w:rPr>
          <w:rFonts w:ascii="Calibri" w:hAnsi="Calibri"/>
          <w:color w:val="444444"/>
        </w:rPr>
        <w:t xml:space="preserve">Indicator 8.8.1: </w:t>
      </w:r>
      <w:r w:rsidRPr="001E15C7">
        <w:t xml:space="preserve">Fatal and non-fatal occupational injuries per </w:t>
      </w:r>
      <w:r w:rsidRPr="00086A58">
        <w:t>100</w:t>
      </w:r>
      <w:r w:rsidR="001E6B4D" w:rsidRPr="00086A58">
        <w:t>,</w:t>
      </w:r>
      <w:r w:rsidR="018D9735" w:rsidRPr="134C9FAC">
        <w:rPr>
          <w:rFonts w:ascii="Calibri" w:eastAsia="Calibri" w:hAnsi="Calibri" w:cs="Calibri"/>
          <w:color w:val="444444"/>
        </w:rPr>
        <w:t>000</w:t>
      </w:r>
      <w:r w:rsidRPr="00086A58">
        <w:t xml:space="preserve"> workers</w:t>
      </w:r>
      <w:r w:rsidRPr="00053B6C">
        <w:rPr>
          <w:rFonts w:ascii="Calibri" w:hAnsi="Calibri"/>
          <w:color w:val="444444"/>
        </w:rPr>
        <w:t>, by sex and migrant status</w:t>
      </w:r>
    </w:p>
    <w:p w14:paraId="37E5E4F6" w14:textId="7C36233A" w:rsidR="00D24330" w:rsidRPr="00600B4E" w:rsidRDefault="00D24330" w:rsidP="00D24330">
      <w:pPr>
        <w:pStyle w:val="MIndHeader"/>
        <w:rPr>
          <w:lang w:val="en-US"/>
        </w:rPr>
      </w:pPr>
      <w:r w:rsidRPr="00600B4E">
        <w:rPr>
          <w:lang w:val="en-US"/>
        </w:rPr>
        <w:t xml:space="preserve">0.d. Series </w:t>
      </w:r>
      <w:r>
        <w:rPr>
          <w:color w:val="B4B4B4"/>
          <w:sz w:val="20"/>
        </w:rPr>
        <w:t>(SDG_SERIES_DESCR)</w:t>
      </w:r>
    </w:p>
    <w:p w14:paraId="0454ADF9" w14:textId="2EEFDF38" w:rsidR="00676E46" w:rsidRDefault="00676E46" w:rsidP="00676E46">
      <w:pPr>
        <w:pStyle w:val="MGTHeader"/>
      </w:pPr>
      <w:r>
        <w:t>SL_EMP_FTLINJUR - Fatal occupational injuries among employees (rate) [8.8.1]</w:t>
      </w:r>
    </w:p>
    <w:p w14:paraId="27EE81EE" w14:textId="6C34D707" w:rsidR="00E51621" w:rsidRDefault="00676E46" w:rsidP="00676E46">
      <w:pPr>
        <w:pStyle w:val="MGTHeader"/>
      </w:pPr>
      <w:r>
        <w:t>SL_EMP_INJUR - Non-fatal occupational injuries among employees (rate) [8.8.1]</w:t>
      </w:r>
    </w:p>
    <w:p w14:paraId="157DACE7" w14:textId="77777777" w:rsidR="00D24330" w:rsidRPr="00600B4E" w:rsidRDefault="00D24330" w:rsidP="00D24330">
      <w:pPr>
        <w:pStyle w:val="MIndHeader"/>
        <w:rPr>
          <w:lang w:val="en-US"/>
        </w:rPr>
      </w:pPr>
      <w:r w:rsidRPr="00600B4E">
        <w:rPr>
          <w:lang w:val="en-US"/>
        </w:rPr>
        <w:t xml:space="preserve">0.e. Metadata update </w:t>
      </w:r>
      <w:r>
        <w:rPr>
          <w:color w:val="B4B4B4"/>
          <w:sz w:val="20"/>
        </w:rPr>
        <w:t>(META_LAST_UPDATE)</w:t>
      </w:r>
    </w:p>
    <w:sdt>
      <w:sdtPr>
        <w:rPr>
          <w:lang w:val="en-US"/>
        </w:rPr>
        <w:id w:val="-1613659398"/>
        <w:placeholder>
          <w:docPart w:val="DefaultPlaceholder_-1854013437"/>
        </w:placeholder>
        <w:date w:fullDate="2025-03-28T00:00:00Z">
          <w:dateFormat w:val="yyyy-MM-dd"/>
          <w:lid w:val="en-US"/>
          <w:storeMappedDataAs w:val="dateTime"/>
          <w:calendar w:val="gregorian"/>
        </w:date>
      </w:sdtPr>
      <w:sdtEndPr/>
      <w:sdtContent>
        <w:p w14:paraId="03424B60" w14:textId="693AB9AE" w:rsidR="00D24330" w:rsidRPr="00600B4E" w:rsidRDefault="00556C35" w:rsidP="00D24330">
          <w:pPr>
            <w:pStyle w:val="MGTHeader"/>
            <w:rPr>
              <w:lang w:val="en-US"/>
            </w:rPr>
          </w:pPr>
          <w:r>
            <w:rPr>
              <w:lang w:val="en-US"/>
            </w:rPr>
            <w:t>2025-03-28</w:t>
          </w:r>
        </w:p>
      </w:sdtContent>
    </w:sdt>
    <w:p w14:paraId="415C9FF1" w14:textId="77777777" w:rsidR="00D24330" w:rsidRPr="00C87131" w:rsidRDefault="00D24330" w:rsidP="00D24330">
      <w:pPr>
        <w:pStyle w:val="MIndHeader"/>
        <w:rPr>
          <w:rFonts w:cstheme="minorHAnsi"/>
        </w:rPr>
      </w:pPr>
      <w:r w:rsidRPr="00C87131">
        <w:rPr>
          <w:rFonts w:cstheme="minorHAnsi"/>
        </w:rPr>
        <w:t xml:space="preserve">0.f. Related indicators </w:t>
      </w:r>
      <w:r>
        <w:rPr>
          <w:color w:val="B4B4B4"/>
          <w:sz w:val="20"/>
        </w:rPr>
        <w:t>(SDG_RELATED_INDICATORS)</w:t>
      </w:r>
    </w:p>
    <w:p w14:paraId="58CEC425" w14:textId="56DA4A31" w:rsidR="0048142E" w:rsidRPr="00C87131" w:rsidRDefault="00A27F7F" w:rsidP="00D24330">
      <w:pPr>
        <w:pStyle w:val="MIndHeader"/>
        <w:rPr>
          <w:rFonts w:cstheme="minorHAnsi"/>
          <w:color w:val="333333"/>
          <w:sz w:val="21"/>
          <w:szCs w:val="21"/>
        </w:rPr>
      </w:pPr>
      <w:r>
        <w:rPr>
          <w:rFonts w:cstheme="minorHAnsi"/>
          <w:color w:val="333333"/>
          <w:sz w:val="21"/>
          <w:szCs w:val="21"/>
        </w:rPr>
        <w:t>1.3.1</w:t>
      </w:r>
      <w:r w:rsidR="006A491C">
        <w:rPr>
          <w:rFonts w:cstheme="minorHAnsi"/>
          <w:color w:val="333333"/>
          <w:sz w:val="21"/>
          <w:szCs w:val="21"/>
        </w:rPr>
        <w:t>, 8.8.2</w:t>
      </w:r>
    </w:p>
    <w:p w14:paraId="077BC49E" w14:textId="01A2ACE0" w:rsidR="00D24330" w:rsidRPr="00C87131" w:rsidRDefault="00D24330" w:rsidP="00D24330">
      <w:pPr>
        <w:pStyle w:val="MIndHeader"/>
        <w:rPr>
          <w:rFonts w:cstheme="minorHAnsi"/>
        </w:rPr>
      </w:pPr>
      <w:r w:rsidRPr="00C87131">
        <w:rPr>
          <w:rFonts w:cstheme="minorHAnsi"/>
        </w:rPr>
        <w:t xml:space="preserve">0.g. International organisations(s) responsible for global monitoring </w:t>
      </w:r>
      <w:r>
        <w:rPr>
          <w:color w:val="B4B4B4"/>
          <w:sz w:val="20"/>
        </w:rPr>
        <w:t>(SDG_CUSTODIAN_AGENCIES)</w:t>
      </w:r>
    </w:p>
    <w:p w14:paraId="19F29921" w14:textId="09A1B71C" w:rsidR="008D1D39" w:rsidRPr="00C87131" w:rsidRDefault="001E6B4D" w:rsidP="0051190A">
      <w:pPr>
        <w:pStyle w:val="MGTHeader"/>
        <w:rPr>
          <w:rFonts w:cstheme="minorHAnsi"/>
        </w:rPr>
      </w:pPr>
      <w:r>
        <w:rPr>
          <w:rFonts w:cstheme="minorHAnsi"/>
        </w:rPr>
        <w:t>International Labour Organisation (</w:t>
      </w:r>
      <w:r w:rsidR="00171DA2" w:rsidRPr="00C87131">
        <w:rPr>
          <w:rFonts w:cstheme="minorHAnsi"/>
        </w:rPr>
        <w:t>ILO</w:t>
      </w:r>
      <w:r>
        <w:rPr>
          <w:rFonts w:cstheme="minorHAnsi"/>
        </w:rPr>
        <w:t>)</w:t>
      </w:r>
    </w:p>
    <w:p w14:paraId="67E85610" w14:textId="77777777" w:rsidR="0051190A" w:rsidRPr="00C87131" w:rsidRDefault="0051190A" w:rsidP="00573631">
      <w:pPr>
        <w:shd w:val="clear" w:color="auto" w:fill="FFFFFF"/>
        <w:spacing w:after="0"/>
        <w:rPr>
          <w:rFonts w:eastAsia="Times New Roman" w:cstheme="minorHAnsi"/>
          <w:color w:val="4A4A4A"/>
          <w:sz w:val="21"/>
          <w:szCs w:val="21"/>
          <w:lang w:eastAsia="en-GB"/>
        </w:rPr>
      </w:pPr>
    </w:p>
    <w:p w14:paraId="12E0D73A" w14:textId="48126E58" w:rsidR="00B31E2C" w:rsidRPr="00C87131" w:rsidRDefault="00B31E2C" w:rsidP="00EA05D3">
      <w:pPr>
        <w:pStyle w:val="MHeader"/>
        <w:rPr>
          <w:rFonts w:cstheme="minorHAnsi"/>
        </w:rPr>
      </w:pPr>
      <w:bookmarkStart w:id="0" w:name="_Toc37932744"/>
      <w:bookmarkStart w:id="1" w:name="_Toc36813072"/>
      <w:bookmarkStart w:id="2" w:name="_Toc36812685"/>
      <w:bookmarkStart w:id="3" w:name="_Toc36812572"/>
      <w:bookmarkStart w:id="4" w:name="_Toc36655609"/>
      <w:r w:rsidRPr="00C87131">
        <w:rPr>
          <w:rFonts w:cstheme="minorHAnsi"/>
        </w:rPr>
        <w:t xml:space="preserve">1. Data reporter </w:t>
      </w:r>
      <w:bookmarkEnd w:id="0"/>
      <w:bookmarkEnd w:id="1"/>
      <w:bookmarkEnd w:id="2"/>
      <w:bookmarkEnd w:id="3"/>
      <w:bookmarkEnd w:id="4"/>
      <w:r>
        <w:rPr>
          <w:color w:val="B4B4B4"/>
          <w:sz w:val="20"/>
        </w:rPr>
        <w:t>(CONTACT)</w:t>
      </w:r>
    </w:p>
    <w:p w14:paraId="0BD77982" w14:textId="72DFE854" w:rsidR="00576CFA" w:rsidRPr="00C87131" w:rsidRDefault="00576CFA" w:rsidP="00F719A8">
      <w:pPr>
        <w:pStyle w:val="MHeader2"/>
        <w:rPr>
          <w:rFonts w:cstheme="minorHAnsi"/>
        </w:rPr>
      </w:pPr>
      <w:r w:rsidRPr="00C87131">
        <w:rPr>
          <w:rFonts w:cstheme="minorHAnsi"/>
        </w:rPr>
        <w:t xml:space="preserve">1.a. Organisation </w:t>
      </w:r>
      <w:r>
        <w:rPr>
          <w:color w:val="B4B4B4"/>
          <w:sz w:val="20"/>
        </w:rPr>
        <w:t>(CONTACT_ORGANISATION)</w:t>
      </w:r>
    </w:p>
    <w:p w14:paraId="6E829FD0" w14:textId="20F79C45" w:rsidR="00F719A8" w:rsidRDefault="00731B37" w:rsidP="00576CFA">
      <w:pPr>
        <w:pStyle w:val="MText"/>
        <w:rPr>
          <w:rFonts w:cstheme="minorHAnsi"/>
        </w:rPr>
      </w:pPr>
      <w:r>
        <w:rPr>
          <w:rFonts w:cstheme="minorHAnsi"/>
        </w:rPr>
        <w:t>International Labour Organisation (</w:t>
      </w:r>
      <w:r w:rsidR="00171DA2" w:rsidRPr="00C87131">
        <w:rPr>
          <w:rFonts w:cstheme="minorHAnsi"/>
        </w:rPr>
        <w:t>ILO</w:t>
      </w:r>
      <w:r>
        <w:rPr>
          <w:rFonts w:cstheme="minorHAnsi"/>
        </w:rPr>
        <w:t>)</w:t>
      </w:r>
    </w:p>
    <w:p w14:paraId="0EF543B8" w14:textId="77777777" w:rsidR="00047697" w:rsidRPr="00C87131" w:rsidRDefault="00047697" w:rsidP="00576CFA">
      <w:pPr>
        <w:pStyle w:val="MText"/>
        <w:rPr>
          <w:rFonts w:cstheme="minorHAnsi"/>
        </w:rPr>
      </w:pPr>
    </w:p>
    <w:p w14:paraId="14915AC8" w14:textId="7D506133" w:rsidR="00B31E2C" w:rsidRPr="00C87131" w:rsidRDefault="00B31E2C" w:rsidP="008B0AC7">
      <w:pPr>
        <w:pStyle w:val="MHeader"/>
        <w:rPr>
          <w:rFonts w:cstheme="minorHAnsi"/>
        </w:rPr>
      </w:pPr>
      <w:r w:rsidRPr="00C87131">
        <w:rPr>
          <w:rFonts w:cstheme="minorHAnsi"/>
        </w:rPr>
        <w:t xml:space="preserve">2. Definition, concepts, and classifications </w:t>
      </w:r>
      <w:r>
        <w:rPr>
          <w:color w:val="B4B4B4"/>
          <w:sz w:val="20"/>
        </w:rPr>
        <w:t>(IND_DEF_CON_CLASS)</w:t>
      </w:r>
    </w:p>
    <w:p w14:paraId="2AC373EA" w14:textId="44236363" w:rsidR="008B0AC7" w:rsidRPr="00C87131" w:rsidRDefault="008B0AC7" w:rsidP="00F719A8">
      <w:pPr>
        <w:pStyle w:val="MHeader2"/>
        <w:rPr>
          <w:rFonts w:cstheme="minorHAnsi"/>
        </w:rPr>
      </w:pPr>
      <w:r w:rsidRPr="00C87131">
        <w:rPr>
          <w:rFonts w:cstheme="minorHAnsi"/>
        </w:rPr>
        <w:t xml:space="preserve">2.a. Definition and concepts </w:t>
      </w:r>
      <w:r>
        <w:rPr>
          <w:color w:val="B4B4B4"/>
          <w:sz w:val="20"/>
        </w:rPr>
        <w:t>(STAT_CONC_DEF)</w:t>
      </w:r>
    </w:p>
    <w:p w14:paraId="688F5BB4"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b/>
          <w:bCs/>
          <w:color w:val="4A4A4A"/>
          <w:sz w:val="21"/>
          <w:szCs w:val="21"/>
          <w:lang w:val="en-GB"/>
        </w:rPr>
        <w:t>Definition:</w:t>
      </w:r>
      <w:r w:rsidRPr="00C87131">
        <w:rPr>
          <w:rStyle w:val="eop"/>
          <w:rFonts w:asciiTheme="minorHAnsi" w:hAnsiTheme="minorHAnsi" w:cstheme="minorHAnsi"/>
          <w:color w:val="4A4A4A"/>
          <w:sz w:val="21"/>
          <w:szCs w:val="21"/>
        </w:rPr>
        <w:t> </w:t>
      </w:r>
    </w:p>
    <w:p w14:paraId="5EBDFFF0"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This indicator provides information on the number of fatal and non-fatal occupational injuries per 100,000 workers in the reference group during the reference period. It is a measure of the personal likelihood or risk of having a fatal or a non-fatal occupational injury for each worker in the reference group.</w:t>
      </w:r>
      <w:r w:rsidRPr="00C87131">
        <w:rPr>
          <w:rStyle w:val="eop"/>
          <w:rFonts w:asciiTheme="minorHAnsi" w:hAnsiTheme="minorHAnsi" w:cstheme="minorHAnsi"/>
          <w:color w:val="4A4A4A"/>
          <w:sz w:val="21"/>
          <w:szCs w:val="21"/>
        </w:rPr>
        <w:t> </w:t>
      </w:r>
    </w:p>
    <w:p w14:paraId="3A107FCA"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26034DEA" w14:textId="710DF243"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The number of occupational injuries expressed per a given number of workers in the reference group is also known as the incidence rate of occupational injuries</w:t>
      </w:r>
      <w:r w:rsidR="00EB20D6">
        <w:rPr>
          <w:rStyle w:val="normaltextrun"/>
          <w:rFonts w:asciiTheme="minorHAnsi" w:hAnsiTheme="minorHAnsi" w:cstheme="minorHAnsi"/>
          <w:color w:val="4A4A4A"/>
          <w:sz w:val="21"/>
          <w:szCs w:val="21"/>
          <w:lang w:val="en-GB"/>
        </w:rPr>
        <w:t>.</w:t>
      </w:r>
      <w:r w:rsidRPr="00C87131">
        <w:rPr>
          <w:rStyle w:val="eop"/>
          <w:rFonts w:asciiTheme="minorHAnsi" w:hAnsiTheme="minorHAnsi" w:cstheme="minorHAnsi"/>
          <w:color w:val="4A4A4A"/>
          <w:sz w:val="21"/>
          <w:szCs w:val="21"/>
        </w:rPr>
        <w:t> </w:t>
      </w:r>
    </w:p>
    <w:p w14:paraId="67D0C234" w14:textId="77777777" w:rsidR="00171DA2" w:rsidRPr="00C87131" w:rsidRDefault="00171DA2" w:rsidP="00171DA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3E458BCC"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b/>
          <w:bCs/>
          <w:color w:val="4A4A4A"/>
          <w:sz w:val="21"/>
          <w:szCs w:val="21"/>
          <w:lang w:val="en-GB"/>
        </w:rPr>
        <w:t>Concepts:</w:t>
      </w:r>
      <w:r w:rsidRPr="00C87131">
        <w:rPr>
          <w:rStyle w:val="eop"/>
          <w:rFonts w:asciiTheme="minorHAnsi" w:hAnsiTheme="minorHAnsi" w:cstheme="minorHAnsi"/>
          <w:color w:val="4A4A4A"/>
          <w:sz w:val="21"/>
          <w:szCs w:val="21"/>
        </w:rPr>
        <w:t> </w:t>
      </w:r>
    </w:p>
    <w:p w14:paraId="0D10E52F" w14:textId="7E254641"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lastRenderedPageBreak/>
        <w:t xml:space="preserve">Definitions of the main concepts presented below are derived from the Resolution concerning statistics of occupational injuries (resulting from occupational accidents), adopted by the 16th </w:t>
      </w:r>
      <w:r w:rsidR="006136F6">
        <w:rPr>
          <w:rStyle w:val="normaltextrun"/>
          <w:rFonts w:asciiTheme="minorHAnsi" w:hAnsiTheme="minorHAnsi" w:cstheme="minorHAnsi"/>
          <w:color w:val="4A4A4A"/>
          <w:sz w:val="21"/>
          <w:szCs w:val="21"/>
          <w:lang w:val="en-GB"/>
        </w:rPr>
        <w:t>International Conference of Labour Statisticians (</w:t>
      </w:r>
      <w:r w:rsidRPr="00C87131">
        <w:rPr>
          <w:rStyle w:val="normaltextrun"/>
          <w:rFonts w:asciiTheme="minorHAnsi" w:hAnsiTheme="minorHAnsi" w:cstheme="minorHAnsi"/>
          <w:color w:val="4A4A4A"/>
          <w:sz w:val="21"/>
          <w:szCs w:val="21"/>
          <w:lang w:val="en-GB"/>
        </w:rPr>
        <w:t>ICLS</w:t>
      </w:r>
      <w:r w:rsidR="006136F6">
        <w:rPr>
          <w:rStyle w:val="normaltextrun"/>
          <w:rFonts w:asciiTheme="minorHAnsi" w:hAnsiTheme="minorHAnsi" w:cstheme="minorHAnsi"/>
          <w:color w:val="4A4A4A"/>
          <w:sz w:val="21"/>
          <w:szCs w:val="21"/>
          <w:lang w:val="en-GB"/>
        </w:rPr>
        <w:t>)</w:t>
      </w:r>
      <w:r w:rsidRPr="00C87131">
        <w:rPr>
          <w:rStyle w:val="normaltextrun"/>
          <w:rFonts w:asciiTheme="minorHAnsi" w:hAnsiTheme="minorHAnsi" w:cstheme="minorHAnsi"/>
          <w:color w:val="4A4A4A"/>
          <w:sz w:val="21"/>
          <w:szCs w:val="21"/>
          <w:lang w:val="en-GB"/>
        </w:rPr>
        <w:t xml:space="preserve"> in 1998</w:t>
      </w:r>
      <w:r w:rsidRPr="00C87131">
        <w:rPr>
          <w:rStyle w:val="eop"/>
          <w:rFonts w:asciiTheme="minorHAnsi" w:hAnsiTheme="minorHAnsi" w:cstheme="minorHAnsi"/>
          <w:color w:val="4A4A4A"/>
          <w:sz w:val="21"/>
          <w:szCs w:val="21"/>
        </w:rPr>
        <w:t> </w:t>
      </w:r>
    </w:p>
    <w:p w14:paraId="5C34E7E8" w14:textId="150D71EA"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w:t>
      </w:r>
      <w:hyperlink r:id="rId11" w:history="1">
        <w:r w:rsidR="004B62F4" w:rsidRPr="003B57B3">
          <w:rPr>
            <w:rStyle w:val="Hyperlink"/>
            <w:rFonts w:asciiTheme="minorHAnsi" w:hAnsiTheme="minorHAnsi" w:cstheme="minorHAnsi"/>
            <w:sz w:val="21"/>
            <w:szCs w:val="21"/>
            <w:lang w:val="en-GB"/>
          </w:rPr>
          <w:t>https://www.ilo.org/global/statistics-and-databases/standards-and-guidelines/resolutions-adopted-by-international-conferences-of-labour-statisticians/WCMS_087528/lang--en/index.htm</w:t>
        </w:r>
      </w:hyperlink>
      <w:r w:rsidRPr="00C87131">
        <w:rPr>
          <w:rStyle w:val="normaltextrun"/>
          <w:rFonts w:asciiTheme="minorHAnsi" w:hAnsiTheme="minorHAnsi" w:cstheme="minorHAnsi"/>
          <w:color w:val="4A4A4A"/>
          <w:sz w:val="21"/>
          <w:szCs w:val="21"/>
          <w:lang w:val="en-GB"/>
        </w:rPr>
        <w:t>).</w:t>
      </w:r>
      <w:r w:rsidRPr="00C87131">
        <w:rPr>
          <w:rStyle w:val="eop"/>
          <w:rFonts w:asciiTheme="minorHAnsi" w:hAnsiTheme="minorHAnsi" w:cstheme="minorHAnsi"/>
          <w:color w:val="4A4A4A"/>
          <w:sz w:val="21"/>
          <w:szCs w:val="21"/>
        </w:rPr>
        <w:t> </w:t>
      </w:r>
    </w:p>
    <w:p w14:paraId="74B19315"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5B648ABB"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Occupational accident: an unexpected and unplanned occurrence, including acts of violence, arising out of or in connection with work which results in one or more workers incurring a personal injury, disease or death. Occupational accidents are to be considered travel, transport or road traffic accidents in which workers are injured and which arise out of or in the course of work; that is, while engaged in an economic activity, or at work, or carrying out the business of the employer.</w:t>
      </w:r>
      <w:r w:rsidRPr="00C87131">
        <w:rPr>
          <w:rStyle w:val="eop"/>
          <w:rFonts w:asciiTheme="minorHAnsi" w:hAnsiTheme="minorHAnsi" w:cstheme="minorHAnsi"/>
          <w:color w:val="4A4A4A"/>
          <w:sz w:val="21"/>
          <w:szCs w:val="21"/>
        </w:rPr>
        <w:t> </w:t>
      </w:r>
    </w:p>
    <w:p w14:paraId="3B2B1CBF"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7FFAAC0A" w14:textId="3FD7D169"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Occupational injury: any personal injury, disease or death resulting from an occupational accident. An occupational injury is different from an occupational disease, which comes as a result of an exposure over a period of time to risk factors linked to the work activity. Diseases are included only in cases where the disease arose as a direct result of an accident. An occupational injury can be fatal or non-fatal (and non-fatal injuries could entail the loss of workdays).</w:t>
      </w:r>
      <w:r w:rsidRPr="00C87131">
        <w:rPr>
          <w:rStyle w:val="eop"/>
          <w:rFonts w:asciiTheme="minorHAnsi" w:hAnsiTheme="minorHAnsi" w:cstheme="minorHAnsi"/>
          <w:color w:val="4A4A4A"/>
          <w:sz w:val="21"/>
          <w:szCs w:val="21"/>
        </w:rPr>
        <w:t> </w:t>
      </w:r>
    </w:p>
    <w:p w14:paraId="4EA707F9"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78E9BD89" w14:textId="558973D9"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 xml:space="preserve">Fatal occupational injury: an occupational injury leading to death within one year of the day of </w:t>
      </w:r>
      <w:r w:rsidR="004D4641">
        <w:rPr>
          <w:rStyle w:val="normaltextrun"/>
          <w:rFonts w:asciiTheme="minorHAnsi" w:hAnsiTheme="minorHAnsi" w:cstheme="minorHAnsi"/>
          <w:color w:val="4A4A4A"/>
          <w:sz w:val="21"/>
          <w:szCs w:val="21"/>
          <w:lang w:val="en-GB"/>
        </w:rPr>
        <w:t xml:space="preserve">the </w:t>
      </w:r>
      <w:r w:rsidRPr="00C87131">
        <w:rPr>
          <w:rStyle w:val="normaltextrun"/>
          <w:rFonts w:asciiTheme="minorHAnsi" w:hAnsiTheme="minorHAnsi" w:cstheme="minorHAnsi"/>
          <w:color w:val="4A4A4A"/>
          <w:sz w:val="21"/>
          <w:szCs w:val="21"/>
          <w:lang w:val="en-GB"/>
        </w:rPr>
        <w:t>occupational accident.</w:t>
      </w:r>
      <w:r w:rsidRPr="00C87131">
        <w:rPr>
          <w:rStyle w:val="eop"/>
          <w:rFonts w:asciiTheme="minorHAnsi" w:hAnsiTheme="minorHAnsi" w:cstheme="minorHAnsi"/>
          <w:color w:val="4A4A4A"/>
          <w:sz w:val="21"/>
          <w:szCs w:val="21"/>
        </w:rPr>
        <w:t> </w:t>
      </w:r>
    </w:p>
    <w:p w14:paraId="3A19280E"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72228184"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Case of occupational injury: the case of one worker incurring one or more occupational injuries as a result of one occupational accident. </w:t>
      </w:r>
      <w:r w:rsidRPr="00C87131">
        <w:rPr>
          <w:rStyle w:val="eop"/>
          <w:rFonts w:asciiTheme="minorHAnsi" w:hAnsiTheme="minorHAnsi" w:cstheme="minorHAnsi"/>
          <w:color w:val="4A4A4A"/>
          <w:sz w:val="21"/>
          <w:szCs w:val="21"/>
        </w:rPr>
        <w:t> </w:t>
      </w:r>
    </w:p>
    <w:p w14:paraId="30CF9C64"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27AF707C"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Workers in the reference group: workers in the reference group refer to the average number of workers in the particular group under consideration and who are covered by the source of the statistics on occupational injuries (for example, those of a specific sex or in a specific economic activity, occupation, region, age group, or any combination of these, or those covered by a particular insurance scheme, accident notification systems, or household or establishment survey).</w:t>
      </w:r>
      <w:r w:rsidRPr="00C87131">
        <w:rPr>
          <w:rStyle w:val="eop"/>
          <w:rFonts w:asciiTheme="minorHAnsi" w:hAnsiTheme="minorHAnsi" w:cstheme="minorHAnsi"/>
          <w:color w:val="4A4A4A"/>
          <w:sz w:val="21"/>
          <w:szCs w:val="21"/>
        </w:rPr>
        <w:t> </w:t>
      </w:r>
    </w:p>
    <w:p w14:paraId="6E54D3D6" w14:textId="77777777" w:rsidR="00EC2915" w:rsidRPr="00C87131" w:rsidRDefault="00EC2915" w:rsidP="00576CFA">
      <w:pPr>
        <w:pStyle w:val="MText"/>
        <w:rPr>
          <w:rFonts w:cstheme="minorHAnsi"/>
        </w:rPr>
      </w:pPr>
    </w:p>
    <w:p w14:paraId="7932F8BD" w14:textId="3869C451" w:rsidR="008B0AC7" w:rsidRPr="00C87131" w:rsidRDefault="00576CFA" w:rsidP="00F719A8">
      <w:pPr>
        <w:pStyle w:val="MHeader2"/>
        <w:rPr>
          <w:rFonts w:cstheme="minorHAnsi"/>
        </w:rPr>
      </w:pPr>
      <w:r w:rsidRPr="00C87131">
        <w:rPr>
          <w:rFonts w:cstheme="minorHAnsi"/>
        </w:rPr>
        <w:t xml:space="preserve">2.b. Unit of measure </w:t>
      </w:r>
      <w:r>
        <w:rPr>
          <w:color w:val="B4B4B4"/>
          <w:sz w:val="20"/>
        </w:rPr>
        <w:t>(UNIT_MEASURE)</w:t>
      </w:r>
    </w:p>
    <w:p w14:paraId="1CAE3771" w14:textId="1C929ED8" w:rsidR="00576CFA" w:rsidRPr="00C87131" w:rsidRDefault="009559E9" w:rsidP="00576CFA">
      <w:pPr>
        <w:pStyle w:val="MText"/>
        <w:rPr>
          <w:rFonts w:cstheme="minorHAnsi"/>
        </w:rPr>
      </w:pPr>
      <w:r>
        <w:rPr>
          <w:rFonts w:cstheme="minorHAnsi"/>
        </w:rPr>
        <w:t>Ratio of cases per 100</w:t>
      </w:r>
      <w:r w:rsidR="006136F6">
        <w:rPr>
          <w:rFonts w:cstheme="minorHAnsi"/>
        </w:rPr>
        <w:t>,</w:t>
      </w:r>
      <w:r>
        <w:rPr>
          <w:rFonts w:cstheme="minorHAnsi"/>
        </w:rPr>
        <w:t>000 workers</w:t>
      </w:r>
    </w:p>
    <w:p w14:paraId="548E9AAA" w14:textId="77777777" w:rsidR="00EC2915" w:rsidRPr="00C87131" w:rsidRDefault="00EC2915" w:rsidP="00576CFA">
      <w:pPr>
        <w:pStyle w:val="MText"/>
        <w:rPr>
          <w:rFonts w:cstheme="minorHAnsi"/>
        </w:rPr>
      </w:pPr>
    </w:p>
    <w:p w14:paraId="651AA7AC" w14:textId="5144B8C4" w:rsidR="00DA615C" w:rsidRPr="00C87131" w:rsidRDefault="008B0AC7" w:rsidP="00F719A8">
      <w:pPr>
        <w:pStyle w:val="MHeader2"/>
        <w:rPr>
          <w:rFonts w:cstheme="minorHAnsi"/>
        </w:rPr>
      </w:pPr>
      <w:r w:rsidRPr="00C87131">
        <w:rPr>
          <w:rFonts w:cstheme="minorHAnsi"/>
        </w:rPr>
        <w:t xml:space="preserve">2.c. Classifications </w:t>
      </w:r>
      <w:r>
        <w:rPr>
          <w:color w:val="B4B4B4"/>
          <w:sz w:val="20"/>
        </w:rPr>
        <w:t>(CLASS_SYSTEM)</w:t>
      </w:r>
    </w:p>
    <w:p w14:paraId="6291A7DD" w14:textId="4D3162E2" w:rsidR="00576CFA" w:rsidRPr="00C87131" w:rsidRDefault="009559E9" w:rsidP="00576CFA">
      <w:pPr>
        <w:pStyle w:val="MText"/>
        <w:rPr>
          <w:rFonts w:cstheme="minorHAnsi"/>
        </w:rPr>
      </w:pPr>
      <w:r>
        <w:rPr>
          <w:rFonts w:cstheme="minorHAnsi"/>
        </w:rPr>
        <w:t xml:space="preserve">Migrant status is determined according to country of birth (native-born or foreign-born) or country of citizenship (citizen or non-citizen). </w:t>
      </w:r>
    </w:p>
    <w:p w14:paraId="123172F4" w14:textId="77777777" w:rsidR="00F719A8" w:rsidRPr="00C87131" w:rsidRDefault="00F719A8" w:rsidP="00576CFA">
      <w:pPr>
        <w:pStyle w:val="MText"/>
        <w:rPr>
          <w:rFonts w:cstheme="minorHAnsi"/>
        </w:rPr>
      </w:pPr>
    </w:p>
    <w:p w14:paraId="1D3AEECA" w14:textId="4C5EC949" w:rsidR="00B31E2C" w:rsidRPr="00C87131" w:rsidRDefault="00B31E2C" w:rsidP="00F719A8">
      <w:pPr>
        <w:pStyle w:val="MHeader"/>
        <w:rPr>
          <w:rFonts w:cstheme="minorHAnsi"/>
        </w:rPr>
      </w:pPr>
      <w:r w:rsidRPr="00C87131">
        <w:rPr>
          <w:rFonts w:cstheme="minorHAnsi"/>
        </w:rPr>
        <w:t xml:space="preserve">3. Data source type and data collection method </w:t>
      </w:r>
      <w:r>
        <w:rPr>
          <w:color w:val="B4B4B4"/>
          <w:sz w:val="20"/>
        </w:rPr>
        <w:t>(SRC_TYPE_COLL_METHOD)</w:t>
      </w:r>
    </w:p>
    <w:p w14:paraId="340B050E" w14:textId="31C09E5F" w:rsidR="008B0AC7" w:rsidRPr="00C87131" w:rsidRDefault="008B0AC7" w:rsidP="00F719A8">
      <w:pPr>
        <w:pStyle w:val="MHeader2"/>
        <w:rPr>
          <w:rFonts w:cstheme="minorHAnsi"/>
        </w:rPr>
      </w:pPr>
      <w:r w:rsidRPr="00C87131">
        <w:rPr>
          <w:rFonts w:cstheme="minorHAnsi"/>
        </w:rPr>
        <w:t xml:space="preserve">3.a. Data sources </w:t>
      </w:r>
      <w:r>
        <w:rPr>
          <w:color w:val="B4B4B4"/>
          <w:sz w:val="20"/>
        </w:rPr>
        <w:t>(SOURCE_TYPE)</w:t>
      </w:r>
    </w:p>
    <w:p w14:paraId="299155FB" w14:textId="789D9342" w:rsidR="0048142E" w:rsidRDefault="0048142E" w:rsidP="001E15C7">
      <w:pPr>
        <w:shd w:val="clear" w:color="auto" w:fill="FFFFFF"/>
        <w:spacing w:after="0"/>
        <w:textAlignment w:val="baseline"/>
        <w:rPr>
          <w:rFonts w:eastAsia="Times New Roman" w:cstheme="minorHAnsi"/>
          <w:color w:val="4A4A4A"/>
          <w:sz w:val="21"/>
          <w:szCs w:val="21"/>
          <w:lang w:val="en-US" w:eastAsia="en-US"/>
        </w:rPr>
      </w:pPr>
      <w:r w:rsidRPr="00C87131">
        <w:rPr>
          <w:rFonts w:eastAsia="Times New Roman" w:cstheme="minorHAnsi"/>
          <w:color w:val="4A4A4A"/>
          <w:sz w:val="21"/>
          <w:szCs w:val="21"/>
          <w:lang w:eastAsia="en-US"/>
        </w:rPr>
        <w:t>The recommended data sources are different types of administrative records, such as records of national systems for the notification of occupational injuries (labour inspection records and annual reports; insurance and compensation records, death registers), supplemented by household surveys (especially in order to cover informal sector enterprises and the self-employed) and/or establishment surveys.</w:t>
      </w:r>
      <w:r w:rsidRPr="00C87131">
        <w:rPr>
          <w:rFonts w:eastAsia="Times New Roman" w:cstheme="minorHAnsi"/>
          <w:color w:val="4A4A4A"/>
          <w:sz w:val="21"/>
          <w:szCs w:val="21"/>
          <w:lang w:val="en-US" w:eastAsia="en-US"/>
        </w:rPr>
        <w:t> </w:t>
      </w:r>
    </w:p>
    <w:p w14:paraId="50274C61" w14:textId="77777777" w:rsidR="00A27F7F" w:rsidRPr="00C87131" w:rsidRDefault="00A27F7F" w:rsidP="001E15C7">
      <w:pPr>
        <w:shd w:val="clear" w:color="auto" w:fill="FFFFFF"/>
        <w:spacing w:after="0"/>
        <w:textAlignment w:val="baseline"/>
        <w:rPr>
          <w:rFonts w:eastAsia="Times New Roman" w:cstheme="minorHAnsi"/>
          <w:sz w:val="18"/>
          <w:szCs w:val="18"/>
          <w:lang w:val="en-US" w:eastAsia="en-US"/>
        </w:rPr>
      </w:pPr>
    </w:p>
    <w:p w14:paraId="479C3841" w14:textId="77777777" w:rsidR="0048142E" w:rsidRPr="00C87131" w:rsidRDefault="0048142E" w:rsidP="001E15C7">
      <w:pPr>
        <w:shd w:val="clear" w:color="auto" w:fill="FFFFFF"/>
        <w:spacing w:after="0"/>
        <w:textAlignment w:val="baseline"/>
        <w:rPr>
          <w:rFonts w:eastAsia="Times New Roman" w:cstheme="minorHAnsi"/>
          <w:sz w:val="18"/>
          <w:szCs w:val="18"/>
          <w:lang w:val="en-US" w:eastAsia="en-US"/>
        </w:rPr>
      </w:pPr>
      <w:r w:rsidRPr="00C87131">
        <w:rPr>
          <w:rFonts w:eastAsia="Times New Roman" w:cstheme="minorHAnsi"/>
          <w:color w:val="4A4A4A"/>
          <w:sz w:val="21"/>
          <w:szCs w:val="21"/>
          <w:lang w:eastAsia="en-US"/>
        </w:rPr>
        <w:t>The metadata should clearly specify (i) whether the statistics relate to cases of occupational injury which have been reported (to an accident notification system or to an accident compensation scheme), compensated (by an accident insurance scheme) or identified in some other way (for example through a survey of households or establishments) and (ii) whether cases of occupational disease and cases of injury due to commuting accidents are excluded from the statistics, as recommended.</w:t>
      </w:r>
      <w:r w:rsidRPr="00C87131">
        <w:rPr>
          <w:rFonts w:eastAsia="Times New Roman" w:cstheme="minorHAnsi"/>
          <w:color w:val="4A4A4A"/>
          <w:sz w:val="21"/>
          <w:szCs w:val="21"/>
          <w:lang w:val="en-US" w:eastAsia="en-US"/>
        </w:rPr>
        <w:t> </w:t>
      </w:r>
    </w:p>
    <w:p w14:paraId="3018A8D8" w14:textId="77777777" w:rsidR="00EC2915" w:rsidRPr="00C87131" w:rsidRDefault="00EC2915" w:rsidP="00576CFA">
      <w:pPr>
        <w:pStyle w:val="MText"/>
        <w:rPr>
          <w:rFonts w:cstheme="minorHAnsi"/>
        </w:rPr>
      </w:pPr>
    </w:p>
    <w:p w14:paraId="79368080" w14:textId="32CB9C2E" w:rsidR="008B0AC7" w:rsidRPr="00C87131" w:rsidRDefault="00576CFA" w:rsidP="00F719A8">
      <w:pPr>
        <w:pStyle w:val="MHeader2"/>
        <w:rPr>
          <w:rFonts w:cstheme="minorHAnsi"/>
        </w:rPr>
      </w:pPr>
      <w:r w:rsidRPr="00C87131">
        <w:rPr>
          <w:rFonts w:cstheme="minorHAnsi"/>
        </w:rPr>
        <w:t xml:space="preserve">3.b. Data collection method </w:t>
      </w:r>
      <w:r>
        <w:rPr>
          <w:color w:val="B4B4B4"/>
          <w:sz w:val="20"/>
        </w:rPr>
        <w:t>(COLL_METHOD)</w:t>
      </w:r>
    </w:p>
    <w:p w14:paraId="5823FBC8" w14:textId="20E9AB9C" w:rsidR="00576CFA" w:rsidRPr="00C87131" w:rsidRDefault="009559E9" w:rsidP="00576CFA">
      <w:pPr>
        <w:pStyle w:val="MText"/>
        <w:rPr>
          <w:rFonts w:cstheme="minorHAnsi"/>
        </w:rPr>
      </w:pPr>
      <w:r w:rsidRPr="009559E9">
        <w:rPr>
          <w:rStyle w:val="normaltextrun"/>
          <w:rFonts w:cstheme="minorHAnsi"/>
        </w:rPr>
        <w:t>The ILO Department of Statistics processes national household survey microdata</w:t>
      </w:r>
      <w:r w:rsidR="00770E98">
        <w:rPr>
          <w:rStyle w:val="normaltextrun"/>
          <w:rFonts w:cstheme="minorHAnsi"/>
        </w:rPr>
        <w:t xml:space="preserve"> </w:t>
      </w:r>
      <w:r w:rsidRPr="009559E9">
        <w:rPr>
          <w:rStyle w:val="normaltextrun"/>
          <w:rFonts w:cstheme="minorHAnsi"/>
        </w:rPr>
        <w:t>sets in line with internationally</w:t>
      </w:r>
      <w:r w:rsidR="00E63B09">
        <w:rPr>
          <w:rStyle w:val="normaltextrun"/>
          <w:rFonts w:cstheme="minorHAnsi"/>
        </w:rPr>
        <w:t xml:space="preserve"> </w:t>
      </w:r>
      <w:r w:rsidRPr="009559E9">
        <w:rPr>
          <w:rStyle w:val="normaltextrun"/>
          <w:rFonts w:cstheme="minorHAnsi"/>
        </w:rPr>
        <w:t>agreed indicator concepts and definitions set forth by the International Conference of Labour Statisticians. For data that could not be obtained through this processing or directly from government websites, the ILO sends out an annual ILOSTAT questionnaire to all relevant agencies within each country (national statistical office, labour ministry, etc.) requesting the latest annual data and any revisions on numerous labour market topics and indicators, including many SDG indicators.</w:t>
      </w:r>
      <w:r w:rsidR="00576CFA" w:rsidRPr="00C87131">
        <w:rPr>
          <w:rFonts w:cstheme="minorHAnsi"/>
        </w:rPr>
        <w:tab/>
      </w:r>
    </w:p>
    <w:p w14:paraId="7D9F065F" w14:textId="77777777" w:rsidR="00EC2915" w:rsidRPr="00C87131" w:rsidRDefault="00EC2915" w:rsidP="00576CFA">
      <w:pPr>
        <w:pStyle w:val="MText"/>
        <w:rPr>
          <w:rFonts w:cstheme="minorHAnsi"/>
        </w:rPr>
      </w:pPr>
    </w:p>
    <w:p w14:paraId="170A2C05" w14:textId="34873ECA" w:rsidR="00E46D96" w:rsidRPr="00C87131" w:rsidRDefault="00E46D96" w:rsidP="00F719A8">
      <w:pPr>
        <w:pStyle w:val="MHeader2"/>
        <w:rPr>
          <w:rFonts w:cstheme="minorHAnsi"/>
        </w:rPr>
      </w:pPr>
      <w:r w:rsidRPr="00C87131">
        <w:rPr>
          <w:rFonts w:cstheme="minorHAnsi"/>
        </w:rPr>
        <w:t xml:space="preserve">3.c. Data collection calendar </w:t>
      </w:r>
      <w:r>
        <w:rPr>
          <w:color w:val="B4B4B4"/>
          <w:sz w:val="20"/>
        </w:rPr>
        <w:t>(FREQ_COLL)</w:t>
      </w:r>
    </w:p>
    <w:p w14:paraId="01BA862E" w14:textId="47EF6C52" w:rsidR="00EC2915" w:rsidRDefault="009559E9" w:rsidP="00576CFA">
      <w:pPr>
        <w:pStyle w:val="MText"/>
        <w:rPr>
          <w:rStyle w:val="normaltextrun"/>
          <w:rFonts w:cstheme="minorHAnsi"/>
        </w:rPr>
      </w:pPr>
      <w:r>
        <w:rPr>
          <w:rStyle w:val="normaltextrun"/>
          <w:rFonts w:cstheme="minorHAnsi"/>
        </w:rPr>
        <w:t>Continuous</w:t>
      </w:r>
    </w:p>
    <w:p w14:paraId="251C6B21" w14:textId="77777777" w:rsidR="009559E9" w:rsidRPr="00C87131" w:rsidRDefault="009559E9" w:rsidP="00576CFA">
      <w:pPr>
        <w:pStyle w:val="MText"/>
        <w:rPr>
          <w:rFonts w:cstheme="minorHAnsi"/>
        </w:rPr>
      </w:pPr>
    </w:p>
    <w:p w14:paraId="7D466604" w14:textId="674844F0" w:rsidR="00E46D96" w:rsidRPr="00C87131" w:rsidRDefault="00E46D96" w:rsidP="00F719A8">
      <w:pPr>
        <w:pStyle w:val="MHeader2"/>
        <w:rPr>
          <w:rFonts w:cstheme="minorHAnsi"/>
        </w:rPr>
      </w:pPr>
      <w:r w:rsidRPr="00C87131">
        <w:rPr>
          <w:rFonts w:cstheme="minorHAnsi"/>
        </w:rPr>
        <w:t xml:space="preserve">3.d. Data release calendar </w:t>
      </w:r>
      <w:r>
        <w:rPr>
          <w:color w:val="B4B4B4"/>
          <w:sz w:val="20"/>
        </w:rPr>
        <w:t>(REL_CAL_POLICY)</w:t>
      </w:r>
    </w:p>
    <w:p w14:paraId="64C749BD" w14:textId="7EB5063A" w:rsidR="00EC2915" w:rsidRDefault="009559E9" w:rsidP="00576CFA">
      <w:pPr>
        <w:pStyle w:val="MText"/>
        <w:rPr>
          <w:rStyle w:val="normaltextrun"/>
          <w:rFonts w:cstheme="minorHAnsi"/>
        </w:rPr>
      </w:pPr>
      <w:r>
        <w:rPr>
          <w:rStyle w:val="normaltextrun"/>
          <w:rFonts w:cstheme="minorHAnsi"/>
        </w:rPr>
        <w:t>Continuous</w:t>
      </w:r>
    </w:p>
    <w:p w14:paraId="0AF5BB23" w14:textId="77777777" w:rsidR="009559E9" w:rsidRPr="00C87131" w:rsidRDefault="009559E9" w:rsidP="00576CFA">
      <w:pPr>
        <w:pStyle w:val="MText"/>
        <w:rPr>
          <w:rFonts w:cstheme="minorHAnsi"/>
        </w:rPr>
      </w:pPr>
    </w:p>
    <w:p w14:paraId="3A4F3065" w14:textId="3AD52F9D" w:rsidR="00E46D96" w:rsidRPr="00C87131" w:rsidRDefault="00E46D96" w:rsidP="00F719A8">
      <w:pPr>
        <w:pStyle w:val="MHeader2"/>
        <w:rPr>
          <w:rFonts w:cstheme="minorHAnsi"/>
        </w:rPr>
      </w:pPr>
      <w:r w:rsidRPr="00C87131">
        <w:rPr>
          <w:rFonts w:cstheme="minorHAnsi"/>
        </w:rPr>
        <w:t xml:space="preserve">3.e. Data providers </w:t>
      </w:r>
      <w:r>
        <w:rPr>
          <w:color w:val="B4B4B4"/>
          <w:sz w:val="20"/>
        </w:rPr>
        <w:t>(DATA_SOURCE)</w:t>
      </w:r>
    </w:p>
    <w:p w14:paraId="50A66E64" w14:textId="7F6F12F3" w:rsidR="00EC2915" w:rsidRPr="00C87131" w:rsidRDefault="0048142E" w:rsidP="00576CFA">
      <w:pPr>
        <w:pStyle w:val="MText"/>
        <w:rPr>
          <w:rStyle w:val="eop"/>
          <w:rFonts w:cstheme="minorHAnsi"/>
        </w:rPr>
      </w:pPr>
      <w:r w:rsidRPr="00C87131">
        <w:rPr>
          <w:rStyle w:val="normaltextrun"/>
          <w:rFonts w:cstheme="minorHAnsi"/>
        </w:rPr>
        <w:t>Labour ministries, labour inspection, national insurance, and/or national statistical offices</w:t>
      </w:r>
      <w:r w:rsidRPr="00C87131">
        <w:rPr>
          <w:rStyle w:val="eop"/>
          <w:rFonts w:cstheme="minorHAnsi"/>
        </w:rPr>
        <w:t> </w:t>
      </w:r>
    </w:p>
    <w:p w14:paraId="6336F441" w14:textId="77777777" w:rsidR="0048142E" w:rsidRPr="00C87131" w:rsidRDefault="0048142E" w:rsidP="00576CFA">
      <w:pPr>
        <w:pStyle w:val="MText"/>
        <w:rPr>
          <w:rFonts w:cstheme="minorHAnsi"/>
        </w:rPr>
      </w:pPr>
    </w:p>
    <w:p w14:paraId="30DC8E05" w14:textId="484D6EC2" w:rsidR="00E46D96" w:rsidRPr="00C87131" w:rsidRDefault="00E46D96" w:rsidP="00F719A8">
      <w:pPr>
        <w:pStyle w:val="MHeader2"/>
        <w:rPr>
          <w:rFonts w:cstheme="minorHAnsi"/>
        </w:rPr>
      </w:pPr>
      <w:r w:rsidRPr="00C87131">
        <w:rPr>
          <w:rFonts w:cstheme="minorHAnsi"/>
        </w:rPr>
        <w:t xml:space="preserve">3.f. Data compilers </w:t>
      </w:r>
      <w:r>
        <w:rPr>
          <w:color w:val="B4B4B4"/>
          <w:sz w:val="20"/>
        </w:rPr>
        <w:t>(COMPILING_ORG)</w:t>
      </w:r>
    </w:p>
    <w:p w14:paraId="5C43435B" w14:textId="5D5D744D" w:rsidR="00EC2915" w:rsidRPr="00272A1D" w:rsidRDefault="00142D34" w:rsidP="00576CFA">
      <w:pPr>
        <w:pStyle w:val="MText"/>
        <w:rPr>
          <w:rStyle w:val="eop"/>
          <w:rFonts w:cstheme="minorHAnsi"/>
          <w:lang w:val="fr-FR"/>
        </w:rPr>
      </w:pPr>
      <w:r w:rsidRPr="00272A1D">
        <w:rPr>
          <w:rFonts w:cstheme="minorHAnsi"/>
          <w:lang w:val="fr-FR"/>
        </w:rPr>
        <w:t>International Labour Organisation (</w:t>
      </w:r>
      <w:r w:rsidR="0048142E" w:rsidRPr="00272A1D">
        <w:rPr>
          <w:rStyle w:val="normaltextrun"/>
          <w:rFonts w:cstheme="minorHAnsi"/>
          <w:lang w:val="fr-FR"/>
        </w:rPr>
        <w:t>ILO</w:t>
      </w:r>
      <w:r w:rsidRPr="00272A1D">
        <w:rPr>
          <w:rStyle w:val="normaltextrun"/>
          <w:rFonts w:cstheme="minorHAnsi"/>
          <w:lang w:val="fr-FR"/>
        </w:rPr>
        <w:t>)</w:t>
      </w:r>
      <w:r w:rsidR="0048142E" w:rsidRPr="00272A1D">
        <w:rPr>
          <w:rStyle w:val="eop"/>
          <w:rFonts w:cstheme="minorHAnsi"/>
          <w:lang w:val="fr-FR"/>
        </w:rPr>
        <w:t> </w:t>
      </w:r>
    </w:p>
    <w:p w14:paraId="79623BA1" w14:textId="77777777" w:rsidR="0048142E" w:rsidRPr="00272A1D" w:rsidRDefault="0048142E" w:rsidP="00576CFA">
      <w:pPr>
        <w:pStyle w:val="MText"/>
        <w:rPr>
          <w:rFonts w:cstheme="minorHAnsi"/>
          <w:lang w:val="fr-FR"/>
        </w:rPr>
      </w:pPr>
    </w:p>
    <w:p w14:paraId="5655E768" w14:textId="5429F32E" w:rsidR="00E46D96" w:rsidRPr="00272A1D" w:rsidRDefault="00E46D96" w:rsidP="00F719A8">
      <w:pPr>
        <w:pStyle w:val="MHeader2"/>
        <w:rPr>
          <w:rFonts w:cstheme="minorHAnsi"/>
          <w:lang w:val="fr-FR"/>
        </w:rPr>
      </w:pPr>
      <w:r w:rsidRPr="00272A1D">
        <w:rPr>
          <w:rFonts w:cstheme="minorHAnsi"/>
          <w:lang w:val="fr-FR"/>
        </w:rPr>
        <w:t xml:space="preserve">3.g. </w:t>
      </w:r>
      <w:proofErr w:type="spellStart"/>
      <w:r w:rsidRPr="00272A1D">
        <w:rPr>
          <w:rFonts w:cstheme="minorHAnsi"/>
          <w:lang w:val="fr-FR"/>
        </w:rPr>
        <w:t>Institutional</w:t>
      </w:r>
      <w:proofErr w:type="spellEnd"/>
      <w:r w:rsidRPr="00272A1D">
        <w:rPr>
          <w:rFonts w:cstheme="minorHAnsi"/>
          <w:lang w:val="fr-FR"/>
        </w:rPr>
        <w:t xml:space="preserve"> mandate </w:t>
      </w:r>
      <w:r w:rsidRPr="00272A1D">
        <w:rPr>
          <w:color w:val="B4B4B4"/>
          <w:sz w:val="20"/>
          <w:lang w:val="fr-FR"/>
        </w:rPr>
        <w:t>(INST_MANDATE)</w:t>
      </w:r>
    </w:p>
    <w:p w14:paraId="7D007C3C" w14:textId="4695AD85" w:rsidR="00EC2915" w:rsidRPr="00C87131" w:rsidRDefault="009559E9" w:rsidP="00576CFA">
      <w:pPr>
        <w:pStyle w:val="MText"/>
        <w:rPr>
          <w:rFonts w:cstheme="minorHAnsi"/>
        </w:rPr>
      </w:pPr>
      <w:r>
        <w:t xml:space="preserve">The ILO is the UN focal point for labour statistics. It sets </w:t>
      </w:r>
      <w:r w:rsidRPr="001F5661">
        <w:t>international standards for labour statistics through the International Conference of Labour Statisticians</w:t>
      </w:r>
      <w:r>
        <w:t xml:space="preserve">. It also </w:t>
      </w:r>
      <w:r w:rsidRPr="001F5661">
        <w:t>compile</w:t>
      </w:r>
      <w:r>
        <w:t>s</w:t>
      </w:r>
      <w:r w:rsidRPr="001F5661">
        <w:t xml:space="preserve"> and produce</w:t>
      </w:r>
      <w:r>
        <w:t xml:space="preserve">s labour statistics </w:t>
      </w:r>
      <w:r w:rsidRPr="001F5661">
        <w:t>with the goal of disseminating internationally</w:t>
      </w:r>
      <w:r w:rsidR="00E63B09">
        <w:t xml:space="preserve"> </w:t>
      </w:r>
      <w:r w:rsidRPr="001F5661">
        <w:t>comparable datasets</w:t>
      </w:r>
      <w:r>
        <w:t xml:space="preserve"> and p</w:t>
      </w:r>
      <w:r w:rsidRPr="001F5661">
        <w:t>rovide</w:t>
      </w:r>
      <w:r>
        <w:t>s</w:t>
      </w:r>
      <w:r w:rsidRPr="001F5661">
        <w:t xml:space="preserve"> technical assistance and training </w:t>
      </w:r>
      <w:r>
        <w:t xml:space="preserve">to ILO </w:t>
      </w:r>
      <w:r w:rsidR="00E346A0">
        <w:t>M</w:t>
      </w:r>
      <w:r>
        <w:t>ember States to support their efforts to produce high quality labour market data.</w:t>
      </w:r>
      <w:r w:rsidR="00EF0BD6">
        <w:t xml:space="preserve">         </w:t>
      </w:r>
    </w:p>
    <w:p w14:paraId="3D063F4C" w14:textId="77777777" w:rsidR="00F719A8" w:rsidRPr="00C87131" w:rsidRDefault="00F719A8" w:rsidP="00576CFA">
      <w:pPr>
        <w:pStyle w:val="MText"/>
        <w:rPr>
          <w:rFonts w:cstheme="minorHAnsi"/>
        </w:rPr>
      </w:pPr>
    </w:p>
    <w:p w14:paraId="6149DC94" w14:textId="05781947" w:rsidR="00B31E2C" w:rsidRPr="00C87131" w:rsidRDefault="00B31E2C" w:rsidP="00AF5ED1">
      <w:pPr>
        <w:pStyle w:val="MHeader"/>
        <w:rPr>
          <w:rFonts w:cstheme="minorHAnsi"/>
        </w:rPr>
      </w:pPr>
      <w:r w:rsidRPr="00C87131">
        <w:rPr>
          <w:rFonts w:cstheme="minorHAnsi"/>
        </w:rPr>
        <w:t xml:space="preserve">4. Other methodological considerations </w:t>
      </w:r>
      <w:r>
        <w:rPr>
          <w:color w:val="B4B4B4"/>
          <w:sz w:val="20"/>
        </w:rPr>
        <w:t>(OTHER_METHOD)</w:t>
      </w:r>
    </w:p>
    <w:p w14:paraId="1AFA5517" w14:textId="54FD9B10" w:rsidR="00AF5ED1" w:rsidRPr="00C87131" w:rsidRDefault="00576CFA" w:rsidP="00F719A8">
      <w:pPr>
        <w:pStyle w:val="MHeader2"/>
        <w:rPr>
          <w:rFonts w:cstheme="minorHAnsi"/>
        </w:rPr>
      </w:pPr>
      <w:r w:rsidRPr="00C87131">
        <w:rPr>
          <w:rFonts w:cstheme="minorHAnsi"/>
        </w:rPr>
        <w:t xml:space="preserve">4.a. Rationale </w:t>
      </w:r>
      <w:r>
        <w:rPr>
          <w:color w:val="B4B4B4"/>
          <w:sz w:val="20"/>
        </w:rPr>
        <w:t>(RATIONALE)</w:t>
      </w:r>
    </w:p>
    <w:p w14:paraId="7BEA1216"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 xml:space="preserve">This indicator provides valuable information that could be used to formulate policies and programmes for the prevention of occupational injuries, diseases and deaths. It could also be used to monitor the implementation of these programmes and to signal particular areas of increasing risk such as a particular occupation, industry or location. Although the principal objective of this indicator is to provide information for prevention purposes, it may be used for a number of other purposes, such as to </w:t>
      </w:r>
      <w:r w:rsidRPr="00C87131">
        <w:rPr>
          <w:rStyle w:val="normaltextrun"/>
          <w:rFonts w:asciiTheme="minorHAnsi" w:hAnsiTheme="minorHAnsi" w:cstheme="minorHAnsi"/>
          <w:color w:val="4A4A4A"/>
          <w:sz w:val="21"/>
          <w:szCs w:val="21"/>
          <w:lang w:val="en-GB"/>
        </w:rPr>
        <w:lastRenderedPageBreak/>
        <w:t>identify the occupations and economic activities with the highest risk of occupational injuries; to detect changes in the pattern and occurrence of occupational injuries, so as to monitor improvements in safety and reveal any new areas of risk; to inform employers, employers’ organizations, workers and workers’ organizations of the risks associated with their work and workplaces, so that they can take an active part in their own safety; to evaluate the effectiveness of preventive measures; to estimate the consequences of occupational injuries, particularly in terms of days lost or costs; and to provide a basis for policymaking aimed at encouraging employers, employers’ organizations, workers and workers’ organizations to introduce accident prevention measures.</w:t>
      </w:r>
      <w:r w:rsidRPr="00C87131">
        <w:rPr>
          <w:rStyle w:val="eop"/>
          <w:rFonts w:asciiTheme="minorHAnsi" w:hAnsiTheme="minorHAnsi" w:cstheme="minorHAnsi"/>
          <w:color w:val="4A4A4A"/>
          <w:sz w:val="21"/>
          <w:szCs w:val="21"/>
        </w:rPr>
        <w:t> </w:t>
      </w:r>
    </w:p>
    <w:p w14:paraId="18EA7892" w14:textId="77777777" w:rsidR="00576CFA" w:rsidRPr="00C87131" w:rsidRDefault="00576CFA" w:rsidP="00576CFA">
      <w:pPr>
        <w:pStyle w:val="MText"/>
        <w:rPr>
          <w:rFonts w:cstheme="minorHAnsi"/>
        </w:rPr>
      </w:pPr>
    </w:p>
    <w:p w14:paraId="2529B069" w14:textId="618DCD10" w:rsidR="00E1050F" w:rsidRPr="00C87131" w:rsidRDefault="00E1050F" w:rsidP="00F719A8">
      <w:pPr>
        <w:pStyle w:val="MHeader2"/>
        <w:rPr>
          <w:rFonts w:cstheme="minorHAnsi"/>
        </w:rPr>
      </w:pPr>
      <w:r w:rsidRPr="00C87131">
        <w:rPr>
          <w:rFonts w:cstheme="minorHAnsi"/>
        </w:rPr>
        <w:t xml:space="preserve">4.b. Comment and limitations </w:t>
      </w:r>
      <w:r>
        <w:rPr>
          <w:color w:val="B4B4B4"/>
          <w:sz w:val="20"/>
        </w:rPr>
        <w:t>(REC_USE_LIM)</w:t>
      </w:r>
    </w:p>
    <w:p w14:paraId="79DAB2C9" w14:textId="772E9E74"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There may be problems of underreporting of occupational injuries, and proper systems should be put in place to ensure the best reporting and data quality. Underreporting is thought to be present in countries at all levels of development but may be particularly problematic in some developing countries. Data users should be aware of this issue when analysing the data. Double</w:t>
      </w:r>
      <w:r w:rsidR="000C33F9">
        <w:rPr>
          <w:rStyle w:val="normaltextrun"/>
          <w:rFonts w:asciiTheme="minorHAnsi" w:hAnsiTheme="minorHAnsi" w:cstheme="minorHAnsi"/>
          <w:color w:val="4A4A4A"/>
          <w:sz w:val="21"/>
          <w:szCs w:val="21"/>
          <w:lang w:val="en-GB"/>
        </w:rPr>
        <w:t xml:space="preserve"> </w:t>
      </w:r>
      <w:r w:rsidRPr="00C87131">
        <w:rPr>
          <w:rStyle w:val="normaltextrun"/>
          <w:rFonts w:asciiTheme="minorHAnsi" w:hAnsiTheme="minorHAnsi" w:cstheme="minorHAnsi"/>
          <w:color w:val="4A4A4A"/>
          <w:sz w:val="21"/>
          <w:szCs w:val="21"/>
          <w:lang w:val="en-GB"/>
        </w:rPr>
        <w:t>counting of cases of occupational injury may also happen in cases where data from several registries (records kept by different agencies, for example) are consolidated to have more comprehensive statistics.</w:t>
      </w:r>
      <w:r w:rsidRPr="00C87131">
        <w:rPr>
          <w:rStyle w:val="eop"/>
          <w:rFonts w:asciiTheme="minorHAnsi" w:hAnsiTheme="minorHAnsi" w:cstheme="minorHAnsi"/>
          <w:color w:val="4A4A4A"/>
          <w:sz w:val="21"/>
          <w:szCs w:val="21"/>
        </w:rPr>
        <w:t> </w:t>
      </w:r>
    </w:p>
    <w:p w14:paraId="5609CBD8"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eop"/>
          <w:rFonts w:asciiTheme="minorHAnsi" w:hAnsiTheme="minorHAnsi" w:cstheme="minorHAnsi"/>
          <w:color w:val="4A4A4A"/>
          <w:sz w:val="21"/>
          <w:szCs w:val="21"/>
        </w:rPr>
        <w:t> </w:t>
      </w:r>
    </w:p>
    <w:p w14:paraId="50DDFD00" w14:textId="77777777" w:rsidR="00171DA2" w:rsidRPr="00C87131" w:rsidRDefault="00171DA2"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Because data quality issues may be present, it may be more relevant to analyse indicator trends rather than levels. When measured over a period of time, the data can reveal progress or deterioration in occupational safety and health, and thus point to the effectiveness of prevention measures. This indicator is volatile and strong annual fluctuations may occur due to unexpected but significant accidents or national calamities. The underlying trend should therefore be analysed.</w:t>
      </w:r>
      <w:r w:rsidRPr="00C87131">
        <w:rPr>
          <w:rStyle w:val="eop"/>
          <w:rFonts w:asciiTheme="minorHAnsi" w:hAnsiTheme="minorHAnsi" w:cstheme="minorHAnsi"/>
          <w:color w:val="4A4A4A"/>
          <w:sz w:val="21"/>
          <w:szCs w:val="21"/>
        </w:rPr>
        <w:t> </w:t>
      </w:r>
    </w:p>
    <w:p w14:paraId="398C00AE" w14:textId="77777777" w:rsidR="00EC2915" w:rsidRPr="00C87131" w:rsidRDefault="00EC2915" w:rsidP="00576CFA">
      <w:pPr>
        <w:pStyle w:val="MText"/>
        <w:rPr>
          <w:rFonts w:cstheme="minorHAnsi"/>
        </w:rPr>
      </w:pPr>
    </w:p>
    <w:p w14:paraId="79EEEE38" w14:textId="75AB172D" w:rsidR="00E1050F" w:rsidRPr="00C87131" w:rsidRDefault="00E1050F" w:rsidP="00F719A8">
      <w:pPr>
        <w:pStyle w:val="MHeader2"/>
        <w:rPr>
          <w:rFonts w:cstheme="minorHAnsi"/>
        </w:rPr>
      </w:pPr>
      <w:r w:rsidRPr="00C87131">
        <w:rPr>
          <w:rFonts w:cstheme="minorHAnsi"/>
        </w:rPr>
        <w:t xml:space="preserve">4.c. Method of computation </w:t>
      </w:r>
      <w:r>
        <w:rPr>
          <w:color w:val="B4B4B4"/>
          <w:sz w:val="20"/>
        </w:rPr>
        <w:t>(DATA_COMP)</w:t>
      </w:r>
    </w:p>
    <w:p w14:paraId="34F73EBD" w14:textId="77777777" w:rsidR="0048142E" w:rsidRPr="00C87131" w:rsidRDefault="0048142E" w:rsidP="0048142E">
      <w:pPr>
        <w:shd w:val="clear" w:color="auto" w:fill="FFFFFF"/>
        <w:spacing w:after="0"/>
        <w:rPr>
          <w:rFonts w:eastAsia="Times New Roman" w:cstheme="minorHAnsi"/>
          <w:color w:val="4A4A4A"/>
          <w:sz w:val="21"/>
          <w:szCs w:val="21"/>
          <w:lang w:eastAsia="en-GB"/>
        </w:rPr>
      </w:pPr>
      <w:r w:rsidRPr="00C87131">
        <w:rPr>
          <w:rFonts w:eastAsia="Times New Roman" w:cstheme="minorHAnsi"/>
          <w:color w:val="4A4A4A"/>
          <w:sz w:val="21"/>
          <w:szCs w:val="21"/>
          <w:lang w:eastAsia="en-GB"/>
        </w:rPr>
        <w:t>The incidence rates of fatal and non-fatal occupational injuries will be calculated separately, since statistics on fatal injuries tend to come from a different source than those on non-fatal injuries, which would make their sum into total occupational accidents inaccurate.</w:t>
      </w:r>
    </w:p>
    <w:p w14:paraId="651BCF64" w14:textId="790FA3B0" w:rsidR="0048142E" w:rsidRPr="00C87131" w:rsidRDefault="0048142E" w:rsidP="0048142E">
      <w:pPr>
        <w:shd w:val="clear" w:color="auto" w:fill="FFFFFF"/>
        <w:spacing w:after="0"/>
        <w:rPr>
          <w:rFonts w:eastAsia="Times New Roman" w:cstheme="minorHAnsi"/>
          <w:color w:val="4A4A4A"/>
          <w:sz w:val="21"/>
          <w:szCs w:val="21"/>
          <w:lang w:eastAsia="en-GB"/>
        </w:rPr>
      </w:pPr>
    </w:p>
    <w:p w14:paraId="76F00DF6" w14:textId="77777777" w:rsidR="0048142E" w:rsidRPr="00C87131" w:rsidRDefault="0048142E" w:rsidP="0048142E">
      <w:pPr>
        <w:shd w:val="clear" w:color="auto" w:fill="FFFFFF"/>
        <w:spacing w:after="0"/>
        <w:rPr>
          <w:rFonts w:eastAsia="Times New Roman" w:cstheme="minorHAnsi"/>
          <w:color w:val="4A4A4A"/>
          <w:sz w:val="21"/>
          <w:szCs w:val="21"/>
          <w:lang w:eastAsia="en-GB"/>
        </w:rPr>
      </w:pPr>
      <w:r w:rsidRPr="00C87131">
        <w:rPr>
          <w:rFonts w:eastAsia="Times New Roman" w:cstheme="minorHAnsi"/>
          <w:color w:val="4A4A4A"/>
          <w:sz w:val="21"/>
          <w:szCs w:val="21"/>
          <w:lang w:eastAsia="en-GB"/>
        </w:rPr>
        <w:t>The fatal occupational injury incidence rate is expressed per 100,000 workers in the reference group, and thus, is calculated as follows:</w:t>
      </w:r>
    </w:p>
    <w:p w14:paraId="72548003" w14:textId="77777777" w:rsidR="0048142E" w:rsidRPr="00C87131" w:rsidRDefault="0048142E" w:rsidP="0048142E">
      <w:pPr>
        <w:shd w:val="clear" w:color="auto" w:fill="FFFFFF"/>
        <w:spacing w:after="0"/>
        <w:rPr>
          <w:rFonts w:eastAsia="Times New Roman" w:cstheme="minorHAnsi"/>
          <w:color w:val="4A4A4A"/>
          <w:sz w:val="21"/>
          <w:szCs w:val="21"/>
          <w:lang w:eastAsia="en-GB"/>
        </w:rPr>
      </w:pPr>
    </w:p>
    <w:p w14:paraId="2EBFF7CA" w14:textId="77777777" w:rsidR="0048142E" w:rsidRPr="00C87131" w:rsidRDefault="0048142E" w:rsidP="0048142E">
      <w:pPr>
        <w:shd w:val="clear" w:color="auto" w:fill="FFFFFF"/>
        <w:spacing w:after="0"/>
        <w:rPr>
          <w:rFonts w:eastAsia="Times New Roman" w:cstheme="minorHAnsi"/>
          <w:color w:val="4A4A4A"/>
          <w:sz w:val="21"/>
          <w:szCs w:val="21"/>
          <w:lang w:eastAsia="en-GB"/>
        </w:rPr>
      </w:pPr>
      <m:oMathPara>
        <m:oMath>
          <m:r>
            <m:rPr>
              <m:sty m:val="p"/>
            </m:rPr>
            <w:rPr>
              <w:rFonts w:ascii="Cambria Math" w:eastAsia="Times New Roman" w:hAnsi="Cambria Math" w:cstheme="minorHAnsi"/>
              <w:color w:val="4A4A4A"/>
              <w:sz w:val="21"/>
              <w:szCs w:val="21"/>
              <w:lang w:eastAsia="en-GB"/>
            </w:rPr>
            <m:t xml:space="preserve">Fatal occupational injury incidence rate = </m:t>
          </m:r>
          <m:f>
            <m:fPr>
              <m:ctrlPr>
                <w:rPr>
                  <w:rFonts w:ascii="Cambria Math" w:eastAsia="Times New Roman" w:hAnsi="Cambria Math" w:cstheme="minorHAnsi"/>
                  <w:color w:val="4A4A4A"/>
                  <w:sz w:val="21"/>
                  <w:szCs w:val="21"/>
                  <w:lang w:eastAsia="en-GB"/>
                </w:rPr>
              </m:ctrlPr>
            </m:fPr>
            <m:num>
              <m:r>
                <m:rPr>
                  <m:sty m:val="p"/>
                </m:rPr>
                <w:rPr>
                  <w:rFonts w:ascii="Cambria Math" w:eastAsia="Times New Roman" w:hAnsi="Cambria Math" w:cstheme="minorHAnsi"/>
                  <w:color w:val="4A4A4A"/>
                  <w:sz w:val="21"/>
                  <w:szCs w:val="21"/>
                  <w:lang w:eastAsia="en-GB"/>
                </w:rPr>
                <m:t>New cases of fatal injury during the reference year</m:t>
              </m:r>
            </m:num>
            <m:den>
              <m:r>
                <m:rPr>
                  <m:sty m:val="p"/>
                </m:rPr>
                <w:rPr>
                  <w:rFonts w:ascii="Cambria Math" w:eastAsia="Times New Roman" w:hAnsi="Cambria Math" w:cstheme="minorHAnsi"/>
                  <w:color w:val="4A4A4A"/>
                  <w:sz w:val="21"/>
                  <w:szCs w:val="21"/>
                  <w:lang w:eastAsia="en-GB"/>
                </w:rPr>
                <m:t>Workers in the reference group during the reference year</m:t>
              </m:r>
            </m:den>
          </m:f>
          <m:r>
            <w:rPr>
              <w:rFonts w:ascii="Cambria Math" w:eastAsia="Times New Roman" w:hAnsi="Cambria Math" w:cstheme="minorHAnsi"/>
              <w:color w:val="4A4A4A"/>
              <w:sz w:val="21"/>
              <w:szCs w:val="21"/>
              <w:lang w:eastAsia="en-GB"/>
            </w:rPr>
            <m:t xml:space="preserve"> ×100,000</m:t>
          </m:r>
        </m:oMath>
      </m:oMathPara>
    </w:p>
    <w:p w14:paraId="1591CE3C" w14:textId="77777777" w:rsidR="0048142E" w:rsidRPr="00C87131" w:rsidRDefault="0048142E" w:rsidP="0048142E">
      <w:pPr>
        <w:shd w:val="clear" w:color="auto" w:fill="FFFFFF"/>
        <w:spacing w:after="0"/>
        <w:rPr>
          <w:rFonts w:eastAsia="Times New Roman" w:cstheme="minorHAnsi"/>
          <w:color w:val="4A4A4A"/>
          <w:sz w:val="21"/>
          <w:szCs w:val="21"/>
          <w:lang w:eastAsia="en-GB"/>
        </w:rPr>
      </w:pPr>
    </w:p>
    <w:p w14:paraId="15A1A313" w14:textId="77777777" w:rsidR="0048142E" w:rsidRPr="00C87131" w:rsidRDefault="0048142E" w:rsidP="0048142E">
      <w:pPr>
        <w:shd w:val="clear" w:color="auto" w:fill="FFFFFF"/>
        <w:spacing w:after="0"/>
        <w:rPr>
          <w:rFonts w:eastAsia="Times New Roman" w:cstheme="minorHAnsi"/>
          <w:color w:val="4A4A4A"/>
          <w:sz w:val="21"/>
          <w:szCs w:val="21"/>
          <w:lang w:eastAsia="en-GB"/>
        </w:rPr>
      </w:pPr>
    </w:p>
    <w:p w14:paraId="74F9CA1E" w14:textId="77777777" w:rsidR="0048142E" w:rsidRPr="00C87131" w:rsidRDefault="0048142E" w:rsidP="0048142E">
      <w:pPr>
        <w:shd w:val="clear" w:color="auto" w:fill="FFFFFF"/>
        <w:spacing w:after="0"/>
        <w:rPr>
          <w:rFonts w:eastAsia="Times New Roman" w:cstheme="minorHAnsi"/>
          <w:color w:val="4A4A4A"/>
          <w:sz w:val="21"/>
          <w:szCs w:val="21"/>
          <w:lang w:eastAsia="en-GB"/>
        </w:rPr>
      </w:pPr>
      <w:r w:rsidRPr="00C87131">
        <w:rPr>
          <w:rFonts w:eastAsia="Times New Roman" w:cstheme="minorHAnsi"/>
          <w:color w:val="4A4A4A"/>
          <w:sz w:val="21"/>
          <w:szCs w:val="21"/>
          <w:lang w:eastAsia="en-GB"/>
        </w:rPr>
        <w:t>Similarly, the non-fatal occupational injury incidence rate is calculated as follows:</w:t>
      </w:r>
    </w:p>
    <w:p w14:paraId="2DCBE646" w14:textId="77777777" w:rsidR="0048142E" w:rsidRPr="00C87131" w:rsidRDefault="0048142E" w:rsidP="0048142E">
      <w:pPr>
        <w:shd w:val="clear" w:color="auto" w:fill="FFFFFF"/>
        <w:spacing w:after="0"/>
        <w:rPr>
          <w:rFonts w:eastAsia="Times New Roman" w:cstheme="minorHAnsi"/>
          <w:color w:val="4A4A4A"/>
          <w:sz w:val="21"/>
          <w:szCs w:val="21"/>
          <w:lang w:eastAsia="en-GB"/>
        </w:rPr>
      </w:pPr>
    </w:p>
    <w:p w14:paraId="024DCB33" w14:textId="17EA51B1" w:rsidR="0048142E" w:rsidRPr="00C87131" w:rsidRDefault="0048142E" w:rsidP="0048142E">
      <w:pPr>
        <w:shd w:val="clear" w:color="auto" w:fill="FFFFFF"/>
        <w:spacing w:after="0"/>
        <w:rPr>
          <w:rFonts w:eastAsia="Times New Roman" w:cstheme="minorHAnsi"/>
          <w:color w:val="4A4A4A"/>
          <w:sz w:val="21"/>
          <w:szCs w:val="21"/>
          <w:lang w:eastAsia="en-GB"/>
        </w:rPr>
      </w:pPr>
      <m:oMathPara>
        <m:oMath>
          <m:r>
            <m:rPr>
              <m:sty m:val="p"/>
            </m:rPr>
            <w:rPr>
              <w:rFonts w:ascii="Cambria Math" w:eastAsia="Times New Roman" w:hAnsi="Cambria Math" w:cstheme="minorHAnsi"/>
              <w:color w:val="4A4A4A"/>
              <w:sz w:val="21"/>
              <w:szCs w:val="21"/>
              <w:lang w:eastAsia="en-GB"/>
            </w:rPr>
            <m:t xml:space="preserve">Non fatal occupational injury incidence rate = </m:t>
          </m:r>
          <m:f>
            <m:fPr>
              <m:ctrlPr>
                <w:rPr>
                  <w:rFonts w:ascii="Cambria Math" w:eastAsia="Times New Roman" w:hAnsi="Cambria Math" w:cstheme="minorHAnsi"/>
                  <w:color w:val="4A4A4A"/>
                  <w:sz w:val="21"/>
                  <w:szCs w:val="21"/>
                  <w:lang w:eastAsia="en-GB"/>
                </w:rPr>
              </m:ctrlPr>
            </m:fPr>
            <m:num>
              <m:r>
                <m:rPr>
                  <m:sty m:val="p"/>
                </m:rPr>
                <w:rPr>
                  <w:rFonts w:ascii="Cambria Math" w:eastAsia="Times New Roman" w:hAnsi="Cambria Math" w:cstheme="minorHAnsi"/>
                  <w:color w:val="4A4A4A"/>
                  <w:sz w:val="21"/>
                  <w:szCs w:val="21"/>
                  <w:lang w:eastAsia="en-GB"/>
                </w:rPr>
                <m:t>New cases of non fatal injury during the reference year</m:t>
              </m:r>
            </m:num>
            <m:den>
              <m:r>
                <m:rPr>
                  <m:sty m:val="p"/>
                </m:rPr>
                <w:rPr>
                  <w:rFonts w:ascii="Cambria Math" w:eastAsia="Times New Roman" w:hAnsi="Cambria Math" w:cstheme="minorHAnsi"/>
                  <w:color w:val="4A4A4A"/>
                  <w:sz w:val="21"/>
                  <w:szCs w:val="21"/>
                  <w:lang w:eastAsia="en-GB"/>
                </w:rPr>
                <m:t>Workers in the reference group during the reference year</m:t>
              </m:r>
            </m:den>
          </m:f>
          <m:r>
            <w:rPr>
              <w:rFonts w:ascii="Cambria Math" w:eastAsia="Times New Roman" w:hAnsi="Cambria Math" w:cstheme="minorHAnsi"/>
              <w:color w:val="4A4A4A"/>
              <w:sz w:val="21"/>
              <w:szCs w:val="21"/>
              <w:lang w:eastAsia="en-GB"/>
            </w:rPr>
            <m:t xml:space="preserve"> ×100,000</m:t>
          </m:r>
        </m:oMath>
      </m:oMathPara>
    </w:p>
    <w:p w14:paraId="7D7906BD" w14:textId="77777777" w:rsidR="0048142E" w:rsidRPr="00C87131" w:rsidRDefault="0048142E" w:rsidP="0048142E">
      <w:pPr>
        <w:shd w:val="clear" w:color="auto" w:fill="FFFFFF"/>
        <w:spacing w:after="0"/>
        <w:rPr>
          <w:rFonts w:eastAsia="Times New Roman" w:cstheme="minorHAnsi"/>
          <w:color w:val="4A4A4A"/>
          <w:sz w:val="21"/>
          <w:szCs w:val="21"/>
          <w:lang w:eastAsia="en-GB"/>
        </w:rPr>
      </w:pPr>
    </w:p>
    <w:p w14:paraId="27048F1A" w14:textId="77777777" w:rsidR="0048142E" w:rsidRPr="00C87131" w:rsidRDefault="0048142E" w:rsidP="001E15C7">
      <w:pPr>
        <w:spacing w:after="0"/>
        <w:rPr>
          <w:rFonts w:cstheme="minorHAnsi"/>
          <w:sz w:val="24"/>
          <w:szCs w:val="24"/>
          <w:lang w:val="en-US" w:eastAsia="en-US"/>
        </w:rPr>
      </w:pPr>
      <w:r w:rsidRPr="00C87131">
        <w:rPr>
          <w:rFonts w:eastAsia="Times New Roman" w:cstheme="minorHAnsi"/>
          <w:color w:val="4A4A4A"/>
          <w:sz w:val="21"/>
          <w:szCs w:val="21"/>
          <w:lang w:eastAsia="en-GB"/>
        </w:rPr>
        <w:t>In calculating the average number of workers, the number of part-time workers should be converted to full-time equivalents. For the calculation of rates, the numerator and the denominator should have the same coverage. For example, if self-employed persons are not covered by the source of statistics on fatal occupational injuries, they should also be taken out of the denominator.</w:t>
      </w:r>
      <w:r w:rsidRPr="00C87131">
        <w:rPr>
          <w:rFonts w:cstheme="minorHAnsi"/>
          <w:sz w:val="24"/>
          <w:szCs w:val="24"/>
          <w:lang w:val="en-US" w:eastAsia="en-US"/>
        </w:rPr>
        <w:t xml:space="preserve"> </w:t>
      </w:r>
    </w:p>
    <w:p w14:paraId="6A89839E" w14:textId="57321E0A" w:rsidR="00576CFA" w:rsidRPr="00C87131" w:rsidRDefault="00576CFA" w:rsidP="00576CFA">
      <w:pPr>
        <w:pStyle w:val="MText"/>
        <w:rPr>
          <w:rFonts w:cstheme="minorHAnsi"/>
        </w:rPr>
      </w:pPr>
    </w:p>
    <w:p w14:paraId="514CE3C0" w14:textId="3F3F7A53" w:rsidR="00E1050F" w:rsidRPr="00C87131" w:rsidRDefault="00576CFA" w:rsidP="00F719A8">
      <w:pPr>
        <w:pStyle w:val="MHeader2"/>
        <w:rPr>
          <w:rFonts w:cstheme="minorHAnsi"/>
        </w:rPr>
      </w:pPr>
      <w:r w:rsidRPr="00C87131">
        <w:rPr>
          <w:rFonts w:cstheme="minorHAnsi"/>
        </w:rPr>
        <w:t xml:space="preserve">4.d. Validation </w:t>
      </w:r>
      <w:r>
        <w:rPr>
          <w:color w:val="B4B4B4"/>
          <w:sz w:val="20"/>
        </w:rPr>
        <w:t>(DATA_VALIDATION)</w:t>
      </w:r>
    </w:p>
    <w:p w14:paraId="49CB8337" w14:textId="5281D1DC" w:rsidR="00EC2915" w:rsidRPr="00C87131" w:rsidRDefault="009559E9" w:rsidP="00576CFA">
      <w:pPr>
        <w:pStyle w:val="MText"/>
        <w:rPr>
          <w:rFonts w:cstheme="minorHAnsi"/>
        </w:rPr>
      </w:pPr>
      <w:r>
        <w:t xml:space="preserve">The ILO engages in annual consultations with </w:t>
      </w:r>
      <w:r w:rsidR="00E346A0">
        <w:t>M</w:t>
      </w:r>
      <w:r>
        <w:t>ember States through the ILOSTAT questionnaire and related Statistics Reporting System (StaRS). National data providers receive a link to the portal where they can review all national SDG data available on ILOSTAT.</w:t>
      </w:r>
    </w:p>
    <w:p w14:paraId="0025F830" w14:textId="3BAADD05" w:rsidR="00F719A8" w:rsidRPr="00C87131" w:rsidRDefault="00F719A8" w:rsidP="00576CFA">
      <w:pPr>
        <w:pStyle w:val="MText"/>
        <w:rPr>
          <w:rFonts w:cstheme="minorHAnsi"/>
        </w:rPr>
      </w:pPr>
    </w:p>
    <w:p w14:paraId="2CF2A343" w14:textId="0A7F0CBE" w:rsidR="00E1050F" w:rsidRPr="00C87131" w:rsidRDefault="00E1050F" w:rsidP="00F719A8">
      <w:pPr>
        <w:pStyle w:val="MHeader2"/>
        <w:rPr>
          <w:rFonts w:cstheme="minorHAnsi"/>
        </w:rPr>
      </w:pPr>
      <w:r w:rsidRPr="00C87131">
        <w:rPr>
          <w:rFonts w:cstheme="minorHAnsi"/>
        </w:rPr>
        <w:t xml:space="preserve">4.e. Adjustments </w:t>
      </w:r>
      <w:r>
        <w:rPr>
          <w:color w:val="B4B4B4"/>
          <w:sz w:val="20"/>
        </w:rPr>
        <w:t>(ADJUSTMENT)</w:t>
      </w:r>
    </w:p>
    <w:p w14:paraId="0C034E1F" w14:textId="420DB361" w:rsidR="00047697" w:rsidRPr="00C87131" w:rsidRDefault="00A27F7F" w:rsidP="00576CFA">
      <w:pPr>
        <w:pStyle w:val="MText"/>
        <w:rPr>
          <w:rFonts w:cstheme="minorHAnsi"/>
        </w:rPr>
      </w:pPr>
      <w:r w:rsidRPr="00E85844">
        <w:rPr>
          <w:rFonts w:cstheme="minorHAnsi"/>
        </w:rPr>
        <w:t>Not applicable</w:t>
      </w:r>
    </w:p>
    <w:p w14:paraId="7FBAEBBA" w14:textId="77777777" w:rsidR="00EC2915" w:rsidRPr="00C87131" w:rsidRDefault="00EC2915" w:rsidP="00576CFA">
      <w:pPr>
        <w:pStyle w:val="MText"/>
        <w:rPr>
          <w:rFonts w:cstheme="minorHAnsi"/>
        </w:rPr>
      </w:pPr>
    </w:p>
    <w:p w14:paraId="17735630" w14:textId="3387C27D" w:rsidR="00E1050F" w:rsidRPr="00C87131" w:rsidRDefault="00576CFA" w:rsidP="00F719A8">
      <w:pPr>
        <w:pStyle w:val="MHeader2"/>
        <w:rPr>
          <w:rFonts w:cstheme="minorHAnsi"/>
        </w:rPr>
      </w:pPr>
      <w:r w:rsidRPr="00C87131">
        <w:rPr>
          <w:rFonts w:cstheme="minorHAnsi"/>
        </w:rPr>
        <w:t xml:space="preserve">4.f. Treatment of missing values (i) at country level and (ii) at regional level </w:t>
      </w:r>
      <w:r>
        <w:rPr>
          <w:color w:val="B4B4B4"/>
          <w:sz w:val="20"/>
        </w:rPr>
        <w:t>(IMPUTATION)</w:t>
      </w:r>
    </w:p>
    <w:p w14:paraId="04748E1F" w14:textId="097E3D2B" w:rsidR="00D51E7C" w:rsidRPr="00C87131" w:rsidRDefault="0045279A" w:rsidP="00D51E7C">
      <w:pPr>
        <w:pStyle w:val="MText"/>
        <w:rPr>
          <w:rFonts w:cstheme="minorHAnsi"/>
        </w:rPr>
      </w:pPr>
      <w:r w:rsidRPr="0045279A">
        <w:rPr>
          <w:rFonts w:cstheme="minorHAnsi"/>
        </w:rPr>
        <w:t>Not applicable</w:t>
      </w:r>
    </w:p>
    <w:p w14:paraId="27033367" w14:textId="77777777" w:rsidR="00EC2915" w:rsidRPr="00C87131" w:rsidRDefault="00EC2915" w:rsidP="00576CFA">
      <w:pPr>
        <w:pStyle w:val="MText"/>
        <w:rPr>
          <w:rFonts w:cstheme="minorHAnsi"/>
        </w:rPr>
      </w:pPr>
    </w:p>
    <w:p w14:paraId="51FCD280" w14:textId="0DAB30E3" w:rsidR="00E1050F" w:rsidRPr="00C87131" w:rsidRDefault="00E1050F" w:rsidP="00F719A8">
      <w:pPr>
        <w:pStyle w:val="MHeader2"/>
        <w:rPr>
          <w:rFonts w:cstheme="minorHAnsi"/>
        </w:rPr>
      </w:pPr>
      <w:r w:rsidRPr="00C87131">
        <w:rPr>
          <w:rFonts w:cstheme="minorHAnsi"/>
        </w:rPr>
        <w:t xml:space="preserve">4.g. Regional aggregations </w:t>
      </w:r>
      <w:r>
        <w:rPr>
          <w:color w:val="B4B4B4"/>
          <w:sz w:val="20"/>
        </w:rPr>
        <w:t>(REG_AGG)</w:t>
      </w:r>
    </w:p>
    <w:p w14:paraId="23327535" w14:textId="1ADCCBCF" w:rsidR="00576CFA" w:rsidRPr="00C87131" w:rsidRDefault="0045279A" w:rsidP="00E1050F">
      <w:pPr>
        <w:pStyle w:val="MText"/>
        <w:rPr>
          <w:rFonts w:cstheme="minorHAnsi"/>
        </w:rPr>
      </w:pPr>
      <w:r>
        <w:rPr>
          <w:rFonts w:cstheme="minorHAnsi"/>
        </w:rPr>
        <w:t>Not applicable</w:t>
      </w:r>
    </w:p>
    <w:p w14:paraId="2EA010B7" w14:textId="77777777" w:rsidR="00EC2915" w:rsidRPr="00C87131" w:rsidRDefault="00EC2915" w:rsidP="00576CFA">
      <w:pPr>
        <w:pStyle w:val="MText"/>
        <w:rPr>
          <w:rFonts w:cstheme="minorHAnsi"/>
        </w:rPr>
      </w:pPr>
    </w:p>
    <w:p w14:paraId="71213FF2" w14:textId="52980C15" w:rsidR="00E1050F" w:rsidRPr="00C87131" w:rsidRDefault="00576CFA" w:rsidP="00F719A8">
      <w:pPr>
        <w:pStyle w:val="MHeader2"/>
        <w:rPr>
          <w:rFonts w:cstheme="minorHAnsi"/>
        </w:rPr>
      </w:pPr>
      <w:r w:rsidRPr="00C87131">
        <w:rPr>
          <w:rFonts w:cstheme="minorHAnsi"/>
        </w:rPr>
        <w:t xml:space="preserve">4.h. Methods and guidance available to countries for the compilation of the data at the national level </w:t>
      </w:r>
      <w:r>
        <w:rPr>
          <w:color w:val="B4B4B4"/>
          <w:sz w:val="20"/>
        </w:rPr>
        <w:t>(DOC_METHOD)</w:t>
      </w:r>
    </w:p>
    <w:p w14:paraId="7662F962" w14:textId="77777777" w:rsidR="0048142E" w:rsidRPr="00C87131" w:rsidRDefault="0048142E"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21"/>
          <w:szCs w:val="21"/>
        </w:rPr>
      </w:pPr>
      <w:r w:rsidRPr="00C87131">
        <w:rPr>
          <w:rStyle w:val="normaltextrun"/>
          <w:rFonts w:asciiTheme="minorHAnsi" w:hAnsiTheme="minorHAnsi" w:cstheme="minorHAnsi"/>
          <w:color w:val="4A4A4A"/>
          <w:sz w:val="21"/>
          <w:szCs w:val="21"/>
          <w:lang w:val="en-GB"/>
        </w:rPr>
        <w:t>This indicator could come from a variety of sources at the national level, including various kinds of administrative records (insurance records, labour inspection records, etc.), household surveys and establishment surveys.</w:t>
      </w:r>
      <w:r w:rsidRPr="00C87131">
        <w:rPr>
          <w:rStyle w:val="eop"/>
          <w:rFonts w:asciiTheme="minorHAnsi" w:hAnsiTheme="minorHAnsi" w:cstheme="minorHAnsi"/>
          <w:color w:val="4A4A4A"/>
          <w:sz w:val="21"/>
          <w:szCs w:val="21"/>
        </w:rPr>
        <w:t> </w:t>
      </w:r>
    </w:p>
    <w:p w14:paraId="4E060A81" w14:textId="26F4E2D2" w:rsidR="0048142E" w:rsidRPr="00C87131" w:rsidRDefault="0048142E" w:rsidP="001E15C7">
      <w:pPr>
        <w:pStyle w:val="paragraph"/>
        <w:numPr>
          <w:ilvl w:val="0"/>
          <w:numId w:val="5"/>
        </w:numPr>
        <w:shd w:val="clear" w:color="auto" w:fill="FFFFFF"/>
        <w:spacing w:before="0" w:beforeAutospacing="0" w:after="0" w:afterAutospacing="0" w:line="276" w:lineRule="auto"/>
        <w:ind w:firstLine="0"/>
        <w:textAlignment w:val="baseline"/>
        <w:rPr>
          <w:rFonts w:asciiTheme="minorHAnsi" w:hAnsiTheme="minorHAnsi" w:cstheme="minorHAnsi"/>
          <w:sz w:val="21"/>
          <w:szCs w:val="21"/>
        </w:rPr>
      </w:pPr>
      <w:r w:rsidRPr="00C87131">
        <w:rPr>
          <w:rStyle w:val="normaltextrun"/>
          <w:rFonts w:asciiTheme="minorHAnsi" w:hAnsiTheme="minorHAnsi" w:cstheme="minorHAnsi"/>
          <w:color w:val="4A4A4A"/>
          <w:sz w:val="21"/>
          <w:szCs w:val="21"/>
          <w:lang w:val="en-GB"/>
        </w:rPr>
        <w:t>ILO Guidebook - Decent Work and the Sustainable Development Goals: A Guidebook on SDG Labour Market Indicators (</w:t>
      </w:r>
      <w:hyperlink r:id="rId12" w:history="1">
        <w:r w:rsidR="004B62F4" w:rsidRPr="003B57B3">
          <w:rPr>
            <w:rStyle w:val="Hyperlink"/>
            <w:rFonts w:asciiTheme="minorHAnsi" w:hAnsiTheme="minorHAnsi" w:cstheme="minorHAnsi"/>
            <w:sz w:val="21"/>
            <w:szCs w:val="21"/>
            <w:lang w:val="en-GB"/>
          </w:rPr>
          <w:t>https://www.ilo.org/global/statistics-and-databases/publications/WCMS_647109/lang--en/index.htm</w:t>
        </w:r>
      </w:hyperlink>
      <w:r w:rsidRPr="00C87131">
        <w:rPr>
          <w:rStyle w:val="normaltextrun"/>
          <w:rFonts w:asciiTheme="minorHAnsi" w:hAnsiTheme="minorHAnsi" w:cstheme="minorHAnsi"/>
          <w:color w:val="4A4A4A"/>
          <w:sz w:val="21"/>
          <w:szCs w:val="21"/>
          <w:lang w:val="en-GB"/>
        </w:rPr>
        <w:t>)</w:t>
      </w:r>
      <w:r w:rsidRPr="00C87131">
        <w:rPr>
          <w:rStyle w:val="eop"/>
          <w:rFonts w:asciiTheme="minorHAnsi" w:hAnsiTheme="minorHAnsi" w:cstheme="minorHAnsi"/>
          <w:color w:val="4A4A4A"/>
          <w:sz w:val="21"/>
          <w:szCs w:val="21"/>
        </w:rPr>
        <w:t> </w:t>
      </w:r>
    </w:p>
    <w:p w14:paraId="58CDD1E6" w14:textId="0BE1B1E6" w:rsidR="0048142E" w:rsidRPr="00C87131" w:rsidRDefault="0048142E" w:rsidP="001E15C7">
      <w:pPr>
        <w:pStyle w:val="paragraph"/>
        <w:numPr>
          <w:ilvl w:val="0"/>
          <w:numId w:val="5"/>
        </w:numPr>
        <w:shd w:val="clear" w:color="auto" w:fill="FFFFFF"/>
        <w:spacing w:before="0" w:beforeAutospacing="0" w:after="0" w:afterAutospacing="0" w:line="276" w:lineRule="auto"/>
        <w:ind w:firstLine="0"/>
        <w:textAlignment w:val="baseline"/>
        <w:rPr>
          <w:rFonts w:asciiTheme="minorHAnsi" w:hAnsiTheme="minorHAnsi" w:cstheme="minorHAnsi"/>
          <w:sz w:val="21"/>
          <w:szCs w:val="21"/>
        </w:rPr>
      </w:pPr>
      <w:r w:rsidRPr="00C87131">
        <w:rPr>
          <w:rStyle w:val="normaltextrun"/>
          <w:rFonts w:asciiTheme="minorHAnsi" w:hAnsiTheme="minorHAnsi" w:cstheme="minorHAnsi"/>
          <w:color w:val="4A4A4A"/>
          <w:sz w:val="21"/>
          <w:szCs w:val="21"/>
          <w:lang w:val="en-GB"/>
        </w:rPr>
        <w:t>ILO Manual – Decent Work Indicators, Concepts and Definitions – Chapter 8, Safe work environment </w:t>
      </w:r>
      <w:hyperlink r:id="rId13" w:history="1">
        <w:r w:rsidR="004B62F4" w:rsidRPr="003B57B3">
          <w:rPr>
            <w:rStyle w:val="Hyperlink"/>
            <w:rFonts w:asciiTheme="minorHAnsi" w:hAnsiTheme="minorHAnsi" w:cstheme="minorHAnsi"/>
            <w:sz w:val="21"/>
            <w:szCs w:val="21"/>
            <w:lang w:val="en-GB"/>
          </w:rPr>
          <w:t>https://www.ilo.org/integration/resources/pubs/WCMS_229374/lang--en/index.htm</w:t>
        </w:r>
      </w:hyperlink>
      <w:r w:rsidR="004B62F4">
        <w:rPr>
          <w:rStyle w:val="normaltextrun"/>
          <w:rFonts w:asciiTheme="minorHAnsi" w:hAnsiTheme="minorHAnsi" w:cstheme="minorHAnsi"/>
          <w:color w:val="4A4A4A"/>
          <w:sz w:val="21"/>
          <w:szCs w:val="21"/>
          <w:lang w:val="en-GB"/>
        </w:rPr>
        <w:t xml:space="preserve"> </w:t>
      </w:r>
      <w:r w:rsidRPr="00C87131">
        <w:rPr>
          <w:rStyle w:val="normaltextrun"/>
          <w:rFonts w:asciiTheme="minorHAnsi" w:hAnsiTheme="minorHAnsi" w:cstheme="minorHAnsi"/>
          <w:color w:val="4A4A4A"/>
          <w:sz w:val="21"/>
          <w:szCs w:val="21"/>
          <w:lang w:val="en-GB"/>
        </w:rPr>
        <w:t> (second version, page 156)</w:t>
      </w:r>
      <w:r w:rsidRPr="00C87131">
        <w:rPr>
          <w:rStyle w:val="eop"/>
          <w:rFonts w:asciiTheme="minorHAnsi" w:hAnsiTheme="minorHAnsi" w:cstheme="minorHAnsi"/>
          <w:color w:val="4A4A4A"/>
          <w:sz w:val="21"/>
          <w:szCs w:val="21"/>
        </w:rPr>
        <w:t> </w:t>
      </w:r>
    </w:p>
    <w:p w14:paraId="6AFA58FE" w14:textId="7F39F3A7" w:rsidR="0048142E" w:rsidRPr="00C87131" w:rsidRDefault="0048142E" w:rsidP="001E15C7">
      <w:pPr>
        <w:pStyle w:val="paragraph"/>
        <w:numPr>
          <w:ilvl w:val="0"/>
          <w:numId w:val="5"/>
        </w:numPr>
        <w:shd w:val="clear" w:color="auto" w:fill="FFFFFF"/>
        <w:spacing w:before="0" w:beforeAutospacing="0" w:after="0" w:afterAutospacing="0" w:line="276" w:lineRule="auto"/>
        <w:ind w:firstLine="0"/>
        <w:textAlignment w:val="baseline"/>
        <w:rPr>
          <w:rFonts w:asciiTheme="minorHAnsi" w:hAnsiTheme="minorHAnsi" w:cstheme="minorHAnsi"/>
          <w:sz w:val="21"/>
          <w:szCs w:val="21"/>
        </w:rPr>
      </w:pPr>
      <w:r w:rsidRPr="00C87131">
        <w:rPr>
          <w:rStyle w:val="normaltextrun"/>
          <w:rFonts w:asciiTheme="minorHAnsi" w:hAnsiTheme="minorHAnsi" w:cstheme="minorHAnsi"/>
          <w:color w:val="4A4A4A"/>
          <w:sz w:val="21"/>
          <w:szCs w:val="21"/>
          <w:lang w:val="en-GB"/>
        </w:rPr>
        <w:t>Resolution concerning statistics of occupational injuries (resulting from occupational accidents) </w:t>
      </w:r>
      <w:hyperlink r:id="rId14" w:history="1">
        <w:r w:rsidR="004B62F4" w:rsidRPr="003B57B3">
          <w:rPr>
            <w:rStyle w:val="Hyperlink"/>
            <w:rFonts w:asciiTheme="minorHAnsi" w:hAnsiTheme="minorHAnsi" w:cstheme="minorHAnsi"/>
            <w:sz w:val="21"/>
            <w:szCs w:val="21"/>
            <w:lang w:val="en-GB"/>
          </w:rPr>
          <w:t>https://www.ilo.org/global/statistics-and-databases/standards-and-guidelines/resolutions-adopted-by-international-conferences-of-labour-statisticians/WCMS_087528/lang--en/index.htm</w:t>
        </w:r>
      </w:hyperlink>
      <w:r w:rsidR="004B62F4">
        <w:rPr>
          <w:rStyle w:val="normaltextrun"/>
          <w:rFonts w:asciiTheme="minorHAnsi" w:hAnsiTheme="minorHAnsi" w:cstheme="minorHAnsi"/>
          <w:color w:val="4A4A4A"/>
          <w:sz w:val="21"/>
          <w:szCs w:val="21"/>
          <w:lang w:val="en-GB"/>
        </w:rPr>
        <w:t xml:space="preserve"> </w:t>
      </w:r>
      <w:r w:rsidRPr="00C87131">
        <w:rPr>
          <w:rStyle w:val="eop"/>
          <w:rFonts w:asciiTheme="minorHAnsi" w:hAnsiTheme="minorHAnsi" w:cstheme="minorHAnsi"/>
          <w:color w:val="4A4A4A"/>
          <w:sz w:val="21"/>
          <w:szCs w:val="21"/>
        </w:rPr>
        <w:t> </w:t>
      </w:r>
    </w:p>
    <w:p w14:paraId="2134EC74" w14:textId="2F8EA40C" w:rsidR="0048142E" w:rsidRPr="00C87131" w:rsidRDefault="0048142E" w:rsidP="001E15C7">
      <w:pPr>
        <w:pStyle w:val="paragraph"/>
        <w:numPr>
          <w:ilvl w:val="0"/>
          <w:numId w:val="5"/>
        </w:numPr>
        <w:shd w:val="clear" w:color="auto" w:fill="FFFFFF"/>
        <w:spacing w:before="0" w:beforeAutospacing="0" w:after="0" w:afterAutospacing="0" w:line="276" w:lineRule="auto"/>
        <w:ind w:firstLine="0"/>
        <w:textAlignment w:val="baseline"/>
        <w:rPr>
          <w:rFonts w:asciiTheme="minorHAnsi" w:hAnsiTheme="minorHAnsi" w:cstheme="minorHAnsi"/>
          <w:sz w:val="21"/>
          <w:szCs w:val="21"/>
        </w:rPr>
      </w:pPr>
      <w:r w:rsidRPr="00C87131">
        <w:rPr>
          <w:rStyle w:val="normaltextrun"/>
          <w:rFonts w:asciiTheme="minorHAnsi" w:hAnsiTheme="minorHAnsi" w:cstheme="minorHAnsi"/>
          <w:color w:val="4A4A4A"/>
          <w:sz w:val="21"/>
          <w:szCs w:val="21"/>
          <w:lang w:val="en-GB"/>
        </w:rPr>
        <w:t>Global database on occupational safety and health legislation – LEGOSH </w:t>
      </w:r>
      <w:proofErr w:type="gramStart"/>
      <w:r w:rsidR="00B06FBE" w:rsidRPr="00B06FBE">
        <w:rPr>
          <w:rStyle w:val="normaltextrun"/>
          <w:rFonts w:asciiTheme="minorHAnsi" w:hAnsiTheme="minorHAnsi" w:cstheme="minorHAnsi"/>
          <w:color w:val="4A4A4A"/>
          <w:sz w:val="21"/>
          <w:szCs w:val="21"/>
          <w:lang w:val="en-GB"/>
        </w:rPr>
        <w:t>https://wwwex.ilo.org/dyn/legosh_en/f?p=14100:1000:0::NO:::</w:t>
      </w:r>
      <w:proofErr w:type="gramEnd"/>
      <w:r w:rsidR="00B06FBE" w:rsidRPr="00B06FBE" w:rsidDel="00B06FBE">
        <w:rPr>
          <w:rStyle w:val="normaltextrun"/>
          <w:rFonts w:asciiTheme="minorHAnsi" w:hAnsiTheme="minorHAnsi" w:cstheme="minorHAnsi"/>
          <w:color w:val="4A4A4A"/>
          <w:sz w:val="21"/>
          <w:szCs w:val="21"/>
          <w:lang w:val="en-GB"/>
        </w:rPr>
        <w:t xml:space="preserve"> </w:t>
      </w:r>
    </w:p>
    <w:p w14:paraId="065FF270" w14:textId="34B6DB87" w:rsidR="0048142E" w:rsidRPr="00C87131" w:rsidRDefault="0048142E" w:rsidP="001E15C7">
      <w:pPr>
        <w:pStyle w:val="paragraph"/>
        <w:numPr>
          <w:ilvl w:val="0"/>
          <w:numId w:val="6"/>
        </w:numPr>
        <w:shd w:val="clear" w:color="auto" w:fill="FFFFFF"/>
        <w:spacing w:before="0" w:beforeAutospacing="0" w:after="0" w:afterAutospacing="0" w:line="276" w:lineRule="auto"/>
        <w:ind w:firstLine="0"/>
        <w:textAlignment w:val="baseline"/>
        <w:rPr>
          <w:rFonts w:asciiTheme="minorHAnsi" w:hAnsiTheme="minorHAnsi" w:cstheme="minorHAnsi"/>
          <w:sz w:val="21"/>
          <w:szCs w:val="21"/>
        </w:rPr>
      </w:pPr>
      <w:r w:rsidRPr="00C87131">
        <w:rPr>
          <w:rStyle w:val="normaltextrun"/>
          <w:rFonts w:asciiTheme="minorHAnsi" w:hAnsiTheme="minorHAnsi" w:cstheme="minorHAnsi"/>
          <w:color w:val="4A4A4A"/>
          <w:sz w:val="21"/>
          <w:szCs w:val="21"/>
          <w:lang w:val="en-GB"/>
        </w:rPr>
        <w:t>Occupational injuries statistics from household surveys and establishment surveys </w:t>
      </w:r>
      <w:hyperlink r:id="rId15" w:history="1">
        <w:r w:rsidR="004B62F4" w:rsidRPr="00600B4E">
          <w:rPr>
            <w:rStyle w:val="Hyperlink"/>
            <w:rFonts w:asciiTheme="minorHAnsi" w:hAnsiTheme="minorHAnsi" w:cstheme="minorHAnsi"/>
            <w:sz w:val="21"/>
            <w:szCs w:val="21"/>
          </w:rPr>
          <w:t>https://www.ilo.org/wcmsp5/groups/public/---dgreports/---stat/documents/publication/wcms_173153.pdf</w:t>
        </w:r>
      </w:hyperlink>
      <w:r w:rsidR="004B62F4">
        <w:rPr>
          <w:rFonts w:asciiTheme="minorHAnsi" w:hAnsiTheme="minorHAnsi" w:cstheme="minorHAnsi"/>
          <w:sz w:val="21"/>
          <w:szCs w:val="21"/>
        </w:rPr>
        <w:t xml:space="preserve"> </w:t>
      </w:r>
    </w:p>
    <w:p w14:paraId="29E4736D" w14:textId="77777777" w:rsidR="0048142E" w:rsidRPr="00A4061C" w:rsidRDefault="0048142E" w:rsidP="00086A58">
      <w:pPr>
        <w:pStyle w:val="paragraph"/>
        <w:numPr>
          <w:ilvl w:val="0"/>
          <w:numId w:val="6"/>
        </w:numPr>
        <w:shd w:val="clear" w:color="auto" w:fill="FFFFFF"/>
        <w:spacing w:before="0" w:beforeAutospacing="0" w:after="0" w:afterAutospacing="0" w:line="276" w:lineRule="auto"/>
        <w:ind w:firstLine="0"/>
        <w:textAlignment w:val="baseline"/>
        <w:rPr>
          <w:rFonts w:asciiTheme="minorHAnsi" w:hAnsiTheme="minorHAnsi" w:cstheme="minorHAnsi"/>
          <w:sz w:val="21"/>
          <w:szCs w:val="21"/>
          <w:lang w:val="fr-CH"/>
        </w:rPr>
      </w:pPr>
      <w:r w:rsidRPr="00C87131">
        <w:rPr>
          <w:rStyle w:val="normaltextrun"/>
          <w:rFonts w:asciiTheme="minorHAnsi" w:hAnsiTheme="minorHAnsi" w:cstheme="minorHAnsi"/>
          <w:color w:val="4A4A4A"/>
          <w:sz w:val="21"/>
          <w:szCs w:val="21"/>
          <w:lang w:val="fr-CH"/>
        </w:rPr>
        <w:t>ILOSTAT (</w:t>
      </w:r>
      <w:hyperlink r:id="rId16" w:tgtFrame="_blank" w:history="1">
        <w:r w:rsidRPr="00C87131">
          <w:rPr>
            <w:rStyle w:val="normaltextrun"/>
            <w:rFonts w:asciiTheme="minorHAnsi" w:hAnsiTheme="minorHAnsi" w:cstheme="minorHAnsi"/>
            <w:color w:val="0000FF"/>
            <w:sz w:val="22"/>
            <w:szCs w:val="22"/>
            <w:u w:val="single"/>
            <w:lang w:val="fr-CH"/>
          </w:rPr>
          <w:t>https://ilostat.ilo.org</w:t>
        </w:r>
      </w:hyperlink>
      <w:r w:rsidRPr="00C87131">
        <w:rPr>
          <w:rStyle w:val="normaltextrun"/>
          <w:rFonts w:asciiTheme="minorHAnsi" w:hAnsiTheme="minorHAnsi" w:cstheme="minorHAnsi"/>
          <w:color w:val="4A4A4A"/>
          <w:sz w:val="21"/>
          <w:szCs w:val="21"/>
          <w:lang w:val="fr-CH"/>
        </w:rPr>
        <w:t>)</w:t>
      </w:r>
      <w:r w:rsidRPr="00A4061C">
        <w:rPr>
          <w:rStyle w:val="eop"/>
          <w:rFonts w:asciiTheme="minorHAnsi" w:hAnsiTheme="minorHAnsi" w:cstheme="minorHAnsi"/>
          <w:color w:val="4A4A4A"/>
          <w:sz w:val="21"/>
          <w:szCs w:val="21"/>
          <w:lang w:val="fr-CH"/>
        </w:rPr>
        <w:t> </w:t>
      </w:r>
    </w:p>
    <w:p w14:paraId="3C2CF40A" w14:textId="1D62B09C" w:rsidR="0048142E" w:rsidRPr="00C87131" w:rsidRDefault="0048142E" w:rsidP="001E15C7">
      <w:pPr>
        <w:pStyle w:val="paragraph"/>
        <w:numPr>
          <w:ilvl w:val="0"/>
          <w:numId w:val="6"/>
        </w:numPr>
        <w:shd w:val="clear" w:color="auto" w:fill="FFFFFF"/>
        <w:spacing w:before="0" w:beforeAutospacing="0" w:after="0" w:afterAutospacing="0" w:line="276" w:lineRule="auto"/>
        <w:ind w:firstLine="0"/>
        <w:textAlignment w:val="baseline"/>
        <w:rPr>
          <w:rFonts w:asciiTheme="minorHAnsi" w:hAnsiTheme="minorHAnsi" w:cstheme="minorHAnsi"/>
          <w:sz w:val="21"/>
          <w:szCs w:val="21"/>
        </w:rPr>
      </w:pPr>
      <w:r w:rsidRPr="00272A1D">
        <w:rPr>
          <w:rStyle w:val="normaltextrun"/>
          <w:rFonts w:asciiTheme="minorHAnsi" w:hAnsiTheme="minorHAnsi" w:cstheme="minorHAnsi"/>
          <w:color w:val="4A4A4A"/>
          <w:sz w:val="21"/>
          <w:szCs w:val="21"/>
          <w:lang w:val="en-GB"/>
        </w:rPr>
        <w:t>ILOSTAT Metadata – Indicator descriptions</w:t>
      </w:r>
      <w:r w:rsidR="00B06FBE">
        <w:rPr>
          <w:rStyle w:val="normaltextrun"/>
          <w:rFonts w:asciiTheme="minorHAnsi" w:hAnsiTheme="minorHAnsi" w:cstheme="minorHAnsi"/>
          <w:color w:val="4A4A4A"/>
          <w:sz w:val="21"/>
          <w:szCs w:val="21"/>
          <w:lang w:val="en-GB"/>
        </w:rPr>
        <w:t>(</w:t>
      </w:r>
      <w:r w:rsidR="00B06FBE" w:rsidRPr="00B06FBE">
        <w:rPr>
          <w:rStyle w:val="normaltextrun"/>
          <w:rFonts w:asciiTheme="minorHAnsi" w:hAnsiTheme="minorHAnsi" w:cstheme="minorHAnsi"/>
          <w:color w:val="4A4A4A"/>
          <w:sz w:val="21"/>
          <w:szCs w:val="21"/>
          <w:lang w:val="en-GB"/>
        </w:rPr>
        <w:t>https://ilostat.ilo.org/methods/concepts-and-definitions/description-occupational-safety-and-health-statistics/</w:t>
      </w:r>
      <w:r w:rsidRPr="00C87131">
        <w:rPr>
          <w:rStyle w:val="normaltextrun"/>
          <w:rFonts w:asciiTheme="minorHAnsi" w:hAnsiTheme="minorHAnsi" w:cstheme="minorHAnsi"/>
          <w:color w:val="4A4A4A"/>
          <w:sz w:val="21"/>
          <w:szCs w:val="21"/>
          <w:lang w:val="fr-CH"/>
        </w:rPr>
        <w:t>)</w:t>
      </w:r>
      <w:r w:rsidRPr="00C87131">
        <w:rPr>
          <w:rStyle w:val="eop"/>
          <w:rFonts w:asciiTheme="minorHAnsi" w:hAnsiTheme="minorHAnsi" w:cstheme="minorHAnsi"/>
          <w:color w:val="4A4A4A"/>
          <w:sz w:val="21"/>
          <w:szCs w:val="21"/>
        </w:rPr>
        <w:t> </w:t>
      </w:r>
    </w:p>
    <w:p w14:paraId="2939895F" w14:textId="77777777" w:rsidR="00EC2915" w:rsidRPr="00C87131" w:rsidRDefault="00EC2915" w:rsidP="00576CFA">
      <w:pPr>
        <w:pStyle w:val="MText"/>
        <w:rPr>
          <w:rFonts w:cstheme="minorHAnsi"/>
        </w:rPr>
      </w:pPr>
    </w:p>
    <w:p w14:paraId="494C36E8" w14:textId="22C3CD05" w:rsidR="00E1050F" w:rsidRPr="00C87131" w:rsidRDefault="00576CFA" w:rsidP="00F719A8">
      <w:pPr>
        <w:pStyle w:val="MHeader2"/>
        <w:rPr>
          <w:rFonts w:cstheme="minorHAnsi"/>
        </w:rPr>
      </w:pPr>
      <w:r w:rsidRPr="00C87131">
        <w:rPr>
          <w:rFonts w:cstheme="minorHAnsi"/>
        </w:rPr>
        <w:t xml:space="preserve">4.i. Quality management </w:t>
      </w:r>
      <w:r>
        <w:rPr>
          <w:color w:val="B4B4B4"/>
          <w:sz w:val="20"/>
        </w:rPr>
        <w:t>(QUALITY_MGMNT)</w:t>
      </w:r>
    </w:p>
    <w:p w14:paraId="005745EC" w14:textId="4B238272" w:rsidR="001B2436" w:rsidRDefault="001B2436" w:rsidP="00576CFA">
      <w:pPr>
        <w:pStyle w:val="MText"/>
      </w:pPr>
      <w:r w:rsidRPr="00563BF3">
        <w:lastRenderedPageBreak/>
        <w:t xml:space="preserve">The processes of compilation, </w:t>
      </w:r>
      <w:r>
        <w:t xml:space="preserve">production, </w:t>
      </w:r>
      <w:r w:rsidRPr="00563BF3">
        <w:t xml:space="preserve">and publication of data, including its quality control, are carried out following the methodological framework and </w:t>
      </w:r>
      <w:r w:rsidRPr="009438C6">
        <w:t>standards established by the ILO Department of Statistics, in compliance with the information technology and management standards of the ILO.</w:t>
      </w:r>
    </w:p>
    <w:p w14:paraId="2C502EF3" w14:textId="77777777" w:rsidR="004B62F4" w:rsidRDefault="004B62F4" w:rsidP="00576CFA">
      <w:pPr>
        <w:pStyle w:val="MText"/>
        <w:rPr>
          <w:rFonts w:cstheme="minorHAnsi"/>
        </w:rPr>
      </w:pPr>
    </w:p>
    <w:p w14:paraId="17B979CA" w14:textId="449C0153" w:rsidR="00E1050F" w:rsidRPr="00C87131" w:rsidRDefault="00E1050F" w:rsidP="00F719A8">
      <w:pPr>
        <w:pStyle w:val="MHeader2"/>
        <w:rPr>
          <w:rFonts w:cstheme="minorHAnsi"/>
        </w:rPr>
      </w:pPr>
      <w:r w:rsidRPr="00C87131">
        <w:rPr>
          <w:rFonts w:cstheme="minorHAnsi"/>
        </w:rPr>
        <w:t xml:space="preserve">4.j Quality assurance </w:t>
      </w:r>
      <w:r>
        <w:rPr>
          <w:color w:val="B4B4B4"/>
          <w:sz w:val="20"/>
        </w:rPr>
        <w:t>(QUALITY_ASSURE)</w:t>
      </w:r>
    </w:p>
    <w:p w14:paraId="03EF3244" w14:textId="1066D96B" w:rsidR="00EC2915" w:rsidRPr="00C87131" w:rsidRDefault="0048142E" w:rsidP="00576CFA">
      <w:pPr>
        <w:pStyle w:val="MText"/>
        <w:rPr>
          <w:rStyle w:val="eop"/>
          <w:rFonts w:cstheme="minorHAnsi"/>
        </w:rPr>
      </w:pPr>
      <w:r w:rsidRPr="00C87131">
        <w:rPr>
          <w:rStyle w:val="normaltextrun"/>
          <w:rFonts w:cstheme="minorHAnsi"/>
        </w:rPr>
        <w:t xml:space="preserve">Data consistency and quality checks </w:t>
      </w:r>
      <w:r w:rsidR="00B27832">
        <w:rPr>
          <w:rStyle w:val="normaltextrun"/>
          <w:rFonts w:cstheme="minorHAnsi"/>
        </w:rPr>
        <w:t xml:space="preserve">are </w:t>
      </w:r>
      <w:r w:rsidRPr="00C87131">
        <w:rPr>
          <w:rStyle w:val="normaltextrun"/>
          <w:rFonts w:cstheme="minorHAnsi"/>
        </w:rPr>
        <w:t>regularly conducted for validation of the data before dissemination in the ILOSTAT database.</w:t>
      </w:r>
    </w:p>
    <w:p w14:paraId="041616C9" w14:textId="77777777" w:rsidR="0048142E" w:rsidRPr="00C87131" w:rsidRDefault="0048142E" w:rsidP="00576CFA">
      <w:pPr>
        <w:pStyle w:val="MText"/>
        <w:rPr>
          <w:rFonts w:cstheme="minorHAnsi"/>
        </w:rPr>
      </w:pPr>
    </w:p>
    <w:p w14:paraId="34ADD322" w14:textId="1A21C057" w:rsidR="00E1050F" w:rsidRPr="00C87131" w:rsidRDefault="00576CFA" w:rsidP="00F719A8">
      <w:pPr>
        <w:pStyle w:val="MHeader2"/>
        <w:rPr>
          <w:rFonts w:cstheme="minorHAnsi"/>
        </w:rPr>
      </w:pPr>
      <w:r w:rsidRPr="00C87131">
        <w:rPr>
          <w:rFonts w:cstheme="minorHAnsi"/>
        </w:rPr>
        <w:t xml:space="preserve">4.k Quality assessment </w:t>
      </w:r>
      <w:r>
        <w:rPr>
          <w:color w:val="B4B4B4"/>
          <w:sz w:val="20"/>
        </w:rPr>
        <w:t>(QUALITY_ASSMNT)</w:t>
      </w:r>
    </w:p>
    <w:p w14:paraId="5587904B" w14:textId="595CB95D" w:rsidR="001B2436" w:rsidRDefault="001B2436" w:rsidP="00576CFA">
      <w:pPr>
        <w:pStyle w:val="MText"/>
        <w:rPr>
          <w:rFonts w:cstheme="minorHAnsi"/>
        </w:rPr>
      </w:pPr>
      <w:r w:rsidRPr="00366EF3">
        <w:t xml:space="preserve">The final assessment of the quality of information is carried out by the </w:t>
      </w:r>
      <w:r>
        <w:t>Data Production and Analysis Unit of the ILO Department of</w:t>
      </w:r>
      <w:r w:rsidRPr="00366EF3">
        <w:t xml:space="preserve"> </w:t>
      </w:r>
      <w:r w:rsidR="000C33F9">
        <w:t>Statistics</w:t>
      </w:r>
      <w:r w:rsidRPr="00366EF3">
        <w:t>.  In case</w:t>
      </w:r>
      <w:r>
        <w:t>s</w:t>
      </w:r>
      <w:r w:rsidRPr="00366EF3">
        <w:t xml:space="preserve"> of doubt about the quality of specific data, these </w:t>
      </w:r>
      <w:r>
        <w:t>values</w:t>
      </w:r>
      <w:r w:rsidRPr="00366EF3">
        <w:t xml:space="preserve"> are reviewed</w:t>
      </w:r>
      <w:r>
        <w:t xml:space="preserve"> with</w:t>
      </w:r>
      <w:r w:rsidRPr="00366EF3">
        <w:t xml:space="preserve"> the participation of the national agencies responsible for producing </w:t>
      </w:r>
      <w:r>
        <w:t xml:space="preserve">the </w:t>
      </w:r>
      <w:r w:rsidRPr="00366EF3">
        <w:t>data</w:t>
      </w:r>
      <w:r>
        <w:t xml:space="preserve"> if appropriate</w:t>
      </w:r>
      <w:r w:rsidRPr="00366EF3">
        <w:t>. If th</w:t>
      </w:r>
      <w:r>
        <w:t>e issues cannot be clarified</w:t>
      </w:r>
      <w:r w:rsidRPr="00366EF3">
        <w:t>, the respective information is not published.</w:t>
      </w:r>
    </w:p>
    <w:p w14:paraId="24759FD3" w14:textId="77777777" w:rsidR="001E15C7" w:rsidRPr="00C87131" w:rsidRDefault="001E15C7" w:rsidP="00576CFA">
      <w:pPr>
        <w:pStyle w:val="MText"/>
        <w:rPr>
          <w:rFonts w:cstheme="minorHAnsi"/>
        </w:rPr>
      </w:pPr>
    </w:p>
    <w:p w14:paraId="17787B3C" w14:textId="03FE81A9" w:rsidR="00E1050F" w:rsidRPr="00C87131" w:rsidRDefault="00576CFA" w:rsidP="000412A0">
      <w:pPr>
        <w:pStyle w:val="MHeader"/>
        <w:spacing w:after="100"/>
        <w:rPr>
          <w:rFonts w:cstheme="minorHAnsi"/>
        </w:rPr>
      </w:pPr>
      <w:r w:rsidRPr="00C87131">
        <w:rPr>
          <w:rFonts w:cstheme="minorHAnsi"/>
        </w:rPr>
        <w:t xml:space="preserve">5. Data availability and disaggregation </w:t>
      </w:r>
      <w:r>
        <w:rPr>
          <w:color w:val="B4B4B4"/>
          <w:sz w:val="20"/>
        </w:rPr>
        <w:t>(COVERAGE)</w:t>
      </w:r>
    </w:p>
    <w:p w14:paraId="138B75FF" w14:textId="2C96B430" w:rsidR="00801D50" w:rsidRPr="005F1666" w:rsidRDefault="00801D50" w:rsidP="00801D50">
      <w:pPr>
        <w:pStyle w:val="MText"/>
      </w:pPr>
      <w:r w:rsidRPr="005F1666">
        <w:t>Data may differ from those published on ILOSTAT due to different update schedules and stricter criteria applied for inclusion in the SDG database.</w:t>
      </w:r>
    </w:p>
    <w:p w14:paraId="49C5A357" w14:textId="54AFA86C" w:rsidR="00DF31DC" w:rsidRDefault="00D51E7C" w:rsidP="134C9FAC">
      <w:pPr>
        <w:pStyle w:val="MText"/>
        <w:rPr>
          <w:rFonts w:cstheme="minorBidi"/>
        </w:rPr>
      </w:pPr>
      <w:r w:rsidRPr="00053B6C">
        <w:rPr>
          <w:b/>
        </w:rPr>
        <w:t>Data availability:</w:t>
      </w:r>
    </w:p>
    <w:p w14:paraId="464A8CCF" w14:textId="175418DE" w:rsidR="00576CFA" w:rsidRPr="00C87131" w:rsidRDefault="00421B7B" w:rsidP="00421B7B">
      <w:pPr>
        <w:pStyle w:val="MText"/>
        <w:rPr>
          <w:rFonts w:cstheme="minorHAnsi"/>
          <w:highlight w:val="cyan"/>
        </w:rPr>
      </w:pPr>
      <w:r w:rsidRPr="00E85844">
        <w:t xml:space="preserve">Data </w:t>
      </w:r>
      <w:r w:rsidR="001E15C7">
        <w:t xml:space="preserve">on fatal injuries per 100,000 workers </w:t>
      </w:r>
      <w:r w:rsidRPr="00E85844">
        <w:t xml:space="preserve">is available for </w:t>
      </w:r>
      <w:r w:rsidR="00E7423E">
        <w:t>99</w:t>
      </w:r>
      <w:r w:rsidRPr="00E85844">
        <w:t xml:space="preserve"> countries and territories.</w:t>
      </w:r>
      <w:r w:rsidR="001E15C7">
        <w:t xml:space="preserve"> Data on </w:t>
      </w:r>
      <w:r w:rsidR="009E6597">
        <w:t xml:space="preserve">non-fatal </w:t>
      </w:r>
      <w:r w:rsidR="001E15C7">
        <w:t>injuries per 100,000 workers is available for 9</w:t>
      </w:r>
      <w:r w:rsidR="00E7423E">
        <w:t>7</w:t>
      </w:r>
      <w:r w:rsidR="001E15C7">
        <w:t xml:space="preserve"> countries and territories.</w:t>
      </w:r>
    </w:p>
    <w:p w14:paraId="2D0542F7" w14:textId="3DE6BFAB" w:rsidR="00D51E7C" w:rsidRPr="00C87131" w:rsidRDefault="00D51E7C" w:rsidP="00576CFA">
      <w:pPr>
        <w:pStyle w:val="MText"/>
        <w:rPr>
          <w:rFonts w:cstheme="minorHAnsi"/>
          <w:highlight w:val="cyan"/>
        </w:rPr>
      </w:pPr>
    </w:p>
    <w:p w14:paraId="3E50D25D" w14:textId="104AC4E2" w:rsidR="00DF31DC" w:rsidRDefault="00D51E7C" w:rsidP="134C9FAC">
      <w:pPr>
        <w:pStyle w:val="MText"/>
      </w:pPr>
      <w:r w:rsidRPr="00053B6C">
        <w:rPr>
          <w:b/>
        </w:rPr>
        <w:t>Time series:</w:t>
      </w:r>
    </w:p>
    <w:p w14:paraId="5853D6F7" w14:textId="1F6FC97A" w:rsidR="00D51E7C" w:rsidRPr="00C87131" w:rsidRDefault="00421B7B" w:rsidP="00421B7B">
      <w:pPr>
        <w:pStyle w:val="MText"/>
        <w:rPr>
          <w:rFonts w:cstheme="minorHAnsi"/>
          <w:highlight w:val="cyan"/>
        </w:rPr>
      </w:pPr>
      <w:r w:rsidRPr="000F71CA">
        <w:t xml:space="preserve">The </w:t>
      </w:r>
      <w:r>
        <w:t xml:space="preserve">submission </w:t>
      </w:r>
      <w:r w:rsidRPr="000F71CA">
        <w:t>co</w:t>
      </w:r>
      <w:r w:rsidRPr="008E5424">
        <w:t xml:space="preserve">vers </w:t>
      </w:r>
      <w:r>
        <w:t>data from</w:t>
      </w:r>
      <w:r w:rsidRPr="008E5424">
        <w:t xml:space="preserve"> 2000 to 20</w:t>
      </w:r>
      <w:r w:rsidR="001E15C7">
        <w:t>2</w:t>
      </w:r>
      <w:r w:rsidR="007D0B2E">
        <w:t>3</w:t>
      </w:r>
      <w:r w:rsidRPr="000F71CA">
        <w:t>.</w:t>
      </w:r>
    </w:p>
    <w:p w14:paraId="760C013A" w14:textId="4597FCBD" w:rsidR="00D51E7C" w:rsidRPr="00C87131" w:rsidRDefault="00D51E7C" w:rsidP="00576CFA">
      <w:pPr>
        <w:pStyle w:val="MText"/>
        <w:rPr>
          <w:rFonts w:cstheme="minorHAnsi"/>
          <w:highlight w:val="cyan"/>
        </w:rPr>
      </w:pPr>
    </w:p>
    <w:p w14:paraId="72C7C370" w14:textId="35444508" w:rsidR="00D51E7C" w:rsidRPr="001E15C7" w:rsidRDefault="00D51E7C" w:rsidP="00A43022">
      <w:pPr>
        <w:pStyle w:val="MText"/>
      </w:pPr>
      <w:r w:rsidRPr="00053B6C">
        <w:rPr>
          <w:b/>
        </w:rPr>
        <w:t>Disaggregation:</w:t>
      </w:r>
    </w:p>
    <w:p w14:paraId="2DA19F45" w14:textId="77777777" w:rsidR="0048142E" w:rsidRPr="00C87131" w:rsidRDefault="0048142E"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This indicator should be disaggregated by both sex and migrant status.</w:t>
      </w:r>
      <w:r w:rsidRPr="00C87131">
        <w:rPr>
          <w:rStyle w:val="eop"/>
          <w:rFonts w:asciiTheme="minorHAnsi" w:hAnsiTheme="minorHAnsi" w:cstheme="minorHAnsi"/>
          <w:color w:val="4A4A4A"/>
          <w:sz w:val="21"/>
          <w:szCs w:val="21"/>
        </w:rPr>
        <w:t> </w:t>
      </w:r>
    </w:p>
    <w:p w14:paraId="2C67F39B" w14:textId="1E9109B7" w:rsidR="0048142E" w:rsidRPr="00C87131" w:rsidRDefault="0048142E" w:rsidP="001E15C7">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C87131">
        <w:rPr>
          <w:rStyle w:val="normaltextrun"/>
          <w:rFonts w:asciiTheme="minorHAnsi" w:hAnsiTheme="minorHAnsi" w:cstheme="minorHAnsi"/>
          <w:color w:val="4A4A4A"/>
          <w:sz w:val="21"/>
          <w:szCs w:val="21"/>
          <w:lang w:val="en-GB"/>
        </w:rPr>
        <w:t>Wherever possible, it would also be useful to have information disaggregated by economic activity and occupation.</w:t>
      </w:r>
    </w:p>
    <w:p w14:paraId="42E8CA56" w14:textId="77777777" w:rsidR="00D51E7C" w:rsidRPr="00C87131" w:rsidRDefault="00D51E7C" w:rsidP="00576CFA">
      <w:pPr>
        <w:pStyle w:val="MText"/>
        <w:rPr>
          <w:rFonts w:cstheme="minorHAnsi"/>
        </w:rPr>
      </w:pPr>
    </w:p>
    <w:p w14:paraId="4D0520F7" w14:textId="11F0E737" w:rsidR="00382CF3" w:rsidRPr="00C87131" w:rsidRDefault="00B31E2C" w:rsidP="000412A0">
      <w:pPr>
        <w:pStyle w:val="MHeader"/>
        <w:spacing w:after="100"/>
        <w:rPr>
          <w:rFonts w:cstheme="minorHAnsi"/>
        </w:rPr>
      </w:pPr>
      <w:r w:rsidRPr="00C87131">
        <w:rPr>
          <w:rFonts w:cstheme="minorHAnsi"/>
        </w:rPr>
        <w:t xml:space="preserve">6. Comparability / deviation from international standards </w:t>
      </w:r>
      <w:r>
        <w:rPr>
          <w:color w:val="B4B4B4"/>
          <w:sz w:val="20"/>
        </w:rPr>
        <w:t>(COMPARABILITY)</w:t>
      </w:r>
    </w:p>
    <w:p w14:paraId="3595E072" w14:textId="4F25FF2B" w:rsidR="00D51E7C" w:rsidRPr="001E15C7" w:rsidRDefault="00D51E7C" w:rsidP="00576CFA">
      <w:pPr>
        <w:pStyle w:val="MText"/>
      </w:pPr>
      <w:r w:rsidRPr="00053B6C">
        <w:rPr>
          <w:b/>
        </w:rPr>
        <w:t>Sources of discrepancies:</w:t>
      </w:r>
    </w:p>
    <w:p w14:paraId="7FCF713E" w14:textId="142EBF8D" w:rsidR="009559E9" w:rsidRDefault="009559E9" w:rsidP="009559E9">
      <w:pPr>
        <w:pStyle w:val="MText"/>
        <w:rPr>
          <w:rFonts w:cstheme="minorHAnsi"/>
        </w:rPr>
      </w:pPr>
      <w:r w:rsidRPr="009559E9">
        <w:rPr>
          <w:rFonts w:cstheme="minorHAnsi"/>
        </w:rPr>
        <w:t>The variety of possible sources of data on occupational injuries hinders t</w:t>
      </w:r>
      <w:r>
        <w:rPr>
          <w:rFonts w:cstheme="minorHAnsi"/>
        </w:rPr>
        <w:t xml:space="preserve">he comparability of data across </w:t>
      </w:r>
      <w:r w:rsidRPr="009559E9">
        <w:rPr>
          <w:rFonts w:cstheme="minorHAnsi"/>
        </w:rPr>
        <w:t>countries since each type of source provides information on different specific concepts. Data</w:t>
      </w:r>
      <w:r>
        <w:rPr>
          <w:rFonts w:cstheme="minorHAnsi"/>
        </w:rPr>
        <w:t xml:space="preserve"> </w:t>
      </w:r>
      <w:r w:rsidRPr="009559E9">
        <w:rPr>
          <w:rFonts w:cstheme="minorHAnsi"/>
        </w:rPr>
        <w:t>derived from administrative records are not strictly comparable since they include numerous</w:t>
      </w:r>
      <w:r>
        <w:rPr>
          <w:rFonts w:cstheme="minorHAnsi"/>
        </w:rPr>
        <w:t xml:space="preserve"> </w:t>
      </w:r>
      <w:r w:rsidRPr="009559E9">
        <w:rPr>
          <w:rFonts w:cstheme="minorHAnsi"/>
        </w:rPr>
        <w:t>types of records that follow different rules and are maintained by different agencies. Two</w:t>
      </w:r>
      <w:r>
        <w:rPr>
          <w:rFonts w:cstheme="minorHAnsi"/>
        </w:rPr>
        <w:t xml:space="preserve"> </w:t>
      </w:r>
      <w:r w:rsidRPr="009559E9">
        <w:rPr>
          <w:rFonts w:cstheme="minorHAnsi"/>
        </w:rPr>
        <w:t>main sources of data are records of notifications by employers to the competent authority</w:t>
      </w:r>
      <w:r>
        <w:rPr>
          <w:rFonts w:cstheme="minorHAnsi"/>
        </w:rPr>
        <w:t xml:space="preserve"> </w:t>
      </w:r>
      <w:r w:rsidRPr="009559E9">
        <w:rPr>
          <w:rFonts w:cstheme="minorHAnsi"/>
        </w:rPr>
        <w:t>and insurance records of the authority compensating the victims. These two would clearly</w:t>
      </w:r>
      <w:r>
        <w:rPr>
          <w:rFonts w:cstheme="minorHAnsi"/>
        </w:rPr>
        <w:t xml:space="preserve"> </w:t>
      </w:r>
      <w:r w:rsidRPr="009559E9">
        <w:rPr>
          <w:rFonts w:cstheme="minorHAnsi"/>
        </w:rPr>
        <w:t>yield different results, since it is possible that not all injuries that were compensated to</w:t>
      </w:r>
      <w:r>
        <w:rPr>
          <w:rFonts w:cstheme="minorHAnsi"/>
        </w:rPr>
        <w:t xml:space="preserve"> </w:t>
      </w:r>
      <w:r w:rsidRPr="009559E9">
        <w:rPr>
          <w:rFonts w:cstheme="minorHAnsi"/>
        </w:rPr>
        <w:t>workers were reported by the employer and vice versa. It is also possible that these records</w:t>
      </w:r>
      <w:r>
        <w:rPr>
          <w:rFonts w:cstheme="minorHAnsi"/>
        </w:rPr>
        <w:t xml:space="preserve"> </w:t>
      </w:r>
      <w:r w:rsidRPr="009559E9">
        <w:rPr>
          <w:rFonts w:cstheme="minorHAnsi"/>
        </w:rPr>
        <w:t>have a different geographical coverage or that they cover different economic activities.</w:t>
      </w:r>
    </w:p>
    <w:p w14:paraId="6077396C" w14:textId="77777777" w:rsidR="00A43022" w:rsidRDefault="00A43022" w:rsidP="009559E9">
      <w:pPr>
        <w:pStyle w:val="MText"/>
        <w:rPr>
          <w:rFonts w:cstheme="minorHAnsi"/>
        </w:rPr>
      </w:pPr>
    </w:p>
    <w:p w14:paraId="34963F72" w14:textId="3D2E7464" w:rsidR="009559E9" w:rsidRDefault="009559E9" w:rsidP="009559E9">
      <w:pPr>
        <w:pStyle w:val="MText"/>
        <w:rPr>
          <w:rFonts w:cstheme="minorHAnsi"/>
        </w:rPr>
      </w:pPr>
      <w:r w:rsidRPr="009559E9">
        <w:rPr>
          <w:rFonts w:cstheme="minorHAnsi"/>
        </w:rPr>
        <w:t>When statistics come from an establishment survey, the results would</w:t>
      </w:r>
      <w:r>
        <w:rPr>
          <w:rFonts w:cstheme="minorHAnsi"/>
        </w:rPr>
        <w:t xml:space="preserve"> </w:t>
      </w:r>
      <w:r w:rsidRPr="009559E9">
        <w:rPr>
          <w:rFonts w:cstheme="minorHAnsi"/>
        </w:rPr>
        <w:t>be closer to those from records of notifications made by employers since it is also the</w:t>
      </w:r>
      <w:r>
        <w:rPr>
          <w:rFonts w:cstheme="minorHAnsi"/>
        </w:rPr>
        <w:t xml:space="preserve"> </w:t>
      </w:r>
      <w:r w:rsidRPr="009559E9">
        <w:rPr>
          <w:rFonts w:cstheme="minorHAnsi"/>
        </w:rPr>
        <w:t xml:space="preserve">employer who provides the establishment survey </w:t>
      </w:r>
      <w:r w:rsidRPr="009559E9">
        <w:rPr>
          <w:rFonts w:cstheme="minorHAnsi"/>
        </w:rPr>
        <w:lastRenderedPageBreak/>
        <w:t>information. However, establishment</w:t>
      </w:r>
      <w:r>
        <w:rPr>
          <w:rFonts w:cstheme="minorHAnsi"/>
        </w:rPr>
        <w:t xml:space="preserve"> </w:t>
      </w:r>
      <w:r w:rsidRPr="009559E9">
        <w:rPr>
          <w:rFonts w:cstheme="minorHAnsi"/>
        </w:rPr>
        <w:t>surveys tend not to cover the informal sector, establishments of a very small size and</w:t>
      </w:r>
      <w:r>
        <w:rPr>
          <w:rFonts w:cstheme="minorHAnsi"/>
        </w:rPr>
        <w:t xml:space="preserve"> </w:t>
      </w:r>
      <w:r w:rsidRPr="009559E9">
        <w:rPr>
          <w:rFonts w:cstheme="minorHAnsi"/>
        </w:rPr>
        <w:t>sometimes the agricultural sector.</w:t>
      </w:r>
    </w:p>
    <w:p w14:paraId="0F605B0C" w14:textId="3A340209" w:rsidR="00047697" w:rsidRDefault="009559E9" w:rsidP="00576CFA">
      <w:pPr>
        <w:pStyle w:val="MText"/>
        <w:rPr>
          <w:rFonts w:cstheme="minorHAnsi"/>
        </w:rPr>
      </w:pPr>
      <w:r w:rsidRPr="009559E9">
        <w:rPr>
          <w:rFonts w:cstheme="minorHAnsi"/>
        </w:rPr>
        <w:t>When statistics come from a household survey, their reliability depends heavily on the accuracy of the respondents,</w:t>
      </w:r>
      <w:r>
        <w:rPr>
          <w:rFonts w:cstheme="minorHAnsi"/>
        </w:rPr>
        <w:t xml:space="preserve"> </w:t>
      </w:r>
      <w:r w:rsidRPr="009559E9">
        <w:rPr>
          <w:rFonts w:cstheme="minorHAnsi"/>
        </w:rPr>
        <w:t>who may be subjective in the information given.</w:t>
      </w:r>
    </w:p>
    <w:p w14:paraId="5AB6DD91" w14:textId="6A906D32" w:rsidR="00F719A8" w:rsidRPr="00C87131" w:rsidRDefault="009559E9" w:rsidP="00576CFA">
      <w:pPr>
        <w:pStyle w:val="MText"/>
        <w:rPr>
          <w:rFonts w:cstheme="minorHAnsi"/>
        </w:rPr>
      </w:pPr>
      <w:r w:rsidRPr="009559E9">
        <w:rPr>
          <w:rFonts w:cstheme="minorHAnsi"/>
        </w:rPr>
        <w:t xml:space="preserve"> </w:t>
      </w:r>
    </w:p>
    <w:p w14:paraId="76DF099C" w14:textId="703C09F1" w:rsidR="00382CF3" w:rsidRPr="00C87131" w:rsidRDefault="00576CFA" w:rsidP="000412A0">
      <w:pPr>
        <w:pStyle w:val="MHeader"/>
        <w:spacing w:after="100"/>
        <w:rPr>
          <w:rFonts w:cstheme="minorHAnsi"/>
        </w:rPr>
      </w:pPr>
      <w:r w:rsidRPr="00C87131">
        <w:rPr>
          <w:rFonts w:cstheme="minorHAnsi"/>
        </w:rPr>
        <w:t xml:space="preserve">7. References and Documentation </w:t>
      </w:r>
      <w:r>
        <w:rPr>
          <w:color w:val="B4B4B4"/>
          <w:sz w:val="20"/>
        </w:rPr>
        <w:t>(OTHER_DOC)</w:t>
      </w:r>
    </w:p>
    <w:p w14:paraId="41E1AE37" w14:textId="77777777" w:rsidR="0048142E" w:rsidRPr="00C87131" w:rsidRDefault="0048142E" w:rsidP="0048142E">
      <w:pPr>
        <w:shd w:val="clear" w:color="auto" w:fill="FFFFFF"/>
        <w:spacing w:after="0" w:line="240" w:lineRule="auto"/>
        <w:textAlignment w:val="baseline"/>
        <w:rPr>
          <w:rFonts w:eastAsia="Times New Roman" w:cstheme="minorHAnsi"/>
          <w:sz w:val="18"/>
          <w:szCs w:val="18"/>
          <w:lang w:val="en-US" w:eastAsia="en-US"/>
        </w:rPr>
      </w:pPr>
      <w:r w:rsidRPr="00C87131">
        <w:rPr>
          <w:rFonts w:eastAsia="Times New Roman" w:cstheme="minorHAnsi"/>
          <w:color w:val="4A4A4A"/>
          <w:sz w:val="21"/>
          <w:szCs w:val="21"/>
          <w:lang w:val="en-US" w:eastAsia="en-US"/>
        </w:rPr>
        <w:t> </w:t>
      </w:r>
    </w:p>
    <w:p w14:paraId="09E54A00" w14:textId="01DBEE4D" w:rsidR="0048142E" w:rsidRPr="00C87131" w:rsidRDefault="0048142E" w:rsidP="001E15C7">
      <w:pPr>
        <w:numPr>
          <w:ilvl w:val="0"/>
          <w:numId w:val="7"/>
        </w:numPr>
        <w:shd w:val="clear" w:color="auto" w:fill="FFFFFF"/>
        <w:spacing w:after="0"/>
        <w:ind w:left="360" w:firstLine="0"/>
        <w:textAlignment w:val="baseline"/>
        <w:rPr>
          <w:rFonts w:eastAsia="Times New Roman" w:cstheme="minorHAnsi"/>
          <w:sz w:val="21"/>
          <w:szCs w:val="21"/>
          <w:lang w:val="en-US" w:eastAsia="en-US"/>
        </w:rPr>
      </w:pPr>
      <w:r w:rsidRPr="00C87131">
        <w:rPr>
          <w:rFonts w:eastAsia="Times New Roman" w:cstheme="minorHAnsi"/>
          <w:color w:val="4A4A4A"/>
          <w:sz w:val="21"/>
          <w:szCs w:val="21"/>
          <w:lang w:eastAsia="en-US"/>
        </w:rPr>
        <w:t>ILO Guidebook - Decent Work and the Sustainable Development Goals: A Guidebook on SDG Labour Market Indicators (</w:t>
      </w:r>
      <w:hyperlink r:id="rId17" w:history="1">
        <w:r w:rsidR="00EB0E00" w:rsidRPr="00EB0E00">
          <w:rPr>
            <w:rStyle w:val="Hyperlink"/>
            <w:rFonts w:eastAsia="Times New Roman" w:cstheme="minorHAnsi"/>
            <w:sz w:val="21"/>
            <w:szCs w:val="21"/>
            <w:lang w:eastAsia="en-US"/>
          </w:rPr>
          <w:t>https://www.ilo.org/global/statistics-and-databases/publications/WCMS_647109/lang--en/index.htm</w:t>
        </w:r>
      </w:hyperlink>
      <w:r w:rsidRPr="00C87131">
        <w:rPr>
          <w:rFonts w:eastAsia="Times New Roman" w:cstheme="minorHAnsi"/>
          <w:color w:val="4A4A4A"/>
          <w:sz w:val="21"/>
          <w:szCs w:val="21"/>
          <w:lang w:eastAsia="en-US"/>
        </w:rPr>
        <w:t>)</w:t>
      </w:r>
      <w:r w:rsidRPr="00C87131">
        <w:rPr>
          <w:rFonts w:eastAsia="Times New Roman" w:cstheme="minorHAnsi"/>
          <w:color w:val="4A4A4A"/>
          <w:sz w:val="21"/>
          <w:szCs w:val="21"/>
          <w:lang w:val="en-US" w:eastAsia="en-US"/>
        </w:rPr>
        <w:t> </w:t>
      </w:r>
    </w:p>
    <w:p w14:paraId="3C54A98F" w14:textId="136E7CB1" w:rsidR="0048142E" w:rsidRPr="00A4061C" w:rsidRDefault="0048142E" w:rsidP="001E15C7">
      <w:pPr>
        <w:numPr>
          <w:ilvl w:val="0"/>
          <w:numId w:val="7"/>
        </w:numPr>
        <w:shd w:val="clear" w:color="auto" w:fill="FFFFFF"/>
        <w:spacing w:after="0"/>
        <w:ind w:left="360" w:firstLine="0"/>
        <w:textAlignment w:val="baseline"/>
        <w:rPr>
          <w:rStyle w:val="MTextChar"/>
          <w:rFonts w:eastAsiaTheme="minorEastAsia" w:cstheme="minorHAnsi"/>
          <w:lang w:val="fr-CH"/>
        </w:rPr>
      </w:pPr>
      <w:r w:rsidRPr="00A4061C">
        <w:rPr>
          <w:rFonts w:eastAsia="Times New Roman" w:cstheme="minorHAnsi"/>
          <w:color w:val="4A4A4A"/>
          <w:sz w:val="21"/>
          <w:szCs w:val="21"/>
          <w:lang w:val="fr-CH" w:eastAsia="en-US"/>
        </w:rPr>
        <w:t xml:space="preserve">ILOSTAT </w:t>
      </w:r>
      <w:proofErr w:type="gramStart"/>
      <w:r w:rsidR="00F34F43">
        <w:rPr>
          <w:rFonts w:eastAsia="Times New Roman" w:cstheme="minorHAnsi"/>
          <w:color w:val="4A4A4A"/>
          <w:sz w:val="21"/>
          <w:szCs w:val="21"/>
          <w:lang w:val="fr-CH" w:eastAsia="en-US"/>
        </w:rPr>
        <w:t>portal</w:t>
      </w:r>
      <w:r w:rsidRPr="00A4061C">
        <w:rPr>
          <w:rFonts w:eastAsia="Times New Roman" w:cstheme="minorHAnsi"/>
          <w:color w:val="4A4A4A"/>
          <w:sz w:val="21"/>
          <w:szCs w:val="21"/>
          <w:lang w:val="fr-CH" w:eastAsia="en-US"/>
        </w:rPr>
        <w:t>:</w:t>
      </w:r>
      <w:proofErr w:type="gramEnd"/>
      <w:r w:rsidRPr="00A4061C">
        <w:rPr>
          <w:rFonts w:eastAsia="Times New Roman" w:cstheme="minorHAnsi"/>
          <w:color w:val="4A4A4A"/>
          <w:sz w:val="21"/>
          <w:szCs w:val="21"/>
          <w:lang w:val="fr-CH" w:eastAsia="en-US"/>
        </w:rPr>
        <w:t> </w:t>
      </w:r>
      <w:hyperlink r:id="rId18" w:history="1">
        <w:r w:rsidR="004B62F4" w:rsidRPr="003B57B3">
          <w:rPr>
            <w:rStyle w:val="Hyperlink"/>
            <w:rFonts w:cstheme="minorHAnsi"/>
            <w:sz w:val="21"/>
            <w:szCs w:val="21"/>
            <w:shd w:val="clear" w:color="auto" w:fill="FFFFFF"/>
            <w:lang w:val="fr-CH" w:eastAsia="en-GB"/>
          </w:rPr>
          <w:t>https://ilostat.ilo.org</w:t>
        </w:r>
      </w:hyperlink>
      <w:r w:rsidR="004B62F4">
        <w:rPr>
          <w:rStyle w:val="MTextChar"/>
          <w:rFonts w:eastAsiaTheme="minorEastAsia" w:cstheme="minorHAnsi"/>
          <w:lang w:val="fr-CH"/>
        </w:rPr>
        <w:t xml:space="preserve"> </w:t>
      </w:r>
    </w:p>
    <w:p w14:paraId="16F99856" w14:textId="204C2628" w:rsidR="0048142E" w:rsidRPr="00C87131" w:rsidRDefault="0048142E" w:rsidP="001E15C7">
      <w:pPr>
        <w:numPr>
          <w:ilvl w:val="0"/>
          <w:numId w:val="7"/>
        </w:numPr>
        <w:shd w:val="clear" w:color="auto" w:fill="FFFFFF"/>
        <w:spacing w:after="0"/>
        <w:ind w:left="360" w:firstLine="0"/>
        <w:textAlignment w:val="baseline"/>
        <w:rPr>
          <w:rFonts w:eastAsia="Times New Roman" w:cstheme="minorHAnsi"/>
          <w:sz w:val="21"/>
          <w:szCs w:val="21"/>
          <w:lang w:val="en-US" w:eastAsia="en-US"/>
        </w:rPr>
      </w:pPr>
      <w:r w:rsidRPr="00C87131">
        <w:rPr>
          <w:rFonts w:eastAsia="Times New Roman" w:cstheme="minorHAnsi"/>
          <w:color w:val="4A4A4A"/>
          <w:sz w:val="21"/>
          <w:szCs w:val="21"/>
          <w:lang w:eastAsia="en-US"/>
        </w:rPr>
        <w:t xml:space="preserve">ILOSTAT </w:t>
      </w:r>
      <w:r w:rsidR="00F34F43">
        <w:rPr>
          <w:rFonts w:eastAsia="Times New Roman" w:cstheme="minorHAnsi"/>
          <w:color w:val="4A4A4A"/>
          <w:sz w:val="21"/>
          <w:szCs w:val="21"/>
          <w:lang w:eastAsia="en-US"/>
        </w:rPr>
        <w:t xml:space="preserve">Safety and Health Statistics (OSH) database description: </w:t>
      </w:r>
      <w:r w:rsidR="006A3F16" w:rsidRPr="006A3F16">
        <w:rPr>
          <w:rFonts w:eastAsia="Times New Roman" w:cstheme="minorHAnsi"/>
          <w:color w:val="4A4A4A"/>
          <w:sz w:val="21"/>
          <w:szCs w:val="21"/>
          <w:lang w:eastAsia="en-US"/>
        </w:rPr>
        <w:t>https://ilostat.ilo.org/methods/concepts-and-definitions/description-occupational-safety-and-health-statistics/</w:t>
      </w:r>
      <w:r w:rsidR="006A3F16" w:rsidRPr="006A3F16" w:rsidDel="006A3F16">
        <w:rPr>
          <w:rFonts w:eastAsia="Times New Roman" w:cstheme="minorHAnsi"/>
          <w:color w:val="4A4A4A"/>
          <w:sz w:val="21"/>
          <w:szCs w:val="21"/>
          <w:lang w:eastAsia="en-US"/>
        </w:rPr>
        <w:t xml:space="preserve"> </w:t>
      </w:r>
    </w:p>
    <w:p w14:paraId="0055D65D" w14:textId="79D72BDA" w:rsidR="0048142E" w:rsidRPr="00C87131" w:rsidRDefault="0048142E" w:rsidP="001E15C7">
      <w:pPr>
        <w:numPr>
          <w:ilvl w:val="0"/>
          <w:numId w:val="7"/>
        </w:numPr>
        <w:shd w:val="clear" w:color="auto" w:fill="FFFFFF"/>
        <w:spacing w:after="0"/>
        <w:ind w:left="360" w:firstLine="0"/>
        <w:textAlignment w:val="baseline"/>
        <w:rPr>
          <w:rFonts w:eastAsia="Times New Roman" w:cstheme="minorHAnsi"/>
          <w:sz w:val="21"/>
          <w:szCs w:val="21"/>
          <w:lang w:val="en-US" w:eastAsia="en-US"/>
        </w:rPr>
      </w:pPr>
      <w:r w:rsidRPr="00C87131">
        <w:rPr>
          <w:rFonts w:eastAsia="Times New Roman" w:cstheme="minorHAnsi"/>
          <w:color w:val="4A4A4A"/>
          <w:sz w:val="21"/>
          <w:szCs w:val="21"/>
          <w:lang w:eastAsia="en-US"/>
        </w:rPr>
        <w:t>Decent Work Indicators Manual:</w:t>
      </w:r>
      <w:r w:rsidR="001E15C7">
        <w:rPr>
          <w:rFonts w:eastAsia="Times New Roman" w:cstheme="minorHAnsi"/>
          <w:color w:val="4A4A4A"/>
          <w:sz w:val="21"/>
          <w:szCs w:val="21"/>
          <w:lang w:eastAsia="en-US"/>
        </w:rPr>
        <w:t xml:space="preserve"> </w:t>
      </w:r>
      <w:hyperlink r:id="rId19" w:history="1">
        <w:r w:rsidR="004B62F4" w:rsidRPr="003B57B3">
          <w:rPr>
            <w:rStyle w:val="Hyperlink"/>
            <w:rFonts w:cstheme="minorHAnsi"/>
            <w:sz w:val="21"/>
            <w:szCs w:val="21"/>
          </w:rPr>
          <w:t>https://www.ilo.org/integration/resources/pubs/WCMS_229374/lang--en/index.htm</w:t>
        </w:r>
      </w:hyperlink>
      <w:r w:rsidR="004B62F4">
        <w:rPr>
          <w:rStyle w:val="normaltextrun"/>
          <w:rFonts w:cstheme="minorHAnsi"/>
          <w:color w:val="4A4A4A"/>
          <w:sz w:val="21"/>
          <w:szCs w:val="21"/>
        </w:rPr>
        <w:t xml:space="preserve"> </w:t>
      </w:r>
    </w:p>
    <w:p w14:paraId="384B0992" w14:textId="0EB4504D" w:rsidR="00186795" w:rsidRPr="004B62F4" w:rsidRDefault="0048142E" w:rsidP="00600B4E">
      <w:pPr>
        <w:numPr>
          <w:ilvl w:val="0"/>
          <w:numId w:val="7"/>
        </w:numPr>
        <w:shd w:val="clear" w:color="auto" w:fill="FFFFFF"/>
        <w:spacing w:after="0"/>
        <w:ind w:left="360" w:firstLine="0"/>
        <w:textAlignment w:val="baseline"/>
        <w:rPr>
          <w:rFonts w:cstheme="minorHAnsi"/>
        </w:rPr>
      </w:pPr>
      <w:r w:rsidRPr="004B62F4">
        <w:rPr>
          <w:rFonts w:eastAsia="Times New Roman" w:cstheme="minorHAnsi"/>
          <w:color w:val="4A4A4A"/>
          <w:sz w:val="21"/>
          <w:szCs w:val="21"/>
          <w:lang w:eastAsia="en-US"/>
        </w:rPr>
        <w:t> Resolution concerning statistics of occupational injuries (resulting from occupational accidents) adopted by the 16th ICLS in 1998: </w:t>
      </w:r>
      <w:bookmarkStart w:id="5" w:name="_Hlk86068398"/>
      <w:r w:rsidR="004B62F4" w:rsidRPr="00A238AF">
        <w:rPr>
          <w:rStyle w:val="normaltextrun"/>
          <w:rFonts w:cstheme="minorHAnsi"/>
          <w:color w:val="4A4A4A"/>
          <w:sz w:val="21"/>
          <w:szCs w:val="21"/>
        </w:rPr>
        <w:fldChar w:fldCharType="begin"/>
      </w:r>
      <w:r w:rsidR="004B62F4" w:rsidRPr="004B62F4">
        <w:rPr>
          <w:rStyle w:val="normaltextrun"/>
          <w:rFonts w:cstheme="minorHAnsi"/>
          <w:color w:val="4A4A4A"/>
          <w:sz w:val="21"/>
          <w:szCs w:val="21"/>
        </w:rPr>
        <w:instrText xml:space="preserve"> HYPERLINK "https://www.ilo.org/global/statistics-and-databases/standards-and-guidelines/resolutions-adopted-by-international-conferences-of-labour-statisticians/WCMS_087528/lang--en/index.htm" </w:instrText>
      </w:r>
      <w:r w:rsidR="004B62F4" w:rsidRPr="00A238AF">
        <w:rPr>
          <w:rStyle w:val="normaltextrun"/>
          <w:rFonts w:cstheme="minorHAnsi"/>
          <w:color w:val="4A4A4A"/>
          <w:sz w:val="21"/>
          <w:szCs w:val="21"/>
        </w:rPr>
      </w:r>
      <w:r w:rsidR="004B62F4" w:rsidRPr="00A238AF">
        <w:rPr>
          <w:rStyle w:val="normaltextrun"/>
          <w:rFonts w:cstheme="minorHAnsi"/>
          <w:color w:val="4A4A4A"/>
          <w:sz w:val="21"/>
          <w:szCs w:val="21"/>
        </w:rPr>
        <w:fldChar w:fldCharType="separate"/>
      </w:r>
      <w:r w:rsidR="004B62F4" w:rsidRPr="004B62F4">
        <w:rPr>
          <w:rStyle w:val="Hyperlink"/>
          <w:rFonts w:cstheme="minorHAnsi"/>
          <w:sz w:val="21"/>
          <w:szCs w:val="21"/>
        </w:rPr>
        <w:t>https://www.ilo.org/global/statistics-and-databases/standards-and-guidelines/resolutions-adopted-by-international-conferences-of-labour-statisticians/WCMS_087528/lang--en/index.htm</w:t>
      </w:r>
      <w:r w:rsidR="004B62F4" w:rsidRPr="00A238AF">
        <w:rPr>
          <w:rStyle w:val="normaltextrun"/>
          <w:rFonts w:cstheme="minorHAnsi"/>
          <w:color w:val="4A4A4A"/>
          <w:sz w:val="21"/>
          <w:szCs w:val="21"/>
        </w:rPr>
        <w:fldChar w:fldCharType="end"/>
      </w:r>
      <w:r w:rsidR="004B62F4" w:rsidRPr="004B62F4">
        <w:rPr>
          <w:rStyle w:val="normaltextrun"/>
          <w:rFonts w:cstheme="minorHAnsi"/>
          <w:color w:val="4A4A4A"/>
          <w:sz w:val="21"/>
          <w:szCs w:val="21"/>
        </w:rPr>
        <w:t xml:space="preserve"> </w:t>
      </w:r>
      <w:bookmarkEnd w:id="5"/>
    </w:p>
    <w:sectPr w:rsidR="00186795" w:rsidRPr="004B62F4">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BE49B" w14:textId="77777777" w:rsidR="00AA5B04" w:rsidRDefault="00AA5B04" w:rsidP="00573C0B">
      <w:pPr>
        <w:spacing w:after="0" w:line="240" w:lineRule="auto"/>
      </w:pPr>
      <w:r>
        <w:separator/>
      </w:r>
    </w:p>
  </w:endnote>
  <w:endnote w:type="continuationSeparator" w:id="0">
    <w:p w14:paraId="71853E99" w14:textId="77777777" w:rsidR="00AA5B04" w:rsidRDefault="00AA5B04" w:rsidP="00573C0B">
      <w:pPr>
        <w:spacing w:after="0" w:line="240" w:lineRule="auto"/>
      </w:pPr>
      <w:r>
        <w:continuationSeparator/>
      </w:r>
    </w:p>
  </w:endnote>
  <w:endnote w:type="continuationNotice" w:id="1">
    <w:p w14:paraId="0D232AB5" w14:textId="77777777" w:rsidR="00AA5B04" w:rsidRDefault="00AA5B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ACF4A" w14:textId="77777777" w:rsidR="00AA5B04" w:rsidRDefault="00AA5B04" w:rsidP="00573C0B">
      <w:pPr>
        <w:spacing w:after="0" w:line="240" w:lineRule="auto"/>
      </w:pPr>
      <w:r>
        <w:separator/>
      </w:r>
    </w:p>
  </w:footnote>
  <w:footnote w:type="continuationSeparator" w:id="0">
    <w:p w14:paraId="4CA78BC5" w14:textId="77777777" w:rsidR="00AA5B04" w:rsidRDefault="00AA5B04" w:rsidP="00573C0B">
      <w:pPr>
        <w:spacing w:after="0" w:line="240" w:lineRule="auto"/>
      </w:pPr>
      <w:r>
        <w:continuationSeparator/>
      </w:r>
    </w:p>
  </w:footnote>
  <w:footnote w:type="continuationNotice" w:id="1">
    <w:p w14:paraId="580E413D" w14:textId="77777777" w:rsidR="00AA5B04" w:rsidRDefault="00AA5B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549BD711"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556C35">
      <w:rPr>
        <w:color w:val="404040" w:themeColor="text1" w:themeTint="BF"/>
        <w:sz w:val="18"/>
        <w:szCs w:val="18"/>
      </w:rPr>
      <w:t>2025</w:t>
    </w:r>
    <w:r w:rsidR="00F435CB">
      <w:rPr>
        <w:color w:val="404040" w:themeColor="text1" w:themeTint="BF"/>
        <w:sz w:val="18"/>
        <w:szCs w:val="18"/>
      </w:rPr>
      <w:t>-</w:t>
    </w:r>
    <w:r w:rsidR="00556C35">
      <w:rPr>
        <w:color w:val="404040" w:themeColor="text1" w:themeTint="BF"/>
        <w:sz w:val="18"/>
        <w:szCs w:val="18"/>
      </w:rPr>
      <w:t>03</w:t>
    </w:r>
    <w:r w:rsidR="00F435CB">
      <w:rPr>
        <w:color w:val="404040" w:themeColor="text1" w:themeTint="BF"/>
        <w:sz w:val="18"/>
        <w:szCs w:val="18"/>
      </w:rPr>
      <w:t>-</w:t>
    </w:r>
    <w:r w:rsidR="00556C35">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87286"/>
    <w:multiLevelType w:val="multilevel"/>
    <w:tmpl w:val="8E2A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29636F"/>
    <w:multiLevelType w:val="multilevel"/>
    <w:tmpl w:val="AEBC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B62F4"/>
    <w:multiLevelType w:val="multilevel"/>
    <w:tmpl w:val="EEA0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601456">
    <w:abstractNumId w:val="4"/>
  </w:num>
  <w:num w:numId="2" w16cid:durableId="596447707">
    <w:abstractNumId w:val="1"/>
  </w:num>
  <w:num w:numId="3" w16cid:durableId="699629175">
    <w:abstractNumId w:val="6"/>
  </w:num>
  <w:num w:numId="4" w16cid:durableId="249240192">
    <w:abstractNumId w:val="2"/>
  </w:num>
  <w:num w:numId="5" w16cid:durableId="871917771">
    <w:abstractNumId w:val="3"/>
  </w:num>
  <w:num w:numId="6" w16cid:durableId="1697998410">
    <w:abstractNumId w:val="0"/>
  </w:num>
  <w:num w:numId="7" w16cid:durableId="20054688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fr-CH" w:vendorID="64" w:dllVersion="6" w:nlCheck="1" w:checkStyle="0"/>
  <w:activeWritingStyle w:appName="MSWord" w:lang="en-GB" w:vendorID="64" w:dllVersion="6" w:nlCheck="1" w:checkStyle="1"/>
  <w:activeWritingStyle w:appName="MSWord" w:lang="en-GB" w:vendorID="64" w:dllVersion="0" w:nlCheck="1" w:checkStyle="0"/>
  <w:activeWritingStyle w:appName="MSWord" w:lang="fr-CH" w:vendorID="64" w:dllVersion="0" w:nlCheck="1" w:checkStyle="0"/>
  <w:activeWritingStyle w:appName="MSWord" w:lang="en-GB" w:vendorID="64" w:dllVersion="4096" w:nlCheck="1" w:checkStyle="0"/>
  <w:activeWritingStyle w:appName="MSWord" w:lang="fr-CH" w:vendorID="64" w:dllVersion="4096" w:nlCheck="1" w:checkStyle="0"/>
  <w:activeWritingStyle w:appName="MSWord" w:lang="es-ES" w:vendorID="64" w:dllVersion="0" w:nlCheck="1" w:checkStyle="0"/>
  <w:activeWritingStyle w:appName="MSWord" w:lang="en-US" w:vendorID="64" w:dllVersion="0" w:nlCheck="1" w:checkStyle="0"/>
  <w:activeWritingStyle w:appName="MSWord" w:lang="fr-FR"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bA0srAwNzU2NDEzMDVU0lEKTi0uzszPAykwrAUA/PVT0iwAAAA="/>
  </w:docVars>
  <w:rsids>
    <w:rsidRoot w:val="0058556D"/>
    <w:rsid w:val="000070BA"/>
    <w:rsid w:val="000173F9"/>
    <w:rsid w:val="000259A9"/>
    <w:rsid w:val="00027566"/>
    <w:rsid w:val="000412A0"/>
    <w:rsid w:val="0004752E"/>
    <w:rsid w:val="00047697"/>
    <w:rsid w:val="00047DDA"/>
    <w:rsid w:val="00052E54"/>
    <w:rsid w:val="00053B6C"/>
    <w:rsid w:val="0005455A"/>
    <w:rsid w:val="00071F07"/>
    <w:rsid w:val="0007759D"/>
    <w:rsid w:val="000777AB"/>
    <w:rsid w:val="00077F46"/>
    <w:rsid w:val="00086A58"/>
    <w:rsid w:val="00090FB1"/>
    <w:rsid w:val="00096186"/>
    <w:rsid w:val="000A72E4"/>
    <w:rsid w:val="000B0E2F"/>
    <w:rsid w:val="000B2430"/>
    <w:rsid w:val="000C33F9"/>
    <w:rsid w:val="000D0B30"/>
    <w:rsid w:val="000E21F1"/>
    <w:rsid w:val="000F703E"/>
    <w:rsid w:val="00110EBC"/>
    <w:rsid w:val="00120E86"/>
    <w:rsid w:val="0012250D"/>
    <w:rsid w:val="00125DE9"/>
    <w:rsid w:val="001332E0"/>
    <w:rsid w:val="00134DE7"/>
    <w:rsid w:val="00142D34"/>
    <w:rsid w:val="001472DF"/>
    <w:rsid w:val="00171DA2"/>
    <w:rsid w:val="00185354"/>
    <w:rsid w:val="001854DC"/>
    <w:rsid w:val="00186795"/>
    <w:rsid w:val="00186DC6"/>
    <w:rsid w:val="0019498F"/>
    <w:rsid w:val="00194D09"/>
    <w:rsid w:val="001A70E7"/>
    <w:rsid w:val="001A712F"/>
    <w:rsid w:val="001A7D5C"/>
    <w:rsid w:val="001B2436"/>
    <w:rsid w:val="001B60AA"/>
    <w:rsid w:val="001B63C8"/>
    <w:rsid w:val="001C1972"/>
    <w:rsid w:val="001C421F"/>
    <w:rsid w:val="001D360D"/>
    <w:rsid w:val="001E15C7"/>
    <w:rsid w:val="001E6B4D"/>
    <w:rsid w:val="0020560F"/>
    <w:rsid w:val="00261A8D"/>
    <w:rsid w:val="00272A1D"/>
    <w:rsid w:val="00283C1C"/>
    <w:rsid w:val="00291A00"/>
    <w:rsid w:val="00291A11"/>
    <w:rsid w:val="0029571A"/>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654A0"/>
    <w:rsid w:val="00371A20"/>
    <w:rsid w:val="003821B4"/>
    <w:rsid w:val="00382CF3"/>
    <w:rsid w:val="00385052"/>
    <w:rsid w:val="00387D52"/>
    <w:rsid w:val="003A7CEA"/>
    <w:rsid w:val="003F0BD3"/>
    <w:rsid w:val="003F278A"/>
    <w:rsid w:val="003F7A02"/>
    <w:rsid w:val="004048B4"/>
    <w:rsid w:val="00421B7B"/>
    <w:rsid w:val="00422EA5"/>
    <w:rsid w:val="00422EFA"/>
    <w:rsid w:val="0042791F"/>
    <w:rsid w:val="004456ED"/>
    <w:rsid w:val="0045279A"/>
    <w:rsid w:val="0047560D"/>
    <w:rsid w:val="0048045A"/>
    <w:rsid w:val="0048128A"/>
    <w:rsid w:val="0048142E"/>
    <w:rsid w:val="004841B8"/>
    <w:rsid w:val="004930F2"/>
    <w:rsid w:val="004B0F1C"/>
    <w:rsid w:val="004B62F4"/>
    <w:rsid w:val="004D0DBB"/>
    <w:rsid w:val="004D4641"/>
    <w:rsid w:val="004E4F4B"/>
    <w:rsid w:val="004F2EE6"/>
    <w:rsid w:val="00502DBA"/>
    <w:rsid w:val="005040C4"/>
    <w:rsid w:val="00507637"/>
    <w:rsid w:val="00507852"/>
    <w:rsid w:val="0051190A"/>
    <w:rsid w:val="00513120"/>
    <w:rsid w:val="00514DBF"/>
    <w:rsid w:val="005501ED"/>
    <w:rsid w:val="00550921"/>
    <w:rsid w:val="00556C35"/>
    <w:rsid w:val="00563712"/>
    <w:rsid w:val="00573631"/>
    <w:rsid w:val="00573C0B"/>
    <w:rsid w:val="005768D7"/>
    <w:rsid w:val="00576CFA"/>
    <w:rsid w:val="0058556D"/>
    <w:rsid w:val="00592AF2"/>
    <w:rsid w:val="005947AD"/>
    <w:rsid w:val="00597748"/>
    <w:rsid w:val="005979E8"/>
    <w:rsid w:val="00597EB9"/>
    <w:rsid w:val="005D0AF4"/>
    <w:rsid w:val="005E54BD"/>
    <w:rsid w:val="005F1666"/>
    <w:rsid w:val="005F591B"/>
    <w:rsid w:val="005F6CCA"/>
    <w:rsid w:val="00600B4E"/>
    <w:rsid w:val="0060261E"/>
    <w:rsid w:val="006104AF"/>
    <w:rsid w:val="006136F6"/>
    <w:rsid w:val="00621893"/>
    <w:rsid w:val="006351E1"/>
    <w:rsid w:val="006447B1"/>
    <w:rsid w:val="00662775"/>
    <w:rsid w:val="00676E46"/>
    <w:rsid w:val="006852FC"/>
    <w:rsid w:val="006A3F16"/>
    <w:rsid w:val="006A491C"/>
    <w:rsid w:val="006B40AB"/>
    <w:rsid w:val="006B5DC5"/>
    <w:rsid w:val="006C4BFD"/>
    <w:rsid w:val="006C671F"/>
    <w:rsid w:val="006C7D30"/>
    <w:rsid w:val="006E3C08"/>
    <w:rsid w:val="006F5461"/>
    <w:rsid w:val="00700ACF"/>
    <w:rsid w:val="00712487"/>
    <w:rsid w:val="00717E7D"/>
    <w:rsid w:val="00731B37"/>
    <w:rsid w:val="00750CAC"/>
    <w:rsid w:val="007530CA"/>
    <w:rsid w:val="00756D68"/>
    <w:rsid w:val="007578D9"/>
    <w:rsid w:val="00757E8A"/>
    <w:rsid w:val="00763E43"/>
    <w:rsid w:val="00764EB5"/>
    <w:rsid w:val="00770E98"/>
    <w:rsid w:val="00777A95"/>
    <w:rsid w:val="00782416"/>
    <w:rsid w:val="007B0364"/>
    <w:rsid w:val="007C328D"/>
    <w:rsid w:val="007D0981"/>
    <w:rsid w:val="007D0B2E"/>
    <w:rsid w:val="007D1929"/>
    <w:rsid w:val="007D4370"/>
    <w:rsid w:val="00801D50"/>
    <w:rsid w:val="00803CF1"/>
    <w:rsid w:val="008104BB"/>
    <w:rsid w:val="00810FC3"/>
    <w:rsid w:val="008249C5"/>
    <w:rsid w:val="008526F9"/>
    <w:rsid w:val="0085285E"/>
    <w:rsid w:val="00853023"/>
    <w:rsid w:val="008534D4"/>
    <w:rsid w:val="0086275B"/>
    <w:rsid w:val="00862A03"/>
    <w:rsid w:val="00865A38"/>
    <w:rsid w:val="00881E28"/>
    <w:rsid w:val="00886A3B"/>
    <w:rsid w:val="00894C4B"/>
    <w:rsid w:val="008A12E3"/>
    <w:rsid w:val="008A42FA"/>
    <w:rsid w:val="008B0AC7"/>
    <w:rsid w:val="008C2335"/>
    <w:rsid w:val="008C67C1"/>
    <w:rsid w:val="008C69B9"/>
    <w:rsid w:val="008D1D39"/>
    <w:rsid w:val="008E5CC6"/>
    <w:rsid w:val="008F07D2"/>
    <w:rsid w:val="00900846"/>
    <w:rsid w:val="00917851"/>
    <w:rsid w:val="00917F65"/>
    <w:rsid w:val="00927EC9"/>
    <w:rsid w:val="009311E7"/>
    <w:rsid w:val="00942694"/>
    <w:rsid w:val="009559E9"/>
    <w:rsid w:val="00957DCA"/>
    <w:rsid w:val="0096354C"/>
    <w:rsid w:val="009A7E3A"/>
    <w:rsid w:val="009B1265"/>
    <w:rsid w:val="009B4A15"/>
    <w:rsid w:val="009B5693"/>
    <w:rsid w:val="009C61A2"/>
    <w:rsid w:val="009C78E4"/>
    <w:rsid w:val="009D687E"/>
    <w:rsid w:val="009E043E"/>
    <w:rsid w:val="009E6597"/>
    <w:rsid w:val="009F6DE7"/>
    <w:rsid w:val="00A10583"/>
    <w:rsid w:val="00A117D2"/>
    <w:rsid w:val="00A238AF"/>
    <w:rsid w:val="00A27F7F"/>
    <w:rsid w:val="00A37FCB"/>
    <w:rsid w:val="00A4061C"/>
    <w:rsid w:val="00A42AAA"/>
    <w:rsid w:val="00A43022"/>
    <w:rsid w:val="00A54863"/>
    <w:rsid w:val="00A54D64"/>
    <w:rsid w:val="00A61D74"/>
    <w:rsid w:val="00A8688B"/>
    <w:rsid w:val="00A91163"/>
    <w:rsid w:val="00A9286F"/>
    <w:rsid w:val="00A96255"/>
    <w:rsid w:val="00AA5B04"/>
    <w:rsid w:val="00AB285B"/>
    <w:rsid w:val="00AF3FFA"/>
    <w:rsid w:val="00AF494A"/>
    <w:rsid w:val="00AF5552"/>
    <w:rsid w:val="00AF5CB4"/>
    <w:rsid w:val="00AF5ED1"/>
    <w:rsid w:val="00AF71D6"/>
    <w:rsid w:val="00B06FBE"/>
    <w:rsid w:val="00B0788E"/>
    <w:rsid w:val="00B216EE"/>
    <w:rsid w:val="00B27832"/>
    <w:rsid w:val="00B3175F"/>
    <w:rsid w:val="00B31E2C"/>
    <w:rsid w:val="00B329B0"/>
    <w:rsid w:val="00B3300F"/>
    <w:rsid w:val="00B402D8"/>
    <w:rsid w:val="00B4237C"/>
    <w:rsid w:val="00B42FE8"/>
    <w:rsid w:val="00B52AFD"/>
    <w:rsid w:val="00B54077"/>
    <w:rsid w:val="00B8087E"/>
    <w:rsid w:val="00BB646E"/>
    <w:rsid w:val="00BC3235"/>
    <w:rsid w:val="00BC571F"/>
    <w:rsid w:val="00BD1BA1"/>
    <w:rsid w:val="00BF3B88"/>
    <w:rsid w:val="00BF5BA8"/>
    <w:rsid w:val="00C019E5"/>
    <w:rsid w:val="00C169F8"/>
    <w:rsid w:val="00C35BC4"/>
    <w:rsid w:val="00C41816"/>
    <w:rsid w:val="00C43F5B"/>
    <w:rsid w:val="00C87131"/>
    <w:rsid w:val="00C90150"/>
    <w:rsid w:val="00CB4371"/>
    <w:rsid w:val="00CC516D"/>
    <w:rsid w:val="00CF3B1A"/>
    <w:rsid w:val="00D24330"/>
    <w:rsid w:val="00D3065D"/>
    <w:rsid w:val="00D40056"/>
    <w:rsid w:val="00D44717"/>
    <w:rsid w:val="00D51E7C"/>
    <w:rsid w:val="00D54F29"/>
    <w:rsid w:val="00D7020C"/>
    <w:rsid w:val="00D70AD9"/>
    <w:rsid w:val="00D72152"/>
    <w:rsid w:val="00D94BA5"/>
    <w:rsid w:val="00D9510F"/>
    <w:rsid w:val="00DA615C"/>
    <w:rsid w:val="00DD1BC6"/>
    <w:rsid w:val="00DE5DC3"/>
    <w:rsid w:val="00DF31DC"/>
    <w:rsid w:val="00E00D8A"/>
    <w:rsid w:val="00E1050F"/>
    <w:rsid w:val="00E11604"/>
    <w:rsid w:val="00E11D92"/>
    <w:rsid w:val="00E130A0"/>
    <w:rsid w:val="00E17DA1"/>
    <w:rsid w:val="00E210C4"/>
    <w:rsid w:val="00E23DB7"/>
    <w:rsid w:val="00E346A0"/>
    <w:rsid w:val="00E46D96"/>
    <w:rsid w:val="00E51621"/>
    <w:rsid w:val="00E52CCA"/>
    <w:rsid w:val="00E5711E"/>
    <w:rsid w:val="00E63B09"/>
    <w:rsid w:val="00E66409"/>
    <w:rsid w:val="00E72FE2"/>
    <w:rsid w:val="00E7423E"/>
    <w:rsid w:val="00E75AE3"/>
    <w:rsid w:val="00E81D5B"/>
    <w:rsid w:val="00E85844"/>
    <w:rsid w:val="00E976B9"/>
    <w:rsid w:val="00EA05D3"/>
    <w:rsid w:val="00EA2C88"/>
    <w:rsid w:val="00EB0E00"/>
    <w:rsid w:val="00EB19AD"/>
    <w:rsid w:val="00EB20D6"/>
    <w:rsid w:val="00EB2F31"/>
    <w:rsid w:val="00EB6493"/>
    <w:rsid w:val="00EC2915"/>
    <w:rsid w:val="00EC4404"/>
    <w:rsid w:val="00ED05A9"/>
    <w:rsid w:val="00ED1BA0"/>
    <w:rsid w:val="00EF0BD6"/>
    <w:rsid w:val="00F02D2A"/>
    <w:rsid w:val="00F17257"/>
    <w:rsid w:val="00F34D24"/>
    <w:rsid w:val="00F34F43"/>
    <w:rsid w:val="00F4130B"/>
    <w:rsid w:val="00F435CB"/>
    <w:rsid w:val="00F556A2"/>
    <w:rsid w:val="00F719A8"/>
    <w:rsid w:val="00F878B9"/>
    <w:rsid w:val="00FB24E8"/>
    <w:rsid w:val="00FB3B2B"/>
    <w:rsid w:val="00FB5CCD"/>
    <w:rsid w:val="00FC18DA"/>
    <w:rsid w:val="00FC3917"/>
    <w:rsid w:val="00FC5902"/>
    <w:rsid w:val="00FD60DA"/>
    <w:rsid w:val="00FF07B4"/>
    <w:rsid w:val="00FF5395"/>
    <w:rsid w:val="018D9735"/>
    <w:rsid w:val="134C9FAC"/>
    <w:rsid w:val="24605E47"/>
    <w:rsid w:val="37C95BEC"/>
    <w:rsid w:val="51087BDA"/>
    <w:rsid w:val="539FDC9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paragraph">
    <w:name w:val="paragraph"/>
    <w:basedOn w:val="Normal"/>
    <w:rsid w:val="00171DA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DefaultParagraphFont"/>
    <w:rsid w:val="00171DA2"/>
  </w:style>
  <w:style w:type="character" w:customStyle="1" w:styleId="eop">
    <w:name w:val="eop"/>
    <w:basedOn w:val="DefaultParagraphFont"/>
    <w:rsid w:val="00171DA2"/>
  </w:style>
  <w:style w:type="paragraph" w:styleId="Revision">
    <w:name w:val="Revision"/>
    <w:hidden/>
    <w:uiPriority w:val="99"/>
    <w:semiHidden/>
    <w:rsid w:val="00865A38"/>
    <w:pPr>
      <w:spacing w:after="0" w:line="240" w:lineRule="auto"/>
    </w:pPr>
  </w:style>
  <w:style w:type="paragraph" w:styleId="NoSpacing">
    <w:name w:val="No Spacing"/>
    <w:uiPriority w:val="1"/>
    <w:qFormat/>
    <w:rsid w:val="00A43022"/>
    <w:pPr>
      <w:spacing w:after="0" w:line="240" w:lineRule="auto"/>
    </w:pPr>
  </w:style>
  <w:style w:type="character" w:styleId="UnresolvedMention">
    <w:name w:val="Unresolved Mention"/>
    <w:basedOn w:val="DefaultParagraphFont"/>
    <w:uiPriority w:val="99"/>
    <w:semiHidden/>
    <w:unhideWhenUsed/>
    <w:rsid w:val="00EB0E00"/>
    <w:rPr>
      <w:color w:val="605E5C"/>
      <w:shd w:val="clear" w:color="auto" w:fill="E1DFDD"/>
    </w:rPr>
  </w:style>
  <w:style w:type="character" w:styleId="FollowedHyperlink">
    <w:name w:val="FollowedHyperlink"/>
    <w:basedOn w:val="DefaultParagraphFont"/>
    <w:uiPriority w:val="99"/>
    <w:semiHidden/>
    <w:unhideWhenUsed/>
    <w:rsid w:val="00B06F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268631">
      <w:bodyDiv w:val="1"/>
      <w:marLeft w:val="0"/>
      <w:marRight w:val="0"/>
      <w:marTop w:val="0"/>
      <w:marBottom w:val="0"/>
      <w:divBdr>
        <w:top w:val="none" w:sz="0" w:space="0" w:color="auto"/>
        <w:left w:val="none" w:sz="0" w:space="0" w:color="auto"/>
        <w:bottom w:val="none" w:sz="0" w:space="0" w:color="auto"/>
        <w:right w:val="none" w:sz="0" w:space="0" w:color="auto"/>
      </w:divBdr>
    </w:div>
    <w:div w:id="468205360">
      <w:bodyDiv w:val="1"/>
      <w:marLeft w:val="0"/>
      <w:marRight w:val="0"/>
      <w:marTop w:val="0"/>
      <w:marBottom w:val="0"/>
      <w:divBdr>
        <w:top w:val="none" w:sz="0" w:space="0" w:color="auto"/>
        <w:left w:val="none" w:sz="0" w:space="0" w:color="auto"/>
        <w:bottom w:val="none" w:sz="0" w:space="0" w:color="auto"/>
        <w:right w:val="none" w:sz="0" w:space="0" w:color="auto"/>
      </w:divBdr>
      <w:divsChild>
        <w:div w:id="1911771497">
          <w:marLeft w:val="0"/>
          <w:marRight w:val="0"/>
          <w:marTop w:val="0"/>
          <w:marBottom w:val="0"/>
          <w:divBdr>
            <w:top w:val="none" w:sz="0" w:space="0" w:color="auto"/>
            <w:left w:val="none" w:sz="0" w:space="0" w:color="auto"/>
            <w:bottom w:val="none" w:sz="0" w:space="0" w:color="auto"/>
            <w:right w:val="none" w:sz="0" w:space="0" w:color="auto"/>
          </w:divBdr>
        </w:div>
        <w:div w:id="1063021863">
          <w:marLeft w:val="0"/>
          <w:marRight w:val="0"/>
          <w:marTop w:val="0"/>
          <w:marBottom w:val="0"/>
          <w:divBdr>
            <w:top w:val="none" w:sz="0" w:space="0" w:color="auto"/>
            <w:left w:val="none" w:sz="0" w:space="0" w:color="auto"/>
            <w:bottom w:val="none" w:sz="0" w:space="0" w:color="auto"/>
            <w:right w:val="none" w:sz="0" w:space="0" w:color="auto"/>
          </w:divBdr>
        </w:div>
        <w:div w:id="494489603">
          <w:marLeft w:val="0"/>
          <w:marRight w:val="0"/>
          <w:marTop w:val="0"/>
          <w:marBottom w:val="0"/>
          <w:divBdr>
            <w:top w:val="none" w:sz="0" w:space="0" w:color="auto"/>
            <w:left w:val="none" w:sz="0" w:space="0" w:color="auto"/>
            <w:bottom w:val="none" w:sz="0" w:space="0" w:color="auto"/>
            <w:right w:val="none" w:sz="0" w:space="0" w:color="auto"/>
          </w:divBdr>
        </w:div>
      </w:divsChild>
    </w:div>
    <w:div w:id="723218485">
      <w:bodyDiv w:val="1"/>
      <w:marLeft w:val="0"/>
      <w:marRight w:val="0"/>
      <w:marTop w:val="0"/>
      <w:marBottom w:val="0"/>
      <w:divBdr>
        <w:top w:val="none" w:sz="0" w:space="0" w:color="auto"/>
        <w:left w:val="none" w:sz="0" w:space="0" w:color="auto"/>
        <w:bottom w:val="none" w:sz="0" w:space="0" w:color="auto"/>
        <w:right w:val="none" w:sz="0" w:space="0" w:color="auto"/>
      </w:divBdr>
    </w:div>
    <w:div w:id="726564672">
      <w:bodyDiv w:val="1"/>
      <w:marLeft w:val="0"/>
      <w:marRight w:val="0"/>
      <w:marTop w:val="0"/>
      <w:marBottom w:val="0"/>
      <w:divBdr>
        <w:top w:val="none" w:sz="0" w:space="0" w:color="auto"/>
        <w:left w:val="none" w:sz="0" w:space="0" w:color="auto"/>
        <w:bottom w:val="none" w:sz="0" w:space="0" w:color="auto"/>
        <w:right w:val="none" w:sz="0" w:space="0" w:color="auto"/>
      </w:divBdr>
      <w:divsChild>
        <w:div w:id="482280068">
          <w:marLeft w:val="0"/>
          <w:marRight w:val="0"/>
          <w:marTop w:val="0"/>
          <w:marBottom w:val="0"/>
          <w:divBdr>
            <w:top w:val="none" w:sz="0" w:space="0" w:color="auto"/>
            <w:left w:val="none" w:sz="0" w:space="0" w:color="auto"/>
            <w:bottom w:val="none" w:sz="0" w:space="0" w:color="auto"/>
            <w:right w:val="none" w:sz="0" w:space="0" w:color="auto"/>
          </w:divBdr>
        </w:div>
        <w:div w:id="164325745">
          <w:marLeft w:val="0"/>
          <w:marRight w:val="0"/>
          <w:marTop w:val="0"/>
          <w:marBottom w:val="0"/>
          <w:divBdr>
            <w:top w:val="none" w:sz="0" w:space="0" w:color="auto"/>
            <w:left w:val="none" w:sz="0" w:space="0" w:color="auto"/>
            <w:bottom w:val="none" w:sz="0" w:space="0" w:color="auto"/>
            <w:right w:val="none" w:sz="0" w:space="0" w:color="auto"/>
          </w:divBdr>
        </w:div>
        <w:div w:id="854029402">
          <w:marLeft w:val="0"/>
          <w:marRight w:val="0"/>
          <w:marTop w:val="0"/>
          <w:marBottom w:val="0"/>
          <w:divBdr>
            <w:top w:val="none" w:sz="0" w:space="0" w:color="auto"/>
            <w:left w:val="none" w:sz="0" w:space="0" w:color="auto"/>
            <w:bottom w:val="none" w:sz="0" w:space="0" w:color="auto"/>
            <w:right w:val="none" w:sz="0" w:space="0" w:color="auto"/>
          </w:divBdr>
        </w:div>
        <w:div w:id="1535076129">
          <w:marLeft w:val="0"/>
          <w:marRight w:val="0"/>
          <w:marTop w:val="0"/>
          <w:marBottom w:val="0"/>
          <w:divBdr>
            <w:top w:val="none" w:sz="0" w:space="0" w:color="auto"/>
            <w:left w:val="none" w:sz="0" w:space="0" w:color="auto"/>
            <w:bottom w:val="none" w:sz="0" w:space="0" w:color="auto"/>
            <w:right w:val="none" w:sz="0" w:space="0" w:color="auto"/>
          </w:divBdr>
        </w:div>
        <w:div w:id="86116504">
          <w:marLeft w:val="0"/>
          <w:marRight w:val="0"/>
          <w:marTop w:val="0"/>
          <w:marBottom w:val="0"/>
          <w:divBdr>
            <w:top w:val="none" w:sz="0" w:space="0" w:color="auto"/>
            <w:left w:val="none" w:sz="0" w:space="0" w:color="auto"/>
            <w:bottom w:val="none" w:sz="0" w:space="0" w:color="auto"/>
            <w:right w:val="none" w:sz="0" w:space="0" w:color="auto"/>
          </w:divBdr>
        </w:div>
        <w:div w:id="1254390979">
          <w:marLeft w:val="0"/>
          <w:marRight w:val="0"/>
          <w:marTop w:val="0"/>
          <w:marBottom w:val="0"/>
          <w:divBdr>
            <w:top w:val="none" w:sz="0" w:space="0" w:color="auto"/>
            <w:left w:val="none" w:sz="0" w:space="0" w:color="auto"/>
            <w:bottom w:val="none" w:sz="0" w:space="0" w:color="auto"/>
            <w:right w:val="none" w:sz="0" w:space="0" w:color="auto"/>
          </w:divBdr>
        </w:div>
        <w:div w:id="2138911077">
          <w:marLeft w:val="0"/>
          <w:marRight w:val="0"/>
          <w:marTop w:val="0"/>
          <w:marBottom w:val="0"/>
          <w:divBdr>
            <w:top w:val="none" w:sz="0" w:space="0" w:color="auto"/>
            <w:left w:val="none" w:sz="0" w:space="0" w:color="auto"/>
            <w:bottom w:val="none" w:sz="0" w:space="0" w:color="auto"/>
            <w:right w:val="none" w:sz="0" w:space="0" w:color="auto"/>
          </w:divBdr>
        </w:div>
        <w:div w:id="274094880">
          <w:marLeft w:val="0"/>
          <w:marRight w:val="0"/>
          <w:marTop w:val="0"/>
          <w:marBottom w:val="0"/>
          <w:divBdr>
            <w:top w:val="none" w:sz="0" w:space="0" w:color="auto"/>
            <w:left w:val="none" w:sz="0" w:space="0" w:color="auto"/>
            <w:bottom w:val="none" w:sz="0" w:space="0" w:color="auto"/>
            <w:right w:val="none" w:sz="0" w:space="0" w:color="auto"/>
          </w:divBdr>
        </w:div>
        <w:div w:id="90783889">
          <w:marLeft w:val="0"/>
          <w:marRight w:val="0"/>
          <w:marTop w:val="0"/>
          <w:marBottom w:val="0"/>
          <w:divBdr>
            <w:top w:val="none" w:sz="0" w:space="0" w:color="auto"/>
            <w:left w:val="none" w:sz="0" w:space="0" w:color="auto"/>
            <w:bottom w:val="none" w:sz="0" w:space="0" w:color="auto"/>
            <w:right w:val="none" w:sz="0" w:space="0" w:color="auto"/>
          </w:divBdr>
        </w:div>
        <w:div w:id="337002796">
          <w:marLeft w:val="0"/>
          <w:marRight w:val="0"/>
          <w:marTop w:val="0"/>
          <w:marBottom w:val="0"/>
          <w:divBdr>
            <w:top w:val="none" w:sz="0" w:space="0" w:color="auto"/>
            <w:left w:val="none" w:sz="0" w:space="0" w:color="auto"/>
            <w:bottom w:val="none" w:sz="0" w:space="0" w:color="auto"/>
            <w:right w:val="none" w:sz="0" w:space="0" w:color="auto"/>
          </w:divBdr>
        </w:div>
        <w:div w:id="1365442832">
          <w:marLeft w:val="0"/>
          <w:marRight w:val="0"/>
          <w:marTop w:val="0"/>
          <w:marBottom w:val="0"/>
          <w:divBdr>
            <w:top w:val="none" w:sz="0" w:space="0" w:color="auto"/>
            <w:left w:val="none" w:sz="0" w:space="0" w:color="auto"/>
            <w:bottom w:val="none" w:sz="0" w:space="0" w:color="auto"/>
            <w:right w:val="none" w:sz="0" w:space="0" w:color="auto"/>
          </w:divBdr>
        </w:div>
        <w:div w:id="990183565">
          <w:marLeft w:val="0"/>
          <w:marRight w:val="0"/>
          <w:marTop w:val="0"/>
          <w:marBottom w:val="0"/>
          <w:divBdr>
            <w:top w:val="none" w:sz="0" w:space="0" w:color="auto"/>
            <w:left w:val="none" w:sz="0" w:space="0" w:color="auto"/>
            <w:bottom w:val="none" w:sz="0" w:space="0" w:color="auto"/>
            <w:right w:val="none" w:sz="0" w:space="0" w:color="auto"/>
          </w:divBdr>
        </w:div>
        <w:div w:id="387535303">
          <w:marLeft w:val="0"/>
          <w:marRight w:val="0"/>
          <w:marTop w:val="0"/>
          <w:marBottom w:val="0"/>
          <w:divBdr>
            <w:top w:val="none" w:sz="0" w:space="0" w:color="auto"/>
            <w:left w:val="none" w:sz="0" w:space="0" w:color="auto"/>
            <w:bottom w:val="none" w:sz="0" w:space="0" w:color="auto"/>
            <w:right w:val="none" w:sz="0" w:space="0" w:color="auto"/>
          </w:divBdr>
        </w:div>
        <w:div w:id="1674335346">
          <w:marLeft w:val="0"/>
          <w:marRight w:val="0"/>
          <w:marTop w:val="0"/>
          <w:marBottom w:val="0"/>
          <w:divBdr>
            <w:top w:val="none" w:sz="0" w:space="0" w:color="auto"/>
            <w:left w:val="none" w:sz="0" w:space="0" w:color="auto"/>
            <w:bottom w:val="none" w:sz="0" w:space="0" w:color="auto"/>
            <w:right w:val="none" w:sz="0" w:space="0" w:color="auto"/>
          </w:divBdr>
        </w:div>
        <w:div w:id="1021206216">
          <w:marLeft w:val="0"/>
          <w:marRight w:val="0"/>
          <w:marTop w:val="0"/>
          <w:marBottom w:val="0"/>
          <w:divBdr>
            <w:top w:val="none" w:sz="0" w:space="0" w:color="auto"/>
            <w:left w:val="none" w:sz="0" w:space="0" w:color="auto"/>
            <w:bottom w:val="none" w:sz="0" w:space="0" w:color="auto"/>
            <w:right w:val="none" w:sz="0" w:space="0" w:color="auto"/>
          </w:divBdr>
        </w:div>
        <w:div w:id="935134447">
          <w:marLeft w:val="0"/>
          <w:marRight w:val="0"/>
          <w:marTop w:val="0"/>
          <w:marBottom w:val="0"/>
          <w:divBdr>
            <w:top w:val="none" w:sz="0" w:space="0" w:color="auto"/>
            <w:left w:val="none" w:sz="0" w:space="0" w:color="auto"/>
            <w:bottom w:val="none" w:sz="0" w:space="0" w:color="auto"/>
            <w:right w:val="none" w:sz="0" w:space="0" w:color="auto"/>
          </w:divBdr>
        </w:div>
        <w:div w:id="1122460151">
          <w:marLeft w:val="0"/>
          <w:marRight w:val="0"/>
          <w:marTop w:val="0"/>
          <w:marBottom w:val="0"/>
          <w:divBdr>
            <w:top w:val="none" w:sz="0" w:space="0" w:color="auto"/>
            <w:left w:val="none" w:sz="0" w:space="0" w:color="auto"/>
            <w:bottom w:val="none" w:sz="0" w:space="0" w:color="auto"/>
            <w:right w:val="none" w:sz="0" w:space="0" w:color="auto"/>
          </w:divBdr>
        </w:div>
        <w:div w:id="1511262786">
          <w:marLeft w:val="0"/>
          <w:marRight w:val="0"/>
          <w:marTop w:val="0"/>
          <w:marBottom w:val="0"/>
          <w:divBdr>
            <w:top w:val="none" w:sz="0" w:space="0" w:color="auto"/>
            <w:left w:val="none" w:sz="0" w:space="0" w:color="auto"/>
            <w:bottom w:val="none" w:sz="0" w:space="0" w:color="auto"/>
            <w:right w:val="none" w:sz="0" w:space="0" w:color="auto"/>
          </w:divBdr>
        </w:div>
        <w:div w:id="464009350">
          <w:marLeft w:val="0"/>
          <w:marRight w:val="0"/>
          <w:marTop w:val="0"/>
          <w:marBottom w:val="0"/>
          <w:divBdr>
            <w:top w:val="none" w:sz="0" w:space="0" w:color="auto"/>
            <w:left w:val="none" w:sz="0" w:space="0" w:color="auto"/>
            <w:bottom w:val="none" w:sz="0" w:space="0" w:color="auto"/>
            <w:right w:val="none" w:sz="0" w:space="0" w:color="auto"/>
          </w:divBdr>
        </w:div>
        <w:div w:id="2020892465">
          <w:marLeft w:val="0"/>
          <w:marRight w:val="0"/>
          <w:marTop w:val="0"/>
          <w:marBottom w:val="0"/>
          <w:divBdr>
            <w:top w:val="none" w:sz="0" w:space="0" w:color="auto"/>
            <w:left w:val="none" w:sz="0" w:space="0" w:color="auto"/>
            <w:bottom w:val="none" w:sz="0" w:space="0" w:color="auto"/>
            <w:right w:val="none" w:sz="0" w:space="0" w:color="auto"/>
          </w:divBdr>
        </w:div>
        <w:div w:id="248780553">
          <w:marLeft w:val="0"/>
          <w:marRight w:val="0"/>
          <w:marTop w:val="0"/>
          <w:marBottom w:val="0"/>
          <w:divBdr>
            <w:top w:val="none" w:sz="0" w:space="0" w:color="auto"/>
            <w:left w:val="none" w:sz="0" w:space="0" w:color="auto"/>
            <w:bottom w:val="none" w:sz="0" w:space="0" w:color="auto"/>
            <w:right w:val="none" w:sz="0" w:space="0" w:color="auto"/>
          </w:divBdr>
        </w:div>
        <w:div w:id="1083335292">
          <w:marLeft w:val="0"/>
          <w:marRight w:val="0"/>
          <w:marTop w:val="0"/>
          <w:marBottom w:val="0"/>
          <w:divBdr>
            <w:top w:val="none" w:sz="0" w:space="0" w:color="auto"/>
            <w:left w:val="none" w:sz="0" w:space="0" w:color="auto"/>
            <w:bottom w:val="none" w:sz="0" w:space="0" w:color="auto"/>
            <w:right w:val="none" w:sz="0" w:space="0" w:color="auto"/>
          </w:divBdr>
        </w:div>
        <w:div w:id="1560894739">
          <w:marLeft w:val="0"/>
          <w:marRight w:val="0"/>
          <w:marTop w:val="0"/>
          <w:marBottom w:val="0"/>
          <w:divBdr>
            <w:top w:val="none" w:sz="0" w:space="0" w:color="auto"/>
            <w:left w:val="none" w:sz="0" w:space="0" w:color="auto"/>
            <w:bottom w:val="none" w:sz="0" w:space="0" w:color="auto"/>
            <w:right w:val="none" w:sz="0" w:space="0" w:color="auto"/>
          </w:divBdr>
        </w:div>
        <w:div w:id="1382316697">
          <w:marLeft w:val="0"/>
          <w:marRight w:val="0"/>
          <w:marTop w:val="0"/>
          <w:marBottom w:val="0"/>
          <w:divBdr>
            <w:top w:val="none" w:sz="0" w:space="0" w:color="auto"/>
            <w:left w:val="none" w:sz="0" w:space="0" w:color="auto"/>
            <w:bottom w:val="none" w:sz="0" w:space="0" w:color="auto"/>
            <w:right w:val="none" w:sz="0" w:space="0" w:color="auto"/>
          </w:divBdr>
        </w:div>
        <w:div w:id="1498613598">
          <w:marLeft w:val="0"/>
          <w:marRight w:val="0"/>
          <w:marTop w:val="0"/>
          <w:marBottom w:val="0"/>
          <w:divBdr>
            <w:top w:val="none" w:sz="0" w:space="0" w:color="auto"/>
            <w:left w:val="none" w:sz="0" w:space="0" w:color="auto"/>
            <w:bottom w:val="none" w:sz="0" w:space="0" w:color="auto"/>
            <w:right w:val="none" w:sz="0" w:space="0" w:color="auto"/>
          </w:divBdr>
        </w:div>
      </w:divsChild>
    </w:div>
    <w:div w:id="792789009">
      <w:bodyDiv w:val="1"/>
      <w:marLeft w:val="0"/>
      <w:marRight w:val="0"/>
      <w:marTop w:val="0"/>
      <w:marBottom w:val="0"/>
      <w:divBdr>
        <w:top w:val="none" w:sz="0" w:space="0" w:color="auto"/>
        <w:left w:val="none" w:sz="0" w:space="0" w:color="auto"/>
        <w:bottom w:val="none" w:sz="0" w:space="0" w:color="auto"/>
        <w:right w:val="none" w:sz="0" w:space="0" w:color="auto"/>
      </w:divBdr>
      <w:divsChild>
        <w:div w:id="1153374442">
          <w:marLeft w:val="0"/>
          <w:marRight w:val="0"/>
          <w:marTop w:val="0"/>
          <w:marBottom w:val="0"/>
          <w:divBdr>
            <w:top w:val="none" w:sz="0" w:space="0" w:color="auto"/>
            <w:left w:val="none" w:sz="0" w:space="0" w:color="auto"/>
            <w:bottom w:val="none" w:sz="0" w:space="0" w:color="auto"/>
            <w:right w:val="none" w:sz="0" w:space="0" w:color="auto"/>
          </w:divBdr>
        </w:div>
        <w:div w:id="1760637156">
          <w:marLeft w:val="0"/>
          <w:marRight w:val="0"/>
          <w:marTop w:val="0"/>
          <w:marBottom w:val="0"/>
          <w:divBdr>
            <w:top w:val="none" w:sz="0" w:space="0" w:color="auto"/>
            <w:left w:val="none" w:sz="0" w:space="0" w:color="auto"/>
            <w:bottom w:val="none" w:sz="0" w:space="0" w:color="auto"/>
            <w:right w:val="none" w:sz="0" w:space="0" w:color="auto"/>
          </w:divBdr>
          <w:divsChild>
            <w:div w:id="16630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2501">
      <w:bodyDiv w:val="1"/>
      <w:marLeft w:val="0"/>
      <w:marRight w:val="0"/>
      <w:marTop w:val="0"/>
      <w:marBottom w:val="0"/>
      <w:divBdr>
        <w:top w:val="none" w:sz="0" w:space="0" w:color="auto"/>
        <w:left w:val="none" w:sz="0" w:space="0" w:color="auto"/>
        <w:bottom w:val="none" w:sz="0" w:space="0" w:color="auto"/>
        <w:right w:val="none" w:sz="0" w:space="0" w:color="auto"/>
      </w:divBdr>
      <w:divsChild>
        <w:div w:id="107436980">
          <w:marLeft w:val="0"/>
          <w:marRight w:val="0"/>
          <w:marTop w:val="0"/>
          <w:marBottom w:val="0"/>
          <w:divBdr>
            <w:top w:val="none" w:sz="0" w:space="0" w:color="auto"/>
            <w:left w:val="none" w:sz="0" w:space="0" w:color="auto"/>
            <w:bottom w:val="none" w:sz="0" w:space="0" w:color="auto"/>
            <w:right w:val="none" w:sz="0" w:space="0" w:color="auto"/>
          </w:divBdr>
        </w:div>
        <w:div w:id="784351745">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995798234">
      <w:bodyDiv w:val="1"/>
      <w:marLeft w:val="0"/>
      <w:marRight w:val="0"/>
      <w:marTop w:val="0"/>
      <w:marBottom w:val="0"/>
      <w:divBdr>
        <w:top w:val="none" w:sz="0" w:space="0" w:color="auto"/>
        <w:left w:val="none" w:sz="0" w:space="0" w:color="auto"/>
        <w:bottom w:val="none" w:sz="0" w:space="0" w:color="auto"/>
        <w:right w:val="none" w:sz="0" w:space="0" w:color="auto"/>
      </w:divBdr>
      <w:divsChild>
        <w:div w:id="1408458133">
          <w:marLeft w:val="0"/>
          <w:marRight w:val="0"/>
          <w:marTop w:val="0"/>
          <w:marBottom w:val="0"/>
          <w:divBdr>
            <w:top w:val="none" w:sz="0" w:space="0" w:color="auto"/>
            <w:left w:val="none" w:sz="0" w:space="0" w:color="auto"/>
            <w:bottom w:val="none" w:sz="0" w:space="0" w:color="auto"/>
            <w:right w:val="none" w:sz="0" w:space="0" w:color="auto"/>
          </w:divBdr>
        </w:div>
        <w:div w:id="1549100203">
          <w:marLeft w:val="0"/>
          <w:marRight w:val="0"/>
          <w:marTop w:val="0"/>
          <w:marBottom w:val="0"/>
          <w:divBdr>
            <w:top w:val="none" w:sz="0" w:space="0" w:color="auto"/>
            <w:left w:val="none" w:sz="0" w:space="0" w:color="auto"/>
            <w:bottom w:val="none" w:sz="0" w:space="0" w:color="auto"/>
            <w:right w:val="none" w:sz="0" w:space="0" w:color="auto"/>
          </w:divBdr>
        </w:div>
        <w:div w:id="7340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lo.org/integration/resources/pubs/WCMS_229374/lang--en/index.htm" TargetMode="External"/><Relationship Id="rId18" Type="http://schemas.openxmlformats.org/officeDocument/2006/relationships/hyperlink" Target="https://ilostat.ilo.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ilo.org/global/statistics-and-databases/publications/WCMS_647109/lang--en/index.htm" TargetMode="External"/><Relationship Id="rId17" Type="http://schemas.openxmlformats.org/officeDocument/2006/relationships/hyperlink" Target="https://www.ilo.org/global/statistics-and-databases/publications/WCMS_647109/lang--en/index.htm" TargetMode="External"/><Relationship Id="rId2" Type="http://schemas.openxmlformats.org/officeDocument/2006/relationships/customXml" Target="../customXml/item2.xml"/><Relationship Id="rId16" Type="http://schemas.openxmlformats.org/officeDocument/2006/relationships/hyperlink" Target="https://ilostat.ilo.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lo.org/global/statistics-and-databases/standards-and-guidelines/resolutions-adopted-by-international-conferences-of-labour-statisticians/WCMS_087528/lang--en/index.htm" TargetMode="External"/><Relationship Id="rId5" Type="http://schemas.openxmlformats.org/officeDocument/2006/relationships/numbering" Target="numbering.xml"/><Relationship Id="rId15" Type="http://schemas.openxmlformats.org/officeDocument/2006/relationships/hyperlink" Target="https://www.ilo.org/wcmsp5/groups/public/---dgreports/---stat/documents/publication/wcms_173153.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ilo.org/integration/resources/pubs/WCMS_229374/lang--en/index.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lo.org/global/statistics-and-databases/standards-and-guidelines/resolutions-adopted-by-international-conferences-of-labour-statisticians/WCMS_087528/lang--en/index.ht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6626FE96-DB15-4E0D-8C1D-8CE56D4B9053}"/>
      </w:docPartPr>
      <w:docPartBody>
        <w:p w:rsidR="00BF5B7D" w:rsidRDefault="00CB50E0">
          <w:r w:rsidRPr="005F246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E0"/>
    <w:rsid w:val="0019498F"/>
    <w:rsid w:val="00297D37"/>
    <w:rsid w:val="006F5461"/>
    <w:rsid w:val="00886A3B"/>
    <w:rsid w:val="00957DCA"/>
    <w:rsid w:val="009E043E"/>
    <w:rsid w:val="00BF3B88"/>
    <w:rsid w:val="00BF5B7D"/>
    <w:rsid w:val="00CB50E0"/>
    <w:rsid w:val="00CC36FA"/>
    <w:rsid w:val="00EA2C88"/>
    <w:rsid w:val="00EB38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50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openxmlformats.org/package/2006/metadata/core-properties"/>
    <ds:schemaRef ds:uri="http://schemas.microsoft.com/office/2006/documentManagement/types"/>
    <ds:schemaRef ds:uri="http://purl.org/dc/dcmitype/"/>
    <ds:schemaRef ds:uri="http://purl.org/dc/elements/1.1/"/>
    <ds:schemaRef ds:uri="http://purl.org/dc/terms/"/>
    <ds:schemaRef ds:uri="http://schemas.microsoft.com/office/infopath/2007/PartnerControls"/>
    <ds:schemaRef ds:uri="http://www.w3.org/XML/1998/namespace"/>
    <ds:schemaRef ds:uri="f2d2d782-0088-4826-96df-71eba56e6d2e"/>
    <ds:schemaRef ds:uri="d114b01d-ae01-4749-b845-9d88e7ef5c0e"/>
    <ds:schemaRef ds:uri="http://schemas.microsoft.com/office/2006/metadata/propertie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EDFD43-D15B-4B7A-B642-75AA9DBAF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2149</Words>
  <Characters>15450</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4</cp:revision>
  <cp:lastPrinted>2025-04-01T04:20:00Z</cp:lastPrinted>
  <dcterms:created xsi:type="dcterms:W3CDTF">2025-03-12T20:55:00Z</dcterms:created>
  <dcterms:modified xsi:type="dcterms:W3CDTF">2025-04-01T04:20:00Z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e038db57518589b176abb8cfb98a221dfe8b3f22e03294c9235d8a9d07f2b0b4</vt:lpwstr>
  </property>
</Properties>
</file>