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5AD7830B" w:rsidR="00B31E2C" w:rsidRPr="00A96255" w:rsidRDefault="00B31E2C" w:rsidP="00E454D6">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917F4F1" w14:textId="77777777" w:rsidR="0062529E" w:rsidRPr="00573631" w:rsidRDefault="0062529E" w:rsidP="0062529E">
      <w:pPr>
        <w:pStyle w:val="MGTHeader"/>
      </w:pPr>
      <w:r w:rsidRPr="00573631">
        <w:t xml:space="preserve">Goal </w:t>
      </w:r>
      <w:r>
        <w:t xml:space="preserve">8: </w:t>
      </w:r>
      <w:r w:rsidRPr="00784B0B">
        <w:t>Promote sustained, inclusive and sustainable economic growth, full and productive employment and decent work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90A30D4" w14:textId="77777777" w:rsidR="0062529E" w:rsidRPr="00573631" w:rsidRDefault="0062529E" w:rsidP="0062529E">
      <w:pPr>
        <w:pStyle w:val="MGTHeader"/>
      </w:pPr>
      <w:r>
        <w:t xml:space="preserve">Target 8.8: </w:t>
      </w:r>
      <w:r w:rsidRPr="00784B0B">
        <w:t>Protect labour rights and promote safe and secure working environments for all workers, including migrant workers, in particular women migrants, and those in precarious employment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36FB53F" w14:textId="196241E8" w:rsidR="0062529E" w:rsidRPr="00A96255" w:rsidRDefault="0062529E" w:rsidP="00D24330">
      <w:pPr>
        <w:pStyle w:val="MGTHeader"/>
      </w:pPr>
      <w:r w:rsidRPr="0062529E">
        <w:t>Indicator 8.8.2: Level of national compliance with labour rights (freedom of association and collective bargaining) based on International Labour Organization (ILO) textual sources and national legislation, by sex and migrant status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6AE6D6E3" w14:textId="4715A68D" w:rsidR="00D25897" w:rsidRDefault="007D1E16" w:rsidP="00D24330">
      <w:pPr>
        <w:pStyle w:val="MGTHeader"/>
      </w:pPr>
      <w:r w:rsidRPr="007D1E16">
        <w:t>SL_LBR_NTLCPL - Level of national compliance with labour rights (freedom of association and collective bargaining) based on International Labour Organization (ILO) textual sources and national legislation [8.8.2]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p w14:paraId="03424B60" w14:textId="51C52191" w:rsidR="00D24330" w:rsidRPr="00A96255" w:rsidRDefault="009418A1" w:rsidP="00D24330">
      <w:pPr>
        <w:pStyle w:val="MGTHeader"/>
      </w:pPr>
      <w:sdt>
        <w:sdtPr>
          <w:id w:val="-290049759"/>
          <w:placeholder>
            <w:docPart w:val="DefaultPlaceholder_-1854013437"/>
          </w:placeholder>
          <w:date w:fullDate="2025-03-28T00:00:00Z">
            <w:dateFormat w:val="yyyy-MM-dd"/>
            <w:lid w:val="en-US"/>
            <w:storeMappedDataAs w:val="dateTime"/>
            <w:calendar w:val="gregorian"/>
          </w:date>
        </w:sdtPr>
        <w:sdtEndPr/>
        <w:sdtContent>
          <w:r w:rsidR="009D0DD9">
            <w:rPr>
              <w:lang w:val="en-US"/>
            </w:rPr>
            <w:t>2025-03-28</w:t>
          </w:r>
        </w:sdtContent>
      </w:sdt>
    </w:p>
    <w:p w14:paraId="415C9FF1" w14:textId="2DE6AED0" w:rsidR="00D24330" w:rsidRPr="00A96255" w:rsidRDefault="00B967C2" w:rsidP="00D24330">
      <w:pPr>
        <w:pStyle w:val="MIndHeader"/>
      </w:pPr>
      <w:r w:rsidRPr="00B967C2">
        <w:t xml:space="preserve">0.f. Related indicators </w:t>
      </w:r>
      <w:r>
        <w:rPr>
          <w:color w:val="B4B4B4"/>
          <w:sz w:val="20"/>
        </w:rPr>
        <w:t>(SDG_RELATED_INDICATORS)</w:t>
      </w:r>
    </w:p>
    <w:p w14:paraId="0C93638C" w14:textId="1B11FAB4" w:rsidR="008A5C51" w:rsidRPr="00A96255" w:rsidRDefault="008A5C51" w:rsidP="00D24330">
      <w:pPr>
        <w:pStyle w:val="MGTHeader"/>
      </w:pPr>
      <w:r w:rsidRPr="008A5C51">
        <w:t xml:space="preserve">This indicator links with 8.8.1 &amp; 8.b.1; 16.2.2; </w:t>
      </w:r>
      <w:r w:rsidR="00F23974" w:rsidRPr="008A5C51">
        <w:t>16.10.1;</w:t>
      </w:r>
      <w:r w:rsidRPr="008A5C51">
        <w:t xml:space="preserve"> 16.a.1; 16.b.1</w:t>
      </w:r>
    </w:p>
    <w:p w14:paraId="077BC49E" w14:textId="1C1B156E" w:rsidR="00D24330" w:rsidRDefault="00D24330" w:rsidP="00D24330">
      <w:pPr>
        <w:pStyle w:val="MIndHeader"/>
      </w:pPr>
      <w:r w:rsidRPr="00A96255">
        <w:t xml:space="preserve">0.g. International organisations(s) responsible for global monitoring </w:t>
      </w:r>
      <w:r>
        <w:rPr>
          <w:color w:val="B4B4B4"/>
          <w:sz w:val="20"/>
        </w:rPr>
        <w:t>(SDG_CUSTODIAN_AGENCIES)</w:t>
      </w:r>
    </w:p>
    <w:p w14:paraId="5611CB44" w14:textId="19AF0540" w:rsidR="008A5C51" w:rsidRPr="00A96255" w:rsidRDefault="008A5C51" w:rsidP="00D24330">
      <w:pPr>
        <w:pStyle w:val="MIndHeader"/>
      </w:pPr>
      <w:r w:rsidRPr="008A5C51">
        <w:rPr>
          <w:color w:val="333333"/>
          <w:sz w:val="21"/>
          <w:szCs w:val="21"/>
        </w:rPr>
        <w:t>International Labour Organization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1FCFED4F" w:rsidR="00F719A8" w:rsidRDefault="006D0D97" w:rsidP="00576CFA">
      <w:pPr>
        <w:pStyle w:val="MText"/>
      </w:pPr>
      <w:r w:rsidRPr="006D0D97">
        <w:t>International Labour Organization (ILO)</w:t>
      </w:r>
    </w:p>
    <w:p w14:paraId="0C58662E" w14:textId="77777777" w:rsidR="006D0D97" w:rsidRDefault="006D0D97"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470A921"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11519AC" w14:textId="0138B00D" w:rsidR="0062529E" w:rsidRPr="00573631" w:rsidRDefault="0062529E" w:rsidP="0062529E">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 six international ILO supervisory body textual sources and also on national legislation. It is based on </w:t>
      </w:r>
      <w:r>
        <w:rPr>
          <w:rFonts w:eastAsia="Times New Roman" w:cs="Times New Roman"/>
          <w:color w:val="4A4A4A"/>
          <w:sz w:val="21"/>
          <w:szCs w:val="21"/>
          <w:lang w:eastAsia="en-GB"/>
        </w:rPr>
        <w:t>the</w:t>
      </w:r>
      <w:r w:rsidRPr="00784B0B">
        <w:rPr>
          <w:rFonts w:eastAsia="Times New Roman" w:cs="Times New Roman"/>
          <w:color w:val="4A4A4A"/>
          <w:sz w:val="21"/>
          <w:szCs w:val="21"/>
          <w:lang w:eastAsia="en-GB"/>
        </w:rPr>
        <w:t xml:space="preserve"> coding</w:t>
      </w:r>
      <w:r>
        <w:rPr>
          <w:rFonts w:eastAsia="Times New Roman" w:cs="Times New Roman"/>
          <w:color w:val="4A4A4A"/>
          <w:sz w:val="21"/>
          <w:szCs w:val="21"/>
          <w:lang w:eastAsia="en-GB"/>
        </w:rPr>
        <w:t xml:space="preserve"> of textual sources against a list of evaluation criteria and then</w:t>
      </w:r>
      <w:r w:rsidRPr="00784B0B">
        <w:rPr>
          <w:rFonts w:eastAsia="Times New Roman" w:cs="Times New Roman"/>
          <w:color w:val="4A4A4A"/>
          <w:sz w:val="21"/>
          <w:szCs w:val="21"/>
          <w:lang w:eastAsia="en-GB"/>
        </w:rPr>
        <w:t xml:space="preserve"> converting the coding into indicators.</w:t>
      </w:r>
    </w:p>
    <w:p w14:paraId="4DA28E42" w14:textId="77777777" w:rsidR="0062529E" w:rsidRDefault="0062529E" w:rsidP="0062529E">
      <w:pPr>
        <w:shd w:val="clear" w:color="auto" w:fill="FFFFFF"/>
        <w:spacing w:after="0"/>
        <w:rPr>
          <w:rFonts w:eastAsia="Times New Roman" w:cs="Times New Roman"/>
          <w:b/>
          <w:bCs/>
          <w:color w:val="4A4A4A"/>
          <w:sz w:val="21"/>
          <w:szCs w:val="21"/>
          <w:lang w:eastAsia="en-GB"/>
        </w:rPr>
      </w:pPr>
    </w:p>
    <w:p w14:paraId="7038535D" w14:textId="77777777" w:rsidR="0062529E" w:rsidRPr="00573631" w:rsidRDefault="0062529E" w:rsidP="0062529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BE30B60" w14:textId="77777777" w:rsidR="0062529E" w:rsidRPr="00091628" w:rsidRDefault="0062529E" w:rsidP="00091628">
      <w:pPr>
        <w:pStyle w:val="MText"/>
        <w:rPr>
          <w:i/>
          <w:iCs/>
        </w:rPr>
      </w:pPr>
      <w:bookmarkStart w:id="5" w:name="_Toc523910452"/>
      <w:r w:rsidRPr="00091628">
        <w:rPr>
          <w:i/>
          <w:iCs/>
        </w:rPr>
        <w:t>Freedom of association and collective bargaining rights and their supervision</w:t>
      </w:r>
      <w:bookmarkEnd w:id="5"/>
    </w:p>
    <w:p w14:paraId="10382DA1" w14:textId="77777777" w:rsidR="0062529E" w:rsidRPr="003856A6" w:rsidRDefault="0062529E" w:rsidP="0062529E">
      <w:pPr>
        <w:pStyle w:val="MText"/>
      </w:pPr>
      <w:r w:rsidRPr="003856A6">
        <w:lastRenderedPageBreak/>
        <w:t xml:space="preserve">The principles of freedom of association and collective bargaining (FACB) are and have long been at the core of the ILO’s </w:t>
      </w:r>
      <w:r>
        <w:t>normative foundations</w:t>
      </w:r>
      <w:r w:rsidRPr="003856A6">
        <w:t>. The</w:t>
      </w:r>
      <w:r>
        <w:t>se</w:t>
      </w:r>
      <w:r w:rsidRPr="003856A6">
        <w:t xml:space="preserve"> foundations have been established in the ILO’s Constitution (1919), the ILO Declaration of Philadelphia (1944), in two key ILO Conventions (namely the </w:t>
      </w:r>
      <w:r w:rsidRPr="003856A6">
        <w:rPr>
          <w:i/>
        </w:rPr>
        <w:t>Freedom of Association and Protection of the Right to Organise Convention, 1948 (No. 87)</w:t>
      </w:r>
      <w:r w:rsidRPr="003856A6">
        <w:t xml:space="preserve"> and the </w:t>
      </w:r>
      <w:r w:rsidRPr="003856A6">
        <w:rPr>
          <w:i/>
        </w:rPr>
        <w:t>Right to Organise and Collective Bargaining Convention, 1949 (No. 98)</w:t>
      </w:r>
      <w:r w:rsidRPr="003856A6">
        <w:t>) and the ILO Declaration on Fundamental Principles and Rights at Work (1998). They are also rights proclaimed in the Universal Declaration of Human Rights (1948) and other international and regional human rights instruments. With the adoption of the 1998 ILO Declaration, the promotion and realization of these fundamental principles and rights also became a constitutional obligation of all ILO member States.</w:t>
      </w:r>
    </w:p>
    <w:p w14:paraId="563B4577" w14:textId="77777777" w:rsidR="0062529E" w:rsidRPr="003856A6" w:rsidRDefault="0062529E" w:rsidP="0062529E">
      <w:pPr>
        <w:pStyle w:val="MText"/>
      </w:pPr>
    </w:p>
    <w:p w14:paraId="3AE4C71D" w14:textId="1BCB8430" w:rsidR="0062529E" w:rsidRDefault="0062529E" w:rsidP="0062529E">
      <w:pPr>
        <w:pStyle w:val="MText"/>
      </w:pPr>
      <w:r w:rsidRPr="003856A6">
        <w:t>FACB rights are considered as ‘enabling rights’, the realisation of which is necessary to promote and realise other rights at work. They provide an essential foundation for social dialogue, effective labour market governance and realization of decent work. They are vital in enabling employers and workers to associate and efficiently negotiate work relations, to ensure that both employers and workers have an equal voice in negotiations, and that the outcome is fair and equitable. As such they play a crucial role in the elaboration of economic and social policies that take on board the interests and needs of all actors in the economy. FACB rights are also salient because they are indispensable pillars of democracy as well as the process of democratization.</w:t>
      </w:r>
    </w:p>
    <w:p w14:paraId="75B7780D" w14:textId="77777777" w:rsidR="0062529E" w:rsidRPr="003856A6" w:rsidRDefault="0062529E" w:rsidP="0062529E">
      <w:pPr>
        <w:pStyle w:val="MText"/>
      </w:pPr>
    </w:p>
    <w:p w14:paraId="023DF8C5" w14:textId="76C68DBA" w:rsidR="0062529E" w:rsidRPr="003856A6" w:rsidRDefault="0062529E" w:rsidP="0062529E">
      <w:pPr>
        <w:pStyle w:val="MText"/>
      </w:pPr>
      <w:r w:rsidRPr="003856A6">
        <w:t xml:space="preserve">FACB rights, together with other international labour standards, are backed by the ILO’s unique supervisory system. The ILO regularly examines the application of standards in member States and highlights areas where those standards are violated and where they could be better applied. The ILO’s supervisory system includes two kinds of supervisory mechanisms: the regular system of supervision and the special procedures. The prior entails the examination of periodic reports submitted by member States on the measures taken to implement the provisions of ILO Conventions ratified by them. The special procedures, that is, representations, complaints and the special procedure for complaints regarding freedom of association through the Freedom of Association Committee, allow for the examination of violations </w:t>
      </w:r>
      <w:proofErr w:type="gramStart"/>
      <w:r w:rsidRPr="003856A6">
        <w:t>on the basis of</w:t>
      </w:r>
      <w:proofErr w:type="gramEnd"/>
      <w:r w:rsidRPr="003856A6">
        <w:t xml:space="preserve"> a submission of a representation or a complaint.</w:t>
      </w:r>
      <w:bookmarkStart w:id="6" w:name="_Toc283285303"/>
      <w:bookmarkStart w:id="7" w:name="_Toc370293981"/>
    </w:p>
    <w:bookmarkEnd w:id="6"/>
    <w:bookmarkEnd w:id="7"/>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516AEE9" w14:textId="6D774AFB" w:rsidR="000E52E1" w:rsidRPr="00A96255" w:rsidRDefault="000E52E1" w:rsidP="00576CFA">
      <w:pPr>
        <w:pStyle w:val="MText"/>
      </w:pPr>
      <w:r w:rsidRPr="000E52E1">
        <w:t>The unit of measurement is the number of coded evaluation criteri</w:t>
      </w:r>
      <w:r w:rsidR="00D771B0">
        <w:t>a</w:t>
      </w:r>
      <w:r w:rsidRPr="000E52E1">
        <w:t xml:space="preserve"> (see Tables 1-2</w:t>
      </w:r>
      <w:r w:rsidR="00E8145B">
        <w:t xml:space="preserve"> of </w:t>
      </w:r>
      <w:hyperlink r:id="rId11" w:history="1">
        <w:r w:rsidR="00E8145B" w:rsidRPr="00043F42">
          <w:rPr>
            <w:rStyle w:val="Hyperlink"/>
          </w:rPr>
          <w:t>https://www.ilo.org/wcmsp5/groups/public/---dgreports/---stat/documents/meetingdocument/wcms_648636.pdf</w:t>
        </w:r>
      </w:hyperlink>
      <w:r w:rsidRPr="000E52E1">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D50E762" w:rsidR="00576CFA" w:rsidRPr="00A96255" w:rsidRDefault="0025323E"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80F875C" w14:textId="793A2250" w:rsidR="0025323E" w:rsidRDefault="008B34B3" w:rsidP="00F03C7C">
      <w:pPr>
        <w:pStyle w:val="MText"/>
      </w:pPr>
      <w:r>
        <w:t>The</w:t>
      </w:r>
      <w:r w:rsidR="00F03C7C" w:rsidRPr="003856A6">
        <w:t xml:space="preserve"> method makes use of six ILO textual sources: </w:t>
      </w:r>
    </w:p>
    <w:p w14:paraId="6184630A" w14:textId="46433FAA" w:rsidR="0025323E" w:rsidRPr="005372A7" w:rsidRDefault="00F03C7C" w:rsidP="005372A7">
      <w:pPr>
        <w:pStyle w:val="MText"/>
        <w:numPr>
          <w:ilvl w:val="0"/>
          <w:numId w:val="11"/>
        </w:numPr>
      </w:pPr>
      <w:r w:rsidRPr="00784B0B">
        <w:rPr>
          <w:i/>
          <w:iCs/>
        </w:rPr>
        <w:t>Reports of the Committee of Experts on the Application of Conventions and Recommendations;</w:t>
      </w:r>
    </w:p>
    <w:p w14:paraId="3F095BCC" w14:textId="77777777" w:rsidR="0025323E" w:rsidRPr="005372A7" w:rsidRDefault="00F03C7C" w:rsidP="005372A7">
      <w:pPr>
        <w:pStyle w:val="MText"/>
        <w:numPr>
          <w:ilvl w:val="0"/>
          <w:numId w:val="11"/>
        </w:numPr>
      </w:pPr>
      <w:r w:rsidRPr="00784B0B">
        <w:rPr>
          <w:i/>
          <w:iCs/>
        </w:rPr>
        <w:t>Reports of the Conference Committee on the Application of Standards;</w:t>
      </w:r>
    </w:p>
    <w:p w14:paraId="0471CE23" w14:textId="7738F9B4" w:rsidR="0025323E" w:rsidRPr="005372A7" w:rsidRDefault="00F03C7C" w:rsidP="005372A7">
      <w:pPr>
        <w:pStyle w:val="MText"/>
        <w:numPr>
          <w:ilvl w:val="0"/>
          <w:numId w:val="11"/>
        </w:numPr>
      </w:pPr>
      <w:r w:rsidRPr="00784B0B">
        <w:rPr>
          <w:i/>
          <w:iCs/>
        </w:rPr>
        <w:t>Country Baselines Under the ILO Declaration Annual Review;</w:t>
      </w:r>
    </w:p>
    <w:p w14:paraId="5EE02AA5" w14:textId="5FD0600E" w:rsidR="0025323E" w:rsidRPr="005372A7" w:rsidRDefault="00F03C7C" w:rsidP="005372A7">
      <w:pPr>
        <w:pStyle w:val="MText"/>
        <w:numPr>
          <w:ilvl w:val="0"/>
          <w:numId w:val="11"/>
        </w:numPr>
      </w:pPr>
      <w:r w:rsidRPr="00784B0B">
        <w:rPr>
          <w:i/>
          <w:iCs/>
        </w:rPr>
        <w:t>Representations under Article 24 of the ILO Constitution;</w:t>
      </w:r>
    </w:p>
    <w:p w14:paraId="585E3D5B" w14:textId="5801E80E" w:rsidR="0025323E" w:rsidRPr="005372A7" w:rsidRDefault="00F03C7C" w:rsidP="005372A7">
      <w:pPr>
        <w:pStyle w:val="MText"/>
        <w:numPr>
          <w:ilvl w:val="0"/>
          <w:numId w:val="11"/>
        </w:numPr>
      </w:pPr>
      <w:r w:rsidRPr="00784B0B">
        <w:rPr>
          <w:i/>
          <w:iCs/>
        </w:rPr>
        <w:lastRenderedPageBreak/>
        <w:t>Complaints under Article 26 of the ILO Constitution</w:t>
      </w:r>
      <w:r w:rsidR="0025323E">
        <w:rPr>
          <w:i/>
          <w:iCs/>
        </w:rPr>
        <w:t>;</w:t>
      </w:r>
      <w:r w:rsidRPr="005372A7">
        <w:rPr>
          <w:iCs/>
        </w:rPr>
        <w:t xml:space="preserve"> and</w:t>
      </w:r>
    </w:p>
    <w:p w14:paraId="24500FE2" w14:textId="7E667FB0" w:rsidR="00F03C7C" w:rsidRPr="003856A6" w:rsidRDefault="00F03C7C" w:rsidP="005372A7">
      <w:pPr>
        <w:pStyle w:val="MText"/>
        <w:numPr>
          <w:ilvl w:val="0"/>
          <w:numId w:val="11"/>
        </w:numPr>
      </w:pPr>
      <w:r w:rsidRPr="00784B0B">
        <w:rPr>
          <w:i/>
          <w:iCs/>
        </w:rPr>
        <w:t>Report on the Committee on Freedom of Association.</w:t>
      </w:r>
    </w:p>
    <w:p w14:paraId="5C95FF32" w14:textId="77777777" w:rsidR="0025323E" w:rsidRDefault="0025323E" w:rsidP="00F03C7C">
      <w:pPr>
        <w:pStyle w:val="MText"/>
      </w:pPr>
    </w:p>
    <w:p w14:paraId="575B6D69" w14:textId="3D3D7D39" w:rsidR="008B34B3" w:rsidRDefault="008B34B3" w:rsidP="008B34B3">
      <w:pPr>
        <w:pStyle w:val="MText"/>
      </w:pPr>
      <w:r>
        <w:t>F</w:t>
      </w:r>
      <w:r w:rsidRPr="003856A6">
        <w:t>or non-ratifying countries</w:t>
      </w:r>
      <w:r>
        <w:t>, t</w:t>
      </w:r>
      <w:r w:rsidRPr="003856A6">
        <w:t>he method also codes relevant national legislation</w:t>
      </w:r>
      <w:r>
        <w:t xml:space="preserve"> with the goal </w:t>
      </w:r>
      <w:r w:rsidRPr="003856A6">
        <w:t xml:space="preserve">to offset information asymmetries between ratifying and non-ratifying countries as regards FACB rights in law. </w:t>
      </w:r>
      <w:r>
        <w:t>R</w:t>
      </w:r>
      <w:r w:rsidRPr="003856A6">
        <w:t>atifying countries are defined as those that have ratified both Conventions 87 and 98, in which case its national legislation is not coded. Non-ratifying countries, on the other hand, fall into two categories, those that have ratified neither 87 nor 98 and those that have ratified only one of these Conventions. If a country has ratified only 87, its national legislation is coded for violations pertaining to 98, as violations under 87 fall under the remit of the ILO’s Committee of Experts as well as Committee on the Application of Standards. Similarly, if a country has ratified only 98, its national legislation is coded for violations pertaining to 87. Note that for federal states, only federal-level legislation is coded.</w:t>
      </w:r>
    </w:p>
    <w:p w14:paraId="698141CA" w14:textId="77777777" w:rsidR="008B34B3" w:rsidRDefault="008B34B3" w:rsidP="008B34B3">
      <w:pPr>
        <w:pStyle w:val="MText"/>
      </w:pPr>
    </w:p>
    <w:p w14:paraId="1EC5CAC3" w14:textId="7AF9B7F7" w:rsidR="008B34B3" w:rsidRPr="003856A6" w:rsidRDefault="008B34B3" w:rsidP="008B34B3">
      <w:pPr>
        <w:pStyle w:val="MText"/>
      </w:pPr>
      <w:r w:rsidRPr="00C1488D">
        <w:t xml:space="preserve">The coding of national legislation </w:t>
      </w:r>
      <w:r>
        <w:t>is</w:t>
      </w:r>
      <w:r w:rsidRPr="00C1488D">
        <w:t xml:space="preserve"> </w:t>
      </w:r>
      <w:r>
        <w:t>carried out</w:t>
      </w:r>
      <w:r w:rsidRPr="00C1488D">
        <w:t xml:space="preserve"> in close collaboration with the International Labour Office to </w:t>
      </w:r>
      <w:r w:rsidR="002F4B7B">
        <w:t>ensure</w:t>
      </w:r>
      <w:r w:rsidR="002F4B7B" w:rsidRPr="00C1488D">
        <w:t xml:space="preserve"> </w:t>
      </w:r>
      <w:r w:rsidRPr="00C1488D">
        <w:t>that it is done in a manner consistent with the ILO’s supervisory system. In addition, countries may also make available information on national legislation when reporting on this indicator through Voluntary National Reports or national reporting platforms or any other national reports.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7E45DF8" w14:textId="59136AC7" w:rsidR="008B34B3" w:rsidRDefault="008B34B3" w:rsidP="008B34B3">
      <w:pPr>
        <w:pStyle w:val="MText"/>
      </w:pPr>
      <w:r>
        <w:t xml:space="preserve">Given that the statistical foundation of the indicator are the ILO textual sources (see above) and that those sources are themselves based on information provided by the Governments, workers’ and employers’ organizations, the </w:t>
      </w:r>
      <w:r w:rsidRPr="00B51118">
        <w:t>data collection is carried out by the I</w:t>
      </w:r>
      <w:r>
        <w:t>LO.</w:t>
      </w:r>
    </w:p>
    <w:p w14:paraId="5EF5B780" w14:textId="77777777" w:rsidR="008B34B3" w:rsidRDefault="008B34B3" w:rsidP="008B34B3">
      <w:pPr>
        <w:pStyle w:val="MText"/>
      </w:pPr>
    </w:p>
    <w:p w14:paraId="138DA37C" w14:textId="77777777" w:rsidR="008B34B3" w:rsidRDefault="008B34B3" w:rsidP="008B34B3">
      <w:pPr>
        <w:pStyle w:val="MText"/>
      </w:pPr>
      <w:r>
        <w:t xml:space="preserve">The data collection </w:t>
      </w:r>
      <w:r w:rsidRPr="00784B0B">
        <w:t xml:space="preserve">is based on </w:t>
      </w:r>
      <w:r>
        <w:t>the</w:t>
      </w:r>
      <w:r w:rsidRPr="00784B0B">
        <w:t xml:space="preserve"> coding</w:t>
      </w:r>
      <w:r>
        <w:t xml:space="preserve"> of the relevant textual sources (see above) against a list of evaluation criteria and then</w:t>
      </w:r>
      <w:r w:rsidRPr="00784B0B">
        <w:t xml:space="preserve"> converting the coding into indicators.</w:t>
      </w:r>
    </w:p>
    <w:p w14:paraId="7D9F065F" w14:textId="77777777" w:rsidR="00EC2915" w:rsidRPr="00A148BC"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5E88C89" w14:textId="79259E09" w:rsidR="004832BC" w:rsidRPr="00C1488D" w:rsidRDefault="004832BC" w:rsidP="004832BC">
      <w:pPr>
        <w:pStyle w:val="MText"/>
      </w:pPr>
      <w:r>
        <w:t>N</w:t>
      </w:r>
      <w:r w:rsidR="00585E56">
        <w:t>ot</w:t>
      </w:r>
      <w:r w:rsidR="004F7C09">
        <w:t xml:space="preserve"> applicable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30D44E9" w14:textId="58F42B6F" w:rsidR="0025323E" w:rsidRPr="00A148BC" w:rsidRDefault="00253188" w:rsidP="0025323E">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released in February of each year</w:t>
      </w:r>
      <w:r w:rsidR="0025323E" w:rsidRPr="00A148BC">
        <w:rPr>
          <w:rFonts w:eastAsia="Times New Roman" w:cs="Times New Roman"/>
          <w:color w:val="4A4A4A"/>
          <w:sz w:val="21"/>
          <w:szCs w:val="21"/>
          <w:lang w:eastAsia="en-GB"/>
        </w:rPr>
        <w:t>.</w:t>
      </w:r>
    </w:p>
    <w:p w14:paraId="34B9330F" w14:textId="77777777" w:rsidR="00FB1915" w:rsidRDefault="00FB1915" w:rsidP="00FB1915">
      <w:pPr>
        <w:shd w:val="clear" w:color="auto" w:fill="FFFFFF"/>
        <w:spacing w:after="0"/>
        <w:rPr>
          <w:rFonts w:eastAsia="Times New Roman" w:cs="Times New Roman"/>
          <w:color w:val="4A4A4A"/>
          <w:sz w:val="21"/>
          <w:szCs w:val="21"/>
          <w:lang w:eastAsia="en-GB"/>
        </w:rPr>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A1D2239" w14:textId="77777777" w:rsidR="00343BAC" w:rsidRPr="00123D29" w:rsidRDefault="00343BAC" w:rsidP="00A148BC">
      <w:pPr>
        <w:pStyle w:val="MText"/>
      </w:pPr>
      <w:r>
        <w:t xml:space="preserve">Given that the statistical foundation of the indicator are the ILO textual sources (see below) and that those sources are themselves based on information provided by the Governments, workers’ and employers’ organizations, the </w:t>
      </w:r>
      <w:r w:rsidRPr="00B51118">
        <w:t xml:space="preserve">data is provided by the </w:t>
      </w:r>
      <w:r>
        <w:t>ILO</w:t>
      </w:r>
      <w:r w:rsidRPr="00B51118">
        <w:t>.</w:t>
      </w:r>
    </w:p>
    <w:p w14:paraId="50A66E64" w14:textId="77777777" w:rsidR="00EC2915" w:rsidRPr="00A96255" w:rsidRDefault="00EC2915" w:rsidP="00A148BC">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DDC59EA" w14:textId="2A3324AE" w:rsidR="00EA610A" w:rsidRDefault="007B5372" w:rsidP="00091628">
      <w:pPr>
        <w:pStyle w:val="MText"/>
      </w:pPr>
      <w:r w:rsidRPr="006D0D97">
        <w:t xml:space="preserve">International Labour Organization </w:t>
      </w:r>
      <w:r>
        <w:t>(</w:t>
      </w:r>
      <w:r w:rsidR="00EA610A">
        <w:t>ILO</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890990B" w14:textId="529DB36D" w:rsidR="00F23974" w:rsidRDefault="000E52E1" w:rsidP="00F23974">
      <w:pPr>
        <w:pStyle w:val="MText"/>
      </w:pPr>
      <w:r>
        <w:lastRenderedPageBreak/>
        <w:t>In 2018, the 20</w:t>
      </w:r>
      <w:r w:rsidRPr="005372A7">
        <w:t>th</w:t>
      </w:r>
      <w:r>
        <w:t xml:space="preserve"> International Conference of Labour Statisticians </w:t>
      </w:r>
      <w:r w:rsidR="0025323E">
        <w:t xml:space="preserve">(ICLS) </w:t>
      </w:r>
      <w:r>
        <w:t>adopted a ‘</w:t>
      </w:r>
      <w:r w:rsidR="004D2C30" w:rsidRPr="00864AC7">
        <w:t>Resolution concerning the methodology of the SDG indicator 8.8.2 on labour rights</w:t>
      </w:r>
      <w:r>
        <w:t xml:space="preserve">’.  Point (b) of the resolution recommends </w:t>
      </w:r>
      <w:r w:rsidR="00190553">
        <w:t xml:space="preserve">that </w:t>
      </w:r>
      <w:r>
        <w:t xml:space="preserve">the International Labour Office communicate on behalf of the </w:t>
      </w:r>
      <w:r w:rsidR="0025323E">
        <w:t>ICLS</w:t>
      </w:r>
      <w:r w:rsidR="00E8145B">
        <w:t>,</w:t>
      </w:r>
      <w:r>
        <w:t xml:space="preserve"> the confirmation that the ILO should be the custodian agency for indicator 8.8.2, given that ILO textual sources are its statistical foundation.</w:t>
      </w:r>
      <w:r w:rsidR="008B34B3" w:rsidRPr="005372A7">
        <w:rPr>
          <w:rStyle w:val="FootnoteReference"/>
          <w:rFonts w:eastAsiaTheme="minorEastAsia" w:cstheme="minorBidi"/>
          <w:color w:val="auto"/>
          <w:lang w:eastAsia="zh-CN"/>
        </w:rPr>
        <w:footnoteReference w:id="2"/>
      </w:r>
    </w:p>
    <w:p w14:paraId="3D063F4C" w14:textId="77777777" w:rsidR="00F719A8" w:rsidRPr="00A96255" w:rsidRDefault="00F719A8">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268A742" w14:textId="521525A7" w:rsidR="008B34B3" w:rsidRDefault="008B34B3" w:rsidP="008B34B3">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The indicator measure</w:t>
      </w:r>
      <w:r>
        <w:rPr>
          <w:rFonts w:eastAsia="Times New Roman" w:cs="Times New Roman"/>
          <w:color w:val="4A4A4A"/>
          <w:sz w:val="21"/>
          <w:szCs w:val="21"/>
          <w:lang w:eastAsia="en-GB"/>
        </w:rPr>
        <w:t>s</w:t>
      </w:r>
      <w:r w:rsidRPr="00784B0B">
        <w:rPr>
          <w:rFonts w:eastAsia="Times New Roman" w:cs="Times New Roman"/>
          <w:color w:val="4A4A4A"/>
          <w:sz w:val="21"/>
          <w:szCs w:val="21"/>
          <w:lang w:eastAsia="en-GB"/>
        </w:rPr>
        <w:t xml:space="preserve"> the level of national compliance with fundamental rights</w:t>
      </w:r>
      <w:r>
        <w:rPr>
          <w:rFonts w:eastAsia="Times New Roman" w:cs="Times New Roman"/>
          <w:color w:val="4A4A4A"/>
          <w:sz w:val="21"/>
          <w:szCs w:val="21"/>
          <w:lang w:eastAsia="en-GB"/>
        </w:rPr>
        <w:t xml:space="preserve"> at work</w:t>
      </w:r>
      <w:r w:rsidRPr="00784B0B">
        <w:rPr>
          <w:rFonts w:eastAsia="Times New Roman" w:cs="Times New Roman"/>
          <w:color w:val="4A4A4A"/>
          <w:sz w:val="21"/>
          <w:szCs w:val="21"/>
          <w:lang w:eastAsia="en-GB"/>
        </w:rPr>
        <w:t xml:space="preserve"> (freedom of association and collective bargaining, FACB)</w:t>
      </w:r>
      <w:r>
        <w:rPr>
          <w:rFonts w:eastAsia="Times New Roman" w:cs="Times New Roman"/>
          <w:color w:val="4A4A4A"/>
          <w:sz w:val="21"/>
          <w:szCs w:val="21"/>
          <w:lang w:eastAsia="en-GB"/>
        </w:rPr>
        <w:t xml:space="preserve"> for all ILO member states</w:t>
      </w:r>
      <w:r w:rsidRPr="00784B0B">
        <w:rPr>
          <w:rFonts w:eastAsia="Times New Roman" w:cs="Times New Roman"/>
          <w:color w:val="4A4A4A"/>
          <w:sz w:val="21"/>
          <w:szCs w:val="21"/>
          <w:lang w:eastAsia="en-GB"/>
        </w:rPr>
        <w:t xml:space="preserve"> based on</w:t>
      </w:r>
      <w:r>
        <w:rPr>
          <w:rFonts w:eastAsia="Times New Roman" w:cs="Times New Roman"/>
          <w:color w:val="4A4A4A"/>
          <w:sz w:val="21"/>
          <w:szCs w:val="21"/>
          <w:lang w:eastAsia="en-GB"/>
        </w:rPr>
        <w:t xml:space="preserve"> the coding of</w:t>
      </w:r>
      <w:r w:rsidRPr="00784B0B">
        <w:rPr>
          <w:rFonts w:eastAsia="Times New Roman" w:cs="Times New Roman"/>
          <w:color w:val="4A4A4A"/>
          <w:sz w:val="21"/>
          <w:szCs w:val="21"/>
          <w:lang w:eastAsia="en-GB"/>
        </w:rPr>
        <w:t xml:space="preserve"> six ILO supervisory body textual sources </w:t>
      </w:r>
      <w:proofErr w:type="gramStart"/>
      <w:r w:rsidRPr="00784B0B">
        <w:rPr>
          <w:rFonts w:eastAsia="Times New Roman" w:cs="Times New Roman"/>
          <w:color w:val="4A4A4A"/>
          <w:sz w:val="21"/>
          <w:szCs w:val="21"/>
          <w:lang w:eastAsia="en-GB"/>
        </w:rPr>
        <w:t>and also</w:t>
      </w:r>
      <w:proofErr w:type="gramEnd"/>
      <w:r w:rsidRPr="00784B0B">
        <w:rPr>
          <w:rFonts w:eastAsia="Times New Roman" w:cs="Times New Roman"/>
          <w:color w:val="4A4A4A"/>
          <w:sz w:val="21"/>
          <w:szCs w:val="21"/>
          <w:lang w:eastAsia="en-GB"/>
        </w:rPr>
        <w:t xml:space="preserve"> on national legislation</w:t>
      </w:r>
      <w:r>
        <w:rPr>
          <w:rFonts w:eastAsia="Times New Roman" w:cs="Times New Roman"/>
          <w:color w:val="4A4A4A"/>
          <w:sz w:val="21"/>
          <w:szCs w:val="21"/>
          <w:lang w:eastAsia="en-GB"/>
        </w:rPr>
        <w:t xml:space="preserve"> against a list of evaluation criteria and then</w:t>
      </w:r>
      <w:r w:rsidRPr="00784B0B">
        <w:rPr>
          <w:rFonts w:eastAsia="Times New Roman" w:cs="Times New Roman"/>
          <w:color w:val="4A4A4A"/>
          <w:sz w:val="21"/>
          <w:szCs w:val="21"/>
          <w:lang w:eastAsia="en-GB"/>
        </w:rPr>
        <w:t xml:space="preserve"> converting the coding into indicators.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509659B" w14:textId="73FED4E5" w:rsidR="00617185" w:rsidRDefault="0061718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Based on the consultation with the ILO’s tripartite constituents (i.e., representatives of government, employers’, and workers’ organizations), </w:t>
      </w:r>
      <w:r w:rsidR="007E6B6D" w:rsidRPr="005372A7">
        <w:rPr>
          <w:rFonts w:eastAsia="Times New Roman" w:cs="Times New Roman"/>
          <w:color w:val="4A4A4A"/>
          <w:sz w:val="21"/>
          <w:szCs w:val="21"/>
          <w:lang w:eastAsia="en-GB"/>
        </w:rPr>
        <w:t xml:space="preserve">it was decided </w:t>
      </w:r>
      <w:r w:rsidRPr="005372A7">
        <w:rPr>
          <w:rFonts w:eastAsia="Times New Roman" w:cs="Times New Roman"/>
          <w:color w:val="4A4A4A"/>
          <w:sz w:val="21"/>
          <w:szCs w:val="21"/>
          <w:lang w:eastAsia="en-GB"/>
        </w:rPr>
        <w:t>to prominently present the following chapeau text in the reporting of SDG indicator 8.8.2:</w:t>
      </w:r>
    </w:p>
    <w:p w14:paraId="3F138E24"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5FE97454" w14:textId="1928D2E8" w:rsidR="00783608" w:rsidRDefault="00783608"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“SDG indicator 8.8.2 seeks to measure the level of national compliance with fundamental labour rights (freedom of association and collective bargaining). It is based on six International Labour Organization (ILO) supervisory body textual sources and also on national legislation. National law is not enacted for the purpose of generating a statistical indicator of compliance with fundamental rights, nor were any of the ILO textual sources created for this purpose. Indicator 8.8.2 is compiled from these sources and its use does not constitute a waiver of the respective ILO Constituents’ divergent points of view on the sources’ conclusions.”</w:t>
      </w:r>
      <w:r w:rsidR="00E279D5" w:rsidRPr="00E41A03">
        <w:rPr>
          <w:rStyle w:val="FootnoteReference"/>
          <w:sz w:val="21"/>
          <w:szCs w:val="21"/>
        </w:rPr>
        <w:footnoteReference w:id="3"/>
      </w:r>
      <w:r w:rsidR="00E279D5" w:rsidRPr="005372A7">
        <w:rPr>
          <w:rStyle w:val="FootnoteReference"/>
        </w:rPr>
        <w:t xml:space="preserve"> </w:t>
      </w:r>
    </w:p>
    <w:p w14:paraId="0C7A60F6"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A7AB732" w14:textId="091F5950" w:rsidR="00E279D5" w:rsidRDefault="00E279D5" w:rsidP="00F23974">
      <w:pPr>
        <w:shd w:val="clear" w:color="auto" w:fill="FFFFFF"/>
        <w:spacing w:after="0"/>
        <w:rPr>
          <w:rFonts w:eastAsia="Times New Roman" w:cs="Times New Roman"/>
          <w:color w:val="4A4A4A"/>
          <w:sz w:val="21"/>
          <w:szCs w:val="21"/>
          <w:lang w:eastAsia="en-GB"/>
        </w:rPr>
      </w:pPr>
      <w:r w:rsidRPr="005372A7">
        <w:rPr>
          <w:rFonts w:eastAsia="Times New Roman" w:cs="Times New Roman"/>
          <w:color w:val="4A4A4A"/>
          <w:sz w:val="21"/>
          <w:szCs w:val="21"/>
          <w:lang w:eastAsia="en-GB"/>
        </w:rPr>
        <w:t xml:space="preserve">To highlight the difference between ratifying and non-ratifying countries, the following additional clarification </w:t>
      </w:r>
      <w:r w:rsidR="007E6B6D" w:rsidRPr="005372A7">
        <w:rPr>
          <w:rFonts w:eastAsia="Times New Roman" w:cs="Times New Roman"/>
          <w:color w:val="4A4A4A"/>
          <w:sz w:val="21"/>
          <w:szCs w:val="21"/>
          <w:lang w:eastAsia="en-GB"/>
        </w:rPr>
        <w:t>is</w:t>
      </w:r>
      <w:r w:rsidRPr="005372A7">
        <w:rPr>
          <w:rFonts w:eastAsia="Times New Roman" w:cs="Times New Roman"/>
          <w:color w:val="4A4A4A"/>
          <w:sz w:val="21"/>
          <w:szCs w:val="21"/>
          <w:lang w:eastAsia="en-GB"/>
        </w:rPr>
        <w:t xml:space="preserve"> provided:</w:t>
      </w:r>
    </w:p>
    <w:p w14:paraId="1F91BCF7" w14:textId="77777777" w:rsidR="00F23974" w:rsidRPr="005372A7" w:rsidRDefault="00F23974" w:rsidP="005372A7">
      <w:pPr>
        <w:shd w:val="clear" w:color="auto" w:fill="FFFFFF"/>
        <w:spacing w:after="0"/>
        <w:rPr>
          <w:rFonts w:eastAsia="Times New Roman" w:cs="Times New Roman"/>
          <w:color w:val="4A4A4A"/>
          <w:sz w:val="21"/>
          <w:szCs w:val="21"/>
          <w:lang w:eastAsia="en-GB"/>
        </w:rPr>
      </w:pPr>
    </w:p>
    <w:p w14:paraId="2CAF6604" w14:textId="3D9DF16E" w:rsidR="00783608" w:rsidRDefault="00783608" w:rsidP="00576CFA">
      <w:pPr>
        <w:pStyle w:val="MText"/>
      </w:pPr>
      <w:r>
        <w:t>“SDG indicator 8.8.2 is not intended as a tool to compare compliance among ILO member States. It should specifically be noted that reporting obligations of an ILO member State to the ILO’s supervisory system and thus ILO textual sources are different for ratifying and non‐ratifying ILO member States.”</w:t>
      </w:r>
      <w:r w:rsidR="00E279D5">
        <w:rPr>
          <w:rStyle w:val="FootnoteReference"/>
        </w:rPr>
        <w:footnoteReference w:id="4"/>
      </w:r>
    </w:p>
    <w:p w14:paraId="6F43D0F7" w14:textId="786335D3" w:rsidR="000C3EE0" w:rsidRDefault="000C3EE0" w:rsidP="00576CFA">
      <w:pPr>
        <w:pStyle w:val="MText"/>
      </w:pPr>
    </w:p>
    <w:p w14:paraId="1114D2B5" w14:textId="1558E6BA" w:rsidR="000C3EE0" w:rsidRDefault="000C3EE0" w:rsidP="00576CFA">
      <w:pPr>
        <w:pStyle w:val="MText"/>
      </w:pPr>
      <w:r>
        <w:t xml:space="preserve">Based on </w:t>
      </w:r>
      <w:r w:rsidR="00A918B4">
        <w:t>the decisions adopted by the tripartite technical committee set up to further address refinements to the methodology</w:t>
      </w:r>
      <w:r w:rsidR="00033EBD">
        <w:rPr>
          <w:rStyle w:val="FootnoteReference"/>
        </w:rPr>
        <w:footnoteReference w:id="5"/>
      </w:r>
      <w:r w:rsidR="00B40050">
        <w:t>,</w:t>
      </w:r>
      <w:r w:rsidR="00A918B4">
        <w:t xml:space="preserve"> for countries where the score should be treated with care due to the possibility of insufficient information in the textual sources</w:t>
      </w:r>
      <w:r w:rsidR="00B40050">
        <w:t>, the following note will be added:</w:t>
      </w:r>
    </w:p>
    <w:p w14:paraId="54FB0FEC" w14:textId="1FFDCAB7" w:rsidR="00B40050" w:rsidRDefault="00B40050" w:rsidP="00576CFA">
      <w:pPr>
        <w:pStyle w:val="MText"/>
      </w:pPr>
    </w:p>
    <w:p w14:paraId="66569D4E" w14:textId="11ADAA23" w:rsidR="00B40050" w:rsidRPr="00A96255" w:rsidRDefault="00B40050" w:rsidP="00576CFA">
      <w:pPr>
        <w:pStyle w:val="MText"/>
      </w:pPr>
      <w:r>
        <w:lastRenderedPageBreak/>
        <w:t>“The score should be treated with care due to the possibility of insufficient information in the textual sources, based on comparison with an externally produced indicator (see Metadata, point 4.f.).”</w:t>
      </w:r>
      <w:r w:rsidR="00033EBD">
        <w:rPr>
          <w:rStyle w:val="FootnoteReference"/>
        </w:rPr>
        <w:footnoteReference w:id="6"/>
      </w:r>
    </w:p>
    <w:p w14:paraId="398C00AE" w14:textId="77777777" w:rsidR="00EC2915" w:rsidRPr="00A96255" w:rsidRDefault="00EC2915" w:rsidP="00576CFA">
      <w:pPr>
        <w:pStyle w:val="MText"/>
      </w:pPr>
    </w:p>
    <w:p w14:paraId="7EAC423C" w14:textId="452C2C06" w:rsidR="0091110D" w:rsidRDefault="00E1050F" w:rsidP="00AE4855">
      <w:pPr>
        <w:pStyle w:val="MHeader2"/>
      </w:pPr>
      <w:r w:rsidRPr="00A96255">
        <w:t xml:space="preserve">4.c. Method of computation </w:t>
      </w:r>
      <w:r>
        <w:rPr>
          <w:color w:val="B4B4B4"/>
          <w:sz w:val="20"/>
        </w:rPr>
        <w:t>(DATA_COMP)</w:t>
      </w:r>
    </w:p>
    <w:p w14:paraId="7AB63DD5" w14:textId="77777777" w:rsidR="00FA55EB" w:rsidRDefault="00FA55EB" w:rsidP="00FA55EB">
      <w:pPr>
        <w:pStyle w:val="MText"/>
      </w:pPr>
      <w:r>
        <w:t>The method</w:t>
      </w:r>
      <w:r w:rsidRPr="00784B0B">
        <w:t xml:space="preserve"> is based on </w:t>
      </w:r>
      <w:r>
        <w:t>the</w:t>
      </w:r>
      <w:r w:rsidRPr="00784B0B">
        <w:t xml:space="preserve"> coding</w:t>
      </w:r>
      <w:r>
        <w:t xml:space="preserve"> of textual sources (see above) against a list of evaluation criteria and then</w:t>
      </w:r>
      <w:r w:rsidRPr="00784B0B">
        <w:t xml:space="preserve"> converting the coding into indicators</w:t>
      </w:r>
      <w:r>
        <w:t xml:space="preserve">. For the list of evaluation criteria, see Table 1 and 2 (pp. 6-12.) at: </w:t>
      </w:r>
      <w:hyperlink r:id="rId12" w:history="1">
        <w:r w:rsidRPr="00043F42">
          <w:rPr>
            <w:rStyle w:val="Hyperlink"/>
          </w:rPr>
          <w:t>https://www.ilo.org/wcmsp5/groups/public/---dgreports/---stat/documents/meetingdocument/wcms_648636.pdf</w:t>
        </w:r>
      </w:hyperlink>
      <w:r>
        <w:t xml:space="preserve"> </w:t>
      </w:r>
    </w:p>
    <w:p w14:paraId="73B479DA" w14:textId="77777777" w:rsidR="00D26D7C" w:rsidRPr="00091628" w:rsidRDefault="00D26D7C" w:rsidP="00091628">
      <w:pPr>
        <w:spacing w:after="0"/>
        <w:rPr>
          <w:highlight w:val="yellow"/>
          <w:lang w:eastAsia="en-US"/>
        </w:rPr>
      </w:pPr>
    </w:p>
    <w:p w14:paraId="0B10F9EA" w14:textId="77777777" w:rsidR="00FA55EB" w:rsidRDefault="00FA55EB" w:rsidP="00091628">
      <w:pPr>
        <w:pStyle w:val="Heading1"/>
        <w:spacing w:before="0" w:line="276" w:lineRule="auto"/>
        <w:rPr>
          <w:rFonts w:asciiTheme="minorHAnsi" w:eastAsia="Times New Roman" w:hAnsiTheme="minorHAnsi" w:cstheme="minorHAnsi"/>
          <w:b w:val="0"/>
          <w:bCs w:val="0"/>
          <w:color w:val="4A4A4A"/>
          <w:sz w:val="21"/>
          <w:szCs w:val="21"/>
          <w:lang w:eastAsia="en-GB"/>
        </w:rPr>
      </w:pPr>
      <w:r w:rsidRPr="005D4714">
        <w:rPr>
          <w:rFonts w:asciiTheme="minorHAnsi" w:eastAsia="Times New Roman" w:hAnsiTheme="minorHAnsi" w:cstheme="minorHAnsi"/>
          <w:b w:val="0"/>
          <w:bCs w:val="0"/>
          <w:color w:val="4A4A4A"/>
          <w:sz w:val="21"/>
          <w:szCs w:val="21"/>
          <w:lang w:eastAsia="en-GB"/>
        </w:rPr>
        <w:t>The indicator has a range from 0 to 10, with 0 being the best possible score (indicating higher levels of compliance with FACB rights) and 10 the worst (indicating lower levels of compliance with FACB rights). For the purpose of computation, in the first step, the coding of textual sources is transformed into a binary coding, with 1 assigned to observed non-compliance and 0 to no observed non-compliance (unweighted raw scores). The binary coding is then multiplied by the weights as derived from the Delphi method (weighted raw scores). The final scores are the weighted raw scores normalized in a range from 0 to 10.</w:t>
      </w:r>
    </w:p>
    <w:p w14:paraId="0BEC2E9A" w14:textId="77777777" w:rsidR="00D26D7C" w:rsidRPr="00091628" w:rsidRDefault="00D26D7C" w:rsidP="00091628">
      <w:pPr>
        <w:spacing w:after="0" w:line="240" w:lineRule="auto"/>
        <w:rPr>
          <w:b/>
          <w:bCs/>
          <w:lang w:eastAsia="en-GB"/>
        </w:rPr>
      </w:pPr>
    </w:p>
    <w:p w14:paraId="25504C4B" w14:textId="77777777" w:rsidR="00FA55EB" w:rsidRPr="00360111" w:rsidRDefault="00FA55EB" w:rsidP="005372A7">
      <w:pPr>
        <w:pStyle w:val="Heading1"/>
        <w:spacing w:before="120"/>
        <w:rPr>
          <w:rFonts w:asciiTheme="minorHAnsi" w:eastAsia="Calibri" w:hAnsiTheme="minorHAnsi"/>
          <w:color w:val="404040" w:themeColor="text1" w:themeTint="BF"/>
          <w:sz w:val="21"/>
          <w:szCs w:val="21"/>
        </w:rPr>
      </w:pPr>
      <w:r w:rsidRPr="00360111">
        <w:rPr>
          <w:rFonts w:asciiTheme="minorHAnsi" w:eastAsia="Calibri" w:hAnsiTheme="minorHAnsi"/>
          <w:color w:val="404040" w:themeColor="text1" w:themeTint="BF"/>
          <w:sz w:val="21"/>
          <w:szCs w:val="21"/>
        </w:rPr>
        <w:t>Using the Delphi Method to Construct Evaluation Criteria Weights</w:t>
      </w:r>
    </w:p>
    <w:p w14:paraId="148B9B43" w14:textId="77777777" w:rsidR="00FA55EB" w:rsidRDefault="00FA55EB" w:rsidP="00FA55EB">
      <w:pPr>
        <w:pStyle w:val="MText"/>
      </w:pPr>
      <w:r>
        <w:t xml:space="preserve">The weights were constructed with the use of the Delphi method. </w:t>
      </w:r>
      <w:r w:rsidRPr="003856A6">
        <w:t xml:space="preserve">The application of the Delphi method involved two rounds of surveys conducted via email of internationally-recognized experts in labour law having knowledge of the ILO’s supervisory system and particular knowledge of FACB rights as defined by the ILO. Regional representation was another consideration. Experts remained anonymous with respect to each other throughout the process.  </w:t>
      </w:r>
    </w:p>
    <w:p w14:paraId="486B08C1" w14:textId="77777777" w:rsidR="00D26D7C" w:rsidRPr="00EF2D9B" w:rsidRDefault="00D26D7C" w:rsidP="00D26D7C">
      <w:pPr>
        <w:spacing w:after="0" w:line="240" w:lineRule="auto"/>
        <w:rPr>
          <w:lang w:eastAsia="en-GB"/>
        </w:rPr>
      </w:pPr>
    </w:p>
    <w:p w14:paraId="4AD00DCA" w14:textId="77777777" w:rsidR="00FA55EB" w:rsidRPr="00360111" w:rsidRDefault="00FA55EB" w:rsidP="005372A7">
      <w:pPr>
        <w:pStyle w:val="Heading1"/>
        <w:spacing w:before="120"/>
        <w:rPr>
          <w:rFonts w:asciiTheme="minorHAnsi" w:eastAsia="Calibri" w:hAnsiTheme="minorHAnsi"/>
          <w:color w:val="404040" w:themeColor="text1" w:themeTint="BF"/>
          <w:sz w:val="21"/>
          <w:szCs w:val="21"/>
        </w:rPr>
      </w:pPr>
      <w:r w:rsidRPr="00360111">
        <w:rPr>
          <w:rFonts w:asciiTheme="minorHAnsi" w:eastAsia="Calibri" w:hAnsiTheme="minorHAnsi"/>
          <w:color w:val="404040" w:themeColor="text1" w:themeTint="BF"/>
          <w:sz w:val="21"/>
          <w:szCs w:val="21"/>
        </w:rPr>
        <w:t>Applying the weights, normalization and default scores</w:t>
      </w:r>
    </w:p>
    <w:p w14:paraId="2AADDDEB" w14:textId="252E17CA" w:rsidR="00FA55EB" w:rsidRPr="003856A6" w:rsidRDefault="00FA55EB" w:rsidP="00FA55EB">
      <w:pPr>
        <w:pStyle w:val="MText"/>
      </w:pPr>
      <w:r w:rsidRPr="003856A6">
        <w:t xml:space="preserve">The raw coding uses the letters “a” through “g” (with each letter corresponding to one of the seven textual sources) to represent coded violations of FACB rights for each evaluation criteria, yielding a column of 180 cells for any given country and year. In order to apply the weights, any cell containing one or more letters is assigned a value of 1 and any blank cell for which there are no coded violations is assigned a value of 0, creating a binary coding column. The number of letters in a cell does not affect the construction of the binary coding column, in order to avoid double-counting given that the textual sources commonly reference each other. The cells of the column of weights </w:t>
      </w:r>
      <w:r>
        <w:t>are</w:t>
      </w:r>
      <w:r w:rsidRPr="003856A6">
        <w:t xml:space="preserve"> then multiplied by corresponding cells of the binary coding column and summing across the cells of the resultant column yields a weighted non-normalized score for any given country and year. </w:t>
      </w:r>
    </w:p>
    <w:p w14:paraId="6B274A8C" w14:textId="4DE8351C" w:rsidR="00FA55EB" w:rsidRPr="003856A6" w:rsidRDefault="00FA55EB" w:rsidP="00FA55EB">
      <w:pPr>
        <w:spacing w:before="100" w:beforeAutospacing="1" w:after="100" w:afterAutospacing="1"/>
        <w:contextualSpacing/>
        <w:jc w:val="both"/>
        <w:rPr>
          <w:sz w:val="21"/>
          <w:szCs w:val="21"/>
        </w:rPr>
      </w:pPr>
      <w:r w:rsidRPr="00A148BC">
        <w:rPr>
          <w:rStyle w:val="MTextChar"/>
          <w:rFonts w:eastAsiaTheme="minorEastAsia"/>
        </w:rPr>
        <w:t xml:space="preserve">To normalize the indicators over time, 95 is assigned as the maximum weighted non-normalized score for the indicator. This roughly equals to the maximum weighted non-normalized score of one-half of the countries having the most coded violations of FACB rights of workers and their organizations for the years 2000, 2005, 2009 and 2012. The highest weighted non-normalized score for several countries hovered around 80. On this basis, the non-normalized score for any given country and year is normalized to range in value from 0 to 10, the best and worst possible scores respectively. In the future, if any country should </w:t>
      </w:r>
      <w:r w:rsidRPr="00A148BC">
        <w:rPr>
          <w:rStyle w:val="MTextChar"/>
          <w:rFonts w:eastAsiaTheme="minorEastAsia"/>
        </w:rPr>
        <w:lastRenderedPageBreak/>
        <w:t>receive a non-normalized score of greater than 95, this will be capped at 95, yielding a normalized score of 10.</w:t>
      </w:r>
      <w:r w:rsidRPr="00360111">
        <w:rPr>
          <w:color w:val="4A4A4A"/>
          <w:vertAlign w:val="superscript"/>
        </w:rPr>
        <w:footnoteReference w:id="7"/>
      </w:r>
    </w:p>
    <w:p w14:paraId="5D63D651" w14:textId="051871F3" w:rsidR="00FA55EB" w:rsidRPr="009B64F1" w:rsidRDefault="00FA55EB" w:rsidP="00FA55EB">
      <w:pPr>
        <w:pStyle w:val="MText"/>
      </w:pPr>
      <w:r w:rsidRPr="009B64F1">
        <w:t xml:space="preserve">In addition, the method applies the notion that general prohibitions in law imply general prohibitions in practice (though not vice versa). In terms of coding, this means that – both for workers and employers -the direct coding of “General prohibition of the right to establish and join organizations” in law automatically triggers the coding of “General prohibition of the development of independent organizations” in practice; the direct coding of “General prohibition of the right to collective bargaining” in law automatically triggers the coding of the “General prohibition of collective bargaining” in practice ; and, finally, for workers, the direct coding of “General prohibition of the right to strike” in law  automatically triggers the coding of the “General prohibition of strikes” in practice . </w:t>
      </w:r>
    </w:p>
    <w:p w14:paraId="5A21CC33" w14:textId="77777777" w:rsidR="00FA55EB" w:rsidRPr="009B64F1" w:rsidRDefault="00FA55EB" w:rsidP="00FA55EB">
      <w:pPr>
        <w:pStyle w:val="MText"/>
      </w:pPr>
    </w:p>
    <w:p w14:paraId="5DA39425" w14:textId="339525EC" w:rsidR="00FA55EB" w:rsidRDefault="00033EBD" w:rsidP="00FA55EB">
      <w:pPr>
        <w:pStyle w:val="MText"/>
      </w:pPr>
      <w:r>
        <w:t>Based on the decisions adopted by the tripartite technical committee set up to further address refinements to the methodology, i</w:t>
      </w:r>
      <w:r w:rsidR="00FA55EB" w:rsidRPr="009B64F1">
        <w:t>n addition to the above normalization rules,</w:t>
      </w:r>
      <w:r w:rsidR="00E4469A">
        <w:t xml:space="preserve"> </w:t>
      </w:r>
      <w:r w:rsidR="009B64F1">
        <w:t>a “load” of 3.5 will be added to the normalized score of the country</w:t>
      </w:r>
      <w:r w:rsidR="00FA55EB" w:rsidRPr="009B64F1">
        <w:t xml:space="preserve"> </w:t>
      </w:r>
      <w:r w:rsidR="009B64F1">
        <w:t>in cases of</w:t>
      </w:r>
      <w:r w:rsidR="00FA55EB" w:rsidRPr="009B64F1">
        <w:t xml:space="preserve"> all-encompassing violations of FACB rights, that is, for “General prohibition of the right to establish and join organizations” in law, “General prohibition of the development of independent organizations” in practice, “General prohibition of the right to collective bargaining” in law, and “General prohibition of collective bargaining” in practice.</w:t>
      </w:r>
      <w:r w:rsidR="00FA55EB" w:rsidRPr="00905D22">
        <w:t xml:space="preserve"> </w:t>
      </w:r>
    </w:p>
    <w:p w14:paraId="4AE67D3D" w14:textId="454B7530" w:rsidR="00D55163" w:rsidRDefault="00D55163" w:rsidP="00FA55EB">
      <w:pPr>
        <w:pStyle w:val="MText"/>
      </w:pPr>
    </w:p>
    <w:p w14:paraId="7ADB79C4" w14:textId="3CF2A1F3" w:rsidR="00D55163" w:rsidRPr="00D55163" w:rsidRDefault="00D55163" w:rsidP="00FA55EB">
      <w:pPr>
        <w:pStyle w:val="MText"/>
        <w:rPr>
          <w:b/>
          <w:bCs/>
        </w:rPr>
      </w:pPr>
      <w:r w:rsidRPr="00D55163">
        <w:rPr>
          <w:b/>
          <w:bCs/>
        </w:rPr>
        <w:t>Table 1. Hypothetical Example of Coding and Indicator Construction (for a Single Country and Year)</w:t>
      </w:r>
    </w:p>
    <w:p w14:paraId="2BABF075" w14:textId="5BC3EE70" w:rsidR="00D55163" w:rsidRDefault="00D55163" w:rsidP="00FA55EB">
      <w:pPr>
        <w:pStyle w:val="MText"/>
      </w:pPr>
    </w:p>
    <w:tbl>
      <w:tblPr>
        <w:tblW w:w="4855" w:type="pct"/>
        <w:tblLayout w:type="fixed"/>
        <w:tblLook w:val="04A0" w:firstRow="1" w:lastRow="0" w:firstColumn="1" w:lastColumn="0" w:noHBand="0" w:noVBand="1"/>
      </w:tblPr>
      <w:tblGrid>
        <w:gridCol w:w="530"/>
        <w:gridCol w:w="4717"/>
        <w:gridCol w:w="925"/>
        <w:gridCol w:w="787"/>
        <w:gridCol w:w="920"/>
        <w:gridCol w:w="885"/>
      </w:tblGrid>
      <w:tr w:rsidR="00D55163" w:rsidRPr="00775614" w14:paraId="424BCF26" w14:textId="77777777" w:rsidTr="00D55163">
        <w:trPr>
          <w:trHeight w:val="930"/>
        </w:trPr>
        <w:tc>
          <w:tcPr>
            <w:tcW w:w="2993" w:type="pct"/>
            <w:gridSpan w:val="2"/>
            <w:tcBorders>
              <w:top w:val="nil"/>
              <w:left w:val="nil"/>
              <w:bottom w:val="single" w:sz="4" w:space="0" w:color="auto"/>
              <w:right w:val="nil"/>
            </w:tcBorders>
            <w:shd w:val="clear" w:color="000000" w:fill="FFFFFF"/>
            <w:noWrap/>
            <w:vAlign w:val="bottom"/>
            <w:hideMark/>
          </w:tcPr>
          <w:p w14:paraId="49DC64D7"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Evaluation Criteria</w:t>
            </w:r>
          </w:p>
        </w:tc>
        <w:tc>
          <w:tcPr>
            <w:tcW w:w="528" w:type="pct"/>
            <w:tcBorders>
              <w:top w:val="nil"/>
              <w:left w:val="nil"/>
              <w:bottom w:val="single" w:sz="4" w:space="0" w:color="auto"/>
              <w:right w:val="nil"/>
            </w:tcBorders>
            <w:shd w:val="clear" w:color="000000" w:fill="FFFFFF"/>
            <w:vAlign w:val="bottom"/>
            <w:hideMark/>
          </w:tcPr>
          <w:p w14:paraId="27155C6E"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Textual coding</w:t>
            </w:r>
          </w:p>
        </w:tc>
        <w:tc>
          <w:tcPr>
            <w:tcW w:w="449" w:type="pct"/>
            <w:tcBorders>
              <w:top w:val="nil"/>
              <w:left w:val="nil"/>
              <w:bottom w:val="single" w:sz="4" w:space="0" w:color="auto"/>
              <w:right w:val="nil"/>
            </w:tcBorders>
            <w:shd w:val="clear" w:color="000000" w:fill="FFFFFF"/>
            <w:vAlign w:val="bottom"/>
            <w:hideMark/>
          </w:tcPr>
          <w:p w14:paraId="7987B702"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Binary coding</w:t>
            </w:r>
          </w:p>
        </w:tc>
        <w:tc>
          <w:tcPr>
            <w:tcW w:w="525" w:type="pct"/>
            <w:tcBorders>
              <w:top w:val="nil"/>
              <w:left w:val="nil"/>
              <w:bottom w:val="single" w:sz="4" w:space="0" w:color="auto"/>
              <w:right w:val="nil"/>
            </w:tcBorders>
            <w:shd w:val="clear" w:color="000000" w:fill="FFFFFF"/>
            <w:noWrap/>
            <w:vAlign w:val="bottom"/>
            <w:hideMark/>
          </w:tcPr>
          <w:p w14:paraId="6684B9C4"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Weights</w:t>
            </w:r>
          </w:p>
        </w:tc>
        <w:tc>
          <w:tcPr>
            <w:tcW w:w="505" w:type="pct"/>
            <w:tcBorders>
              <w:top w:val="nil"/>
              <w:left w:val="nil"/>
              <w:bottom w:val="single" w:sz="4" w:space="0" w:color="auto"/>
              <w:right w:val="nil"/>
            </w:tcBorders>
            <w:shd w:val="clear" w:color="000000" w:fill="FFFFFF"/>
            <w:vAlign w:val="bottom"/>
            <w:hideMark/>
          </w:tcPr>
          <w:p w14:paraId="0CD77FBB"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Binary coding x Weights</w:t>
            </w:r>
          </w:p>
        </w:tc>
      </w:tr>
      <w:tr w:rsidR="00D55163" w:rsidRPr="00775614" w14:paraId="52D719A1" w14:textId="77777777" w:rsidTr="00D55163">
        <w:trPr>
          <w:trHeight w:val="260"/>
        </w:trPr>
        <w:tc>
          <w:tcPr>
            <w:tcW w:w="302" w:type="pct"/>
            <w:tcBorders>
              <w:top w:val="nil"/>
              <w:left w:val="nil"/>
              <w:bottom w:val="nil"/>
              <w:right w:val="nil"/>
            </w:tcBorders>
            <w:shd w:val="clear" w:color="000000" w:fill="FFFFFF"/>
            <w:noWrap/>
            <w:hideMark/>
          </w:tcPr>
          <w:p w14:paraId="7156B0B4"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25C5E9AB"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Ia. Fundamental civil liberties in law</w:t>
            </w:r>
          </w:p>
        </w:tc>
        <w:tc>
          <w:tcPr>
            <w:tcW w:w="528" w:type="pct"/>
            <w:tcBorders>
              <w:top w:val="nil"/>
              <w:left w:val="nil"/>
              <w:bottom w:val="nil"/>
              <w:right w:val="nil"/>
            </w:tcBorders>
            <w:shd w:val="clear" w:color="000000" w:fill="FFFFFF"/>
            <w:noWrap/>
            <w:hideMark/>
          </w:tcPr>
          <w:p w14:paraId="34A21DC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4A5C971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5D1DDBC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5D85032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3E7919D4" w14:textId="77777777" w:rsidTr="00D55163">
        <w:trPr>
          <w:trHeight w:val="260"/>
        </w:trPr>
        <w:tc>
          <w:tcPr>
            <w:tcW w:w="302" w:type="pct"/>
            <w:tcBorders>
              <w:top w:val="nil"/>
              <w:left w:val="nil"/>
              <w:bottom w:val="nil"/>
              <w:right w:val="nil"/>
            </w:tcBorders>
            <w:shd w:val="clear" w:color="000000" w:fill="FFFFFF"/>
            <w:noWrap/>
            <w:hideMark/>
          </w:tcPr>
          <w:p w14:paraId="20FF183F"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7551EBCB"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 xml:space="preserve">Infringements of trade unionists' basic freedoms </w:t>
            </w:r>
          </w:p>
        </w:tc>
        <w:tc>
          <w:tcPr>
            <w:tcW w:w="528" w:type="pct"/>
            <w:tcBorders>
              <w:top w:val="nil"/>
              <w:left w:val="nil"/>
              <w:bottom w:val="nil"/>
              <w:right w:val="nil"/>
            </w:tcBorders>
            <w:shd w:val="clear" w:color="000000" w:fill="FFFFFF"/>
            <w:noWrap/>
            <w:hideMark/>
          </w:tcPr>
          <w:p w14:paraId="62CFD2D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59D770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8FEBB3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1,93</w:t>
            </w:r>
          </w:p>
        </w:tc>
        <w:tc>
          <w:tcPr>
            <w:tcW w:w="505" w:type="pct"/>
            <w:tcBorders>
              <w:top w:val="nil"/>
              <w:left w:val="nil"/>
              <w:bottom w:val="nil"/>
              <w:right w:val="nil"/>
            </w:tcBorders>
            <w:shd w:val="clear" w:color="000000" w:fill="FFFFFF"/>
            <w:noWrap/>
            <w:hideMark/>
          </w:tcPr>
          <w:p w14:paraId="1F5FEFA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1,93</w:t>
            </w:r>
          </w:p>
        </w:tc>
      </w:tr>
      <w:tr w:rsidR="00D55163" w:rsidRPr="00775614" w14:paraId="3CBA9BC9" w14:textId="77777777" w:rsidTr="00D55163">
        <w:trPr>
          <w:trHeight w:val="260"/>
        </w:trPr>
        <w:tc>
          <w:tcPr>
            <w:tcW w:w="302" w:type="pct"/>
            <w:tcBorders>
              <w:top w:val="nil"/>
              <w:left w:val="nil"/>
              <w:bottom w:val="nil"/>
              <w:right w:val="nil"/>
            </w:tcBorders>
            <w:shd w:val="clear" w:color="000000" w:fill="FFFFFF"/>
            <w:noWrap/>
            <w:hideMark/>
          </w:tcPr>
          <w:p w14:paraId="46E0BD25"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6C51A32"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Ib. Fundamental civil liberties in practice</w:t>
            </w:r>
          </w:p>
        </w:tc>
        <w:tc>
          <w:tcPr>
            <w:tcW w:w="528" w:type="pct"/>
            <w:tcBorders>
              <w:top w:val="nil"/>
              <w:left w:val="nil"/>
              <w:bottom w:val="nil"/>
              <w:right w:val="nil"/>
            </w:tcBorders>
            <w:shd w:val="clear" w:color="000000" w:fill="FFFFFF"/>
            <w:noWrap/>
            <w:hideMark/>
          </w:tcPr>
          <w:p w14:paraId="428ABD4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5F8BB00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0CEC934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6AD9B32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6BD898EA" w14:textId="77777777" w:rsidTr="00D55163">
        <w:trPr>
          <w:trHeight w:val="260"/>
        </w:trPr>
        <w:tc>
          <w:tcPr>
            <w:tcW w:w="302" w:type="pct"/>
            <w:tcBorders>
              <w:top w:val="nil"/>
              <w:left w:val="nil"/>
              <w:bottom w:val="nil"/>
              <w:right w:val="nil"/>
            </w:tcBorders>
            <w:shd w:val="clear" w:color="000000" w:fill="FFFFFF"/>
            <w:noWrap/>
            <w:hideMark/>
          </w:tcPr>
          <w:p w14:paraId="5DF745E9"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6</w:t>
            </w:r>
          </w:p>
        </w:tc>
        <w:tc>
          <w:tcPr>
            <w:tcW w:w="2691" w:type="pct"/>
            <w:tcBorders>
              <w:top w:val="nil"/>
              <w:left w:val="nil"/>
              <w:bottom w:val="nil"/>
              <w:right w:val="nil"/>
            </w:tcBorders>
            <w:shd w:val="clear" w:color="000000" w:fill="FFFFFF"/>
            <w:hideMark/>
          </w:tcPr>
          <w:p w14:paraId="7241D7F4"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Killing or disappearance of trade unionists in relation to their trade union activities</w:t>
            </w:r>
          </w:p>
        </w:tc>
        <w:tc>
          <w:tcPr>
            <w:tcW w:w="528" w:type="pct"/>
            <w:tcBorders>
              <w:top w:val="nil"/>
              <w:left w:val="nil"/>
              <w:bottom w:val="nil"/>
              <w:right w:val="nil"/>
            </w:tcBorders>
            <w:shd w:val="clear" w:color="000000" w:fill="FFFFFF"/>
            <w:noWrap/>
            <w:hideMark/>
          </w:tcPr>
          <w:p w14:paraId="6306A37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af</w:t>
            </w:r>
          </w:p>
        </w:tc>
        <w:tc>
          <w:tcPr>
            <w:tcW w:w="449" w:type="pct"/>
            <w:tcBorders>
              <w:top w:val="nil"/>
              <w:left w:val="nil"/>
              <w:bottom w:val="nil"/>
              <w:right w:val="nil"/>
            </w:tcBorders>
            <w:shd w:val="clear" w:color="000000" w:fill="FFFFFF"/>
            <w:noWrap/>
            <w:hideMark/>
          </w:tcPr>
          <w:p w14:paraId="10B95DB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24C7D9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2,00</w:t>
            </w:r>
          </w:p>
        </w:tc>
        <w:tc>
          <w:tcPr>
            <w:tcW w:w="505" w:type="pct"/>
            <w:tcBorders>
              <w:top w:val="nil"/>
              <w:left w:val="nil"/>
              <w:bottom w:val="nil"/>
              <w:right w:val="nil"/>
            </w:tcBorders>
            <w:shd w:val="clear" w:color="000000" w:fill="FFFFFF"/>
            <w:noWrap/>
            <w:hideMark/>
          </w:tcPr>
          <w:p w14:paraId="3B7AAA0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2,00</w:t>
            </w:r>
          </w:p>
        </w:tc>
      </w:tr>
      <w:tr w:rsidR="00D55163" w:rsidRPr="00775614" w14:paraId="44F01151" w14:textId="77777777" w:rsidTr="00D55163">
        <w:trPr>
          <w:trHeight w:val="260"/>
        </w:trPr>
        <w:tc>
          <w:tcPr>
            <w:tcW w:w="302" w:type="pct"/>
            <w:tcBorders>
              <w:top w:val="nil"/>
              <w:left w:val="nil"/>
              <w:bottom w:val="nil"/>
              <w:right w:val="nil"/>
            </w:tcBorders>
            <w:shd w:val="clear" w:color="000000" w:fill="FFFFFF"/>
            <w:noWrap/>
            <w:hideMark/>
          </w:tcPr>
          <w:p w14:paraId="6F6F3DD2"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9</w:t>
            </w:r>
          </w:p>
        </w:tc>
        <w:tc>
          <w:tcPr>
            <w:tcW w:w="2691" w:type="pct"/>
            <w:tcBorders>
              <w:top w:val="nil"/>
              <w:left w:val="nil"/>
              <w:bottom w:val="nil"/>
              <w:right w:val="nil"/>
            </w:tcBorders>
            <w:shd w:val="clear" w:color="000000" w:fill="FFFFFF"/>
            <w:hideMark/>
          </w:tcPr>
          <w:p w14:paraId="19A3820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Other violent actions against trade unionists  in relation to their trade union activities</w:t>
            </w:r>
          </w:p>
        </w:tc>
        <w:tc>
          <w:tcPr>
            <w:tcW w:w="528" w:type="pct"/>
            <w:tcBorders>
              <w:top w:val="nil"/>
              <w:left w:val="nil"/>
              <w:bottom w:val="nil"/>
              <w:right w:val="nil"/>
            </w:tcBorders>
            <w:shd w:val="clear" w:color="000000" w:fill="FFFFFF"/>
            <w:noWrap/>
            <w:hideMark/>
          </w:tcPr>
          <w:p w14:paraId="30BFE6D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af</w:t>
            </w:r>
          </w:p>
        </w:tc>
        <w:tc>
          <w:tcPr>
            <w:tcW w:w="449" w:type="pct"/>
            <w:tcBorders>
              <w:top w:val="nil"/>
              <w:left w:val="nil"/>
              <w:bottom w:val="nil"/>
              <w:right w:val="nil"/>
            </w:tcBorders>
            <w:shd w:val="clear" w:color="000000" w:fill="FFFFFF"/>
            <w:noWrap/>
            <w:hideMark/>
          </w:tcPr>
          <w:p w14:paraId="4D07849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476A7C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1,82</w:t>
            </w:r>
          </w:p>
        </w:tc>
        <w:tc>
          <w:tcPr>
            <w:tcW w:w="505" w:type="pct"/>
            <w:tcBorders>
              <w:top w:val="nil"/>
              <w:left w:val="nil"/>
              <w:bottom w:val="nil"/>
              <w:right w:val="nil"/>
            </w:tcBorders>
            <w:shd w:val="clear" w:color="000000" w:fill="FFFFFF"/>
            <w:noWrap/>
            <w:hideMark/>
          </w:tcPr>
          <w:p w14:paraId="470FD1C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1,82</w:t>
            </w:r>
          </w:p>
        </w:tc>
      </w:tr>
      <w:tr w:rsidR="00D55163" w:rsidRPr="00775614" w14:paraId="4310B3ED" w14:textId="77777777" w:rsidTr="00D55163">
        <w:trPr>
          <w:trHeight w:val="260"/>
        </w:trPr>
        <w:tc>
          <w:tcPr>
            <w:tcW w:w="302" w:type="pct"/>
            <w:tcBorders>
              <w:top w:val="nil"/>
              <w:left w:val="nil"/>
              <w:bottom w:val="nil"/>
              <w:right w:val="nil"/>
            </w:tcBorders>
            <w:shd w:val="clear" w:color="000000" w:fill="FFFFFF"/>
            <w:noWrap/>
            <w:hideMark/>
          </w:tcPr>
          <w:p w14:paraId="48D52F96"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12</w:t>
            </w:r>
          </w:p>
        </w:tc>
        <w:tc>
          <w:tcPr>
            <w:tcW w:w="2691" w:type="pct"/>
            <w:tcBorders>
              <w:top w:val="nil"/>
              <w:left w:val="nil"/>
              <w:bottom w:val="nil"/>
              <w:right w:val="nil"/>
            </w:tcBorders>
            <w:shd w:val="clear" w:color="000000" w:fill="FFFFFF"/>
            <w:hideMark/>
          </w:tcPr>
          <w:p w14:paraId="358F5B32"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Arrest, detention, imprisonment, charging and fining of trade unionists in relation to their trade union activities</w:t>
            </w:r>
          </w:p>
        </w:tc>
        <w:tc>
          <w:tcPr>
            <w:tcW w:w="528" w:type="pct"/>
            <w:tcBorders>
              <w:top w:val="nil"/>
              <w:left w:val="nil"/>
              <w:bottom w:val="nil"/>
              <w:right w:val="nil"/>
            </w:tcBorders>
            <w:shd w:val="clear" w:color="000000" w:fill="FFFFFF"/>
            <w:noWrap/>
            <w:hideMark/>
          </w:tcPr>
          <w:p w14:paraId="57AA4E8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af</w:t>
            </w:r>
          </w:p>
        </w:tc>
        <w:tc>
          <w:tcPr>
            <w:tcW w:w="449" w:type="pct"/>
            <w:tcBorders>
              <w:top w:val="nil"/>
              <w:left w:val="nil"/>
              <w:bottom w:val="nil"/>
              <w:right w:val="nil"/>
            </w:tcBorders>
            <w:shd w:val="clear" w:color="000000" w:fill="FFFFFF"/>
            <w:noWrap/>
            <w:hideMark/>
          </w:tcPr>
          <w:p w14:paraId="3B926D5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7B78E76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1,95</w:t>
            </w:r>
          </w:p>
        </w:tc>
        <w:tc>
          <w:tcPr>
            <w:tcW w:w="505" w:type="pct"/>
            <w:tcBorders>
              <w:top w:val="nil"/>
              <w:left w:val="nil"/>
              <w:bottom w:val="nil"/>
              <w:right w:val="nil"/>
            </w:tcBorders>
            <w:shd w:val="clear" w:color="000000" w:fill="FFFFFF"/>
            <w:noWrap/>
            <w:hideMark/>
          </w:tcPr>
          <w:p w14:paraId="6852945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1,95</w:t>
            </w:r>
          </w:p>
        </w:tc>
      </w:tr>
      <w:tr w:rsidR="00D55163" w:rsidRPr="00775614" w14:paraId="3E3B72F9" w14:textId="77777777" w:rsidTr="00D55163">
        <w:trPr>
          <w:trHeight w:val="260"/>
        </w:trPr>
        <w:tc>
          <w:tcPr>
            <w:tcW w:w="302" w:type="pct"/>
            <w:tcBorders>
              <w:top w:val="nil"/>
              <w:left w:val="nil"/>
              <w:bottom w:val="nil"/>
              <w:right w:val="nil"/>
            </w:tcBorders>
            <w:shd w:val="clear" w:color="000000" w:fill="FFFFFF"/>
            <w:noWrap/>
            <w:hideMark/>
          </w:tcPr>
          <w:p w14:paraId="72D37664"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571DEBA"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IIa. Right of workers to establish and join organizations in law</w:t>
            </w:r>
          </w:p>
        </w:tc>
        <w:tc>
          <w:tcPr>
            <w:tcW w:w="528" w:type="pct"/>
            <w:tcBorders>
              <w:top w:val="nil"/>
              <w:left w:val="nil"/>
              <w:bottom w:val="nil"/>
              <w:right w:val="nil"/>
            </w:tcBorders>
            <w:shd w:val="clear" w:color="000000" w:fill="FFFFFF"/>
            <w:noWrap/>
            <w:hideMark/>
          </w:tcPr>
          <w:p w14:paraId="6C7A5DE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2D71936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7930B5A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5CB59C5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65D270FA" w14:textId="77777777" w:rsidTr="00D55163">
        <w:trPr>
          <w:trHeight w:val="260"/>
        </w:trPr>
        <w:tc>
          <w:tcPr>
            <w:tcW w:w="302" w:type="pct"/>
            <w:tcBorders>
              <w:top w:val="nil"/>
              <w:left w:val="nil"/>
              <w:bottom w:val="nil"/>
              <w:right w:val="nil"/>
            </w:tcBorders>
            <w:shd w:val="clear" w:color="000000" w:fill="FFFFFF"/>
            <w:noWrap/>
            <w:hideMark/>
          </w:tcPr>
          <w:p w14:paraId="09B68B3C"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2</w:t>
            </w:r>
            <w:r>
              <w:rPr>
                <w:rFonts w:eastAsia="Times New Roman" w:cstheme="minorHAnsi"/>
                <w:sz w:val="20"/>
                <w:szCs w:val="20"/>
              </w:rPr>
              <w:t>4</w:t>
            </w:r>
          </w:p>
        </w:tc>
        <w:tc>
          <w:tcPr>
            <w:tcW w:w="2691" w:type="pct"/>
            <w:tcBorders>
              <w:top w:val="nil"/>
              <w:left w:val="nil"/>
              <w:bottom w:val="nil"/>
              <w:right w:val="nil"/>
            </w:tcBorders>
            <w:shd w:val="clear" w:color="000000" w:fill="FFFFFF"/>
            <w:hideMark/>
          </w:tcPr>
          <w:p w14:paraId="3B0828EE"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Exclusion of workers from the right to establish and join organizations</w:t>
            </w:r>
          </w:p>
        </w:tc>
        <w:tc>
          <w:tcPr>
            <w:tcW w:w="528" w:type="pct"/>
            <w:tcBorders>
              <w:top w:val="nil"/>
              <w:left w:val="nil"/>
              <w:bottom w:val="nil"/>
              <w:right w:val="nil"/>
            </w:tcBorders>
            <w:shd w:val="clear" w:color="000000" w:fill="FFFFFF"/>
            <w:noWrap/>
            <w:hideMark/>
          </w:tcPr>
          <w:p w14:paraId="43170BC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662B988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188291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1,86</w:t>
            </w:r>
          </w:p>
        </w:tc>
        <w:tc>
          <w:tcPr>
            <w:tcW w:w="505" w:type="pct"/>
            <w:tcBorders>
              <w:top w:val="nil"/>
              <w:left w:val="nil"/>
              <w:bottom w:val="nil"/>
              <w:right w:val="nil"/>
            </w:tcBorders>
            <w:shd w:val="clear" w:color="000000" w:fill="FFFFFF"/>
            <w:noWrap/>
            <w:hideMark/>
          </w:tcPr>
          <w:p w14:paraId="4F9D6FA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1,86</w:t>
            </w:r>
          </w:p>
        </w:tc>
      </w:tr>
      <w:tr w:rsidR="00D55163" w:rsidRPr="00775614" w14:paraId="286F93C3" w14:textId="77777777" w:rsidTr="00D55163">
        <w:trPr>
          <w:trHeight w:val="260"/>
        </w:trPr>
        <w:tc>
          <w:tcPr>
            <w:tcW w:w="302" w:type="pct"/>
            <w:tcBorders>
              <w:top w:val="nil"/>
              <w:left w:val="nil"/>
              <w:bottom w:val="nil"/>
              <w:right w:val="nil"/>
            </w:tcBorders>
            <w:shd w:val="clear" w:color="000000" w:fill="FFFFFF"/>
            <w:noWrap/>
            <w:hideMark/>
          </w:tcPr>
          <w:p w14:paraId="55450FF2"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0</w:t>
            </w:r>
          </w:p>
        </w:tc>
        <w:tc>
          <w:tcPr>
            <w:tcW w:w="2691" w:type="pct"/>
            <w:tcBorders>
              <w:top w:val="nil"/>
              <w:left w:val="nil"/>
              <w:bottom w:val="nil"/>
              <w:right w:val="nil"/>
            </w:tcBorders>
            <w:shd w:val="clear" w:color="000000" w:fill="FFFFFF"/>
            <w:hideMark/>
          </w:tcPr>
          <w:p w14:paraId="55818AAF"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Lack of adequate legal guarantees against anti-union discriminatory measures</w:t>
            </w:r>
          </w:p>
        </w:tc>
        <w:tc>
          <w:tcPr>
            <w:tcW w:w="528" w:type="pct"/>
            <w:tcBorders>
              <w:top w:val="nil"/>
              <w:left w:val="nil"/>
              <w:bottom w:val="nil"/>
              <w:right w:val="nil"/>
            </w:tcBorders>
            <w:shd w:val="clear" w:color="000000" w:fill="FFFFFF"/>
            <w:noWrap/>
            <w:hideMark/>
          </w:tcPr>
          <w:p w14:paraId="65B2384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0125304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AB976F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1,75</w:t>
            </w:r>
          </w:p>
        </w:tc>
        <w:tc>
          <w:tcPr>
            <w:tcW w:w="505" w:type="pct"/>
            <w:tcBorders>
              <w:top w:val="nil"/>
              <w:left w:val="nil"/>
              <w:bottom w:val="nil"/>
              <w:right w:val="nil"/>
            </w:tcBorders>
            <w:shd w:val="clear" w:color="000000" w:fill="FFFFFF"/>
            <w:noWrap/>
            <w:hideMark/>
          </w:tcPr>
          <w:p w14:paraId="0814FE6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1,75</w:t>
            </w:r>
          </w:p>
        </w:tc>
      </w:tr>
      <w:tr w:rsidR="00D55163" w:rsidRPr="00775614" w14:paraId="751BF38A" w14:textId="77777777" w:rsidTr="00D55163">
        <w:trPr>
          <w:trHeight w:val="260"/>
        </w:trPr>
        <w:tc>
          <w:tcPr>
            <w:tcW w:w="302" w:type="pct"/>
            <w:tcBorders>
              <w:top w:val="nil"/>
              <w:left w:val="nil"/>
              <w:bottom w:val="nil"/>
              <w:right w:val="nil"/>
            </w:tcBorders>
            <w:shd w:val="clear" w:color="000000" w:fill="FFFFFF"/>
            <w:noWrap/>
            <w:hideMark/>
          </w:tcPr>
          <w:p w14:paraId="5B846ABB"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3</w:t>
            </w:r>
          </w:p>
        </w:tc>
        <w:tc>
          <w:tcPr>
            <w:tcW w:w="2691" w:type="pct"/>
            <w:tcBorders>
              <w:top w:val="nil"/>
              <w:left w:val="nil"/>
              <w:bottom w:val="nil"/>
              <w:right w:val="nil"/>
            </w:tcBorders>
            <w:shd w:val="clear" w:color="000000" w:fill="FFFFFF"/>
            <w:hideMark/>
          </w:tcPr>
          <w:p w14:paraId="01FF63B0"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establish and join federations/confederations/international organizations</w:t>
            </w:r>
          </w:p>
        </w:tc>
        <w:tc>
          <w:tcPr>
            <w:tcW w:w="528" w:type="pct"/>
            <w:tcBorders>
              <w:top w:val="nil"/>
              <w:left w:val="nil"/>
              <w:bottom w:val="nil"/>
              <w:right w:val="nil"/>
            </w:tcBorders>
            <w:shd w:val="clear" w:color="000000" w:fill="FFFFFF"/>
            <w:noWrap/>
            <w:hideMark/>
          </w:tcPr>
          <w:p w14:paraId="3DA0075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abf</w:t>
            </w:r>
          </w:p>
        </w:tc>
        <w:tc>
          <w:tcPr>
            <w:tcW w:w="449" w:type="pct"/>
            <w:tcBorders>
              <w:top w:val="nil"/>
              <w:left w:val="nil"/>
              <w:bottom w:val="nil"/>
              <w:right w:val="nil"/>
            </w:tcBorders>
            <w:shd w:val="clear" w:color="000000" w:fill="FFFFFF"/>
            <w:noWrap/>
            <w:hideMark/>
          </w:tcPr>
          <w:p w14:paraId="3F467B7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DFC1D9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c>
          <w:tcPr>
            <w:tcW w:w="505" w:type="pct"/>
            <w:tcBorders>
              <w:top w:val="nil"/>
              <w:left w:val="nil"/>
              <w:bottom w:val="nil"/>
              <w:right w:val="nil"/>
            </w:tcBorders>
            <w:shd w:val="clear" w:color="000000" w:fill="FFFFFF"/>
            <w:noWrap/>
            <w:hideMark/>
          </w:tcPr>
          <w:p w14:paraId="1C07DFA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r>
      <w:tr w:rsidR="00D55163" w:rsidRPr="00775614" w14:paraId="628982B0" w14:textId="77777777" w:rsidTr="00D55163">
        <w:trPr>
          <w:trHeight w:val="260"/>
        </w:trPr>
        <w:tc>
          <w:tcPr>
            <w:tcW w:w="302" w:type="pct"/>
            <w:tcBorders>
              <w:top w:val="nil"/>
              <w:left w:val="nil"/>
              <w:bottom w:val="nil"/>
              <w:right w:val="nil"/>
            </w:tcBorders>
            <w:shd w:val="clear" w:color="000000" w:fill="FFFFFF"/>
            <w:noWrap/>
            <w:hideMark/>
          </w:tcPr>
          <w:p w14:paraId="4C5AE839"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568BAC8C"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IIb. Right of workers to establish and join organizations in practice</w:t>
            </w:r>
          </w:p>
        </w:tc>
        <w:tc>
          <w:tcPr>
            <w:tcW w:w="528" w:type="pct"/>
            <w:tcBorders>
              <w:top w:val="nil"/>
              <w:left w:val="nil"/>
              <w:bottom w:val="nil"/>
              <w:right w:val="nil"/>
            </w:tcBorders>
            <w:shd w:val="clear" w:color="000000" w:fill="FFFFFF"/>
            <w:noWrap/>
            <w:hideMark/>
          </w:tcPr>
          <w:p w14:paraId="4767488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605662C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6D18FA5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724880F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319F23B8" w14:textId="77777777" w:rsidTr="00D55163">
        <w:trPr>
          <w:trHeight w:val="260"/>
        </w:trPr>
        <w:tc>
          <w:tcPr>
            <w:tcW w:w="302" w:type="pct"/>
            <w:tcBorders>
              <w:top w:val="nil"/>
              <w:left w:val="nil"/>
              <w:bottom w:val="nil"/>
              <w:right w:val="nil"/>
            </w:tcBorders>
            <w:shd w:val="clear" w:color="000000" w:fill="FFFFFF"/>
            <w:noWrap/>
            <w:hideMark/>
          </w:tcPr>
          <w:p w14:paraId="506781DD"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3</w:t>
            </w:r>
            <w:r>
              <w:rPr>
                <w:rFonts w:eastAsia="Times New Roman" w:cstheme="minorHAnsi"/>
                <w:sz w:val="20"/>
                <w:szCs w:val="20"/>
              </w:rPr>
              <w:t>7</w:t>
            </w:r>
          </w:p>
        </w:tc>
        <w:tc>
          <w:tcPr>
            <w:tcW w:w="2691" w:type="pct"/>
            <w:tcBorders>
              <w:top w:val="nil"/>
              <w:left w:val="nil"/>
              <w:bottom w:val="nil"/>
              <w:right w:val="nil"/>
            </w:tcBorders>
            <w:shd w:val="clear" w:color="000000" w:fill="FFFFFF"/>
            <w:hideMark/>
          </w:tcPr>
          <w:p w14:paraId="2DEDD2A7"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Previous authorization requirements</w:t>
            </w:r>
          </w:p>
        </w:tc>
        <w:tc>
          <w:tcPr>
            <w:tcW w:w="528" w:type="pct"/>
            <w:tcBorders>
              <w:top w:val="nil"/>
              <w:left w:val="nil"/>
              <w:bottom w:val="nil"/>
              <w:right w:val="nil"/>
            </w:tcBorders>
            <w:shd w:val="clear" w:color="000000" w:fill="FFFFFF"/>
            <w:noWrap/>
            <w:hideMark/>
          </w:tcPr>
          <w:p w14:paraId="17B7229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af</w:t>
            </w:r>
          </w:p>
        </w:tc>
        <w:tc>
          <w:tcPr>
            <w:tcW w:w="449" w:type="pct"/>
            <w:tcBorders>
              <w:top w:val="nil"/>
              <w:left w:val="nil"/>
              <w:bottom w:val="nil"/>
              <w:right w:val="nil"/>
            </w:tcBorders>
            <w:shd w:val="clear" w:color="000000" w:fill="FFFFFF"/>
            <w:noWrap/>
            <w:hideMark/>
          </w:tcPr>
          <w:p w14:paraId="67B5DC9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46DD0E8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1,70</w:t>
            </w:r>
          </w:p>
        </w:tc>
        <w:tc>
          <w:tcPr>
            <w:tcW w:w="505" w:type="pct"/>
            <w:tcBorders>
              <w:top w:val="nil"/>
              <w:left w:val="nil"/>
              <w:bottom w:val="nil"/>
              <w:right w:val="nil"/>
            </w:tcBorders>
            <w:shd w:val="clear" w:color="000000" w:fill="FFFFFF"/>
            <w:noWrap/>
            <w:hideMark/>
          </w:tcPr>
          <w:p w14:paraId="29836AA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1,70</w:t>
            </w:r>
          </w:p>
        </w:tc>
      </w:tr>
      <w:tr w:rsidR="00D55163" w:rsidRPr="00775614" w14:paraId="79195282" w14:textId="77777777" w:rsidTr="00D55163">
        <w:trPr>
          <w:trHeight w:val="260"/>
        </w:trPr>
        <w:tc>
          <w:tcPr>
            <w:tcW w:w="302" w:type="pct"/>
            <w:tcBorders>
              <w:top w:val="nil"/>
              <w:left w:val="nil"/>
              <w:bottom w:val="nil"/>
              <w:right w:val="nil"/>
            </w:tcBorders>
            <w:shd w:val="clear" w:color="000000" w:fill="FFFFFF"/>
            <w:noWrap/>
            <w:hideMark/>
          </w:tcPr>
          <w:p w14:paraId="412A1346"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lastRenderedPageBreak/>
              <w:t>4</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06323E93"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Committed against trade union officials re violation no. 4</w:t>
            </w:r>
            <w:r>
              <w:rPr>
                <w:rFonts w:eastAsia="Times New Roman" w:cstheme="minorHAnsi"/>
                <w:sz w:val="20"/>
                <w:szCs w:val="20"/>
              </w:rPr>
              <w:t>1</w:t>
            </w:r>
          </w:p>
        </w:tc>
        <w:tc>
          <w:tcPr>
            <w:tcW w:w="528" w:type="pct"/>
            <w:tcBorders>
              <w:top w:val="nil"/>
              <w:left w:val="nil"/>
              <w:bottom w:val="nil"/>
              <w:right w:val="nil"/>
            </w:tcBorders>
            <w:shd w:val="clear" w:color="000000" w:fill="FFFFFF"/>
            <w:noWrap/>
            <w:hideMark/>
          </w:tcPr>
          <w:p w14:paraId="50972E3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f</w:t>
            </w:r>
          </w:p>
        </w:tc>
        <w:tc>
          <w:tcPr>
            <w:tcW w:w="449" w:type="pct"/>
            <w:tcBorders>
              <w:top w:val="nil"/>
              <w:left w:val="nil"/>
              <w:bottom w:val="nil"/>
              <w:right w:val="nil"/>
            </w:tcBorders>
            <w:shd w:val="clear" w:color="000000" w:fill="FFFFFF"/>
            <w:noWrap/>
            <w:hideMark/>
          </w:tcPr>
          <w:p w14:paraId="52D5099D"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1DE9BC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1,89</w:t>
            </w:r>
          </w:p>
        </w:tc>
        <w:tc>
          <w:tcPr>
            <w:tcW w:w="505" w:type="pct"/>
            <w:tcBorders>
              <w:top w:val="nil"/>
              <w:left w:val="nil"/>
              <w:bottom w:val="nil"/>
              <w:right w:val="nil"/>
            </w:tcBorders>
            <w:shd w:val="clear" w:color="000000" w:fill="FFFFFF"/>
            <w:noWrap/>
            <w:hideMark/>
          </w:tcPr>
          <w:p w14:paraId="640A458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1,89</w:t>
            </w:r>
          </w:p>
        </w:tc>
      </w:tr>
      <w:tr w:rsidR="00D55163" w:rsidRPr="00775614" w14:paraId="226FC1C7" w14:textId="77777777" w:rsidTr="00D55163">
        <w:trPr>
          <w:trHeight w:val="260"/>
        </w:trPr>
        <w:tc>
          <w:tcPr>
            <w:tcW w:w="302" w:type="pct"/>
            <w:tcBorders>
              <w:top w:val="nil"/>
              <w:left w:val="nil"/>
              <w:bottom w:val="nil"/>
              <w:right w:val="nil"/>
            </w:tcBorders>
            <w:shd w:val="clear" w:color="000000" w:fill="FFFFFF"/>
            <w:noWrap/>
            <w:hideMark/>
          </w:tcPr>
          <w:p w14:paraId="5B7F2D9A" w14:textId="77777777" w:rsidR="00D55163" w:rsidRPr="00775614" w:rsidRDefault="00D55163" w:rsidP="006C03A4">
            <w:pPr>
              <w:spacing w:after="0" w:line="240" w:lineRule="auto"/>
              <w:jc w:val="center"/>
              <w:rPr>
                <w:rFonts w:eastAsia="Times New Roman" w:cstheme="minorHAnsi"/>
                <w:sz w:val="20"/>
                <w:szCs w:val="20"/>
              </w:rPr>
            </w:pPr>
            <w:r>
              <w:rPr>
                <w:rFonts w:eastAsia="Times New Roman" w:cstheme="minorHAnsi"/>
                <w:sz w:val="20"/>
                <w:szCs w:val="20"/>
              </w:rPr>
              <w:t>43</w:t>
            </w:r>
          </w:p>
        </w:tc>
        <w:tc>
          <w:tcPr>
            <w:tcW w:w="2691" w:type="pct"/>
            <w:tcBorders>
              <w:top w:val="nil"/>
              <w:left w:val="nil"/>
              <w:bottom w:val="nil"/>
              <w:right w:val="nil"/>
            </w:tcBorders>
            <w:shd w:val="clear" w:color="000000" w:fill="FFFFFF"/>
            <w:hideMark/>
          </w:tcPr>
          <w:p w14:paraId="390547D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Lack of guarantee of due process and/or justice re violation no. 4</w:t>
            </w:r>
            <w:r>
              <w:rPr>
                <w:rFonts w:eastAsia="Times New Roman" w:cstheme="minorHAnsi"/>
                <w:sz w:val="20"/>
                <w:szCs w:val="20"/>
              </w:rPr>
              <w:t>1</w:t>
            </w:r>
          </w:p>
        </w:tc>
        <w:tc>
          <w:tcPr>
            <w:tcW w:w="528" w:type="pct"/>
            <w:tcBorders>
              <w:top w:val="nil"/>
              <w:left w:val="nil"/>
              <w:bottom w:val="nil"/>
              <w:right w:val="nil"/>
            </w:tcBorders>
            <w:shd w:val="clear" w:color="000000" w:fill="FFFFFF"/>
            <w:noWrap/>
            <w:hideMark/>
          </w:tcPr>
          <w:p w14:paraId="1AA19CE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f</w:t>
            </w:r>
          </w:p>
        </w:tc>
        <w:tc>
          <w:tcPr>
            <w:tcW w:w="449" w:type="pct"/>
            <w:tcBorders>
              <w:top w:val="nil"/>
              <w:left w:val="nil"/>
              <w:bottom w:val="nil"/>
              <w:right w:val="nil"/>
            </w:tcBorders>
            <w:shd w:val="clear" w:color="000000" w:fill="FFFFFF"/>
            <w:noWrap/>
            <w:hideMark/>
          </w:tcPr>
          <w:p w14:paraId="450C502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046C08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c>
          <w:tcPr>
            <w:tcW w:w="505" w:type="pct"/>
            <w:tcBorders>
              <w:top w:val="nil"/>
              <w:left w:val="nil"/>
              <w:bottom w:val="nil"/>
              <w:right w:val="nil"/>
            </w:tcBorders>
            <w:shd w:val="clear" w:color="000000" w:fill="FFFFFF"/>
            <w:noWrap/>
            <w:hideMark/>
          </w:tcPr>
          <w:p w14:paraId="3F89BEF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r>
      <w:tr w:rsidR="00D55163" w:rsidRPr="00775614" w14:paraId="22BA5073" w14:textId="77777777" w:rsidTr="00D55163">
        <w:trPr>
          <w:trHeight w:val="260"/>
        </w:trPr>
        <w:tc>
          <w:tcPr>
            <w:tcW w:w="302" w:type="pct"/>
            <w:tcBorders>
              <w:top w:val="nil"/>
              <w:left w:val="nil"/>
              <w:bottom w:val="nil"/>
              <w:right w:val="nil"/>
            </w:tcBorders>
            <w:shd w:val="clear" w:color="000000" w:fill="FFFFFF"/>
            <w:noWrap/>
            <w:hideMark/>
          </w:tcPr>
          <w:p w14:paraId="3469C40A"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589277D1"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IIIa. Other union activities in law</w:t>
            </w:r>
          </w:p>
        </w:tc>
        <w:tc>
          <w:tcPr>
            <w:tcW w:w="528" w:type="pct"/>
            <w:tcBorders>
              <w:top w:val="nil"/>
              <w:left w:val="nil"/>
              <w:bottom w:val="nil"/>
              <w:right w:val="nil"/>
            </w:tcBorders>
            <w:shd w:val="clear" w:color="000000" w:fill="FFFFFF"/>
            <w:noWrap/>
            <w:hideMark/>
          </w:tcPr>
          <w:p w14:paraId="060B720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00216B7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1D24FC5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2EF25BD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9CA70E9" w14:textId="77777777" w:rsidTr="00D55163">
        <w:trPr>
          <w:trHeight w:val="260"/>
        </w:trPr>
        <w:tc>
          <w:tcPr>
            <w:tcW w:w="302" w:type="pct"/>
            <w:tcBorders>
              <w:top w:val="nil"/>
              <w:left w:val="nil"/>
              <w:bottom w:val="nil"/>
              <w:right w:val="nil"/>
            </w:tcBorders>
            <w:shd w:val="clear" w:color="000000" w:fill="FFFFFF"/>
            <w:noWrap/>
            <w:hideMark/>
          </w:tcPr>
          <w:p w14:paraId="60AD2397" w14:textId="77777777" w:rsidR="00D55163" w:rsidRPr="00775614" w:rsidRDefault="00D55163" w:rsidP="006C03A4">
            <w:pPr>
              <w:spacing w:after="0" w:line="240" w:lineRule="auto"/>
              <w:jc w:val="center"/>
              <w:rPr>
                <w:rFonts w:eastAsia="Times New Roman" w:cstheme="minorHAnsi"/>
                <w:sz w:val="20"/>
                <w:szCs w:val="20"/>
              </w:rPr>
            </w:pPr>
            <w:r>
              <w:rPr>
                <w:rFonts w:eastAsia="Times New Roman" w:cstheme="minorHAnsi"/>
                <w:sz w:val="20"/>
                <w:szCs w:val="20"/>
              </w:rPr>
              <w:t>49</w:t>
            </w:r>
          </w:p>
        </w:tc>
        <w:tc>
          <w:tcPr>
            <w:tcW w:w="2691" w:type="pct"/>
            <w:tcBorders>
              <w:top w:val="nil"/>
              <w:left w:val="nil"/>
              <w:bottom w:val="nil"/>
              <w:right w:val="nil"/>
            </w:tcBorders>
            <w:shd w:val="clear" w:color="000000" w:fill="FFFFFF"/>
            <w:hideMark/>
          </w:tcPr>
          <w:p w14:paraId="6D3B538F"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freely elect representatives</w:t>
            </w:r>
          </w:p>
        </w:tc>
        <w:tc>
          <w:tcPr>
            <w:tcW w:w="528" w:type="pct"/>
            <w:tcBorders>
              <w:top w:val="nil"/>
              <w:left w:val="nil"/>
              <w:bottom w:val="nil"/>
              <w:right w:val="nil"/>
            </w:tcBorders>
            <w:shd w:val="clear" w:color="000000" w:fill="FFFFFF"/>
            <w:noWrap/>
            <w:hideMark/>
          </w:tcPr>
          <w:p w14:paraId="180190E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0F1FF25D"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7A19F7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c>
          <w:tcPr>
            <w:tcW w:w="505" w:type="pct"/>
            <w:tcBorders>
              <w:top w:val="nil"/>
              <w:left w:val="nil"/>
              <w:bottom w:val="nil"/>
              <w:right w:val="nil"/>
            </w:tcBorders>
            <w:shd w:val="clear" w:color="000000" w:fill="FFFFFF"/>
            <w:noWrap/>
            <w:hideMark/>
          </w:tcPr>
          <w:p w14:paraId="6E6F959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1,80</w:t>
            </w:r>
          </w:p>
        </w:tc>
      </w:tr>
      <w:tr w:rsidR="00D55163" w:rsidRPr="00775614" w14:paraId="69E5DCA7" w14:textId="77777777" w:rsidTr="00D55163">
        <w:trPr>
          <w:trHeight w:val="260"/>
        </w:trPr>
        <w:tc>
          <w:tcPr>
            <w:tcW w:w="302" w:type="pct"/>
            <w:tcBorders>
              <w:top w:val="nil"/>
              <w:left w:val="nil"/>
              <w:bottom w:val="nil"/>
              <w:right w:val="nil"/>
            </w:tcBorders>
            <w:shd w:val="clear" w:color="000000" w:fill="FFFFFF"/>
            <w:noWrap/>
            <w:hideMark/>
          </w:tcPr>
          <w:p w14:paraId="765A772E"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5</w:t>
            </w:r>
            <w:r>
              <w:rPr>
                <w:rFonts w:eastAsia="Times New Roman" w:cstheme="minorHAnsi"/>
                <w:sz w:val="20"/>
                <w:szCs w:val="20"/>
              </w:rPr>
              <w:t>0</w:t>
            </w:r>
          </w:p>
        </w:tc>
        <w:tc>
          <w:tcPr>
            <w:tcW w:w="2691" w:type="pct"/>
            <w:tcBorders>
              <w:top w:val="nil"/>
              <w:left w:val="nil"/>
              <w:bottom w:val="nil"/>
              <w:right w:val="nil"/>
            </w:tcBorders>
            <w:shd w:val="clear" w:color="000000" w:fill="FFFFFF"/>
            <w:hideMark/>
          </w:tcPr>
          <w:p w14:paraId="079B0611"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Infringements of the right to freely organize and control financial administration</w:t>
            </w:r>
          </w:p>
        </w:tc>
        <w:tc>
          <w:tcPr>
            <w:tcW w:w="528" w:type="pct"/>
            <w:tcBorders>
              <w:top w:val="nil"/>
              <w:left w:val="nil"/>
              <w:bottom w:val="nil"/>
              <w:right w:val="nil"/>
            </w:tcBorders>
            <w:shd w:val="clear" w:color="000000" w:fill="FFFFFF"/>
            <w:noWrap/>
            <w:hideMark/>
          </w:tcPr>
          <w:p w14:paraId="6144727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ab</w:t>
            </w:r>
          </w:p>
        </w:tc>
        <w:tc>
          <w:tcPr>
            <w:tcW w:w="449" w:type="pct"/>
            <w:tcBorders>
              <w:top w:val="nil"/>
              <w:left w:val="nil"/>
              <w:bottom w:val="nil"/>
              <w:right w:val="nil"/>
            </w:tcBorders>
            <w:shd w:val="clear" w:color="000000" w:fill="FFFFFF"/>
            <w:noWrap/>
            <w:hideMark/>
          </w:tcPr>
          <w:p w14:paraId="19E7691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5DB668F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1,59</w:t>
            </w:r>
          </w:p>
        </w:tc>
        <w:tc>
          <w:tcPr>
            <w:tcW w:w="505" w:type="pct"/>
            <w:tcBorders>
              <w:top w:val="nil"/>
              <w:left w:val="nil"/>
              <w:bottom w:val="nil"/>
              <w:right w:val="nil"/>
            </w:tcBorders>
            <w:shd w:val="clear" w:color="000000" w:fill="FFFFFF"/>
            <w:noWrap/>
            <w:hideMark/>
          </w:tcPr>
          <w:p w14:paraId="39E6E4D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1,59</w:t>
            </w:r>
          </w:p>
        </w:tc>
      </w:tr>
      <w:tr w:rsidR="00D55163" w:rsidRPr="00775614" w14:paraId="5B29F5CB" w14:textId="77777777" w:rsidTr="00D55163">
        <w:trPr>
          <w:trHeight w:val="260"/>
        </w:trPr>
        <w:tc>
          <w:tcPr>
            <w:tcW w:w="302" w:type="pct"/>
            <w:tcBorders>
              <w:top w:val="nil"/>
              <w:left w:val="nil"/>
              <w:bottom w:val="nil"/>
              <w:right w:val="nil"/>
            </w:tcBorders>
            <w:shd w:val="clear" w:color="000000" w:fill="FFFFFF"/>
            <w:noWrap/>
            <w:hideMark/>
          </w:tcPr>
          <w:p w14:paraId="324ED6A0"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5</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158C7771"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Prohibition of all political activities</w:t>
            </w:r>
          </w:p>
        </w:tc>
        <w:tc>
          <w:tcPr>
            <w:tcW w:w="528" w:type="pct"/>
            <w:tcBorders>
              <w:top w:val="nil"/>
              <w:left w:val="nil"/>
              <w:bottom w:val="nil"/>
              <w:right w:val="nil"/>
            </w:tcBorders>
            <w:shd w:val="clear" w:color="000000" w:fill="FFFFFF"/>
            <w:noWrap/>
            <w:hideMark/>
          </w:tcPr>
          <w:p w14:paraId="48CEF02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ab</w:t>
            </w:r>
          </w:p>
        </w:tc>
        <w:tc>
          <w:tcPr>
            <w:tcW w:w="449" w:type="pct"/>
            <w:tcBorders>
              <w:top w:val="nil"/>
              <w:left w:val="nil"/>
              <w:bottom w:val="nil"/>
              <w:right w:val="nil"/>
            </w:tcBorders>
            <w:shd w:val="clear" w:color="000000" w:fill="FFFFFF"/>
            <w:noWrap/>
            <w:hideMark/>
          </w:tcPr>
          <w:p w14:paraId="45E1158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670325A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c>
          <w:tcPr>
            <w:tcW w:w="505" w:type="pct"/>
            <w:tcBorders>
              <w:top w:val="nil"/>
              <w:left w:val="nil"/>
              <w:bottom w:val="nil"/>
              <w:right w:val="nil"/>
            </w:tcBorders>
            <w:shd w:val="clear" w:color="000000" w:fill="FFFFFF"/>
            <w:noWrap/>
            <w:hideMark/>
          </w:tcPr>
          <w:p w14:paraId="7EC809B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1,73</w:t>
            </w:r>
          </w:p>
        </w:tc>
      </w:tr>
      <w:tr w:rsidR="00D55163" w:rsidRPr="00775614" w14:paraId="249B739A" w14:textId="77777777" w:rsidTr="00D55163">
        <w:trPr>
          <w:trHeight w:val="260"/>
        </w:trPr>
        <w:tc>
          <w:tcPr>
            <w:tcW w:w="302" w:type="pct"/>
            <w:tcBorders>
              <w:top w:val="nil"/>
              <w:left w:val="nil"/>
              <w:bottom w:val="nil"/>
              <w:right w:val="nil"/>
            </w:tcBorders>
            <w:shd w:val="clear" w:color="000000" w:fill="FFFFFF"/>
            <w:noWrap/>
            <w:hideMark/>
          </w:tcPr>
          <w:p w14:paraId="73C742B0"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3E5640E4"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IVa. Right to collective bargaining in law</w:t>
            </w:r>
          </w:p>
        </w:tc>
        <w:tc>
          <w:tcPr>
            <w:tcW w:w="528" w:type="pct"/>
            <w:tcBorders>
              <w:top w:val="nil"/>
              <w:left w:val="nil"/>
              <w:bottom w:val="nil"/>
              <w:right w:val="nil"/>
            </w:tcBorders>
            <w:shd w:val="clear" w:color="000000" w:fill="FFFFFF"/>
            <w:noWrap/>
            <w:hideMark/>
          </w:tcPr>
          <w:p w14:paraId="0E04347C"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525E41B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050C5DC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46757F2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1F7AFBE8" w14:textId="77777777" w:rsidTr="00D55163">
        <w:trPr>
          <w:trHeight w:val="260"/>
        </w:trPr>
        <w:tc>
          <w:tcPr>
            <w:tcW w:w="302" w:type="pct"/>
            <w:tcBorders>
              <w:top w:val="nil"/>
              <w:left w:val="nil"/>
              <w:bottom w:val="nil"/>
              <w:right w:val="nil"/>
            </w:tcBorders>
            <w:shd w:val="clear" w:color="000000" w:fill="FFFFFF"/>
            <w:noWrap/>
            <w:hideMark/>
          </w:tcPr>
          <w:p w14:paraId="7AAEA785"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6</w:t>
            </w:r>
            <w:r>
              <w:rPr>
                <w:rFonts w:eastAsia="Times New Roman" w:cstheme="minorHAnsi"/>
                <w:sz w:val="20"/>
                <w:szCs w:val="20"/>
              </w:rPr>
              <w:t>6</w:t>
            </w:r>
          </w:p>
        </w:tc>
        <w:tc>
          <w:tcPr>
            <w:tcW w:w="2691" w:type="pct"/>
            <w:tcBorders>
              <w:top w:val="nil"/>
              <w:left w:val="nil"/>
              <w:bottom w:val="nil"/>
              <w:right w:val="nil"/>
            </w:tcBorders>
            <w:shd w:val="clear" w:color="000000" w:fill="FFFFFF"/>
            <w:hideMark/>
          </w:tcPr>
          <w:p w14:paraId="195D8B9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Acts of interference in collective bargaining</w:t>
            </w:r>
          </w:p>
        </w:tc>
        <w:tc>
          <w:tcPr>
            <w:tcW w:w="528" w:type="pct"/>
            <w:tcBorders>
              <w:top w:val="nil"/>
              <w:left w:val="nil"/>
              <w:bottom w:val="nil"/>
              <w:right w:val="nil"/>
            </w:tcBorders>
            <w:shd w:val="clear" w:color="000000" w:fill="FFFFFF"/>
            <w:noWrap/>
            <w:hideMark/>
          </w:tcPr>
          <w:p w14:paraId="34C0AD1E"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5EBE378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4264476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1,66</w:t>
            </w:r>
          </w:p>
        </w:tc>
        <w:tc>
          <w:tcPr>
            <w:tcW w:w="505" w:type="pct"/>
            <w:tcBorders>
              <w:top w:val="nil"/>
              <w:left w:val="nil"/>
              <w:bottom w:val="nil"/>
              <w:right w:val="nil"/>
            </w:tcBorders>
            <w:shd w:val="clear" w:color="000000" w:fill="FFFFFF"/>
            <w:noWrap/>
            <w:hideMark/>
          </w:tcPr>
          <w:p w14:paraId="1C12FCD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1,66</w:t>
            </w:r>
          </w:p>
        </w:tc>
      </w:tr>
      <w:tr w:rsidR="00D55163" w:rsidRPr="00775614" w14:paraId="1DCC47B9" w14:textId="77777777" w:rsidTr="00D55163">
        <w:trPr>
          <w:trHeight w:val="260"/>
        </w:trPr>
        <w:tc>
          <w:tcPr>
            <w:tcW w:w="302" w:type="pct"/>
            <w:tcBorders>
              <w:top w:val="nil"/>
              <w:left w:val="nil"/>
              <w:bottom w:val="nil"/>
              <w:right w:val="nil"/>
            </w:tcBorders>
            <w:shd w:val="clear" w:color="000000" w:fill="FFFFFF"/>
            <w:noWrap/>
          </w:tcPr>
          <w:p w14:paraId="4C1EBC69" w14:textId="77777777" w:rsidR="00D55163" w:rsidRPr="00775614" w:rsidRDefault="00D55163" w:rsidP="006C03A4">
            <w:pPr>
              <w:spacing w:after="0" w:line="240" w:lineRule="auto"/>
              <w:jc w:val="center"/>
              <w:rPr>
                <w:rFonts w:eastAsia="Times New Roman" w:cstheme="minorHAnsi"/>
                <w:sz w:val="20"/>
                <w:szCs w:val="20"/>
              </w:rPr>
            </w:pPr>
          </w:p>
        </w:tc>
        <w:tc>
          <w:tcPr>
            <w:tcW w:w="2691" w:type="pct"/>
            <w:tcBorders>
              <w:top w:val="nil"/>
              <w:left w:val="nil"/>
              <w:bottom w:val="nil"/>
              <w:right w:val="nil"/>
            </w:tcBorders>
            <w:shd w:val="clear" w:color="000000" w:fill="FFFFFF"/>
          </w:tcPr>
          <w:p w14:paraId="522EECC6"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b/>
                <w:bCs/>
                <w:sz w:val="20"/>
                <w:szCs w:val="20"/>
              </w:rPr>
              <w:t>IV</w:t>
            </w:r>
            <w:r>
              <w:rPr>
                <w:rFonts w:eastAsia="Times New Roman" w:cstheme="minorHAnsi"/>
                <w:b/>
                <w:bCs/>
                <w:sz w:val="20"/>
                <w:szCs w:val="20"/>
              </w:rPr>
              <w:t>b</w:t>
            </w:r>
            <w:r w:rsidRPr="00775614">
              <w:rPr>
                <w:rFonts w:eastAsia="Times New Roman" w:cstheme="minorHAnsi"/>
                <w:b/>
                <w:bCs/>
                <w:sz w:val="20"/>
                <w:szCs w:val="20"/>
              </w:rPr>
              <w:t xml:space="preserve">. Right to collective bargaining in </w:t>
            </w:r>
            <w:r>
              <w:rPr>
                <w:rFonts w:eastAsia="Times New Roman" w:cstheme="minorHAnsi"/>
                <w:b/>
                <w:bCs/>
                <w:sz w:val="20"/>
                <w:szCs w:val="20"/>
              </w:rPr>
              <w:t>practice</w:t>
            </w:r>
          </w:p>
        </w:tc>
        <w:tc>
          <w:tcPr>
            <w:tcW w:w="528" w:type="pct"/>
            <w:tcBorders>
              <w:top w:val="nil"/>
              <w:left w:val="nil"/>
              <w:bottom w:val="nil"/>
              <w:right w:val="nil"/>
            </w:tcBorders>
            <w:shd w:val="clear" w:color="000000" w:fill="FFFFFF"/>
            <w:noWrap/>
          </w:tcPr>
          <w:p w14:paraId="6D3E3F98"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449" w:type="pct"/>
            <w:tcBorders>
              <w:top w:val="nil"/>
              <w:left w:val="nil"/>
              <w:bottom w:val="nil"/>
              <w:right w:val="nil"/>
            </w:tcBorders>
            <w:shd w:val="clear" w:color="000000" w:fill="FFFFFF"/>
            <w:noWrap/>
          </w:tcPr>
          <w:p w14:paraId="081A97FE"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525" w:type="pct"/>
            <w:tcBorders>
              <w:top w:val="nil"/>
              <w:left w:val="nil"/>
              <w:bottom w:val="nil"/>
              <w:right w:val="nil"/>
            </w:tcBorders>
            <w:shd w:val="clear" w:color="000000" w:fill="FFFFFF"/>
            <w:noWrap/>
          </w:tcPr>
          <w:p w14:paraId="7F45A2CB" w14:textId="77777777" w:rsidR="00D55163" w:rsidRPr="00775614" w:rsidRDefault="00D55163" w:rsidP="006C03A4">
            <w:pPr>
              <w:spacing w:after="0" w:line="240" w:lineRule="auto"/>
              <w:jc w:val="center"/>
              <w:rPr>
                <w:rFonts w:eastAsia="Times New Roman" w:cstheme="minorHAnsi"/>
                <w:color w:val="000000"/>
                <w:sz w:val="20"/>
                <w:szCs w:val="20"/>
              </w:rPr>
            </w:pPr>
          </w:p>
        </w:tc>
        <w:tc>
          <w:tcPr>
            <w:tcW w:w="505" w:type="pct"/>
            <w:tcBorders>
              <w:top w:val="nil"/>
              <w:left w:val="nil"/>
              <w:bottom w:val="nil"/>
              <w:right w:val="nil"/>
            </w:tcBorders>
            <w:shd w:val="clear" w:color="000000" w:fill="FFFFFF"/>
            <w:noWrap/>
          </w:tcPr>
          <w:p w14:paraId="2D833671" w14:textId="77777777" w:rsidR="00D55163" w:rsidRPr="00775614" w:rsidRDefault="00D55163" w:rsidP="006C03A4">
            <w:pPr>
              <w:spacing w:after="0" w:line="240" w:lineRule="auto"/>
              <w:jc w:val="center"/>
              <w:rPr>
                <w:rFonts w:eastAsia="Times New Roman" w:cstheme="minorHAnsi"/>
                <w:color w:val="000000"/>
                <w:sz w:val="20"/>
                <w:szCs w:val="20"/>
              </w:rPr>
            </w:pPr>
          </w:p>
        </w:tc>
      </w:tr>
      <w:tr w:rsidR="00D55163" w:rsidRPr="00775614" w14:paraId="1E364741" w14:textId="77777777" w:rsidTr="00D55163">
        <w:trPr>
          <w:trHeight w:val="260"/>
        </w:trPr>
        <w:tc>
          <w:tcPr>
            <w:tcW w:w="302" w:type="pct"/>
            <w:tcBorders>
              <w:top w:val="nil"/>
              <w:left w:val="nil"/>
              <w:bottom w:val="nil"/>
              <w:right w:val="nil"/>
            </w:tcBorders>
            <w:shd w:val="clear" w:color="000000" w:fill="FFFFFF"/>
            <w:noWrap/>
            <w:hideMark/>
          </w:tcPr>
          <w:p w14:paraId="40E8404D"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7</w:t>
            </w:r>
            <w:r>
              <w:rPr>
                <w:rFonts w:eastAsia="Times New Roman" w:cstheme="minorHAnsi"/>
                <w:sz w:val="20"/>
                <w:szCs w:val="20"/>
              </w:rPr>
              <w:t>2</w:t>
            </w:r>
          </w:p>
        </w:tc>
        <w:tc>
          <w:tcPr>
            <w:tcW w:w="2691" w:type="pct"/>
            <w:tcBorders>
              <w:top w:val="nil"/>
              <w:left w:val="nil"/>
              <w:bottom w:val="nil"/>
              <w:right w:val="nil"/>
            </w:tcBorders>
            <w:shd w:val="clear" w:color="000000" w:fill="FFFFFF"/>
            <w:hideMark/>
          </w:tcPr>
          <w:p w14:paraId="28F79760"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Exclusion of workers from the right to collective bargaining</w:t>
            </w:r>
          </w:p>
        </w:tc>
        <w:tc>
          <w:tcPr>
            <w:tcW w:w="528" w:type="pct"/>
            <w:tcBorders>
              <w:top w:val="nil"/>
              <w:left w:val="nil"/>
              <w:bottom w:val="nil"/>
              <w:right w:val="nil"/>
            </w:tcBorders>
            <w:shd w:val="clear" w:color="000000" w:fill="FFFFFF"/>
            <w:noWrap/>
            <w:hideMark/>
          </w:tcPr>
          <w:p w14:paraId="3D7709B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a</w:t>
            </w:r>
          </w:p>
        </w:tc>
        <w:tc>
          <w:tcPr>
            <w:tcW w:w="449" w:type="pct"/>
            <w:tcBorders>
              <w:top w:val="nil"/>
              <w:left w:val="nil"/>
              <w:bottom w:val="nil"/>
              <w:right w:val="nil"/>
            </w:tcBorders>
            <w:shd w:val="clear" w:color="000000" w:fill="FFFFFF"/>
            <w:noWrap/>
            <w:hideMark/>
          </w:tcPr>
          <w:p w14:paraId="1ABC1157"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w:t>
            </w:r>
          </w:p>
        </w:tc>
        <w:tc>
          <w:tcPr>
            <w:tcW w:w="525" w:type="pct"/>
            <w:tcBorders>
              <w:top w:val="nil"/>
              <w:left w:val="nil"/>
              <w:bottom w:val="nil"/>
              <w:right w:val="nil"/>
            </w:tcBorders>
            <w:shd w:val="clear" w:color="000000" w:fill="FFFFFF"/>
            <w:noWrap/>
            <w:hideMark/>
          </w:tcPr>
          <w:p w14:paraId="3BF1ED01"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1,84</w:t>
            </w:r>
          </w:p>
        </w:tc>
        <w:tc>
          <w:tcPr>
            <w:tcW w:w="505" w:type="pct"/>
            <w:tcBorders>
              <w:top w:val="nil"/>
              <w:left w:val="nil"/>
              <w:bottom w:val="nil"/>
              <w:right w:val="nil"/>
            </w:tcBorders>
            <w:shd w:val="clear" w:color="000000" w:fill="FFFFFF"/>
            <w:noWrap/>
            <w:hideMark/>
          </w:tcPr>
          <w:p w14:paraId="4B1E144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1,84</w:t>
            </w:r>
          </w:p>
        </w:tc>
      </w:tr>
      <w:tr w:rsidR="00D55163" w:rsidRPr="00775614" w14:paraId="1CCDEC95" w14:textId="77777777" w:rsidTr="00D55163">
        <w:trPr>
          <w:trHeight w:val="260"/>
        </w:trPr>
        <w:tc>
          <w:tcPr>
            <w:tcW w:w="302" w:type="pct"/>
            <w:tcBorders>
              <w:top w:val="nil"/>
              <w:left w:val="nil"/>
              <w:bottom w:val="nil"/>
              <w:right w:val="nil"/>
            </w:tcBorders>
            <w:shd w:val="clear" w:color="000000" w:fill="FFFFFF"/>
            <w:noWrap/>
            <w:hideMark/>
          </w:tcPr>
          <w:p w14:paraId="6CB66DEA" w14:textId="77777777" w:rsidR="00D55163" w:rsidRPr="00775614" w:rsidRDefault="00D55163" w:rsidP="006C03A4">
            <w:pPr>
              <w:spacing w:after="0" w:line="240" w:lineRule="auto"/>
              <w:jc w:val="center"/>
              <w:rPr>
                <w:rFonts w:eastAsia="Times New Roman" w:cstheme="minorHAnsi"/>
                <w:sz w:val="20"/>
                <w:szCs w:val="20"/>
              </w:rPr>
            </w:pPr>
            <w:r w:rsidRPr="00775614">
              <w:rPr>
                <w:rFonts w:eastAsia="Times New Roman" w:cstheme="minorHAnsi"/>
                <w:sz w:val="20"/>
                <w:szCs w:val="20"/>
              </w:rPr>
              <w:t> </w:t>
            </w:r>
          </w:p>
        </w:tc>
        <w:tc>
          <w:tcPr>
            <w:tcW w:w="2691" w:type="pct"/>
            <w:tcBorders>
              <w:top w:val="nil"/>
              <w:left w:val="nil"/>
              <w:bottom w:val="nil"/>
              <w:right w:val="nil"/>
            </w:tcBorders>
            <w:shd w:val="clear" w:color="000000" w:fill="FFFFFF"/>
            <w:hideMark/>
          </w:tcPr>
          <w:p w14:paraId="2DA3AC3C" w14:textId="77777777" w:rsidR="00D55163" w:rsidRPr="00775614" w:rsidRDefault="00D55163" w:rsidP="006C03A4">
            <w:pPr>
              <w:spacing w:after="0" w:line="240" w:lineRule="auto"/>
              <w:rPr>
                <w:rFonts w:eastAsia="Times New Roman" w:cstheme="minorHAnsi"/>
                <w:sz w:val="20"/>
                <w:szCs w:val="20"/>
              </w:rPr>
            </w:pPr>
            <w:r w:rsidRPr="00775614">
              <w:rPr>
                <w:rFonts w:eastAsia="Times New Roman" w:cstheme="minorHAnsi"/>
                <w:sz w:val="20"/>
                <w:szCs w:val="20"/>
              </w:rPr>
              <w:t> </w:t>
            </w:r>
          </w:p>
        </w:tc>
        <w:tc>
          <w:tcPr>
            <w:tcW w:w="528" w:type="pct"/>
            <w:tcBorders>
              <w:top w:val="nil"/>
              <w:left w:val="nil"/>
              <w:bottom w:val="nil"/>
              <w:right w:val="nil"/>
            </w:tcBorders>
            <w:shd w:val="clear" w:color="000000" w:fill="FFFFFF"/>
            <w:noWrap/>
            <w:hideMark/>
          </w:tcPr>
          <w:p w14:paraId="7B1347F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2DBBFA1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1F75081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67C315E4"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0B56094" w14:textId="77777777" w:rsidTr="00D55163">
        <w:trPr>
          <w:trHeight w:val="300"/>
        </w:trPr>
        <w:tc>
          <w:tcPr>
            <w:tcW w:w="302" w:type="pct"/>
            <w:tcBorders>
              <w:top w:val="nil"/>
              <w:left w:val="nil"/>
              <w:bottom w:val="single" w:sz="4" w:space="0" w:color="auto"/>
              <w:right w:val="nil"/>
            </w:tcBorders>
            <w:shd w:val="clear" w:color="000000" w:fill="FFFFFF"/>
            <w:noWrap/>
            <w:hideMark/>
          </w:tcPr>
          <w:p w14:paraId="23BDF1E9"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nil"/>
              <w:left w:val="nil"/>
              <w:bottom w:val="single" w:sz="4" w:space="0" w:color="auto"/>
              <w:right w:val="nil"/>
            </w:tcBorders>
            <w:shd w:val="clear" w:color="000000" w:fill="FFFFFF"/>
            <w:hideMark/>
          </w:tcPr>
          <w:p w14:paraId="48F639CE"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Sum (non-normalized score)</w:t>
            </w:r>
          </w:p>
        </w:tc>
        <w:tc>
          <w:tcPr>
            <w:tcW w:w="528" w:type="pct"/>
            <w:tcBorders>
              <w:top w:val="nil"/>
              <w:left w:val="nil"/>
              <w:bottom w:val="single" w:sz="4" w:space="0" w:color="auto"/>
              <w:right w:val="nil"/>
            </w:tcBorders>
            <w:shd w:val="clear" w:color="000000" w:fill="FFFFFF"/>
            <w:noWrap/>
            <w:hideMark/>
          </w:tcPr>
          <w:p w14:paraId="29147C96"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single" w:sz="4" w:space="0" w:color="auto"/>
              <w:right w:val="nil"/>
            </w:tcBorders>
            <w:shd w:val="clear" w:color="000000" w:fill="FFFFFF"/>
            <w:noWrap/>
            <w:hideMark/>
          </w:tcPr>
          <w:p w14:paraId="11FC5DC9"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15</w:t>
            </w:r>
          </w:p>
        </w:tc>
        <w:tc>
          <w:tcPr>
            <w:tcW w:w="525" w:type="pct"/>
            <w:tcBorders>
              <w:top w:val="nil"/>
              <w:left w:val="nil"/>
              <w:bottom w:val="single" w:sz="4" w:space="0" w:color="auto"/>
              <w:right w:val="nil"/>
            </w:tcBorders>
            <w:shd w:val="clear" w:color="000000" w:fill="FFFFFF"/>
            <w:noWrap/>
            <w:hideMark/>
          </w:tcPr>
          <w:p w14:paraId="19A6B2F3"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single" w:sz="4" w:space="0" w:color="auto"/>
              <w:right w:val="nil"/>
            </w:tcBorders>
            <w:shd w:val="clear" w:color="000000" w:fill="FFFFFF"/>
            <w:noWrap/>
            <w:hideMark/>
          </w:tcPr>
          <w:p w14:paraId="2B2BE055"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27,05</w:t>
            </w:r>
          </w:p>
        </w:tc>
      </w:tr>
      <w:tr w:rsidR="00D55163" w:rsidRPr="00775614" w14:paraId="628AC7B1" w14:textId="77777777" w:rsidTr="00D55163">
        <w:trPr>
          <w:trHeight w:val="350"/>
        </w:trPr>
        <w:tc>
          <w:tcPr>
            <w:tcW w:w="302" w:type="pct"/>
            <w:tcBorders>
              <w:top w:val="single" w:sz="4" w:space="0" w:color="auto"/>
              <w:left w:val="nil"/>
              <w:bottom w:val="single" w:sz="4" w:space="0" w:color="auto"/>
              <w:right w:val="nil"/>
            </w:tcBorders>
            <w:shd w:val="clear" w:color="000000" w:fill="FFFFFF"/>
            <w:noWrap/>
            <w:hideMark/>
          </w:tcPr>
          <w:p w14:paraId="25E48C8C"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single" w:sz="4" w:space="0" w:color="auto"/>
              <w:left w:val="nil"/>
              <w:bottom w:val="single" w:sz="4" w:space="0" w:color="auto"/>
              <w:right w:val="nil"/>
            </w:tcBorders>
            <w:shd w:val="clear" w:color="000000" w:fill="FFFFFF"/>
            <w:hideMark/>
          </w:tcPr>
          <w:p w14:paraId="4BF0ACE0" w14:textId="77777777" w:rsidR="00D55163" w:rsidRPr="00775614" w:rsidRDefault="00D55163" w:rsidP="006C03A4">
            <w:pPr>
              <w:spacing w:after="0" w:line="240" w:lineRule="auto"/>
              <w:rPr>
                <w:rFonts w:eastAsia="Times New Roman" w:cstheme="minorHAnsi"/>
                <w:b/>
                <w:bCs/>
                <w:sz w:val="20"/>
                <w:szCs w:val="20"/>
              </w:rPr>
            </w:pPr>
            <w:r w:rsidRPr="00775614">
              <w:rPr>
                <w:rFonts w:eastAsia="Times New Roman" w:cstheme="minorHAnsi"/>
                <w:b/>
                <w:bCs/>
                <w:sz w:val="20"/>
                <w:szCs w:val="20"/>
              </w:rPr>
              <w:t>Normalized score (0 = best, 10 = worst)</w:t>
            </w:r>
            <w:r w:rsidRPr="00775614">
              <w:rPr>
                <w:rFonts w:eastAsia="Times New Roman" w:cstheme="minorHAnsi"/>
                <w:b/>
                <w:bCs/>
                <w:sz w:val="20"/>
                <w:szCs w:val="20"/>
                <w:vertAlign w:val="superscript"/>
              </w:rPr>
              <w:t>1</w:t>
            </w:r>
          </w:p>
        </w:tc>
        <w:tc>
          <w:tcPr>
            <w:tcW w:w="528" w:type="pct"/>
            <w:tcBorders>
              <w:top w:val="single" w:sz="4" w:space="0" w:color="auto"/>
              <w:left w:val="nil"/>
              <w:bottom w:val="single" w:sz="4" w:space="0" w:color="auto"/>
              <w:right w:val="nil"/>
            </w:tcBorders>
            <w:shd w:val="clear" w:color="000000" w:fill="FFFFFF"/>
            <w:noWrap/>
            <w:hideMark/>
          </w:tcPr>
          <w:p w14:paraId="6B24FB4B"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single" w:sz="4" w:space="0" w:color="auto"/>
              <w:left w:val="nil"/>
              <w:bottom w:val="single" w:sz="4" w:space="0" w:color="auto"/>
              <w:right w:val="nil"/>
            </w:tcBorders>
            <w:shd w:val="clear" w:color="000000" w:fill="FFFFFF"/>
            <w:noWrap/>
            <w:hideMark/>
          </w:tcPr>
          <w:p w14:paraId="04C957FF"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single" w:sz="4" w:space="0" w:color="auto"/>
              <w:left w:val="nil"/>
              <w:bottom w:val="single" w:sz="4" w:space="0" w:color="auto"/>
              <w:right w:val="nil"/>
            </w:tcBorders>
            <w:shd w:val="clear" w:color="000000" w:fill="FFFFFF"/>
            <w:noWrap/>
            <w:hideMark/>
          </w:tcPr>
          <w:p w14:paraId="3B418CE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single" w:sz="4" w:space="0" w:color="auto"/>
              <w:left w:val="nil"/>
              <w:bottom w:val="single" w:sz="4" w:space="0" w:color="auto"/>
              <w:right w:val="nil"/>
            </w:tcBorders>
            <w:shd w:val="clear" w:color="000000" w:fill="FFFFFF"/>
            <w:noWrap/>
            <w:hideMark/>
          </w:tcPr>
          <w:p w14:paraId="5CC76DC1" w14:textId="77777777" w:rsidR="00D55163" w:rsidRPr="00775614" w:rsidRDefault="00D55163" w:rsidP="006C03A4">
            <w:pPr>
              <w:spacing w:after="0" w:line="240" w:lineRule="auto"/>
              <w:jc w:val="center"/>
              <w:rPr>
                <w:rFonts w:eastAsia="Times New Roman" w:cstheme="minorHAnsi"/>
                <w:b/>
                <w:bCs/>
                <w:color w:val="000000"/>
                <w:sz w:val="20"/>
                <w:szCs w:val="20"/>
              </w:rPr>
            </w:pPr>
            <w:r w:rsidRPr="00775614">
              <w:rPr>
                <w:rFonts w:eastAsia="Times New Roman" w:cstheme="minorHAnsi"/>
                <w:b/>
                <w:bCs/>
                <w:color w:val="000000"/>
                <w:sz w:val="20"/>
                <w:szCs w:val="20"/>
              </w:rPr>
              <w:t>2,85</w:t>
            </w:r>
          </w:p>
        </w:tc>
      </w:tr>
      <w:tr w:rsidR="00D55163" w:rsidRPr="00775614" w14:paraId="3B31D77F" w14:textId="77777777" w:rsidTr="00D55163">
        <w:trPr>
          <w:trHeight w:val="300"/>
        </w:trPr>
        <w:tc>
          <w:tcPr>
            <w:tcW w:w="302" w:type="pct"/>
            <w:tcBorders>
              <w:top w:val="nil"/>
              <w:left w:val="nil"/>
              <w:bottom w:val="nil"/>
              <w:right w:val="nil"/>
            </w:tcBorders>
            <w:shd w:val="clear" w:color="000000" w:fill="FFFFFF"/>
            <w:noWrap/>
            <w:hideMark/>
          </w:tcPr>
          <w:p w14:paraId="185B1242"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2691" w:type="pct"/>
            <w:tcBorders>
              <w:top w:val="nil"/>
              <w:left w:val="nil"/>
              <w:bottom w:val="nil"/>
              <w:right w:val="nil"/>
            </w:tcBorders>
            <w:shd w:val="clear" w:color="000000" w:fill="FFFFFF"/>
            <w:noWrap/>
            <w:hideMark/>
          </w:tcPr>
          <w:p w14:paraId="78D824BF" w14:textId="77777777" w:rsidR="00D55163" w:rsidRPr="00775614" w:rsidRDefault="00D55163" w:rsidP="006C03A4">
            <w:pPr>
              <w:spacing w:after="0" w:line="240" w:lineRule="auto"/>
              <w:rPr>
                <w:rFonts w:eastAsia="Times New Roman" w:cstheme="minorHAnsi"/>
                <w:color w:val="000000"/>
                <w:sz w:val="20"/>
                <w:szCs w:val="20"/>
              </w:rPr>
            </w:pPr>
            <w:r w:rsidRPr="00775614">
              <w:rPr>
                <w:rFonts w:eastAsia="Times New Roman" w:cstheme="minorHAnsi"/>
                <w:color w:val="000000"/>
                <w:sz w:val="20"/>
                <w:szCs w:val="20"/>
              </w:rPr>
              <w:t> </w:t>
            </w:r>
          </w:p>
        </w:tc>
        <w:tc>
          <w:tcPr>
            <w:tcW w:w="528" w:type="pct"/>
            <w:tcBorders>
              <w:top w:val="nil"/>
              <w:left w:val="nil"/>
              <w:bottom w:val="nil"/>
              <w:right w:val="nil"/>
            </w:tcBorders>
            <w:shd w:val="clear" w:color="000000" w:fill="FFFFFF"/>
            <w:noWrap/>
            <w:hideMark/>
          </w:tcPr>
          <w:p w14:paraId="1706AB20"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449" w:type="pct"/>
            <w:tcBorders>
              <w:top w:val="nil"/>
              <w:left w:val="nil"/>
              <w:bottom w:val="nil"/>
              <w:right w:val="nil"/>
            </w:tcBorders>
            <w:shd w:val="clear" w:color="000000" w:fill="FFFFFF"/>
            <w:noWrap/>
            <w:hideMark/>
          </w:tcPr>
          <w:p w14:paraId="75DFA84A"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25" w:type="pct"/>
            <w:tcBorders>
              <w:top w:val="nil"/>
              <w:left w:val="nil"/>
              <w:bottom w:val="nil"/>
              <w:right w:val="nil"/>
            </w:tcBorders>
            <w:shd w:val="clear" w:color="000000" w:fill="FFFFFF"/>
            <w:noWrap/>
            <w:hideMark/>
          </w:tcPr>
          <w:p w14:paraId="20480B88"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c>
          <w:tcPr>
            <w:tcW w:w="505" w:type="pct"/>
            <w:tcBorders>
              <w:top w:val="nil"/>
              <w:left w:val="nil"/>
              <w:bottom w:val="nil"/>
              <w:right w:val="nil"/>
            </w:tcBorders>
            <w:shd w:val="clear" w:color="000000" w:fill="FFFFFF"/>
            <w:noWrap/>
            <w:hideMark/>
          </w:tcPr>
          <w:p w14:paraId="06EF2292" w14:textId="77777777" w:rsidR="00D55163" w:rsidRPr="00775614" w:rsidRDefault="00D55163" w:rsidP="006C03A4">
            <w:pPr>
              <w:spacing w:after="0" w:line="240" w:lineRule="auto"/>
              <w:jc w:val="center"/>
              <w:rPr>
                <w:rFonts w:eastAsia="Times New Roman" w:cstheme="minorHAnsi"/>
                <w:color w:val="000000"/>
                <w:sz w:val="20"/>
                <w:szCs w:val="20"/>
              </w:rPr>
            </w:pPr>
            <w:r w:rsidRPr="00775614">
              <w:rPr>
                <w:rFonts w:eastAsia="Times New Roman" w:cstheme="minorHAnsi"/>
                <w:color w:val="000000"/>
                <w:sz w:val="20"/>
                <w:szCs w:val="20"/>
              </w:rPr>
              <w:t> </w:t>
            </w:r>
          </w:p>
        </w:tc>
      </w:tr>
      <w:tr w:rsidR="00D55163" w:rsidRPr="00775614" w14:paraId="41A0B797" w14:textId="77777777" w:rsidTr="00134E30">
        <w:trPr>
          <w:trHeight w:val="699"/>
        </w:trPr>
        <w:tc>
          <w:tcPr>
            <w:tcW w:w="5000" w:type="pct"/>
            <w:gridSpan w:val="6"/>
            <w:tcBorders>
              <w:top w:val="nil"/>
              <w:left w:val="nil"/>
              <w:bottom w:val="nil"/>
              <w:right w:val="nil"/>
            </w:tcBorders>
            <w:shd w:val="clear" w:color="000000" w:fill="FFFFFF"/>
            <w:noWrap/>
            <w:hideMark/>
          </w:tcPr>
          <w:p w14:paraId="2F328EE5" w14:textId="7BDC8AC0" w:rsidR="00D55163" w:rsidRPr="00775614" w:rsidRDefault="00D55163" w:rsidP="00134E30">
            <w:pPr>
              <w:spacing w:after="0" w:line="240" w:lineRule="auto"/>
              <w:rPr>
                <w:rFonts w:eastAsia="Times New Roman" w:cstheme="minorHAnsi"/>
                <w:sz w:val="20"/>
                <w:szCs w:val="20"/>
              </w:rPr>
            </w:pPr>
            <w:r w:rsidRPr="00775614">
              <w:rPr>
                <w:rFonts w:eastAsia="Times New Roman" w:cstheme="minorHAnsi"/>
                <w:sz w:val="20"/>
                <w:szCs w:val="20"/>
                <w:vertAlign w:val="superscript"/>
              </w:rPr>
              <w:t>1</w:t>
            </w:r>
            <w:r w:rsidRPr="00775614">
              <w:rPr>
                <w:rFonts w:eastAsia="Times New Roman" w:cstheme="minorHAnsi"/>
                <w:sz w:val="20"/>
                <w:szCs w:val="20"/>
              </w:rPr>
              <w:t xml:space="preserve"> The formula used is: (x*10/95), where x = the weighted non-normalized score for a given country and year and is capped at 95. </w:t>
            </w:r>
          </w:p>
        </w:tc>
      </w:tr>
    </w:tbl>
    <w:p w14:paraId="6777448D" w14:textId="77777777" w:rsidR="00FA55EB" w:rsidRDefault="00FA55EB" w:rsidP="00FA55EB">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4EE3B88" w14:textId="5EFC2932" w:rsidR="008B34B3" w:rsidRDefault="00375823" w:rsidP="008B34B3">
      <w:pPr>
        <w:pStyle w:val="MText"/>
      </w:pPr>
      <w:r>
        <w:t xml:space="preserve">The </w:t>
      </w:r>
      <w:r w:rsidR="008B34B3" w:rsidRPr="00F03C7C">
        <w:t xml:space="preserve">indicator </w:t>
      </w:r>
      <w:r w:rsidR="008B34B3">
        <w:t>is</w:t>
      </w:r>
      <w:r w:rsidR="008B34B3" w:rsidRPr="00F03C7C">
        <w:t xml:space="preserve"> based</w:t>
      </w:r>
      <w:r w:rsidR="008B34B3" w:rsidRPr="003856A6">
        <w:t xml:space="preserve"> </w:t>
      </w:r>
      <w:r>
        <w:t>on three key premises</w:t>
      </w:r>
      <w:r w:rsidR="008B34B3" w:rsidRPr="003856A6">
        <w:t>: (i) definitional validity – the extent to which the evaluation criteria and their corresponding definitions accurately reflect the phenomena they are meant to measure; (ii) transparency – how readily a coded violation can be traced back to any given textual source; and (iii) inter-coder reliability – the extent to which different evaluators working independently are able to consistently arrive at the same results.</w:t>
      </w:r>
    </w:p>
    <w:p w14:paraId="526EA05B" w14:textId="77777777" w:rsidR="008B34B3" w:rsidRPr="003856A6" w:rsidRDefault="008B34B3" w:rsidP="008B34B3">
      <w:pPr>
        <w:pStyle w:val="MText"/>
      </w:pPr>
    </w:p>
    <w:p w14:paraId="790A95A0" w14:textId="77777777" w:rsidR="008B34B3" w:rsidRPr="003856A6" w:rsidRDefault="008B34B3" w:rsidP="008B34B3">
      <w:pPr>
        <w:pStyle w:val="MText"/>
      </w:pPr>
      <w:r w:rsidRPr="003856A6">
        <w:rPr>
          <w:i/>
        </w:rPr>
        <w:t>Definitional validity</w:t>
      </w:r>
      <w:r w:rsidRPr="003856A6">
        <w:t xml:space="preserve">. As these are meant to be indicators of </w:t>
      </w:r>
      <w:r w:rsidRPr="003856A6">
        <w:rPr>
          <w:i/>
        </w:rPr>
        <w:t>international</w:t>
      </w:r>
      <w:r w:rsidRPr="003856A6">
        <w:t xml:space="preserve"> FACB rights, the evaluation criteria and their corresponding definitions are directly based on the ILO Constitution, ILO Conventions No. 87 and 98 and the related body of comments of the ILO supervisory bodies.</w:t>
      </w:r>
      <w:r w:rsidRPr="003856A6">
        <w:rPr>
          <w:rStyle w:val="FootnoteReference"/>
        </w:rPr>
        <w:footnoteReference w:id="8"/>
      </w:r>
      <w:r w:rsidRPr="003856A6">
        <w:t xml:space="preserve"> Given that the ILO supervisory system is also guided by these definitions, this facilitates the coding itself given the heavy reliance on ILO textual sources produced by the supervisory system.  </w:t>
      </w:r>
    </w:p>
    <w:p w14:paraId="261B21C6" w14:textId="77777777" w:rsidR="008B34B3" w:rsidRDefault="008B34B3" w:rsidP="008B34B3">
      <w:pPr>
        <w:pStyle w:val="MText"/>
        <w:rPr>
          <w:i/>
        </w:rPr>
      </w:pPr>
    </w:p>
    <w:p w14:paraId="79EB6C23" w14:textId="21B66699" w:rsidR="008B34B3" w:rsidRPr="003856A6" w:rsidRDefault="008B34B3" w:rsidP="008B34B3">
      <w:pPr>
        <w:pStyle w:val="MText"/>
      </w:pPr>
      <w:r w:rsidRPr="003856A6">
        <w:rPr>
          <w:i/>
        </w:rPr>
        <w:t>Transparency</w:t>
      </w:r>
      <w:r w:rsidRPr="003856A6">
        <w:t xml:space="preserve">. A key rationale for the large number of evaluation criteria is to eliminate catchall evaluation criteria for violations of FACB rights not elsewhere coded, that is, violations for which there are no explicit evaluation criteria. This level of detail also facilitates the transparency of the method, in that very specific violations can be readily traced back to individual textual sources. This is made possible </w:t>
      </w:r>
      <w:r w:rsidRPr="003856A6">
        <w:lastRenderedPageBreak/>
        <w:t>by the coding itself, in which violations are coded with the letters “a” through “g,” with each letter standing for one of the seven textual sources coded</w:t>
      </w:r>
      <w:r w:rsidR="00134E30">
        <w:t xml:space="preserve"> (see Table 1.)</w:t>
      </w:r>
      <w:r w:rsidRPr="003856A6">
        <w:t xml:space="preserve">. </w:t>
      </w:r>
    </w:p>
    <w:p w14:paraId="57A0784B" w14:textId="77777777" w:rsidR="008B34B3" w:rsidRDefault="008B34B3" w:rsidP="008B34B3">
      <w:pPr>
        <w:pStyle w:val="MText"/>
        <w:rPr>
          <w:i/>
        </w:rPr>
      </w:pPr>
    </w:p>
    <w:p w14:paraId="4233BF92" w14:textId="77777777" w:rsidR="008B34B3" w:rsidRPr="003856A6" w:rsidDel="00B84FB2" w:rsidRDefault="008B34B3" w:rsidP="008B34B3">
      <w:pPr>
        <w:pStyle w:val="MText"/>
      </w:pPr>
      <w:r w:rsidRPr="003856A6" w:rsidDel="00B84FB2">
        <w:rPr>
          <w:i/>
        </w:rPr>
        <w:t>Inter-coder reliability</w:t>
      </w:r>
      <w:r w:rsidRPr="003856A6" w:rsidDel="00B84FB2">
        <w:t xml:space="preserve">. The method is based on clear and comprehensive coding rules as well as definitions for each of the evaluation criteria with the aim of making the indicators reproducible. Inter-coder reliability was assessed in the process of training teams of lawyers (sequentially and independently of each other) to do the coding and in double-checking their coding, which resulted in a number of clarifications and refinements to the coding rules and definitions. This process led to the conclusion that the inter-coder reliability of the method depends first and foremost on the coders being sufficiently well-trained and in particular being sufficiently well-versed in the coding rules and definitions to be able to apply them consistently.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28FDCED" w14:textId="77777777" w:rsidR="00134E30" w:rsidRPr="00A96255" w:rsidRDefault="00134E30" w:rsidP="00134E30">
      <w:pPr>
        <w:pStyle w:val="MText"/>
      </w:pPr>
      <w:r>
        <w:t>Not applicable</w:t>
      </w:r>
    </w:p>
    <w:p w14:paraId="7FBAEBBA" w14:textId="77777777" w:rsidR="00EC2915" w:rsidRPr="00A96255" w:rsidRDefault="00EC2915" w:rsidP="00576CFA">
      <w:pPr>
        <w:pStyle w:val="MText"/>
      </w:pPr>
    </w:p>
    <w:p w14:paraId="7249D74E" w14:textId="5FAA3646" w:rsidR="0091110D" w:rsidRPr="0091110D" w:rsidRDefault="00576CFA" w:rsidP="0091110D">
      <w:pPr>
        <w:pStyle w:val="MHeader2"/>
      </w:pPr>
      <w:r w:rsidRPr="00A96255">
        <w:t xml:space="preserve">4.f. Treatment of missing values (i) at country level and (ii) at regional level </w:t>
      </w:r>
      <w:r>
        <w:rPr>
          <w:color w:val="B4B4B4"/>
          <w:sz w:val="20"/>
        </w:rPr>
        <w:t>(IMPUTATION)</w:t>
      </w:r>
    </w:p>
    <w:p w14:paraId="15D5C612" w14:textId="77777777" w:rsidR="0091110D" w:rsidRPr="004F7C09" w:rsidRDefault="0091110D" w:rsidP="0091110D">
      <w:pPr>
        <w:numPr>
          <w:ilvl w:val="0"/>
          <w:numId w:val="1"/>
        </w:numPr>
        <w:shd w:val="clear" w:color="auto" w:fill="FFFFFF"/>
        <w:spacing w:after="0" w:line="240" w:lineRule="auto"/>
        <w:ind w:left="495"/>
        <w:outlineLvl w:val="4"/>
        <w:rPr>
          <w:b/>
          <w:color w:val="4A4A4A"/>
          <w:sz w:val="21"/>
        </w:rPr>
      </w:pPr>
      <w:r w:rsidRPr="004F7C09">
        <w:rPr>
          <w:b/>
          <w:color w:val="4A4A4A"/>
          <w:sz w:val="21"/>
        </w:rPr>
        <w:t>At country level</w:t>
      </w:r>
    </w:p>
    <w:p w14:paraId="451C6865" w14:textId="67A9CC2F" w:rsidR="0091110D" w:rsidRDefault="00C2417C" w:rsidP="00A148BC">
      <w:pPr>
        <w:pStyle w:val="MText"/>
      </w:pPr>
      <w:r>
        <w:t>There is no treatment of missing values at country level.</w:t>
      </w:r>
      <w:r w:rsidR="00255075">
        <w:t xml:space="preserve"> The indicator will be reported for countries where, based on comparison with an externally produced indicator, the score should be treated with care due to the possibility of insufficient information in the textual sources. For these countries</w:t>
      </w:r>
      <w:r w:rsidR="00033EBD">
        <w:t xml:space="preserve">, based on the decisions adopted by the tripartite technical committee set up to further address refinements to the methodology, </w:t>
      </w:r>
      <w:r w:rsidR="00255075">
        <w:t xml:space="preserve"> the indicator will be reported with the following note: “The score should be treated with care due to the possibility of insufficient information in the textual sources, based on comparison with an externally produced indicator (see Metadata, point 4.f.).”</w:t>
      </w:r>
    </w:p>
    <w:p w14:paraId="06D1B2F5" w14:textId="77777777" w:rsidR="00F23974" w:rsidRPr="00C1488D" w:rsidRDefault="00F23974" w:rsidP="00A148BC">
      <w:pPr>
        <w:pStyle w:val="MText"/>
      </w:pPr>
    </w:p>
    <w:p w14:paraId="6DDDCBF2" w14:textId="77777777" w:rsidR="0091110D" w:rsidRPr="004F7C09" w:rsidRDefault="0091110D" w:rsidP="0091110D">
      <w:pPr>
        <w:numPr>
          <w:ilvl w:val="0"/>
          <w:numId w:val="1"/>
        </w:numPr>
        <w:shd w:val="clear" w:color="auto" w:fill="FFFFFF"/>
        <w:spacing w:after="0" w:line="240" w:lineRule="auto"/>
        <w:ind w:left="495"/>
        <w:outlineLvl w:val="4"/>
        <w:rPr>
          <w:b/>
          <w:color w:val="4A4A4A"/>
          <w:sz w:val="21"/>
        </w:rPr>
      </w:pPr>
      <w:r w:rsidRPr="004F7C09">
        <w:rPr>
          <w:b/>
          <w:color w:val="4A4A4A"/>
          <w:sz w:val="21"/>
        </w:rPr>
        <w:t>At regional and global levels</w:t>
      </w:r>
    </w:p>
    <w:p w14:paraId="24402D1E" w14:textId="70D77DF6" w:rsidR="008648D4" w:rsidRDefault="008648D4" w:rsidP="008648D4">
      <w:pPr>
        <w:pStyle w:val="MText"/>
        <w:rPr>
          <w:rStyle w:val="MTextChar"/>
        </w:rPr>
      </w:pPr>
      <w:r w:rsidRPr="00255075">
        <w:rPr>
          <w:rStyle w:val="MTextChar"/>
        </w:rPr>
        <w:t xml:space="preserve">For the computation of the regional aggregates, treatment of missing values (i.e. scores that are recommended to be dropped) is based on the following rules: </w:t>
      </w:r>
      <w:r w:rsidR="00FE1360" w:rsidRPr="00255075">
        <w:rPr>
          <w:rStyle w:val="MTextChar"/>
        </w:rPr>
        <w:t>(</w:t>
      </w:r>
      <w:r w:rsidRPr="00255075">
        <w:rPr>
          <w:rStyle w:val="MTextChar"/>
        </w:rPr>
        <w:t>1</w:t>
      </w:r>
      <w:r w:rsidR="00FE1360" w:rsidRPr="00255075">
        <w:rPr>
          <w:rStyle w:val="MTextChar"/>
        </w:rPr>
        <w:t>)</w:t>
      </w:r>
      <w:r w:rsidRPr="00255075">
        <w:rPr>
          <w:rStyle w:val="MTextChar"/>
        </w:rPr>
        <w:t xml:space="preserve">. If scores are missing for all years, the country is dropped from the sample; </w:t>
      </w:r>
      <w:r w:rsidR="00FE1360" w:rsidRPr="00255075">
        <w:rPr>
          <w:rStyle w:val="MTextChar"/>
        </w:rPr>
        <w:t>(</w:t>
      </w:r>
      <w:r w:rsidRPr="00255075">
        <w:rPr>
          <w:rStyle w:val="MTextChar"/>
        </w:rPr>
        <w:t>2</w:t>
      </w:r>
      <w:r w:rsidR="00FE1360" w:rsidRPr="00255075">
        <w:rPr>
          <w:rStyle w:val="MTextChar"/>
        </w:rPr>
        <w:t>)</w:t>
      </w:r>
      <w:r w:rsidRPr="00255075">
        <w:rPr>
          <w:rStyle w:val="MTextChar"/>
        </w:rPr>
        <w:t xml:space="preserve">. If scores are available for a single year, the available score is used for all other years; </w:t>
      </w:r>
      <w:r w:rsidR="00FE1360" w:rsidRPr="00255075">
        <w:rPr>
          <w:rStyle w:val="MTextChar"/>
        </w:rPr>
        <w:t>(</w:t>
      </w:r>
      <w:r w:rsidRPr="00255075">
        <w:rPr>
          <w:rStyle w:val="MTextChar"/>
        </w:rPr>
        <w:t>3</w:t>
      </w:r>
      <w:r w:rsidR="00FE1360" w:rsidRPr="00255075">
        <w:rPr>
          <w:rStyle w:val="MTextChar"/>
        </w:rPr>
        <w:t>)</w:t>
      </w:r>
      <w:r w:rsidRPr="00255075">
        <w:rPr>
          <w:rStyle w:val="MTextChar"/>
        </w:rPr>
        <w:t>. If scores are available for multiple but not all years, the missing value is computed as the average of available scores.</w:t>
      </w:r>
    </w:p>
    <w:p w14:paraId="27033367" w14:textId="77777777" w:rsidR="00EC2915" w:rsidRPr="00A96255" w:rsidRDefault="00EC2915" w:rsidP="00A148B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49443B72" w14:textId="0DB48A3C" w:rsidR="007E6B6D" w:rsidRDefault="00855C49" w:rsidP="00E1050F">
      <w:pPr>
        <w:pStyle w:val="MText"/>
        <w:rPr>
          <w:rFonts w:ascii="Calibri" w:hAnsi="Calibri" w:cs="Calibri"/>
          <w:color w:val="201F1E"/>
          <w:sz w:val="22"/>
          <w:szCs w:val="22"/>
        </w:rPr>
      </w:pPr>
      <w:r w:rsidRPr="005372A7">
        <w:rPr>
          <w:rStyle w:val="MTextChar"/>
        </w:rPr>
        <w:t xml:space="preserve">The regional and global aggregates are weighted averages </w:t>
      </w:r>
      <w:r w:rsidR="007E6B6D" w:rsidRPr="00A148BC">
        <w:rPr>
          <w:rStyle w:val="MTextChar"/>
        </w:rPr>
        <w:t>(with weights derived from ILO labour force estimates)</w:t>
      </w:r>
      <w:r w:rsidR="007E6B6D">
        <w:rPr>
          <w:rStyle w:val="MTextChar"/>
        </w:rPr>
        <w:t xml:space="preserve">. </w:t>
      </w:r>
    </w:p>
    <w:p w14:paraId="5AE0C891" w14:textId="77777777" w:rsidR="007E6B6D" w:rsidRDefault="007E6B6D" w:rsidP="00E1050F">
      <w:pPr>
        <w:pStyle w:val="MText"/>
        <w:rPr>
          <w:rFonts w:ascii="Calibri" w:hAnsi="Calibri" w:cs="Calibri"/>
          <w:color w:val="201F1E"/>
          <w:sz w:val="22"/>
          <w:szCs w:val="22"/>
        </w:rPr>
      </w:pPr>
    </w:p>
    <w:p w14:paraId="48258164" w14:textId="2C46A9F6" w:rsidR="00855C49" w:rsidRPr="00A96255" w:rsidRDefault="00855C49" w:rsidP="00E1050F">
      <w:pPr>
        <w:pStyle w:val="MText"/>
      </w:pPr>
      <w:r w:rsidRPr="005372A7">
        <w:rPr>
          <w:rStyle w:val="MTextChar"/>
        </w:rPr>
        <w:t>A country’s weight is the share of its labour force in the global labour force for a given time period, where the labour force is derived from the latest edition of the ILO modelled estimates (for further information on the estimates, please refer to the ILO modelled estimates methodological description, available at</w:t>
      </w:r>
      <w:r w:rsidRPr="00E71114">
        <w:t xml:space="preserve"> </w:t>
      </w:r>
      <w:hyperlink r:id="rId13" w:history="1">
        <w:r w:rsidRPr="00D67C32">
          <w:rPr>
            <w:rStyle w:val="Hyperlink"/>
            <w:rFonts w:ascii="Calibri" w:hAnsi="Calibri" w:cs="Calibri"/>
            <w:sz w:val="22"/>
            <w:szCs w:val="22"/>
          </w:rPr>
          <w:t>https://ilostat.ilo.org/resources/concepts-and-definitions/ilo-modelled-estimates/</w:t>
        </w:r>
      </w:hyperlink>
      <w:r>
        <w:rPr>
          <w:rFonts w:ascii="Calibri" w:hAnsi="Calibri" w:cs="Calibri"/>
          <w:color w:val="201F1E"/>
          <w:sz w:val="22"/>
          <w:szCs w:val="22"/>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2097801" w:rsidR="00576CFA" w:rsidRPr="00A96255" w:rsidRDefault="00C2417C" w:rsidP="00576CFA">
      <w:pPr>
        <w:pStyle w:val="MText"/>
      </w:pPr>
      <w:r>
        <w:lastRenderedPageBreak/>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3BA8C79" w14:textId="06155C93" w:rsidR="00E24BE0" w:rsidRPr="00A96255" w:rsidRDefault="00DE660A" w:rsidP="00134E30">
      <w:pPr>
        <w:pStyle w:val="MText"/>
      </w:pPr>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p>
    <w:p w14:paraId="5484B16D" w14:textId="4AF15DD6"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DC70BCA" w14:textId="77777777" w:rsidR="00134E30" w:rsidRPr="00A96255" w:rsidRDefault="00134E30" w:rsidP="00134E30">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2F33114" w14:textId="77777777" w:rsidR="00134E30" w:rsidRPr="00A96255" w:rsidRDefault="00134E30" w:rsidP="00134E30">
      <w:pPr>
        <w:pStyle w:val="MText"/>
      </w:pPr>
      <w:r>
        <w:t>Not applicable</w:t>
      </w:r>
    </w:p>
    <w:p w14:paraId="4F266CA8" w14:textId="77777777" w:rsidR="00EC208F" w:rsidRPr="00A96255" w:rsidRDefault="00EC208F" w:rsidP="00576CFA">
      <w:pPr>
        <w:pStyle w:val="MText"/>
      </w:pPr>
    </w:p>
    <w:p w14:paraId="17787B3C" w14:textId="03FE81A9" w:rsidR="00E1050F" w:rsidRPr="00A96255" w:rsidRDefault="00576CFA" w:rsidP="00EC208F">
      <w:pPr>
        <w:pStyle w:val="MHeader"/>
        <w:spacing w:after="100"/>
      </w:pPr>
      <w:r w:rsidRPr="00A96255">
        <w:t xml:space="preserve">5. Data availability and disaggregation </w:t>
      </w:r>
      <w:r>
        <w:rPr>
          <w:color w:val="B4B4B4"/>
          <w:sz w:val="20"/>
        </w:rPr>
        <w:t>(COVERAGE)</w:t>
      </w:r>
    </w:p>
    <w:p w14:paraId="12AFBDA5" w14:textId="37F6CDC8" w:rsidR="003A1274" w:rsidRPr="00516ABA" w:rsidRDefault="003A1274" w:rsidP="00343BAC">
      <w:pPr>
        <w:pStyle w:val="MText"/>
        <w:rPr>
          <w:b/>
        </w:rPr>
      </w:pPr>
      <w:r w:rsidRPr="00516ABA">
        <w:rPr>
          <w:b/>
        </w:rPr>
        <w:t>Data availability:</w:t>
      </w:r>
    </w:p>
    <w:p w14:paraId="4487B274" w14:textId="1052473F" w:rsidR="00343BAC" w:rsidRDefault="00343BAC" w:rsidP="00343BAC">
      <w:pPr>
        <w:pStyle w:val="MText"/>
      </w:pPr>
      <w:r>
        <w:t>The data is available for</w:t>
      </w:r>
      <w:r w:rsidR="00FC6D6A">
        <w:t xml:space="preserve"> all</w:t>
      </w:r>
      <w:r>
        <w:t xml:space="preserve"> ILO member states. </w:t>
      </w:r>
      <w:r w:rsidR="00C604F6">
        <w:t>This submission covers country, regional and global data from 2015 to 202</w:t>
      </w:r>
      <w:r w:rsidR="008A42CD">
        <w:t>3</w:t>
      </w:r>
      <w:r w:rsidR="00C604F6">
        <w:t>.</w:t>
      </w:r>
    </w:p>
    <w:p w14:paraId="4B1A4D61" w14:textId="4B177268" w:rsidR="003A1274" w:rsidRDefault="003A1274" w:rsidP="00343BAC">
      <w:pPr>
        <w:keepNext/>
        <w:keepLines/>
        <w:shd w:val="clear" w:color="auto" w:fill="FFFFFF"/>
        <w:spacing w:after="0"/>
        <w:rPr>
          <w:rFonts w:eastAsia="Times New Roman" w:cs="Times New Roman"/>
          <w:color w:val="4A4A4A"/>
          <w:sz w:val="21"/>
          <w:szCs w:val="21"/>
          <w:lang w:eastAsia="en-GB"/>
        </w:rPr>
      </w:pPr>
    </w:p>
    <w:p w14:paraId="7F09DFFE" w14:textId="77777777" w:rsidR="003A1274" w:rsidRPr="00516ABA" w:rsidRDefault="003A1274" w:rsidP="003A1274">
      <w:pPr>
        <w:shd w:val="clear" w:color="auto" w:fill="FFFFFF"/>
        <w:spacing w:after="0"/>
        <w:rPr>
          <w:b/>
          <w:color w:val="4A4A4A"/>
          <w:sz w:val="21"/>
        </w:rPr>
      </w:pPr>
      <w:r w:rsidRPr="00516ABA">
        <w:rPr>
          <w:b/>
          <w:color w:val="4A4A4A"/>
          <w:sz w:val="21"/>
        </w:rPr>
        <w:t>Disaggregation:</w:t>
      </w:r>
    </w:p>
    <w:p w14:paraId="38E3046A" w14:textId="1B5FE87C" w:rsidR="003A1274" w:rsidRPr="00C1488D" w:rsidRDefault="003A1274" w:rsidP="003A1274">
      <w:pPr>
        <w:shd w:val="clear" w:color="auto" w:fill="FFFFFF"/>
        <w:spacing w:after="0"/>
        <w:rPr>
          <w:rFonts w:eastAsia="Times New Roman" w:cs="Times New Roman"/>
          <w:color w:val="4A4A4A"/>
          <w:sz w:val="21"/>
          <w:szCs w:val="21"/>
          <w:lang w:eastAsia="en-GB"/>
        </w:rPr>
      </w:pPr>
      <w:r w:rsidRPr="00784B0B">
        <w:rPr>
          <w:rFonts w:eastAsia="Times New Roman" w:cs="Times New Roman"/>
          <w:color w:val="4A4A4A"/>
          <w:sz w:val="21"/>
          <w:szCs w:val="21"/>
          <w:lang w:eastAsia="en-GB"/>
        </w:rPr>
        <w:t xml:space="preserve">The disaggregation by sex and migrant status is </w:t>
      </w:r>
      <w:r w:rsidR="00C2417C">
        <w:rPr>
          <w:rFonts w:eastAsia="Times New Roman" w:cs="Times New Roman"/>
          <w:color w:val="4A4A4A"/>
          <w:sz w:val="21"/>
          <w:szCs w:val="21"/>
          <w:lang w:eastAsia="en-GB"/>
        </w:rPr>
        <w:t xml:space="preserve">not currently available. </w:t>
      </w:r>
    </w:p>
    <w:p w14:paraId="464A8CCF" w14:textId="77777777" w:rsidR="00576CFA" w:rsidRPr="00A96255" w:rsidRDefault="00576CFA" w:rsidP="00576CFA">
      <w:pPr>
        <w:pStyle w:val="MText"/>
      </w:pPr>
    </w:p>
    <w:p w14:paraId="4D0520F7" w14:textId="11F0E737" w:rsidR="00382CF3" w:rsidRPr="00A96255" w:rsidRDefault="00B31E2C" w:rsidP="00EC208F">
      <w:pPr>
        <w:pStyle w:val="MHeader"/>
        <w:spacing w:after="100"/>
      </w:pPr>
      <w:r w:rsidRPr="00A96255">
        <w:t xml:space="preserve">6. Comparability / deviation from international standards </w:t>
      </w:r>
      <w:r>
        <w:rPr>
          <w:color w:val="B4B4B4"/>
          <w:sz w:val="20"/>
        </w:rPr>
        <w:t>(COMPARABILITY)</w:t>
      </w:r>
    </w:p>
    <w:p w14:paraId="5AF5485F" w14:textId="77777777" w:rsidR="00134E30" w:rsidRPr="00A96255" w:rsidRDefault="00134E30" w:rsidP="00134E30">
      <w:pPr>
        <w:pStyle w:val="MText"/>
      </w:pPr>
      <w:r>
        <w:t>Not applicable</w:t>
      </w:r>
    </w:p>
    <w:p w14:paraId="5AB6DD91" w14:textId="77777777" w:rsidR="00F719A8" w:rsidRPr="00A96255" w:rsidRDefault="00F719A8" w:rsidP="00576CFA">
      <w:pPr>
        <w:pStyle w:val="MText"/>
      </w:pPr>
    </w:p>
    <w:p w14:paraId="38422B8B" w14:textId="77777777" w:rsidR="00187B96" w:rsidRPr="00A96255" w:rsidRDefault="00187B96" w:rsidP="00576CFA">
      <w:pPr>
        <w:pStyle w:val="MText"/>
      </w:pPr>
    </w:p>
    <w:p w14:paraId="76DF099C" w14:textId="703C09F1" w:rsidR="00382CF3" w:rsidRPr="00A96255" w:rsidRDefault="00576CFA" w:rsidP="00EC208F">
      <w:pPr>
        <w:pStyle w:val="MHeader"/>
        <w:spacing w:after="100"/>
      </w:pPr>
      <w:r w:rsidRPr="00A96255">
        <w:t xml:space="preserve">7. References and Documentation </w:t>
      </w:r>
      <w:r>
        <w:rPr>
          <w:color w:val="B4B4B4"/>
          <w:sz w:val="20"/>
        </w:rPr>
        <w:t>(OTHER_DOC)</w:t>
      </w:r>
    </w:p>
    <w:p w14:paraId="7E8342E1" w14:textId="42F2DAEC" w:rsidR="008A5C51" w:rsidRPr="002E38AE" w:rsidRDefault="008A5C51" w:rsidP="008A5C51">
      <w:pPr>
        <w:shd w:val="clear" w:color="auto" w:fill="FFFFFF"/>
        <w:spacing w:before="100" w:beforeAutospacing="1" w:after="100" w:afterAutospacing="1"/>
        <w:jc w:val="both"/>
        <w:outlineLvl w:val="0"/>
        <w:rPr>
          <w:kern w:val="36"/>
          <w:lang w:val="en-US" w:eastAsia="en-GB"/>
        </w:rPr>
      </w:pPr>
      <w:bookmarkStart w:id="8" w:name="_Toc523831203"/>
      <w:bookmarkStart w:id="9" w:name="_Toc523910462"/>
      <w:r w:rsidRPr="00A148BC">
        <w:rPr>
          <w:color w:val="4A4A4A"/>
          <w:kern w:val="36"/>
          <w:lang w:val="en" w:eastAsia="en-GB"/>
        </w:rPr>
        <w:t>International Conference of Labour Statisticians (2018) 20</w:t>
      </w:r>
      <w:r w:rsidRPr="00A148BC">
        <w:rPr>
          <w:color w:val="4A4A4A"/>
          <w:kern w:val="36"/>
          <w:vertAlign w:val="superscript"/>
          <w:lang w:val="en" w:eastAsia="en-GB"/>
        </w:rPr>
        <w:t>th</w:t>
      </w:r>
      <w:r w:rsidRPr="00A148BC">
        <w:rPr>
          <w:color w:val="4A4A4A"/>
          <w:kern w:val="36"/>
          <w:lang w:val="en" w:eastAsia="en-GB"/>
        </w:rPr>
        <w:t xml:space="preserve"> </w:t>
      </w:r>
      <w:r w:rsidRPr="00A148BC">
        <w:rPr>
          <w:color w:val="4A4A4A"/>
          <w:kern w:val="36"/>
          <w:lang w:val="en-US" w:eastAsia="en-GB"/>
        </w:rPr>
        <w:t xml:space="preserve">Session, </w:t>
      </w:r>
      <w:hyperlink r:id="rId14" w:history="1">
        <w:r w:rsidRPr="002E38AE">
          <w:rPr>
            <w:rStyle w:val="Hyperlink"/>
            <w:kern w:val="36"/>
            <w:lang w:val="en-US" w:eastAsia="en-GB"/>
          </w:rPr>
          <w:t>www.ilo.org/20thicls</w:t>
        </w:r>
      </w:hyperlink>
    </w:p>
    <w:bookmarkEnd w:id="8"/>
    <w:bookmarkEnd w:id="9"/>
    <w:p w14:paraId="3205E3B6" w14:textId="77777777" w:rsidR="008A5C51" w:rsidRPr="00A148BC" w:rsidRDefault="008A5C51" w:rsidP="008A5C51">
      <w:pPr>
        <w:shd w:val="clear" w:color="auto" w:fill="FFFFFF"/>
        <w:spacing w:after="0"/>
        <w:rPr>
          <w:rFonts w:eastAsia="Times New Roman" w:cs="Times New Roman"/>
          <w:b/>
          <w:bCs/>
          <w:color w:val="4A4A4A"/>
          <w:sz w:val="21"/>
          <w:szCs w:val="21"/>
          <w:lang w:eastAsia="en-GB"/>
        </w:rPr>
      </w:pPr>
    </w:p>
    <w:p w14:paraId="384B0992" w14:textId="36889691" w:rsidR="00186795" w:rsidRDefault="00186795"/>
    <w:p w14:paraId="6C4E77EE" w14:textId="40FCF474" w:rsidR="00F719A8" w:rsidRDefault="00F719A8">
      <w:pPr>
        <w:rPr>
          <w:rFonts w:eastAsia="Times New Roman" w:cs="Times New Roman"/>
          <w:color w:val="1C75BC"/>
          <w:sz w:val="28"/>
          <w:szCs w:val="28"/>
          <w:lang w:eastAsia="en-GB"/>
        </w:rPr>
      </w:pPr>
      <w:bookmarkStart w:id="10" w:name="_Toc37932752"/>
      <w:bookmarkEnd w:id="10"/>
    </w:p>
    <w:sectPr w:rsidR="00F719A8">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74BBC" w14:textId="77777777" w:rsidR="00AD307A" w:rsidRDefault="00AD307A" w:rsidP="00573C0B">
      <w:pPr>
        <w:spacing w:after="0" w:line="240" w:lineRule="auto"/>
      </w:pPr>
      <w:r>
        <w:separator/>
      </w:r>
    </w:p>
  </w:endnote>
  <w:endnote w:type="continuationSeparator" w:id="0">
    <w:p w14:paraId="1BB22DCE" w14:textId="77777777" w:rsidR="00AD307A" w:rsidRDefault="00AD307A" w:rsidP="00573C0B">
      <w:pPr>
        <w:spacing w:after="0" w:line="240" w:lineRule="auto"/>
      </w:pPr>
      <w:r>
        <w:continuationSeparator/>
      </w:r>
    </w:p>
  </w:endnote>
  <w:endnote w:type="continuationNotice" w:id="1">
    <w:p w14:paraId="5071D9D1" w14:textId="77777777" w:rsidR="00AD307A" w:rsidRDefault="00AD3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1628B" w14:textId="77777777" w:rsidR="00AD307A" w:rsidRDefault="00AD307A" w:rsidP="00573C0B">
      <w:pPr>
        <w:spacing w:after="0" w:line="240" w:lineRule="auto"/>
      </w:pPr>
      <w:r>
        <w:separator/>
      </w:r>
    </w:p>
  </w:footnote>
  <w:footnote w:type="continuationSeparator" w:id="0">
    <w:p w14:paraId="00EACFAD" w14:textId="77777777" w:rsidR="00AD307A" w:rsidRDefault="00AD307A" w:rsidP="00573C0B">
      <w:pPr>
        <w:spacing w:after="0" w:line="240" w:lineRule="auto"/>
      </w:pPr>
      <w:r>
        <w:continuationSeparator/>
      </w:r>
    </w:p>
  </w:footnote>
  <w:footnote w:type="continuationNotice" w:id="1">
    <w:p w14:paraId="3608A03C" w14:textId="77777777" w:rsidR="00AD307A" w:rsidRDefault="00AD307A">
      <w:pPr>
        <w:spacing w:after="0" w:line="240" w:lineRule="auto"/>
      </w:pPr>
    </w:p>
  </w:footnote>
  <w:footnote w:id="2">
    <w:p w14:paraId="76FB9F84" w14:textId="5A59AAD9" w:rsidR="00F23974" w:rsidRPr="00B2256E" w:rsidRDefault="00F23974" w:rsidP="005372A7">
      <w:pPr>
        <w:pStyle w:val="FootnoteText"/>
        <w:spacing w:before="120"/>
        <w:ind w:left="0"/>
        <w:jc w:val="left"/>
        <w:rPr>
          <w:rFonts w:asciiTheme="minorHAnsi" w:hAnsiTheme="minorHAnsi"/>
          <w:color w:val="4A4A4A"/>
          <w:sz w:val="18"/>
          <w:szCs w:val="18"/>
          <w:lang w:val="en-GB" w:eastAsia="en-GB"/>
        </w:rPr>
      </w:pPr>
      <w:r w:rsidRPr="00B2256E">
        <w:rPr>
          <w:rStyle w:val="FootnoteReference"/>
          <w:sz w:val="18"/>
          <w:szCs w:val="18"/>
        </w:rPr>
        <w:footnoteRef/>
      </w:r>
      <w:r w:rsidRPr="00B2256E">
        <w:rPr>
          <w:sz w:val="18"/>
          <w:szCs w:val="18"/>
        </w:rPr>
        <w:t xml:space="preserve"> </w:t>
      </w:r>
      <w:r w:rsidRPr="00B2256E">
        <w:rPr>
          <w:rFonts w:asciiTheme="minorHAnsi" w:hAnsiTheme="minorHAnsi"/>
          <w:color w:val="4A4A4A"/>
          <w:sz w:val="18"/>
          <w:szCs w:val="18"/>
          <w:lang w:val="en-GB" w:eastAsia="en-GB"/>
        </w:rPr>
        <w:t>See at:</w:t>
      </w:r>
      <w:r w:rsidR="00E41A03" w:rsidRPr="00B2256E">
        <w:rPr>
          <w:rFonts w:asciiTheme="minorHAnsi" w:hAnsiTheme="minorHAnsi"/>
          <w:color w:val="4A4A4A"/>
          <w:sz w:val="18"/>
          <w:szCs w:val="18"/>
          <w:lang w:val="en-GB" w:eastAsia="en-GB"/>
        </w:rPr>
        <w:t xml:space="preserve"> </w:t>
      </w:r>
      <w:hyperlink r:id="rId1" w:history="1">
        <w:r w:rsidR="00E41A03" w:rsidRPr="00B2256E">
          <w:rPr>
            <w:rStyle w:val="Hyperlink"/>
            <w:rFonts w:asciiTheme="minorHAnsi" w:hAnsiTheme="minorHAnsi"/>
            <w:sz w:val="18"/>
            <w:szCs w:val="18"/>
            <w:lang w:val="en-GB" w:eastAsia="en-GB"/>
          </w:rPr>
          <w:t>https://www.ilo.org/wcmsp5/groups/public/---dgreports/---stat/documents/meetingdocument/wcms_648636.pdf</w:t>
        </w:r>
      </w:hyperlink>
      <w:r w:rsidR="00E41A03" w:rsidRPr="00B2256E">
        <w:rPr>
          <w:rFonts w:asciiTheme="minorHAnsi" w:hAnsiTheme="minorHAnsi"/>
          <w:color w:val="4A4A4A"/>
          <w:sz w:val="18"/>
          <w:szCs w:val="18"/>
          <w:lang w:val="en-GB" w:eastAsia="en-GB"/>
        </w:rPr>
        <w:t xml:space="preserve"> </w:t>
      </w:r>
    </w:p>
  </w:footnote>
  <w:footnote w:id="3">
    <w:p w14:paraId="766D6BCF" w14:textId="3478E194" w:rsidR="00F23974" w:rsidRPr="00B2256E" w:rsidRDefault="00F23974" w:rsidP="005372A7">
      <w:pPr>
        <w:pStyle w:val="FootnoteText"/>
        <w:spacing w:before="120"/>
        <w:ind w:left="0"/>
        <w:rPr>
          <w:rFonts w:asciiTheme="minorHAnsi" w:hAnsiTheme="minorHAnsi"/>
          <w:color w:val="4A4A4A"/>
          <w:sz w:val="18"/>
          <w:szCs w:val="18"/>
          <w:lang w:val="en-GB" w:eastAsia="en-GB"/>
        </w:rPr>
      </w:pPr>
      <w:r w:rsidRPr="00B2256E">
        <w:rPr>
          <w:rStyle w:val="FootnoteReference"/>
          <w:sz w:val="18"/>
          <w:szCs w:val="18"/>
        </w:rPr>
        <w:footnoteRef/>
      </w:r>
      <w:r w:rsidRPr="00B2256E">
        <w:rPr>
          <w:rFonts w:asciiTheme="minorHAnsi" w:hAnsiTheme="minorHAnsi"/>
          <w:color w:val="4A4A4A"/>
          <w:sz w:val="18"/>
          <w:szCs w:val="18"/>
          <w:lang w:val="en-GB" w:eastAsia="en-GB"/>
        </w:rPr>
        <w:t xml:space="preserve"> Idem. P. 17</w:t>
      </w:r>
    </w:p>
  </w:footnote>
  <w:footnote w:id="4">
    <w:p w14:paraId="529740D7" w14:textId="7D89EF35" w:rsidR="00F23974" w:rsidRPr="005372A7" w:rsidRDefault="00F23974" w:rsidP="005372A7">
      <w:pPr>
        <w:pStyle w:val="FootnoteText"/>
        <w:spacing w:before="120"/>
        <w:ind w:left="0"/>
        <w:rPr>
          <w:rFonts w:asciiTheme="minorHAnsi" w:hAnsiTheme="minorHAnsi"/>
          <w:color w:val="4A4A4A"/>
          <w:sz w:val="21"/>
          <w:szCs w:val="21"/>
          <w:lang w:val="en-GB" w:eastAsia="en-GB"/>
        </w:rPr>
      </w:pPr>
      <w:r w:rsidRPr="00B2256E">
        <w:rPr>
          <w:rStyle w:val="FootnoteReference"/>
          <w:sz w:val="18"/>
          <w:szCs w:val="18"/>
        </w:rPr>
        <w:footnoteRef/>
      </w:r>
      <w:r w:rsidRPr="00B2256E">
        <w:rPr>
          <w:rStyle w:val="FootnoteReference"/>
          <w:sz w:val="18"/>
          <w:szCs w:val="18"/>
        </w:rPr>
        <w:t xml:space="preserve"> </w:t>
      </w:r>
      <w:r w:rsidRPr="00B2256E">
        <w:rPr>
          <w:rFonts w:asciiTheme="minorHAnsi" w:hAnsiTheme="minorHAnsi"/>
          <w:color w:val="4A4A4A"/>
          <w:sz w:val="18"/>
          <w:szCs w:val="18"/>
          <w:lang w:val="en-GB" w:eastAsia="en-GB"/>
        </w:rPr>
        <w:t>Idem. P. 18</w:t>
      </w:r>
      <w:r w:rsidRPr="005372A7">
        <w:rPr>
          <w:rFonts w:asciiTheme="minorHAnsi" w:hAnsiTheme="minorHAnsi"/>
          <w:color w:val="4A4A4A"/>
          <w:sz w:val="21"/>
          <w:szCs w:val="21"/>
          <w:lang w:val="en-GB" w:eastAsia="en-GB"/>
        </w:rPr>
        <w:t xml:space="preserve"> </w:t>
      </w:r>
    </w:p>
  </w:footnote>
  <w:footnote w:id="5">
    <w:p w14:paraId="0E982578" w14:textId="2870D75F" w:rsidR="00033EBD" w:rsidRPr="00033EBD" w:rsidRDefault="00033EBD" w:rsidP="00033EBD">
      <w:pPr>
        <w:pStyle w:val="FootnoteText"/>
        <w:ind w:left="0"/>
        <w:rPr>
          <w:rFonts w:asciiTheme="minorHAnsi" w:hAnsiTheme="minorHAnsi"/>
          <w:color w:val="4A4A4A"/>
          <w:sz w:val="18"/>
          <w:szCs w:val="18"/>
          <w:lang w:val="en-GB" w:eastAsia="en-GB"/>
        </w:rPr>
      </w:pPr>
      <w:r w:rsidRPr="00033EBD">
        <w:rPr>
          <w:rStyle w:val="FootnoteReference"/>
          <w:sz w:val="18"/>
          <w:szCs w:val="18"/>
        </w:rPr>
        <w:footnoteRef/>
      </w:r>
      <w:r>
        <w:t xml:space="preserve"> </w:t>
      </w:r>
      <w:r w:rsidRPr="00033EBD">
        <w:rPr>
          <w:rFonts w:asciiTheme="minorHAnsi" w:hAnsiTheme="minorHAnsi"/>
          <w:color w:val="4A4A4A"/>
          <w:sz w:val="18"/>
          <w:szCs w:val="18"/>
          <w:lang w:val="en-GB" w:eastAsia="en-GB"/>
        </w:rPr>
        <w:t>Idem.</w:t>
      </w:r>
      <w:r>
        <w:rPr>
          <w:rFonts w:asciiTheme="minorHAnsi" w:hAnsiTheme="minorHAnsi"/>
          <w:color w:val="4A4A4A"/>
          <w:sz w:val="18"/>
          <w:szCs w:val="18"/>
          <w:lang w:val="en-GB" w:eastAsia="en-GB"/>
        </w:rPr>
        <w:t xml:space="preserve"> P</w:t>
      </w:r>
      <w:r w:rsidR="00216ADC">
        <w:rPr>
          <w:rFonts w:asciiTheme="minorHAnsi" w:hAnsiTheme="minorHAnsi"/>
          <w:color w:val="4A4A4A"/>
          <w:sz w:val="18"/>
          <w:szCs w:val="18"/>
          <w:lang w:val="en-GB" w:eastAsia="en-GB"/>
        </w:rPr>
        <w:t>P</w:t>
      </w:r>
      <w:r>
        <w:rPr>
          <w:rFonts w:asciiTheme="minorHAnsi" w:hAnsiTheme="minorHAnsi"/>
          <w:color w:val="4A4A4A"/>
          <w:sz w:val="18"/>
          <w:szCs w:val="18"/>
          <w:lang w:val="en-GB" w:eastAsia="en-GB"/>
        </w:rPr>
        <w:t xml:space="preserve">. 1-2 of </w:t>
      </w:r>
      <w:r w:rsidRPr="00033EBD">
        <w:rPr>
          <w:rFonts w:asciiTheme="minorHAnsi" w:hAnsiTheme="minorHAnsi"/>
          <w:color w:val="4A4A4A"/>
          <w:sz w:val="18"/>
          <w:szCs w:val="18"/>
          <w:lang w:val="en-GB" w:eastAsia="en-GB"/>
        </w:rPr>
        <w:t>“Amendment: Refinements to the methodology for SDG indicator 8.8.2: Level of national compliance with labour rights (freedom of association and collective bargaining) based on ILO textual sources and national legislation, by sex and migrant status”</w:t>
      </w:r>
    </w:p>
  </w:footnote>
  <w:footnote w:id="6">
    <w:p w14:paraId="4E64AD99" w14:textId="30156B2B" w:rsidR="00033EBD" w:rsidRPr="00033EBD" w:rsidRDefault="00033EBD" w:rsidP="00033EBD">
      <w:pPr>
        <w:pStyle w:val="FootnoteText"/>
        <w:ind w:left="0"/>
      </w:pPr>
      <w:r w:rsidRPr="00033EBD">
        <w:rPr>
          <w:rStyle w:val="FootnoteReference"/>
          <w:sz w:val="18"/>
          <w:szCs w:val="18"/>
        </w:rPr>
        <w:footnoteRef/>
      </w:r>
      <w:r>
        <w:t xml:space="preserve"> </w:t>
      </w:r>
      <w:r w:rsidRPr="00033EBD">
        <w:rPr>
          <w:rFonts w:asciiTheme="minorHAnsi" w:hAnsiTheme="minorHAnsi"/>
          <w:color w:val="4A4A4A"/>
          <w:sz w:val="18"/>
          <w:szCs w:val="18"/>
          <w:lang w:val="en-GB" w:eastAsia="en-GB"/>
        </w:rPr>
        <w:t>Idem.</w:t>
      </w:r>
      <w:r>
        <w:rPr>
          <w:rFonts w:asciiTheme="minorHAnsi" w:hAnsiTheme="minorHAnsi"/>
          <w:color w:val="4A4A4A"/>
          <w:sz w:val="18"/>
          <w:szCs w:val="18"/>
          <w:lang w:val="en-GB" w:eastAsia="en-GB"/>
        </w:rPr>
        <w:t xml:space="preserve"> P. </w:t>
      </w:r>
      <w:r w:rsidR="00216ADC">
        <w:rPr>
          <w:rFonts w:asciiTheme="minorHAnsi" w:hAnsiTheme="minorHAnsi"/>
          <w:color w:val="4A4A4A"/>
          <w:sz w:val="18"/>
          <w:szCs w:val="18"/>
          <w:lang w:val="en-GB" w:eastAsia="en-GB"/>
        </w:rPr>
        <w:t>1</w:t>
      </w:r>
      <w:r>
        <w:rPr>
          <w:rFonts w:asciiTheme="minorHAnsi" w:hAnsiTheme="minorHAnsi"/>
          <w:color w:val="4A4A4A"/>
          <w:sz w:val="18"/>
          <w:szCs w:val="18"/>
          <w:lang w:val="en-GB" w:eastAsia="en-GB"/>
        </w:rPr>
        <w:t xml:space="preserve"> of </w:t>
      </w:r>
      <w:r w:rsidRPr="00033EBD">
        <w:rPr>
          <w:rFonts w:asciiTheme="minorHAnsi" w:hAnsiTheme="minorHAnsi"/>
          <w:color w:val="4A4A4A"/>
          <w:sz w:val="18"/>
          <w:szCs w:val="18"/>
          <w:lang w:val="en-GB" w:eastAsia="en-GB"/>
        </w:rPr>
        <w:t>“Amendment: Refinements to the methodology for SDG indicator 8.8.2: Level of national compliance with labour rights (freedom of association and collective bargaining) based on ILO textual sources and national legislation, by sex and migrant status”</w:t>
      </w:r>
    </w:p>
  </w:footnote>
  <w:footnote w:id="7">
    <w:p w14:paraId="658DD1C0" w14:textId="77777777" w:rsidR="00F23974" w:rsidRPr="003D41B0" w:rsidRDefault="00F23974" w:rsidP="00FA55EB">
      <w:pPr>
        <w:pStyle w:val="FootnoteText"/>
        <w:spacing w:before="0"/>
        <w:ind w:left="0"/>
        <w:contextualSpacing/>
        <w:jc w:val="left"/>
      </w:pPr>
      <w:r w:rsidRPr="00360111">
        <w:rPr>
          <w:rFonts w:asciiTheme="minorHAnsi" w:hAnsiTheme="minorHAnsi"/>
          <w:color w:val="4A4A4A"/>
          <w:sz w:val="21"/>
          <w:vertAlign w:val="superscript"/>
          <w:lang w:val="en-GB"/>
        </w:rPr>
        <w:footnoteRef/>
      </w:r>
      <w:r w:rsidRPr="005372A7">
        <w:rPr>
          <w:rFonts w:asciiTheme="minorHAnsi" w:hAnsiTheme="minorHAnsi"/>
          <w:color w:val="4A4A4A"/>
          <w:sz w:val="21"/>
          <w:szCs w:val="21"/>
          <w:vertAlign w:val="superscript"/>
          <w:lang w:val="en-GB" w:eastAsia="en-GB"/>
        </w:rPr>
        <w:t xml:space="preserve"> </w:t>
      </w:r>
      <w:r w:rsidRPr="005372A7">
        <w:rPr>
          <w:rFonts w:asciiTheme="minorHAnsi" w:hAnsiTheme="minorHAnsi"/>
          <w:color w:val="4A4A4A"/>
          <w:sz w:val="21"/>
          <w:szCs w:val="21"/>
          <w:lang w:val="en-GB" w:eastAsia="en-GB"/>
        </w:rPr>
        <w:t>The formula is thus: (x*10/95), where x = the weighted non-normalized score for a given country and year and is capped at 95.</w:t>
      </w:r>
    </w:p>
  </w:footnote>
  <w:footnote w:id="8">
    <w:p w14:paraId="56491436" w14:textId="77777777" w:rsidR="00F23974" w:rsidRPr="00B2256E" w:rsidRDefault="00F23974" w:rsidP="008B34B3">
      <w:pPr>
        <w:contextualSpacing/>
        <w:rPr>
          <w:i/>
          <w:sz w:val="18"/>
          <w:szCs w:val="18"/>
        </w:rPr>
      </w:pPr>
      <w:r w:rsidRPr="00B2256E">
        <w:rPr>
          <w:rStyle w:val="FootnoteReference"/>
          <w:sz w:val="18"/>
          <w:szCs w:val="18"/>
        </w:rPr>
        <w:footnoteRef/>
      </w:r>
      <w:r w:rsidRPr="00B2256E">
        <w:rPr>
          <w:sz w:val="18"/>
          <w:szCs w:val="18"/>
        </w:rPr>
        <w:t xml:space="preserve"> The related body of comments of the ILO supervisory bodies are: </w:t>
      </w:r>
      <w:r w:rsidRPr="00B2256E">
        <w:rPr>
          <w:i/>
          <w:sz w:val="18"/>
          <w:szCs w:val="18"/>
        </w:rPr>
        <w:t>Digest of Decisions and Principles of the Freedom of Association Committee of the Governing Body of the ILO</w:t>
      </w:r>
      <w:r w:rsidRPr="00B2256E">
        <w:rPr>
          <w:sz w:val="18"/>
          <w:szCs w:val="18"/>
        </w:rPr>
        <w:t xml:space="preserve"> (ILO, 2006); </w:t>
      </w:r>
      <w:r w:rsidRPr="00B2256E">
        <w:rPr>
          <w:i/>
          <w:iCs/>
          <w:sz w:val="18"/>
          <w:szCs w:val="18"/>
        </w:rPr>
        <w:t>Freedom of Association and Collective Bargaining: General Survey of the Reports on the Freedom of Association and the Right to Organise Convention (No. 87), 1948, and the Right to Organise and Collective Bargaining Convention (No. 98)</w:t>
      </w:r>
      <w:r w:rsidRPr="00B2256E">
        <w:rPr>
          <w:iCs/>
          <w:sz w:val="18"/>
          <w:szCs w:val="18"/>
        </w:rPr>
        <w:t xml:space="preserve"> (ILO, 1994); </w:t>
      </w:r>
      <w:r w:rsidRPr="00B2256E">
        <w:rPr>
          <w:i/>
          <w:sz w:val="18"/>
          <w:szCs w:val="18"/>
        </w:rPr>
        <w:t>General Survey on the Fundamental Conventions Concerning Rights at Work in Light of the ILO Declaration on Social Justice for a Fair Globalization, 2008</w:t>
      </w:r>
      <w:r w:rsidRPr="00B2256E">
        <w:rPr>
          <w:sz w:val="18"/>
          <w:szCs w:val="18"/>
        </w:rPr>
        <w:t xml:space="preserve"> (ILO, 2012).</w:t>
      </w:r>
    </w:p>
    <w:p w14:paraId="4C994318" w14:textId="77777777" w:rsidR="00F23974" w:rsidRPr="00952B58" w:rsidRDefault="00F23974" w:rsidP="008B34B3">
      <w:pPr>
        <w:pStyle w:val="FootnoteText"/>
        <w:spacing w:before="0"/>
        <w:ind w:left="0"/>
        <w:contextualSpacing/>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88B8886" w:rsidR="00F23974" w:rsidRPr="00757E8A" w:rsidRDefault="00F23974"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Pr>
        <w:color w:val="404040" w:themeColor="text1" w:themeTint="BF"/>
        <w:sz w:val="18"/>
        <w:szCs w:val="18"/>
      </w:rPr>
      <w:t xml:space="preserve"> </w:t>
    </w:r>
    <w:r w:rsidR="009D0DD9">
      <w:rPr>
        <w:sz w:val="18"/>
        <w:szCs w:val="18"/>
      </w:rPr>
      <w:t>2025</w:t>
    </w:r>
    <w:r w:rsidR="007F7E3E">
      <w:rPr>
        <w:sz w:val="18"/>
        <w:szCs w:val="18"/>
      </w:rPr>
      <w:t>-</w:t>
    </w:r>
    <w:r w:rsidR="009D0DD9">
      <w:rPr>
        <w:sz w:val="18"/>
        <w:szCs w:val="18"/>
      </w:rPr>
      <w:t>03</w:t>
    </w:r>
    <w:r w:rsidR="007F7E3E">
      <w:rPr>
        <w:sz w:val="18"/>
        <w:szCs w:val="18"/>
      </w:rPr>
      <w:t>-</w:t>
    </w:r>
    <w:r w:rsidR="009D0DD9">
      <w:rPr>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6254"/>
    <w:multiLevelType w:val="hybridMultilevel"/>
    <w:tmpl w:val="F926D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B7F31"/>
    <w:multiLevelType w:val="hybridMultilevel"/>
    <w:tmpl w:val="9B7E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2177F"/>
    <w:multiLevelType w:val="hybridMultilevel"/>
    <w:tmpl w:val="C6E4A8DA"/>
    <w:lvl w:ilvl="0" w:tplc="92320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31297"/>
    <w:multiLevelType w:val="hybridMultilevel"/>
    <w:tmpl w:val="0E4A9206"/>
    <w:lvl w:ilvl="0" w:tplc="F0EAC2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866E67"/>
    <w:multiLevelType w:val="hybridMultilevel"/>
    <w:tmpl w:val="57EED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2023"/>
    <w:multiLevelType w:val="hybridMultilevel"/>
    <w:tmpl w:val="478E6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F108BF"/>
    <w:multiLevelType w:val="hybridMultilevel"/>
    <w:tmpl w:val="8760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119531">
    <w:abstractNumId w:val="7"/>
  </w:num>
  <w:num w:numId="2" w16cid:durableId="1340431129">
    <w:abstractNumId w:val="1"/>
  </w:num>
  <w:num w:numId="3" w16cid:durableId="1407612715">
    <w:abstractNumId w:val="10"/>
  </w:num>
  <w:num w:numId="4" w16cid:durableId="1358583008">
    <w:abstractNumId w:val="3"/>
  </w:num>
  <w:num w:numId="5" w16cid:durableId="254246563">
    <w:abstractNumId w:val="9"/>
  </w:num>
  <w:num w:numId="6" w16cid:durableId="240914550">
    <w:abstractNumId w:val="8"/>
  </w:num>
  <w:num w:numId="7" w16cid:durableId="1529752432">
    <w:abstractNumId w:val="6"/>
  </w:num>
  <w:num w:numId="8" w16cid:durableId="1950425854">
    <w:abstractNumId w:val="5"/>
  </w:num>
  <w:num w:numId="9" w16cid:durableId="341014914">
    <w:abstractNumId w:val="2"/>
  </w:num>
  <w:num w:numId="10" w16cid:durableId="1620259644">
    <w:abstractNumId w:val="4"/>
  </w:num>
  <w:num w:numId="11" w16cid:durableId="145070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B3E"/>
    <w:rsid w:val="000070BA"/>
    <w:rsid w:val="000173F9"/>
    <w:rsid w:val="00033EBD"/>
    <w:rsid w:val="00040FF8"/>
    <w:rsid w:val="00047DDA"/>
    <w:rsid w:val="0005455A"/>
    <w:rsid w:val="000710B2"/>
    <w:rsid w:val="00071F07"/>
    <w:rsid w:val="0007759D"/>
    <w:rsid w:val="000777AB"/>
    <w:rsid w:val="00077F46"/>
    <w:rsid w:val="00090FB1"/>
    <w:rsid w:val="00091628"/>
    <w:rsid w:val="00095917"/>
    <w:rsid w:val="00096186"/>
    <w:rsid w:val="00097B75"/>
    <w:rsid w:val="000A0FE8"/>
    <w:rsid w:val="000A72E4"/>
    <w:rsid w:val="000A7E39"/>
    <w:rsid w:val="000B0E2F"/>
    <w:rsid w:val="000B1F68"/>
    <w:rsid w:val="000B2430"/>
    <w:rsid w:val="000B7D24"/>
    <w:rsid w:val="000C3EE0"/>
    <w:rsid w:val="000D0B30"/>
    <w:rsid w:val="000E52E1"/>
    <w:rsid w:val="000F14CF"/>
    <w:rsid w:val="000F3696"/>
    <w:rsid w:val="000F703E"/>
    <w:rsid w:val="00105C6C"/>
    <w:rsid w:val="00116287"/>
    <w:rsid w:val="00120E86"/>
    <w:rsid w:val="00125DE9"/>
    <w:rsid w:val="00130F51"/>
    <w:rsid w:val="001332E0"/>
    <w:rsid w:val="00134DE7"/>
    <w:rsid w:val="00134E30"/>
    <w:rsid w:val="001400D9"/>
    <w:rsid w:val="00185354"/>
    <w:rsid w:val="001854DC"/>
    <w:rsid w:val="00186795"/>
    <w:rsid w:val="00187B96"/>
    <w:rsid w:val="00190553"/>
    <w:rsid w:val="00194D09"/>
    <w:rsid w:val="00196A21"/>
    <w:rsid w:val="001A7D5C"/>
    <w:rsid w:val="001B60AA"/>
    <w:rsid w:val="001B63C8"/>
    <w:rsid w:val="001C1972"/>
    <w:rsid w:val="001C421F"/>
    <w:rsid w:val="001D01CC"/>
    <w:rsid w:val="001D2F3D"/>
    <w:rsid w:val="001D360D"/>
    <w:rsid w:val="001F1FCA"/>
    <w:rsid w:val="00214368"/>
    <w:rsid w:val="00216ADC"/>
    <w:rsid w:val="00252A51"/>
    <w:rsid w:val="00253188"/>
    <w:rsid w:val="0025323E"/>
    <w:rsid w:val="00255075"/>
    <w:rsid w:val="00261A8D"/>
    <w:rsid w:val="0026314A"/>
    <w:rsid w:val="0027445A"/>
    <w:rsid w:val="00283C1C"/>
    <w:rsid w:val="00291A00"/>
    <w:rsid w:val="00291A11"/>
    <w:rsid w:val="002A315C"/>
    <w:rsid w:val="002A3342"/>
    <w:rsid w:val="002A64BA"/>
    <w:rsid w:val="002B4989"/>
    <w:rsid w:val="002C2510"/>
    <w:rsid w:val="002D714E"/>
    <w:rsid w:val="002D7717"/>
    <w:rsid w:val="002E53C3"/>
    <w:rsid w:val="002F1468"/>
    <w:rsid w:val="002F4B7B"/>
    <w:rsid w:val="002F5F0C"/>
    <w:rsid w:val="002F7E21"/>
    <w:rsid w:val="00316E88"/>
    <w:rsid w:val="003265EB"/>
    <w:rsid w:val="00330948"/>
    <w:rsid w:val="0034329E"/>
    <w:rsid w:val="00343BAC"/>
    <w:rsid w:val="00343FAA"/>
    <w:rsid w:val="00347F5E"/>
    <w:rsid w:val="00353C98"/>
    <w:rsid w:val="00360111"/>
    <w:rsid w:val="00371A20"/>
    <w:rsid w:val="00375823"/>
    <w:rsid w:val="00381CFC"/>
    <w:rsid w:val="003821B4"/>
    <w:rsid w:val="00382CF3"/>
    <w:rsid w:val="003875E0"/>
    <w:rsid w:val="00387D52"/>
    <w:rsid w:val="003967BD"/>
    <w:rsid w:val="00397257"/>
    <w:rsid w:val="003A1274"/>
    <w:rsid w:val="003A7CEA"/>
    <w:rsid w:val="003D6807"/>
    <w:rsid w:val="003F0BD3"/>
    <w:rsid w:val="003F278A"/>
    <w:rsid w:val="003F7A02"/>
    <w:rsid w:val="00422EA5"/>
    <w:rsid w:val="00422EFA"/>
    <w:rsid w:val="0042791F"/>
    <w:rsid w:val="004456ED"/>
    <w:rsid w:val="00464BF5"/>
    <w:rsid w:val="0048045A"/>
    <w:rsid w:val="004832BC"/>
    <w:rsid w:val="004841B8"/>
    <w:rsid w:val="00490D90"/>
    <w:rsid w:val="004930F2"/>
    <w:rsid w:val="004A5E8B"/>
    <w:rsid w:val="004B0F1C"/>
    <w:rsid w:val="004D2C30"/>
    <w:rsid w:val="004F2EE6"/>
    <w:rsid w:val="004F7C09"/>
    <w:rsid w:val="00502DBA"/>
    <w:rsid w:val="00503983"/>
    <w:rsid w:val="005040C4"/>
    <w:rsid w:val="00507637"/>
    <w:rsid w:val="00507852"/>
    <w:rsid w:val="00514DBF"/>
    <w:rsid w:val="00516ABA"/>
    <w:rsid w:val="005372A7"/>
    <w:rsid w:val="00550921"/>
    <w:rsid w:val="005545BC"/>
    <w:rsid w:val="00563712"/>
    <w:rsid w:val="00567EEE"/>
    <w:rsid w:val="00573631"/>
    <w:rsid w:val="00573C0B"/>
    <w:rsid w:val="00576CFA"/>
    <w:rsid w:val="0058556D"/>
    <w:rsid w:val="00585E56"/>
    <w:rsid w:val="005947AD"/>
    <w:rsid w:val="00597748"/>
    <w:rsid w:val="005979E8"/>
    <w:rsid w:val="005D0AF4"/>
    <w:rsid w:val="005E0B8A"/>
    <w:rsid w:val="005E54BD"/>
    <w:rsid w:val="005F6CCA"/>
    <w:rsid w:val="006104AF"/>
    <w:rsid w:val="00617185"/>
    <w:rsid w:val="00621893"/>
    <w:rsid w:val="00624480"/>
    <w:rsid w:val="0062529E"/>
    <w:rsid w:val="006351E1"/>
    <w:rsid w:val="006447B1"/>
    <w:rsid w:val="00662775"/>
    <w:rsid w:val="00682411"/>
    <w:rsid w:val="006852FC"/>
    <w:rsid w:val="00695F73"/>
    <w:rsid w:val="006B3D2F"/>
    <w:rsid w:val="006B40AB"/>
    <w:rsid w:val="006B5DC5"/>
    <w:rsid w:val="006C4BFD"/>
    <w:rsid w:val="006C7D30"/>
    <w:rsid w:val="006D0D97"/>
    <w:rsid w:val="006E3C08"/>
    <w:rsid w:val="006F39BE"/>
    <w:rsid w:val="00700ACF"/>
    <w:rsid w:val="00712487"/>
    <w:rsid w:val="00720199"/>
    <w:rsid w:val="00744A3F"/>
    <w:rsid w:val="007530CA"/>
    <w:rsid w:val="00755CD0"/>
    <w:rsid w:val="007578D9"/>
    <w:rsid w:val="00757E8A"/>
    <w:rsid w:val="00763D3D"/>
    <w:rsid w:val="00763E43"/>
    <w:rsid w:val="00764EB5"/>
    <w:rsid w:val="00775136"/>
    <w:rsid w:val="00777A95"/>
    <w:rsid w:val="00782416"/>
    <w:rsid w:val="00783608"/>
    <w:rsid w:val="00784B71"/>
    <w:rsid w:val="007B0364"/>
    <w:rsid w:val="007B5372"/>
    <w:rsid w:val="007D0981"/>
    <w:rsid w:val="007D1929"/>
    <w:rsid w:val="007D1E16"/>
    <w:rsid w:val="007D5DF7"/>
    <w:rsid w:val="007E54BB"/>
    <w:rsid w:val="007E6B6D"/>
    <w:rsid w:val="007F7E3E"/>
    <w:rsid w:val="008003AC"/>
    <w:rsid w:val="00803CF1"/>
    <w:rsid w:val="008104BB"/>
    <w:rsid w:val="0081679F"/>
    <w:rsid w:val="0082479D"/>
    <w:rsid w:val="008249C5"/>
    <w:rsid w:val="00845CE2"/>
    <w:rsid w:val="008472A3"/>
    <w:rsid w:val="008526F9"/>
    <w:rsid w:val="0085285E"/>
    <w:rsid w:val="00853023"/>
    <w:rsid w:val="008534D4"/>
    <w:rsid w:val="00855C49"/>
    <w:rsid w:val="00857A13"/>
    <w:rsid w:val="008648D4"/>
    <w:rsid w:val="00881E28"/>
    <w:rsid w:val="008850C9"/>
    <w:rsid w:val="00886A3B"/>
    <w:rsid w:val="00894C4B"/>
    <w:rsid w:val="008A12E3"/>
    <w:rsid w:val="008A42CD"/>
    <w:rsid w:val="008A42FA"/>
    <w:rsid w:val="008A5C51"/>
    <w:rsid w:val="008B0AC7"/>
    <w:rsid w:val="008B34B3"/>
    <w:rsid w:val="008C1B81"/>
    <w:rsid w:val="008C2335"/>
    <w:rsid w:val="008C67C1"/>
    <w:rsid w:val="008D1D39"/>
    <w:rsid w:val="008F07D2"/>
    <w:rsid w:val="0091110D"/>
    <w:rsid w:val="00917851"/>
    <w:rsid w:val="00917F65"/>
    <w:rsid w:val="009233E7"/>
    <w:rsid w:val="009311E7"/>
    <w:rsid w:val="009418A1"/>
    <w:rsid w:val="00942694"/>
    <w:rsid w:val="00950FB6"/>
    <w:rsid w:val="00965854"/>
    <w:rsid w:val="009A5134"/>
    <w:rsid w:val="009A7E3A"/>
    <w:rsid w:val="009B1265"/>
    <w:rsid w:val="009B4A15"/>
    <w:rsid w:val="009B5693"/>
    <w:rsid w:val="009B64F1"/>
    <w:rsid w:val="009C61A2"/>
    <w:rsid w:val="009C78E4"/>
    <w:rsid w:val="009D0DD9"/>
    <w:rsid w:val="009D687E"/>
    <w:rsid w:val="009E5947"/>
    <w:rsid w:val="009F2B71"/>
    <w:rsid w:val="009F6DE7"/>
    <w:rsid w:val="00A023FF"/>
    <w:rsid w:val="00A10583"/>
    <w:rsid w:val="00A148BC"/>
    <w:rsid w:val="00A37FCB"/>
    <w:rsid w:val="00A43667"/>
    <w:rsid w:val="00A44C73"/>
    <w:rsid w:val="00A474EE"/>
    <w:rsid w:val="00A5387E"/>
    <w:rsid w:val="00A53F07"/>
    <w:rsid w:val="00A54863"/>
    <w:rsid w:val="00A61D74"/>
    <w:rsid w:val="00A75F6B"/>
    <w:rsid w:val="00A8430C"/>
    <w:rsid w:val="00A8688B"/>
    <w:rsid w:val="00A91163"/>
    <w:rsid w:val="00A918B4"/>
    <w:rsid w:val="00A9286F"/>
    <w:rsid w:val="00A96255"/>
    <w:rsid w:val="00AB285B"/>
    <w:rsid w:val="00AC0715"/>
    <w:rsid w:val="00AD307A"/>
    <w:rsid w:val="00AE4855"/>
    <w:rsid w:val="00AF5CB4"/>
    <w:rsid w:val="00AF5ED1"/>
    <w:rsid w:val="00AF71D6"/>
    <w:rsid w:val="00B2256E"/>
    <w:rsid w:val="00B26909"/>
    <w:rsid w:val="00B3175F"/>
    <w:rsid w:val="00B31E2C"/>
    <w:rsid w:val="00B329B0"/>
    <w:rsid w:val="00B40050"/>
    <w:rsid w:val="00B402D8"/>
    <w:rsid w:val="00B4237C"/>
    <w:rsid w:val="00B42FE8"/>
    <w:rsid w:val="00B5046B"/>
    <w:rsid w:val="00B52AFD"/>
    <w:rsid w:val="00B54077"/>
    <w:rsid w:val="00B8087E"/>
    <w:rsid w:val="00B84FB2"/>
    <w:rsid w:val="00B967C2"/>
    <w:rsid w:val="00B976E2"/>
    <w:rsid w:val="00BB646E"/>
    <w:rsid w:val="00BD1BA1"/>
    <w:rsid w:val="00BE14B2"/>
    <w:rsid w:val="00BF0009"/>
    <w:rsid w:val="00BF25E1"/>
    <w:rsid w:val="00BF3B88"/>
    <w:rsid w:val="00BF4E75"/>
    <w:rsid w:val="00C2417C"/>
    <w:rsid w:val="00C35BC4"/>
    <w:rsid w:val="00C429F4"/>
    <w:rsid w:val="00C43F5B"/>
    <w:rsid w:val="00C55637"/>
    <w:rsid w:val="00C604F6"/>
    <w:rsid w:val="00C77F7D"/>
    <w:rsid w:val="00C814CF"/>
    <w:rsid w:val="00CB4371"/>
    <w:rsid w:val="00CB56ED"/>
    <w:rsid w:val="00CC516D"/>
    <w:rsid w:val="00CD3C68"/>
    <w:rsid w:val="00D223BA"/>
    <w:rsid w:val="00D24330"/>
    <w:rsid w:val="00D25897"/>
    <w:rsid w:val="00D26D7C"/>
    <w:rsid w:val="00D40056"/>
    <w:rsid w:val="00D54F29"/>
    <w:rsid w:val="00D55163"/>
    <w:rsid w:val="00D70AD9"/>
    <w:rsid w:val="00D72152"/>
    <w:rsid w:val="00D771B0"/>
    <w:rsid w:val="00D94BA5"/>
    <w:rsid w:val="00D9510F"/>
    <w:rsid w:val="00DA615C"/>
    <w:rsid w:val="00DB2777"/>
    <w:rsid w:val="00DC666D"/>
    <w:rsid w:val="00DD1BC6"/>
    <w:rsid w:val="00DE4CF5"/>
    <w:rsid w:val="00DE5DC3"/>
    <w:rsid w:val="00DE6352"/>
    <w:rsid w:val="00DE660A"/>
    <w:rsid w:val="00DF3A06"/>
    <w:rsid w:val="00E00D8A"/>
    <w:rsid w:val="00E1050F"/>
    <w:rsid w:val="00E11604"/>
    <w:rsid w:val="00E11D92"/>
    <w:rsid w:val="00E130A0"/>
    <w:rsid w:val="00E210C4"/>
    <w:rsid w:val="00E23DB7"/>
    <w:rsid w:val="00E24BE0"/>
    <w:rsid w:val="00E279D5"/>
    <w:rsid w:val="00E41A03"/>
    <w:rsid w:val="00E4469A"/>
    <w:rsid w:val="00E454D6"/>
    <w:rsid w:val="00E46D96"/>
    <w:rsid w:val="00E52CCA"/>
    <w:rsid w:val="00E66409"/>
    <w:rsid w:val="00E8145B"/>
    <w:rsid w:val="00E81D5B"/>
    <w:rsid w:val="00E91956"/>
    <w:rsid w:val="00E976B9"/>
    <w:rsid w:val="00EA05D3"/>
    <w:rsid w:val="00EA610A"/>
    <w:rsid w:val="00EB19AD"/>
    <w:rsid w:val="00EB2B12"/>
    <w:rsid w:val="00EB2F31"/>
    <w:rsid w:val="00EB6493"/>
    <w:rsid w:val="00EC208F"/>
    <w:rsid w:val="00EC2915"/>
    <w:rsid w:val="00ED05A9"/>
    <w:rsid w:val="00ED1BA0"/>
    <w:rsid w:val="00ED6430"/>
    <w:rsid w:val="00F03C7C"/>
    <w:rsid w:val="00F17257"/>
    <w:rsid w:val="00F23974"/>
    <w:rsid w:val="00F3016A"/>
    <w:rsid w:val="00F34D24"/>
    <w:rsid w:val="00F4130B"/>
    <w:rsid w:val="00F556A2"/>
    <w:rsid w:val="00F62077"/>
    <w:rsid w:val="00F719A8"/>
    <w:rsid w:val="00F7383D"/>
    <w:rsid w:val="00F77602"/>
    <w:rsid w:val="00F86E21"/>
    <w:rsid w:val="00F878B9"/>
    <w:rsid w:val="00FA55EB"/>
    <w:rsid w:val="00FB1915"/>
    <w:rsid w:val="00FB24E8"/>
    <w:rsid w:val="00FB3B2B"/>
    <w:rsid w:val="00FC18DA"/>
    <w:rsid w:val="00FC3917"/>
    <w:rsid w:val="00FC6D6A"/>
    <w:rsid w:val="00FD60DA"/>
    <w:rsid w:val="00FE1360"/>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6252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2Char">
    <w:name w:val="Heading 2 Char"/>
    <w:basedOn w:val="DefaultParagraphFont"/>
    <w:link w:val="Heading2"/>
    <w:uiPriority w:val="9"/>
    <w:rsid w:val="0062529E"/>
    <w:rPr>
      <w:rFonts w:asciiTheme="majorHAnsi" w:eastAsiaTheme="majorEastAsia" w:hAnsiTheme="majorHAnsi" w:cstheme="majorBidi"/>
      <w:color w:val="365F91" w:themeColor="accent1" w:themeShade="BF"/>
      <w:sz w:val="26"/>
      <w:szCs w:val="26"/>
    </w:rPr>
  </w:style>
  <w:style w:type="paragraph" w:styleId="FootnoteText">
    <w:name w:val="footnote text"/>
    <w:aliases w:val="Char Char,Char"/>
    <w:link w:val="FootnoteTextChar"/>
    <w:uiPriority w:val="99"/>
    <w:rsid w:val="0062529E"/>
    <w:pPr>
      <w:spacing w:before="240" w:after="0" w:line="240" w:lineRule="auto"/>
      <w:ind w:left="1134"/>
      <w:jc w:val="both"/>
    </w:pPr>
    <w:rPr>
      <w:rFonts w:ascii="Times New Roman" w:eastAsia="Times New Roman" w:hAnsi="Times New Roman" w:cs="Times New Roman"/>
      <w:sz w:val="20"/>
      <w:szCs w:val="20"/>
      <w:lang w:val="en-US" w:eastAsia="en-US"/>
    </w:rPr>
  </w:style>
  <w:style w:type="character" w:customStyle="1" w:styleId="FootnoteTextChar">
    <w:name w:val="Footnote Text Char"/>
    <w:aliases w:val="Char Char Char,Char Char1"/>
    <w:basedOn w:val="DefaultParagraphFont"/>
    <w:link w:val="FootnoteText"/>
    <w:uiPriority w:val="99"/>
    <w:rsid w:val="0062529E"/>
    <w:rPr>
      <w:rFonts w:ascii="Times New Roman" w:eastAsia="Times New Roman" w:hAnsi="Times New Roman" w:cs="Times New Roman"/>
      <w:sz w:val="20"/>
      <w:szCs w:val="20"/>
      <w:lang w:val="en-US" w:eastAsia="en-US"/>
    </w:rPr>
  </w:style>
  <w:style w:type="character" w:styleId="FootnoteReference">
    <w:name w:val="footnote reference"/>
    <w:uiPriority w:val="99"/>
    <w:rsid w:val="0062529E"/>
    <w:rPr>
      <w:vertAlign w:val="superscript"/>
    </w:rPr>
  </w:style>
  <w:style w:type="character" w:styleId="EndnoteReference">
    <w:name w:val="endnote reference"/>
    <w:uiPriority w:val="99"/>
    <w:semiHidden/>
    <w:unhideWhenUsed/>
    <w:rsid w:val="0091110D"/>
    <w:rPr>
      <w:vertAlign w:val="superscript"/>
    </w:rPr>
  </w:style>
  <w:style w:type="paragraph" w:customStyle="1" w:styleId="NonNumbered">
    <w:name w:val="NonNumbered"/>
    <w:basedOn w:val="Normal"/>
    <w:rsid w:val="0091110D"/>
    <w:pPr>
      <w:spacing w:before="240" w:after="240" w:line="240" w:lineRule="auto"/>
      <w:ind w:left="1134"/>
      <w:jc w:val="both"/>
    </w:pPr>
    <w:rPr>
      <w:rFonts w:ascii="Calibri" w:eastAsia="Times New Roman" w:hAnsi="Calibri" w:cs="Times New Roman"/>
      <w:szCs w:val="20"/>
      <w:lang w:val="en-US" w:eastAsia="en-US"/>
    </w:rPr>
  </w:style>
  <w:style w:type="paragraph" w:customStyle="1" w:styleId="Default">
    <w:name w:val="Default"/>
    <w:rsid w:val="0091110D"/>
    <w:pPr>
      <w:autoSpaceDE w:val="0"/>
      <w:autoSpaceDN w:val="0"/>
      <w:adjustRightInd w:val="0"/>
      <w:spacing w:after="0" w:line="240" w:lineRule="auto"/>
    </w:pPr>
    <w:rPr>
      <w:rFonts w:ascii="Garamond" w:eastAsia="Calibri" w:hAnsi="Garamond" w:cs="Garamond"/>
      <w:color w:val="000000"/>
      <w:sz w:val="24"/>
      <w:szCs w:val="24"/>
      <w:lang w:eastAsia="en-US"/>
    </w:rPr>
  </w:style>
  <w:style w:type="character" w:styleId="FollowedHyperlink">
    <w:name w:val="FollowedHyperlink"/>
    <w:uiPriority w:val="99"/>
    <w:semiHidden/>
    <w:unhideWhenUsed/>
    <w:rsid w:val="0091110D"/>
    <w:rPr>
      <w:color w:val="800080"/>
      <w:u w:val="single"/>
    </w:rPr>
  </w:style>
  <w:style w:type="character" w:customStyle="1" w:styleId="UnresolvedMention10">
    <w:name w:val="Unresolved Mention1"/>
    <w:uiPriority w:val="99"/>
    <w:semiHidden/>
    <w:unhideWhenUsed/>
    <w:rsid w:val="000A7E39"/>
    <w:rPr>
      <w:color w:val="605E5C"/>
      <w:shd w:val="clear" w:color="auto" w:fill="E1DFDD"/>
    </w:rPr>
  </w:style>
  <w:style w:type="paragraph" w:styleId="TOCHeading">
    <w:name w:val="TOC Heading"/>
    <w:basedOn w:val="Heading1"/>
    <w:next w:val="Normal"/>
    <w:uiPriority w:val="39"/>
    <w:unhideWhenUsed/>
    <w:qFormat/>
    <w:rsid w:val="0091110D"/>
    <w:pPr>
      <w:spacing w:before="240" w:line="259" w:lineRule="auto"/>
      <w:jc w:val="left"/>
      <w:outlineLvl w:val="9"/>
    </w:pPr>
    <w:rPr>
      <w:rFonts w:ascii="Calibri Light" w:eastAsia="Times New Roman" w:hAnsi="Calibri Light" w:cs="Times New Roman"/>
      <w:b w:val="0"/>
      <w:bCs w:val="0"/>
      <w:color w:val="2E74B5"/>
      <w:sz w:val="32"/>
      <w:szCs w:val="32"/>
      <w:lang w:val="en-US"/>
    </w:rPr>
  </w:style>
  <w:style w:type="paragraph" w:styleId="TOC1">
    <w:name w:val="toc 1"/>
    <w:basedOn w:val="Normal"/>
    <w:next w:val="Normal"/>
    <w:autoRedefine/>
    <w:uiPriority w:val="39"/>
    <w:unhideWhenUsed/>
    <w:rsid w:val="0091110D"/>
    <w:pPr>
      <w:tabs>
        <w:tab w:val="left" w:pos="440"/>
        <w:tab w:val="right" w:leader="dot" w:pos="9016"/>
      </w:tabs>
      <w:spacing w:after="100" w:line="259" w:lineRule="auto"/>
    </w:pPr>
    <w:rPr>
      <w:rFonts w:ascii="Calibri" w:eastAsia="Times New Roman" w:hAnsi="Calibri" w:cs="Times New Roman"/>
      <w:sz w:val="24"/>
      <w:szCs w:val="24"/>
      <w:lang w:val="en-US" w:eastAsia="en-US"/>
    </w:rPr>
  </w:style>
  <w:style w:type="paragraph" w:styleId="TOC2">
    <w:name w:val="toc 2"/>
    <w:basedOn w:val="Normal"/>
    <w:next w:val="Normal"/>
    <w:autoRedefine/>
    <w:uiPriority w:val="39"/>
    <w:unhideWhenUsed/>
    <w:rsid w:val="0091110D"/>
    <w:pPr>
      <w:spacing w:after="0" w:line="240" w:lineRule="auto"/>
      <w:ind w:left="240"/>
    </w:pPr>
    <w:rPr>
      <w:rFonts w:ascii="Calibri" w:eastAsia="Times New Roman" w:hAnsi="Calibri" w:cs="Times New Roman"/>
      <w:sz w:val="24"/>
      <w:szCs w:val="24"/>
      <w:lang w:val="en-US" w:eastAsia="en-US"/>
    </w:rPr>
  </w:style>
  <w:style w:type="paragraph" w:customStyle="1" w:styleId="font5">
    <w:name w:val="font5"/>
    <w:basedOn w:val="Normal"/>
    <w:rsid w:val="0091110D"/>
    <w:pPr>
      <w:spacing w:before="100" w:beforeAutospacing="1" w:after="100" w:afterAutospacing="1" w:line="240" w:lineRule="auto"/>
    </w:pPr>
    <w:rPr>
      <w:rFonts w:ascii="Arial Narrow" w:eastAsia="Times New Roman" w:hAnsi="Arial Narrow" w:cs="Times New Roman"/>
      <w:sz w:val="20"/>
      <w:szCs w:val="20"/>
      <w:lang w:eastAsia="en-GB"/>
    </w:rPr>
  </w:style>
  <w:style w:type="paragraph" w:customStyle="1" w:styleId="xl67">
    <w:name w:val="xl67"/>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68">
    <w:name w:val="xl68"/>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69">
    <w:name w:val="xl69"/>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70">
    <w:name w:val="xl70"/>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1">
    <w:name w:val="xl7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72">
    <w:name w:val="xl7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3">
    <w:name w:val="xl73"/>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4"/>
      <w:szCs w:val="24"/>
      <w:lang w:eastAsia="en-GB"/>
    </w:rPr>
  </w:style>
  <w:style w:type="paragraph" w:customStyle="1" w:styleId="xl74">
    <w:name w:val="xl74"/>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5">
    <w:name w:val="xl75"/>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6">
    <w:name w:val="xl76"/>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77">
    <w:name w:val="xl7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78">
    <w:name w:val="xl7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79">
    <w:name w:val="xl79"/>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0">
    <w:name w:val="xl80"/>
    <w:basedOn w:val="Normal"/>
    <w:rsid w:val="0091110D"/>
    <w:pP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1">
    <w:name w:val="xl81"/>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Calibri" w:eastAsia="Times New Roman" w:hAnsi="Calibri" w:cs="Times New Roman"/>
      <w:sz w:val="20"/>
      <w:szCs w:val="20"/>
      <w:lang w:eastAsia="en-GB"/>
    </w:rPr>
  </w:style>
  <w:style w:type="paragraph" w:customStyle="1" w:styleId="xl82">
    <w:name w:val="xl82"/>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83">
    <w:name w:val="xl83"/>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84">
    <w:name w:val="xl84"/>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5">
    <w:name w:val="xl85"/>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86">
    <w:name w:val="xl86"/>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sz w:val="20"/>
      <w:szCs w:val="20"/>
      <w:lang w:eastAsia="en-GB"/>
    </w:rPr>
  </w:style>
  <w:style w:type="paragraph" w:customStyle="1" w:styleId="xl87">
    <w:name w:val="xl87"/>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88">
    <w:name w:val="xl88"/>
    <w:basedOn w:val="Normal"/>
    <w:rsid w:val="0091110D"/>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customStyle="1" w:styleId="xl89">
    <w:name w:val="xl89"/>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0"/>
      <w:szCs w:val="20"/>
      <w:lang w:eastAsia="en-GB"/>
    </w:rPr>
  </w:style>
  <w:style w:type="paragraph" w:customStyle="1" w:styleId="xl90">
    <w:name w:val="xl90"/>
    <w:basedOn w:val="Normal"/>
    <w:rsid w:val="0091110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1">
    <w:name w:val="xl91"/>
    <w:basedOn w:val="Normal"/>
    <w:rsid w:val="0091110D"/>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8"/>
      <w:szCs w:val="28"/>
      <w:lang w:eastAsia="en-GB"/>
    </w:rPr>
  </w:style>
  <w:style w:type="paragraph" w:customStyle="1" w:styleId="xl92">
    <w:name w:val="xl92"/>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0"/>
      <w:szCs w:val="20"/>
      <w:lang w:eastAsia="en-GB"/>
    </w:rPr>
  </w:style>
  <w:style w:type="paragraph" w:customStyle="1" w:styleId="xl93">
    <w:name w:val="xl93"/>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lang w:eastAsia="en-GB"/>
    </w:rPr>
  </w:style>
  <w:style w:type="paragraph" w:customStyle="1" w:styleId="xl94">
    <w:name w:val="xl94"/>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5">
    <w:name w:val="xl95"/>
    <w:basedOn w:val="Normal"/>
    <w:rsid w:val="0091110D"/>
    <w:pPr>
      <w:shd w:val="clear" w:color="000000" w:fill="FFFFFF"/>
      <w:spacing w:before="100" w:beforeAutospacing="1" w:after="100" w:afterAutospacing="1" w:line="240" w:lineRule="auto"/>
      <w:textAlignment w:val="top"/>
    </w:pPr>
    <w:rPr>
      <w:rFonts w:ascii="Calibri" w:eastAsia="Times New Roman" w:hAnsi="Calibri" w:cs="Times New Roman"/>
      <w:sz w:val="24"/>
      <w:szCs w:val="24"/>
      <w:lang w:eastAsia="en-GB"/>
    </w:rPr>
  </w:style>
  <w:style w:type="paragraph" w:customStyle="1" w:styleId="xl96">
    <w:name w:val="xl96"/>
    <w:basedOn w:val="Normal"/>
    <w:rsid w:val="0091110D"/>
    <w:pPr>
      <w:shd w:val="clear" w:color="000000" w:fill="FFFFFF"/>
      <w:spacing w:before="100" w:beforeAutospacing="1" w:after="100" w:afterAutospacing="1" w:line="240" w:lineRule="auto"/>
      <w:textAlignment w:val="top"/>
    </w:pPr>
    <w:rPr>
      <w:rFonts w:ascii="Times New Roman" w:eastAsia="Times New Roman" w:hAnsi="Times New Roman" w:cs="Times New Roman"/>
      <w:sz w:val="20"/>
      <w:szCs w:val="20"/>
      <w:lang w:eastAsia="en-GB"/>
    </w:rPr>
  </w:style>
  <w:style w:type="paragraph" w:customStyle="1" w:styleId="xl97">
    <w:name w:val="xl97"/>
    <w:basedOn w:val="Normal"/>
    <w:rsid w:val="0091110D"/>
    <w:pPr>
      <w:pBdr>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98">
    <w:name w:val="xl98"/>
    <w:basedOn w:val="Normal"/>
    <w:rsid w:val="0091110D"/>
    <w:pPr>
      <w:pBdr>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xl99">
    <w:name w:val="xl99"/>
    <w:basedOn w:val="Normal"/>
    <w:rsid w:val="0091110D"/>
    <w:pPr>
      <w:spacing w:before="100" w:beforeAutospacing="1" w:after="100" w:afterAutospacing="1" w:line="240" w:lineRule="auto"/>
      <w:textAlignment w:val="top"/>
    </w:pPr>
    <w:rPr>
      <w:rFonts w:ascii="Calibri" w:eastAsia="Times New Roman" w:hAnsi="Calibri" w:cs="Times New Roman"/>
      <w:sz w:val="20"/>
      <w:szCs w:val="20"/>
      <w:lang w:eastAsia="en-GB"/>
    </w:rPr>
  </w:style>
  <w:style w:type="paragraph" w:customStyle="1" w:styleId="xl100">
    <w:name w:val="xl100"/>
    <w:basedOn w:val="Normal"/>
    <w:rsid w:val="0091110D"/>
    <w:pPr>
      <w:pBdr>
        <w:top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en-GB"/>
    </w:rPr>
  </w:style>
  <w:style w:type="paragraph" w:styleId="Revision">
    <w:name w:val="Revision"/>
    <w:hidden/>
    <w:uiPriority w:val="99"/>
    <w:semiHidden/>
    <w:rsid w:val="008B34B3"/>
    <w:pPr>
      <w:spacing w:after="0" w:line="240" w:lineRule="auto"/>
    </w:pPr>
  </w:style>
  <w:style w:type="character" w:styleId="UnresolvedMention">
    <w:name w:val="Unresolved Mention"/>
    <w:basedOn w:val="DefaultParagraphFont"/>
    <w:uiPriority w:val="99"/>
    <w:semiHidden/>
    <w:unhideWhenUsed/>
    <w:rsid w:val="00E41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lostat.ilo.org/resources/concepts-and-definitions/ilo-modelled-estimat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lo.org/wcmsp5/groups/public/---dgreports/---stat/documents/meetingdocument/wcms_648636.pd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wcmsp5/groups/public/---dgreports/---stat/documents/meetingdocument/wcms_648636.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20thic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lo.org/wcmsp5/groups/public/---dgreports/---stat/documents/meetingdocument/wcms_64863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5A7DC002-5200-4E52-B627-D9A7DBF5037E}"/>
      </w:docPartPr>
      <w:docPartBody>
        <w:p w:rsidR="0015473B" w:rsidRDefault="0089436D">
          <w:r w:rsidRPr="00373FC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6D"/>
    <w:rsid w:val="000403C0"/>
    <w:rsid w:val="0015473B"/>
    <w:rsid w:val="00490D90"/>
    <w:rsid w:val="00886A3B"/>
    <w:rsid w:val="0089436D"/>
    <w:rsid w:val="00BF3B88"/>
    <w:rsid w:val="00BF5885"/>
    <w:rsid w:val="00DF3A06"/>
    <w:rsid w:val="00E32E24"/>
    <w:rsid w:val="00ED64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3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8F7061-7C25-4B42-A2A5-36272C2F28C2}">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f2d2d782-0088-4826-96df-71eba56e6d2e"/>
    <ds:schemaRef ds:uri="http://schemas.microsoft.com/office/infopath/2007/PartnerControls"/>
    <ds:schemaRef ds:uri="http://purl.org/dc/elements/1.1/"/>
    <ds:schemaRef ds:uri="d114b01d-ae01-4749-b845-9d88e7ef5c0e"/>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Karkee, Vipasana</dc:creator>
  <cp:lastModifiedBy>Harumi Shibata Salazar</cp:lastModifiedBy>
  <cp:revision>4</cp:revision>
  <cp:lastPrinted>2025-04-01T04:17:00Z</cp:lastPrinted>
  <dcterms:created xsi:type="dcterms:W3CDTF">2025-03-12T20:57:00Z</dcterms:created>
  <dcterms:modified xsi:type="dcterms:W3CDTF">2025-04-01T04:17:00Z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