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303934A4" w14:textId="61BC69E1" w:rsidR="00AB7635" w:rsidRPr="005B5B7E" w:rsidRDefault="00791A85" w:rsidP="00D24330">
      <w:pPr>
        <w:pStyle w:val="MIndHeader"/>
        <w:rPr>
          <w:sz w:val="21"/>
          <w:szCs w:val="21"/>
        </w:rPr>
      </w:pPr>
      <w:r w:rsidRPr="005B5B7E">
        <w:rPr>
          <w:color w:val="444444"/>
          <w:sz w:val="21"/>
          <w:szCs w:val="21"/>
        </w:rPr>
        <w:t>Goal</w:t>
      </w:r>
      <w:r w:rsidR="37F214BC" w:rsidRPr="005B5B7E">
        <w:rPr>
          <w:rFonts w:ascii="Calibri" w:eastAsia="Calibri" w:hAnsi="Calibri" w:cs="Calibri"/>
          <w:color w:val="444444"/>
          <w:sz w:val="21"/>
          <w:szCs w:val="21"/>
        </w:rPr>
        <w:t xml:space="preserve"> </w:t>
      </w:r>
      <w:r w:rsidR="00AB7635" w:rsidRPr="005B5B7E">
        <w:rPr>
          <w:color w:val="444444"/>
          <w:sz w:val="21"/>
          <w:szCs w:val="21"/>
        </w:rPr>
        <w:t>8</w:t>
      </w:r>
      <w:r w:rsidR="37F214BC" w:rsidRPr="005B5B7E">
        <w:rPr>
          <w:rFonts w:ascii="Calibri" w:eastAsia="Calibri" w:hAnsi="Calibri" w:cs="Calibri"/>
          <w:color w:val="444444"/>
          <w:sz w:val="21"/>
          <w:szCs w:val="21"/>
        </w:rPr>
        <w:t>:</w:t>
      </w:r>
      <w:r w:rsidR="00AB7635" w:rsidRPr="005B5B7E">
        <w:rPr>
          <w:color w:val="444444"/>
          <w:sz w:val="21"/>
          <w:szCs w:val="21"/>
        </w:rPr>
        <w:t xml:space="preserve"> Promote sustained, inclusive and sustainable economic growth, full and productive employment and decent work for all</w:t>
      </w:r>
    </w:p>
    <w:p w14:paraId="084142D2" w14:textId="17FBC174" w:rsidR="00D24330" w:rsidRPr="00A96255" w:rsidRDefault="00D24330" w:rsidP="00D24330">
      <w:pPr>
        <w:pStyle w:val="MIndHeader"/>
      </w:pPr>
      <w:r w:rsidRPr="00A96255">
        <w:t xml:space="preserve">0.b. Target </w:t>
      </w:r>
      <w:r>
        <w:rPr>
          <w:color w:val="B4B4B4"/>
          <w:sz w:val="20"/>
        </w:rPr>
        <w:t>(SDG_TARGET)</w:t>
      </w:r>
    </w:p>
    <w:p w14:paraId="647E259C" w14:textId="15993451" w:rsidR="00AB7635" w:rsidRPr="00582914" w:rsidRDefault="00AB7635" w:rsidP="00D24330">
      <w:pPr>
        <w:pStyle w:val="MIndHeader"/>
        <w:rPr>
          <w:sz w:val="21"/>
          <w:szCs w:val="21"/>
        </w:rPr>
      </w:pPr>
      <w:r w:rsidRPr="00582914">
        <w:rPr>
          <w:color w:val="444444"/>
          <w:sz w:val="21"/>
          <w:szCs w:val="21"/>
        </w:rPr>
        <w:t>Targe</w:t>
      </w:r>
      <w:r w:rsidR="00791A85" w:rsidRPr="00582914">
        <w:rPr>
          <w:color w:val="444444"/>
          <w:sz w:val="21"/>
          <w:szCs w:val="21"/>
        </w:rPr>
        <w:t>t</w:t>
      </w:r>
      <w:r w:rsidR="7E9F2D18" w:rsidRPr="00582914">
        <w:rPr>
          <w:rFonts w:ascii="Calibri" w:eastAsia="Calibri" w:hAnsi="Calibri" w:cs="Calibri"/>
          <w:color w:val="444444"/>
          <w:sz w:val="21"/>
          <w:szCs w:val="21"/>
        </w:rPr>
        <w:t xml:space="preserve"> </w:t>
      </w:r>
      <w:r w:rsidRPr="00582914">
        <w:rPr>
          <w:color w:val="444444"/>
          <w:sz w:val="21"/>
          <w:szCs w:val="21"/>
        </w:rPr>
        <w:t>8.9</w:t>
      </w:r>
      <w:r w:rsidR="00791A85" w:rsidRPr="00582914">
        <w:rPr>
          <w:color w:val="444444"/>
          <w:sz w:val="21"/>
          <w:szCs w:val="21"/>
        </w:rPr>
        <w:t>:</w:t>
      </w:r>
      <w:r w:rsidRPr="00582914">
        <w:rPr>
          <w:color w:val="444444"/>
          <w:sz w:val="21"/>
          <w:szCs w:val="21"/>
        </w:rPr>
        <w:t xml:space="preserve"> By 2030, devise and implement policies to promote sustainable tourism that creates jobs and promotes local culture and products</w:t>
      </w:r>
    </w:p>
    <w:p w14:paraId="3E67E7E0" w14:textId="237F44C6" w:rsidR="00D24330" w:rsidRPr="00A96255" w:rsidRDefault="00D24330" w:rsidP="00D24330">
      <w:pPr>
        <w:pStyle w:val="MIndHeader"/>
      </w:pPr>
      <w:r w:rsidRPr="00A96255">
        <w:t xml:space="preserve">0.c. Indicator </w:t>
      </w:r>
      <w:r>
        <w:rPr>
          <w:color w:val="B4B4B4"/>
          <w:sz w:val="20"/>
        </w:rPr>
        <w:t>(SDG_INDICATOR)</w:t>
      </w:r>
    </w:p>
    <w:p w14:paraId="051D2F5E" w14:textId="014BA548" w:rsidR="00AB7635" w:rsidRDefault="00791A85" w:rsidP="00D24330">
      <w:pPr>
        <w:pStyle w:val="MIndHeader"/>
        <w:rPr>
          <w:color w:val="333333"/>
          <w:sz w:val="21"/>
          <w:szCs w:val="21"/>
        </w:rPr>
      </w:pPr>
      <w:r>
        <w:rPr>
          <w:color w:val="333333"/>
          <w:sz w:val="21"/>
          <w:szCs w:val="21"/>
        </w:rPr>
        <w:t>Indicator</w:t>
      </w:r>
      <w:r w:rsidR="00AB7635" w:rsidRPr="00AB7635">
        <w:rPr>
          <w:color w:val="333333"/>
          <w:sz w:val="21"/>
          <w:szCs w:val="21"/>
        </w:rPr>
        <w:t xml:space="preserve"> 8.9.1</w:t>
      </w:r>
      <w:r>
        <w:rPr>
          <w:color w:val="333333"/>
          <w:sz w:val="21"/>
          <w:szCs w:val="21"/>
        </w:rPr>
        <w:t>:</w:t>
      </w:r>
      <w:r w:rsidR="00AB7635" w:rsidRPr="00AB7635">
        <w:rPr>
          <w:color w:val="333333"/>
          <w:sz w:val="21"/>
          <w:szCs w:val="21"/>
        </w:rPr>
        <w:t xml:space="preserve"> Tourism direct GDP as a proportion of total GDP and in growth rate </w:t>
      </w:r>
    </w:p>
    <w:p w14:paraId="37E5E4F6" w14:textId="78D966BE" w:rsidR="00D24330" w:rsidRPr="000A58A8" w:rsidRDefault="00D24330" w:rsidP="00D24330">
      <w:pPr>
        <w:pStyle w:val="MIndHeader"/>
        <w:rPr>
          <w:lang w:val="en-CA"/>
        </w:rPr>
      </w:pPr>
      <w:r w:rsidRPr="000A58A8">
        <w:rPr>
          <w:lang w:val="en-CA"/>
        </w:rPr>
        <w:t xml:space="preserve">0.d. Series </w:t>
      </w:r>
      <w:r>
        <w:rPr>
          <w:color w:val="B4B4B4"/>
          <w:sz w:val="20"/>
        </w:rPr>
        <w:t>(SDG_SERIES_DESCR)</w:t>
      </w:r>
    </w:p>
    <w:p w14:paraId="67B290BE" w14:textId="5A9486AC" w:rsidR="006035AA" w:rsidRDefault="00C77442" w:rsidP="00D24330">
      <w:pPr>
        <w:pStyle w:val="MGTHeader"/>
        <w:rPr>
          <w:lang w:val="en-CA"/>
        </w:rPr>
      </w:pPr>
      <w:r w:rsidRPr="00C77442">
        <w:rPr>
          <w:lang w:val="en-CA"/>
        </w:rPr>
        <w:t>ST_GDP_ZS - Tourism direct GDP as a proportion of total GDP [8.9.1]</w:t>
      </w:r>
    </w:p>
    <w:p w14:paraId="157DACE7" w14:textId="77777777" w:rsidR="00D24330" w:rsidRPr="000A58A8" w:rsidRDefault="00D24330" w:rsidP="00D24330">
      <w:pPr>
        <w:pStyle w:val="MIndHeader"/>
        <w:rPr>
          <w:lang w:val="en-CA"/>
        </w:rPr>
      </w:pPr>
      <w:r w:rsidRPr="000A58A8">
        <w:rPr>
          <w:lang w:val="en-CA"/>
        </w:rPr>
        <w:t xml:space="preserve">0.e. Metadata update </w:t>
      </w:r>
      <w:r>
        <w:rPr>
          <w:color w:val="B4B4B4"/>
          <w:sz w:val="20"/>
        </w:rPr>
        <w:t>(META_LAST_UPDATE)</w:t>
      </w:r>
    </w:p>
    <w:sdt>
      <w:sdtPr>
        <w:rPr>
          <w:lang w:val="en-CA"/>
        </w:rPr>
        <w:id w:val="-1712725093"/>
        <w:placeholder>
          <w:docPart w:val="DefaultPlaceholder_-1854013437"/>
        </w:placeholder>
        <w:date w:fullDate="2024-03-28T00:00:00Z">
          <w:dateFormat w:val="yyyy-MM-dd"/>
          <w:lid w:val="en-US"/>
          <w:storeMappedDataAs w:val="dateTime"/>
          <w:calendar w:val="gregorian"/>
        </w:date>
      </w:sdtPr>
      <w:sdtEndPr/>
      <w:sdtContent>
        <w:p w14:paraId="03424B60" w14:textId="626FD7E3" w:rsidR="00D24330" w:rsidRPr="000A58A8" w:rsidRDefault="00DD18F5" w:rsidP="00D24330">
          <w:pPr>
            <w:pStyle w:val="MGTHeader"/>
            <w:rPr>
              <w:lang w:val="en-CA"/>
            </w:rPr>
          </w:pPr>
          <w:r>
            <w:rPr>
              <w:lang w:val="en-US"/>
            </w:rPr>
            <w:t>2024-03-28</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0CDDE5BB" w14:textId="199431F7" w:rsidR="00AB7635" w:rsidRDefault="008950E3" w:rsidP="009B49F4">
      <w:pPr>
        <w:pStyle w:val="MGTHeader"/>
        <w:rPr>
          <w:rFonts w:ascii="Segoe UI" w:hAnsi="Segoe UI" w:cs="Segoe UI"/>
          <w:sz w:val="18"/>
          <w:szCs w:val="18"/>
        </w:rPr>
      </w:pPr>
      <w:r>
        <w:rPr>
          <w:rStyle w:val="normaltextrun"/>
          <w:rFonts w:ascii="Calibri" w:hAnsi="Calibri" w:cs="Calibri"/>
          <w:color w:val="4A4A4A"/>
        </w:rPr>
        <w:t xml:space="preserve">Target </w:t>
      </w:r>
      <w:r w:rsidR="00AB7635">
        <w:rPr>
          <w:rStyle w:val="normaltextrun"/>
          <w:rFonts w:ascii="Calibri" w:hAnsi="Calibri" w:cs="Calibri"/>
          <w:color w:val="4A4A4A"/>
        </w:rPr>
        <w:t>14.7</w:t>
      </w:r>
      <w:r w:rsidR="005F2141">
        <w:rPr>
          <w:rStyle w:val="normaltextrun"/>
          <w:rFonts w:ascii="Calibri" w:hAnsi="Calibri" w:cs="Calibri"/>
          <w:color w:val="4A4A4A"/>
        </w:rPr>
        <w:t>:</w:t>
      </w:r>
      <w:r w:rsidR="00AB7635">
        <w:rPr>
          <w:rStyle w:val="normaltextrun"/>
          <w:rFonts w:ascii="Calibri" w:hAnsi="Calibri" w:cs="Calibri"/>
          <w:color w:val="4A4A4A"/>
        </w:rPr>
        <w:t xml:space="preserve"> By 2030, increase the economic benefits to small island developing States and least developed countries from the sustainable use of marine resources, including through sustainable management of fisheries, aquaculture and tourism</w:t>
      </w:r>
      <w:r w:rsidR="00AB7635">
        <w:rPr>
          <w:rStyle w:val="normaltextrun"/>
          <w:color w:val="4A4A4A"/>
        </w:rPr>
        <w:t>.</w:t>
      </w:r>
      <w:r w:rsidR="00AB7635">
        <w:rPr>
          <w:rStyle w:val="eop"/>
          <w:color w:val="4A4A4A"/>
        </w:rPr>
        <w:t> </w:t>
      </w:r>
    </w:p>
    <w:p w14:paraId="0B01877F" w14:textId="6999DD76" w:rsidR="008950E3" w:rsidRDefault="008950E3" w:rsidP="009B49F4">
      <w:pPr>
        <w:pStyle w:val="MGTHeader"/>
        <w:rPr>
          <w:rStyle w:val="normaltextrun"/>
          <w:rFonts w:ascii="Calibri" w:hAnsi="Calibri" w:cs="Calibri"/>
          <w:color w:val="4A4A4A"/>
        </w:rPr>
      </w:pPr>
      <w:r>
        <w:rPr>
          <w:rStyle w:val="normaltextrun"/>
          <w:rFonts w:ascii="Calibri" w:hAnsi="Calibri" w:cs="Calibri"/>
          <w:color w:val="4A4A4A"/>
        </w:rPr>
        <w:t xml:space="preserve">Target 12.b: </w:t>
      </w:r>
      <w:r w:rsidR="001A0A59" w:rsidRPr="001A0A59">
        <w:rPr>
          <w:rFonts w:ascii="Calibri" w:hAnsi="Calibri" w:cs="Calibri"/>
          <w:color w:val="4A4A4A"/>
        </w:rPr>
        <w:t>Develop and implement tools to monitor sustainable development impacts for sustainable tourism that creates jobs and promotes local culture and products</w:t>
      </w:r>
    </w:p>
    <w:p w14:paraId="6425DD76" w14:textId="30821F8F" w:rsidR="00AB7635" w:rsidRPr="009B49F4" w:rsidRDefault="008950E3" w:rsidP="004746C6">
      <w:pPr>
        <w:pStyle w:val="MGTHeader"/>
        <w:rPr>
          <w:rFonts w:ascii="Calibri" w:hAnsi="Calibri" w:cs="Calibri"/>
        </w:rPr>
      </w:pPr>
      <w:r>
        <w:rPr>
          <w:rStyle w:val="normaltextrun"/>
          <w:rFonts w:ascii="Calibri" w:hAnsi="Calibri" w:cs="Calibri"/>
          <w:color w:val="4A4A4A"/>
        </w:rPr>
        <w:t xml:space="preserve">Indicator </w:t>
      </w:r>
      <w:r w:rsidR="00AB7635">
        <w:rPr>
          <w:rStyle w:val="normaltextrun"/>
          <w:rFonts w:ascii="Calibri" w:hAnsi="Calibri" w:cs="Calibri"/>
          <w:color w:val="4A4A4A"/>
        </w:rPr>
        <w:t>12.b.1 </w:t>
      </w:r>
      <w:r w:rsidR="00AB7635">
        <w:rPr>
          <w:rStyle w:val="normaltextrun"/>
          <w:rFonts w:ascii="Calibri" w:hAnsi="Calibri" w:cs="Calibri"/>
        </w:rPr>
        <w:t>Implementation of standard accounting tools to monitor the economic and environmental aspects of tourism sustainability</w:t>
      </w:r>
      <w:r w:rsidR="00AB7635">
        <w:rPr>
          <w:rStyle w:val="eop"/>
          <w:rFonts w:ascii="Calibri" w:hAnsi="Calibri" w:cs="Calibri"/>
        </w:rPr>
        <w:t> </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19F29921" w14:textId="0322D136" w:rsidR="008D1D39" w:rsidRPr="00791A85" w:rsidRDefault="00AB7635" w:rsidP="00791A85">
      <w:pPr>
        <w:pStyle w:val="MGTHeader"/>
        <w:rPr>
          <w:rStyle w:val="eop"/>
        </w:rPr>
      </w:pPr>
      <w:r w:rsidRPr="00791A85">
        <w:rPr>
          <w:rStyle w:val="normaltextrun"/>
        </w:rPr>
        <w:t>World Tourism Organization (UNWTO)</w:t>
      </w:r>
      <w:r w:rsidRPr="00791A85">
        <w:rPr>
          <w:rStyle w:val="eop"/>
        </w:rPr>
        <w:t> </w:t>
      </w:r>
    </w:p>
    <w:p w14:paraId="69C0C9C6" w14:textId="77777777" w:rsidR="009B49F4" w:rsidRPr="00A96255" w:rsidRDefault="009B49F4"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78135F56" w:rsidR="00F719A8" w:rsidRDefault="00AB7635" w:rsidP="00576CFA">
      <w:pPr>
        <w:pStyle w:val="MText"/>
      </w:pPr>
      <w:r w:rsidRPr="00AB7635">
        <w:t>World Tourism Organization (UNWTO)</w:t>
      </w:r>
    </w:p>
    <w:p w14:paraId="56C79E24" w14:textId="77777777" w:rsidR="00AB7635" w:rsidRDefault="00AB7635"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52676BBA" w14:textId="77777777" w:rsidR="00AB7635" w:rsidRDefault="00AB7635" w:rsidP="00A231F8">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b/>
          <w:bCs/>
          <w:color w:val="4A4A4A"/>
          <w:sz w:val="21"/>
          <w:szCs w:val="21"/>
          <w:lang w:val="en-GB"/>
        </w:rPr>
        <w:t>Definition:</w:t>
      </w:r>
      <w:r>
        <w:rPr>
          <w:rStyle w:val="eop"/>
          <w:rFonts w:ascii="Calibri" w:hAnsi="Calibri" w:cs="Calibri"/>
          <w:color w:val="4A4A4A"/>
          <w:sz w:val="21"/>
          <w:szCs w:val="21"/>
        </w:rPr>
        <w:t> </w:t>
      </w:r>
    </w:p>
    <w:p w14:paraId="649CAAEA" w14:textId="1357A3D6" w:rsidR="00AB7635" w:rsidRDefault="00AB7635" w:rsidP="00A231F8">
      <w:pPr>
        <w:pStyle w:val="paragraph"/>
        <w:shd w:val="clear" w:color="auto" w:fill="FFFFFF"/>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color w:val="4A4A4A"/>
          <w:sz w:val="21"/>
          <w:szCs w:val="21"/>
          <w:lang w:val="en-GB"/>
        </w:rPr>
        <w:t>Tourism Direct GDP (TDGDP) is defined as the sum of the part of gross value added (at basic prices) generated by all industries in response to internal tourism consumption plus the amount of net taxes on products and</w:t>
      </w:r>
      <w:r>
        <w:rPr>
          <w:rStyle w:val="normaltextrun"/>
          <w:color w:val="4A4A4A"/>
          <w:sz w:val="21"/>
          <w:szCs w:val="21"/>
          <w:lang w:val="en-GB"/>
        </w:rPr>
        <w:t> </w:t>
      </w:r>
      <w:r>
        <w:rPr>
          <w:rStyle w:val="normaltextrun"/>
          <w:rFonts w:ascii="Calibri" w:hAnsi="Calibri" w:cs="Calibri"/>
          <w:color w:val="4A4A4A"/>
          <w:sz w:val="21"/>
          <w:szCs w:val="21"/>
          <w:lang w:val="en-GB"/>
        </w:rPr>
        <w:t xml:space="preserve">imports included within the value of this expenditure at purchasers’ prices. The indicator relies on the Tourism Satellite Account: Recommended Methodological Framework 2008, an international </w:t>
      </w:r>
      <w:r>
        <w:rPr>
          <w:rStyle w:val="normaltextrun"/>
          <w:rFonts w:ascii="Calibri" w:hAnsi="Calibri" w:cs="Calibri"/>
          <w:color w:val="4A4A4A"/>
          <w:sz w:val="21"/>
          <w:szCs w:val="21"/>
          <w:lang w:val="en-GB"/>
        </w:rPr>
        <w:lastRenderedPageBreak/>
        <w:t>standard adopted by the UN Statistical Commission and</w:t>
      </w:r>
      <w:r>
        <w:rPr>
          <w:rStyle w:val="normaltextrun"/>
          <w:color w:val="4A4A4A"/>
          <w:sz w:val="21"/>
          <w:szCs w:val="21"/>
          <w:lang w:val="en-GB"/>
        </w:rPr>
        <w:t> </w:t>
      </w:r>
      <w:r w:rsidR="00EB43B3">
        <w:rPr>
          <w:rStyle w:val="normaltextrun"/>
          <w:rFonts w:ascii="Calibri" w:hAnsi="Calibri" w:cs="Calibri"/>
          <w:color w:val="4A4A4A"/>
          <w:sz w:val="21"/>
          <w:szCs w:val="21"/>
          <w:lang w:val="en-GB"/>
        </w:rPr>
        <w:t xml:space="preserve">led </w:t>
      </w:r>
      <w:r>
        <w:rPr>
          <w:rStyle w:val="normaltextrun"/>
          <w:rFonts w:ascii="Calibri" w:hAnsi="Calibri" w:cs="Calibri"/>
          <w:color w:val="4A4A4A"/>
          <w:sz w:val="21"/>
          <w:szCs w:val="21"/>
          <w:lang w:val="en-GB"/>
        </w:rPr>
        <w:t xml:space="preserve">by UNWTO, </w:t>
      </w:r>
      <w:r w:rsidR="00152636" w:rsidRPr="00A231F8">
        <w:rPr>
          <w:rStyle w:val="normaltextrun"/>
          <w:rFonts w:ascii="Calibri" w:hAnsi="Calibri" w:cs="Calibri"/>
          <w:color w:val="494949"/>
          <w:sz w:val="21"/>
          <w:szCs w:val="21"/>
          <w:shd w:val="clear" w:color="auto" w:fill="FFFFFF"/>
        </w:rPr>
        <w:t>Organisation for Economic Co-operation and Development</w:t>
      </w:r>
      <w:r w:rsidR="00152636">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OECD</w:t>
      </w:r>
      <w:r w:rsidR="00152636">
        <w:rPr>
          <w:rStyle w:val="normaltextrun"/>
          <w:rFonts w:ascii="Calibri" w:hAnsi="Calibri" w:cs="Calibri"/>
          <w:color w:val="4A4A4A"/>
          <w:sz w:val="21"/>
          <w:szCs w:val="21"/>
          <w:lang w:val="en-GB"/>
        </w:rPr>
        <w:t>)</w:t>
      </w:r>
      <w:r>
        <w:rPr>
          <w:rStyle w:val="normaltextrun"/>
          <w:rFonts w:ascii="Calibri" w:hAnsi="Calibri" w:cs="Calibri"/>
          <w:color w:val="4A4A4A"/>
          <w:sz w:val="21"/>
          <w:szCs w:val="21"/>
          <w:lang w:val="en-GB"/>
        </w:rPr>
        <w:t xml:space="preserve"> and EUROSTAT.</w:t>
      </w:r>
      <w:r>
        <w:rPr>
          <w:rStyle w:val="eop"/>
          <w:rFonts w:ascii="Calibri" w:hAnsi="Calibri" w:cs="Calibri"/>
          <w:color w:val="4A4A4A"/>
          <w:sz w:val="21"/>
          <w:szCs w:val="21"/>
        </w:rPr>
        <w:t> </w:t>
      </w:r>
    </w:p>
    <w:p w14:paraId="6955C5DF" w14:textId="77777777" w:rsidR="00AB7635" w:rsidRDefault="00AB7635" w:rsidP="00AB7635">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1D4AB81B" w14:textId="77777777" w:rsidR="00AB7635" w:rsidRDefault="00AB7635" w:rsidP="00AB7635">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5685A0A6" w14:textId="77777777" w:rsidR="00AB7635" w:rsidRDefault="00AB7635" w:rsidP="00A231F8">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b/>
          <w:bCs/>
          <w:color w:val="4A4A4A"/>
          <w:sz w:val="21"/>
          <w:szCs w:val="21"/>
          <w:lang w:val="en-GB"/>
        </w:rPr>
        <w:t>Concepts:</w:t>
      </w:r>
      <w:r>
        <w:rPr>
          <w:rStyle w:val="eop"/>
          <w:rFonts w:ascii="Calibri" w:hAnsi="Calibri" w:cs="Calibri"/>
          <w:color w:val="4A4A4A"/>
          <w:sz w:val="21"/>
          <w:szCs w:val="21"/>
        </w:rPr>
        <w:t> </w:t>
      </w:r>
    </w:p>
    <w:p w14:paraId="5F70ED06" w14:textId="77777777" w:rsidR="00AB7635" w:rsidRDefault="00AB7635" w:rsidP="00A231F8">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Tourism direct gross value added (TDGVA) is the part of gross value added generated by tourism industries and other industries of the economy that directly serve visitors in response to internal tourism consumption</w:t>
      </w:r>
      <w:r>
        <w:rPr>
          <w:rStyle w:val="normaltextrun"/>
          <w:color w:val="4A4A4A"/>
          <w:sz w:val="21"/>
          <w:szCs w:val="21"/>
          <w:lang w:val="en-GB"/>
        </w:rPr>
        <w:t>.</w:t>
      </w:r>
      <w:r>
        <w:rPr>
          <w:rStyle w:val="eop"/>
          <w:color w:val="4A4A4A"/>
          <w:sz w:val="21"/>
          <w:szCs w:val="21"/>
        </w:rPr>
        <w:t> </w:t>
      </w:r>
    </w:p>
    <w:p w14:paraId="0A41EE87" w14:textId="77777777" w:rsidR="00AB7635" w:rsidRDefault="00AB7635" w:rsidP="00AB7635">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E686160" w14:textId="20F3340D" w:rsidR="00AB7635" w:rsidRDefault="00AB7635" w:rsidP="00A231F8">
      <w:pPr>
        <w:pStyle w:val="paragraph"/>
        <w:shd w:val="clear" w:color="auto" w:fill="FFFFFF"/>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color w:val="4A4A4A"/>
          <w:sz w:val="21"/>
          <w:szCs w:val="21"/>
        </w:rPr>
        <w:t xml:space="preserve">Gross Domestic Product (GDP): It is the main measure of national output, representing the total value of all final goods and services within the System of National Accounts (SNA) production boundary produced in a particular economy (that is, the dollar value of all goods and services within the SNA production boundary produced within a country’s </w:t>
      </w:r>
      <w:r w:rsidRPr="00B11167">
        <w:rPr>
          <w:rStyle w:val="normaltextrun"/>
          <w:rFonts w:ascii="Calibri" w:hAnsi="Calibri" w:cs="Calibri"/>
          <w:color w:val="4A4A4A"/>
          <w:sz w:val="21"/>
          <w:szCs w:val="21"/>
        </w:rPr>
        <w:t>borders</w:t>
      </w:r>
      <w:r w:rsidR="009B34A3" w:rsidRPr="00B11167">
        <w:rPr>
          <w:rStyle w:val="normaltextrun"/>
          <w:rFonts w:ascii="Calibri" w:hAnsi="Calibri" w:cs="Calibri"/>
          <w:color w:val="4A4A4A"/>
          <w:sz w:val="21"/>
          <w:szCs w:val="21"/>
        </w:rPr>
        <w:t xml:space="preserve"> </w:t>
      </w:r>
      <w:r w:rsidRPr="00A231F8">
        <w:rPr>
          <w:rStyle w:val="normaltextrun"/>
          <w:rFonts w:ascii="Calibri" w:hAnsi="Calibri" w:cs="Calibri"/>
          <w:color w:val="4A4A4A"/>
          <w:sz w:val="21"/>
          <w:szCs w:val="21"/>
        </w:rPr>
        <w:t>in a given year</w:t>
      </w:r>
      <w:r>
        <w:rPr>
          <w:rStyle w:val="normaltextrun"/>
          <w:rFonts w:ascii="Calibri" w:hAnsi="Calibri" w:cs="Calibri"/>
          <w:color w:val="4A4A4A"/>
          <w:sz w:val="21"/>
          <w:szCs w:val="21"/>
        </w:rPr>
        <w:t>). According to the SNA, “GDP is the sum of gross value added of all resident producer units plus that part (possibly the total) of taxes on products, less subsidies on products, that is not included in the valuation of output</w:t>
      </w:r>
      <w:r w:rsidR="00B83A65">
        <w:rPr>
          <w:rStyle w:val="normaltextrun"/>
          <w:rFonts w:ascii="Calibri" w:hAnsi="Calibri" w:cs="Calibri"/>
          <w:color w:val="4A4A4A"/>
          <w:sz w:val="21"/>
          <w:szCs w:val="21"/>
        </w:rPr>
        <w:t>.</w:t>
      </w:r>
      <w:r>
        <w:rPr>
          <w:rStyle w:val="normaltextrun"/>
          <w:rFonts w:ascii="Calibri" w:hAnsi="Calibri" w:cs="Calibri"/>
          <w:color w:val="4A4A4A"/>
          <w:sz w:val="21"/>
          <w:szCs w:val="21"/>
        </w:rPr>
        <w:t xml:space="preserve"> GDP is also equal to the sum of the final uses of goods and services (all uses except intermediate consumption) measured at purchasers’ prices, less the value of imports of goods and services</w:t>
      </w:r>
      <w:r w:rsidR="00B83A65">
        <w:rPr>
          <w:rStyle w:val="normaltextrun"/>
          <w:rFonts w:ascii="Calibri" w:hAnsi="Calibri" w:cs="Calibri"/>
          <w:color w:val="4A4A4A"/>
          <w:sz w:val="21"/>
          <w:szCs w:val="21"/>
        </w:rPr>
        <w:t>.</w:t>
      </w:r>
      <w:r>
        <w:rPr>
          <w:rStyle w:val="normaltextrun"/>
          <w:rFonts w:ascii="Calibri" w:hAnsi="Calibri" w:cs="Calibri"/>
          <w:color w:val="4A4A4A"/>
          <w:sz w:val="21"/>
          <w:szCs w:val="21"/>
        </w:rPr>
        <w:t xml:space="preserve"> GDP is also equal to the sum of primary incomes distributed by resident producer units.”</w:t>
      </w:r>
      <w:r>
        <w:rPr>
          <w:rStyle w:val="eop"/>
          <w:rFonts w:ascii="Calibri" w:hAnsi="Calibri" w:cs="Calibri"/>
          <w:color w:val="4A4A4A"/>
          <w:sz w:val="21"/>
          <w:szCs w:val="21"/>
        </w:rPr>
        <w:t> </w:t>
      </w:r>
    </w:p>
    <w:p w14:paraId="6E54D3D6" w14:textId="4E105E99" w:rsidR="00EC2915" w:rsidRPr="00A96255" w:rsidRDefault="00EC2915" w:rsidP="00C41D70">
      <w:pPr>
        <w:pStyle w:val="paragraph"/>
        <w:shd w:val="clear" w:color="auto" w:fill="FFFFFF"/>
        <w:spacing w:before="0" w:beforeAutospacing="0" w:after="0" w:afterAutospacing="0"/>
        <w:textAlignment w:val="baseline"/>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2D209909" w:rsidR="00576CFA" w:rsidRPr="00A96255" w:rsidRDefault="002C0D8F" w:rsidP="00576CFA">
      <w:pPr>
        <w:pStyle w:val="MText"/>
      </w:pPr>
      <w:r>
        <w:t>Percent</w:t>
      </w:r>
      <w:r w:rsidR="00085706">
        <w:t xml:space="preserve">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F154D13" w14:textId="569BBE97" w:rsidR="00AB7635" w:rsidRDefault="002C0D8F">
      <w:pPr>
        <w:pStyle w:val="MText"/>
      </w:pPr>
      <w:r>
        <w:t xml:space="preserve">The methodology for the calculation of Tourism Direct GDP is in line with the </w:t>
      </w:r>
      <w:hyperlink r:id="rId11" w:history="1">
        <w:r w:rsidRPr="002C0D8F">
          <w:rPr>
            <w:rStyle w:val="Hyperlink"/>
          </w:rPr>
          <w:t>Tourism Satellite Account: Recommended Methodological Framework (TSA:RMF 2008)</w:t>
        </w:r>
      </w:hyperlink>
      <w:r w:rsidR="00642B8B">
        <w:t xml:space="preserve"> and</w:t>
      </w:r>
      <w:r w:rsidR="00486360">
        <w:t xml:space="preserve"> the </w:t>
      </w:r>
      <w:r w:rsidR="007875BC">
        <w:t xml:space="preserve">International Recommendations for Tourism Statistics 2008 (IRTS 2008) which defines the </w:t>
      </w:r>
      <w:r w:rsidR="00CF4F6F">
        <w:t xml:space="preserve">tourism characteristic industries (i.e. </w:t>
      </w:r>
      <w:r w:rsidR="007875BC">
        <w:t>tourism industries</w:t>
      </w:r>
      <w:r w:rsidR="00CF4F6F">
        <w:t>)</w:t>
      </w:r>
      <w:r w:rsidR="005B1FA8">
        <w:t xml:space="preserve"> and provides a list of tourism industries for international comparability purposes based on the </w:t>
      </w:r>
      <w:r w:rsidR="00515934">
        <w:t>International Standard Industrial Classification of All Economic Activities</w:t>
      </w:r>
      <w:r w:rsidR="00D944E8">
        <w:t xml:space="preserve"> (</w:t>
      </w:r>
      <w:r w:rsidR="005B1FA8">
        <w:t>ISIC</w:t>
      </w:r>
      <w:r w:rsidR="00996032">
        <w:t xml:space="preserve"> Rev</w:t>
      </w:r>
      <w:r w:rsidR="00D944E8">
        <w:t>. 4)</w:t>
      </w:r>
    </w:p>
    <w:p w14:paraId="123172F4" w14:textId="4A438C78" w:rsidR="00F719A8" w:rsidRPr="00A96255" w:rsidRDefault="00F719A8" w:rsidP="00576CFA">
      <w:pPr>
        <w:pStyle w:val="MText"/>
      </w:pPr>
    </w:p>
    <w:p w14:paraId="4DCC21FD" w14:textId="29433142" w:rsidR="00AB7635" w:rsidRPr="00F719A8" w:rsidRDefault="00B31E2C" w:rsidP="00791A85">
      <w:pPr>
        <w:pStyle w:val="MHeader"/>
      </w:pPr>
      <w:r w:rsidRPr="00F719A8">
        <w:t xml:space="preserve">3. Data source type and data collection method </w:t>
      </w:r>
      <w:r>
        <w:rPr>
          <w:color w:val="B4B4B4"/>
          <w:sz w:val="20"/>
        </w:rPr>
        <w:t>(SRC_TYPE_COLL_METHOD)</w:t>
      </w:r>
    </w:p>
    <w:p w14:paraId="340B050E" w14:textId="2DF9B3B5" w:rsidR="008B0AC7" w:rsidRPr="00A96255" w:rsidRDefault="008B0AC7" w:rsidP="00F719A8">
      <w:pPr>
        <w:pStyle w:val="MHeader2"/>
      </w:pPr>
      <w:r w:rsidRPr="00A96255">
        <w:t xml:space="preserve">3.a. Data sources </w:t>
      </w:r>
      <w:r>
        <w:rPr>
          <w:color w:val="B4B4B4"/>
          <w:sz w:val="20"/>
        </w:rPr>
        <w:t>(SOURCE_TYPE)</w:t>
      </w:r>
    </w:p>
    <w:p w14:paraId="32AE12B0" w14:textId="67FF29AB" w:rsidR="00AB7635" w:rsidRDefault="00AB7635" w:rsidP="00A231F8">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rPr>
        <w:t>The indicator is sourced from countries’ Tourism Satellite Account</w:t>
      </w:r>
      <w:r w:rsidR="009E7548">
        <w:rPr>
          <w:rStyle w:val="normaltextrun"/>
          <w:rFonts w:ascii="Calibri" w:hAnsi="Calibri" w:cs="Calibri"/>
          <w:color w:val="4A4A4A"/>
          <w:sz w:val="21"/>
          <w:szCs w:val="21"/>
        </w:rPr>
        <w:t xml:space="preserve"> (TSA)</w:t>
      </w:r>
      <w:r>
        <w:rPr>
          <w:rStyle w:val="normaltextrun"/>
          <w:rFonts w:ascii="Calibri" w:hAnsi="Calibri" w:cs="Calibri"/>
          <w:color w:val="4A4A4A"/>
          <w:sz w:val="21"/>
          <w:szCs w:val="21"/>
        </w:rPr>
        <w:t>, which is a</w:t>
      </w:r>
      <w:r>
        <w:rPr>
          <w:rStyle w:val="normaltextrun"/>
          <w:color w:val="4A4A4A"/>
          <w:sz w:val="21"/>
          <w:szCs w:val="21"/>
        </w:rPr>
        <w:t> </w:t>
      </w:r>
      <w:r>
        <w:rPr>
          <w:rStyle w:val="normaltextrun"/>
          <w:rFonts w:ascii="Calibri" w:hAnsi="Calibri" w:cs="Calibri"/>
          <w:color w:val="4A4A4A"/>
          <w:sz w:val="21"/>
          <w:szCs w:val="21"/>
        </w:rPr>
        <w:t>satellite account to the National Accounts. </w:t>
      </w:r>
      <w:r>
        <w:rPr>
          <w:rStyle w:val="eop"/>
          <w:rFonts w:ascii="Calibri" w:hAnsi="Calibri" w:cs="Calibri"/>
          <w:color w:val="4A4A4A"/>
          <w:sz w:val="21"/>
          <w:szCs w:val="21"/>
        </w:rPr>
        <w:t>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57FDC2AC" w:rsidR="00576CFA" w:rsidRPr="00A96255" w:rsidRDefault="00AB7635" w:rsidP="00576CFA">
      <w:pPr>
        <w:pStyle w:val="MText"/>
      </w:pPr>
      <w:r>
        <w:rPr>
          <w:rStyle w:val="normaltextrun"/>
          <w:rFonts w:ascii="Calibri" w:hAnsi="Calibri" w:cs="Calibri"/>
          <w:color w:val="494949"/>
          <w:shd w:val="clear" w:color="auto" w:fill="FFFFFF"/>
        </w:rPr>
        <w:t xml:space="preserve">UNWTO sends a pre-filled </w:t>
      </w:r>
      <w:r w:rsidR="002C0D8F">
        <w:rPr>
          <w:rStyle w:val="normaltextrun"/>
          <w:rFonts w:ascii="Calibri" w:hAnsi="Calibri" w:cs="Calibri"/>
          <w:color w:val="494949"/>
          <w:shd w:val="clear" w:color="auto" w:fill="FFFFFF"/>
        </w:rPr>
        <w:t xml:space="preserve">excel </w:t>
      </w:r>
      <w:r>
        <w:rPr>
          <w:rStyle w:val="normaltextrun"/>
          <w:rFonts w:ascii="Calibri" w:hAnsi="Calibri" w:cs="Calibri"/>
          <w:color w:val="494949"/>
          <w:shd w:val="clear" w:color="auto" w:fill="FFFFFF"/>
        </w:rPr>
        <w:t>questionnaire (including data from official publications</w:t>
      </w:r>
      <w:r>
        <w:rPr>
          <w:rStyle w:val="normaltextrun"/>
          <w:rFonts w:ascii="Calibri" w:hAnsi="Calibri" w:cs="Calibri"/>
          <w:color w:val="000000"/>
          <w:shd w:val="clear" w:color="auto" w:fill="FFFFFF"/>
        </w:rPr>
        <w:t> </w:t>
      </w:r>
      <w:r>
        <w:rPr>
          <w:rStyle w:val="normaltextrun"/>
          <w:rFonts w:ascii="Calibri" w:hAnsi="Calibri" w:cs="Calibri"/>
          <w:color w:val="494949"/>
          <w:shd w:val="clear" w:color="auto" w:fill="FFFFFF"/>
        </w:rPr>
        <w:t>and official </w:t>
      </w:r>
      <w:r w:rsidR="00582914">
        <w:rPr>
          <w:rStyle w:val="normaltextrun"/>
          <w:rFonts w:ascii="Calibri" w:hAnsi="Calibri" w:cs="Calibri"/>
          <w:color w:val="494949"/>
          <w:shd w:val="clear" w:color="auto" w:fill="FFFFFF"/>
        </w:rPr>
        <w:t>websites</w:t>
      </w:r>
      <w:r>
        <w:rPr>
          <w:rStyle w:val="normaltextrun"/>
          <w:rFonts w:ascii="Calibri" w:hAnsi="Calibri" w:cs="Calibri"/>
          <w:color w:val="494949"/>
          <w:shd w:val="clear" w:color="auto" w:fill="FFFFFF"/>
        </w:rPr>
        <w:t xml:space="preserve">) to countries to collect the latest data on TDGDP. </w:t>
      </w:r>
      <w:r w:rsidR="00595580">
        <w:rPr>
          <w:rStyle w:val="normaltextrun"/>
          <w:rFonts w:ascii="Calibri" w:hAnsi="Calibri" w:cs="Calibri"/>
          <w:color w:val="494949"/>
          <w:shd w:val="clear" w:color="auto" w:fill="FFFFFF"/>
        </w:rPr>
        <w:t>To</w:t>
      </w:r>
      <w:r>
        <w:rPr>
          <w:rStyle w:val="normaltextrun"/>
          <w:rFonts w:ascii="Calibri" w:hAnsi="Calibri" w:cs="Calibri"/>
          <w:color w:val="494949"/>
          <w:shd w:val="clear" w:color="auto" w:fill="FFFFFF"/>
        </w:rPr>
        <w:t xml:space="preserve"> lighten the reporting burden o</w:t>
      </w:r>
      <w:r w:rsidR="00595580">
        <w:rPr>
          <w:rStyle w:val="normaltextrun"/>
          <w:rFonts w:ascii="Calibri" w:hAnsi="Calibri" w:cs="Calibri"/>
          <w:color w:val="494949"/>
          <w:shd w:val="clear" w:color="auto" w:fill="FFFFFF"/>
        </w:rPr>
        <w:t>n</w:t>
      </w:r>
      <w:r>
        <w:rPr>
          <w:rStyle w:val="normaltextrun"/>
          <w:rFonts w:ascii="Calibri" w:hAnsi="Calibri" w:cs="Calibri"/>
          <w:color w:val="494949"/>
          <w:shd w:val="clear" w:color="auto" w:fill="FFFFFF"/>
        </w:rPr>
        <w:t xml:space="preserve"> countries, UNWTO </w:t>
      </w:r>
      <w:r w:rsidR="00595580">
        <w:rPr>
          <w:rStyle w:val="normaltextrun"/>
          <w:rFonts w:ascii="Calibri" w:hAnsi="Calibri" w:cs="Calibri"/>
          <w:color w:val="494949"/>
          <w:shd w:val="clear" w:color="auto" w:fill="FFFFFF"/>
        </w:rPr>
        <w:t>cooperates with the Organisation for Economic Co-operation and Development (OECD)</w:t>
      </w:r>
      <w:r w:rsidR="00C00171">
        <w:rPr>
          <w:rStyle w:val="normaltextrun"/>
          <w:rFonts w:ascii="Calibri" w:hAnsi="Calibri" w:cs="Calibri"/>
          <w:color w:val="494949"/>
          <w:shd w:val="clear" w:color="auto" w:fill="FFFFFF"/>
        </w:rPr>
        <w:t xml:space="preserve"> which</w:t>
      </w:r>
      <w:r w:rsidR="009A2AD1">
        <w:rPr>
          <w:rStyle w:val="normaltextrun"/>
          <w:rFonts w:ascii="Calibri" w:hAnsi="Calibri" w:cs="Calibri"/>
          <w:color w:val="494949"/>
          <w:shd w:val="clear" w:color="auto" w:fill="FFFFFF"/>
        </w:rPr>
        <w:t xml:space="preserve"> provides to UNWTO the</w:t>
      </w:r>
      <w:r>
        <w:rPr>
          <w:rStyle w:val="normaltextrun"/>
          <w:rFonts w:ascii="Calibri" w:hAnsi="Calibri" w:cs="Calibri"/>
          <w:color w:val="494949"/>
          <w:shd w:val="clear" w:color="auto" w:fill="FFFFFF"/>
        </w:rPr>
        <w:t xml:space="preserve"> data </w:t>
      </w:r>
      <w:r w:rsidR="009A2AD1">
        <w:rPr>
          <w:rStyle w:val="normaltextrun"/>
          <w:rFonts w:ascii="Calibri" w:hAnsi="Calibri" w:cs="Calibri"/>
          <w:color w:val="494949"/>
          <w:shd w:val="clear" w:color="auto" w:fill="FFFFFF"/>
        </w:rPr>
        <w:t xml:space="preserve">collected </w:t>
      </w:r>
      <w:r>
        <w:rPr>
          <w:rStyle w:val="normaltextrun"/>
          <w:rFonts w:ascii="Calibri" w:hAnsi="Calibri" w:cs="Calibri"/>
          <w:color w:val="494949"/>
          <w:shd w:val="clear" w:color="auto" w:fill="FFFFFF"/>
        </w:rPr>
        <w:t xml:space="preserve">from its </w:t>
      </w:r>
      <w:r w:rsidR="009A2AD1">
        <w:rPr>
          <w:rStyle w:val="normaltextrun"/>
          <w:rFonts w:ascii="Calibri" w:hAnsi="Calibri" w:cs="Calibri"/>
          <w:color w:val="494949"/>
          <w:shd w:val="clear" w:color="auto" w:fill="FFFFFF"/>
        </w:rPr>
        <w:t>member and partner countries</w:t>
      </w:r>
      <w:r w:rsidR="000A58A8">
        <w:rPr>
          <w:rStyle w:val="FootnoteReference"/>
          <w:rFonts w:ascii="Calibri" w:hAnsi="Calibri" w:cs="Calibri"/>
          <w:color w:val="494949"/>
          <w:shd w:val="clear" w:color="auto" w:fill="FFFFFF"/>
        </w:rPr>
        <w:footnoteReference w:id="2"/>
      </w:r>
      <w:r>
        <w:rPr>
          <w:rStyle w:val="normaltextrun"/>
          <w:rFonts w:ascii="Calibri" w:hAnsi="Calibri" w:cs="Calibri"/>
          <w:color w:val="494949"/>
          <w:shd w:val="clear" w:color="auto" w:fill="FFFFFF"/>
        </w:rPr>
        <w:t>. </w:t>
      </w:r>
      <w:r w:rsidR="00F76AF8">
        <w:rPr>
          <w:rStyle w:val="normaltextrun"/>
          <w:rFonts w:ascii="Calibri" w:hAnsi="Calibri" w:cs="Calibri"/>
          <w:color w:val="494949"/>
          <w:shd w:val="clear" w:color="auto" w:fill="FFFFFF"/>
        </w:rPr>
        <w:t xml:space="preserve">UNWTO </w:t>
      </w:r>
      <w:r w:rsidR="00640C28">
        <w:rPr>
          <w:rStyle w:val="normaltextrun"/>
          <w:rFonts w:ascii="Calibri" w:hAnsi="Calibri" w:cs="Calibri"/>
          <w:color w:val="494949"/>
          <w:shd w:val="clear" w:color="auto" w:fill="FFFFFF"/>
        </w:rPr>
        <w:t xml:space="preserve">then integrates the data received from OECD with the data it collects directly from non-OECD countries. </w:t>
      </w:r>
      <w:r>
        <w:rPr>
          <w:rStyle w:val="normaltextrun"/>
          <w:rFonts w:ascii="Calibri" w:hAnsi="Calibri" w:cs="Calibri"/>
          <w:color w:val="494949"/>
          <w:shd w:val="clear" w:color="auto" w:fill="FFFFFF"/>
        </w:rPr>
        <w:t>This exercise is being carried out on a yearly basis</w:t>
      </w:r>
      <w:r w:rsidR="00595580">
        <w:rPr>
          <w:rStyle w:val="normaltextrun"/>
          <w:rFonts w:ascii="Calibri" w:hAnsi="Calibri" w:cs="Calibri"/>
          <w:color w:val="494949"/>
          <w:shd w:val="clear" w:color="auto" w:fill="FFFFFF"/>
        </w:rPr>
        <w:t xml:space="preserve"> since 2019</w:t>
      </w:r>
      <w:r>
        <w:rPr>
          <w:rStyle w:val="normaltextrun"/>
          <w:rFonts w:ascii="Calibri" w:hAnsi="Calibri" w:cs="Calibri"/>
          <w:color w:val="494949"/>
          <w:shd w:val="clear" w:color="auto" w:fill="FFFFFF"/>
        </w:rPr>
        <w:t>. </w:t>
      </w:r>
      <w:r>
        <w:rPr>
          <w:rStyle w:val="eop"/>
          <w:rFonts w:ascii="Calibri" w:hAnsi="Calibri" w:cs="Calibri"/>
          <w:color w:val="494949"/>
          <w:shd w:val="clear" w:color="auto" w:fill="FFFFFF"/>
        </w:rPr>
        <w:t> </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lastRenderedPageBreak/>
        <w:t xml:space="preserve">3.c. Data collection calendar </w:t>
      </w:r>
      <w:r>
        <w:rPr>
          <w:color w:val="B4B4B4"/>
          <w:sz w:val="20"/>
        </w:rPr>
        <w:t>(FREQ_COLL)</w:t>
      </w:r>
    </w:p>
    <w:p w14:paraId="0B058B14" w14:textId="63BC72EB" w:rsidR="00AB7635" w:rsidRDefault="002C0D8F" w:rsidP="00576CFA">
      <w:pPr>
        <w:pStyle w:val="MText"/>
      </w:pPr>
      <w:r>
        <w:t xml:space="preserve">The questionnaire is sent out to countries in </w:t>
      </w:r>
      <w:r w:rsidR="00F23472">
        <w:t>September</w:t>
      </w:r>
      <w:r>
        <w:t xml:space="preserve"> and data collection is closed in </w:t>
      </w:r>
      <w:r w:rsidR="00F23472">
        <w:t>February</w:t>
      </w:r>
      <w:r>
        <w:t xml:space="preserve"> of the following year.</w:t>
      </w:r>
    </w:p>
    <w:p w14:paraId="08D7EA7E" w14:textId="77777777" w:rsidR="009A55F1" w:rsidRPr="00A96255" w:rsidRDefault="009A55F1"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7F16A1E5" w14:textId="43DEEFE7" w:rsidR="00AB7635" w:rsidRDefault="00F23472" w:rsidP="00576CFA">
      <w:pPr>
        <w:pStyle w:val="MText"/>
      </w:pPr>
      <w:r>
        <w:t xml:space="preserve">The data is </w:t>
      </w:r>
      <w:r w:rsidR="00D854F0">
        <w:t>released</w:t>
      </w:r>
      <w:r>
        <w:t xml:space="preserve"> twice a year</w:t>
      </w:r>
      <w:r w:rsidR="00D854F0">
        <w:t xml:space="preserve"> </w:t>
      </w:r>
      <w:r w:rsidR="00D854F0" w:rsidRPr="00D854F0">
        <w:t xml:space="preserve">in the </w:t>
      </w:r>
      <w:hyperlink r:id="rId12" w:history="1">
        <w:r w:rsidR="00D854F0" w:rsidRPr="00D854F0">
          <w:rPr>
            <w:rStyle w:val="Hyperlink"/>
          </w:rPr>
          <w:t>UNWTO’s Tourism Statistics Database</w:t>
        </w:r>
      </w:hyperlink>
      <w:r>
        <w:t xml:space="preserve">, the first update is done in November and the second in January </w:t>
      </w:r>
    </w:p>
    <w:p w14:paraId="369FDD4D" w14:textId="77777777" w:rsidR="00831511" w:rsidRPr="00A96255" w:rsidRDefault="00831511"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23F7DEAF" w:rsidR="00EC2915" w:rsidRPr="00C7583A" w:rsidRDefault="00504591" w:rsidP="00576CFA">
      <w:pPr>
        <w:pStyle w:val="MText"/>
        <w:rPr>
          <w:rStyle w:val="eop"/>
          <w:rFonts w:ascii="Calibri" w:hAnsi="Calibri" w:cs="Calibri"/>
          <w:color w:val="494949"/>
        </w:rPr>
      </w:pPr>
      <w:r>
        <w:rPr>
          <w:rStyle w:val="normaltextrun"/>
          <w:rFonts w:ascii="Calibri" w:hAnsi="Calibri" w:cs="Calibri"/>
          <w:color w:val="494949"/>
        </w:rPr>
        <w:t>Only</w:t>
      </w:r>
      <w:r w:rsidR="004A0A8A">
        <w:rPr>
          <w:rStyle w:val="normaltextrun"/>
          <w:rFonts w:ascii="Calibri" w:hAnsi="Calibri" w:cs="Calibri"/>
          <w:color w:val="494949"/>
        </w:rPr>
        <w:t xml:space="preserve"> official </w:t>
      </w:r>
      <w:r>
        <w:rPr>
          <w:rStyle w:val="normaltextrun"/>
          <w:rFonts w:ascii="Calibri" w:hAnsi="Calibri" w:cs="Calibri"/>
          <w:color w:val="494949"/>
        </w:rPr>
        <w:t xml:space="preserve">country </w:t>
      </w:r>
      <w:r w:rsidR="004A0A8A">
        <w:rPr>
          <w:rStyle w:val="normaltextrun"/>
          <w:rFonts w:ascii="Calibri" w:hAnsi="Calibri" w:cs="Calibri"/>
          <w:color w:val="494949"/>
        </w:rPr>
        <w:t>entities</w:t>
      </w:r>
      <w:r>
        <w:rPr>
          <w:rStyle w:val="normaltextrun"/>
          <w:rFonts w:ascii="Calibri" w:hAnsi="Calibri" w:cs="Calibri"/>
          <w:color w:val="494949"/>
        </w:rPr>
        <w:t xml:space="preserve">, usually </w:t>
      </w:r>
      <w:r w:rsidR="00AB7635" w:rsidRPr="00C7583A">
        <w:rPr>
          <w:rStyle w:val="normaltextrun"/>
          <w:rFonts w:ascii="Calibri" w:hAnsi="Calibri" w:cs="Calibri"/>
          <w:color w:val="494949"/>
        </w:rPr>
        <w:t>National Statistics Offices and/or National Tourism Administrations.</w:t>
      </w:r>
      <w:r w:rsidR="00AB7635" w:rsidRPr="00C7583A">
        <w:rPr>
          <w:rStyle w:val="eop"/>
          <w:rFonts w:ascii="Calibri" w:hAnsi="Calibri" w:cs="Calibri"/>
          <w:color w:val="494949"/>
        </w:rPr>
        <w:t> </w:t>
      </w:r>
    </w:p>
    <w:p w14:paraId="1624F082" w14:textId="77777777" w:rsidR="00AB7635" w:rsidRPr="00A96255" w:rsidRDefault="00AB763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7BB664A1" w:rsidR="00EC2915" w:rsidRDefault="00AB7635" w:rsidP="00576CFA">
      <w:pPr>
        <w:pStyle w:val="MText"/>
        <w:rPr>
          <w:rStyle w:val="eop"/>
          <w:rFonts w:ascii="Calibri" w:hAnsi="Calibri" w:cs="Calibri"/>
        </w:rPr>
      </w:pPr>
      <w:r>
        <w:rPr>
          <w:rStyle w:val="normaltextrun"/>
          <w:rFonts w:ascii="Calibri" w:hAnsi="Calibri" w:cs="Calibri"/>
        </w:rPr>
        <w:t>World Tourism Organization (UNWTO)</w:t>
      </w:r>
      <w:r>
        <w:rPr>
          <w:rStyle w:val="eop"/>
          <w:rFonts w:ascii="Calibri" w:hAnsi="Calibri" w:cs="Calibri"/>
        </w:rPr>
        <w:t> </w:t>
      </w:r>
    </w:p>
    <w:p w14:paraId="1EFD3636" w14:textId="77777777" w:rsidR="00AB7635" w:rsidRPr="00A96255" w:rsidRDefault="00AB7635" w:rsidP="00576CFA">
      <w:pPr>
        <w:pStyle w:val="MText"/>
      </w:pPr>
    </w:p>
    <w:p w14:paraId="5655E768" w14:textId="20761FD6" w:rsidR="00E46D96" w:rsidRPr="00A96255" w:rsidRDefault="00E46D96" w:rsidP="00F719A8">
      <w:pPr>
        <w:pStyle w:val="MHeader2"/>
      </w:pPr>
      <w:r w:rsidRPr="00A96255">
        <w:t xml:space="preserve">3.g. Institutional mandate </w:t>
      </w:r>
      <w:r>
        <w:rPr>
          <w:color w:val="B4B4B4"/>
          <w:sz w:val="20"/>
        </w:rPr>
        <w:t>(INST_MANDATE)</w:t>
      </w:r>
    </w:p>
    <w:p w14:paraId="0A41BDC1" w14:textId="77777777" w:rsidR="00380CE5" w:rsidRPr="00380CE5" w:rsidRDefault="00380CE5" w:rsidP="000A58A8">
      <w:pPr>
        <w:pStyle w:val="MText"/>
        <w:jc w:val="both"/>
      </w:pPr>
      <w:r w:rsidRPr="00380CE5">
        <w:t>As per the article 13 of the agreement between the United Nations and the World Tourism Organization: “the United Nations recognizes the World Tourism Organization as the appropriate organization to collect, to analyse, to publish, to standardize and to improve the statistics of tourism, and to promote the integration of these statistics within the sphere of the United Nations system.” The World Tourism Organization is the custodian agency for SDG indicator 8.9.1.</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56242322" w14:textId="541DA4ED" w:rsidR="00AB7635" w:rsidRDefault="00AB7635" w:rsidP="00A231F8">
      <w:pPr>
        <w:pStyle w:val="paragraph"/>
        <w:shd w:val="clear" w:color="auto" w:fill="FFFFFF"/>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color w:val="4A4A4A"/>
          <w:sz w:val="21"/>
          <w:szCs w:val="21"/>
        </w:rPr>
        <w:t>Target 8.9 has several dimensions</w:t>
      </w:r>
      <w:r w:rsidR="00054D88">
        <w:rPr>
          <w:rStyle w:val="normaltextrun"/>
          <w:rFonts w:ascii="Calibri" w:hAnsi="Calibri" w:cs="Calibri"/>
          <w:color w:val="4A4A4A"/>
          <w:sz w:val="21"/>
          <w:szCs w:val="21"/>
        </w:rPr>
        <w:t xml:space="preserve"> and</w:t>
      </w:r>
      <w:r>
        <w:rPr>
          <w:rStyle w:val="normaltextrun"/>
          <w:rFonts w:ascii="Calibri" w:hAnsi="Calibri" w:cs="Calibri"/>
          <w:color w:val="4A4A4A"/>
          <w:sz w:val="21"/>
          <w:szCs w:val="21"/>
        </w:rPr>
        <w:t xml:space="preserve"> </w:t>
      </w:r>
      <w:r w:rsidR="00560C6E">
        <w:rPr>
          <w:rStyle w:val="normaltextrun"/>
          <w:rFonts w:ascii="Calibri" w:hAnsi="Calibri" w:cs="Calibri"/>
          <w:color w:val="4A4A4A"/>
          <w:sz w:val="21"/>
          <w:szCs w:val="21"/>
        </w:rPr>
        <w:t xml:space="preserve">indicator 8.9.1 </w:t>
      </w:r>
      <w:r>
        <w:rPr>
          <w:rStyle w:val="normaltextrun"/>
          <w:rFonts w:ascii="Calibri" w:hAnsi="Calibri" w:cs="Calibri"/>
          <w:color w:val="4A4A4A"/>
          <w:sz w:val="21"/>
          <w:szCs w:val="21"/>
        </w:rPr>
        <w:t xml:space="preserve">caters to the </w:t>
      </w:r>
      <w:r w:rsidR="00CD24A9">
        <w:rPr>
          <w:rStyle w:val="normaltextrun"/>
          <w:rFonts w:ascii="Calibri" w:hAnsi="Calibri" w:cs="Calibri"/>
          <w:color w:val="4A4A4A"/>
          <w:sz w:val="21"/>
          <w:szCs w:val="21"/>
        </w:rPr>
        <w:t>core</w:t>
      </w:r>
      <w:r w:rsidR="00054D88">
        <w:rPr>
          <w:rStyle w:val="normaltextrun"/>
          <w:rFonts w:ascii="Calibri" w:hAnsi="Calibri" w:cs="Calibri"/>
          <w:color w:val="4A4A4A"/>
          <w:sz w:val="21"/>
          <w:szCs w:val="21"/>
        </w:rPr>
        <w:t xml:space="preserve"> intention of the target</w:t>
      </w:r>
      <w:r>
        <w:rPr>
          <w:rStyle w:val="normaltextrun"/>
          <w:rFonts w:ascii="Calibri" w:hAnsi="Calibri" w:cs="Calibri"/>
          <w:color w:val="4A4A4A"/>
          <w:sz w:val="21"/>
          <w:szCs w:val="21"/>
        </w:rPr>
        <w:t> </w:t>
      </w:r>
      <w:r w:rsidR="00054D88">
        <w:rPr>
          <w:rStyle w:val="normaltextrun"/>
          <w:rFonts w:ascii="Calibri" w:hAnsi="Calibri" w:cs="Calibri"/>
          <w:color w:val="4A4A4A"/>
          <w:sz w:val="21"/>
          <w:szCs w:val="21"/>
        </w:rPr>
        <w:t>which calls</w:t>
      </w:r>
      <w:r w:rsidR="00DA3027">
        <w:rPr>
          <w:rStyle w:val="normaltextrun"/>
          <w:rFonts w:ascii="Calibri" w:hAnsi="Calibri" w:cs="Calibri"/>
          <w:color w:val="4A4A4A"/>
          <w:sz w:val="21"/>
          <w:szCs w:val="21"/>
        </w:rPr>
        <w:t xml:space="preserve"> to</w:t>
      </w:r>
      <w:r w:rsidR="00DE64B4" w:rsidDel="00DE64B4">
        <w:rPr>
          <w:rStyle w:val="normaltextrun"/>
          <w:rFonts w:ascii="Calibri" w:hAnsi="Calibri" w:cs="Calibri"/>
          <w:i/>
          <w:iCs/>
          <w:color w:val="4A4A4A"/>
          <w:sz w:val="21"/>
          <w:szCs w:val="21"/>
        </w:rPr>
        <w:t xml:space="preserve"> </w:t>
      </w:r>
      <w:r w:rsidR="00DA3027">
        <w:rPr>
          <w:rStyle w:val="normaltextrun"/>
          <w:rFonts w:ascii="Calibri" w:hAnsi="Calibri" w:cs="Calibri"/>
          <w:i/>
          <w:iCs/>
          <w:color w:val="4A4A4A"/>
          <w:sz w:val="21"/>
          <w:szCs w:val="21"/>
        </w:rPr>
        <w:t>“</w:t>
      </w:r>
      <w:r w:rsidRPr="00AC4F68">
        <w:rPr>
          <w:rStyle w:val="normaltextrun"/>
          <w:rFonts w:ascii="Calibri" w:hAnsi="Calibri" w:cs="Calibri"/>
          <w:i/>
          <w:iCs/>
          <w:color w:val="4A4A4A"/>
          <w:sz w:val="21"/>
          <w:szCs w:val="21"/>
        </w:rPr>
        <w:t>promote </w:t>
      </w:r>
      <w:r w:rsidR="00DE64B4" w:rsidRPr="00A231F8">
        <w:rPr>
          <w:rStyle w:val="normaltextrun"/>
          <w:rFonts w:ascii="Calibri" w:hAnsi="Calibri" w:cs="Calibri"/>
          <w:i/>
          <w:iCs/>
          <w:color w:val="4A4A4A"/>
          <w:sz w:val="21"/>
          <w:szCs w:val="21"/>
        </w:rPr>
        <w:t>sustainable</w:t>
      </w:r>
      <w:r w:rsidR="00DE64B4" w:rsidRPr="00A231F8">
        <w:rPr>
          <w:rStyle w:val="normaltextrun"/>
          <w:i/>
          <w:iCs/>
          <w:color w:val="4A4A4A"/>
          <w:sz w:val="21"/>
          <w:szCs w:val="21"/>
        </w:rPr>
        <w:t xml:space="preserve"> </w:t>
      </w:r>
      <w:r w:rsidRPr="00AC4F68">
        <w:rPr>
          <w:rStyle w:val="normaltextrun"/>
          <w:rFonts w:ascii="Calibri" w:hAnsi="Calibri" w:cs="Calibri"/>
          <w:i/>
          <w:iCs/>
          <w:color w:val="4A4A4A"/>
          <w:sz w:val="21"/>
          <w:szCs w:val="21"/>
        </w:rPr>
        <w:t>tourism</w:t>
      </w:r>
      <w:r w:rsidR="00DA3027" w:rsidRPr="00A231F8">
        <w:rPr>
          <w:rStyle w:val="normaltextrun"/>
          <w:rFonts w:ascii="Calibri" w:hAnsi="Calibri" w:cs="Calibri"/>
          <w:color w:val="4A4A4A"/>
          <w:sz w:val="21"/>
          <w:szCs w:val="21"/>
        </w:rPr>
        <w:t>”</w:t>
      </w:r>
      <w:r w:rsidRPr="00A231F8">
        <w:rPr>
          <w:rStyle w:val="normaltextrun"/>
          <w:rFonts w:ascii="Calibri" w:hAnsi="Calibri" w:cs="Calibri"/>
          <w:color w:val="4A4A4A"/>
          <w:sz w:val="21"/>
          <w:szCs w:val="21"/>
        </w:rPr>
        <w:t>. </w:t>
      </w:r>
      <w:r w:rsidR="00743705" w:rsidRPr="00A231F8">
        <w:rPr>
          <w:rStyle w:val="normaltextrun"/>
          <w:rFonts w:ascii="Calibri" w:hAnsi="Calibri" w:cs="Calibri"/>
          <w:color w:val="4A4A4A"/>
          <w:sz w:val="21"/>
          <w:szCs w:val="21"/>
        </w:rPr>
        <w:t>While sustainable tourism is multidimensional in itself (with economic, social and environmental aspects),</w:t>
      </w:r>
      <w:r w:rsidR="00743705">
        <w:rPr>
          <w:rStyle w:val="normaltextrun"/>
          <w:color w:val="4A4A4A"/>
          <w:sz w:val="21"/>
          <w:szCs w:val="21"/>
        </w:rPr>
        <w:t xml:space="preserve"> t</w:t>
      </w:r>
      <w:r>
        <w:rPr>
          <w:rStyle w:val="normaltextrun"/>
          <w:rFonts w:ascii="Calibri" w:hAnsi="Calibri" w:cs="Calibri"/>
          <w:color w:val="4A4A4A"/>
          <w:sz w:val="21"/>
          <w:szCs w:val="21"/>
        </w:rPr>
        <w:t>he economic contribution of tourism captured by this indicator, and (relative) increases or</w:t>
      </w:r>
      <w:r>
        <w:rPr>
          <w:rStyle w:val="normaltextrun"/>
          <w:color w:val="4A4A4A"/>
          <w:sz w:val="21"/>
          <w:szCs w:val="21"/>
        </w:rPr>
        <w:t> </w:t>
      </w:r>
      <w:r>
        <w:rPr>
          <w:rStyle w:val="normaltextrun"/>
          <w:rFonts w:ascii="Calibri" w:hAnsi="Calibri" w:cs="Calibri"/>
          <w:color w:val="4A4A4A"/>
          <w:sz w:val="21"/>
          <w:szCs w:val="21"/>
        </w:rPr>
        <w:t>decreases in it, indicate</w:t>
      </w:r>
      <w:r w:rsidR="00AA2763">
        <w:rPr>
          <w:rStyle w:val="normaltextrun"/>
          <w:rFonts w:ascii="Calibri" w:hAnsi="Calibri" w:cs="Calibri"/>
          <w:color w:val="4A4A4A"/>
          <w:sz w:val="21"/>
          <w:szCs w:val="21"/>
        </w:rPr>
        <w:t>s</w:t>
      </w:r>
      <w:r>
        <w:rPr>
          <w:rStyle w:val="normaltextrun"/>
          <w:rFonts w:ascii="Calibri" w:hAnsi="Calibri" w:cs="Calibri"/>
          <w:color w:val="4A4A4A"/>
          <w:sz w:val="21"/>
          <w:szCs w:val="21"/>
        </w:rPr>
        <w:t xml:space="preserve"> the degree to which tourism is being successfully promoted.</w:t>
      </w:r>
      <w:r>
        <w:rPr>
          <w:rStyle w:val="eop"/>
          <w:rFonts w:ascii="Calibri" w:hAnsi="Calibri" w:cs="Calibri"/>
          <w:color w:val="4A4A4A"/>
          <w:sz w:val="21"/>
          <w:szCs w:val="21"/>
        </w:rPr>
        <w:t> </w:t>
      </w:r>
      <w:r w:rsidR="00241440">
        <w:rPr>
          <w:rStyle w:val="eop"/>
          <w:rFonts w:ascii="Calibri" w:hAnsi="Calibri" w:cs="Calibri"/>
          <w:color w:val="4A4A4A"/>
          <w:sz w:val="21"/>
          <w:szCs w:val="21"/>
        </w:rPr>
        <w:t xml:space="preserve">Ideally, this indicator needs to be complemented with additional indicators on the social (e.g. employment, etc.) and environmental (energy use, GHG emissions, etc.) </w:t>
      </w:r>
      <w:r w:rsidR="002B3470">
        <w:rPr>
          <w:rStyle w:val="eop"/>
          <w:rFonts w:ascii="Calibri" w:hAnsi="Calibri" w:cs="Calibri"/>
          <w:color w:val="4A4A4A"/>
          <w:sz w:val="21"/>
          <w:szCs w:val="21"/>
        </w:rPr>
        <w:t>aspects of tourism that can be</w:t>
      </w:r>
      <w:r w:rsidR="00241440">
        <w:rPr>
          <w:rStyle w:val="eop"/>
          <w:rFonts w:ascii="Calibri" w:hAnsi="Calibri" w:cs="Calibri"/>
          <w:color w:val="4A4A4A"/>
          <w:sz w:val="21"/>
          <w:szCs w:val="21"/>
        </w:rPr>
        <w:t xml:space="preserve"> disaggregated </w:t>
      </w:r>
      <w:r w:rsidR="002B3470">
        <w:rPr>
          <w:rStyle w:val="eop"/>
          <w:rFonts w:ascii="Calibri" w:hAnsi="Calibri" w:cs="Calibri"/>
          <w:color w:val="4A4A4A"/>
          <w:sz w:val="21"/>
          <w:szCs w:val="21"/>
        </w:rPr>
        <w:t>to provide</w:t>
      </w:r>
      <w:r w:rsidR="00B9795D">
        <w:rPr>
          <w:rStyle w:val="eop"/>
          <w:rFonts w:ascii="Calibri" w:hAnsi="Calibri" w:cs="Calibri"/>
          <w:color w:val="4A4A4A"/>
          <w:sz w:val="21"/>
          <w:szCs w:val="21"/>
        </w:rPr>
        <w:t xml:space="preserve"> a more complete picture of the promotion of sustainable tourism and thus the monitoring of this target.</w:t>
      </w:r>
      <w:r w:rsidR="00241440">
        <w:rPr>
          <w:rStyle w:val="eop"/>
          <w:rFonts w:ascii="Calibri" w:hAnsi="Calibri" w:cs="Calibri"/>
          <w:color w:val="4A4A4A"/>
          <w:sz w:val="21"/>
          <w:szCs w:val="21"/>
        </w:rPr>
        <w:t xml:space="preserve"> </w:t>
      </w:r>
    </w:p>
    <w:p w14:paraId="3CEE270B" w14:textId="77777777" w:rsidR="00B16A47" w:rsidRDefault="00B16A47">
      <w:pPr>
        <w:pStyle w:val="paragraph"/>
        <w:shd w:val="clear" w:color="auto" w:fill="FFFFFF"/>
        <w:spacing w:before="0" w:beforeAutospacing="0" w:after="0" w:afterAutospacing="0" w:line="276" w:lineRule="auto"/>
        <w:jc w:val="both"/>
        <w:textAlignment w:val="baseline"/>
        <w:rPr>
          <w:rStyle w:val="normaltextrun"/>
          <w:rFonts w:ascii="Calibri" w:hAnsi="Calibri" w:cs="Calibri"/>
          <w:color w:val="4A4A4A"/>
          <w:sz w:val="21"/>
          <w:szCs w:val="21"/>
        </w:rPr>
      </w:pPr>
    </w:p>
    <w:p w14:paraId="4364A4B2" w14:textId="7D7F7233" w:rsidR="00AB7635" w:rsidRDefault="00AB7635" w:rsidP="00A231F8">
      <w:pPr>
        <w:pStyle w:val="paragraph"/>
        <w:shd w:val="clear" w:color="auto" w:fill="FFFFFF"/>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color w:val="4A4A4A"/>
          <w:sz w:val="21"/>
          <w:szCs w:val="21"/>
        </w:rPr>
        <w:t xml:space="preserve">This indicator is useful for policy on tourism at </w:t>
      </w:r>
      <w:r w:rsidR="001F69EC">
        <w:rPr>
          <w:rStyle w:val="normaltextrun"/>
          <w:rFonts w:ascii="Calibri" w:hAnsi="Calibri" w:cs="Calibri"/>
          <w:color w:val="4A4A4A"/>
          <w:sz w:val="21"/>
          <w:szCs w:val="21"/>
        </w:rPr>
        <w:t xml:space="preserve">international, </w:t>
      </w:r>
      <w:r>
        <w:rPr>
          <w:rStyle w:val="normaltextrun"/>
          <w:rFonts w:ascii="Calibri" w:hAnsi="Calibri" w:cs="Calibri"/>
          <w:color w:val="4A4A4A"/>
          <w:sz w:val="21"/>
          <w:szCs w:val="21"/>
        </w:rPr>
        <w:t xml:space="preserve">national level and the level of sub-national regions as it </w:t>
      </w:r>
      <w:r w:rsidR="00C43987">
        <w:rPr>
          <w:rStyle w:val="normaltextrun"/>
          <w:rFonts w:ascii="Calibri" w:hAnsi="Calibri" w:cs="Calibri"/>
          <w:color w:val="4A4A4A"/>
          <w:sz w:val="21"/>
          <w:szCs w:val="21"/>
        </w:rPr>
        <w:t>provides</w:t>
      </w:r>
      <w:r>
        <w:rPr>
          <w:rStyle w:val="normaltextrun"/>
          <w:rFonts w:ascii="Calibri" w:hAnsi="Calibri" w:cs="Calibri"/>
          <w:color w:val="4A4A4A"/>
          <w:sz w:val="21"/>
          <w:szCs w:val="21"/>
        </w:rPr>
        <w:t xml:space="preserve"> </w:t>
      </w:r>
      <w:r w:rsidR="001F6354">
        <w:rPr>
          <w:rStyle w:val="normaltextrun"/>
          <w:rFonts w:ascii="Calibri" w:hAnsi="Calibri" w:cs="Calibri"/>
          <w:color w:val="4A4A4A"/>
          <w:sz w:val="21"/>
          <w:szCs w:val="21"/>
        </w:rPr>
        <w:t>a </w:t>
      </w:r>
      <w:r>
        <w:rPr>
          <w:rStyle w:val="normaltextrun"/>
          <w:rFonts w:ascii="Calibri" w:hAnsi="Calibri" w:cs="Calibri"/>
          <w:color w:val="4A4A4A"/>
          <w:sz w:val="21"/>
          <w:szCs w:val="21"/>
        </w:rPr>
        <w:t>measure of the economic contribution of tourism </w:t>
      </w:r>
      <w:r w:rsidR="001F69EC">
        <w:rPr>
          <w:rStyle w:val="normaltextrun"/>
          <w:rFonts w:ascii="Calibri" w:hAnsi="Calibri" w:cs="Calibri"/>
          <w:color w:val="4A4A4A"/>
          <w:sz w:val="21"/>
          <w:szCs w:val="21"/>
        </w:rPr>
        <w:t>which can be compared over time, across countries, to total GDP and to the GDP contributions of</w:t>
      </w:r>
      <w:r w:rsidR="001F69EC">
        <w:rPr>
          <w:rStyle w:val="normaltextrun"/>
          <w:color w:val="4A4A4A"/>
          <w:sz w:val="21"/>
          <w:szCs w:val="21"/>
        </w:rPr>
        <w:t> </w:t>
      </w:r>
      <w:r w:rsidR="001F69EC">
        <w:rPr>
          <w:rStyle w:val="normaltextrun"/>
          <w:rFonts w:ascii="Calibri" w:hAnsi="Calibri" w:cs="Calibri"/>
          <w:color w:val="4A4A4A"/>
          <w:sz w:val="21"/>
          <w:szCs w:val="21"/>
        </w:rPr>
        <w:t>other economic activities. Tourism Direct GDP includes the contributions from</w:t>
      </w:r>
      <w:r>
        <w:rPr>
          <w:rStyle w:val="normaltextrun"/>
          <w:rFonts w:ascii="Calibri" w:hAnsi="Calibri" w:cs="Calibri"/>
          <w:color w:val="4A4A4A"/>
          <w:sz w:val="21"/>
          <w:szCs w:val="21"/>
        </w:rPr>
        <w:t xml:space="preserve"> all forms of tourism</w:t>
      </w:r>
      <w:r w:rsidR="001F69EC">
        <w:rPr>
          <w:rStyle w:val="normaltextrun"/>
          <w:rFonts w:ascii="Calibri" w:hAnsi="Calibri" w:cs="Calibri"/>
          <w:color w:val="4A4A4A"/>
          <w:sz w:val="21"/>
          <w:szCs w:val="21"/>
        </w:rPr>
        <w:t>—</w:t>
      </w:r>
      <w:r w:rsidR="001F6354">
        <w:rPr>
          <w:rStyle w:val="normaltextrun"/>
          <w:rFonts w:ascii="Calibri" w:hAnsi="Calibri" w:cs="Calibri"/>
          <w:color w:val="4A4A4A"/>
          <w:sz w:val="21"/>
          <w:szCs w:val="21"/>
        </w:rPr>
        <w:t>inbound tourism, domestic tourism and outbound tourism</w:t>
      </w:r>
      <w:r w:rsidR="001F69EC">
        <w:rPr>
          <w:rStyle w:val="normaltextrun"/>
          <w:rFonts w:ascii="Calibri" w:hAnsi="Calibri" w:cs="Calibri"/>
          <w:color w:val="4A4A4A"/>
          <w:sz w:val="21"/>
          <w:szCs w:val="21"/>
        </w:rPr>
        <w:t>—in line with the</w:t>
      </w:r>
      <w:r>
        <w:rPr>
          <w:rStyle w:val="normaltextrun"/>
          <w:rFonts w:ascii="Calibri" w:hAnsi="Calibri" w:cs="Calibri"/>
          <w:color w:val="4A4A4A"/>
          <w:sz w:val="21"/>
          <w:szCs w:val="21"/>
        </w:rPr>
        <w:t xml:space="preserve"> International Recommendations for Tourism Statistics 2008</w:t>
      </w:r>
      <w:r w:rsidR="001F6354">
        <w:rPr>
          <w:rStyle w:val="normaltextrun"/>
          <w:rFonts w:ascii="Calibri" w:hAnsi="Calibri" w:cs="Calibri"/>
          <w:color w:val="4A4A4A"/>
          <w:sz w:val="21"/>
          <w:szCs w:val="21"/>
        </w:rPr>
        <w:t xml:space="preserve"> (IRTS 2008</w:t>
      </w:r>
      <w:r>
        <w:rPr>
          <w:rStyle w:val="normaltextrun"/>
          <w:rFonts w:ascii="Calibri" w:hAnsi="Calibri" w:cs="Calibri"/>
          <w:color w:val="4A4A4A"/>
          <w:sz w:val="21"/>
          <w:szCs w:val="21"/>
        </w:rPr>
        <w:t xml:space="preserve">). The indicator has been found especially useful in </w:t>
      </w:r>
      <w:r w:rsidR="001F69EC">
        <w:rPr>
          <w:rStyle w:val="normaltextrun"/>
          <w:rFonts w:ascii="Calibri" w:hAnsi="Calibri" w:cs="Calibri"/>
          <w:color w:val="4A4A4A"/>
          <w:sz w:val="21"/>
          <w:szCs w:val="21"/>
        </w:rPr>
        <w:t>raising awareness of the economic importance</w:t>
      </w:r>
      <w:r w:rsidR="001F69EC" w:rsidRPr="001F69EC">
        <w:rPr>
          <w:rStyle w:val="normaltextrun"/>
          <w:rFonts w:ascii="Calibri" w:hAnsi="Calibri" w:cs="Calibri"/>
          <w:color w:val="4A4A4A"/>
          <w:sz w:val="21"/>
          <w:szCs w:val="21"/>
        </w:rPr>
        <w:t xml:space="preserve"> </w:t>
      </w:r>
      <w:r w:rsidR="001F69EC">
        <w:rPr>
          <w:rStyle w:val="normaltextrun"/>
          <w:rFonts w:ascii="Calibri" w:hAnsi="Calibri" w:cs="Calibri"/>
          <w:color w:val="4A4A4A"/>
          <w:sz w:val="21"/>
          <w:szCs w:val="21"/>
        </w:rPr>
        <w:t>of tourism and making the case for a more proactive, sustainable management of a sector that is often overlooked in policy agendas</w:t>
      </w:r>
      <w:r>
        <w:rPr>
          <w:rStyle w:val="normaltextrun"/>
          <w:rFonts w:ascii="Calibri" w:hAnsi="Calibri" w:cs="Calibri"/>
          <w:color w:val="4A4A4A"/>
          <w:sz w:val="21"/>
          <w:szCs w:val="21"/>
        </w:rPr>
        <w:t xml:space="preserve"> at all levels.</w:t>
      </w:r>
      <w:r>
        <w:rPr>
          <w:rStyle w:val="eop"/>
          <w:rFonts w:ascii="Calibri" w:hAnsi="Calibri" w:cs="Calibri"/>
          <w:color w:val="4A4A4A"/>
          <w:sz w:val="21"/>
          <w:szCs w:val="21"/>
        </w:rPr>
        <w:t>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lastRenderedPageBreak/>
        <w:t xml:space="preserve">4.b. Comment and limitations </w:t>
      </w:r>
      <w:r>
        <w:rPr>
          <w:color w:val="B4B4B4"/>
          <w:sz w:val="20"/>
        </w:rPr>
        <w:t>(REC_USE_LIM)</w:t>
      </w:r>
    </w:p>
    <w:p w14:paraId="26EA7C27" w14:textId="2CF6829B" w:rsidR="00AB7635" w:rsidRDefault="00AB7635" w:rsidP="00A231F8">
      <w:pPr>
        <w:pStyle w:val="paragraph"/>
        <w:shd w:val="clear" w:color="auto" w:fill="FFFFFF"/>
        <w:spacing w:before="0" w:beforeAutospacing="0" w:after="0" w:afterAutospacing="0" w:line="276" w:lineRule="auto"/>
        <w:jc w:val="both"/>
        <w:textAlignment w:val="baseline"/>
        <w:rPr>
          <w:rStyle w:val="eop"/>
          <w:rFonts w:ascii="Calibri" w:hAnsi="Calibri" w:cs="Calibri"/>
          <w:color w:val="4A4A4A"/>
          <w:sz w:val="21"/>
          <w:szCs w:val="21"/>
        </w:rPr>
      </w:pPr>
      <w:r>
        <w:rPr>
          <w:rStyle w:val="normaltextrun"/>
          <w:rFonts w:ascii="Calibri" w:hAnsi="Calibri" w:cs="Calibri"/>
          <w:color w:val="4A4A4A"/>
          <w:sz w:val="21"/>
          <w:szCs w:val="21"/>
        </w:rPr>
        <w:t xml:space="preserve">Given that a </w:t>
      </w:r>
      <w:r w:rsidR="001F69EC">
        <w:rPr>
          <w:rStyle w:val="normaltextrun"/>
          <w:rFonts w:ascii="Calibri" w:hAnsi="Calibri" w:cs="Calibri"/>
          <w:color w:val="4A4A4A"/>
          <w:sz w:val="21"/>
          <w:szCs w:val="21"/>
        </w:rPr>
        <w:t xml:space="preserve">significant </w:t>
      </w:r>
      <w:r>
        <w:rPr>
          <w:rStyle w:val="normaltextrun"/>
          <w:rFonts w:ascii="Calibri" w:hAnsi="Calibri" w:cs="Calibri"/>
          <w:color w:val="4A4A4A"/>
          <w:sz w:val="21"/>
          <w:szCs w:val="21"/>
        </w:rPr>
        <w:t xml:space="preserve">number of countries </w:t>
      </w:r>
      <w:r w:rsidR="001F69EC">
        <w:rPr>
          <w:rStyle w:val="normaltextrun"/>
          <w:rFonts w:ascii="Calibri" w:hAnsi="Calibri" w:cs="Calibri"/>
          <w:color w:val="4A4A4A"/>
          <w:sz w:val="21"/>
          <w:szCs w:val="21"/>
        </w:rPr>
        <w:t xml:space="preserve">already have or are working to implement </w:t>
      </w:r>
      <w:r>
        <w:rPr>
          <w:rStyle w:val="normaltextrun"/>
          <w:rFonts w:ascii="Calibri" w:hAnsi="Calibri" w:cs="Calibri"/>
          <w:color w:val="4A4A4A"/>
          <w:sz w:val="21"/>
          <w:szCs w:val="21"/>
        </w:rPr>
        <w:t>Tourism Satellite Account</w:t>
      </w:r>
      <w:r w:rsidR="001F69EC">
        <w:rPr>
          <w:rStyle w:val="normaltextrun"/>
          <w:rFonts w:ascii="Calibri" w:hAnsi="Calibri" w:cs="Calibri"/>
          <w:color w:val="4A4A4A"/>
          <w:sz w:val="21"/>
          <w:szCs w:val="21"/>
        </w:rPr>
        <w:t>s</w:t>
      </w:r>
      <w:r>
        <w:rPr>
          <w:rStyle w:val="normaltextrun"/>
          <w:rFonts w:ascii="Calibri" w:hAnsi="Calibri" w:cs="Calibri"/>
          <w:color w:val="4A4A4A"/>
          <w:sz w:val="21"/>
          <w:szCs w:val="21"/>
        </w:rPr>
        <w:t xml:space="preserve"> (TSA), data on the</w:t>
      </w:r>
      <w:r>
        <w:rPr>
          <w:rStyle w:val="normaltextrun"/>
          <w:color w:val="4A4A4A"/>
          <w:sz w:val="21"/>
          <w:szCs w:val="21"/>
        </w:rPr>
        <w:t> </w:t>
      </w:r>
      <w:r>
        <w:rPr>
          <w:rStyle w:val="normaltextrun"/>
          <w:rFonts w:ascii="Calibri" w:hAnsi="Calibri" w:cs="Calibri"/>
          <w:color w:val="4A4A4A"/>
          <w:sz w:val="21"/>
          <w:szCs w:val="21"/>
        </w:rPr>
        <w:t>suggested indicators could become available in more countries </w:t>
      </w:r>
      <w:proofErr w:type="gramStart"/>
      <w:r>
        <w:rPr>
          <w:rStyle w:val="normaltextrun"/>
          <w:rFonts w:ascii="Calibri" w:hAnsi="Calibri" w:cs="Calibri"/>
          <w:color w:val="4A4A4A"/>
          <w:sz w:val="21"/>
          <w:szCs w:val="21"/>
        </w:rPr>
        <w:t>in the near future</w:t>
      </w:r>
      <w:proofErr w:type="gramEnd"/>
      <w:r>
        <w:rPr>
          <w:rStyle w:val="normaltextrun"/>
          <w:rFonts w:ascii="Calibri" w:hAnsi="Calibri" w:cs="Calibri"/>
          <w:color w:val="4A4A4A"/>
          <w:sz w:val="21"/>
          <w:szCs w:val="21"/>
        </w:rPr>
        <w:t>.</w:t>
      </w:r>
      <w:r>
        <w:rPr>
          <w:rStyle w:val="eop"/>
          <w:rFonts w:ascii="Calibri" w:hAnsi="Calibri" w:cs="Calibri"/>
          <w:color w:val="4A4A4A"/>
          <w:sz w:val="21"/>
          <w:szCs w:val="21"/>
        </w:rPr>
        <w:t> </w:t>
      </w:r>
    </w:p>
    <w:p w14:paraId="11FC80C0" w14:textId="77777777" w:rsidR="00DD2AD9" w:rsidRDefault="00DD2AD9" w:rsidP="00A231F8">
      <w:pPr>
        <w:pStyle w:val="paragraph"/>
        <w:shd w:val="clear" w:color="auto" w:fill="FFFFFF"/>
        <w:spacing w:before="0" w:beforeAutospacing="0" w:after="0" w:afterAutospacing="0" w:line="276" w:lineRule="auto"/>
        <w:jc w:val="both"/>
        <w:textAlignment w:val="baseline"/>
        <w:rPr>
          <w:rFonts w:ascii="Segoe UI" w:hAnsi="Segoe UI" w:cs="Segoe UI"/>
          <w:sz w:val="18"/>
          <w:szCs w:val="18"/>
        </w:rPr>
      </w:pPr>
    </w:p>
    <w:p w14:paraId="0CA9BD7C" w14:textId="62A5B021" w:rsidR="00AB7635" w:rsidRDefault="00AB7635" w:rsidP="00A231F8">
      <w:pPr>
        <w:pStyle w:val="paragraph"/>
        <w:shd w:val="clear" w:color="auto" w:fill="FFFFFF"/>
        <w:spacing w:before="0" w:beforeAutospacing="0" w:after="0" w:afterAutospacing="0" w:line="276" w:lineRule="auto"/>
        <w:jc w:val="both"/>
        <w:textAlignment w:val="baseline"/>
        <w:rPr>
          <w:rStyle w:val="eop"/>
          <w:rFonts w:ascii="Calibri" w:hAnsi="Calibri" w:cs="Calibri"/>
          <w:color w:val="4A4A4A"/>
          <w:sz w:val="21"/>
          <w:szCs w:val="21"/>
        </w:rPr>
      </w:pPr>
      <w:r>
        <w:rPr>
          <w:rStyle w:val="normaltextrun"/>
          <w:rFonts w:ascii="Calibri" w:hAnsi="Calibri" w:cs="Calibri"/>
          <w:color w:val="4A4A4A"/>
          <w:sz w:val="21"/>
          <w:szCs w:val="21"/>
        </w:rPr>
        <w:t>The data demands </w:t>
      </w:r>
      <w:r w:rsidR="001F69EC">
        <w:rPr>
          <w:rStyle w:val="normaltextrun"/>
          <w:rFonts w:ascii="Calibri" w:hAnsi="Calibri" w:cs="Calibri"/>
          <w:color w:val="4A4A4A"/>
          <w:sz w:val="21"/>
          <w:szCs w:val="21"/>
        </w:rPr>
        <w:t>for implementing TSA (</w:t>
      </w:r>
      <w:r>
        <w:rPr>
          <w:rStyle w:val="normaltextrun"/>
          <w:rFonts w:ascii="Calibri" w:hAnsi="Calibri" w:cs="Calibri"/>
          <w:color w:val="4A4A4A"/>
          <w:sz w:val="21"/>
          <w:szCs w:val="21"/>
        </w:rPr>
        <w:t>detailed input-output or supply and use tables</w:t>
      </w:r>
      <w:r w:rsidR="001F69EC">
        <w:rPr>
          <w:rStyle w:val="normaltextrun"/>
          <w:rFonts w:ascii="Calibri" w:hAnsi="Calibri" w:cs="Calibri"/>
          <w:color w:val="4A4A4A"/>
          <w:sz w:val="21"/>
          <w:szCs w:val="21"/>
        </w:rPr>
        <w:t>, among others)</w:t>
      </w:r>
      <w:r>
        <w:rPr>
          <w:rStyle w:val="normaltextrun"/>
          <w:rFonts w:ascii="Calibri" w:hAnsi="Calibri" w:cs="Calibri"/>
          <w:color w:val="4A4A4A"/>
          <w:sz w:val="21"/>
          <w:szCs w:val="21"/>
        </w:rPr>
        <w:t xml:space="preserve">; means that it is often not possible </w:t>
      </w:r>
      <w:r w:rsidR="00B5088F">
        <w:rPr>
          <w:rStyle w:val="normaltextrun"/>
          <w:rFonts w:ascii="Calibri" w:hAnsi="Calibri" w:cs="Calibri"/>
          <w:color w:val="4A4A4A"/>
          <w:sz w:val="21"/>
          <w:szCs w:val="21"/>
        </w:rPr>
        <w:t xml:space="preserve">or cost effective </w:t>
      </w:r>
      <w:r>
        <w:rPr>
          <w:rStyle w:val="normaltextrun"/>
          <w:rFonts w:ascii="Calibri" w:hAnsi="Calibri" w:cs="Calibri"/>
          <w:color w:val="4A4A4A"/>
          <w:sz w:val="21"/>
          <w:szCs w:val="21"/>
        </w:rPr>
        <w:t xml:space="preserve">to </w:t>
      </w:r>
      <w:r w:rsidR="00B5088F">
        <w:rPr>
          <w:rStyle w:val="normaltextrun"/>
          <w:rFonts w:ascii="Calibri" w:hAnsi="Calibri" w:cs="Calibri"/>
          <w:color w:val="4A4A4A"/>
          <w:sz w:val="21"/>
          <w:szCs w:val="21"/>
        </w:rPr>
        <w:t>realize</w:t>
      </w:r>
      <w:r>
        <w:rPr>
          <w:rStyle w:val="normaltextrun"/>
          <w:rFonts w:ascii="Calibri" w:hAnsi="Calibri" w:cs="Calibri"/>
          <w:color w:val="4A4A4A"/>
          <w:sz w:val="21"/>
          <w:szCs w:val="21"/>
        </w:rPr>
        <w:t xml:space="preserve"> frequent updating of the TSA. Therefore, some</w:t>
      </w:r>
      <w:r>
        <w:rPr>
          <w:rStyle w:val="normaltextrun"/>
          <w:color w:val="4A4A4A"/>
          <w:sz w:val="21"/>
          <w:szCs w:val="21"/>
        </w:rPr>
        <w:t> </w:t>
      </w:r>
      <w:r>
        <w:rPr>
          <w:rStyle w:val="normaltextrun"/>
          <w:rFonts w:ascii="Calibri" w:hAnsi="Calibri" w:cs="Calibri"/>
          <w:color w:val="4A4A4A"/>
          <w:sz w:val="21"/>
          <w:szCs w:val="21"/>
        </w:rPr>
        <w:t>countries produce estimates of TSA aggregates, in between reference years</w:t>
      </w:r>
      <w:r w:rsidR="00B5088F">
        <w:rPr>
          <w:rStyle w:val="normaltextrun"/>
          <w:rFonts w:ascii="Calibri" w:hAnsi="Calibri" w:cs="Calibri"/>
          <w:color w:val="4A4A4A"/>
          <w:sz w:val="21"/>
          <w:szCs w:val="21"/>
        </w:rPr>
        <w:t xml:space="preserve"> and/or nowcast estimates</w:t>
      </w:r>
      <w:r>
        <w:rPr>
          <w:rStyle w:val="normaltextrun"/>
          <w:rFonts w:ascii="Calibri" w:hAnsi="Calibri" w:cs="Calibri"/>
          <w:color w:val="4A4A4A"/>
          <w:sz w:val="21"/>
          <w:szCs w:val="21"/>
        </w:rPr>
        <w:t>, to have more current</w:t>
      </w:r>
      <w:r>
        <w:rPr>
          <w:rStyle w:val="normaltextrun"/>
          <w:color w:val="4A4A4A"/>
          <w:sz w:val="21"/>
          <w:szCs w:val="21"/>
        </w:rPr>
        <w:t> </w:t>
      </w:r>
      <w:r>
        <w:rPr>
          <w:rStyle w:val="normaltextrun"/>
          <w:rFonts w:ascii="Calibri" w:hAnsi="Calibri" w:cs="Calibri"/>
          <w:color w:val="4A4A4A"/>
          <w:sz w:val="21"/>
          <w:szCs w:val="21"/>
        </w:rPr>
        <w:t>data and to produce a time series.</w:t>
      </w:r>
      <w:r>
        <w:rPr>
          <w:rStyle w:val="eop"/>
          <w:rFonts w:ascii="Calibri" w:hAnsi="Calibri" w:cs="Calibri"/>
          <w:color w:val="4A4A4A"/>
          <w:sz w:val="21"/>
          <w:szCs w:val="21"/>
        </w:rPr>
        <w:t> </w:t>
      </w:r>
    </w:p>
    <w:p w14:paraId="6161FD41" w14:textId="77777777" w:rsidR="00DD2AD9" w:rsidRDefault="00DD2AD9" w:rsidP="00A231F8">
      <w:pPr>
        <w:pStyle w:val="paragraph"/>
        <w:shd w:val="clear" w:color="auto" w:fill="FFFFFF"/>
        <w:spacing w:before="0" w:beforeAutospacing="0" w:after="0" w:afterAutospacing="0" w:line="276" w:lineRule="auto"/>
        <w:jc w:val="both"/>
        <w:textAlignment w:val="baseline"/>
        <w:rPr>
          <w:rFonts w:ascii="Segoe UI" w:hAnsi="Segoe UI" w:cs="Segoe UI"/>
          <w:sz w:val="18"/>
          <w:szCs w:val="18"/>
        </w:rPr>
      </w:pPr>
    </w:p>
    <w:p w14:paraId="23EF02A6" w14:textId="32E60A7B" w:rsidR="002A6C3B" w:rsidRDefault="00B5088F">
      <w:pPr>
        <w:pStyle w:val="paragraph"/>
        <w:shd w:val="clear" w:color="auto" w:fill="FFFFFF"/>
        <w:spacing w:before="0" w:beforeAutospacing="0" w:after="0" w:afterAutospacing="0" w:line="276" w:lineRule="auto"/>
        <w:jc w:val="both"/>
        <w:textAlignment w:val="baseline"/>
        <w:rPr>
          <w:rStyle w:val="normaltextrun"/>
          <w:rFonts w:ascii="Calibri" w:hAnsi="Calibri" w:cs="Calibri"/>
          <w:color w:val="4A4A4A"/>
          <w:sz w:val="21"/>
          <w:szCs w:val="21"/>
        </w:rPr>
      </w:pPr>
      <w:r>
        <w:rPr>
          <w:rStyle w:val="normaltextrun"/>
          <w:rFonts w:ascii="Calibri" w:hAnsi="Calibri" w:cs="Calibri"/>
          <w:color w:val="4A4A4A"/>
          <w:sz w:val="21"/>
          <w:szCs w:val="21"/>
        </w:rPr>
        <w:t xml:space="preserve">In the absence of important shocks to the economy and to tourism, historically </w:t>
      </w:r>
      <w:r w:rsidR="00AB7635">
        <w:rPr>
          <w:rStyle w:val="normaltextrun"/>
          <w:rFonts w:ascii="Calibri" w:hAnsi="Calibri" w:cs="Calibri"/>
          <w:color w:val="4A4A4A"/>
          <w:sz w:val="21"/>
          <w:szCs w:val="21"/>
        </w:rPr>
        <w:t xml:space="preserve">TDGDP/GDP </w:t>
      </w:r>
      <w:r w:rsidR="000F4A89">
        <w:rPr>
          <w:rStyle w:val="normaltextrun"/>
          <w:rFonts w:ascii="Calibri" w:hAnsi="Calibri" w:cs="Calibri"/>
          <w:color w:val="4A4A4A"/>
          <w:sz w:val="21"/>
          <w:szCs w:val="21"/>
        </w:rPr>
        <w:t>tended to</w:t>
      </w:r>
      <w:r w:rsidR="00AB7635">
        <w:rPr>
          <w:rStyle w:val="normaltextrun"/>
          <w:rFonts w:ascii="Calibri" w:hAnsi="Calibri" w:cs="Calibri"/>
          <w:color w:val="4A4A4A"/>
          <w:sz w:val="21"/>
          <w:szCs w:val="21"/>
        </w:rPr>
        <w:t xml:space="preserve"> not show </w:t>
      </w:r>
      <w:r>
        <w:rPr>
          <w:rStyle w:val="normaltextrun"/>
          <w:rFonts w:ascii="Calibri" w:hAnsi="Calibri" w:cs="Calibri"/>
          <w:color w:val="4A4A4A"/>
          <w:sz w:val="21"/>
          <w:szCs w:val="21"/>
        </w:rPr>
        <w:t xml:space="preserve">very </w:t>
      </w:r>
      <w:r w:rsidR="00AB7635">
        <w:rPr>
          <w:rStyle w:val="normaltextrun"/>
          <w:rFonts w:ascii="Calibri" w:hAnsi="Calibri" w:cs="Calibri"/>
          <w:color w:val="4A4A4A"/>
          <w:sz w:val="21"/>
          <w:szCs w:val="21"/>
        </w:rPr>
        <w:t>large variations from one year to the next</w:t>
      </w:r>
      <w:r w:rsidR="000F4A89">
        <w:rPr>
          <w:rStyle w:val="normaltextrun"/>
          <w:rFonts w:ascii="Calibri" w:hAnsi="Calibri" w:cs="Calibri"/>
          <w:color w:val="4A4A4A"/>
          <w:sz w:val="21"/>
          <w:szCs w:val="21"/>
        </w:rPr>
        <w:t xml:space="preserve">, however the effects of the Covid-19 pandemic </w:t>
      </w:r>
      <w:r w:rsidR="002A6C3B">
        <w:rPr>
          <w:rStyle w:val="normaltextrun"/>
          <w:rFonts w:ascii="Calibri" w:hAnsi="Calibri" w:cs="Calibri"/>
          <w:color w:val="4A4A4A"/>
          <w:sz w:val="21"/>
          <w:szCs w:val="21"/>
        </w:rPr>
        <w:t xml:space="preserve">on tourism </w:t>
      </w:r>
      <w:r w:rsidR="000F4A89">
        <w:rPr>
          <w:rStyle w:val="normaltextrun"/>
          <w:rFonts w:ascii="Calibri" w:hAnsi="Calibri" w:cs="Calibri"/>
          <w:color w:val="4A4A4A"/>
          <w:sz w:val="21"/>
          <w:szCs w:val="21"/>
        </w:rPr>
        <w:t xml:space="preserve">are quite </w:t>
      </w:r>
      <w:r w:rsidR="002A6C3B">
        <w:rPr>
          <w:rStyle w:val="normaltextrun"/>
          <w:rFonts w:ascii="Calibri" w:hAnsi="Calibri" w:cs="Calibri"/>
          <w:color w:val="4A4A4A"/>
          <w:sz w:val="21"/>
          <w:szCs w:val="21"/>
        </w:rPr>
        <w:t>evident through</w:t>
      </w:r>
      <w:r w:rsidR="000F4A89">
        <w:rPr>
          <w:rStyle w:val="normaltextrun"/>
          <w:rFonts w:ascii="Calibri" w:hAnsi="Calibri" w:cs="Calibri"/>
          <w:color w:val="4A4A4A"/>
          <w:sz w:val="21"/>
          <w:szCs w:val="21"/>
        </w:rPr>
        <w:t xml:space="preserve"> this indicator in many countries</w:t>
      </w:r>
      <w:r>
        <w:rPr>
          <w:rStyle w:val="normaltextrun"/>
          <w:rFonts w:ascii="Calibri" w:hAnsi="Calibri" w:cs="Calibri"/>
          <w:color w:val="4A4A4A"/>
          <w:sz w:val="21"/>
          <w:szCs w:val="21"/>
        </w:rPr>
        <w:t>. Considering also that</w:t>
      </w:r>
      <w:r w:rsidR="00AB7635">
        <w:rPr>
          <w:rStyle w:val="normaltextrun"/>
          <w:rFonts w:ascii="Calibri" w:hAnsi="Calibri" w:cs="Calibri"/>
          <w:color w:val="4A4A4A"/>
          <w:sz w:val="21"/>
          <w:szCs w:val="21"/>
        </w:rPr>
        <w:t xml:space="preserve"> variations may stem from the</w:t>
      </w:r>
      <w:r w:rsidR="00AB7635">
        <w:rPr>
          <w:rStyle w:val="normaltextrun"/>
          <w:color w:val="4A4A4A"/>
          <w:sz w:val="21"/>
          <w:szCs w:val="21"/>
        </w:rPr>
        <w:t> </w:t>
      </w:r>
      <w:r w:rsidR="00AB7635">
        <w:rPr>
          <w:rStyle w:val="normaltextrun"/>
          <w:rFonts w:ascii="Calibri" w:hAnsi="Calibri" w:cs="Calibri"/>
          <w:color w:val="4A4A4A"/>
          <w:sz w:val="21"/>
          <w:szCs w:val="21"/>
        </w:rPr>
        <w:t>numerator and/or denominator</w:t>
      </w:r>
      <w:r>
        <w:rPr>
          <w:rStyle w:val="normaltextrun"/>
          <w:rFonts w:ascii="Calibri" w:hAnsi="Calibri" w:cs="Calibri"/>
          <w:color w:val="4A4A4A"/>
          <w:sz w:val="21"/>
          <w:szCs w:val="21"/>
        </w:rPr>
        <w:t>, it is often useful from an analytical perspective to consider</w:t>
      </w:r>
      <w:r w:rsidR="00AB7635">
        <w:rPr>
          <w:rStyle w:val="normaltextrun"/>
          <w:rFonts w:ascii="Calibri" w:hAnsi="Calibri" w:cs="Calibri"/>
          <w:color w:val="4A4A4A"/>
          <w:sz w:val="21"/>
          <w:szCs w:val="21"/>
        </w:rPr>
        <w:t xml:space="preserve"> the indicator in different forms</w:t>
      </w:r>
      <w:r>
        <w:rPr>
          <w:rStyle w:val="normaltextrun"/>
          <w:rFonts w:ascii="Calibri" w:hAnsi="Calibri" w:cs="Calibri"/>
          <w:color w:val="4A4A4A"/>
          <w:sz w:val="21"/>
          <w:szCs w:val="21"/>
        </w:rPr>
        <w:t xml:space="preserve"> and ada</w:t>
      </w:r>
      <w:r w:rsidR="000F4A89">
        <w:rPr>
          <w:rStyle w:val="normaltextrun"/>
          <w:rFonts w:ascii="Calibri" w:hAnsi="Calibri" w:cs="Calibri"/>
          <w:color w:val="4A4A4A"/>
          <w:sz w:val="21"/>
          <w:szCs w:val="21"/>
        </w:rPr>
        <w:t>p</w:t>
      </w:r>
      <w:r>
        <w:rPr>
          <w:rStyle w:val="normaltextrun"/>
          <w:rFonts w:ascii="Calibri" w:hAnsi="Calibri" w:cs="Calibri"/>
          <w:color w:val="4A4A4A"/>
          <w:sz w:val="21"/>
          <w:szCs w:val="21"/>
        </w:rPr>
        <w:t>tations</w:t>
      </w:r>
      <w:r w:rsidR="00AB7635">
        <w:rPr>
          <w:rStyle w:val="normaltextrun"/>
          <w:rFonts w:ascii="Calibri" w:hAnsi="Calibri" w:cs="Calibri"/>
          <w:color w:val="4A4A4A"/>
          <w:sz w:val="21"/>
          <w:szCs w:val="21"/>
        </w:rPr>
        <w:t>: absolute value, % change in constant price, and TDGDP per visitor or per employed person</w:t>
      </w:r>
      <w:r w:rsidR="00AB7635" w:rsidRPr="00A231F8">
        <w:rPr>
          <w:rStyle w:val="normaltextrun"/>
          <w:rFonts w:ascii="Calibri" w:hAnsi="Calibri" w:cs="Calibri"/>
          <w:color w:val="4A4A4A"/>
          <w:sz w:val="21"/>
          <w:szCs w:val="21"/>
        </w:rPr>
        <w:t>.</w:t>
      </w:r>
      <w:r w:rsidR="002A6C3B" w:rsidRPr="00A231F8">
        <w:rPr>
          <w:rStyle w:val="normaltextrun"/>
          <w:rFonts w:ascii="Calibri" w:hAnsi="Calibri" w:cs="Calibri"/>
          <w:color w:val="4A4A4A"/>
          <w:sz w:val="21"/>
          <w:szCs w:val="21"/>
        </w:rPr>
        <w:t xml:space="preserve"> </w:t>
      </w:r>
    </w:p>
    <w:p w14:paraId="7E8C3D18" w14:textId="77777777" w:rsidR="00DD2AD9" w:rsidRDefault="00DD2AD9">
      <w:pPr>
        <w:pStyle w:val="paragraph"/>
        <w:shd w:val="clear" w:color="auto" w:fill="FFFFFF"/>
        <w:spacing w:before="0" w:beforeAutospacing="0" w:after="0" w:afterAutospacing="0" w:line="276" w:lineRule="auto"/>
        <w:jc w:val="both"/>
        <w:textAlignment w:val="baseline"/>
        <w:rPr>
          <w:rStyle w:val="normaltextrun"/>
          <w:rFonts w:ascii="Calibri" w:hAnsi="Calibri" w:cs="Calibri"/>
          <w:color w:val="4A4A4A"/>
          <w:sz w:val="21"/>
          <w:szCs w:val="21"/>
        </w:rPr>
      </w:pPr>
    </w:p>
    <w:p w14:paraId="66D7054D" w14:textId="3E2CD6D1" w:rsidR="00AB7635" w:rsidRPr="00A231F8" w:rsidRDefault="002A6C3B" w:rsidP="00A231F8">
      <w:pPr>
        <w:pStyle w:val="paragraph"/>
        <w:shd w:val="clear" w:color="auto" w:fill="FFFFFF"/>
        <w:spacing w:before="0" w:beforeAutospacing="0" w:after="0" w:afterAutospacing="0" w:line="276" w:lineRule="auto"/>
        <w:jc w:val="both"/>
        <w:textAlignment w:val="baseline"/>
        <w:rPr>
          <w:rStyle w:val="normaltextrun"/>
          <w:rFonts w:ascii="Calibri" w:hAnsi="Calibri" w:cs="Calibri"/>
          <w:color w:val="4A4A4A"/>
          <w:sz w:val="21"/>
          <w:szCs w:val="21"/>
        </w:rPr>
      </w:pPr>
      <w:r w:rsidRPr="00A231F8">
        <w:rPr>
          <w:rStyle w:val="normaltextrun"/>
          <w:rFonts w:ascii="Calibri" w:hAnsi="Calibri" w:cs="Calibri"/>
          <w:color w:val="4A4A4A"/>
          <w:sz w:val="21"/>
          <w:szCs w:val="21"/>
        </w:rPr>
        <w:t xml:space="preserve">Related </w:t>
      </w:r>
      <w:r>
        <w:rPr>
          <w:rStyle w:val="normaltextrun"/>
          <w:rFonts w:ascii="Calibri" w:hAnsi="Calibri" w:cs="Calibri"/>
          <w:color w:val="4A4A4A"/>
          <w:sz w:val="21"/>
          <w:szCs w:val="21"/>
        </w:rPr>
        <w:t xml:space="preserve">economic </w:t>
      </w:r>
      <w:r w:rsidRPr="00A231F8">
        <w:rPr>
          <w:rStyle w:val="normaltextrun"/>
          <w:rFonts w:ascii="Calibri" w:hAnsi="Calibri" w:cs="Calibri"/>
          <w:color w:val="4A4A4A"/>
          <w:sz w:val="21"/>
          <w:szCs w:val="21"/>
        </w:rPr>
        <w:t xml:space="preserve">aggregates </w:t>
      </w:r>
      <w:r>
        <w:rPr>
          <w:rStyle w:val="normaltextrun"/>
          <w:rFonts w:ascii="Calibri" w:hAnsi="Calibri" w:cs="Calibri"/>
          <w:color w:val="4A4A4A"/>
          <w:sz w:val="21"/>
          <w:szCs w:val="21"/>
        </w:rPr>
        <w:t xml:space="preserve">on tourism </w:t>
      </w:r>
      <w:r w:rsidRPr="00A231F8">
        <w:rPr>
          <w:rStyle w:val="normaltextrun"/>
          <w:rFonts w:ascii="Calibri" w:hAnsi="Calibri" w:cs="Calibri"/>
          <w:color w:val="4A4A4A"/>
          <w:sz w:val="21"/>
          <w:szCs w:val="21"/>
        </w:rPr>
        <w:t xml:space="preserve">like Tourism Direct Gross Value Added and the Gross Value Added of the Tourism Industries </w:t>
      </w:r>
      <w:r>
        <w:rPr>
          <w:rStyle w:val="normaltextrun"/>
          <w:rFonts w:ascii="Calibri" w:hAnsi="Calibri" w:cs="Calibri"/>
          <w:color w:val="4A4A4A"/>
          <w:sz w:val="21"/>
          <w:szCs w:val="21"/>
        </w:rPr>
        <w:t xml:space="preserve">(in aggregate form and disaggregated by tourism industry) </w:t>
      </w:r>
      <w:r w:rsidRPr="00A231F8">
        <w:rPr>
          <w:rStyle w:val="normaltextrun"/>
          <w:rFonts w:ascii="Calibri" w:hAnsi="Calibri" w:cs="Calibri"/>
          <w:color w:val="4A4A4A"/>
          <w:sz w:val="21"/>
          <w:szCs w:val="21"/>
        </w:rPr>
        <w:t xml:space="preserve">are also important and may be used as approximations to indicator 8.9.1 for analytical purposes.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52A61FF8" w14:textId="77777777" w:rsidR="00E264A5" w:rsidRDefault="00AB7635" w:rsidP="00AB7635">
      <w:pPr>
        <w:shd w:val="clear" w:color="auto" w:fill="FFFFFF"/>
        <w:spacing w:after="0"/>
        <w:rPr>
          <w:rFonts w:ascii="Calibri" w:eastAsia="Times New Roman" w:hAnsi="Calibri" w:cs="Times New Roman"/>
          <w:color w:val="4A4A4A"/>
          <w:sz w:val="21"/>
          <w:szCs w:val="21"/>
          <w:lang w:eastAsia="en-GB"/>
        </w:rPr>
      </w:pPr>
      <w:bookmarkStart w:id="5" w:name="_Hlk99451566"/>
      <w:r w:rsidRPr="00AB7635">
        <w:rPr>
          <w:rFonts w:ascii="Calibri" w:eastAsia="Times New Roman" w:hAnsi="Calibri" w:cs="Times New Roman"/>
          <w:color w:val="4A4A4A"/>
          <w:sz w:val="21"/>
          <w:szCs w:val="21"/>
          <w:lang w:eastAsia="en-GB"/>
        </w:rPr>
        <w:t xml:space="preserve">Tourism direct GDP </w:t>
      </w:r>
      <w:bookmarkEnd w:id="5"/>
      <w:r w:rsidRPr="00AB7635">
        <w:rPr>
          <w:rFonts w:ascii="Calibri" w:eastAsia="Times New Roman" w:hAnsi="Calibri" w:cs="Times New Roman"/>
          <w:color w:val="4A4A4A"/>
          <w:sz w:val="21"/>
          <w:szCs w:val="21"/>
          <w:lang w:eastAsia="en-GB"/>
        </w:rPr>
        <w:t>as a proportion of total GDP (in%):</w:t>
      </w:r>
    </w:p>
    <w:p w14:paraId="6FD55547" w14:textId="0C4D1D9E" w:rsidR="00AB7635" w:rsidRPr="00AB7635" w:rsidRDefault="006D4061" w:rsidP="00386CFC">
      <w:pPr>
        <w:shd w:val="clear" w:color="auto" w:fill="FFFFFF"/>
        <w:spacing w:after="0"/>
        <w:rPr>
          <w:rFonts w:ascii="Calibri" w:eastAsia="Times New Roman" w:hAnsi="Calibri" w:cs="Times New Roman"/>
          <w:color w:val="4A4A4A"/>
          <w:sz w:val="21"/>
          <w:szCs w:val="21"/>
          <w:lang w:eastAsia="en-GB"/>
        </w:rPr>
      </w:pPr>
      <w:r w:rsidRPr="006D4061">
        <w:rPr>
          <w:rFonts w:ascii="Cambria Math" w:eastAsia="Times New Roman" w:hAnsi="Cambria Math" w:cs="Times New Roman"/>
          <w:i/>
          <w:color w:val="4A4A4A"/>
          <w:sz w:val="21"/>
          <w:szCs w:val="21"/>
          <w:lang w:eastAsia="en-GB"/>
        </w:rPr>
        <w:br/>
      </w:r>
      <m:oMathPara>
        <m:oMath>
          <m:d>
            <m:dPr>
              <m:ctrlPr>
                <w:rPr>
                  <w:rFonts w:ascii="Cambria Math" w:eastAsia="Times New Roman" w:hAnsi="Cambria Math" w:cs="Times New Roman"/>
                  <w:i/>
                  <w:color w:val="4A4A4A"/>
                  <w:sz w:val="21"/>
                  <w:szCs w:val="21"/>
                  <w:lang w:eastAsia="en-GB"/>
                </w:rPr>
              </m:ctrlPr>
            </m:dPr>
            <m:e>
              <m:f>
                <m:fPr>
                  <m:ctrlPr>
                    <w:rPr>
                      <w:rFonts w:ascii="Cambria Math" w:eastAsia="Times New Roman" w:hAnsi="Cambria Math" w:cs="Times New Roman"/>
                      <w:i/>
                      <w:color w:val="4A4A4A"/>
                      <w:sz w:val="21"/>
                      <w:szCs w:val="21"/>
                      <w:lang w:eastAsia="en-GB"/>
                    </w:rPr>
                  </m:ctrlPr>
                </m:fPr>
                <m:num>
                  <m:r>
                    <w:rPr>
                      <w:rFonts w:ascii="Cambria Math" w:eastAsia="Times New Roman" w:hAnsi="Cambria Math" w:cs="Times New Roman"/>
                      <w:color w:val="4A4A4A"/>
                      <w:sz w:val="21"/>
                      <w:szCs w:val="21"/>
                      <w:lang w:eastAsia="en-GB"/>
                    </w:rPr>
                    <m:t>TDGDP</m:t>
                  </m:r>
                </m:num>
                <m:den>
                  <m:r>
                    <w:rPr>
                      <w:rFonts w:ascii="Cambria Math" w:eastAsia="Times New Roman" w:hAnsi="Cambria Math" w:cs="Times New Roman"/>
                      <w:color w:val="4A4A4A"/>
                      <w:sz w:val="21"/>
                      <w:szCs w:val="21"/>
                      <w:lang w:eastAsia="en-GB"/>
                    </w:rPr>
                    <m:t>GDP</m:t>
                  </m:r>
                </m:den>
              </m:f>
            </m:e>
          </m:d>
          <m:r>
            <w:rPr>
              <w:rFonts w:ascii="Cambria Math" w:eastAsia="Times New Roman" w:hAnsi="Cambria Math" w:cs="Times New Roman"/>
              <w:color w:val="4A4A4A"/>
              <w:sz w:val="21"/>
              <w:szCs w:val="21"/>
              <w:lang w:eastAsia="en-GB"/>
            </w:rPr>
            <m:t>×100</m:t>
          </m:r>
          <m:r>
            <m:rPr>
              <m:sty m:val="p"/>
            </m:rPr>
            <w:rPr>
              <w:rFonts w:ascii="Cambria Math" w:eastAsia="Times New Roman" w:hAnsi="Cambria Math" w:cs="Times New Roman"/>
              <w:color w:val="4A4A4A"/>
              <w:sz w:val="21"/>
              <w:szCs w:val="21"/>
              <w:lang w:eastAsia="en-GB"/>
            </w:rPr>
            <w:br/>
          </m:r>
        </m:oMath>
      </m:oMathPara>
      <w:r w:rsidR="00AB7635" w:rsidRPr="00AB7635">
        <w:rPr>
          <w:rFonts w:ascii="Calibri" w:eastAsia="Times New Roman" w:hAnsi="Calibri" w:cs="Times New Roman"/>
          <w:color w:val="4A4A4A"/>
          <w:sz w:val="21"/>
          <w:szCs w:val="21"/>
          <w:lang w:eastAsia="en-GB"/>
        </w:rPr>
        <w:t>Tourism direct GDP in growth rate</w:t>
      </w:r>
      <w:r w:rsidR="00386CFC">
        <w:rPr>
          <w:rFonts w:ascii="Calibri" w:eastAsia="Times New Roman" w:hAnsi="Calibri" w:cs="Times New Roman"/>
          <w:color w:val="4A4A4A"/>
          <w:sz w:val="21"/>
          <w:szCs w:val="21"/>
          <w:lang w:eastAsia="en-GB"/>
        </w:rPr>
        <w:t xml:space="preserve"> =</w:t>
      </w:r>
    </w:p>
    <w:p w14:paraId="765088B7" w14:textId="4B7597A9" w:rsidR="007971BB" w:rsidRPr="00AB7635" w:rsidRDefault="00C41D70" w:rsidP="00AB7635">
      <w:pPr>
        <w:shd w:val="clear" w:color="auto" w:fill="FFFFFF"/>
        <w:spacing w:after="0"/>
        <w:rPr>
          <w:rFonts w:ascii="Calibri" w:eastAsia="Times New Roman" w:hAnsi="Calibri" w:cs="Times New Roman"/>
          <w:bCs/>
          <w:color w:val="4A4A4A"/>
          <w:sz w:val="21"/>
          <w:szCs w:val="21"/>
          <w:lang w:val="fr-FR" w:eastAsia="en-GB"/>
        </w:rPr>
      </w:pPr>
      <m:oMathPara>
        <m:oMath>
          <m:d>
            <m:dPr>
              <m:begChr m:val="["/>
              <m:endChr m:val="]"/>
              <m:ctrlPr>
                <w:rPr>
                  <w:rFonts w:ascii="Cambria Math" w:eastAsia="Times New Roman" w:hAnsi="Cambria Math" w:cs="Times New Roman"/>
                  <w:bCs/>
                  <w:i/>
                  <w:color w:val="4A4A4A"/>
                  <w:sz w:val="21"/>
                  <w:szCs w:val="21"/>
                  <w:lang w:val="fr-FR" w:eastAsia="en-GB"/>
                </w:rPr>
              </m:ctrlPr>
            </m:dPr>
            <m:e>
              <m:d>
                <m:dPr>
                  <m:ctrlPr>
                    <w:rPr>
                      <w:rFonts w:ascii="Cambria Math" w:eastAsia="Times New Roman" w:hAnsi="Cambria Math" w:cs="Times New Roman"/>
                      <w:bCs/>
                      <w:i/>
                      <w:color w:val="4A4A4A"/>
                      <w:sz w:val="21"/>
                      <w:szCs w:val="21"/>
                      <w:lang w:val="fr-FR" w:eastAsia="en-GB"/>
                    </w:rPr>
                  </m:ctrlPr>
                </m:dPr>
                <m:e>
                  <m:f>
                    <m:fPr>
                      <m:ctrlPr>
                        <w:rPr>
                          <w:rFonts w:ascii="Cambria Math" w:eastAsia="Times New Roman" w:hAnsi="Cambria Math" w:cs="Times New Roman"/>
                          <w:bCs/>
                          <w:i/>
                          <w:color w:val="4A4A4A"/>
                          <w:sz w:val="21"/>
                          <w:szCs w:val="21"/>
                          <w:lang w:val="fr-FR" w:eastAsia="en-GB"/>
                        </w:rPr>
                      </m:ctrlPr>
                    </m:fPr>
                    <m:num>
                      <m:sSub>
                        <m:sSubPr>
                          <m:ctrlPr>
                            <w:rPr>
                              <w:rFonts w:ascii="Cambria Math" w:eastAsia="Times New Roman" w:hAnsi="Cambria Math" w:cs="Times New Roman"/>
                              <w:bCs/>
                              <w:i/>
                              <w:color w:val="4A4A4A"/>
                              <w:sz w:val="21"/>
                              <w:szCs w:val="21"/>
                              <w:lang w:val="fr-FR" w:eastAsia="en-GB"/>
                            </w:rPr>
                          </m:ctrlPr>
                        </m:sSubPr>
                        <m:e>
                          <m:r>
                            <w:rPr>
                              <w:rFonts w:ascii="Cambria Math" w:eastAsia="Times New Roman" w:hAnsi="Cambria Math" w:cs="Times New Roman"/>
                              <w:color w:val="4A4A4A"/>
                              <w:sz w:val="21"/>
                              <w:szCs w:val="21"/>
                              <w:lang w:val="fr-FR" w:eastAsia="en-GB"/>
                            </w:rPr>
                            <m:t>TDGDP</m:t>
                          </m:r>
                        </m:e>
                        <m:sub>
                          <m:r>
                            <w:rPr>
                              <w:rFonts w:ascii="Cambria Math" w:eastAsia="Times New Roman" w:hAnsi="Cambria Math" w:cs="Times New Roman"/>
                              <w:color w:val="4A4A4A"/>
                              <w:sz w:val="21"/>
                              <w:szCs w:val="21"/>
                              <w:lang w:val="fr-FR" w:eastAsia="en-GB"/>
                            </w:rPr>
                            <m:t>t</m:t>
                          </m:r>
                        </m:sub>
                      </m:sSub>
                    </m:num>
                    <m:den>
                      <m:sSub>
                        <m:sSubPr>
                          <m:ctrlPr>
                            <w:rPr>
                              <w:rFonts w:ascii="Cambria Math" w:eastAsia="Times New Roman" w:hAnsi="Cambria Math" w:cs="Times New Roman"/>
                              <w:bCs/>
                              <w:i/>
                              <w:color w:val="4A4A4A"/>
                              <w:sz w:val="21"/>
                              <w:szCs w:val="21"/>
                              <w:lang w:val="fr-FR" w:eastAsia="en-GB"/>
                            </w:rPr>
                          </m:ctrlPr>
                        </m:sSubPr>
                        <m:e>
                          <m:r>
                            <w:rPr>
                              <w:rFonts w:ascii="Cambria Math" w:eastAsia="Times New Roman" w:hAnsi="Cambria Math" w:cs="Times New Roman"/>
                              <w:color w:val="4A4A4A"/>
                              <w:sz w:val="21"/>
                              <w:szCs w:val="21"/>
                              <w:lang w:val="fr-FR" w:eastAsia="en-GB"/>
                            </w:rPr>
                            <m:t>TDGDP</m:t>
                          </m:r>
                        </m:e>
                        <m:sub>
                          <m:r>
                            <w:rPr>
                              <w:rFonts w:ascii="Cambria Math" w:eastAsia="Times New Roman" w:hAnsi="Cambria Math" w:cs="Times New Roman"/>
                              <w:color w:val="4A4A4A"/>
                              <w:sz w:val="21"/>
                              <w:szCs w:val="21"/>
                              <w:lang w:val="fr-FR" w:eastAsia="en-GB"/>
                            </w:rPr>
                            <m:t>t-1</m:t>
                          </m:r>
                        </m:sub>
                      </m:sSub>
                    </m:den>
                  </m:f>
                </m:e>
              </m:d>
              <m:r>
                <w:rPr>
                  <w:rFonts w:ascii="Cambria Math" w:eastAsia="Times New Roman" w:hAnsi="Cambria Math" w:cs="Times New Roman"/>
                  <w:color w:val="4A4A4A"/>
                  <w:sz w:val="21"/>
                  <w:szCs w:val="21"/>
                  <w:lang w:val="fr-FR" w:eastAsia="en-GB"/>
                </w:rPr>
                <m:t>-1</m:t>
              </m:r>
            </m:e>
          </m:d>
          <m:r>
            <w:rPr>
              <w:rFonts w:ascii="Cambria Math" w:eastAsia="Times New Roman" w:hAnsi="Cambria Math" w:cs="Times New Roman"/>
              <w:color w:val="4A4A4A"/>
              <w:sz w:val="21"/>
              <w:szCs w:val="21"/>
              <w:lang w:val="fr-FR" w:eastAsia="en-GB"/>
            </w:rPr>
            <m:t xml:space="preserve"> ×100</m:t>
          </m:r>
        </m:oMath>
      </m:oMathPara>
    </w:p>
    <w:p w14:paraId="7A7AE492" w14:textId="77777777" w:rsidR="007971BB" w:rsidRDefault="007971BB" w:rsidP="00F719A8">
      <w:pPr>
        <w:pStyle w:val="MHeader2"/>
        <w:rPr>
          <w:lang w:val="fr-FR"/>
        </w:rPr>
      </w:pPr>
    </w:p>
    <w:p w14:paraId="514CE3C0" w14:textId="74A509EE" w:rsidR="00E1050F" w:rsidRPr="00A231F8" w:rsidRDefault="00576CFA" w:rsidP="00F719A8">
      <w:pPr>
        <w:pStyle w:val="MHeader2"/>
        <w:rPr>
          <w:lang w:val="en-CA"/>
        </w:rPr>
      </w:pPr>
      <w:r w:rsidRPr="00A231F8">
        <w:rPr>
          <w:lang w:val="en-CA"/>
        </w:rPr>
        <w:t xml:space="preserve">4.d. Validation </w:t>
      </w:r>
      <w:r>
        <w:rPr>
          <w:color w:val="B4B4B4"/>
          <w:sz w:val="20"/>
        </w:rPr>
        <w:t>(DATA_VALIDATION)</w:t>
      </w:r>
    </w:p>
    <w:p w14:paraId="4BEBBDF6" w14:textId="79481618" w:rsidR="00961892" w:rsidRDefault="002C0D8F" w:rsidP="00576CFA">
      <w:pPr>
        <w:pStyle w:val="MText"/>
      </w:pPr>
      <w:r>
        <w:t xml:space="preserve">Every year historical data is requested. If there are differences in the newly reported data for the country with respect to the data available previously, countries are consulted. Similarly, if other inconsistencies are found, there is ongoing follow up with countries. </w:t>
      </w:r>
    </w:p>
    <w:p w14:paraId="0A07FF3C" w14:textId="77777777" w:rsidR="00961892" w:rsidRDefault="00961892" w:rsidP="00576CFA">
      <w:pPr>
        <w:pStyle w:val="MText"/>
      </w:pPr>
    </w:p>
    <w:p w14:paraId="0FD19DED" w14:textId="1A5B29EC" w:rsidR="002C0D8F" w:rsidRPr="00A96255" w:rsidRDefault="00961892" w:rsidP="00576CFA">
      <w:pPr>
        <w:pStyle w:val="MText"/>
      </w:pPr>
      <w:r>
        <w:t>UNWTO is also custodian for indicator 12.b.1 and the data collected there serves as a valuable validation step for the data provided for indicator 8.9.1. For example, s</w:t>
      </w:r>
      <w:r w:rsidR="002C0D8F">
        <w:t xml:space="preserve">ince Table 6 of TSA is necessary for the compilation of TDGDP, the data reported by countries </w:t>
      </w:r>
      <w:r w:rsidR="00496B6A">
        <w:t xml:space="preserve">are </w:t>
      </w:r>
      <w:r w:rsidR="00AC4F68">
        <w:t>cross validated</w:t>
      </w:r>
      <w:r w:rsidR="002C0D8F">
        <w:t xml:space="preserve"> with the availability of this table </w:t>
      </w:r>
      <w:r>
        <w:t>(</w:t>
      </w:r>
      <w:r w:rsidR="002C0D8F">
        <w:t xml:space="preserve"> data reported for SDG indicator 12.b.1</w:t>
      </w:r>
      <w:r>
        <w:t>)</w:t>
      </w:r>
      <w:r w:rsidR="002C0D8F">
        <w:t>.</w:t>
      </w:r>
    </w:p>
    <w:p w14:paraId="0025F830" w14:textId="1D8145E9" w:rsidR="00F719A8" w:rsidRPr="00A96255" w:rsidRDefault="00F719A8" w:rsidP="00576CFA">
      <w:pPr>
        <w:pStyle w:val="MText"/>
      </w:pPr>
    </w:p>
    <w:p w14:paraId="2CF2A343" w14:textId="1B36770C" w:rsidR="00E1050F" w:rsidRPr="00A96255" w:rsidRDefault="00E1050F" w:rsidP="00F719A8">
      <w:pPr>
        <w:pStyle w:val="MHeader2"/>
      </w:pPr>
      <w:r w:rsidRPr="00A96255">
        <w:t xml:space="preserve">4.e. Adjustments </w:t>
      </w:r>
      <w:r>
        <w:rPr>
          <w:color w:val="B4B4B4"/>
          <w:sz w:val="20"/>
        </w:rPr>
        <w:t>(ADJUSTMENT)</w:t>
      </w:r>
    </w:p>
    <w:p w14:paraId="5032CC5E" w14:textId="69A2F0CE" w:rsidR="00576CFA" w:rsidRPr="00A96255" w:rsidRDefault="00DE64B4" w:rsidP="00576CFA">
      <w:pPr>
        <w:pStyle w:val="MText"/>
      </w:pPr>
      <w:r>
        <w:t>Not 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lastRenderedPageBreak/>
        <w:t xml:space="preserve">4.f. Treatment of missing values (i) at country level and (ii) at regional level </w:t>
      </w:r>
      <w:r>
        <w:rPr>
          <w:color w:val="B4B4B4"/>
          <w:sz w:val="20"/>
        </w:rPr>
        <w:t>(IMPUTATION)</w:t>
      </w:r>
    </w:p>
    <w:p w14:paraId="5603065D" w14:textId="77777777" w:rsidR="00AB7635" w:rsidRDefault="00AB7635" w:rsidP="001720A1">
      <w:pPr>
        <w:pStyle w:val="paragraph"/>
        <w:numPr>
          <w:ilvl w:val="0"/>
          <w:numId w:val="5"/>
        </w:numPr>
        <w:shd w:val="clear" w:color="auto" w:fill="FFFFFF" w:themeFill="background1"/>
        <w:spacing w:before="0" w:beforeAutospacing="0" w:after="0" w:afterAutospacing="0"/>
        <w:ind w:left="135" w:firstLine="0"/>
        <w:textAlignment w:val="baseline"/>
        <w:rPr>
          <w:sz w:val="21"/>
          <w:szCs w:val="21"/>
        </w:rPr>
      </w:pPr>
      <w:r w:rsidRPr="001720A1">
        <w:rPr>
          <w:rStyle w:val="normaltextrun"/>
          <w:rFonts w:ascii="Calibri" w:hAnsi="Calibri"/>
          <w:b/>
          <w:color w:val="1C75BC"/>
          <w:sz w:val="21"/>
          <w:lang w:val="en-GB"/>
        </w:rPr>
        <w:t>At country level</w:t>
      </w:r>
      <w:r w:rsidRPr="001720A1">
        <w:rPr>
          <w:rStyle w:val="eop"/>
          <w:rFonts w:ascii="Calibri" w:hAnsi="Calibri"/>
          <w:b/>
          <w:color w:val="1C75BC"/>
          <w:sz w:val="21"/>
        </w:rPr>
        <w:t> </w:t>
      </w:r>
    </w:p>
    <w:p w14:paraId="7FF7EB4E" w14:textId="3EFE6AEB" w:rsidR="00D405AC" w:rsidRDefault="00D405AC">
      <w:pPr>
        <w:pStyle w:val="paragraph"/>
        <w:shd w:val="clear" w:color="auto" w:fill="FFFFFF"/>
        <w:spacing w:before="0" w:beforeAutospacing="0" w:after="0" w:afterAutospacing="0" w:line="276" w:lineRule="auto"/>
        <w:textAlignment w:val="baseline"/>
        <w:rPr>
          <w:rFonts w:ascii="Calibri" w:hAnsi="Calibri" w:cs="Calibri"/>
          <w:color w:val="4A4A4A"/>
          <w:sz w:val="21"/>
          <w:szCs w:val="21"/>
          <w:lang w:val="en-GB"/>
        </w:rPr>
      </w:pPr>
      <w:r w:rsidRPr="00D405AC">
        <w:rPr>
          <w:rFonts w:ascii="Calibri" w:hAnsi="Calibri" w:cs="Calibri"/>
          <w:color w:val="4A4A4A"/>
          <w:sz w:val="21"/>
          <w:szCs w:val="21"/>
          <w:lang w:val="en-GB"/>
        </w:rPr>
        <w:t xml:space="preserve">When a country does not measure the Tourism direct </w:t>
      </w:r>
      <w:r w:rsidR="00A647AF" w:rsidRPr="00D405AC">
        <w:rPr>
          <w:rFonts w:ascii="Calibri" w:hAnsi="Calibri" w:cs="Calibri"/>
          <w:color w:val="4A4A4A"/>
          <w:sz w:val="21"/>
          <w:szCs w:val="21"/>
          <w:lang w:val="en-GB"/>
        </w:rPr>
        <w:t>GDP but</w:t>
      </w:r>
      <w:r w:rsidRPr="00D405AC">
        <w:rPr>
          <w:rFonts w:ascii="Calibri" w:hAnsi="Calibri" w:cs="Calibri"/>
          <w:color w:val="4A4A4A"/>
          <w:sz w:val="21"/>
          <w:szCs w:val="21"/>
          <w:lang w:val="en-GB"/>
        </w:rPr>
        <w:t xml:space="preserve"> measures the Tourism Direct Gross Value Added (TDGVA), the indicator</w:t>
      </w:r>
      <w:r w:rsidR="00583F39">
        <w:rPr>
          <w:rFonts w:ascii="Calibri" w:hAnsi="Calibri" w:cs="Calibri"/>
          <w:color w:val="4A4A4A"/>
          <w:sz w:val="21"/>
          <w:szCs w:val="21"/>
          <w:lang w:val="en-GB"/>
        </w:rPr>
        <w:t xml:space="preserve"> Tourism Direct Gross Value Added as a proportion of total Gross Value Added (in %)</w:t>
      </w:r>
      <w:r w:rsidRPr="00D405AC">
        <w:rPr>
          <w:rFonts w:ascii="Calibri" w:hAnsi="Calibri" w:cs="Calibri"/>
          <w:color w:val="4A4A4A"/>
          <w:sz w:val="21"/>
          <w:szCs w:val="21"/>
          <w:lang w:val="en-GB"/>
        </w:rPr>
        <w:t xml:space="preserve"> is used as a proxy.  When </w:t>
      </w:r>
      <w:r w:rsidR="00A647AF">
        <w:rPr>
          <w:rFonts w:ascii="Calibri" w:hAnsi="Calibri" w:cs="Calibri"/>
          <w:color w:val="4A4A4A"/>
          <w:sz w:val="21"/>
          <w:szCs w:val="21"/>
          <w:lang w:val="en-GB"/>
        </w:rPr>
        <w:t>it is the case</w:t>
      </w:r>
      <w:r w:rsidRPr="00D405AC">
        <w:rPr>
          <w:rFonts w:ascii="Calibri" w:hAnsi="Calibri" w:cs="Calibri"/>
          <w:color w:val="4A4A4A"/>
          <w:sz w:val="21"/>
          <w:szCs w:val="21"/>
          <w:lang w:val="en-GB"/>
        </w:rPr>
        <w:t>, a footnote is included in the data.</w:t>
      </w:r>
    </w:p>
    <w:p w14:paraId="4158825A" w14:textId="77777777" w:rsidR="001A1E23" w:rsidRDefault="001A1E23">
      <w:pPr>
        <w:pStyle w:val="paragraph"/>
        <w:shd w:val="clear" w:color="auto" w:fill="FFFFFF"/>
        <w:spacing w:before="0" w:beforeAutospacing="0" w:after="0" w:afterAutospacing="0" w:line="276" w:lineRule="auto"/>
        <w:textAlignment w:val="baseline"/>
        <w:rPr>
          <w:rFonts w:ascii="Calibri" w:hAnsi="Calibri" w:cs="Calibri"/>
          <w:color w:val="4A4A4A"/>
          <w:sz w:val="21"/>
          <w:szCs w:val="21"/>
          <w:lang w:val="en-GB"/>
        </w:rPr>
      </w:pPr>
    </w:p>
    <w:p w14:paraId="03251E0B" w14:textId="398D5D7D" w:rsidR="001A1E23" w:rsidRDefault="00583F39">
      <w:pPr>
        <w:pStyle w:val="paragraph"/>
        <w:shd w:val="clear" w:color="auto" w:fill="FFFFFF"/>
        <w:spacing w:before="0" w:beforeAutospacing="0" w:after="0" w:afterAutospacing="0" w:line="276" w:lineRule="auto"/>
        <w:textAlignment w:val="baseline"/>
        <w:rPr>
          <w:rFonts w:ascii="Calibri" w:hAnsi="Calibri" w:cs="Calibri"/>
          <w:color w:val="4A4A4A"/>
          <w:sz w:val="21"/>
          <w:szCs w:val="21"/>
          <w:lang w:val="en-GB"/>
        </w:rPr>
      </w:pPr>
      <w:r>
        <w:rPr>
          <w:rFonts w:ascii="Calibri" w:hAnsi="Calibri" w:cs="Calibri"/>
          <w:color w:val="4A4A4A"/>
          <w:sz w:val="21"/>
          <w:szCs w:val="21"/>
          <w:lang w:val="en-GB"/>
        </w:rPr>
        <w:t>Tourism Direct Gross Value added</w:t>
      </w:r>
      <w:r w:rsidR="001A1E23">
        <w:rPr>
          <w:rFonts w:ascii="Calibri" w:hAnsi="Calibri" w:cs="Calibri"/>
          <w:color w:val="4A4A4A"/>
          <w:sz w:val="21"/>
          <w:szCs w:val="21"/>
          <w:lang w:val="en-GB"/>
        </w:rPr>
        <w:t xml:space="preserve"> (TDGVA)</w:t>
      </w:r>
      <w:r>
        <w:rPr>
          <w:rFonts w:ascii="Calibri" w:hAnsi="Calibri" w:cs="Calibri"/>
          <w:color w:val="4A4A4A"/>
          <w:sz w:val="21"/>
          <w:szCs w:val="21"/>
          <w:lang w:val="en-GB"/>
        </w:rPr>
        <w:t xml:space="preserve"> as a proportion of </w:t>
      </w:r>
      <w:r w:rsidR="00AC4F68">
        <w:rPr>
          <w:rFonts w:ascii="Calibri" w:hAnsi="Calibri" w:cs="Calibri"/>
          <w:color w:val="4A4A4A"/>
          <w:sz w:val="21"/>
          <w:szCs w:val="21"/>
          <w:lang w:val="en-GB"/>
        </w:rPr>
        <w:t xml:space="preserve">total </w:t>
      </w:r>
      <w:r>
        <w:rPr>
          <w:rFonts w:ascii="Calibri" w:hAnsi="Calibri" w:cs="Calibri"/>
          <w:color w:val="4A4A4A"/>
          <w:sz w:val="21"/>
          <w:szCs w:val="21"/>
          <w:lang w:val="en-GB"/>
        </w:rPr>
        <w:t xml:space="preserve">Gross Value Added </w:t>
      </w:r>
      <w:r w:rsidR="001A1E23">
        <w:rPr>
          <w:rFonts w:ascii="Calibri" w:hAnsi="Calibri" w:cs="Calibri"/>
          <w:color w:val="4A4A4A"/>
          <w:sz w:val="21"/>
          <w:szCs w:val="21"/>
          <w:lang w:val="en-GB"/>
        </w:rPr>
        <w:t xml:space="preserve">(GVA), </w:t>
      </w:r>
      <w:r>
        <w:rPr>
          <w:rFonts w:ascii="Calibri" w:hAnsi="Calibri" w:cs="Calibri"/>
          <w:color w:val="4A4A4A"/>
          <w:sz w:val="21"/>
          <w:szCs w:val="21"/>
          <w:lang w:val="en-GB"/>
        </w:rPr>
        <w:t>in %</w:t>
      </w:r>
      <w:r w:rsidR="001A1E23">
        <w:rPr>
          <w:rFonts w:ascii="Calibri" w:hAnsi="Calibri" w:cs="Calibri"/>
          <w:color w:val="4A4A4A"/>
          <w:sz w:val="21"/>
          <w:szCs w:val="21"/>
          <w:lang w:val="en-GB"/>
        </w:rPr>
        <w:t>:</w:t>
      </w:r>
    </w:p>
    <w:p w14:paraId="6DDC0CBE" w14:textId="6B785A17" w:rsidR="00583F39" w:rsidRPr="001A1E23" w:rsidRDefault="00C41D70">
      <w:pPr>
        <w:pStyle w:val="paragraph"/>
        <w:shd w:val="clear" w:color="auto" w:fill="FFFFFF"/>
        <w:spacing w:before="0" w:beforeAutospacing="0" w:after="0" w:afterAutospacing="0" w:line="276" w:lineRule="auto"/>
        <w:textAlignment w:val="baseline"/>
        <w:rPr>
          <w:rStyle w:val="normaltextrun"/>
          <w:rFonts w:ascii="Calibri" w:hAnsi="Calibri" w:cs="Calibri"/>
          <w:color w:val="4A4A4A"/>
          <w:sz w:val="21"/>
          <w:szCs w:val="21"/>
          <w:lang w:val="en-GB"/>
        </w:rPr>
      </w:pPr>
      <m:oMathPara>
        <m:oMathParaPr>
          <m:jc m:val="left"/>
        </m:oMathParaPr>
        <m:oMath>
          <m:d>
            <m:dPr>
              <m:ctrlPr>
                <w:rPr>
                  <w:rFonts w:ascii="Cambria Math" w:hAnsi="Cambria Math" w:cs="Calibri"/>
                  <w:i/>
                  <w:color w:val="4A4A4A"/>
                  <w:sz w:val="21"/>
                  <w:szCs w:val="21"/>
                  <w:lang w:val="en-GB"/>
                </w:rPr>
              </m:ctrlPr>
            </m:dPr>
            <m:e>
              <m:f>
                <m:fPr>
                  <m:ctrlPr>
                    <w:rPr>
                      <w:rFonts w:ascii="Cambria Math" w:hAnsi="Cambria Math" w:cs="Calibri"/>
                      <w:i/>
                      <w:color w:val="4A4A4A"/>
                      <w:sz w:val="21"/>
                      <w:szCs w:val="21"/>
                      <w:lang w:val="en-GB"/>
                    </w:rPr>
                  </m:ctrlPr>
                </m:fPr>
                <m:num>
                  <m:r>
                    <w:rPr>
                      <w:rFonts w:ascii="Cambria Math" w:hAnsi="Cambria Math" w:cs="Calibri"/>
                      <w:color w:val="4A4A4A"/>
                      <w:sz w:val="21"/>
                      <w:szCs w:val="21"/>
                      <w:lang w:val="en-GB"/>
                    </w:rPr>
                    <m:t>TDGVA</m:t>
                  </m:r>
                </m:num>
                <m:den>
                  <m:r>
                    <w:rPr>
                      <w:rFonts w:ascii="Cambria Math" w:hAnsi="Cambria Math" w:cs="Calibri"/>
                      <w:color w:val="4A4A4A"/>
                      <w:sz w:val="21"/>
                      <w:szCs w:val="21"/>
                      <w:lang w:val="en-GB"/>
                    </w:rPr>
                    <m:t>GVA</m:t>
                  </m:r>
                </m:den>
              </m:f>
            </m:e>
          </m:d>
          <m:r>
            <w:rPr>
              <w:rFonts w:ascii="Cambria Math" w:hAnsi="Cambria Math" w:cs="Calibri"/>
              <w:color w:val="4A4A4A"/>
              <w:sz w:val="21"/>
              <w:szCs w:val="21"/>
              <w:lang w:val="en-GB"/>
            </w:rPr>
            <m:t>×100</m:t>
          </m:r>
        </m:oMath>
      </m:oMathPara>
    </w:p>
    <w:p w14:paraId="1B815BE6" w14:textId="77777777" w:rsidR="00A647AF" w:rsidRDefault="00A647AF">
      <w:pPr>
        <w:pStyle w:val="paragraph"/>
        <w:shd w:val="clear" w:color="auto" w:fill="FFFFFF"/>
        <w:spacing w:before="0" w:beforeAutospacing="0" w:after="0" w:afterAutospacing="0" w:line="276" w:lineRule="auto"/>
        <w:textAlignment w:val="baseline"/>
        <w:rPr>
          <w:rStyle w:val="normaltextrun"/>
          <w:rFonts w:ascii="Calibri" w:hAnsi="Calibri" w:cs="Calibri"/>
          <w:color w:val="4A4A4A"/>
          <w:sz w:val="21"/>
          <w:szCs w:val="21"/>
          <w:lang w:val="en-GB"/>
        </w:rPr>
      </w:pPr>
    </w:p>
    <w:p w14:paraId="51FCD280" w14:textId="63F0DA20"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69C6805A" w14:textId="77777777" w:rsidR="002C0D8F" w:rsidRDefault="002C0D8F" w:rsidP="002C0D8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Aggregates are computed for the SDG regions and at the global level. </w:t>
      </w:r>
    </w:p>
    <w:p w14:paraId="7F36E5BE" w14:textId="45A3562A" w:rsidR="002C0D8F" w:rsidRDefault="002C0D8F" w:rsidP="002C0D8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For every year, estimates for countries </w:t>
      </w:r>
      <w:r w:rsidR="001908B0">
        <w:rPr>
          <w:rFonts w:eastAsia="Times New Roman" w:cs="Times New Roman"/>
          <w:color w:val="4A4A4A"/>
          <w:sz w:val="21"/>
          <w:szCs w:val="21"/>
          <w:lang w:eastAsia="en-GB"/>
        </w:rPr>
        <w:t xml:space="preserve">with missing data </w:t>
      </w:r>
      <w:r>
        <w:rPr>
          <w:rFonts w:eastAsia="Times New Roman" w:cs="Times New Roman"/>
          <w:color w:val="4A4A4A"/>
          <w:sz w:val="21"/>
          <w:szCs w:val="21"/>
          <w:lang w:eastAsia="en-GB"/>
        </w:rPr>
        <w:t>are computed as follows:</w:t>
      </w:r>
    </w:p>
    <w:p w14:paraId="78189D2F" w14:textId="5B4915C6" w:rsidR="002C0D8F" w:rsidRDefault="002C0D8F" w:rsidP="002C0D8F">
      <w:pPr>
        <w:pStyle w:val="ListParagraph"/>
        <w:numPr>
          <w:ilvl w:val="0"/>
          <w:numId w:val="6"/>
        </w:numPr>
        <w:shd w:val="clear" w:color="auto" w:fill="FFFFFF"/>
        <w:spacing w:after="0"/>
        <w:rPr>
          <w:rFonts w:eastAsia="Times New Roman" w:cs="Times New Roman"/>
          <w:color w:val="4A4A4A"/>
          <w:sz w:val="21"/>
          <w:szCs w:val="21"/>
          <w:lang w:eastAsia="en-GB"/>
        </w:rPr>
      </w:pPr>
      <w:r w:rsidRPr="00961A2D">
        <w:rPr>
          <w:rFonts w:eastAsia="Times New Roman" w:cs="Times New Roman"/>
          <w:i/>
          <w:iCs/>
          <w:color w:val="4A4A4A"/>
          <w:sz w:val="21"/>
          <w:szCs w:val="21"/>
          <w:lang w:eastAsia="en-GB"/>
        </w:rPr>
        <w:t>For countries without any reported data</w:t>
      </w:r>
      <w:r>
        <w:rPr>
          <w:rFonts w:eastAsia="Times New Roman" w:cs="Times New Roman"/>
          <w:color w:val="4A4A4A"/>
          <w:sz w:val="21"/>
          <w:szCs w:val="21"/>
          <w:lang w:eastAsia="en-GB"/>
        </w:rPr>
        <w:br/>
        <w:t xml:space="preserve">A multivariate linear regression model </w:t>
      </w:r>
      <w:r w:rsidR="001908B0">
        <w:rPr>
          <w:rFonts w:eastAsia="Times New Roman" w:cs="Times New Roman"/>
          <w:color w:val="4A4A4A"/>
          <w:sz w:val="21"/>
          <w:szCs w:val="21"/>
          <w:lang w:eastAsia="en-GB"/>
        </w:rPr>
        <w:t>is used with as explanatory variables</w:t>
      </w:r>
      <w:r>
        <w:rPr>
          <w:rFonts w:eastAsia="Times New Roman" w:cs="Times New Roman"/>
          <w:color w:val="4A4A4A"/>
          <w:sz w:val="21"/>
          <w:szCs w:val="21"/>
          <w:lang w:eastAsia="en-GB"/>
        </w:rPr>
        <w:t xml:space="preserve"> the number of hotel rooms in the country and inbound tourism expenditure (</w:t>
      </w:r>
      <w:r w:rsidR="001908B0">
        <w:rPr>
          <w:rFonts w:eastAsia="Times New Roman" w:cs="Times New Roman"/>
          <w:color w:val="4A4A4A"/>
          <w:sz w:val="21"/>
          <w:szCs w:val="21"/>
          <w:lang w:eastAsia="en-GB"/>
        </w:rPr>
        <w:t xml:space="preserve">computed from Balance of Payments data provided by the International Monetary Fund (IMF)), </w:t>
      </w:r>
      <w:r>
        <w:rPr>
          <w:rFonts w:eastAsia="Times New Roman" w:cs="Times New Roman"/>
          <w:color w:val="4A4A4A"/>
          <w:sz w:val="21"/>
          <w:szCs w:val="21"/>
          <w:lang w:eastAsia="en-GB"/>
        </w:rPr>
        <w:t>both available via UNWTO´s statistical database.</w:t>
      </w:r>
    </w:p>
    <w:p w14:paraId="0838996D" w14:textId="1DD52B91" w:rsidR="001908B0" w:rsidRDefault="002C0D8F" w:rsidP="002C0D8F">
      <w:pPr>
        <w:pStyle w:val="ListParagraph"/>
        <w:numPr>
          <w:ilvl w:val="0"/>
          <w:numId w:val="6"/>
        </w:numPr>
        <w:shd w:val="clear" w:color="auto" w:fill="FFFFFF"/>
        <w:spacing w:after="0"/>
        <w:rPr>
          <w:rFonts w:eastAsia="Times New Roman" w:cs="Times New Roman"/>
          <w:color w:val="4A4A4A"/>
          <w:sz w:val="21"/>
          <w:szCs w:val="21"/>
          <w:lang w:eastAsia="en-GB"/>
        </w:rPr>
      </w:pPr>
      <w:r w:rsidRPr="00961A2D">
        <w:rPr>
          <w:rFonts w:eastAsia="Times New Roman" w:cs="Times New Roman"/>
          <w:i/>
          <w:iCs/>
          <w:color w:val="4A4A4A"/>
          <w:sz w:val="21"/>
          <w:szCs w:val="21"/>
          <w:lang w:eastAsia="en-GB"/>
        </w:rPr>
        <w:t>For countries with reported data for years other than the year of reference</w:t>
      </w:r>
      <w:r>
        <w:rPr>
          <w:rFonts w:eastAsia="Times New Roman" w:cs="Times New Roman"/>
          <w:color w:val="4A4A4A"/>
          <w:sz w:val="21"/>
          <w:szCs w:val="21"/>
          <w:lang w:eastAsia="en-GB"/>
        </w:rPr>
        <w:br/>
        <w:t xml:space="preserve">A simple linear model based on inbound tourism expenditure </w:t>
      </w:r>
      <w:r w:rsidR="001908B0">
        <w:rPr>
          <w:rFonts w:eastAsia="Times New Roman" w:cs="Times New Roman"/>
          <w:color w:val="4A4A4A"/>
          <w:sz w:val="21"/>
          <w:szCs w:val="21"/>
          <w:lang w:eastAsia="en-GB"/>
        </w:rPr>
        <w:t xml:space="preserve">(computed from the IMF Balance of Payments data) </w:t>
      </w:r>
      <w:r>
        <w:rPr>
          <w:rFonts w:eastAsia="Times New Roman" w:cs="Times New Roman"/>
          <w:color w:val="4A4A4A"/>
          <w:sz w:val="21"/>
          <w:szCs w:val="21"/>
          <w:lang w:eastAsia="en-GB"/>
        </w:rPr>
        <w:t>as explanatory variable is used to estimate the nominal percent</w:t>
      </w:r>
      <w:r w:rsidR="002550F3">
        <w:rPr>
          <w:rFonts w:eastAsia="Times New Roman" w:cs="Times New Roman"/>
          <w:color w:val="4A4A4A"/>
          <w:sz w:val="21"/>
          <w:szCs w:val="21"/>
          <w:lang w:eastAsia="en-GB"/>
        </w:rPr>
        <w:t>age</w:t>
      </w:r>
      <w:r>
        <w:rPr>
          <w:rFonts w:eastAsia="Times New Roman" w:cs="Times New Roman"/>
          <w:color w:val="4A4A4A"/>
          <w:sz w:val="21"/>
          <w:szCs w:val="21"/>
          <w:lang w:eastAsia="en-GB"/>
        </w:rPr>
        <w:t xml:space="preserve"> change in TDGDP. These values are used to retro- and extrapolate the values reported by the country, using these as benchmark. </w:t>
      </w:r>
    </w:p>
    <w:p w14:paraId="63531B51" w14:textId="4303EA19" w:rsidR="002C0D8F" w:rsidRPr="001908B0" w:rsidRDefault="002C0D8F" w:rsidP="00A231F8">
      <w:pPr>
        <w:shd w:val="clear" w:color="auto" w:fill="FFFFFF"/>
        <w:spacing w:after="0"/>
        <w:ind w:left="720"/>
        <w:rPr>
          <w:rFonts w:eastAsia="Times New Roman" w:cs="Times New Roman"/>
          <w:color w:val="4A4A4A"/>
          <w:sz w:val="21"/>
          <w:szCs w:val="21"/>
          <w:lang w:eastAsia="en-GB"/>
        </w:rPr>
      </w:pPr>
      <w:r w:rsidRPr="003368D9">
        <w:rPr>
          <w:rFonts w:eastAsia="Times New Roman" w:cs="Times New Roman"/>
          <w:color w:val="4A4A4A"/>
          <w:sz w:val="21"/>
          <w:szCs w:val="21"/>
          <w:lang w:eastAsia="en-GB"/>
        </w:rPr>
        <w:t xml:space="preserve">For reference years between years with reported data, a linear trend between reported years is used. </w:t>
      </w:r>
    </w:p>
    <w:p w14:paraId="064BED63" w14:textId="15F51CF7" w:rsidR="002C0D8F" w:rsidRDefault="002C0D8F" w:rsidP="002C0D8F">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i/>
          <w:iCs/>
          <w:color w:val="4A4A4A"/>
          <w:sz w:val="21"/>
          <w:szCs w:val="21"/>
          <w:lang w:eastAsia="en-GB"/>
        </w:rPr>
        <w:t>Special cases</w:t>
      </w:r>
      <w:r>
        <w:rPr>
          <w:rFonts w:eastAsia="Times New Roman" w:cs="Times New Roman"/>
          <w:i/>
          <w:iCs/>
          <w:color w:val="4A4A4A"/>
          <w:sz w:val="21"/>
          <w:szCs w:val="21"/>
          <w:lang w:eastAsia="en-GB"/>
        </w:rPr>
        <w:br/>
      </w:r>
      <w:r>
        <w:rPr>
          <w:rFonts w:eastAsia="Times New Roman" w:cs="Times New Roman"/>
          <w:color w:val="4A4A4A"/>
          <w:sz w:val="21"/>
          <w:szCs w:val="21"/>
          <w:lang w:eastAsia="en-GB"/>
        </w:rPr>
        <w:t xml:space="preserve">Some data reported by countries that do not correspond to Tourism Direct GDP or GVA and are therefore not published, </w:t>
      </w:r>
      <w:r w:rsidR="001908B0">
        <w:rPr>
          <w:rFonts w:eastAsia="Times New Roman" w:cs="Times New Roman"/>
          <w:color w:val="4A4A4A"/>
          <w:sz w:val="21"/>
          <w:szCs w:val="21"/>
          <w:lang w:eastAsia="en-GB"/>
        </w:rPr>
        <w:t xml:space="preserve">may </w:t>
      </w:r>
      <w:r>
        <w:rPr>
          <w:rFonts w:eastAsia="Times New Roman" w:cs="Times New Roman"/>
          <w:color w:val="4A4A4A"/>
          <w:sz w:val="21"/>
          <w:szCs w:val="21"/>
          <w:lang w:eastAsia="en-GB"/>
        </w:rPr>
        <w:t xml:space="preserve">still be used in the calculation of aggregates.  </w:t>
      </w:r>
    </w:p>
    <w:p w14:paraId="23FA3863" w14:textId="77777777" w:rsidR="0017399B" w:rsidRDefault="0017399B" w:rsidP="002C0D8F">
      <w:pPr>
        <w:shd w:val="clear" w:color="auto" w:fill="FFFFFF"/>
        <w:spacing w:after="0"/>
        <w:rPr>
          <w:rFonts w:eastAsia="Times New Roman" w:cs="Times New Roman"/>
          <w:color w:val="4A4A4A"/>
          <w:sz w:val="21"/>
          <w:szCs w:val="21"/>
          <w:lang w:eastAsia="en-GB"/>
        </w:rPr>
      </w:pPr>
    </w:p>
    <w:p w14:paraId="29DEA537" w14:textId="3D69EEC8" w:rsidR="002C0D8F" w:rsidRDefault="002C0D8F" w:rsidP="002C0D8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For each year, countries without reported data for which the methodology yields negative estimates or for which no data to feed the linear models are available are discarded. Regional (and global) aggregates are then obtained by computing weighted averages of TDGDP, using total GDP as the weight, for countries within the region of interest for which data or estimates are available. </w:t>
      </w:r>
    </w:p>
    <w:p w14:paraId="5D74F5F0" w14:textId="77777777" w:rsidR="002C0D8F" w:rsidRPr="00961A2D" w:rsidRDefault="002C0D8F" w:rsidP="002C0D8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GDP coverage for each aggregate is obtained by calculating the percentage of total regional GDP that is represented by countries for which data is reported or for which an estimate is available. If this coverage is relatively low (below 60 percent), estimates are published with a cautionary footnote.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15A8F671" w14:textId="6B890DCC" w:rsidR="00AB7635" w:rsidRDefault="00AB7635" w:rsidP="00AB7635">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4A4A4A"/>
          <w:sz w:val="21"/>
          <w:szCs w:val="21"/>
          <w:lang w:val="en-GB"/>
        </w:rPr>
        <w:t>The methodology is described in the </w:t>
      </w:r>
      <w:hyperlink r:id="rId13" w:tgtFrame="_blank" w:history="1">
        <w:r>
          <w:rPr>
            <w:rStyle w:val="normaltextrun"/>
            <w:rFonts w:ascii="Calibri" w:hAnsi="Calibri" w:cs="Calibri"/>
            <w:color w:val="0000FF"/>
            <w:sz w:val="21"/>
            <w:szCs w:val="21"/>
            <w:u w:val="single"/>
            <w:lang w:val="en-GB"/>
          </w:rPr>
          <w:t>Tourism Satellite Account: Recommended Methodological Framework 2008</w:t>
        </w:r>
      </w:hyperlink>
      <w:r>
        <w:rPr>
          <w:rStyle w:val="normaltextrun"/>
          <w:color w:val="4A4A4A"/>
          <w:sz w:val="21"/>
          <w:szCs w:val="21"/>
          <w:lang w:val="en-GB"/>
        </w:rPr>
        <w:t>. </w:t>
      </w:r>
      <w:r>
        <w:rPr>
          <w:rStyle w:val="eop"/>
          <w:color w:val="4A4A4A"/>
          <w:sz w:val="21"/>
          <w:szCs w:val="21"/>
        </w:rPr>
        <w:t> </w:t>
      </w:r>
    </w:p>
    <w:p w14:paraId="0E02FB96" w14:textId="77777777" w:rsidR="00AB7635" w:rsidRDefault="00AB7635" w:rsidP="00AB7635">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eop"/>
          <w:color w:val="4A4A4A"/>
          <w:sz w:val="21"/>
          <w:szCs w:val="21"/>
        </w:rPr>
        <w:t> </w:t>
      </w:r>
    </w:p>
    <w:p w14:paraId="5E3E08DA" w14:textId="0931B30D" w:rsidR="00AB7635" w:rsidRDefault="00AB7635" w:rsidP="00C41D70">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eop"/>
          <w:rFonts w:ascii="Calibri" w:hAnsi="Calibri" w:cs="Calibri"/>
          <w:color w:val="494949"/>
          <w:sz w:val="21"/>
          <w:szCs w:val="21"/>
        </w:rPr>
        <w:t> </w:t>
      </w:r>
      <w:r>
        <w:rPr>
          <w:rStyle w:val="normaltextrun"/>
          <w:rFonts w:ascii="Calibri" w:hAnsi="Calibri" w:cs="Calibri"/>
          <w:color w:val="494949"/>
          <w:sz w:val="21"/>
          <w:szCs w:val="21"/>
          <w:lang w:val="en-GB"/>
        </w:rPr>
        <w:t>For the purposes of SDG reporting, UNWTO </w:t>
      </w:r>
      <w:r w:rsidR="00FC6F07">
        <w:rPr>
          <w:rStyle w:val="normaltextrun"/>
          <w:rFonts w:ascii="Calibri" w:hAnsi="Calibri" w:cs="Calibri"/>
          <w:color w:val="494949"/>
          <w:sz w:val="21"/>
          <w:szCs w:val="21"/>
          <w:lang w:val="en-GB"/>
        </w:rPr>
        <w:t>suggests</w:t>
      </w:r>
      <w:r>
        <w:rPr>
          <w:rStyle w:val="normaltextrun"/>
          <w:rFonts w:ascii="Calibri" w:hAnsi="Calibri" w:cs="Calibri"/>
          <w:color w:val="494949"/>
          <w:sz w:val="21"/>
          <w:szCs w:val="21"/>
          <w:lang w:val="en-GB"/>
        </w:rPr>
        <w:t xml:space="preserve"> an experimental approach that might be used by countries with limited data to compile estimates of TDGDP using the conceptual framing of the TSA and the most commonly available data but not requiring the full compilation of TSA. In this regard, the approach </w:t>
      </w:r>
      <w:r>
        <w:rPr>
          <w:rStyle w:val="normaltextrun"/>
          <w:rFonts w:ascii="Calibri" w:hAnsi="Calibri" w:cs="Calibri"/>
          <w:color w:val="494949"/>
          <w:sz w:val="21"/>
          <w:szCs w:val="21"/>
          <w:lang w:val="en-GB"/>
        </w:rPr>
        <w:lastRenderedPageBreak/>
        <w:t>is intended to provide a starting point for countries with limited data that can then move towards the compilation of TSA and the more complete measurement of TDGDP. For more information, see</w:t>
      </w:r>
      <w:r>
        <w:rPr>
          <w:rStyle w:val="normaltextrun"/>
          <w:rFonts w:ascii="Calibri" w:hAnsi="Calibri" w:cs="Calibri"/>
          <w:sz w:val="22"/>
          <w:szCs w:val="22"/>
          <w:lang w:val="en-GB"/>
        </w:rPr>
        <w:t> </w:t>
      </w:r>
      <w:hyperlink r:id="rId14" w:tgtFrame="_blank" w:history="1">
        <w:r>
          <w:rPr>
            <w:rStyle w:val="normaltextrun"/>
            <w:rFonts w:ascii="Calibri" w:hAnsi="Calibri" w:cs="Calibri"/>
            <w:color w:val="0000FF"/>
            <w:sz w:val="21"/>
            <w:szCs w:val="21"/>
            <w:u w:val="single"/>
            <w:lang w:val="en-GB"/>
          </w:rPr>
          <w:t>Proposals for estimating Tourism Direct GDP with limited data</w:t>
        </w:r>
      </w:hyperlink>
      <w:r>
        <w:rPr>
          <w:rStyle w:val="normaltextrun"/>
          <w:rFonts w:ascii="Calibri" w:hAnsi="Calibri" w:cs="Calibri"/>
          <w:sz w:val="22"/>
          <w:szCs w:val="22"/>
          <w:lang w:val="en-GB"/>
        </w:rPr>
        <w:t>.</w:t>
      </w:r>
      <w:r>
        <w:rPr>
          <w:rStyle w:val="eop"/>
          <w:rFonts w:ascii="Calibri" w:hAnsi="Calibri" w:cs="Calibri"/>
          <w:sz w:val="22"/>
          <w:szCs w:val="22"/>
        </w:rPr>
        <w:t> </w:t>
      </w:r>
    </w:p>
    <w:p w14:paraId="2939895F" w14:textId="77777777" w:rsidR="00EC2915" w:rsidRPr="00A96255" w:rsidRDefault="00EC2915" w:rsidP="00576CFA">
      <w:pPr>
        <w:pStyle w:val="MText"/>
      </w:pPr>
    </w:p>
    <w:p w14:paraId="494C36E8" w14:textId="3CBDCB91" w:rsidR="00E1050F" w:rsidRPr="00A96255" w:rsidRDefault="00576CFA" w:rsidP="00F719A8">
      <w:pPr>
        <w:pStyle w:val="MHeader2"/>
      </w:pPr>
      <w:r w:rsidRPr="00A96255">
        <w:t xml:space="preserve">4.i. Quality management </w:t>
      </w:r>
      <w:r>
        <w:rPr>
          <w:color w:val="B4B4B4"/>
          <w:sz w:val="20"/>
        </w:rPr>
        <w:t>(QUALITY_MGMNT)</w:t>
      </w:r>
    </w:p>
    <w:p w14:paraId="1C2852C9" w14:textId="77777777" w:rsidR="007B2400" w:rsidRPr="007B2400" w:rsidRDefault="007B2400" w:rsidP="007B2400">
      <w:pPr>
        <w:pStyle w:val="MText"/>
        <w:rPr>
          <w:lang w:val="en-US"/>
        </w:rPr>
      </w:pPr>
      <w:r w:rsidRPr="007B2400">
        <w:t xml:space="preserve">Recommendations on quality management for the underlying tourism data needed to compile a TSA are available in </w:t>
      </w:r>
      <w:hyperlink r:id="rId15" w:history="1">
        <w:r w:rsidRPr="007B2400">
          <w:rPr>
            <w:rStyle w:val="Hyperlink"/>
          </w:rPr>
          <w:t>the International Recommendations for Tourism Statistics 2008</w:t>
        </w:r>
      </w:hyperlink>
      <w:r w:rsidRPr="007B2400">
        <w:t xml:space="preserve"> (IRTS 2008), the </w:t>
      </w:r>
      <w:r w:rsidRPr="007B2400">
        <w:rPr>
          <w:lang w:val="en-US"/>
        </w:rPr>
        <w:t>UN ratified methodological framework for measuring tourism.</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5BE1121E" w:rsidR="00EC2915" w:rsidRDefault="00AB7635" w:rsidP="00576CFA">
      <w:pPr>
        <w:pStyle w:val="MText"/>
        <w:rPr>
          <w:rStyle w:val="eop"/>
          <w:rFonts w:ascii="Calibri" w:hAnsi="Calibri" w:cs="Calibri"/>
          <w:color w:val="494949"/>
          <w:shd w:val="clear" w:color="auto" w:fill="FFFFFF"/>
        </w:rPr>
      </w:pPr>
      <w:r>
        <w:rPr>
          <w:rStyle w:val="normaltextrun"/>
          <w:rFonts w:ascii="Calibri" w:hAnsi="Calibri" w:cs="Calibri"/>
          <w:color w:val="494949"/>
          <w:shd w:val="clear" w:color="auto" w:fill="FFFFFF"/>
        </w:rPr>
        <w:t>Any discrepancies are resolved through written communication with countries.</w:t>
      </w:r>
      <w:r>
        <w:rPr>
          <w:rStyle w:val="eop"/>
          <w:rFonts w:ascii="Calibri" w:hAnsi="Calibri" w:cs="Calibri"/>
          <w:color w:val="494949"/>
          <w:shd w:val="clear" w:color="auto" w:fill="FFFFFF"/>
        </w:rPr>
        <w:t> </w:t>
      </w:r>
    </w:p>
    <w:p w14:paraId="6481025B" w14:textId="77777777" w:rsidR="00AB7635" w:rsidRPr="00A96255" w:rsidRDefault="00AB7635" w:rsidP="00576CFA">
      <w:pPr>
        <w:pStyle w:val="MText"/>
      </w:pPr>
    </w:p>
    <w:p w14:paraId="34ADD322" w14:textId="313F8D01" w:rsidR="00E1050F" w:rsidRPr="00A96255" w:rsidRDefault="00576CFA" w:rsidP="00F719A8">
      <w:pPr>
        <w:pStyle w:val="MHeader2"/>
      </w:pPr>
      <w:r w:rsidRPr="00A96255">
        <w:t xml:space="preserve">4.k Quality assessment </w:t>
      </w:r>
      <w:r>
        <w:rPr>
          <w:color w:val="B4B4B4"/>
          <w:sz w:val="20"/>
        </w:rPr>
        <w:t>(QUALITY_ASSMNT)</w:t>
      </w:r>
    </w:p>
    <w:p w14:paraId="6AA76230" w14:textId="0F4760F1" w:rsidR="00576CFA" w:rsidRDefault="007B2400" w:rsidP="00576CFA">
      <w:pPr>
        <w:pStyle w:val="MText"/>
      </w:pPr>
      <w:r w:rsidRPr="007B2400">
        <w:t xml:space="preserve">The data should comply with the recommendations </w:t>
      </w:r>
      <w:r w:rsidR="00FC6F07">
        <w:t xml:space="preserve">on concepts, definitions and classifications </w:t>
      </w:r>
      <w:r w:rsidRPr="007B2400">
        <w:t xml:space="preserve">provided in the international standards: the </w:t>
      </w:r>
      <w:hyperlink r:id="rId16">
        <w:r w:rsidRPr="007B2400">
          <w:rPr>
            <w:rStyle w:val="Hyperlink"/>
          </w:rPr>
          <w:t>Tourism Satellite Account: Recommended Methodological Framework 2008</w:t>
        </w:r>
      </w:hyperlink>
      <w:r>
        <w:t>.</w:t>
      </w:r>
    </w:p>
    <w:p w14:paraId="5B7C52CE" w14:textId="7D92C170" w:rsidR="00576CFA" w:rsidRPr="00A96255" w:rsidRDefault="00576CFA" w:rsidP="00576CFA">
      <w:pPr>
        <w:pStyle w:val="MText"/>
      </w:pPr>
    </w:p>
    <w:p w14:paraId="4CD8F3EF" w14:textId="1FEE77E4" w:rsidR="00F719A8" w:rsidRPr="00791A85" w:rsidRDefault="00576CFA" w:rsidP="00791A85">
      <w:pPr>
        <w:pStyle w:val="MHeader"/>
        <w:spacing w:after="100"/>
      </w:pPr>
      <w:r w:rsidRPr="00A96255">
        <w:t xml:space="preserve">5. Data availability and disaggregation </w:t>
      </w:r>
      <w:r>
        <w:rPr>
          <w:color w:val="B4B4B4"/>
          <w:sz w:val="20"/>
        </w:rPr>
        <w:t>(COVERAGE)</w:t>
      </w:r>
    </w:p>
    <w:p w14:paraId="1F704C08" w14:textId="1395BB71" w:rsidR="00AB7635" w:rsidRPr="00A231F8" w:rsidRDefault="00D51E7C" w:rsidP="00892BE2">
      <w:pPr>
        <w:pStyle w:val="MText"/>
      </w:pPr>
      <w:r w:rsidRPr="001720A1">
        <w:rPr>
          <w:b/>
        </w:rPr>
        <w:t>Data availability:</w:t>
      </w:r>
    </w:p>
    <w:p w14:paraId="322184A2" w14:textId="36ACC6BC" w:rsidR="00AB7635" w:rsidRDefault="000820BD" w:rsidP="000820BD">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4A4A4A"/>
          <w:sz w:val="21"/>
          <w:szCs w:val="21"/>
        </w:rPr>
        <w:t>As of March 202</w:t>
      </w:r>
      <w:r w:rsidR="00E20FE7">
        <w:rPr>
          <w:rStyle w:val="normaltextrun"/>
          <w:rFonts w:ascii="Calibri" w:hAnsi="Calibri" w:cs="Calibri"/>
          <w:color w:val="4A4A4A"/>
          <w:sz w:val="21"/>
          <w:szCs w:val="21"/>
        </w:rPr>
        <w:t>4</w:t>
      </w:r>
      <w:r>
        <w:rPr>
          <w:rStyle w:val="normaltextrun"/>
          <w:rFonts w:ascii="Calibri" w:hAnsi="Calibri" w:cs="Calibri"/>
          <w:color w:val="4A4A4A"/>
          <w:sz w:val="21"/>
          <w:szCs w:val="21"/>
        </w:rPr>
        <w:t>, m</w:t>
      </w:r>
      <w:r w:rsidRPr="000820BD">
        <w:rPr>
          <w:rStyle w:val="normaltextrun"/>
          <w:rFonts w:ascii="Calibri" w:hAnsi="Calibri" w:cs="Calibri"/>
          <w:color w:val="4A4A4A"/>
          <w:sz w:val="21"/>
          <w:szCs w:val="21"/>
        </w:rPr>
        <w:t>ore</w:t>
      </w:r>
      <w:r w:rsidR="00AB7635">
        <w:rPr>
          <w:rStyle w:val="normaltextrun"/>
          <w:rFonts w:ascii="Calibri" w:hAnsi="Calibri" w:cs="Calibri"/>
          <w:color w:val="4A4A4A"/>
          <w:sz w:val="21"/>
          <w:szCs w:val="21"/>
        </w:rPr>
        <w:t xml:space="preserve"> than</w:t>
      </w:r>
      <w:r w:rsidR="00AB7635">
        <w:rPr>
          <w:rStyle w:val="normaltextrun"/>
          <w:color w:val="4A4A4A"/>
          <w:sz w:val="21"/>
          <w:szCs w:val="21"/>
        </w:rPr>
        <w:t> </w:t>
      </w:r>
      <w:r w:rsidR="00AB7635">
        <w:rPr>
          <w:rStyle w:val="normaltextrun"/>
          <w:rFonts w:ascii="Calibri" w:hAnsi="Calibri" w:cs="Calibri"/>
          <w:color w:val="4A4A4A"/>
          <w:sz w:val="21"/>
          <w:szCs w:val="21"/>
        </w:rPr>
        <w:t xml:space="preserve">70 countries have data available </w:t>
      </w:r>
      <w:r>
        <w:rPr>
          <w:rStyle w:val="normaltextrun"/>
          <w:rFonts w:ascii="Calibri" w:hAnsi="Calibri" w:cs="Calibri"/>
          <w:color w:val="4A4A4A"/>
          <w:sz w:val="21"/>
          <w:szCs w:val="21"/>
        </w:rPr>
        <w:t>for</w:t>
      </w:r>
      <w:r w:rsidRPr="000820BD">
        <w:rPr>
          <w:rStyle w:val="normaltextrun"/>
          <w:rFonts w:ascii="Calibri" w:hAnsi="Calibri" w:cs="Calibri"/>
          <w:color w:val="4A4A4A"/>
          <w:sz w:val="21"/>
          <w:szCs w:val="21"/>
        </w:rPr>
        <w:t xml:space="preserve"> </w:t>
      </w:r>
      <w:r w:rsidR="00AB7635">
        <w:rPr>
          <w:rStyle w:val="normaltextrun"/>
          <w:rFonts w:ascii="Calibri" w:hAnsi="Calibri" w:cs="Calibri"/>
          <w:color w:val="4A4A4A"/>
          <w:sz w:val="21"/>
          <w:szCs w:val="21"/>
        </w:rPr>
        <w:t>this indicator</w:t>
      </w:r>
      <w:r>
        <w:rPr>
          <w:rStyle w:val="normaltextrun"/>
          <w:rFonts w:ascii="Calibri" w:hAnsi="Calibri" w:cs="Calibri"/>
          <w:color w:val="4A4A4A"/>
          <w:sz w:val="21"/>
          <w:szCs w:val="21"/>
        </w:rPr>
        <w:t xml:space="preserve"> in 2020. The number of countries with a TSA exercise is monitored by SDG indicator 12.b.1. According to data reported by countries for the SDG indicator 12.b.1, </w:t>
      </w:r>
      <w:r w:rsidR="00885C91">
        <w:rPr>
          <w:rStyle w:val="normaltextrun"/>
          <w:rFonts w:ascii="Calibri" w:hAnsi="Calibri" w:cs="Calibri"/>
          <w:color w:val="4A4A4A"/>
          <w:sz w:val="21"/>
          <w:szCs w:val="21"/>
        </w:rPr>
        <w:t>99</w:t>
      </w:r>
      <w:r>
        <w:rPr>
          <w:rStyle w:val="normaltextrun"/>
          <w:rFonts w:ascii="Calibri" w:hAnsi="Calibri" w:cs="Calibri"/>
          <w:color w:val="4A4A4A"/>
          <w:sz w:val="21"/>
          <w:szCs w:val="21"/>
        </w:rPr>
        <w:t xml:space="preserve"> countries have conducted a TSA exercise in the period between 201</w:t>
      </w:r>
      <w:r w:rsidR="00865E40">
        <w:rPr>
          <w:rStyle w:val="normaltextrun"/>
          <w:rFonts w:ascii="Calibri" w:hAnsi="Calibri" w:cs="Calibri"/>
          <w:color w:val="4A4A4A"/>
          <w:sz w:val="21"/>
          <w:szCs w:val="21"/>
        </w:rPr>
        <w:t>7</w:t>
      </w:r>
      <w:r>
        <w:rPr>
          <w:rStyle w:val="normaltextrun"/>
          <w:rFonts w:ascii="Calibri" w:hAnsi="Calibri" w:cs="Calibri"/>
          <w:color w:val="4A4A4A"/>
          <w:sz w:val="21"/>
          <w:szCs w:val="21"/>
        </w:rPr>
        <w:t xml:space="preserve"> and 202</w:t>
      </w:r>
      <w:r w:rsidR="00885C91">
        <w:rPr>
          <w:rStyle w:val="normaltextrun"/>
          <w:rFonts w:ascii="Calibri" w:hAnsi="Calibri" w:cs="Calibri"/>
          <w:color w:val="4A4A4A"/>
          <w:sz w:val="21"/>
          <w:szCs w:val="21"/>
        </w:rPr>
        <w:t>2</w:t>
      </w:r>
      <w:r>
        <w:rPr>
          <w:rStyle w:val="normaltextrun"/>
          <w:rFonts w:ascii="Calibri" w:hAnsi="Calibri" w:cs="Calibri"/>
          <w:color w:val="4A4A4A"/>
          <w:sz w:val="21"/>
          <w:szCs w:val="21"/>
        </w:rPr>
        <w:t xml:space="preserve">. </w:t>
      </w:r>
    </w:p>
    <w:p w14:paraId="2D0542F7" w14:textId="3DE6BFAB" w:rsidR="00D51E7C" w:rsidRPr="00C019E5" w:rsidRDefault="00D51E7C" w:rsidP="00576CFA">
      <w:pPr>
        <w:pStyle w:val="MText"/>
        <w:rPr>
          <w:highlight w:val="cyan"/>
        </w:rPr>
      </w:pPr>
    </w:p>
    <w:p w14:paraId="5853D6F7" w14:textId="5389ACD8" w:rsidR="00D51E7C" w:rsidRPr="00A231F8" w:rsidRDefault="00D51E7C" w:rsidP="00576CFA">
      <w:pPr>
        <w:pStyle w:val="MText"/>
      </w:pPr>
      <w:r w:rsidRPr="001720A1">
        <w:rPr>
          <w:b/>
        </w:rPr>
        <w:t>Time series:</w:t>
      </w:r>
    </w:p>
    <w:p w14:paraId="63B8CB3C" w14:textId="0027D979" w:rsidR="00AB7635" w:rsidRPr="00C019E5" w:rsidRDefault="00AB7635" w:rsidP="00576CFA">
      <w:pPr>
        <w:pStyle w:val="MText"/>
        <w:rPr>
          <w:highlight w:val="cyan"/>
        </w:rPr>
      </w:pPr>
      <w:r>
        <w:rPr>
          <w:rStyle w:val="normaltextrun"/>
          <w:rFonts w:ascii="Calibri" w:hAnsi="Calibri" w:cs="Calibri"/>
        </w:rPr>
        <w:t xml:space="preserve">Annual data from 2008 </w:t>
      </w:r>
      <w:r w:rsidR="002C0D8F">
        <w:rPr>
          <w:rStyle w:val="normaltextrun"/>
          <w:rFonts w:ascii="Calibri" w:hAnsi="Calibri" w:cs="Calibri"/>
        </w:rPr>
        <w:t>onwards</w:t>
      </w:r>
      <w:r>
        <w:rPr>
          <w:rStyle w:val="normaltextrun"/>
        </w:rPr>
        <w:t> </w:t>
      </w:r>
      <w:r>
        <w:rPr>
          <w:rStyle w:val="normaltextrun"/>
          <w:rFonts w:ascii="Calibri" w:hAnsi="Calibri" w:cs="Calibri"/>
        </w:rPr>
        <w:t>are available.</w:t>
      </w:r>
      <w:r>
        <w:rPr>
          <w:rStyle w:val="eop"/>
          <w:rFonts w:ascii="Calibri" w:hAnsi="Calibri" w:cs="Calibri"/>
        </w:rPr>
        <w:t> </w:t>
      </w:r>
    </w:p>
    <w:p w14:paraId="760C013A" w14:textId="4597FCBD" w:rsidR="00D51E7C" w:rsidRPr="00C019E5" w:rsidRDefault="00D51E7C" w:rsidP="00576CFA">
      <w:pPr>
        <w:pStyle w:val="MText"/>
        <w:rPr>
          <w:highlight w:val="cyan"/>
        </w:rPr>
      </w:pPr>
    </w:p>
    <w:p w14:paraId="72C7C370" w14:textId="5EB5ACAE" w:rsidR="00D51E7C" w:rsidRPr="00A231F8" w:rsidRDefault="00D51E7C" w:rsidP="00892BE2">
      <w:pPr>
        <w:pStyle w:val="MText"/>
      </w:pPr>
      <w:r w:rsidRPr="001720A1">
        <w:rPr>
          <w:b/>
        </w:rPr>
        <w:t>Disaggregation:</w:t>
      </w:r>
    </w:p>
    <w:p w14:paraId="34C16B3D" w14:textId="77777777" w:rsidR="00AB7635" w:rsidRDefault="00AB7635" w:rsidP="00A231F8">
      <w:pPr>
        <w:pStyle w:val="paragraph"/>
        <w:shd w:val="clear" w:color="auto" w:fill="FFFFFF"/>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color w:val="4A4A4A"/>
          <w:sz w:val="21"/>
          <w:szCs w:val="21"/>
        </w:rPr>
        <w:t>TDGDP is derived from the productive activities that cater directly to</w:t>
      </w:r>
      <w:r>
        <w:rPr>
          <w:rStyle w:val="normaltextrun"/>
          <w:color w:val="4A4A4A"/>
          <w:sz w:val="21"/>
          <w:szCs w:val="21"/>
        </w:rPr>
        <w:t> </w:t>
      </w:r>
      <w:r>
        <w:rPr>
          <w:rStyle w:val="normaltextrun"/>
          <w:rFonts w:ascii="Calibri" w:hAnsi="Calibri" w:cs="Calibri"/>
          <w:color w:val="4A4A4A"/>
          <w:sz w:val="21"/>
          <w:szCs w:val="21"/>
        </w:rPr>
        <w:t>tourism and so it could be possible to disaggregate by tourism industries (e.g. accommodation for visitors, the</w:t>
      </w:r>
      <w:r>
        <w:rPr>
          <w:rStyle w:val="normaltextrun"/>
          <w:color w:val="4A4A4A"/>
          <w:sz w:val="21"/>
          <w:szCs w:val="21"/>
        </w:rPr>
        <w:t> </w:t>
      </w:r>
      <w:r>
        <w:rPr>
          <w:rStyle w:val="normaltextrun"/>
          <w:rFonts w:ascii="Calibri" w:hAnsi="Calibri" w:cs="Calibri"/>
          <w:color w:val="4A4A4A"/>
          <w:sz w:val="21"/>
          <w:szCs w:val="21"/>
        </w:rPr>
        <w:t>different kinds of passenger transportation, etc.).</w:t>
      </w:r>
      <w:r>
        <w:rPr>
          <w:rStyle w:val="eop"/>
          <w:rFonts w:ascii="Calibri" w:hAnsi="Calibri" w:cs="Calibri"/>
          <w:color w:val="4A4A4A"/>
          <w:sz w:val="21"/>
          <w:szCs w:val="21"/>
        </w:rPr>
        <w:t> </w:t>
      </w:r>
    </w:p>
    <w:p w14:paraId="7B3BC58B" w14:textId="5D9F4F89" w:rsidR="00AB7635" w:rsidRDefault="00AB7635" w:rsidP="00A231F8">
      <w:pPr>
        <w:pStyle w:val="paragraph"/>
        <w:shd w:val="clear" w:color="auto" w:fill="FFFFFF"/>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color w:val="4A4A4A"/>
          <w:sz w:val="21"/>
          <w:szCs w:val="21"/>
        </w:rPr>
        <w:t>Sub-national disaggregation/estimates of Tourism Direct GDP are possible and there are a number of </w:t>
      </w:r>
      <w:r w:rsidR="00FC6F07">
        <w:rPr>
          <w:rStyle w:val="normaltextrun"/>
          <w:rFonts w:ascii="Calibri" w:hAnsi="Calibri" w:cs="Calibri"/>
          <w:color w:val="4A4A4A"/>
          <w:sz w:val="21"/>
          <w:szCs w:val="21"/>
        </w:rPr>
        <w:t xml:space="preserve">countries’ </w:t>
      </w:r>
      <w:r>
        <w:rPr>
          <w:rStyle w:val="normaltextrun"/>
          <w:rFonts w:ascii="Calibri" w:hAnsi="Calibri" w:cs="Calibri"/>
          <w:color w:val="4A4A4A"/>
          <w:sz w:val="21"/>
          <w:szCs w:val="21"/>
        </w:rPr>
        <w:t>subnational</w:t>
      </w:r>
      <w:r>
        <w:rPr>
          <w:rStyle w:val="normaltextrun"/>
          <w:color w:val="4A4A4A"/>
          <w:sz w:val="21"/>
          <w:szCs w:val="21"/>
        </w:rPr>
        <w:t> </w:t>
      </w:r>
      <w:r>
        <w:rPr>
          <w:rStyle w:val="normaltextrun"/>
          <w:rFonts w:ascii="Calibri" w:hAnsi="Calibri" w:cs="Calibri"/>
          <w:color w:val="4A4A4A"/>
          <w:sz w:val="21"/>
          <w:szCs w:val="21"/>
        </w:rPr>
        <w:t>regions that have information on this. However, there is no consensus on a methodology for doing this</w:t>
      </w:r>
      <w:r>
        <w:rPr>
          <w:rStyle w:val="normaltextrun"/>
          <w:color w:val="4A4A4A"/>
          <w:sz w:val="21"/>
          <w:szCs w:val="21"/>
        </w:rPr>
        <w:t> </w:t>
      </w:r>
      <w:r>
        <w:rPr>
          <w:rStyle w:val="normaltextrun"/>
          <w:rFonts w:ascii="Calibri" w:hAnsi="Calibri" w:cs="Calibri"/>
          <w:color w:val="4A4A4A"/>
          <w:sz w:val="21"/>
          <w:szCs w:val="21"/>
        </w:rPr>
        <w:t>in a standardized way, compromising international comparability. In any case, it seems that collection of data would be warranted only for those</w:t>
      </w:r>
      <w:r>
        <w:rPr>
          <w:rStyle w:val="normaltextrun"/>
          <w:color w:val="4A4A4A"/>
          <w:sz w:val="21"/>
          <w:szCs w:val="21"/>
        </w:rPr>
        <w:t> </w:t>
      </w:r>
      <w:r>
        <w:rPr>
          <w:rStyle w:val="normaltextrun"/>
          <w:rFonts w:ascii="Calibri" w:hAnsi="Calibri" w:cs="Calibri"/>
          <w:color w:val="4A4A4A"/>
          <w:sz w:val="21"/>
          <w:szCs w:val="21"/>
        </w:rPr>
        <w:t xml:space="preserve">regions </w:t>
      </w:r>
      <w:r w:rsidR="00FC6F07">
        <w:rPr>
          <w:rStyle w:val="normaltextrun"/>
          <w:rFonts w:ascii="Calibri" w:hAnsi="Calibri" w:cs="Calibri"/>
          <w:color w:val="4A4A4A"/>
          <w:sz w:val="21"/>
          <w:szCs w:val="21"/>
        </w:rPr>
        <w:t xml:space="preserve">where tourism is </w:t>
      </w:r>
      <w:r>
        <w:rPr>
          <w:rStyle w:val="normaltextrun"/>
          <w:rFonts w:ascii="Calibri" w:hAnsi="Calibri" w:cs="Calibri"/>
          <w:color w:val="4A4A4A"/>
          <w:sz w:val="21"/>
          <w:szCs w:val="21"/>
        </w:rPr>
        <w:t>consider</w:t>
      </w:r>
      <w:r w:rsidR="00FC6F07">
        <w:rPr>
          <w:rStyle w:val="normaltextrun"/>
          <w:rFonts w:ascii="Calibri" w:hAnsi="Calibri" w:cs="Calibri"/>
          <w:color w:val="4A4A4A"/>
          <w:sz w:val="21"/>
          <w:szCs w:val="21"/>
        </w:rPr>
        <w:t>ed</w:t>
      </w:r>
      <w:r>
        <w:rPr>
          <w:rStyle w:val="normaltextrun"/>
          <w:rFonts w:ascii="Calibri" w:hAnsi="Calibri" w:cs="Calibri"/>
          <w:color w:val="4A4A4A"/>
          <w:sz w:val="21"/>
          <w:szCs w:val="21"/>
        </w:rPr>
        <w:t xml:space="preserve"> a significant (economic) activity</w:t>
      </w:r>
      <w:r w:rsidR="00FC6F07">
        <w:rPr>
          <w:rStyle w:val="normaltextrun"/>
          <w:rFonts w:ascii="Calibri" w:hAnsi="Calibri" w:cs="Calibri"/>
          <w:color w:val="4A4A4A"/>
          <w:sz w:val="21"/>
          <w:szCs w:val="21"/>
        </w:rPr>
        <w:t xml:space="preserve"> and/or a policy priority</w:t>
      </w:r>
      <w:r>
        <w:rPr>
          <w:rStyle w:val="normaltextrun"/>
          <w:rFonts w:ascii="Calibri" w:hAnsi="Calibri" w:cs="Calibri"/>
          <w:color w:val="4A4A4A"/>
          <w:sz w:val="21"/>
          <w:szCs w:val="21"/>
        </w:rPr>
        <w:t>.</w:t>
      </w:r>
      <w:r>
        <w:rPr>
          <w:rStyle w:val="eop"/>
          <w:rFonts w:ascii="Calibri" w:hAnsi="Calibri" w:cs="Calibri"/>
          <w:color w:val="4A4A4A"/>
          <w:sz w:val="21"/>
          <w:szCs w:val="21"/>
        </w:rPr>
        <w:t> </w:t>
      </w:r>
    </w:p>
    <w:p w14:paraId="42E8CA56" w14:textId="724490C7" w:rsidR="00D51E7C" w:rsidRPr="00A96255" w:rsidRDefault="00D51E7C" w:rsidP="00576CFA">
      <w:pPr>
        <w:pStyle w:val="MText"/>
      </w:pPr>
    </w:p>
    <w:p w14:paraId="4D0520F7" w14:textId="771EDC49"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31EF9D96" w:rsidR="00D51E7C" w:rsidRPr="00857824" w:rsidRDefault="00D51E7C" w:rsidP="00576CFA">
      <w:pPr>
        <w:pStyle w:val="MText"/>
        <w:rPr>
          <w:color w:val="404040" w:themeColor="text1" w:themeTint="BF"/>
        </w:rPr>
      </w:pPr>
      <w:r w:rsidRPr="00857824">
        <w:rPr>
          <w:b/>
          <w:color w:val="404040" w:themeColor="text1" w:themeTint="BF"/>
        </w:rPr>
        <w:t>Sources of discrepancies:</w:t>
      </w:r>
    </w:p>
    <w:p w14:paraId="3C2D4870" w14:textId="79FE3DB9" w:rsidR="00D51E7C" w:rsidRDefault="00502680" w:rsidP="00576CFA">
      <w:pPr>
        <w:pStyle w:val="MText"/>
      </w:pPr>
      <w:r w:rsidRPr="00502680">
        <w:t>Discrepancies might arise from</w:t>
      </w:r>
      <w:r>
        <w:t xml:space="preserve"> </w:t>
      </w:r>
      <w:r w:rsidR="00A15F9B">
        <w:t xml:space="preserve">different </w:t>
      </w:r>
      <w:r>
        <w:t>degree</w:t>
      </w:r>
      <w:r w:rsidR="00A15F9B">
        <w:t>s</w:t>
      </w:r>
      <w:r>
        <w:t xml:space="preserve"> of adherence to Tourism Satellite Account: Recommended Methodological Framework 2008</w:t>
      </w:r>
      <w:r w:rsidR="00831511">
        <w:t xml:space="preserve"> and different TSA reference years</w:t>
      </w:r>
      <w:r>
        <w:t xml:space="preserve">. </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lastRenderedPageBreak/>
        <w:t xml:space="preserve">7. References and Documentation </w:t>
      </w:r>
      <w:r>
        <w:rPr>
          <w:color w:val="B4B4B4"/>
          <w:sz w:val="20"/>
        </w:rPr>
        <w:t>(OTHER_DOC)</w:t>
      </w:r>
    </w:p>
    <w:p w14:paraId="069737CB" w14:textId="77777777" w:rsidR="00AB7635" w:rsidRDefault="00C41D70" w:rsidP="00AB7635">
      <w:pPr>
        <w:pStyle w:val="paragraph"/>
        <w:spacing w:before="0" w:beforeAutospacing="0" w:after="0" w:afterAutospacing="0"/>
        <w:textAlignment w:val="baseline"/>
        <w:rPr>
          <w:rFonts w:ascii="Segoe UI" w:hAnsi="Segoe UI" w:cs="Segoe UI"/>
          <w:sz w:val="18"/>
          <w:szCs w:val="18"/>
        </w:rPr>
      </w:pPr>
      <w:hyperlink r:id="rId17" w:tgtFrame="_blank" w:history="1">
        <w:r w:rsidR="00AB7635">
          <w:rPr>
            <w:rStyle w:val="normaltextrun"/>
            <w:rFonts w:ascii="Calibri" w:hAnsi="Calibri" w:cs="Calibri"/>
            <w:i/>
            <w:iCs/>
            <w:color w:val="0000FF"/>
            <w:sz w:val="21"/>
            <w:szCs w:val="21"/>
            <w:u w:val="single"/>
          </w:rPr>
          <w:t>International Recommendations for Tourism Statistics 2008 (IRTS 2008)</w:t>
        </w:r>
      </w:hyperlink>
      <w:r w:rsidR="00AB7635">
        <w:rPr>
          <w:rStyle w:val="eop"/>
          <w:rFonts w:ascii="Calibri" w:hAnsi="Calibri" w:cs="Calibri"/>
          <w:sz w:val="21"/>
          <w:szCs w:val="21"/>
        </w:rPr>
        <w:t> </w:t>
      </w:r>
    </w:p>
    <w:p w14:paraId="724414C0" w14:textId="77777777" w:rsidR="00AB7635" w:rsidRDefault="00C41D70" w:rsidP="00AB7635">
      <w:pPr>
        <w:pStyle w:val="paragraph"/>
        <w:spacing w:before="0" w:beforeAutospacing="0" w:after="0" w:afterAutospacing="0"/>
        <w:textAlignment w:val="baseline"/>
        <w:rPr>
          <w:rFonts w:ascii="Segoe UI" w:hAnsi="Segoe UI" w:cs="Segoe UI"/>
          <w:sz w:val="18"/>
          <w:szCs w:val="18"/>
        </w:rPr>
      </w:pPr>
      <w:hyperlink r:id="rId18" w:tgtFrame="_blank" w:history="1">
        <w:r w:rsidR="00AB7635">
          <w:rPr>
            <w:rStyle w:val="normaltextrun"/>
            <w:rFonts w:ascii="Calibri" w:hAnsi="Calibri" w:cs="Calibri"/>
            <w:i/>
            <w:iCs/>
            <w:color w:val="0000FF"/>
            <w:sz w:val="21"/>
            <w:szCs w:val="21"/>
            <w:u w:val="single"/>
          </w:rPr>
          <w:t>Tourism Satellite Account: Recommended Methodological Framework 2008 (TSA: RMF 2008)</w:t>
        </w:r>
      </w:hyperlink>
      <w:r w:rsidR="00AB7635">
        <w:rPr>
          <w:rStyle w:val="eop"/>
          <w:rFonts w:ascii="Calibri" w:hAnsi="Calibri" w:cs="Calibri"/>
          <w:sz w:val="21"/>
          <w:szCs w:val="21"/>
        </w:rPr>
        <w:t> </w:t>
      </w:r>
    </w:p>
    <w:p w14:paraId="38DCF7D2" w14:textId="77777777" w:rsidR="00AB7635" w:rsidRDefault="00AB7635" w:rsidP="00AB7635">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384B0992" w14:textId="36889691" w:rsidR="00186795" w:rsidRDefault="00186795"/>
    <w:sectPr w:rsidR="00186795">
      <w:headerReference w:type="defaul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4CDDD" w14:textId="77777777" w:rsidR="00885541" w:rsidRDefault="00885541" w:rsidP="00573C0B">
      <w:pPr>
        <w:spacing w:after="0" w:line="240" w:lineRule="auto"/>
      </w:pPr>
      <w:r>
        <w:separator/>
      </w:r>
    </w:p>
  </w:endnote>
  <w:endnote w:type="continuationSeparator" w:id="0">
    <w:p w14:paraId="1F61C218" w14:textId="77777777" w:rsidR="00885541" w:rsidRDefault="00885541" w:rsidP="00573C0B">
      <w:pPr>
        <w:spacing w:after="0" w:line="240" w:lineRule="auto"/>
      </w:pPr>
      <w:r>
        <w:continuationSeparator/>
      </w:r>
    </w:p>
  </w:endnote>
  <w:endnote w:type="continuationNotice" w:id="1">
    <w:p w14:paraId="6D98CBEA" w14:textId="77777777" w:rsidR="00885541" w:rsidRDefault="008855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55D5E" w14:textId="77777777" w:rsidR="00885541" w:rsidRDefault="00885541" w:rsidP="00573C0B">
      <w:pPr>
        <w:spacing w:after="0" w:line="240" w:lineRule="auto"/>
      </w:pPr>
      <w:r>
        <w:separator/>
      </w:r>
    </w:p>
  </w:footnote>
  <w:footnote w:type="continuationSeparator" w:id="0">
    <w:p w14:paraId="54C322B2" w14:textId="77777777" w:rsidR="00885541" w:rsidRDefault="00885541" w:rsidP="00573C0B">
      <w:pPr>
        <w:spacing w:after="0" w:line="240" w:lineRule="auto"/>
      </w:pPr>
      <w:r>
        <w:continuationSeparator/>
      </w:r>
    </w:p>
  </w:footnote>
  <w:footnote w:type="continuationNotice" w:id="1">
    <w:p w14:paraId="53E2ED30" w14:textId="77777777" w:rsidR="00885541" w:rsidRDefault="00885541">
      <w:pPr>
        <w:spacing w:after="0" w:line="240" w:lineRule="auto"/>
      </w:pPr>
    </w:p>
  </w:footnote>
  <w:footnote w:id="2">
    <w:p w14:paraId="272CDBA6" w14:textId="2A7CA4DA" w:rsidR="000A58A8" w:rsidRPr="000A58A8" w:rsidRDefault="000A58A8">
      <w:pPr>
        <w:pStyle w:val="FootnoteText"/>
        <w:rPr>
          <w:lang w:val="en-CA"/>
        </w:rPr>
      </w:pPr>
      <w:r>
        <w:rPr>
          <w:rStyle w:val="FootnoteReference"/>
        </w:rPr>
        <w:footnoteRef/>
      </w:r>
      <w:r>
        <w:t xml:space="preserve"> </w:t>
      </w:r>
      <w:r w:rsidRPr="00A231F8">
        <w:rPr>
          <w:rFonts w:eastAsia="Times New Roman" w:cs="Times New Roman"/>
          <w:color w:val="4A4A4A"/>
          <w:sz w:val="16"/>
          <w:szCs w:val="16"/>
          <w:lang w:eastAsia="en-GB"/>
        </w:rPr>
        <w:t xml:space="preserve">OECD list of </w:t>
      </w:r>
      <w:r w:rsidR="005C1133">
        <w:rPr>
          <w:rFonts w:eastAsia="Times New Roman" w:cs="Times New Roman"/>
          <w:color w:val="4A4A4A"/>
          <w:sz w:val="16"/>
          <w:szCs w:val="16"/>
          <w:lang w:eastAsia="en-GB"/>
        </w:rPr>
        <w:t>m</w:t>
      </w:r>
      <w:r w:rsidRPr="00A231F8">
        <w:rPr>
          <w:rFonts w:eastAsia="Times New Roman" w:cs="Times New Roman"/>
          <w:color w:val="4A4A4A"/>
          <w:sz w:val="16"/>
          <w:szCs w:val="16"/>
          <w:lang w:eastAsia="en-GB"/>
        </w:rPr>
        <w:t>ember countries is available at: https://www.oecd.org/about/members-and-partners/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5C096CE9"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100F39">
      <w:rPr>
        <w:color w:val="404040" w:themeColor="text1" w:themeTint="BF"/>
        <w:sz w:val="18"/>
        <w:szCs w:val="18"/>
      </w:rPr>
      <w:t>202</w:t>
    </w:r>
    <w:r w:rsidR="00DD18F5">
      <w:rPr>
        <w:color w:val="404040" w:themeColor="text1" w:themeTint="BF"/>
        <w:sz w:val="18"/>
        <w:szCs w:val="18"/>
      </w:rPr>
      <w:t>4</w:t>
    </w:r>
    <w:r w:rsidR="00100F39">
      <w:rPr>
        <w:color w:val="404040" w:themeColor="text1" w:themeTint="BF"/>
        <w:sz w:val="18"/>
        <w:szCs w:val="18"/>
      </w:rPr>
      <w:t>-03-28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606F62"/>
    <w:multiLevelType w:val="hybridMultilevel"/>
    <w:tmpl w:val="5906B856"/>
    <w:lvl w:ilvl="0" w:tplc="7694A7AE">
      <w:start w:val="3"/>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D71A99"/>
    <w:multiLevelType w:val="multilevel"/>
    <w:tmpl w:val="2292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2523917">
    <w:abstractNumId w:val="3"/>
  </w:num>
  <w:num w:numId="2" w16cid:durableId="911308144">
    <w:abstractNumId w:val="0"/>
  </w:num>
  <w:num w:numId="3" w16cid:durableId="1177497963">
    <w:abstractNumId w:val="5"/>
  </w:num>
  <w:num w:numId="4" w16cid:durableId="1628075473">
    <w:abstractNumId w:val="1"/>
  </w:num>
  <w:num w:numId="5" w16cid:durableId="956720259">
    <w:abstractNumId w:val="4"/>
  </w:num>
  <w:num w:numId="6" w16cid:durableId="1061440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fr-FR"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US" w:vendorID="64" w:dllVersion="0" w:nlCheck="1" w:checkStyle="0"/>
  <w:activeWritingStyle w:appName="MSWord" w:lang="en-CA" w:vendorID="64" w:dllVersion="0" w:nlCheck="1" w:checkStyle="0"/>
  <w:activeWritingStyle w:appName="MSWord" w:lang="es-ES" w:vendorID="64" w:dllVersion="0" w:nlCheck="1" w:checkStyle="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365BC"/>
    <w:rsid w:val="000412A0"/>
    <w:rsid w:val="00047DDA"/>
    <w:rsid w:val="00052E54"/>
    <w:rsid w:val="0005455A"/>
    <w:rsid w:val="00054D88"/>
    <w:rsid w:val="00071F07"/>
    <w:rsid w:val="0007759D"/>
    <w:rsid w:val="000777AB"/>
    <w:rsid w:val="00077F46"/>
    <w:rsid w:val="00077FB7"/>
    <w:rsid w:val="00081A60"/>
    <w:rsid w:val="000820BD"/>
    <w:rsid w:val="00085706"/>
    <w:rsid w:val="00090FB1"/>
    <w:rsid w:val="00096186"/>
    <w:rsid w:val="000A58A8"/>
    <w:rsid w:val="000A72E4"/>
    <w:rsid w:val="000B0E2F"/>
    <w:rsid w:val="000B2430"/>
    <w:rsid w:val="000B2A11"/>
    <w:rsid w:val="000D0B30"/>
    <w:rsid w:val="000D7664"/>
    <w:rsid w:val="000E21F1"/>
    <w:rsid w:val="000F4A89"/>
    <w:rsid w:val="000F703E"/>
    <w:rsid w:val="00100F39"/>
    <w:rsid w:val="00106986"/>
    <w:rsid w:val="00120E86"/>
    <w:rsid w:val="00125DE9"/>
    <w:rsid w:val="001332E0"/>
    <w:rsid w:val="00134DE7"/>
    <w:rsid w:val="00152636"/>
    <w:rsid w:val="0016241E"/>
    <w:rsid w:val="00166F40"/>
    <w:rsid w:val="001720A1"/>
    <w:rsid w:val="0017399B"/>
    <w:rsid w:val="00185354"/>
    <w:rsid w:val="001854DC"/>
    <w:rsid w:val="00186795"/>
    <w:rsid w:val="001908B0"/>
    <w:rsid w:val="00194D09"/>
    <w:rsid w:val="00194D8A"/>
    <w:rsid w:val="001A0A59"/>
    <w:rsid w:val="001A1E23"/>
    <w:rsid w:val="001A7D5C"/>
    <w:rsid w:val="001B60AA"/>
    <w:rsid w:val="001B63C8"/>
    <w:rsid w:val="001C1972"/>
    <w:rsid w:val="001C421F"/>
    <w:rsid w:val="001D360D"/>
    <w:rsid w:val="001F6354"/>
    <w:rsid w:val="001F68B9"/>
    <w:rsid w:val="001F69EC"/>
    <w:rsid w:val="001F7A0B"/>
    <w:rsid w:val="002138A7"/>
    <w:rsid w:val="00231582"/>
    <w:rsid w:val="00241440"/>
    <w:rsid w:val="002550F3"/>
    <w:rsid w:val="0025583B"/>
    <w:rsid w:val="00261A8D"/>
    <w:rsid w:val="00283C1C"/>
    <w:rsid w:val="00291A00"/>
    <w:rsid w:val="00291A11"/>
    <w:rsid w:val="002A315C"/>
    <w:rsid w:val="002A3342"/>
    <w:rsid w:val="002A64BA"/>
    <w:rsid w:val="002A6C3B"/>
    <w:rsid w:val="002B3470"/>
    <w:rsid w:val="002B4989"/>
    <w:rsid w:val="002C0D8F"/>
    <w:rsid w:val="002C0EA7"/>
    <w:rsid w:val="002C2510"/>
    <w:rsid w:val="002D4736"/>
    <w:rsid w:val="002D714E"/>
    <w:rsid w:val="002E53C3"/>
    <w:rsid w:val="002F1468"/>
    <w:rsid w:val="002F5F0C"/>
    <w:rsid w:val="00301D21"/>
    <w:rsid w:val="003265EB"/>
    <w:rsid w:val="003368D9"/>
    <w:rsid w:val="0034329E"/>
    <w:rsid w:val="00343FAA"/>
    <w:rsid w:val="00345865"/>
    <w:rsid w:val="00347F5E"/>
    <w:rsid w:val="00353C98"/>
    <w:rsid w:val="00371A20"/>
    <w:rsid w:val="00380CE5"/>
    <w:rsid w:val="003821B4"/>
    <w:rsid w:val="00382CF3"/>
    <w:rsid w:val="00386CFC"/>
    <w:rsid w:val="00387D52"/>
    <w:rsid w:val="003A51F0"/>
    <w:rsid w:val="003A7CEA"/>
    <w:rsid w:val="003D3CC4"/>
    <w:rsid w:val="003F0BD3"/>
    <w:rsid w:val="003F278A"/>
    <w:rsid w:val="003F7A02"/>
    <w:rsid w:val="00422EA5"/>
    <w:rsid w:val="00422EFA"/>
    <w:rsid w:val="0042791F"/>
    <w:rsid w:val="004344C2"/>
    <w:rsid w:val="004456ED"/>
    <w:rsid w:val="004746C6"/>
    <w:rsid w:val="0048045A"/>
    <w:rsid w:val="004841B8"/>
    <w:rsid w:val="00486360"/>
    <w:rsid w:val="004930F2"/>
    <w:rsid w:val="00496B6A"/>
    <w:rsid w:val="004A0A8A"/>
    <w:rsid w:val="004B0F1C"/>
    <w:rsid w:val="004F2EE6"/>
    <w:rsid w:val="00502680"/>
    <w:rsid w:val="00502DBA"/>
    <w:rsid w:val="005040C4"/>
    <w:rsid w:val="00504591"/>
    <w:rsid w:val="00505AC3"/>
    <w:rsid w:val="00507637"/>
    <w:rsid w:val="00507852"/>
    <w:rsid w:val="00514DBF"/>
    <w:rsid w:val="00515934"/>
    <w:rsid w:val="005470DD"/>
    <w:rsid w:val="00550921"/>
    <w:rsid w:val="00560C6E"/>
    <w:rsid w:val="00563712"/>
    <w:rsid w:val="00573631"/>
    <w:rsid w:val="00573C0B"/>
    <w:rsid w:val="005768D7"/>
    <w:rsid w:val="00576CFA"/>
    <w:rsid w:val="00582914"/>
    <w:rsid w:val="00583F39"/>
    <w:rsid w:val="0058556D"/>
    <w:rsid w:val="00592AF2"/>
    <w:rsid w:val="005947AD"/>
    <w:rsid w:val="00595580"/>
    <w:rsid w:val="00597748"/>
    <w:rsid w:val="005979E8"/>
    <w:rsid w:val="005A0056"/>
    <w:rsid w:val="005B1FA8"/>
    <w:rsid w:val="005B5812"/>
    <w:rsid w:val="005B5B7E"/>
    <w:rsid w:val="005C1133"/>
    <w:rsid w:val="005D0AF4"/>
    <w:rsid w:val="005D2303"/>
    <w:rsid w:val="005E16D9"/>
    <w:rsid w:val="005E54BD"/>
    <w:rsid w:val="005F2141"/>
    <w:rsid w:val="005F29FE"/>
    <w:rsid w:val="005F6CCA"/>
    <w:rsid w:val="006035AA"/>
    <w:rsid w:val="006059E0"/>
    <w:rsid w:val="006104AF"/>
    <w:rsid w:val="00621893"/>
    <w:rsid w:val="0062457A"/>
    <w:rsid w:val="006351E1"/>
    <w:rsid w:val="00640C28"/>
    <w:rsid w:val="00642B8B"/>
    <w:rsid w:val="006447B1"/>
    <w:rsid w:val="006576C0"/>
    <w:rsid w:val="00662775"/>
    <w:rsid w:val="00682DE9"/>
    <w:rsid w:val="006852FC"/>
    <w:rsid w:val="006A34B0"/>
    <w:rsid w:val="006B40AB"/>
    <w:rsid w:val="006B5DC5"/>
    <w:rsid w:val="006C4BFD"/>
    <w:rsid w:val="006C7D30"/>
    <w:rsid w:val="006D4061"/>
    <w:rsid w:val="006E3C08"/>
    <w:rsid w:val="00700ACF"/>
    <w:rsid w:val="00712487"/>
    <w:rsid w:val="00743705"/>
    <w:rsid w:val="007530CA"/>
    <w:rsid w:val="00756D68"/>
    <w:rsid w:val="007578D9"/>
    <w:rsid w:val="00757E8A"/>
    <w:rsid w:val="00763E43"/>
    <w:rsid w:val="00764EB5"/>
    <w:rsid w:val="00777A95"/>
    <w:rsid w:val="00782416"/>
    <w:rsid w:val="007875BC"/>
    <w:rsid w:val="00791A85"/>
    <w:rsid w:val="007971BB"/>
    <w:rsid w:val="007A01F0"/>
    <w:rsid w:val="007A58A6"/>
    <w:rsid w:val="007B0364"/>
    <w:rsid w:val="007B0E87"/>
    <w:rsid w:val="007B2400"/>
    <w:rsid w:val="007D0981"/>
    <w:rsid w:val="007D1929"/>
    <w:rsid w:val="007D76D1"/>
    <w:rsid w:val="007F1E2F"/>
    <w:rsid w:val="00803CF1"/>
    <w:rsid w:val="008104BB"/>
    <w:rsid w:val="008118FC"/>
    <w:rsid w:val="008249C5"/>
    <w:rsid w:val="00831511"/>
    <w:rsid w:val="008526F9"/>
    <w:rsid w:val="0085285E"/>
    <w:rsid w:val="00853023"/>
    <w:rsid w:val="008534D4"/>
    <w:rsid w:val="00857824"/>
    <w:rsid w:val="00863BA7"/>
    <w:rsid w:val="00865E40"/>
    <w:rsid w:val="00881E28"/>
    <w:rsid w:val="00883BBD"/>
    <w:rsid w:val="00885541"/>
    <w:rsid w:val="00885C91"/>
    <w:rsid w:val="00892BE2"/>
    <w:rsid w:val="00894C4B"/>
    <w:rsid w:val="008950E3"/>
    <w:rsid w:val="008A12E3"/>
    <w:rsid w:val="008A42FA"/>
    <w:rsid w:val="008B0AC7"/>
    <w:rsid w:val="008C2335"/>
    <w:rsid w:val="008C4A2F"/>
    <w:rsid w:val="008C67C1"/>
    <w:rsid w:val="008D1D39"/>
    <w:rsid w:val="008E608B"/>
    <w:rsid w:val="008F07D2"/>
    <w:rsid w:val="008F4F64"/>
    <w:rsid w:val="00907901"/>
    <w:rsid w:val="00917851"/>
    <w:rsid w:val="00917F65"/>
    <w:rsid w:val="0092021E"/>
    <w:rsid w:val="009311E7"/>
    <w:rsid w:val="009356C1"/>
    <w:rsid w:val="00942694"/>
    <w:rsid w:val="00961892"/>
    <w:rsid w:val="00996032"/>
    <w:rsid w:val="009A2AD1"/>
    <w:rsid w:val="009A4164"/>
    <w:rsid w:val="009A55F1"/>
    <w:rsid w:val="009A7E3A"/>
    <w:rsid w:val="009B1265"/>
    <w:rsid w:val="009B34A3"/>
    <w:rsid w:val="009B49F4"/>
    <w:rsid w:val="009B4A15"/>
    <w:rsid w:val="009B5693"/>
    <w:rsid w:val="009C61A2"/>
    <w:rsid w:val="009C78E4"/>
    <w:rsid w:val="009D0BA8"/>
    <w:rsid w:val="009D687E"/>
    <w:rsid w:val="009E5FEB"/>
    <w:rsid w:val="009E7548"/>
    <w:rsid w:val="009F6DE7"/>
    <w:rsid w:val="00A0223F"/>
    <w:rsid w:val="00A10583"/>
    <w:rsid w:val="00A15F29"/>
    <w:rsid w:val="00A15F9B"/>
    <w:rsid w:val="00A231F8"/>
    <w:rsid w:val="00A37FCB"/>
    <w:rsid w:val="00A53A5D"/>
    <w:rsid w:val="00A54863"/>
    <w:rsid w:val="00A61D74"/>
    <w:rsid w:val="00A647AF"/>
    <w:rsid w:val="00A71A9A"/>
    <w:rsid w:val="00A8688B"/>
    <w:rsid w:val="00A91163"/>
    <w:rsid w:val="00A9286F"/>
    <w:rsid w:val="00A96255"/>
    <w:rsid w:val="00AA2763"/>
    <w:rsid w:val="00AB285B"/>
    <w:rsid w:val="00AB7635"/>
    <w:rsid w:val="00AC3C88"/>
    <w:rsid w:val="00AC4F68"/>
    <w:rsid w:val="00AF0DDC"/>
    <w:rsid w:val="00AF5552"/>
    <w:rsid w:val="00AF5CB4"/>
    <w:rsid w:val="00AF5ED1"/>
    <w:rsid w:val="00AF71D6"/>
    <w:rsid w:val="00B11167"/>
    <w:rsid w:val="00B16A47"/>
    <w:rsid w:val="00B216EE"/>
    <w:rsid w:val="00B306E5"/>
    <w:rsid w:val="00B3175F"/>
    <w:rsid w:val="00B31E2C"/>
    <w:rsid w:val="00B329B0"/>
    <w:rsid w:val="00B402D8"/>
    <w:rsid w:val="00B40AE8"/>
    <w:rsid w:val="00B4237C"/>
    <w:rsid w:val="00B42FE8"/>
    <w:rsid w:val="00B5088F"/>
    <w:rsid w:val="00B52AFD"/>
    <w:rsid w:val="00B54077"/>
    <w:rsid w:val="00B637BD"/>
    <w:rsid w:val="00B67442"/>
    <w:rsid w:val="00B67A4E"/>
    <w:rsid w:val="00B8087E"/>
    <w:rsid w:val="00B83A65"/>
    <w:rsid w:val="00B9795D"/>
    <w:rsid w:val="00BB646E"/>
    <w:rsid w:val="00BD1BA1"/>
    <w:rsid w:val="00BF23D4"/>
    <w:rsid w:val="00C00171"/>
    <w:rsid w:val="00C019E5"/>
    <w:rsid w:val="00C15A0B"/>
    <w:rsid w:val="00C23339"/>
    <w:rsid w:val="00C35BC4"/>
    <w:rsid w:val="00C41D70"/>
    <w:rsid w:val="00C43987"/>
    <w:rsid w:val="00C43F59"/>
    <w:rsid w:val="00C43F5B"/>
    <w:rsid w:val="00C7583A"/>
    <w:rsid w:val="00C77442"/>
    <w:rsid w:val="00C9725B"/>
    <w:rsid w:val="00CA525E"/>
    <w:rsid w:val="00CB4371"/>
    <w:rsid w:val="00CC516D"/>
    <w:rsid w:val="00CD24A9"/>
    <w:rsid w:val="00CD5556"/>
    <w:rsid w:val="00CF4F6F"/>
    <w:rsid w:val="00D0041F"/>
    <w:rsid w:val="00D13317"/>
    <w:rsid w:val="00D203CA"/>
    <w:rsid w:val="00D24330"/>
    <w:rsid w:val="00D40056"/>
    <w:rsid w:val="00D405AC"/>
    <w:rsid w:val="00D51E7C"/>
    <w:rsid w:val="00D54F29"/>
    <w:rsid w:val="00D7020C"/>
    <w:rsid w:val="00D70AD9"/>
    <w:rsid w:val="00D72152"/>
    <w:rsid w:val="00D854F0"/>
    <w:rsid w:val="00D944E8"/>
    <w:rsid w:val="00D94B55"/>
    <w:rsid w:val="00D94BA5"/>
    <w:rsid w:val="00D9510F"/>
    <w:rsid w:val="00DA2805"/>
    <w:rsid w:val="00DA3027"/>
    <w:rsid w:val="00DA615C"/>
    <w:rsid w:val="00DC5CAC"/>
    <w:rsid w:val="00DD18F5"/>
    <w:rsid w:val="00DD1BC6"/>
    <w:rsid w:val="00DD2AD9"/>
    <w:rsid w:val="00DD4304"/>
    <w:rsid w:val="00DE5DC3"/>
    <w:rsid w:val="00DE64B4"/>
    <w:rsid w:val="00DE760A"/>
    <w:rsid w:val="00E00D8A"/>
    <w:rsid w:val="00E1050F"/>
    <w:rsid w:val="00E11604"/>
    <w:rsid w:val="00E11D92"/>
    <w:rsid w:val="00E130A0"/>
    <w:rsid w:val="00E20FE7"/>
    <w:rsid w:val="00E210C4"/>
    <w:rsid w:val="00E23DB7"/>
    <w:rsid w:val="00E264A5"/>
    <w:rsid w:val="00E46D96"/>
    <w:rsid w:val="00E47A15"/>
    <w:rsid w:val="00E52CCA"/>
    <w:rsid w:val="00E66409"/>
    <w:rsid w:val="00E721AE"/>
    <w:rsid w:val="00E81D5B"/>
    <w:rsid w:val="00E86639"/>
    <w:rsid w:val="00E976B9"/>
    <w:rsid w:val="00EA05D3"/>
    <w:rsid w:val="00EB05A3"/>
    <w:rsid w:val="00EB19AD"/>
    <w:rsid w:val="00EB2F31"/>
    <w:rsid w:val="00EB43B3"/>
    <w:rsid w:val="00EB6493"/>
    <w:rsid w:val="00EC2915"/>
    <w:rsid w:val="00ED05A9"/>
    <w:rsid w:val="00ED1BA0"/>
    <w:rsid w:val="00F17257"/>
    <w:rsid w:val="00F23472"/>
    <w:rsid w:val="00F34D24"/>
    <w:rsid w:val="00F4130B"/>
    <w:rsid w:val="00F556A2"/>
    <w:rsid w:val="00F719A8"/>
    <w:rsid w:val="00F72003"/>
    <w:rsid w:val="00F76AF8"/>
    <w:rsid w:val="00F878B9"/>
    <w:rsid w:val="00FA02DF"/>
    <w:rsid w:val="00FB16FA"/>
    <w:rsid w:val="00FB24E8"/>
    <w:rsid w:val="00FB3B2B"/>
    <w:rsid w:val="00FB6CB4"/>
    <w:rsid w:val="00FC18DA"/>
    <w:rsid w:val="00FC20AD"/>
    <w:rsid w:val="00FC3917"/>
    <w:rsid w:val="00FC6F07"/>
    <w:rsid w:val="00FD60DA"/>
    <w:rsid w:val="00FF07B4"/>
    <w:rsid w:val="37F214BC"/>
    <w:rsid w:val="3BF89A4B"/>
    <w:rsid w:val="563CFAB9"/>
    <w:rsid w:val="605BFB5D"/>
    <w:rsid w:val="7E9F2D1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A5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AB7635"/>
  </w:style>
  <w:style w:type="character" w:customStyle="1" w:styleId="eop">
    <w:name w:val="eop"/>
    <w:basedOn w:val="DefaultParagraphFont"/>
    <w:rsid w:val="00AB7635"/>
  </w:style>
  <w:style w:type="paragraph" w:customStyle="1" w:styleId="paragraph">
    <w:name w:val="paragraph"/>
    <w:basedOn w:val="Normal"/>
    <w:rsid w:val="00AB7635"/>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superscript">
    <w:name w:val="superscript"/>
    <w:basedOn w:val="DefaultParagraphFont"/>
    <w:rsid w:val="00AB7635"/>
  </w:style>
  <w:style w:type="character" w:styleId="FollowedHyperlink">
    <w:name w:val="FollowedHyperlink"/>
    <w:basedOn w:val="DefaultParagraphFont"/>
    <w:uiPriority w:val="99"/>
    <w:semiHidden/>
    <w:unhideWhenUsed/>
    <w:rsid w:val="00152636"/>
    <w:rPr>
      <w:color w:val="800080" w:themeColor="followedHyperlink"/>
      <w:u w:val="single"/>
    </w:rPr>
  </w:style>
  <w:style w:type="paragraph" w:styleId="FootnoteText">
    <w:name w:val="footnote text"/>
    <w:basedOn w:val="Normal"/>
    <w:link w:val="FootnoteTextChar"/>
    <w:uiPriority w:val="99"/>
    <w:semiHidden/>
    <w:unhideWhenUsed/>
    <w:rsid w:val="000A58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58A8"/>
    <w:rPr>
      <w:sz w:val="20"/>
      <w:szCs w:val="20"/>
    </w:rPr>
  </w:style>
  <w:style w:type="character" w:styleId="FootnoteReference">
    <w:name w:val="footnote reference"/>
    <w:basedOn w:val="DefaultParagraphFont"/>
    <w:uiPriority w:val="99"/>
    <w:semiHidden/>
    <w:unhideWhenUsed/>
    <w:rsid w:val="000A58A8"/>
    <w:rPr>
      <w:vertAlign w:val="superscript"/>
    </w:rPr>
  </w:style>
  <w:style w:type="paragraph" w:styleId="Revision">
    <w:name w:val="Revision"/>
    <w:hidden/>
    <w:uiPriority w:val="99"/>
    <w:semiHidden/>
    <w:rsid w:val="00A231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558720">
      <w:bodyDiv w:val="1"/>
      <w:marLeft w:val="0"/>
      <w:marRight w:val="0"/>
      <w:marTop w:val="0"/>
      <w:marBottom w:val="0"/>
      <w:divBdr>
        <w:top w:val="none" w:sz="0" w:space="0" w:color="auto"/>
        <w:left w:val="none" w:sz="0" w:space="0" w:color="auto"/>
        <w:bottom w:val="none" w:sz="0" w:space="0" w:color="auto"/>
        <w:right w:val="none" w:sz="0" w:space="0" w:color="auto"/>
      </w:divBdr>
      <w:divsChild>
        <w:div w:id="5331000">
          <w:marLeft w:val="0"/>
          <w:marRight w:val="0"/>
          <w:marTop w:val="0"/>
          <w:marBottom w:val="0"/>
          <w:divBdr>
            <w:top w:val="none" w:sz="0" w:space="0" w:color="auto"/>
            <w:left w:val="none" w:sz="0" w:space="0" w:color="auto"/>
            <w:bottom w:val="none" w:sz="0" w:space="0" w:color="auto"/>
            <w:right w:val="none" w:sz="0" w:space="0" w:color="auto"/>
          </w:divBdr>
        </w:div>
        <w:div w:id="2124225541">
          <w:marLeft w:val="0"/>
          <w:marRight w:val="0"/>
          <w:marTop w:val="0"/>
          <w:marBottom w:val="0"/>
          <w:divBdr>
            <w:top w:val="none" w:sz="0" w:space="0" w:color="auto"/>
            <w:left w:val="none" w:sz="0" w:space="0" w:color="auto"/>
            <w:bottom w:val="none" w:sz="0" w:space="0" w:color="auto"/>
            <w:right w:val="none" w:sz="0" w:space="0" w:color="auto"/>
          </w:divBdr>
        </w:div>
      </w:divsChild>
    </w:div>
    <w:div w:id="460003261">
      <w:bodyDiv w:val="1"/>
      <w:marLeft w:val="0"/>
      <w:marRight w:val="0"/>
      <w:marTop w:val="0"/>
      <w:marBottom w:val="0"/>
      <w:divBdr>
        <w:top w:val="none" w:sz="0" w:space="0" w:color="auto"/>
        <w:left w:val="none" w:sz="0" w:space="0" w:color="auto"/>
        <w:bottom w:val="none" w:sz="0" w:space="0" w:color="auto"/>
        <w:right w:val="none" w:sz="0" w:space="0" w:color="auto"/>
      </w:divBdr>
      <w:divsChild>
        <w:div w:id="922762246">
          <w:marLeft w:val="0"/>
          <w:marRight w:val="0"/>
          <w:marTop w:val="0"/>
          <w:marBottom w:val="0"/>
          <w:divBdr>
            <w:top w:val="none" w:sz="0" w:space="0" w:color="auto"/>
            <w:left w:val="none" w:sz="0" w:space="0" w:color="auto"/>
            <w:bottom w:val="none" w:sz="0" w:space="0" w:color="auto"/>
            <w:right w:val="none" w:sz="0" w:space="0" w:color="auto"/>
          </w:divBdr>
        </w:div>
        <w:div w:id="1257330341">
          <w:marLeft w:val="0"/>
          <w:marRight w:val="0"/>
          <w:marTop w:val="0"/>
          <w:marBottom w:val="0"/>
          <w:divBdr>
            <w:top w:val="none" w:sz="0" w:space="0" w:color="auto"/>
            <w:left w:val="none" w:sz="0" w:space="0" w:color="auto"/>
            <w:bottom w:val="none" w:sz="0" w:space="0" w:color="auto"/>
            <w:right w:val="none" w:sz="0" w:space="0" w:color="auto"/>
          </w:divBdr>
        </w:div>
      </w:divsChild>
    </w:div>
    <w:div w:id="567573056">
      <w:bodyDiv w:val="1"/>
      <w:marLeft w:val="0"/>
      <w:marRight w:val="0"/>
      <w:marTop w:val="0"/>
      <w:marBottom w:val="0"/>
      <w:divBdr>
        <w:top w:val="none" w:sz="0" w:space="0" w:color="auto"/>
        <w:left w:val="none" w:sz="0" w:space="0" w:color="auto"/>
        <w:bottom w:val="none" w:sz="0" w:space="0" w:color="auto"/>
        <w:right w:val="none" w:sz="0" w:space="0" w:color="auto"/>
      </w:divBdr>
      <w:divsChild>
        <w:div w:id="2092703266">
          <w:marLeft w:val="0"/>
          <w:marRight w:val="0"/>
          <w:marTop w:val="0"/>
          <w:marBottom w:val="0"/>
          <w:divBdr>
            <w:top w:val="none" w:sz="0" w:space="0" w:color="auto"/>
            <w:left w:val="none" w:sz="0" w:space="0" w:color="auto"/>
            <w:bottom w:val="none" w:sz="0" w:space="0" w:color="auto"/>
            <w:right w:val="none" w:sz="0" w:space="0" w:color="auto"/>
          </w:divBdr>
        </w:div>
        <w:div w:id="84617476">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09664629">
      <w:bodyDiv w:val="1"/>
      <w:marLeft w:val="0"/>
      <w:marRight w:val="0"/>
      <w:marTop w:val="0"/>
      <w:marBottom w:val="0"/>
      <w:divBdr>
        <w:top w:val="none" w:sz="0" w:space="0" w:color="auto"/>
        <w:left w:val="none" w:sz="0" w:space="0" w:color="auto"/>
        <w:bottom w:val="none" w:sz="0" w:space="0" w:color="auto"/>
        <w:right w:val="none" w:sz="0" w:space="0" w:color="auto"/>
      </w:divBdr>
      <w:divsChild>
        <w:div w:id="1410662428">
          <w:marLeft w:val="0"/>
          <w:marRight w:val="0"/>
          <w:marTop w:val="0"/>
          <w:marBottom w:val="0"/>
          <w:divBdr>
            <w:top w:val="none" w:sz="0" w:space="0" w:color="auto"/>
            <w:left w:val="none" w:sz="0" w:space="0" w:color="auto"/>
            <w:bottom w:val="none" w:sz="0" w:space="0" w:color="auto"/>
            <w:right w:val="none" w:sz="0" w:space="0" w:color="auto"/>
          </w:divBdr>
          <w:divsChild>
            <w:div w:id="734470918">
              <w:marLeft w:val="0"/>
              <w:marRight w:val="0"/>
              <w:marTop w:val="0"/>
              <w:marBottom w:val="0"/>
              <w:divBdr>
                <w:top w:val="none" w:sz="0" w:space="0" w:color="auto"/>
                <w:left w:val="none" w:sz="0" w:space="0" w:color="auto"/>
                <w:bottom w:val="none" w:sz="0" w:space="0" w:color="auto"/>
                <w:right w:val="none" w:sz="0" w:space="0" w:color="auto"/>
              </w:divBdr>
            </w:div>
            <w:div w:id="541331381">
              <w:marLeft w:val="0"/>
              <w:marRight w:val="0"/>
              <w:marTop w:val="0"/>
              <w:marBottom w:val="0"/>
              <w:divBdr>
                <w:top w:val="none" w:sz="0" w:space="0" w:color="auto"/>
                <w:left w:val="none" w:sz="0" w:space="0" w:color="auto"/>
                <w:bottom w:val="none" w:sz="0" w:space="0" w:color="auto"/>
                <w:right w:val="none" w:sz="0" w:space="0" w:color="auto"/>
              </w:divBdr>
            </w:div>
            <w:div w:id="431629794">
              <w:marLeft w:val="0"/>
              <w:marRight w:val="0"/>
              <w:marTop w:val="0"/>
              <w:marBottom w:val="0"/>
              <w:divBdr>
                <w:top w:val="none" w:sz="0" w:space="0" w:color="auto"/>
                <w:left w:val="none" w:sz="0" w:space="0" w:color="auto"/>
                <w:bottom w:val="none" w:sz="0" w:space="0" w:color="auto"/>
                <w:right w:val="none" w:sz="0" w:space="0" w:color="auto"/>
              </w:divBdr>
            </w:div>
            <w:div w:id="1444494412">
              <w:marLeft w:val="0"/>
              <w:marRight w:val="0"/>
              <w:marTop w:val="0"/>
              <w:marBottom w:val="0"/>
              <w:divBdr>
                <w:top w:val="none" w:sz="0" w:space="0" w:color="auto"/>
                <w:left w:val="none" w:sz="0" w:space="0" w:color="auto"/>
                <w:bottom w:val="none" w:sz="0" w:space="0" w:color="auto"/>
                <w:right w:val="none" w:sz="0" w:space="0" w:color="auto"/>
              </w:divBdr>
            </w:div>
          </w:divsChild>
        </w:div>
        <w:div w:id="1030649325">
          <w:marLeft w:val="0"/>
          <w:marRight w:val="0"/>
          <w:marTop w:val="0"/>
          <w:marBottom w:val="0"/>
          <w:divBdr>
            <w:top w:val="none" w:sz="0" w:space="0" w:color="auto"/>
            <w:left w:val="none" w:sz="0" w:space="0" w:color="auto"/>
            <w:bottom w:val="none" w:sz="0" w:space="0" w:color="auto"/>
            <w:right w:val="none" w:sz="0" w:space="0" w:color="auto"/>
          </w:divBdr>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16546137">
      <w:bodyDiv w:val="1"/>
      <w:marLeft w:val="0"/>
      <w:marRight w:val="0"/>
      <w:marTop w:val="0"/>
      <w:marBottom w:val="0"/>
      <w:divBdr>
        <w:top w:val="none" w:sz="0" w:space="0" w:color="auto"/>
        <w:left w:val="none" w:sz="0" w:space="0" w:color="auto"/>
        <w:bottom w:val="none" w:sz="0" w:space="0" w:color="auto"/>
        <w:right w:val="none" w:sz="0" w:space="0" w:color="auto"/>
      </w:divBdr>
      <w:divsChild>
        <w:div w:id="1230965281">
          <w:marLeft w:val="0"/>
          <w:marRight w:val="0"/>
          <w:marTop w:val="0"/>
          <w:marBottom w:val="0"/>
          <w:divBdr>
            <w:top w:val="none" w:sz="0" w:space="0" w:color="auto"/>
            <w:left w:val="none" w:sz="0" w:space="0" w:color="auto"/>
            <w:bottom w:val="none" w:sz="0" w:space="0" w:color="auto"/>
            <w:right w:val="none" w:sz="0" w:space="0" w:color="auto"/>
          </w:divBdr>
        </w:div>
        <w:div w:id="587470931">
          <w:marLeft w:val="0"/>
          <w:marRight w:val="0"/>
          <w:marTop w:val="0"/>
          <w:marBottom w:val="0"/>
          <w:divBdr>
            <w:top w:val="none" w:sz="0" w:space="0" w:color="auto"/>
            <w:left w:val="none" w:sz="0" w:space="0" w:color="auto"/>
            <w:bottom w:val="none" w:sz="0" w:space="0" w:color="auto"/>
            <w:right w:val="none" w:sz="0" w:space="0" w:color="auto"/>
          </w:divBdr>
        </w:div>
        <w:div w:id="860358994">
          <w:marLeft w:val="0"/>
          <w:marRight w:val="0"/>
          <w:marTop w:val="0"/>
          <w:marBottom w:val="0"/>
          <w:divBdr>
            <w:top w:val="none" w:sz="0" w:space="0" w:color="auto"/>
            <w:left w:val="none" w:sz="0" w:space="0" w:color="auto"/>
            <w:bottom w:val="none" w:sz="0" w:space="0" w:color="auto"/>
            <w:right w:val="none" w:sz="0" w:space="0" w:color="auto"/>
          </w:divBdr>
        </w:div>
        <w:div w:id="434832297">
          <w:marLeft w:val="0"/>
          <w:marRight w:val="0"/>
          <w:marTop w:val="0"/>
          <w:marBottom w:val="0"/>
          <w:divBdr>
            <w:top w:val="none" w:sz="0" w:space="0" w:color="auto"/>
            <w:left w:val="none" w:sz="0" w:space="0" w:color="auto"/>
            <w:bottom w:val="none" w:sz="0" w:space="0" w:color="auto"/>
            <w:right w:val="none" w:sz="0" w:space="0" w:color="auto"/>
          </w:divBdr>
        </w:div>
        <w:div w:id="1836145559">
          <w:marLeft w:val="0"/>
          <w:marRight w:val="0"/>
          <w:marTop w:val="0"/>
          <w:marBottom w:val="0"/>
          <w:divBdr>
            <w:top w:val="none" w:sz="0" w:space="0" w:color="auto"/>
            <w:left w:val="none" w:sz="0" w:space="0" w:color="auto"/>
            <w:bottom w:val="none" w:sz="0" w:space="0" w:color="auto"/>
            <w:right w:val="none" w:sz="0" w:space="0" w:color="auto"/>
          </w:divBdr>
        </w:div>
      </w:divsChild>
    </w:div>
    <w:div w:id="1280379431">
      <w:bodyDiv w:val="1"/>
      <w:marLeft w:val="0"/>
      <w:marRight w:val="0"/>
      <w:marTop w:val="0"/>
      <w:marBottom w:val="0"/>
      <w:divBdr>
        <w:top w:val="none" w:sz="0" w:space="0" w:color="auto"/>
        <w:left w:val="none" w:sz="0" w:space="0" w:color="auto"/>
        <w:bottom w:val="none" w:sz="0" w:space="0" w:color="auto"/>
        <w:right w:val="none" w:sz="0" w:space="0" w:color="auto"/>
      </w:divBdr>
      <w:divsChild>
        <w:div w:id="1908415984">
          <w:marLeft w:val="0"/>
          <w:marRight w:val="0"/>
          <w:marTop w:val="0"/>
          <w:marBottom w:val="0"/>
          <w:divBdr>
            <w:top w:val="none" w:sz="0" w:space="0" w:color="auto"/>
            <w:left w:val="none" w:sz="0" w:space="0" w:color="auto"/>
            <w:bottom w:val="none" w:sz="0" w:space="0" w:color="auto"/>
            <w:right w:val="none" w:sz="0" w:space="0" w:color="auto"/>
          </w:divBdr>
        </w:div>
        <w:div w:id="247422529">
          <w:marLeft w:val="0"/>
          <w:marRight w:val="0"/>
          <w:marTop w:val="0"/>
          <w:marBottom w:val="0"/>
          <w:divBdr>
            <w:top w:val="none" w:sz="0" w:space="0" w:color="auto"/>
            <w:left w:val="none" w:sz="0" w:space="0" w:color="auto"/>
            <w:bottom w:val="none" w:sz="0" w:space="0" w:color="auto"/>
            <w:right w:val="none" w:sz="0" w:space="0" w:color="auto"/>
          </w:divBdr>
        </w:div>
        <w:div w:id="121924132">
          <w:marLeft w:val="0"/>
          <w:marRight w:val="0"/>
          <w:marTop w:val="0"/>
          <w:marBottom w:val="0"/>
          <w:divBdr>
            <w:top w:val="none" w:sz="0" w:space="0" w:color="auto"/>
            <w:left w:val="none" w:sz="0" w:space="0" w:color="auto"/>
            <w:bottom w:val="none" w:sz="0" w:space="0" w:color="auto"/>
            <w:right w:val="none" w:sz="0" w:space="0" w:color="auto"/>
          </w:divBdr>
        </w:div>
        <w:div w:id="260263223">
          <w:marLeft w:val="0"/>
          <w:marRight w:val="0"/>
          <w:marTop w:val="0"/>
          <w:marBottom w:val="0"/>
          <w:divBdr>
            <w:top w:val="none" w:sz="0" w:space="0" w:color="auto"/>
            <w:left w:val="none" w:sz="0" w:space="0" w:color="auto"/>
            <w:bottom w:val="none" w:sz="0" w:space="0" w:color="auto"/>
            <w:right w:val="none" w:sz="0" w:space="0" w:color="auto"/>
          </w:divBdr>
        </w:div>
        <w:div w:id="1390609393">
          <w:marLeft w:val="0"/>
          <w:marRight w:val="0"/>
          <w:marTop w:val="0"/>
          <w:marBottom w:val="0"/>
          <w:divBdr>
            <w:top w:val="none" w:sz="0" w:space="0" w:color="auto"/>
            <w:left w:val="none" w:sz="0" w:space="0" w:color="auto"/>
            <w:bottom w:val="none" w:sz="0" w:space="0" w:color="auto"/>
            <w:right w:val="none" w:sz="0" w:space="0" w:color="auto"/>
          </w:divBdr>
        </w:div>
        <w:div w:id="808402467">
          <w:marLeft w:val="0"/>
          <w:marRight w:val="0"/>
          <w:marTop w:val="0"/>
          <w:marBottom w:val="0"/>
          <w:divBdr>
            <w:top w:val="none" w:sz="0" w:space="0" w:color="auto"/>
            <w:left w:val="none" w:sz="0" w:space="0" w:color="auto"/>
            <w:bottom w:val="none" w:sz="0" w:space="0" w:color="auto"/>
            <w:right w:val="none" w:sz="0" w:space="0" w:color="auto"/>
          </w:divBdr>
        </w:div>
      </w:divsChild>
    </w:div>
    <w:div w:id="1522821524">
      <w:bodyDiv w:val="1"/>
      <w:marLeft w:val="0"/>
      <w:marRight w:val="0"/>
      <w:marTop w:val="0"/>
      <w:marBottom w:val="0"/>
      <w:divBdr>
        <w:top w:val="none" w:sz="0" w:space="0" w:color="auto"/>
        <w:left w:val="none" w:sz="0" w:space="0" w:color="auto"/>
        <w:bottom w:val="none" w:sz="0" w:space="0" w:color="auto"/>
        <w:right w:val="none" w:sz="0" w:space="0" w:color="auto"/>
      </w:divBdr>
    </w:div>
    <w:div w:id="1792742806">
      <w:bodyDiv w:val="1"/>
      <w:marLeft w:val="0"/>
      <w:marRight w:val="0"/>
      <w:marTop w:val="0"/>
      <w:marBottom w:val="0"/>
      <w:divBdr>
        <w:top w:val="none" w:sz="0" w:space="0" w:color="auto"/>
        <w:left w:val="none" w:sz="0" w:space="0" w:color="auto"/>
        <w:bottom w:val="none" w:sz="0" w:space="0" w:color="auto"/>
        <w:right w:val="none" w:sz="0" w:space="0" w:color="auto"/>
      </w:divBdr>
    </w:div>
    <w:div w:id="1921208747">
      <w:bodyDiv w:val="1"/>
      <w:marLeft w:val="0"/>
      <w:marRight w:val="0"/>
      <w:marTop w:val="0"/>
      <w:marBottom w:val="0"/>
      <w:divBdr>
        <w:top w:val="none" w:sz="0" w:space="0" w:color="auto"/>
        <w:left w:val="none" w:sz="0" w:space="0" w:color="auto"/>
        <w:bottom w:val="none" w:sz="0" w:space="0" w:color="auto"/>
        <w:right w:val="none" w:sz="0" w:space="0" w:color="auto"/>
      </w:divBdr>
      <w:divsChild>
        <w:div w:id="377776823">
          <w:marLeft w:val="0"/>
          <w:marRight w:val="0"/>
          <w:marTop w:val="0"/>
          <w:marBottom w:val="0"/>
          <w:divBdr>
            <w:top w:val="none" w:sz="0" w:space="0" w:color="auto"/>
            <w:left w:val="none" w:sz="0" w:space="0" w:color="auto"/>
            <w:bottom w:val="none" w:sz="0" w:space="0" w:color="auto"/>
            <w:right w:val="none" w:sz="0" w:space="0" w:color="auto"/>
          </w:divBdr>
        </w:div>
        <w:div w:id="587541116">
          <w:marLeft w:val="0"/>
          <w:marRight w:val="0"/>
          <w:marTop w:val="0"/>
          <w:marBottom w:val="0"/>
          <w:divBdr>
            <w:top w:val="none" w:sz="0" w:space="0" w:color="auto"/>
            <w:left w:val="none" w:sz="0" w:space="0" w:color="auto"/>
            <w:bottom w:val="none" w:sz="0" w:space="0" w:color="auto"/>
            <w:right w:val="none" w:sz="0" w:space="0" w:color="auto"/>
          </w:divBdr>
        </w:div>
      </w:divsChild>
    </w:div>
    <w:div w:id="1970015092">
      <w:bodyDiv w:val="1"/>
      <w:marLeft w:val="0"/>
      <w:marRight w:val="0"/>
      <w:marTop w:val="0"/>
      <w:marBottom w:val="0"/>
      <w:divBdr>
        <w:top w:val="none" w:sz="0" w:space="0" w:color="auto"/>
        <w:left w:val="none" w:sz="0" w:space="0" w:color="auto"/>
        <w:bottom w:val="none" w:sz="0" w:space="0" w:color="auto"/>
        <w:right w:val="none" w:sz="0" w:space="0" w:color="auto"/>
      </w:divBdr>
      <w:divsChild>
        <w:div w:id="1943370627">
          <w:marLeft w:val="0"/>
          <w:marRight w:val="0"/>
          <w:marTop w:val="0"/>
          <w:marBottom w:val="0"/>
          <w:divBdr>
            <w:top w:val="none" w:sz="0" w:space="0" w:color="auto"/>
            <w:left w:val="none" w:sz="0" w:space="0" w:color="auto"/>
            <w:bottom w:val="none" w:sz="0" w:space="0" w:color="auto"/>
            <w:right w:val="none" w:sz="0" w:space="0" w:color="auto"/>
          </w:divBdr>
        </w:div>
        <w:div w:id="181403985">
          <w:marLeft w:val="0"/>
          <w:marRight w:val="0"/>
          <w:marTop w:val="0"/>
          <w:marBottom w:val="0"/>
          <w:divBdr>
            <w:top w:val="none" w:sz="0" w:space="0" w:color="auto"/>
            <w:left w:val="none" w:sz="0" w:space="0" w:color="auto"/>
            <w:bottom w:val="none" w:sz="0" w:space="0" w:color="auto"/>
            <w:right w:val="none" w:sz="0" w:space="0" w:color="auto"/>
          </w:divBdr>
        </w:div>
        <w:div w:id="177307290">
          <w:marLeft w:val="0"/>
          <w:marRight w:val="0"/>
          <w:marTop w:val="0"/>
          <w:marBottom w:val="0"/>
          <w:divBdr>
            <w:top w:val="none" w:sz="0" w:space="0" w:color="auto"/>
            <w:left w:val="none" w:sz="0" w:space="0" w:color="auto"/>
            <w:bottom w:val="none" w:sz="0" w:space="0" w:color="auto"/>
            <w:right w:val="none" w:sz="0" w:space="0" w:color="auto"/>
          </w:divBdr>
        </w:div>
        <w:div w:id="305934314">
          <w:marLeft w:val="0"/>
          <w:marRight w:val="0"/>
          <w:marTop w:val="0"/>
          <w:marBottom w:val="0"/>
          <w:divBdr>
            <w:top w:val="none" w:sz="0" w:space="0" w:color="auto"/>
            <w:left w:val="none" w:sz="0" w:space="0" w:color="auto"/>
            <w:bottom w:val="none" w:sz="0" w:space="0" w:color="auto"/>
            <w:right w:val="none" w:sz="0" w:space="0" w:color="auto"/>
          </w:divBdr>
        </w:div>
        <w:div w:id="824781571">
          <w:marLeft w:val="0"/>
          <w:marRight w:val="0"/>
          <w:marTop w:val="0"/>
          <w:marBottom w:val="0"/>
          <w:divBdr>
            <w:top w:val="none" w:sz="0" w:space="0" w:color="auto"/>
            <w:left w:val="none" w:sz="0" w:space="0" w:color="auto"/>
            <w:bottom w:val="none" w:sz="0" w:space="0" w:color="auto"/>
            <w:right w:val="none" w:sz="0" w:space="0" w:color="auto"/>
          </w:divBdr>
        </w:div>
        <w:div w:id="742214458">
          <w:marLeft w:val="0"/>
          <w:marRight w:val="0"/>
          <w:marTop w:val="0"/>
          <w:marBottom w:val="0"/>
          <w:divBdr>
            <w:top w:val="none" w:sz="0" w:space="0" w:color="auto"/>
            <w:left w:val="none" w:sz="0" w:space="0" w:color="auto"/>
            <w:bottom w:val="none" w:sz="0" w:space="0" w:color="auto"/>
            <w:right w:val="none" w:sz="0" w:space="0" w:color="auto"/>
          </w:divBdr>
        </w:div>
        <w:div w:id="168717411">
          <w:marLeft w:val="0"/>
          <w:marRight w:val="0"/>
          <w:marTop w:val="0"/>
          <w:marBottom w:val="0"/>
          <w:divBdr>
            <w:top w:val="none" w:sz="0" w:space="0" w:color="auto"/>
            <w:left w:val="none" w:sz="0" w:space="0" w:color="auto"/>
            <w:bottom w:val="none" w:sz="0" w:space="0" w:color="auto"/>
            <w:right w:val="none" w:sz="0" w:space="0" w:color="auto"/>
          </w:divBdr>
        </w:div>
        <w:div w:id="712461683">
          <w:marLeft w:val="0"/>
          <w:marRight w:val="0"/>
          <w:marTop w:val="0"/>
          <w:marBottom w:val="0"/>
          <w:divBdr>
            <w:top w:val="none" w:sz="0" w:space="0" w:color="auto"/>
            <w:left w:val="none" w:sz="0" w:space="0" w:color="auto"/>
            <w:bottom w:val="none" w:sz="0" w:space="0" w:color="auto"/>
            <w:right w:val="none" w:sz="0" w:space="0" w:color="auto"/>
          </w:divBdr>
        </w:div>
        <w:div w:id="1558390640">
          <w:marLeft w:val="0"/>
          <w:marRight w:val="0"/>
          <w:marTop w:val="0"/>
          <w:marBottom w:val="0"/>
          <w:divBdr>
            <w:top w:val="none" w:sz="0" w:space="0" w:color="auto"/>
            <w:left w:val="none" w:sz="0" w:space="0" w:color="auto"/>
            <w:bottom w:val="none" w:sz="0" w:space="0" w:color="auto"/>
            <w:right w:val="none" w:sz="0" w:space="0" w:color="auto"/>
          </w:divBdr>
        </w:div>
        <w:div w:id="233903963">
          <w:marLeft w:val="0"/>
          <w:marRight w:val="0"/>
          <w:marTop w:val="0"/>
          <w:marBottom w:val="0"/>
          <w:divBdr>
            <w:top w:val="none" w:sz="0" w:space="0" w:color="auto"/>
            <w:left w:val="none" w:sz="0" w:space="0" w:color="auto"/>
            <w:bottom w:val="none" w:sz="0" w:space="0" w:color="auto"/>
            <w:right w:val="none" w:sz="0" w:space="0" w:color="auto"/>
          </w:divBdr>
        </w:div>
        <w:div w:id="30228611">
          <w:marLeft w:val="0"/>
          <w:marRight w:val="0"/>
          <w:marTop w:val="0"/>
          <w:marBottom w:val="0"/>
          <w:divBdr>
            <w:top w:val="none" w:sz="0" w:space="0" w:color="auto"/>
            <w:left w:val="none" w:sz="0" w:space="0" w:color="auto"/>
            <w:bottom w:val="none" w:sz="0" w:space="0" w:color="auto"/>
            <w:right w:val="none" w:sz="0" w:space="0" w:color="auto"/>
          </w:divBdr>
        </w:div>
        <w:div w:id="2112043696">
          <w:marLeft w:val="0"/>
          <w:marRight w:val="0"/>
          <w:marTop w:val="0"/>
          <w:marBottom w:val="0"/>
          <w:divBdr>
            <w:top w:val="none" w:sz="0" w:space="0" w:color="auto"/>
            <w:left w:val="none" w:sz="0" w:space="0" w:color="auto"/>
            <w:bottom w:val="none" w:sz="0" w:space="0" w:color="auto"/>
            <w:right w:val="none" w:sz="0" w:space="0" w:color="auto"/>
          </w:divBdr>
        </w:div>
        <w:div w:id="42868111">
          <w:marLeft w:val="0"/>
          <w:marRight w:val="0"/>
          <w:marTop w:val="0"/>
          <w:marBottom w:val="0"/>
          <w:divBdr>
            <w:top w:val="none" w:sz="0" w:space="0" w:color="auto"/>
            <w:left w:val="none" w:sz="0" w:space="0" w:color="auto"/>
            <w:bottom w:val="none" w:sz="0" w:space="0" w:color="auto"/>
            <w:right w:val="none" w:sz="0" w:space="0" w:color="auto"/>
          </w:divBdr>
        </w:div>
        <w:div w:id="433793502">
          <w:marLeft w:val="0"/>
          <w:marRight w:val="0"/>
          <w:marTop w:val="0"/>
          <w:marBottom w:val="0"/>
          <w:divBdr>
            <w:top w:val="none" w:sz="0" w:space="0" w:color="auto"/>
            <w:left w:val="none" w:sz="0" w:space="0" w:color="auto"/>
            <w:bottom w:val="none" w:sz="0" w:space="0" w:color="auto"/>
            <w:right w:val="none" w:sz="0" w:space="0" w:color="auto"/>
          </w:divBdr>
        </w:div>
        <w:div w:id="1258707935">
          <w:marLeft w:val="0"/>
          <w:marRight w:val="0"/>
          <w:marTop w:val="0"/>
          <w:marBottom w:val="0"/>
          <w:divBdr>
            <w:top w:val="none" w:sz="0" w:space="0" w:color="auto"/>
            <w:left w:val="none" w:sz="0" w:space="0" w:color="auto"/>
            <w:bottom w:val="none" w:sz="0" w:space="0" w:color="auto"/>
            <w:right w:val="none" w:sz="0" w:space="0" w:color="auto"/>
          </w:divBdr>
        </w:div>
        <w:div w:id="422799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nstats.un.org/unsd/tourism/methodology.asp" TargetMode="External"/><Relationship Id="rId18" Type="http://schemas.openxmlformats.org/officeDocument/2006/relationships/hyperlink" Target="https://unstats.un.org/unsd/publication/Seriesf/SeriesF_80rev1e.pdf"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www.unwto.org/tourism-statistics/economic-contribution-SDG" TargetMode="External"/><Relationship Id="rId17" Type="http://schemas.openxmlformats.org/officeDocument/2006/relationships/hyperlink" Target="https://unstats.un.org/unsd/publication/Seriesm/SeriesM_83rev1e.pdf" TargetMode="External"/><Relationship Id="rId2" Type="http://schemas.openxmlformats.org/officeDocument/2006/relationships/customXml" Target="../customXml/item2.xml"/><Relationship Id="rId16" Type="http://schemas.openxmlformats.org/officeDocument/2006/relationships/hyperlink" Target="http://unstats.un.org/unsd/tradeserv/tourism/manual.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unsd/publication/seriesf/seriesf_80rev1e.pdf" TargetMode="External"/><Relationship Id="rId5" Type="http://schemas.openxmlformats.org/officeDocument/2006/relationships/numbering" Target="numbering.xml"/><Relationship Id="rId15" Type="http://schemas.openxmlformats.org/officeDocument/2006/relationships/hyperlink" Target="https://unstats.un.org/unsd/publication/Seriesm/SeriesM_83rev1e.pdf"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ebunwto.s3-eu-west-1.amazonaws.com/imported_images/49465/mst_research_paper_measuring_tdgdp.pdf"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E6D20A16-24A7-4850-A8C5-ED0696D55D81}"/>
      </w:docPartPr>
      <w:docPartBody>
        <w:p w:rsidR="00217901" w:rsidRDefault="00B64068">
          <w:r w:rsidRPr="00A3539F">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068"/>
    <w:rsid w:val="001E658C"/>
    <w:rsid w:val="00217901"/>
    <w:rsid w:val="0029490A"/>
    <w:rsid w:val="00414DB0"/>
    <w:rsid w:val="009F6951"/>
    <w:rsid w:val="00AB68A1"/>
    <w:rsid w:val="00B1241B"/>
    <w:rsid w:val="00B640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40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597A22-7BCB-4E17-AD05-698BA4F6D47D}">
  <ds:schemaRefs>
    <ds:schemaRef ds:uri="http://www.w3.org/XML/1998/namespace"/>
    <ds:schemaRef ds:uri="d114b01d-ae01-4749-b845-9d88e7ef5c0e"/>
    <ds:schemaRef ds:uri="http://schemas.microsoft.com/office/2006/documentManagement/types"/>
    <ds:schemaRef ds:uri="http://purl.org/dc/elements/1.1/"/>
    <ds:schemaRef ds:uri="http://purl.org/dc/dcmitype/"/>
    <ds:schemaRef ds:uri="http://schemas.microsoft.com/office/infopath/2007/PartnerControls"/>
    <ds:schemaRef ds:uri="http://purl.org/dc/terms/"/>
    <ds:schemaRef ds:uri="http://schemas.openxmlformats.org/package/2006/metadata/core-properties"/>
    <ds:schemaRef ds:uri="f2d2d782-0088-4826-96df-71eba56e6d2e"/>
    <ds:schemaRef ds:uri="http://schemas.microsoft.com/office/2006/metadata/properties"/>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CFAAC956-0B9E-4906-875D-EC84DE58CAFB}">
  <ds:schemaRefs>
    <ds:schemaRef ds:uri="http://schemas.openxmlformats.org/officeDocument/2006/bibliography"/>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2395</Words>
  <Characters>13654</Characters>
  <Application>Microsoft Office Word</Application>
  <DocSecurity>0</DocSecurity>
  <Lines>113</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United Nations</Company>
  <LinksUpToDate>false</LinksUpToDate>
  <CharactersWithSpaces>16017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Kebebush Welkema</dc:creator>
  <cp:lastModifiedBy>Harumi Shibata Salazar</cp:lastModifiedBy>
  <cp:revision>9</cp:revision>
  <cp:lastPrinted>2024-03-28T05:13:00Z</cp:lastPrinted>
  <dcterms:created xsi:type="dcterms:W3CDTF">2024-03-25T20:43:00Z</dcterms:created>
  <dcterms:modified xsi:type="dcterms:W3CDTF">2024-03-28T05:13:00Z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