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3082F4E6" w14:textId="3C2A0B56" w:rsidR="40598A2F" w:rsidRDefault="40598A2F" w:rsidP="6208A17E">
      <w:pPr>
        <w:pStyle w:val="MIndHeader"/>
        <w:rPr>
          <w:rFonts w:ascii="Calibri" w:hAnsi="Calibri"/>
          <w:sz w:val="21"/>
          <w:szCs w:val="21"/>
        </w:rPr>
      </w:pPr>
      <w:r w:rsidRPr="6208A17E">
        <w:rPr>
          <w:rFonts w:ascii="Calibri" w:eastAsia="Calibri" w:hAnsi="Calibri" w:cs="Calibri"/>
          <w:color w:val="444444"/>
          <w:sz w:val="21"/>
          <w:szCs w:val="21"/>
        </w:rPr>
        <w:t>Goal 8: Promote sustained, inclusive and sustainable economic growth, full and productive employment and decent work for all</w:t>
      </w:r>
    </w:p>
    <w:p w14:paraId="084142D2" w14:textId="464E002F" w:rsidR="00D24330" w:rsidRPr="00A96255" w:rsidRDefault="00D24330" w:rsidP="00D24330">
      <w:pPr>
        <w:pStyle w:val="MIndHeader"/>
      </w:pPr>
      <w:r>
        <w:t xml:space="preserve">0.b. Target </w:t>
      </w:r>
      <w:r>
        <w:rPr>
          <w:color w:val="B4B4B4"/>
          <w:sz w:val="20"/>
        </w:rPr>
        <w:t>(SDG_TARGET)</w:t>
      </w:r>
    </w:p>
    <w:p w14:paraId="2AA89072" w14:textId="4BF5DA76" w:rsidR="1C1D9E77" w:rsidRDefault="1C1D9E77" w:rsidP="6208A17E">
      <w:pPr>
        <w:pStyle w:val="MIndHeader"/>
        <w:rPr>
          <w:rFonts w:ascii="Calibri" w:hAnsi="Calibri"/>
          <w:sz w:val="21"/>
          <w:szCs w:val="21"/>
        </w:rPr>
      </w:pPr>
      <w:r w:rsidRPr="6208A17E">
        <w:rPr>
          <w:rFonts w:ascii="Calibri" w:eastAsia="Calibri" w:hAnsi="Calibri" w:cs="Calibri"/>
          <w:color w:val="444444"/>
          <w:sz w:val="21"/>
          <w:szCs w:val="21"/>
        </w:rPr>
        <w:t>Target 8.a: Increase Aid for Trade support for developing countries, in particular least developed countries, including through the Enhanced Integrated Framework for Trade-related Technical Assistance to Least Developed Countries</w:t>
      </w:r>
    </w:p>
    <w:p w14:paraId="3E67E7E0" w14:textId="7A39D70B" w:rsidR="00D24330" w:rsidRPr="00A96255" w:rsidRDefault="00D24330" w:rsidP="00D24330">
      <w:pPr>
        <w:pStyle w:val="MIndHeader"/>
      </w:pPr>
      <w:r w:rsidRPr="00A96255">
        <w:t xml:space="preserve">0.c. Indicator </w:t>
      </w:r>
      <w:r>
        <w:rPr>
          <w:color w:val="B4B4B4"/>
          <w:sz w:val="20"/>
        </w:rPr>
        <w:t>(SDG_INDICATOR)</w:t>
      </w:r>
    </w:p>
    <w:p w14:paraId="7DBD7064" w14:textId="77777777" w:rsidR="00065EDB" w:rsidRDefault="00065EDB" w:rsidP="00D24330">
      <w:pPr>
        <w:pStyle w:val="MIndHeader"/>
        <w:rPr>
          <w:color w:val="333333"/>
          <w:sz w:val="21"/>
          <w:szCs w:val="21"/>
        </w:rPr>
      </w:pPr>
      <w:r w:rsidRPr="00065EDB">
        <w:rPr>
          <w:color w:val="333333"/>
          <w:sz w:val="21"/>
          <w:szCs w:val="21"/>
        </w:rPr>
        <w:t xml:space="preserve">Indicator 8.a.1: Aid for Trade commitments and disbursements </w:t>
      </w:r>
    </w:p>
    <w:p w14:paraId="37E5E4F6" w14:textId="14939B67" w:rsidR="00D24330" w:rsidRPr="00AF73E8" w:rsidRDefault="00D24330" w:rsidP="00D24330">
      <w:pPr>
        <w:pStyle w:val="MIndHeader"/>
        <w:rPr>
          <w:lang w:val="en-US"/>
        </w:rPr>
      </w:pPr>
      <w:r w:rsidRPr="00AF73E8">
        <w:rPr>
          <w:lang w:val="en-US"/>
        </w:rPr>
        <w:t xml:space="preserve">0.d. Series </w:t>
      </w:r>
      <w:r>
        <w:rPr>
          <w:color w:val="B4B4B4"/>
          <w:sz w:val="20"/>
        </w:rPr>
        <w:t>(SDG_SERIES_DESCR)</w:t>
      </w:r>
    </w:p>
    <w:p w14:paraId="52B43C98" w14:textId="77777777" w:rsidR="00C20B3F" w:rsidRPr="00AF73E8" w:rsidRDefault="00C20B3F" w:rsidP="00AF73E8">
      <w:pPr>
        <w:pStyle w:val="MGTHeader"/>
        <w:rPr>
          <w:lang w:val="en-US"/>
        </w:rPr>
      </w:pPr>
      <w:r w:rsidRPr="00AF73E8">
        <w:rPr>
          <w:lang w:val="en-US"/>
        </w:rPr>
        <w:t>DC_TOF_TRDCMDL - Total official flows (commitments) for Aid for Trade, by donor countries [8.a.1]</w:t>
      </w:r>
    </w:p>
    <w:p w14:paraId="678566E9" w14:textId="77777777" w:rsidR="00C20B3F" w:rsidRPr="00AF73E8" w:rsidRDefault="00C20B3F" w:rsidP="00AF73E8">
      <w:pPr>
        <w:pStyle w:val="MGTHeader"/>
        <w:rPr>
          <w:lang w:val="en-US"/>
        </w:rPr>
      </w:pPr>
      <w:r w:rsidRPr="00AF73E8">
        <w:rPr>
          <w:lang w:val="en-US"/>
        </w:rPr>
        <w:t>DC_TOF_TRDCML - Total official flows (commitments) for Aid for Trade, by recipient countries [8.a.1]</w:t>
      </w:r>
    </w:p>
    <w:p w14:paraId="03C9F4BB" w14:textId="77777777" w:rsidR="00C20B3F" w:rsidRPr="00AF73E8" w:rsidRDefault="00C20B3F" w:rsidP="00AF73E8">
      <w:pPr>
        <w:pStyle w:val="MGTHeader"/>
        <w:rPr>
          <w:lang w:val="en-US"/>
        </w:rPr>
      </w:pPr>
      <w:r w:rsidRPr="00AF73E8">
        <w:rPr>
          <w:lang w:val="en-US"/>
        </w:rPr>
        <w:t>DC_TOF_TRDDBMDL - Total official flows (disbursement) for Aid for Trade, by donor countries [8.a.1]</w:t>
      </w:r>
    </w:p>
    <w:p w14:paraId="426EC5B9" w14:textId="75BE559D" w:rsidR="00FA49D6" w:rsidRPr="00AF73E8" w:rsidRDefault="00C20B3F" w:rsidP="00AF73E8">
      <w:pPr>
        <w:pStyle w:val="MGTHeader"/>
        <w:rPr>
          <w:lang w:val="en-US"/>
        </w:rPr>
      </w:pPr>
      <w:r w:rsidRPr="00AF73E8">
        <w:rPr>
          <w:lang w:val="en-US"/>
        </w:rPr>
        <w:t>DC_TOF_TRDDBML - Total official flows (disbursement) for Aid for Trade, by recipient countries [8.a.1]</w:t>
      </w:r>
    </w:p>
    <w:p w14:paraId="157DACE7" w14:textId="06213159" w:rsidR="00D24330" w:rsidRPr="00AF73E8" w:rsidRDefault="00D24330" w:rsidP="00D24330">
      <w:pPr>
        <w:pStyle w:val="MIndHeader"/>
        <w:rPr>
          <w:lang w:val="en-US"/>
        </w:rPr>
      </w:pPr>
      <w:r w:rsidRPr="00AF73E8">
        <w:rPr>
          <w:lang w:val="en-US"/>
        </w:rPr>
        <w:t xml:space="preserve">0.e. Metadata update </w:t>
      </w:r>
      <w:r>
        <w:rPr>
          <w:color w:val="B4B4B4"/>
          <w:sz w:val="20"/>
        </w:rPr>
        <w:t>(META_LAST_UPDATE)</w:t>
      </w:r>
    </w:p>
    <w:p w14:paraId="283A21AB" w14:textId="471BF343" w:rsidR="00014EDD" w:rsidRPr="00AF73E8" w:rsidRDefault="00000000" w:rsidP="00D24330">
      <w:pPr>
        <w:pStyle w:val="MGTHeader"/>
        <w:rPr>
          <w:lang w:val="en-US"/>
        </w:rPr>
      </w:pPr>
      <w:sdt>
        <w:sdtPr>
          <w:rPr>
            <w:color w:val="1C75BC"/>
            <w:sz w:val="26"/>
            <w:lang w:val="en-US"/>
          </w:rPr>
          <w:id w:val="-720433564"/>
          <w:placeholder>
            <w:docPart w:val="DefaultPlaceholder_-1854013437"/>
          </w:placeholder>
          <w:date w:fullDate="2024-01-31T00:00:00Z">
            <w:dateFormat w:val="yyyy-MM-dd"/>
            <w:lid w:val="en-US"/>
            <w:storeMappedDataAs w:val="dateTime"/>
            <w:calendar w:val="gregorian"/>
          </w:date>
        </w:sdtPr>
        <w:sdtContent>
          <w:r w:rsidR="00014EDD">
            <w:rPr>
              <w:lang w:val="en-US"/>
            </w:rPr>
            <w:t>2024-01-31</w:t>
          </w:r>
        </w:sdtContent>
      </w:sdt>
    </w:p>
    <w:p w14:paraId="415C9FF1" w14:textId="00582E4B" w:rsidR="00D24330" w:rsidRPr="00A96255" w:rsidRDefault="00D24330" w:rsidP="00D24330">
      <w:pPr>
        <w:pStyle w:val="MIndHeader"/>
      </w:pPr>
      <w:r w:rsidRPr="00A96255">
        <w:t xml:space="preserve">0.f. Related indicators </w:t>
      </w:r>
      <w:r>
        <w:rPr>
          <w:color w:val="B4B4B4"/>
          <w:sz w:val="20"/>
        </w:rPr>
        <w:t>(SDG_RELATED_INDICATORS)</w:t>
      </w:r>
    </w:p>
    <w:p w14:paraId="6C2CB954" w14:textId="77777777" w:rsidR="00FA49D6" w:rsidRDefault="00FA49D6" w:rsidP="004412A2">
      <w:pPr>
        <w:pStyle w:val="MGTHeader"/>
      </w:pPr>
    </w:p>
    <w:p w14:paraId="077BC49E" w14:textId="2EA4325C"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4992164F" w:rsidR="008D1D39" w:rsidRDefault="00065EDB" w:rsidP="005F5CDE">
      <w:pPr>
        <w:pStyle w:val="MGTHeader"/>
        <w:rPr>
          <w:rStyle w:val="eop"/>
          <w:rFonts w:ascii="Calibri" w:hAnsi="Calibri" w:cs="Calibri"/>
          <w:color w:val="4A4A4A"/>
        </w:rPr>
      </w:pPr>
      <w:r>
        <w:rPr>
          <w:rStyle w:val="normaltextrun"/>
          <w:rFonts w:ascii="Calibri" w:hAnsi="Calibri" w:cs="Calibri"/>
          <w:color w:val="4A4A4A"/>
        </w:rPr>
        <w:t>Organisation for Economic Co-operation and Development (OECD)</w:t>
      </w:r>
      <w:r>
        <w:rPr>
          <w:rStyle w:val="eop"/>
          <w:rFonts w:ascii="Calibri" w:hAnsi="Calibri" w:cs="Calibri"/>
          <w:color w:val="4A4A4A"/>
        </w:rPr>
        <w:t> </w:t>
      </w:r>
    </w:p>
    <w:p w14:paraId="046EA939" w14:textId="77777777" w:rsidR="005F5CDE" w:rsidRPr="00A96255" w:rsidRDefault="005F5CDE"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245E9EFD" w:rsidR="00F719A8" w:rsidRDefault="00065EDB" w:rsidP="00576CFA">
      <w:pPr>
        <w:pStyle w:val="MText"/>
        <w:rPr>
          <w:rStyle w:val="eop"/>
          <w:rFonts w:ascii="Calibri" w:hAnsi="Calibri" w:cs="Calibri"/>
        </w:rPr>
      </w:pPr>
      <w:r>
        <w:rPr>
          <w:rStyle w:val="normaltextrun"/>
          <w:rFonts w:ascii="Calibri" w:hAnsi="Calibri" w:cs="Calibri"/>
        </w:rPr>
        <w:t>Organisation for Economic Co-operation and Development (OECD)</w:t>
      </w:r>
      <w:r>
        <w:rPr>
          <w:rStyle w:val="eop"/>
          <w:rFonts w:ascii="Calibri" w:hAnsi="Calibri" w:cs="Calibri"/>
        </w:rPr>
        <w:t> </w:t>
      </w:r>
    </w:p>
    <w:p w14:paraId="5D061AFD" w14:textId="77777777" w:rsidR="005F5CDE" w:rsidRDefault="005F5CDE"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E76071F" w14:textId="77777777" w:rsidR="00065EDB" w:rsidRDefault="00065EDB" w:rsidP="00065ED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088FE244" w14:textId="1EB1BD12" w:rsidR="00C6785A" w:rsidRDefault="00C6785A" w:rsidP="00C6785A">
      <w:pPr>
        <w:shd w:val="clear" w:color="auto" w:fill="FFFFFF"/>
        <w:spacing w:after="0"/>
        <w:jc w:val="both"/>
        <w:rPr>
          <w:rFonts w:eastAsia="Times New Roman" w:cs="Times New Roman"/>
          <w:bCs/>
          <w:color w:val="4A4A4A"/>
          <w:sz w:val="21"/>
          <w:szCs w:val="21"/>
          <w:lang w:eastAsia="en-GB"/>
        </w:rPr>
      </w:pPr>
      <w:r>
        <w:rPr>
          <w:rStyle w:val="normaltextrun"/>
          <w:rFonts w:ascii="Calibri" w:hAnsi="Calibri" w:cs="Calibri"/>
          <w:color w:val="4A4A4A"/>
          <w:sz w:val="21"/>
          <w:szCs w:val="21"/>
        </w:rPr>
        <w:t xml:space="preserve">  </w:t>
      </w:r>
      <w:r>
        <w:rPr>
          <w:rFonts w:eastAsia="Times New Roman" w:cs="Times New Roman"/>
          <w:bCs/>
          <w:color w:val="4A4A4A"/>
          <w:sz w:val="21"/>
          <w:szCs w:val="21"/>
          <w:lang w:eastAsia="en-GB"/>
        </w:rPr>
        <w:t>This indicator is defined as gross disbursements and commitments of total Official Development Assistance (ODA) from all donors for aid for trade.</w:t>
      </w:r>
    </w:p>
    <w:p w14:paraId="06A6C80F" w14:textId="77777777" w:rsidR="00065EDB" w:rsidRDefault="00065EDB" w:rsidP="00065EDB">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C8EFBD0" w14:textId="77777777" w:rsidR="00065EDB" w:rsidRDefault="00065EDB" w:rsidP="00065ED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199E05BB" w14:textId="386C81DE" w:rsidR="00C6785A" w:rsidRPr="005D785E" w:rsidRDefault="00065EDB" w:rsidP="00C6785A">
      <w:pPr>
        <w:shd w:val="clear" w:color="auto" w:fill="FFFFFF"/>
        <w:spacing w:before="75" w:after="75" w:line="240" w:lineRule="auto"/>
        <w:rPr>
          <w:rFonts w:eastAsia="Times New Roman" w:cs="Times New Roman"/>
          <w:bCs/>
          <w:color w:val="4A4A4A"/>
          <w:sz w:val="21"/>
          <w:szCs w:val="21"/>
          <w:lang w:eastAsia="en-GB"/>
        </w:rPr>
      </w:pPr>
      <w:r>
        <w:rPr>
          <w:rStyle w:val="normaltextrun"/>
          <w:rFonts w:ascii="Calibri" w:hAnsi="Calibri" w:cs="Calibri"/>
          <w:color w:val="4A4A4A"/>
          <w:sz w:val="21"/>
          <w:szCs w:val="21"/>
        </w:rPr>
        <w:t xml:space="preserve">The </w:t>
      </w:r>
      <w:r w:rsidR="00C6785A" w:rsidRPr="00C6785A">
        <w:rPr>
          <w:rFonts w:eastAsia="Times New Roman" w:cstheme="minorHAnsi"/>
          <w:bCs/>
          <w:color w:val="4A4A4A"/>
          <w:sz w:val="21"/>
          <w:szCs w:val="21"/>
          <w:lang w:eastAsia="en-GB"/>
        </w:rPr>
        <w:t>Development Assistance Committee (DAC)</w:t>
      </w:r>
      <w:r w:rsidR="00C6785A" w:rsidRPr="004A4DDA">
        <w:rPr>
          <w:rFonts w:eastAsia="Times New Roman" w:cs="Times New Roman"/>
          <w:bCs/>
          <w:color w:val="4A4A4A"/>
          <w:sz w:val="21"/>
          <w:szCs w:val="21"/>
          <w:lang w:eastAsia="en-GB"/>
        </w:rPr>
        <w:t xml:space="preserve"> </w:t>
      </w:r>
      <w:r>
        <w:rPr>
          <w:rStyle w:val="normaltextrun"/>
          <w:rFonts w:ascii="Calibri" w:hAnsi="Calibri" w:cs="Calibri"/>
          <w:color w:val="4A4A4A"/>
          <w:sz w:val="21"/>
          <w:szCs w:val="21"/>
        </w:rPr>
        <w:t xml:space="preserve">defines Official Development Assistance (ODA) as “those flows to countries and territories on the DAC List of ODA Recipients and to multilateral institutions which </w:t>
      </w:r>
      <w:r>
        <w:rPr>
          <w:rStyle w:val="normaltextrun"/>
          <w:rFonts w:ascii="Calibri" w:hAnsi="Calibri" w:cs="Calibri"/>
          <w:color w:val="4A4A4A"/>
          <w:sz w:val="21"/>
          <w:szCs w:val="21"/>
        </w:rPr>
        <w:lastRenderedPageBreak/>
        <w:t>are </w:t>
      </w:r>
      <w:proofErr w:type="spellStart"/>
      <w:r>
        <w:rPr>
          <w:rStyle w:val="normaltextrun"/>
          <w:rFonts w:ascii="Calibri" w:hAnsi="Calibri" w:cs="Calibri"/>
          <w:color w:val="4A4A4A"/>
          <w:sz w:val="21"/>
          <w:szCs w:val="21"/>
        </w:rPr>
        <w:t>i</w:t>
      </w:r>
      <w:proofErr w:type="spellEnd"/>
      <w:r>
        <w:rPr>
          <w:rStyle w:val="normaltextrun"/>
          <w:rFonts w:ascii="Calibri" w:hAnsi="Calibri" w:cs="Calibri"/>
          <w:color w:val="4A4A4A"/>
          <w:sz w:val="21"/>
          <w:szCs w:val="21"/>
        </w:rPr>
        <w:t xml:space="preserve">) provided by official agencies, including state and local governments, or by their executive agencies; and ii) </w:t>
      </w:r>
      <w:r w:rsidR="003B2222">
        <w:rPr>
          <w:rStyle w:val="eop"/>
          <w:rFonts w:ascii="Calibri" w:hAnsi="Calibri" w:cs="Calibri"/>
          <w:color w:val="4A4A4A"/>
          <w:sz w:val="21"/>
          <w:szCs w:val="21"/>
        </w:rPr>
        <w:t>c</w:t>
      </w:r>
      <w:r w:rsidR="00C6785A" w:rsidRPr="005D785E">
        <w:rPr>
          <w:rFonts w:eastAsia="Times New Roman" w:cs="Times New Roman"/>
          <w:bCs/>
          <w:color w:val="4A4A4A"/>
          <w:sz w:val="21"/>
          <w:szCs w:val="21"/>
          <w:lang w:eastAsia="en-GB"/>
        </w:rPr>
        <w:t>oncessional (i.e. grants and soft loans) and administered with the promotion of the economic development and welfare of developing countries as the main objective.</w:t>
      </w:r>
    </w:p>
    <w:p w14:paraId="5E4E89E2" w14:textId="77777777" w:rsidR="00C6785A" w:rsidRDefault="00C6785A" w:rsidP="00C6785A">
      <w:pPr>
        <w:shd w:val="clear" w:color="auto" w:fill="FFFFFF"/>
        <w:spacing w:after="0"/>
        <w:jc w:val="both"/>
        <w:rPr>
          <w:rFonts w:eastAsia="Times New Roman" w:cs="Times New Roman"/>
          <w:bCs/>
          <w:color w:val="4A4A4A"/>
          <w:sz w:val="21"/>
          <w:szCs w:val="21"/>
          <w:lang w:eastAsia="en-GB"/>
        </w:rPr>
      </w:pPr>
      <w:r w:rsidRPr="005D785E">
        <w:rPr>
          <w:rFonts w:eastAsia="Times New Roman" w:cs="Times New Roman"/>
          <w:bCs/>
          <w:color w:val="4A4A4A"/>
          <w:sz w:val="21"/>
          <w:szCs w:val="21"/>
          <w:lang w:eastAsia="en-GB"/>
        </w:rPr>
        <w:t xml:space="preserve">For more details see here: </w:t>
      </w:r>
      <w:hyperlink r:id="rId11" w:history="1">
        <w:r w:rsidRPr="000B7A25">
          <w:rPr>
            <w:rStyle w:val="Hyperlink"/>
            <w:rFonts w:eastAsia="Times New Roman" w:cs="Times New Roman"/>
            <w:bCs/>
            <w:sz w:val="21"/>
            <w:szCs w:val="21"/>
            <w:lang w:eastAsia="en-GB"/>
          </w:rPr>
          <w:t>https://www.oecd.org/dac/financing-sustainable-development/development-finance-standards/officialdevelopmentassistancedefinitionandcoverage.htm</w:t>
        </w:r>
      </w:hyperlink>
    </w:p>
    <w:p w14:paraId="26F67C4D" w14:textId="060C90BA" w:rsidR="00065EDB" w:rsidRPr="00AF73E8" w:rsidRDefault="00065EDB" w:rsidP="00065EDB">
      <w:pPr>
        <w:pStyle w:val="paragraph"/>
        <w:shd w:val="clear" w:color="auto" w:fill="FFFFFF"/>
        <w:spacing w:before="0" w:beforeAutospacing="0" w:after="0" w:afterAutospacing="0"/>
        <w:textAlignment w:val="baseline"/>
        <w:rPr>
          <w:rFonts w:ascii="Segoe UI" w:hAnsi="Segoe UI" w:cs="Segoe UI"/>
          <w:sz w:val="18"/>
          <w:szCs w:val="18"/>
          <w:lang w:val="en-GB"/>
        </w:rPr>
      </w:pPr>
    </w:p>
    <w:p w14:paraId="590B5210" w14:textId="77777777" w:rsidR="00065EDB" w:rsidRDefault="00065EDB" w:rsidP="00065EDB">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EE82C45" w14:textId="77777777" w:rsidR="003B2222" w:rsidRDefault="003B2222" w:rsidP="003B2222">
      <w:pPr>
        <w:shd w:val="clear" w:color="auto" w:fill="FFFFFF"/>
        <w:spacing w:after="0"/>
        <w:jc w:val="both"/>
        <w:rPr>
          <w:rFonts w:eastAsia="Times New Roman" w:cs="Times New Roman"/>
          <w:bCs/>
          <w:i/>
          <w:color w:val="4A4A4A"/>
          <w:sz w:val="21"/>
          <w:szCs w:val="21"/>
          <w:lang w:eastAsia="en-GB"/>
        </w:rPr>
      </w:pPr>
      <w:r w:rsidRPr="004A4DDA">
        <w:rPr>
          <w:rFonts w:eastAsia="Times New Roman" w:cs="Times New Roman"/>
          <w:bCs/>
          <w:i/>
          <w:color w:val="4A4A4A"/>
          <w:sz w:val="21"/>
          <w:szCs w:val="21"/>
          <w:lang w:eastAsia="en-GB"/>
        </w:rPr>
        <w:t>All</w:t>
      </w:r>
      <w:r>
        <w:rPr>
          <w:rFonts w:eastAsia="Times New Roman" w:cs="Times New Roman"/>
          <w:bCs/>
          <w:i/>
          <w:color w:val="4A4A4A"/>
          <w:sz w:val="21"/>
          <w:szCs w:val="21"/>
          <w:lang w:eastAsia="en-GB"/>
        </w:rPr>
        <w:t xml:space="preserve"> donors </w:t>
      </w:r>
      <w:r>
        <w:rPr>
          <w:rFonts w:eastAsia="Times New Roman" w:cs="Times New Roman"/>
          <w:bCs/>
          <w:color w:val="4A4A4A"/>
          <w:sz w:val="21"/>
          <w:szCs w:val="21"/>
          <w:lang w:eastAsia="en-GB"/>
        </w:rPr>
        <w:t xml:space="preserve">refer to DAC donors, other bilateral providers of development cooperation and multilateral organizations. </w:t>
      </w:r>
      <w:r w:rsidRPr="004A4DDA">
        <w:rPr>
          <w:rFonts w:eastAsia="Times New Roman" w:cs="Times New Roman"/>
          <w:bCs/>
          <w:i/>
          <w:color w:val="4A4A4A"/>
          <w:sz w:val="21"/>
          <w:szCs w:val="21"/>
          <w:lang w:eastAsia="en-GB"/>
        </w:rPr>
        <w:t xml:space="preserve"> </w:t>
      </w:r>
    </w:p>
    <w:p w14:paraId="0BF731C7" w14:textId="77777777" w:rsidR="003B2222" w:rsidRDefault="003B2222" w:rsidP="003B2222">
      <w:pPr>
        <w:shd w:val="clear" w:color="auto" w:fill="FFFFFF"/>
        <w:spacing w:after="0"/>
        <w:jc w:val="both"/>
        <w:rPr>
          <w:rFonts w:eastAsia="Times New Roman" w:cs="Times New Roman"/>
          <w:b/>
          <w:bCs/>
          <w:color w:val="4A4A4A"/>
          <w:sz w:val="21"/>
          <w:szCs w:val="21"/>
          <w:lang w:eastAsia="en-GB"/>
        </w:rPr>
      </w:pPr>
    </w:p>
    <w:p w14:paraId="253D698D" w14:textId="77777777" w:rsidR="003B2222" w:rsidRDefault="003B2222" w:rsidP="003B2222">
      <w:pPr>
        <w:shd w:val="clear" w:color="auto" w:fill="FFFFFF"/>
        <w:spacing w:after="0"/>
        <w:jc w:val="both"/>
        <w:rPr>
          <w:rFonts w:eastAsia="Times New Roman" w:cs="Times New Roman"/>
          <w:bCs/>
          <w:color w:val="4A4A4A"/>
          <w:sz w:val="21"/>
          <w:szCs w:val="21"/>
          <w:lang w:eastAsia="en-GB"/>
        </w:rPr>
      </w:pPr>
      <w:r>
        <w:rPr>
          <w:rFonts w:eastAsia="Times New Roman" w:cs="Times New Roman"/>
          <w:bCs/>
          <w:i/>
          <w:color w:val="4A4A4A"/>
          <w:sz w:val="21"/>
          <w:szCs w:val="21"/>
          <w:lang w:eastAsia="en-GB"/>
        </w:rPr>
        <w:t xml:space="preserve">Aid for Trade </w:t>
      </w:r>
      <w:r>
        <w:rPr>
          <w:rFonts w:eastAsia="Times New Roman" w:cs="Times New Roman"/>
          <w:bCs/>
          <w:color w:val="4A4A4A"/>
          <w:sz w:val="21"/>
          <w:szCs w:val="21"/>
          <w:lang w:eastAsia="en-GB"/>
        </w:rPr>
        <w:t>is captured in the OECD’s Creditor Reporting System (CRS) under four categories:</w:t>
      </w:r>
    </w:p>
    <w:p w14:paraId="4006F9EC" w14:textId="5EAE9BD2" w:rsidR="003B2222" w:rsidRPr="000B3D1A" w:rsidRDefault="003B2222" w:rsidP="003B2222">
      <w:pPr>
        <w:pStyle w:val="ListParagraph"/>
        <w:numPr>
          <w:ilvl w:val="0"/>
          <w:numId w:val="8"/>
        </w:numPr>
        <w:shd w:val="clear" w:color="auto" w:fill="FFFFFF"/>
        <w:spacing w:after="0"/>
        <w:jc w:val="both"/>
        <w:rPr>
          <w:rFonts w:eastAsia="Times New Roman" w:cs="Times New Roman"/>
          <w:bCs/>
          <w:color w:val="4A4A4A"/>
          <w:sz w:val="21"/>
          <w:szCs w:val="21"/>
          <w:lang w:eastAsia="en-GB"/>
        </w:rPr>
      </w:pPr>
      <w:r w:rsidRPr="000B3D1A">
        <w:rPr>
          <w:rFonts w:eastAsia="Times New Roman" w:cs="Times New Roman"/>
          <w:bCs/>
          <w:color w:val="4A4A4A"/>
          <w:sz w:val="21"/>
          <w:szCs w:val="21"/>
          <w:lang w:eastAsia="en-GB"/>
        </w:rPr>
        <w:t>Economic infrastructure: Amounts relating to trade-related infrastructure are provided in the CRS by data under the</w:t>
      </w:r>
      <w:r w:rsidR="00B64941">
        <w:rPr>
          <w:rFonts w:eastAsia="Times New Roman" w:cs="Times New Roman"/>
          <w:bCs/>
          <w:color w:val="4A4A4A"/>
          <w:sz w:val="21"/>
          <w:szCs w:val="21"/>
          <w:lang w:eastAsia="en-GB"/>
        </w:rPr>
        <w:t xml:space="preserve"> sector code</w:t>
      </w:r>
      <w:r w:rsidRPr="000B3D1A">
        <w:rPr>
          <w:rFonts w:eastAsia="Times New Roman" w:cs="Times New Roman"/>
          <w:bCs/>
          <w:color w:val="4A4A4A"/>
          <w:sz w:val="21"/>
          <w:szCs w:val="21"/>
          <w:lang w:eastAsia="en-GB"/>
        </w:rPr>
        <w:t xml:space="preserve"> heading “Economic Infrastructure and Services” and cover the sectors transport and storage, communications and energy generation and supply.</w:t>
      </w:r>
    </w:p>
    <w:p w14:paraId="66AEB94F" w14:textId="46A7D4C5" w:rsidR="003B2222" w:rsidRPr="000B3D1A" w:rsidRDefault="003B2222" w:rsidP="003B2222">
      <w:pPr>
        <w:pStyle w:val="ListParagraph"/>
        <w:numPr>
          <w:ilvl w:val="0"/>
          <w:numId w:val="8"/>
        </w:numPr>
        <w:shd w:val="clear" w:color="auto" w:fill="FFFFFF"/>
        <w:spacing w:after="0"/>
        <w:jc w:val="both"/>
        <w:rPr>
          <w:rFonts w:eastAsia="Times New Roman" w:cs="Times New Roman"/>
          <w:bCs/>
          <w:color w:val="4A4A4A"/>
          <w:sz w:val="21"/>
          <w:szCs w:val="21"/>
          <w:lang w:eastAsia="en-GB"/>
        </w:rPr>
      </w:pPr>
      <w:r w:rsidRPr="000B3D1A">
        <w:rPr>
          <w:rFonts w:eastAsia="Times New Roman" w:cs="Times New Roman"/>
          <w:bCs/>
          <w:color w:val="4A4A4A"/>
          <w:sz w:val="21"/>
          <w:szCs w:val="21"/>
          <w:lang w:eastAsia="en-GB"/>
        </w:rPr>
        <w:t>Trade policy and regulations:</w:t>
      </w:r>
      <w:r>
        <w:rPr>
          <w:rFonts w:eastAsia="Times New Roman" w:cs="Times New Roman"/>
          <w:bCs/>
          <w:color w:val="4A4A4A"/>
          <w:sz w:val="21"/>
          <w:szCs w:val="21"/>
          <w:lang w:eastAsia="en-GB"/>
        </w:rPr>
        <w:t xml:space="preserve"> </w:t>
      </w:r>
      <w:r w:rsidRPr="000B3D1A">
        <w:rPr>
          <w:rFonts w:eastAsia="Times New Roman" w:cs="Times New Roman"/>
          <w:bCs/>
          <w:color w:val="4A4A4A"/>
          <w:sz w:val="21"/>
          <w:szCs w:val="21"/>
          <w:lang w:eastAsia="en-GB"/>
        </w:rPr>
        <w:t xml:space="preserve">In the CRS, five </w:t>
      </w:r>
      <w:r w:rsidR="00B64941">
        <w:rPr>
          <w:rFonts w:eastAsia="Times New Roman" w:cs="Times New Roman"/>
          <w:bCs/>
          <w:color w:val="4A4A4A"/>
          <w:sz w:val="21"/>
          <w:szCs w:val="21"/>
          <w:lang w:eastAsia="en-GB"/>
        </w:rPr>
        <w:t>sector</w:t>
      </w:r>
      <w:r w:rsidRPr="000B3D1A">
        <w:rPr>
          <w:rFonts w:eastAsia="Times New Roman" w:cs="Times New Roman"/>
          <w:bCs/>
          <w:color w:val="4A4A4A"/>
          <w:sz w:val="21"/>
          <w:szCs w:val="21"/>
          <w:lang w:eastAsia="en-GB"/>
        </w:rPr>
        <w:t xml:space="preserve"> codes </w:t>
      </w:r>
      <w:r w:rsidR="00B64941">
        <w:rPr>
          <w:rFonts w:eastAsia="Times New Roman" w:cs="Times New Roman"/>
          <w:bCs/>
          <w:color w:val="4A4A4A"/>
          <w:sz w:val="21"/>
          <w:szCs w:val="21"/>
          <w:lang w:eastAsia="en-GB"/>
        </w:rPr>
        <w:t xml:space="preserve">(in the 331xx series) </w:t>
      </w:r>
      <w:r w:rsidRPr="000B3D1A">
        <w:rPr>
          <w:rFonts w:eastAsia="Times New Roman" w:cs="Times New Roman"/>
          <w:bCs/>
          <w:color w:val="4A4A4A"/>
          <w:sz w:val="21"/>
          <w:szCs w:val="21"/>
          <w:lang w:eastAsia="en-GB"/>
        </w:rPr>
        <w:t xml:space="preserve">are used to </w:t>
      </w:r>
      <w:r>
        <w:rPr>
          <w:rFonts w:eastAsia="Times New Roman" w:cs="Times New Roman"/>
          <w:bCs/>
          <w:color w:val="4A4A4A"/>
          <w:sz w:val="21"/>
          <w:szCs w:val="21"/>
          <w:lang w:eastAsia="en-GB"/>
        </w:rPr>
        <w:t>capture</w:t>
      </w:r>
      <w:r w:rsidRPr="000B3D1A">
        <w:rPr>
          <w:rFonts w:eastAsia="Times New Roman" w:cs="Times New Roman"/>
          <w:bCs/>
          <w:color w:val="4A4A4A"/>
          <w:sz w:val="21"/>
          <w:szCs w:val="21"/>
          <w:lang w:eastAsia="en-GB"/>
        </w:rPr>
        <w:t xml:space="preserve"> trade pol</w:t>
      </w:r>
      <w:r>
        <w:rPr>
          <w:rFonts w:eastAsia="Times New Roman" w:cs="Times New Roman"/>
          <w:bCs/>
          <w:color w:val="4A4A4A"/>
          <w:sz w:val="21"/>
          <w:szCs w:val="21"/>
          <w:lang w:eastAsia="en-GB"/>
        </w:rPr>
        <w:t xml:space="preserve">icy and regulations activities: </w:t>
      </w:r>
      <w:r w:rsidRPr="000B3D1A">
        <w:rPr>
          <w:rFonts w:eastAsia="Times New Roman" w:cs="Times New Roman"/>
          <w:bCs/>
          <w:color w:val="4A4A4A"/>
          <w:sz w:val="21"/>
          <w:szCs w:val="21"/>
          <w:lang w:eastAsia="en-GB"/>
        </w:rPr>
        <w:t>trade policy and administrative management; trade facilitation; regional trade agreements; multilateral trade negotiations; and trade education/training.</w:t>
      </w:r>
    </w:p>
    <w:p w14:paraId="5807FF16" w14:textId="125B8BE3" w:rsidR="003B2222" w:rsidRPr="000B3D1A" w:rsidRDefault="003B2222" w:rsidP="003B2222">
      <w:pPr>
        <w:pStyle w:val="ListParagraph"/>
        <w:numPr>
          <w:ilvl w:val="0"/>
          <w:numId w:val="8"/>
        </w:num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T</w:t>
      </w:r>
      <w:r w:rsidRPr="000B3D1A">
        <w:rPr>
          <w:rFonts w:eastAsia="Times New Roman" w:cs="Times New Roman"/>
          <w:bCs/>
          <w:color w:val="4A4A4A"/>
          <w:sz w:val="21"/>
          <w:szCs w:val="21"/>
          <w:lang w:eastAsia="en-GB"/>
        </w:rPr>
        <w:t xml:space="preserve">rade-related adjustment: </w:t>
      </w:r>
      <w:r w:rsidR="00B64941">
        <w:rPr>
          <w:rFonts w:eastAsia="Times New Roman" w:cs="Times New Roman"/>
          <w:bCs/>
          <w:color w:val="4A4A4A"/>
          <w:sz w:val="21"/>
          <w:szCs w:val="21"/>
          <w:lang w:eastAsia="en-GB"/>
        </w:rPr>
        <w:t>this sector code (33150) w</w:t>
      </w:r>
      <w:r w:rsidRPr="000B3D1A">
        <w:rPr>
          <w:rFonts w:eastAsia="Times New Roman" w:cs="Times New Roman"/>
          <w:bCs/>
          <w:color w:val="4A4A4A"/>
          <w:sz w:val="21"/>
          <w:szCs w:val="21"/>
          <w:lang w:eastAsia="en-GB"/>
        </w:rPr>
        <w:t xml:space="preserve">as introduced in the CRS as a separate data item in 2007 to track flows corresponding to trade-related adjustment. This category identifies contributions to developing country budgets to assist the implementation of trade reforms and adjustments to trade policy measures by other </w:t>
      </w:r>
      <w:r w:rsidR="00B64941" w:rsidRPr="000B3D1A">
        <w:rPr>
          <w:rFonts w:eastAsia="Times New Roman" w:cs="Times New Roman"/>
          <w:bCs/>
          <w:color w:val="4A4A4A"/>
          <w:sz w:val="21"/>
          <w:szCs w:val="21"/>
          <w:lang w:eastAsia="en-GB"/>
        </w:rPr>
        <w:t>countries and</w:t>
      </w:r>
      <w:r w:rsidRPr="000B3D1A">
        <w:rPr>
          <w:rFonts w:eastAsia="Times New Roman" w:cs="Times New Roman"/>
          <w:bCs/>
          <w:color w:val="4A4A4A"/>
          <w:sz w:val="21"/>
          <w:szCs w:val="21"/>
          <w:lang w:eastAsia="en-GB"/>
        </w:rPr>
        <w:t xml:space="preserve"> alleviate shortfalls in balance-of-payments due to changes in the world trading environment.</w:t>
      </w:r>
    </w:p>
    <w:p w14:paraId="45D1E4B4" w14:textId="77777777" w:rsidR="003B2222" w:rsidRPr="000B3D1A" w:rsidRDefault="003B2222" w:rsidP="003B2222">
      <w:pPr>
        <w:pStyle w:val="ListParagraph"/>
        <w:numPr>
          <w:ilvl w:val="0"/>
          <w:numId w:val="8"/>
        </w:numPr>
        <w:shd w:val="clear" w:color="auto" w:fill="FFFFFF"/>
        <w:spacing w:after="0"/>
        <w:jc w:val="both"/>
        <w:rPr>
          <w:rFonts w:eastAsia="Times New Roman" w:cs="Times New Roman"/>
          <w:bCs/>
          <w:color w:val="4A4A4A"/>
          <w:sz w:val="21"/>
          <w:szCs w:val="21"/>
          <w:lang w:eastAsia="en-GB"/>
        </w:rPr>
      </w:pPr>
      <w:r w:rsidRPr="000B3D1A">
        <w:rPr>
          <w:rFonts w:eastAsia="Times New Roman" w:cs="Times New Roman"/>
          <w:bCs/>
          <w:color w:val="4A4A4A"/>
          <w:sz w:val="21"/>
          <w:szCs w:val="21"/>
          <w:lang w:eastAsia="en-GB"/>
        </w:rPr>
        <w:t xml:space="preserve">Building Productive capacity (BPC), including trade development: The CRS captures full data on all activities in the productive and services sectors, such as agriculture; industry; mineral resources and mining; business; and banking. </w:t>
      </w:r>
    </w:p>
    <w:p w14:paraId="203FB4F2" w14:textId="77777777" w:rsidR="003B2222" w:rsidRPr="00700B39" w:rsidRDefault="003B2222" w:rsidP="003B2222">
      <w:pPr>
        <w:shd w:val="clear" w:color="auto" w:fill="FFFFFF"/>
        <w:spacing w:after="0"/>
        <w:jc w:val="both"/>
        <w:rPr>
          <w:rFonts w:eastAsia="Times New Roman" w:cs="Times New Roman"/>
          <w:bCs/>
          <w:color w:val="4A4A4A"/>
          <w:sz w:val="21"/>
          <w:szCs w:val="21"/>
          <w:lang w:eastAsia="en-GB"/>
        </w:rPr>
      </w:pPr>
    </w:p>
    <w:p w14:paraId="470D5C70" w14:textId="77777777" w:rsidR="003B2222" w:rsidRPr="000B3D1A" w:rsidRDefault="003B2222" w:rsidP="003B2222">
      <w:pPr>
        <w:shd w:val="clear" w:color="auto" w:fill="FFFFFF"/>
        <w:spacing w:after="0"/>
        <w:jc w:val="both"/>
        <w:rPr>
          <w:rFonts w:eastAsia="Times New Roman" w:cs="Times New Roman"/>
          <w:b/>
          <w:bCs/>
          <w:color w:val="4A4A4A"/>
          <w:sz w:val="21"/>
          <w:szCs w:val="21"/>
          <w:u w:val="single"/>
          <w:lang w:eastAsia="en-GB"/>
        </w:rPr>
      </w:pPr>
      <w:r w:rsidRPr="00AF73E8">
        <w:rPr>
          <w:rStyle w:val="MTextChar"/>
          <w:rFonts w:eastAsiaTheme="minorEastAsia"/>
        </w:rPr>
        <w:t>See for reference:</w:t>
      </w:r>
      <w:r w:rsidRPr="005D785E">
        <w:rPr>
          <w:color w:val="1F497D"/>
        </w:rPr>
        <w:t xml:space="preserve"> </w:t>
      </w:r>
      <w:hyperlink r:id="rId12" w:history="1">
        <w:r w:rsidRPr="000B3D1A">
          <w:rPr>
            <w:color w:val="1F497D"/>
            <w:u w:val="single"/>
          </w:rPr>
          <w:t>http://www.oecd.org/dac/financing-sustainable-development/development-finance-standards/dacandcrscodelists.htm</w:t>
        </w:r>
      </w:hyperlink>
    </w:p>
    <w:p w14:paraId="20ABF63E" w14:textId="77777777" w:rsidR="00065EDB" w:rsidRDefault="00065EDB" w:rsidP="00065EDB">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2CBCDF32" w:rsidR="00EC2915" w:rsidRDefault="00A26579" w:rsidP="00576CFA">
      <w:pPr>
        <w:pStyle w:val="MText"/>
      </w:pPr>
      <w:r>
        <w:t>M</w:t>
      </w:r>
      <w:r w:rsidR="002B12F8" w:rsidRPr="002B12F8">
        <w:t>illions of constant United States dollars</w:t>
      </w:r>
    </w:p>
    <w:p w14:paraId="6D4278A7" w14:textId="77777777" w:rsidR="00AF73E8" w:rsidRPr="00A96255" w:rsidRDefault="00AF73E8"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0F60C18E" w14:textId="0DEE2F25" w:rsidR="00065EDB" w:rsidRDefault="00065EDB" w:rsidP="00576CFA">
      <w:pPr>
        <w:pStyle w:val="MText"/>
      </w:pPr>
    </w:p>
    <w:p w14:paraId="059347A8" w14:textId="7E30A7C2" w:rsidR="00065EDB" w:rsidRDefault="00065EDB"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33C0F4F" w14:textId="77777777" w:rsidR="003B2222" w:rsidRDefault="003B2222" w:rsidP="006F44A1">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72E7B3DF" w14:textId="603F9B77" w:rsidR="006F44A1" w:rsidRDefault="006F44A1" w:rsidP="006F44A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w:t>
      </w:r>
      <w:r>
        <w:rPr>
          <w:rStyle w:val="eop"/>
          <w:rFonts w:ascii="Calibri" w:hAnsi="Calibri" w:cs="Calibri"/>
          <w:color w:val="4A4A4A"/>
          <w:sz w:val="21"/>
          <w:szCs w:val="21"/>
        </w:rPr>
        <w:t> </w:t>
      </w:r>
    </w:p>
    <w:p w14:paraId="3DEC7057" w14:textId="77777777" w:rsidR="006F44A1" w:rsidRDefault="006F44A1" w:rsidP="006F44A1">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29E9D09" w14:textId="151C7351" w:rsidR="006F44A1" w:rsidRDefault="006F44A1" w:rsidP="006F44A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data are reported by donors according to the same standards and methodologies (see here: </w:t>
      </w:r>
      <w:hyperlink r:id="rId13" w:history="1">
        <w:r w:rsidR="004E2714" w:rsidRPr="007003A4">
          <w:rPr>
            <w:rStyle w:val="Hyperlink"/>
            <w:rFonts w:ascii="Calibri" w:hAnsi="Calibri" w:cs="Calibri"/>
            <w:sz w:val="21"/>
            <w:szCs w:val="21"/>
            <w:lang w:val="en-GB"/>
          </w:rPr>
          <w:t>http://www.oecd.org/dac/stats/methodology.htm</w:t>
        </w:r>
      </w:hyperlink>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09FB3D89" w14:textId="77777777" w:rsidR="006F44A1" w:rsidRDefault="006F44A1" w:rsidP="006F44A1">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6746D64" w14:textId="697ABAE0" w:rsidR="006F44A1" w:rsidRDefault="006F44A1" w:rsidP="006F44A1">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lastRenderedPageBreak/>
        <w:t xml:space="preserve">Data are reported on an annual calendar year basis by statistical reporters in national administrations (aid agencies, Ministries of Foreign Affairs or Finance, </w:t>
      </w:r>
      <w:proofErr w:type="gramStart"/>
      <w:r>
        <w:rPr>
          <w:rStyle w:val="normaltextrun"/>
          <w:rFonts w:ascii="Calibri" w:hAnsi="Calibri" w:cs="Calibri"/>
          <w:color w:val="4A4A4A"/>
          <w:sz w:val="21"/>
          <w:szCs w:val="21"/>
          <w:lang w:val="en-GB"/>
        </w:rPr>
        <w:t>etc.</w:t>
      </w:r>
      <w:r>
        <w:rPr>
          <w:rStyle w:val="eop"/>
          <w:rFonts w:ascii="Calibri" w:hAnsi="Calibri" w:cs="Calibri"/>
          <w:color w:val="4A4A4A"/>
          <w:sz w:val="21"/>
          <w:szCs w:val="21"/>
        </w:rPr>
        <w:t> </w:t>
      </w:r>
      <w:r w:rsidR="003B2222">
        <w:rPr>
          <w:rStyle w:val="eop"/>
          <w:rFonts w:ascii="Calibri" w:hAnsi="Calibri" w:cs="Calibri"/>
          <w:color w:val="4A4A4A"/>
          <w:sz w:val="21"/>
          <w:szCs w:val="21"/>
        </w:rPr>
        <w:t>)</w:t>
      </w:r>
      <w:proofErr w:type="gramEnd"/>
    </w:p>
    <w:p w14:paraId="449DBB8F" w14:textId="77777777" w:rsidR="003B2222" w:rsidRDefault="003B2222" w:rsidP="006F44A1">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7D5932A6" w14:textId="77777777" w:rsidR="003B2222" w:rsidRPr="004F7A47" w:rsidRDefault="003B2222" w:rsidP="003B2222">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The OECD/DAC Secretariat prepares and submits an annual questionnaire (at an aggregate level and at an activity level) to national statistical reporters, and is responsible for collecting, </w:t>
      </w:r>
      <w:proofErr w:type="gramStart"/>
      <w:r>
        <w:rPr>
          <w:rFonts w:eastAsia="Times New Roman" w:cs="Times New Roman"/>
          <w:bCs/>
          <w:color w:val="4A4A4A"/>
          <w:sz w:val="21"/>
          <w:szCs w:val="21"/>
          <w:lang w:eastAsia="en-GB"/>
        </w:rPr>
        <w:t>validating</w:t>
      </w:r>
      <w:proofErr w:type="gramEnd"/>
      <w:r>
        <w:rPr>
          <w:rFonts w:eastAsia="Times New Roman" w:cs="Times New Roman"/>
          <w:bCs/>
          <w:color w:val="4A4A4A"/>
          <w:sz w:val="21"/>
          <w:szCs w:val="21"/>
          <w:lang w:eastAsia="en-GB"/>
        </w:rPr>
        <w:t xml:space="preserve"> and publishing these data. </w:t>
      </w:r>
    </w:p>
    <w:p w14:paraId="20F8AF5E" w14:textId="77777777" w:rsidR="003B2222" w:rsidRPr="00AF73E8" w:rsidRDefault="003B2222" w:rsidP="006F44A1">
      <w:pPr>
        <w:pStyle w:val="paragraph"/>
        <w:shd w:val="clear" w:color="auto" w:fill="FFFFFF"/>
        <w:spacing w:before="0" w:beforeAutospacing="0" w:after="0" w:afterAutospacing="0"/>
        <w:textAlignment w:val="baseline"/>
        <w:rPr>
          <w:rFonts w:ascii="Segoe UI" w:hAnsi="Segoe UI" w:cs="Segoe UI"/>
          <w:sz w:val="18"/>
          <w:szCs w:val="18"/>
          <w:lang w:val="en-GB"/>
        </w:rPr>
      </w:pP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7C2F60B6" w:rsidR="00576CFA" w:rsidRPr="00A96255" w:rsidRDefault="006F44A1" w:rsidP="00576CFA">
      <w:pPr>
        <w:pStyle w:val="MText"/>
      </w:pPr>
      <w:r>
        <w:rPr>
          <w:rStyle w:val="normaltextrun"/>
          <w:rFonts w:ascii="Calibri" w:hAnsi="Calibri" w:cs="Calibri"/>
        </w:rPr>
        <w:t>A statistical reporter is responsible for the collection of DAC statistics in each providing country/agency. This reporter is usually located in the national aid agency, Ministry of Foreign Affairs or Finance etc.</w:t>
      </w:r>
      <w:r>
        <w:rPr>
          <w:rStyle w:val="eop"/>
          <w:rFonts w:ascii="Calibri" w:hAnsi="Calibri" w:cs="Calibri"/>
        </w:rPr>
        <w:t>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14A139DC" w:rsidR="00EC2915" w:rsidRDefault="006F44A1" w:rsidP="00576CFA">
      <w:pPr>
        <w:pStyle w:val="MText"/>
        <w:rPr>
          <w:rStyle w:val="eop"/>
          <w:rFonts w:ascii="Calibri" w:hAnsi="Calibri" w:cs="Calibri"/>
        </w:rPr>
      </w:pPr>
      <w:r>
        <w:rPr>
          <w:rStyle w:val="normaltextrun"/>
          <w:rFonts w:ascii="Calibri" w:hAnsi="Calibri" w:cs="Calibri"/>
        </w:rPr>
        <w:t xml:space="preserve">Data are published on an annual basis in December for flows in the previous year. </w:t>
      </w:r>
      <w:r w:rsidR="003B2222">
        <w:rPr>
          <w:rStyle w:val="normaltextrun"/>
          <w:rFonts w:ascii="Calibri" w:hAnsi="Calibri" w:cs="Calibri"/>
        </w:rPr>
        <w:t>For example, d</w:t>
      </w:r>
      <w:r>
        <w:rPr>
          <w:rStyle w:val="normaltextrun"/>
          <w:rFonts w:ascii="Calibri" w:hAnsi="Calibri" w:cs="Calibri"/>
        </w:rPr>
        <w:t xml:space="preserve">etailed </w:t>
      </w:r>
      <w:r w:rsidR="003B2222">
        <w:rPr>
          <w:rStyle w:val="normaltextrun"/>
          <w:rFonts w:ascii="Calibri" w:hAnsi="Calibri" w:cs="Calibri"/>
        </w:rPr>
        <w:t xml:space="preserve">2022 </w:t>
      </w:r>
      <w:r>
        <w:rPr>
          <w:rStyle w:val="normaltextrun"/>
          <w:rFonts w:ascii="Calibri" w:hAnsi="Calibri" w:cs="Calibri"/>
        </w:rPr>
        <w:t xml:space="preserve">flows </w:t>
      </w:r>
      <w:r w:rsidR="00B64941">
        <w:rPr>
          <w:rStyle w:val="normaltextrun"/>
          <w:rFonts w:ascii="Calibri" w:hAnsi="Calibri" w:cs="Calibri"/>
        </w:rPr>
        <w:t>were</w:t>
      </w:r>
      <w:r>
        <w:rPr>
          <w:rStyle w:val="normaltextrun"/>
          <w:rFonts w:ascii="Calibri" w:hAnsi="Calibri" w:cs="Calibri"/>
        </w:rPr>
        <w:t xml:space="preserve"> published in December </w:t>
      </w:r>
      <w:r w:rsidR="003B2222">
        <w:rPr>
          <w:rStyle w:val="normaltextrun"/>
          <w:rFonts w:ascii="Calibri" w:hAnsi="Calibri" w:cs="Calibri"/>
        </w:rPr>
        <w:t>2023</w:t>
      </w:r>
      <w:r>
        <w:rPr>
          <w:rStyle w:val="normaltextrun"/>
          <w:rFonts w:ascii="Calibri" w:hAnsi="Calibri" w:cs="Calibri"/>
        </w:rPr>
        <w:t>.</w:t>
      </w:r>
      <w:r>
        <w:rPr>
          <w:rStyle w:val="eop"/>
          <w:rFonts w:ascii="Calibri" w:hAnsi="Calibri" w:cs="Calibri"/>
        </w:rPr>
        <w:t> </w:t>
      </w:r>
    </w:p>
    <w:p w14:paraId="69999170" w14:textId="77777777" w:rsidR="006F44A1" w:rsidRPr="00A96255" w:rsidRDefault="006F44A1"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08355A1B" w:rsidR="00EC2915" w:rsidRDefault="006F44A1" w:rsidP="00576CFA">
      <w:pPr>
        <w:pStyle w:val="MText"/>
        <w:rPr>
          <w:rStyle w:val="eop"/>
          <w:rFonts w:ascii="Calibri" w:hAnsi="Calibri" w:cs="Calibri"/>
        </w:rPr>
      </w:pPr>
      <w:r>
        <w:rPr>
          <w:rStyle w:val="normaltextrun"/>
          <w:rFonts w:ascii="Calibri" w:hAnsi="Calibri" w:cs="Calibri"/>
        </w:rPr>
        <w:t xml:space="preserve">December </w:t>
      </w:r>
      <w:r w:rsidR="003B2222">
        <w:rPr>
          <w:rStyle w:val="normaltextrun"/>
          <w:rFonts w:ascii="Calibri" w:hAnsi="Calibri" w:cs="Calibri"/>
        </w:rPr>
        <w:t>of each year.</w:t>
      </w:r>
      <w:r>
        <w:rPr>
          <w:rStyle w:val="eop"/>
          <w:rFonts w:ascii="Calibri" w:hAnsi="Calibri" w:cs="Calibri"/>
        </w:rPr>
        <w:t> </w:t>
      </w:r>
    </w:p>
    <w:p w14:paraId="306A90E3" w14:textId="77777777" w:rsidR="006F44A1" w:rsidRPr="00A96255" w:rsidRDefault="006F44A1"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040F67D4" w:rsidR="00EC2915" w:rsidRDefault="006F44A1" w:rsidP="00576CFA">
      <w:pPr>
        <w:pStyle w:val="MText"/>
        <w:rPr>
          <w:rStyle w:val="eop"/>
          <w:rFonts w:ascii="Calibri" w:hAnsi="Calibri" w:cs="Calibri"/>
        </w:rPr>
      </w:pPr>
      <w:r>
        <w:rPr>
          <w:rStyle w:val="normaltextrun"/>
          <w:rFonts w:ascii="Calibri" w:hAnsi="Calibri" w:cs="Calibri"/>
        </w:rPr>
        <w:t>Data are reported on an annual calendar year basis by statistical reporters in national administrations (aid agencies, Ministries of Foreign Affairs or Finance, etc.</w:t>
      </w:r>
      <w:r>
        <w:rPr>
          <w:rStyle w:val="eop"/>
          <w:rFonts w:ascii="Calibri" w:hAnsi="Calibri" w:cs="Calibri"/>
        </w:rPr>
        <w:t> </w:t>
      </w:r>
    </w:p>
    <w:p w14:paraId="5E0ED135" w14:textId="77777777" w:rsidR="006F44A1" w:rsidRPr="00A96255" w:rsidRDefault="006F44A1"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00030B19" w:rsidR="00EC2915" w:rsidRDefault="0047691A" w:rsidP="00576CFA">
      <w:pPr>
        <w:pStyle w:val="MText"/>
        <w:rPr>
          <w:rStyle w:val="eop"/>
          <w:rFonts w:ascii="Calibri" w:hAnsi="Calibri" w:cs="Calibri"/>
        </w:rPr>
      </w:pPr>
      <w:r w:rsidRPr="0047691A">
        <w:rPr>
          <w:rStyle w:val="normaltextrun"/>
          <w:rFonts w:ascii="Calibri" w:hAnsi="Calibri" w:cs="Calibri"/>
        </w:rPr>
        <w:t xml:space="preserve">Organisation for Economic Co-operation and Development </w:t>
      </w:r>
      <w:r>
        <w:rPr>
          <w:rStyle w:val="normaltextrun"/>
          <w:rFonts w:ascii="Calibri" w:hAnsi="Calibri" w:cs="Calibri"/>
        </w:rPr>
        <w:t>(</w:t>
      </w:r>
      <w:r w:rsidR="006F44A1">
        <w:rPr>
          <w:rStyle w:val="normaltextrun"/>
          <w:rFonts w:ascii="Calibri" w:hAnsi="Calibri" w:cs="Calibri"/>
        </w:rPr>
        <w:t>OECD</w:t>
      </w:r>
      <w:r>
        <w:rPr>
          <w:rStyle w:val="normaltextrun"/>
          <w:rFonts w:ascii="Calibri" w:hAnsi="Calibri" w:cs="Calibri"/>
        </w:rPr>
        <w:t>)</w:t>
      </w:r>
      <w:r w:rsidR="006F44A1">
        <w:rPr>
          <w:rStyle w:val="eop"/>
          <w:rFonts w:ascii="Calibri" w:hAnsi="Calibri" w:cs="Calibri"/>
        </w:rPr>
        <w:t> </w:t>
      </w:r>
    </w:p>
    <w:p w14:paraId="3B1692F2" w14:textId="77777777" w:rsidR="006F44A1" w:rsidRPr="00A96255" w:rsidRDefault="006F44A1"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5DBAAEB" w14:textId="77777777" w:rsidR="00FA49D6" w:rsidRDefault="00FA49D6" w:rsidP="00576CFA">
      <w:pPr>
        <w:pStyle w:val="MText"/>
        <w:rPr>
          <w:highlight w:val="yellow"/>
        </w:rPr>
      </w:pPr>
    </w:p>
    <w:p w14:paraId="6B2B035B" w14:textId="77777777" w:rsidR="00FA49D6" w:rsidRDefault="00FA49D6" w:rsidP="00576CFA">
      <w:pPr>
        <w:pStyle w:val="MText"/>
        <w:rPr>
          <w:highlight w:val="yellow"/>
        </w:rPr>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7211647" w14:textId="77777777" w:rsidR="003B2222" w:rsidRDefault="003B2222" w:rsidP="003B2222">
      <w:pPr>
        <w:shd w:val="clear" w:color="auto" w:fill="FFFFFF"/>
        <w:spacing w:after="0"/>
        <w:jc w:val="both"/>
        <w:rPr>
          <w:rFonts w:eastAsia="Times New Roman" w:cs="Times New Roman"/>
          <w:noProof/>
          <w:color w:val="4A4A4A"/>
          <w:sz w:val="21"/>
          <w:szCs w:val="21"/>
          <w:lang w:eastAsia="en-GB"/>
        </w:rPr>
      </w:pPr>
      <w:r>
        <w:rPr>
          <w:rFonts w:eastAsia="Times New Roman" w:cs="Times New Roman"/>
          <w:noProof/>
          <w:color w:val="4A4A4A"/>
          <w:sz w:val="21"/>
          <w:szCs w:val="21"/>
          <w:lang w:eastAsia="en-GB"/>
        </w:rPr>
        <w:t>ODA for aid for trade to developing countries quantify the public effort that donors provide to developing countries for aid for trade.</w:t>
      </w:r>
    </w:p>
    <w:p w14:paraId="088DB91A" w14:textId="77777777" w:rsidR="00065EDB" w:rsidRDefault="00065EDB" w:rsidP="00065EDB">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C8EA6D9" w14:textId="5EC2106D" w:rsidR="00065EDB" w:rsidRDefault="00065EDB" w:rsidP="00065ED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Data in the Creditor Reporting System are available from 1973. However, the data coverage </w:t>
      </w:r>
      <w:r w:rsidR="00B64941">
        <w:rPr>
          <w:rStyle w:val="normaltextrun"/>
          <w:rFonts w:ascii="Calibri" w:hAnsi="Calibri" w:cs="Calibri"/>
          <w:color w:val="4A4A4A"/>
          <w:sz w:val="21"/>
          <w:szCs w:val="21"/>
          <w:lang w:val="en-GB"/>
        </w:rPr>
        <w:t xml:space="preserve">at an activity level </w:t>
      </w:r>
      <w:r>
        <w:rPr>
          <w:rStyle w:val="normaltextrun"/>
          <w:rFonts w:ascii="Calibri" w:hAnsi="Calibri" w:cs="Calibri"/>
          <w:color w:val="4A4A4A"/>
          <w:sz w:val="21"/>
          <w:szCs w:val="21"/>
          <w:lang w:val="en-GB"/>
        </w:rPr>
        <w:t>is considered complete from 1995 for commitments and 2002 for disbursements.</w:t>
      </w:r>
      <w:r>
        <w:rPr>
          <w:rStyle w:val="eop"/>
          <w:rFonts w:ascii="Calibri" w:hAnsi="Calibri" w:cs="Calibri"/>
          <w:color w:val="4A4A4A"/>
          <w:sz w:val="21"/>
          <w:szCs w:val="21"/>
        </w:rPr>
        <w:t> </w:t>
      </w:r>
    </w:p>
    <w:p w14:paraId="37A3C147" w14:textId="77777777" w:rsidR="00065EDB" w:rsidRDefault="00065EDB" w:rsidP="00065EDB">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A89839E" w14:textId="2D852440" w:rsidR="00576CFA" w:rsidRDefault="00065EDB" w:rsidP="00576CFA">
      <w:pPr>
        <w:pStyle w:val="MText"/>
        <w:rPr>
          <w:rStyle w:val="eop"/>
          <w:rFonts w:ascii="Calibri" w:hAnsi="Calibri" w:cs="Calibri"/>
        </w:rPr>
      </w:pPr>
      <w:r>
        <w:rPr>
          <w:rStyle w:val="normaltextrun"/>
          <w:rFonts w:ascii="Calibri" w:hAnsi="Calibri" w:cs="Calibri"/>
        </w:rPr>
        <w:lastRenderedPageBreak/>
        <w:t xml:space="preserve">The sum of </w:t>
      </w:r>
      <w:r w:rsidR="00300927">
        <w:rPr>
          <w:rStyle w:val="normaltextrun"/>
          <w:rFonts w:ascii="Calibri" w:hAnsi="Calibri" w:cs="Calibri"/>
        </w:rPr>
        <w:t xml:space="preserve">Total Official Development Assistance (ODA) </w:t>
      </w:r>
      <w:r>
        <w:rPr>
          <w:rStyle w:val="normaltextrun"/>
          <w:rFonts w:ascii="Calibri" w:hAnsi="Calibri" w:cs="Calibri"/>
        </w:rPr>
        <w:t>from all donors to developing countries for aid for trade.</w:t>
      </w:r>
      <w:r>
        <w:rPr>
          <w:rStyle w:val="eop"/>
          <w:rFonts w:ascii="Calibri" w:hAnsi="Calibri" w:cs="Calibri"/>
        </w:rPr>
        <w:t> </w:t>
      </w:r>
    </w:p>
    <w:p w14:paraId="3DADDF42" w14:textId="77777777" w:rsidR="00065EDB" w:rsidRPr="00A96255" w:rsidRDefault="00065EDB"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34CD33E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DC72071" w14:textId="77777777" w:rsidR="00065EDB" w:rsidRPr="00FA49D6" w:rsidRDefault="00065EDB" w:rsidP="00065EDB">
      <w:pPr>
        <w:pStyle w:val="paragraph"/>
        <w:numPr>
          <w:ilvl w:val="0"/>
          <w:numId w:val="5"/>
        </w:numPr>
        <w:shd w:val="clear" w:color="auto" w:fill="FFFFFF"/>
        <w:spacing w:before="0" w:beforeAutospacing="0" w:after="0" w:afterAutospacing="0"/>
        <w:ind w:left="135" w:firstLine="0"/>
        <w:textAlignment w:val="baseline"/>
        <w:rPr>
          <w:b/>
          <w:bCs/>
          <w:sz w:val="21"/>
          <w:szCs w:val="21"/>
        </w:rPr>
      </w:pPr>
      <w:r w:rsidRPr="00FA49D6">
        <w:rPr>
          <w:rStyle w:val="normaltextrun"/>
          <w:rFonts w:ascii="Calibri" w:hAnsi="Calibri" w:cs="Calibri"/>
          <w:b/>
          <w:bCs/>
          <w:color w:val="1C75BC"/>
          <w:sz w:val="21"/>
          <w:szCs w:val="21"/>
          <w:lang w:val="en-GB"/>
        </w:rPr>
        <w:t>At country level</w:t>
      </w:r>
      <w:r w:rsidRPr="00FA49D6">
        <w:rPr>
          <w:rStyle w:val="eop"/>
          <w:rFonts w:ascii="Calibri" w:hAnsi="Calibri" w:cs="Calibri"/>
          <w:b/>
          <w:bCs/>
          <w:color w:val="1C75BC"/>
          <w:sz w:val="21"/>
          <w:szCs w:val="21"/>
        </w:rPr>
        <w:t> </w:t>
      </w:r>
    </w:p>
    <w:p w14:paraId="3B347DA5" w14:textId="77777777" w:rsidR="00065EDB" w:rsidRDefault="00065EDB" w:rsidP="00065EDB">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67C500AD" w14:textId="77777777" w:rsidR="00065EDB" w:rsidRDefault="00065EDB" w:rsidP="00065EDB">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Due to high quality of reporting, no estimates are produced for missing data.</w:t>
      </w:r>
      <w:r>
        <w:rPr>
          <w:rStyle w:val="eop"/>
          <w:rFonts w:ascii="Calibri" w:hAnsi="Calibri" w:cs="Calibri"/>
          <w:color w:val="4A4A4A"/>
          <w:sz w:val="21"/>
          <w:szCs w:val="21"/>
        </w:rPr>
        <w:t> </w:t>
      </w:r>
    </w:p>
    <w:p w14:paraId="0BB7CF9B" w14:textId="77777777" w:rsidR="00065EDB" w:rsidRDefault="00065EDB" w:rsidP="00065EDB">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25A43039" w14:textId="77777777" w:rsidR="00065EDB" w:rsidRPr="00FA49D6" w:rsidRDefault="00065EDB" w:rsidP="00065EDB">
      <w:pPr>
        <w:pStyle w:val="paragraph"/>
        <w:numPr>
          <w:ilvl w:val="0"/>
          <w:numId w:val="6"/>
        </w:numPr>
        <w:shd w:val="clear" w:color="auto" w:fill="FFFFFF"/>
        <w:spacing w:before="0" w:beforeAutospacing="0" w:after="0" w:afterAutospacing="0"/>
        <w:ind w:left="135" w:firstLine="0"/>
        <w:textAlignment w:val="baseline"/>
        <w:rPr>
          <w:b/>
          <w:bCs/>
          <w:sz w:val="21"/>
          <w:szCs w:val="21"/>
        </w:rPr>
      </w:pPr>
      <w:r w:rsidRPr="00FA49D6">
        <w:rPr>
          <w:rStyle w:val="normaltextrun"/>
          <w:rFonts w:ascii="Calibri" w:hAnsi="Calibri" w:cs="Calibri"/>
          <w:b/>
          <w:bCs/>
          <w:color w:val="1C75BC"/>
          <w:sz w:val="21"/>
          <w:szCs w:val="21"/>
          <w:lang w:val="en-GB"/>
        </w:rPr>
        <w:t>At regional and global levels</w:t>
      </w:r>
      <w:r w:rsidRPr="00FA49D6">
        <w:rPr>
          <w:rStyle w:val="eop"/>
          <w:rFonts w:ascii="Calibri" w:hAnsi="Calibri" w:cs="Calibri"/>
          <w:b/>
          <w:bCs/>
          <w:color w:val="1C75BC"/>
          <w:sz w:val="21"/>
          <w:szCs w:val="21"/>
        </w:rPr>
        <w:t> </w:t>
      </w:r>
    </w:p>
    <w:p w14:paraId="26DAB60D" w14:textId="77777777" w:rsidR="00065EDB" w:rsidRDefault="00065EDB" w:rsidP="00065EDB">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2F86E52B" w14:textId="2A238BA9" w:rsidR="00065EDB" w:rsidRDefault="00065EDB" w:rsidP="00065EDB">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Not applicable</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30B1A411" w:rsidR="00EC2915" w:rsidRDefault="00065EDB" w:rsidP="00576CFA">
      <w:pPr>
        <w:pStyle w:val="MText"/>
        <w:rPr>
          <w:rStyle w:val="eop"/>
          <w:rFonts w:ascii="Calibri" w:hAnsi="Calibri" w:cs="Calibri"/>
        </w:rPr>
      </w:pPr>
      <w:r>
        <w:rPr>
          <w:rStyle w:val="normaltextrun"/>
          <w:rFonts w:ascii="Calibri" w:hAnsi="Calibri" w:cs="Calibri"/>
        </w:rPr>
        <w:t>Global and regional figures are based on the sum of ODA flows for aid for trade activities.</w:t>
      </w:r>
      <w:r>
        <w:rPr>
          <w:rStyle w:val="eop"/>
          <w:rFonts w:ascii="Calibri" w:hAnsi="Calibri" w:cs="Calibri"/>
        </w:rPr>
        <w:t> </w:t>
      </w:r>
    </w:p>
    <w:p w14:paraId="5334FE44" w14:textId="77777777" w:rsidR="00065EDB" w:rsidRPr="00A96255" w:rsidRDefault="00065EDB"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0CBCD2FF"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371C216A" w:rsidR="00576CFA" w:rsidRPr="00FA49D6" w:rsidRDefault="00D51E7C" w:rsidP="00576CFA">
      <w:pPr>
        <w:pStyle w:val="MText"/>
        <w:rPr>
          <w:b/>
          <w:bCs/>
        </w:rPr>
      </w:pPr>
      <w:r w:rsidRPr="00FA49D6">
        <w:rPr>
          <w:b/>
          <w:bCs/>
        </w:rPr>
        <w:t>Data availability:</w:t>
      </w:r>
    </w:p>
    <w:p w14:paraId="4A1FB22F" w14:textId="29EFF991" w:rsidR="006F44A1" w:rsidRDefault="006F44A1" w:rsidP="005F5CD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On a donor basis for all DAC countries and many non-DAC providers (bilateral and multilateral) that report to the DAC.</w:t>
      </w:r>
      <w:r>
        <w:rPr>
          <w:rStyle w:val="eop"/>
          <w:rFonts w:ascii="Calibri" w:hAnsi="Calibri" w:cs="Calibri"/>
          <w:color w:val="4A4A4A"/>
          <w:sz w:val="21"/>
          <w:szCs w:val="21"/>
        </w:rPr>
        <w:t> </w:t>
      </w:r>
    </w:p>
    <w:p w14:paraId="3D039D73" w14:textId="77777777" w:rsidR="006F44A1" w:rsidRDefault="006F44A1" w:rsidP="006F44A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On a recipient basis for all developing countries eligible for ODA.</w:t>
      </w:r>
      <w:r>
        <w:rPr>
          <w:rStyle w:val="eop"/>
          <w:rFonts w:ascii="Calibri" w:hAnsi="Calibri" w:cs="Calibri"/>
          <w:color w:val="4A4A4A"/>
          <w:sz w:val="21"/>
          <w:szCs w:val="21"/>
        </w:rPr>
        <w:t> </w:t>
      </w:r>
    </w:p>
    <w:p w14:paraId="2D0542F7" w14:textId="33B1CE64" w:rsidR="00D51E7C" w:rsidRPr="00C019E5" w:rsidRDefault="00D51E7C" w:rsidP="00576CFA">
      <w:pPr>
        <w:pStyle w:val="MText"/>
        <w:rPr>
          <w:highlight w:val="cyan"/>
        </w:rPr>
      </w:pPr>
    </w:p>
    <w:p w14:paraId="72C7C370" w14:textId="525AC72F" w:rsidR="00D51E7C" w:rsidRPr="00FA49D6" w:rsidRDefault="00D51E7C" w:rsidP="00576CFA">
      <w:pPr>
        <w:pStyle w:val="MText"/>
        <w:rPr>
          <w:b/>
          <w:bCs/>
        </w:rPr>
      </w:pPr>
      <w:r w:rsidRPr="00FA49D6">
        <w:rPr>
          <w:b/>
          <w:bCs/>
        </w:rPr>
        <w:t>Disaggregation:</w:t>
      </w:r>
    </w:p>
    <w:p w14:paraId="7474D76E" w14:textId="7645FDE6" w:rsidR="00065EDB" w:rsidRDefault="00065EDB" w:rsidP="00065ED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This indicator can be disaggregated by donor, recipient country, type of finance, type of aid, trade policy and regulations and trade related adjustment sub-sectors, etc.</w:t>
      </w:r>
      <w:r>
        <w:rPr>
          <w:rStyle w:val="eop"/>
          <w:rFonts w:ascii="Calibri" w:hAnsi="Calibri" w:cs="Calibri"/>
          <w:color w:val="4A4A4A"/>
          <w:sz w:val="21"/>
          <w:szCs w:val="21"/>
        </w:rPr>
        <w:t> </w:t>
      </w:r>
    </w:p>
    <w:p w14:paraId="41798CE6" w14:textId="77777777" w:rsidR="00065EDB" w:rsidRDefault="00065EDB" w:rsidP="00065EDB">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FA49D6" w:rsidRDefault="00D51E7C" w:rsidP="00576CFA">
      <w:pPr>
        <w:pStyle w:val="MText"/>
        <w:rPr>
          <w:b/>
          <w:bCs/>
        </w:rPr>
      </w:pPr>
      <w:r w:rsidRPr="00FA49D6">
        <w:rPr>
          <w:b/>
          <w:bCs/>
        </w:rPr>
        <w:lastRenderedPageBreak/>
        <w:t>Sources of discrepancies:</w:t>
      </w:r>
    </w:p>
    <w:p w14:paraId="3C2D4870" w14:textId="21EC30F9" w:rsidR="00D51E7C" w:rsidRDefault="006F44A1" w:rsidP="00576CFA">
      <w:pPr>
        <w:pStyle w:val="MText"/>
      </w:pPr>
      <w:r>
        <w:rPr>
          <w:rStyle w:val="normaltextrun"/>
          <w:rFonts w:ascii="Calibri" w:hAnsi="Calibri" w:cs="Calibri"/>
        </w:rPr>
        <w:t>DAC statistics are standardized on a calendar year basis for all donors and may differ from fiscal year data available in budget documents for some countries.</w:t>
      </w:r>
      <w:r>
        <w:rPr>
          <w:rStyle w:val="eop"/>
          <w:rFonts w:ascii="Calibri" w:hAnsi="Calibri" w:cs="Calibri"/>
        </w:rPr>
        <w:t>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159974D" w14:textId="77777777" w:rsidR="006F44A1" w:rsidRDefault="006F44A1" w:rsidP="006F44A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52833595" w14:textId="562D84FF" w:rsidR="006F44A1" w:rsidRDefault="00506073" w:rsidP="00FA49D6">
      <w:pPr>
        <w:pStyle w:val="paragraph"/>
        <w:shd w:val="clear" w:color="auto" w:fill="FFFFFF"/>
        <w:spacing w:before="0" w:beforeAutospacing="0" w:after="0" w:afterAutospacing="0"/>
        <w:textAlignment w:val="baseline"/>
        <w:rPr>
          <w:rFonts w:ascii="Segoe UI" w:hAnsi="Segoe UI" w:cs="Segoe UI"/>
          <w:sz w:val="18"/>
          <w:szCs w:val="18"/>
        </w:rPr>
      </w:pPr>
      <w:hyperlink r:id="rId14" w:history="1">
        <w:r w:rsidRPr="007003A4">
          <w:rPr>
            <w:rStyle w:val="Hyperlink"/>
            <w:rFonts w:ascii="Calibri" w:hAnsi="Calibri" w:cs="Calibri"/>
            <w:sz w:val="21"/>
            <w:szCs w:val="21"/>
            <w:lang w:val="en-GB"/>
          </w:rPr>
          <w:t>www.oecd.org/dac/stats</w:t>
        </w:r>
      </w:hyperlink>
      <w:r>
        <w:rPr>
          <w:rStyle w:val="normaltextrun"/>
          <w:rFonts w:ascii="Calibri" w:hAnsi="Calibri" w:cs="Calibri"/>
          <w:color w:val="4A4A4A"/>
          <w:sz w:val="21"/>
          <w:szCs w:val="21"/>
          <w:lang w:val="en-GB"/>
        </w:rPr>
        <w:t xml:space="preserve"> </w:t>
      </w:r>
      <w:r w:rsidR="006F44A1">
        <w:rPr>
          <w:rStyle w:val="eop"/>
          <w:rFonts w:ascii="Calibri" w:hAnsi="Calibri" w:cs="Calibri"/>
          <w:color w:val="4A4A4A"/>
          <w:sz w:val="21"/>
          <w:szCs w:val="21"/>
        </w:rPr>
        <w:t> </w:t>
      </w:r>
    </w:p>
    <w:p w14:paraId="0EAB7198" w14:textId="77777777" w:rsidR="006F44A1" w:rsidRDefault="006F44A1" w:rsidP="006F44A1">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2318D3D" w14:textId="77777777" w:rsidR="006F44A1" w:rsidRDefault="006F44A1" w:rsidP="006F44A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180F1D8B" w14:textId="77777777" w:rsidR="006F44A1" w:rsidRDefault="006F44A1" w:rsidP="006F44A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See all links here: </w:t>
      </w:r>
      <w:hyperlink r:id="rId15" w:tgtFrame="_blank" w:history="1">
        <w:r>
          <w:rPr>
            <w:rStyle w:val="normaltextrun"/>
            <w:rFonts w:ascii="Calibri" w:hAnsi="Calibri" w:cs="Calibri"/>
            <w:color w:val="0000FF"/>
            <w:sz w:val="21"/>
            <w:szCs w:val="21"/>
            <w:u w:val="single"/>
            <w:lang w:val="en-GB"/>
          </w:rPr>
          <w:t>http://www.oecd.org/dac/stats/methodology.htm</w:t>
        </w:r>
      </w:hyperlink>
      <w:r>
        <w:rPr>
          <w:rStyle w:val="eop"/>
          <w:color w:val="4A4A4A"/>
          <w:sz w:val="21"/>
          <w:szCs w:val="21"/>
        </w:rPr>
        <w:t> </w:t>
      </w:r>
    </w:p>
    <w:p w14:paraId="384B0992" w14:textId="36889691" w:rsidR="00186795" w:rsidRDefault="00186795"/>
    <w:sectPr w:rsidR="00186795">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A19C8" w14:textId="77777777" w:rsidR="000D7E25" w:rsidRDefault="000D7E25" w:rsidP="00573C0B">
      <w:pPr>
        <w:spacing w:after="0" w:line="240" w:lineRule="auto"/>
      </w:pPr>
      <w:r>
        <w:separator/>
      </w:r>
    </w:p>
  </w:endnote>
  <w:endnote w:type="continuationSeparator" w:id="0">
    <w:p w14:paraId="12E6828A" w14:textId="77777777" w:rsidR="000D7E25" w:rsidRDefault="000D7E25" w:rsidP="00573C0B">
      <w:pPr>
        <w:spacing w:after="0" w:line="240" w:lineRule="auto"/>
      </w:pPr>
      <w:r>
        <w:continuationSeparator/>
      </w:r>
    </w:p>
  </w:endnote>
  <w:endnote w:type="continuationNotice" w:id="1">
    <w:p w14:paraId="709FFED0" w14:textId="77777777" w:rsidR="000D7E25" w:rsidRDefault="000D7E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35D638D" w14:paraId="67AB82D9" w14:textId="77777777" w:rsidTr="335D638D">
      <w:tc>
        <w:tcPr>
          <w:tcW w:w="3005" w:type="dxa"/>
        </w:tcPr>
        <w:p w14:paraId="6E6AC8E2" w14:textId="4B9F3F85" w:rsidR="335D638D" w:rsidRDefault="335D638D" w:rsidP="335D638D">
          <w:pPr>
            <w:pStyle w:val="Header"/>
            <w:ind w:left="-115"/>
          </w:pPr>
        </w:p>
      </w:tc>
      <w:tc>
        <w:tcPr>
          <w:tcW w:w="3005" w:type="dxa"/>
        </w:tcPr>
        <w:p w14:paraId="0987A727" w14:textId="4F33E42F" w:rsidR="335D638D" w:rsidRDefault="335D638D" w:rsidP="335D638D">
          <w:pPr>
            <w:pStyle w:val="Header"/>
            <w:jc w:val="center"/>
          </w:pPr>
        </w:p>
      </w:tc>
      <w:tc>
        <w:tcPr>
          <w:tcW w:w="3005" w:type="dxa"/>
        </w:tcPr>
        <w:p w14:paraId="1966427D" w14:textId="0131F9E1" w:rsidR="335D638D" w:rsidRDefault="335D638D" w:rsidP="335D638D">
          <w:pPr>
            <w:pStyle w:val="Header"/>
            <w:ind w:right="-115"/>
            <w:jc w:val="right"/>
          </w:pPr>
        </w:p>
      </w:tc>
    </w:tr>
  </w:tbl>
  <w:p w14:paraId="0B10AFFF" w14:textId="17F33738" w:rsidR="335D638D" w:rsidRDefault="335D638D" w:rsidP="335D6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17B1D" w14:textId="77777777" w:rsidR="000D7E25" w:rsidRDefault="000D7E25" w:rsidP="00573C0B">
      <w:pPr>
        <w:spacing w:after="0" w:line="240" w:lineRule="auto"/>
      </w:pPr>
      <w:r>
        <w:separator/>
      </w:r>
    </w:p>
  </w:footnote>
  <w:footnote w:type="continuationSeparator" w:id="0">
    <w:p w14:paraId="6F367D71" w14:textId="77777777" w:rsidR="000D7E25" w:rsidRDefault="000D7E25" w:rsidP="00573C0B">
      <w:pPr>
        <w:spacing w:after="0" w:line="240" w:lineRule="auto"/>
      </w:pPr>
      <w:r>
        <w:continuationSeparator/>
      </w:r>
    </w:p>
  </w:footnote>
  <w:footnote w:type="continuationNotice" w:id="1">
    <w:p w14:paraId="34C98FA3" w14:textId="77777777" w:rsidR="000D7E25" w:rsidRDefault="000D7E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0B25C89" w:rsidR="00077F46" w:rsidRPr="00757E8A" w:rsidRDefault="335D638D"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335D638D">
      <w:rPr>
        <w:color w:val="404040" w:themeColor="text1" w:themeTint="BF"/>
        <w:sz w:val="18"/>
        <w:szCs w:val="18"/>
      </w:rPr>
      <w:t>Last updated:</w:t>
    </w:r>
    <w:bookmarkEnd w:id="5"/>
    <w:bookmarkEnd w:id="6"/>
    <w:bookmarkEnd w:id="7"/>
    <w:bookmarkEnd w:id="8"/>
    <w:bookmarkEnd w:id="9"/>
    <w:bookmarkEnd w:id="10"/>
    <w:r w:rsidRPr="335D638D">
      <w:rPr>
        <w:color w:val="404040" w:themeColor="text1" w:themeTint="BF"/>
        <w:sz w:val="18"/>
        <w:szCs w:val="18"/>
      </w:rPr>
      <w:t xml:space="preserve"> </w:t>
    </w:r>
    <w:r w:rsidR="00C6785A">
      <w:rPr>
        <w:color w:val="404040" w:themeColor="text1" w:themeTint="BF"/>
        <w:sz w:val="18"/>
        <w:szCs w:val="18"/>
      </w:rPr>
      <w:t>2024-01-</w:t>
    </w:r>
    <w:r w:rsidR="0035074F">
      <w:rPr>
        <w:color w:val="404040" w:themeColor="text1" w:themeTint="BF"/>
        <w:sz w:val="18"/>
        <w:szCs w:val="18"/>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E120C4"/>
    <w:multiLevelType w:val="multilevel"/>
    <w:tmpl w:val="4B1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22269"/>
    <w:multiLevelType w:val="hybridMultilevel"/>
    <w:tmpl w:val="12BAE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C37869"/>
    <w:multiLevelType w:val="hybridMultilevel"/>
    <w:tmpl w:val="5E0C6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8F15A1"/>
    <w:multiLevelType w:val="multilevel"/>
    <w:tmpl w:val="CB2C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3910958">
    <w:abstractNumId w:val="3"/>
  </w:num>
  <w:num w:numId="2" w16cid:durableId="1082072148">
    <w:abstractNumId w:val="0"/>
  </w:num>
  <w:num w:numId="3" w16cid:durableId="445543009">
    <w:abstractNumId w:val="7"/>
  </w:num>
  <w:num w:numId="4" w16cid:durableId="574053860">
    <w:abstractNumId w:val="1"/>
  </w:num>
  <w:num w:numId="5" w16cid:durableId="1282109649">
    <w:abstractNumId w:val="6"/>
  </w:num>
  <w:num w:numId="6" w16cid:durableId="779646714">
    <w:abstractNumId w:val="2"/>
  </w:num>
  <w:num w:numId="7" w16cid:durableId="1794860332">
    <w:abstractNumId w:val="5"/>
  </w:num>
  <w:num w:numId="8" w16cid:durableId="1064792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0D1082C28D31EDB09202C67B9DCFE95A5A31303D44899672B6042B6D0A3740AA"/>
  </w:docVars>
  <w:rsids>
    <w:rsidRoot w:val="0058556D"/>
    <w:rsid w:val="000070BA"/>
    <w:rsid w:val="00014EDD"/>
    <w:rsid w:val="000173F9"/>
    <w:rsid w:val="000412A0"/>
    <w:rsid w:val="00047DDA"/>
    <w:rsid w:val="00052E54"/>
    <w:rsid w:val="0005455A"/>
    <w:rsid w:val="00065EDB"/>
    <w:rsid w:val="00071F07"/>
    <w:rsid w:val="0007759D"/>
    <w:rsid w:val="000777AB"/>
    <w:rsid w:val="00077F46"/>
    <w:rsid w:val="00090FB1"/>
    <w:rsid w:val="00096186"/>
    <w:rsid w:val="000A72E4"/>
    <w:rsid w:val="000B0E2F"/>
    <w:rsid w:val="000B2430"/>
    <w:rsid w:val="000D0B30"/>
    <w:rsid w:val="000D7E25"/>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100B9"/>
    <w:rsid w:val="00261A8D"/>
    <w:rsid w:val="00283C1C"/>
    <w:rsid w:val="00291A00"/>
    <w:rsid w:val="00291A11"/>
    <w:rsid w:val="002A315C"/>
    <w:rsid w:val="002A3342"/>
    <w:rsid w:val="002A64BA"/>
    <w:rsid w:val="002B12F8"/>
    <w:rsid w:val="002B4989"/>
    <w:rsid w:val="002C2510"/>
    <w:rsid w:val="002D714E"/>
    <w:rsid w:val="002E53C3"/>
    <w:rsid w:val="002F1468"/>
    <w:rsid w:val="002F5F0C"/>
    <w:rsid w:val="00300927"/>
    <w:rsid w:val="003265EB"/>
    <w:rsid w:val="0034329E"/>
    <w:rsid w:val="00343FAA"/>
    <w:rsid w:val="00347F5E"/>
    <w:rsid w:val="0035074F"/>
    <w:rsid w:val="00353C98"/>
    <w:rsid w:val="00371A20"/>
    <w:rsid w:val="003821B4"/>
    <w:rsid w:val="00382CF3"/>
    <w:rsid w:val="00387D52"/>
    <w:rsid w:val="003A7CEA"/>
    <w:rsid w:val="003B2222"/>
    <w:rsid w:val="003F0BD3"/>
    <w:rsid w:val="003F278A"/>
    <w:rsid w:val="003F7A02"/>
    <w:rsid w:val="00422EA5"/>
    <w:rsid w:val="00422EFA"/>
    <w:rsid w:val="0042791F"/>
    <w:rsid w:val="004412A2"/>
    <w:rsid w:val="004456ED"/>
    <w:rsid w:val="0047691A"/>
    <w:rsid w:val="0048045A"/>
    <w:rsid w:val="004841B8"/>
    <w:rsid w:val="004930F2"/>
    <w:rsid w:val="004B0F1C"/>
    <w:rsid w:val="004E2714"/>
    <w:rsid w:val="004F2EE6"/>
    <w:rsid w:val="00502DBA"/>
    <w:rsid w:val="005040C4"/>
    <w:rsid w:val="00506073"/>
    <w:rsid w:val="00507637"/>
    <w:rsid w:val="00507852"/>
    <w:rsid w:val="00514DBF"/>
    <w:rsid w:val="00550921"/>
    <w:rsid w:val="005531B4"/>
    <w:rsid w:val="00563712"/>
    <w:rsid w:val="00573631"/>
    <w:rsid w:val="00573C0B"/>
    <w:rsid w:val="005768D7"/>
    <w:rsid w:val="00576CFA"/>
    <w:rsid w:val="0058556D"/>
    <w:rsid w:val="00592AF2"/>
    <w:rsid w:val="005947AD"/>
    <w:rsid w:val="00597748"/>
    <w:rsid w:val="005979E8"/>
    <w:rsid w:val="005D0AF4"/>
    <w:rsid w:val="005E54BD"/>
    <w:rsid w:val="005F5CDE"/>
    <w:rsid w:val="005F6CCA"/>
    <w:rsid w:val="00600BB9"/>
    <w:rsid w:val="006104AF"/>
    <w:rsid w:val="00621893"/>
    <w:rsid w:val="006351E1"/>
    <w:rsid w:val="006447B1"/>
    <w:rsid w:val="00662775"/>
    <w:rsid w:val="006852FC"/>
    <w:rsid w:val="006B40AB"/>
    <w:rsid w:val="006B5DC5"/>
    <w:rsid w:val="006C4BFD"/>
    <w:rsid w:val="006C7D30"/>
    <w:rsid w:val="006E3C08"/>
    <w:rsid w:val="006F44A1"/>
    <w:rsid w:val="00700ACF"/>
    <w:rsid w:val="00712487"/>
    <w:rsid w:val="00725B06"/>
    <w:rsid w:val="007507F3"/>
    <w:rsid w:val="007530CA"/>
    <w:rsid w:val="00756D68"/>
    <w:rsid w:val="007578D9"/>
    <w:rsid w:val="00757E8A"/>
    <w:rsid w:val="00763E43"/>
    <w:rsid w:val="00764EB5"/>
    <w:rsid w:val="00777A95"/>
    <w:rsid w:val="00782416"/>
    <w:rsid w:val="007B0364"/>
    <w:rsid w:val="007B5BF5"/>
    <w:rsid w:val="007D0981"/>
    <w:rsid w:val="007D1929"/>
    <w:rsid w:val="00803CF1"/>
    <w:rsid w:val="008104BB"/>
    <w:rsid w:val="00812894"/>
    <w:rsid w:val="008249C5"/>
    <w:rsid w:val="008304E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26579"/>
    <w:rsid w:val="00A34083"/>
    <w:rsid w:val="00A37FCB"/>
    <w:rsid w:val="00A54863"/>
    <w:rsid w:val="00A61D74"/>
    <w:rsid w:val="00A8688B"/>
    <w:rsid w:val="00A91163"/>
    <w:rsid w:val="00A9286F"/>
    <w:rsid w:val="00A96255"/>
    <w:rsid w:val="00A96343"/>
    <w:rsid w:val="00AB285B"/>
    <w:rsid w:val="00AF5552"/>
    <w:rsid w:val="00AF5CB4"/>
    <w:rsid w:val="00AF5ED1"/>
    <w:rsid w:val="00AF71D6"/>
    <w:rsid w:val="00AF73E8"/>
    <w:rsid w:val="00B216EE"/>
    <w:rsid w:val="00B241B5"/>
    <w:rsid w:val="00B3175F"/>
    <w:rsid w:val="00B31E2C"/>
    <w:rsid w:val="00B329B0"/>
    <w:rsid w:val="00B402D8"/>
    <w:rsid w:val="00B4237C"/>
    <w:rsid w:val="00B42FE8"/>
    <w:rsid w:val="00B52AFD"/>
    <w:rsid w:val="00B54077"/>
    <w:rsid w:val="00B64941"/>
    <w:rsid w:val="00B8087E"/>
    <w:rsid w:val="00BB646E"/>
    <w:rsid w:val="00BD1BA1"/>
    <w:rsid w:val="00C019E5"/>
    <w:rsid w:val="00C20B3F"/>
    <w:rsid w:val="00C35BC4"/>
    <w:rsid w:val="00C43F5B"/>
    <w:rsid w:val="00C6785A"/>
    <w:rsid w:val="00CB4371"/>
    <w:rsid w:val="00CC516D"/>
    <w:rsid w:val="00D23A37"/>
    <w:rsid w:val="00D24330"/>
    <w:rsid w:val="00D40056"/>
    <w:rsid w:val="00D51E7C"/>
    <w:rsid w:val="00D54F29"/>
    <w:rsid w:val="00D7020C"/>
    <w:rsid w:val="00D70AD9"/>
    <w:rsid w:val="00D72152"/>
    <w:rsid w:val="00D73CDB"/>
    <w:rsid w:val="00D92975"/>
    <w:rsid w:val="00D94BA5"/>
    <w:rsid w:val="00D9510F"/>
    <w:rsid w:val="00DA26C9"/>
    <w:rsid w:val="00DA615C"/>
    <w:rsid w:val="00DD1BC6"/>
    <w:rsid w:val="00DD4C4F"/>
    <w:rsid w:val="00DE5DC3"/>
    <w:rsid w:val="00E00D8A"/>
    <w:rsid w:val="00E05496"/>
    <w:rsid w:val="00E1050F"/>
    <w:rsid w:val="00E11604"/>
    <w:rsid w:val="00E11D92"/>
    <w:rsid w:val="00E130A0"/>
    <w:rsid w:val="00E210C4"/>
    <w:rsid w:val="00E23DB7"/>
    <w:rsid w:val="00E36ABA"/>
    <w:rsid w:val="00E46D96"/>
    <w:rsid w:val="00E52CCA"/>
    <w:rsid w:val="00E57464"/>
    <w:rsid w:val="00E66409"/>
    <w:rsid w:val="00E81D5B"/>
    <w:rsid w:val="00E976B9"/>
    <w:rsid w:val="00EA05D3"/>
    <w:rsid w:val="00EB19AD"/>
    <w:rsid w:val="00EB2F31"/>
    <w:rsid w:val="00EB6493"/>
    <w:rsid w:val="00EC2915"/>
    <w:rsid w:val="00ED05A9"/>
    <w:rsid w:val="00ED1BA0"/>
    <w:rsid w:val="00F060CC"/>
    <w:rsid w:val="00F17257"/>
    <w:rsid w:val="00F34D24"/>
    <w:rsid w:val="00F4130B"/>
    <w:rsid w:val="00F556A2"/>
    <w:rsid w:val="00F719A8"/>
    <w:rsid w:val="00F878B9"/>
    <w:rsid w:val="00FA49D6"/>
    <w:rsid w:val="00FB24E8"/>
    <w:rsid w:val="00FB3B2B"/>
    <w:rsid w:val="00FC18DA"/>
    <w:rsid w:val="00FC3917"/>
    <w:rsid w:val="00FD60DA"/>
    <w:rsid w:val="00FF07B4"/>
    <w:rsid w:val="1C1D9E77"/>
    <w:rsid w:val="335D638D"/>
    <w:rsid w:val="40598A2F"/>
    <w:rsid w:val="50CC269B"/>
    <w:rsid w:val="6208A17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065EDB"/>
  </w:style>
  <w:style w:type="character" w:customStyle="1" w:styleId="eop">
    <w:name w:val="eop"/>
    <w:basedOn w:val="DefaultParagraphFont"/>
    <w:rsid w:val="00065EDB"/>
  </w:style>
  <w:style w:type="paragraph" w:customStyle="1" w:styleId="paragraph">
    <w:name w:val="paragraph"/>
    <w:basedOn w:val="Normal"/>
    <w:rsid w:val="00065ED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2B1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0970">
      <w:bodyDiv w:val="1"/>
      <w:marLeft w:val="0"/>
      <w:marRight w:val="0"/>
      <w:marTop w:val="0"/>
      <w:marBottom w:val="0"/>
      <w:divBdr>
        <w:top w:val="none" w:sz="0" w:space="0" w:color="auto"/>
        <w:left w:val="none" w:sz="0" w:space="0" w:color="auto"/>
        <w:bottom w:val="none" w:sz="0" w:space="0" w:color="auto"/>
        <w:right w:val="none" w:sz="0" w:space="0" w:color="auto"/>
      </w:divBdr>
    </w:div>
    <w:div w:id="943345214">
      <w:bodyDiv w:val="1"/>
      <w:marLeft w:val="0"/>
      <w:marRight w:val="0"/>
      <w:marTop w:val="0"/>
      <w:marBottom w:val="0"/>
      <w:divBdr>
        <w:top w:val="none" w:sz="0" w:space="0" w:color="auto"/>
        <w:left w:val="none" w:sz="0" w:space="0" w:color="auto"/>
        <w:bottom w:val="none" w:sz="0" w:space="0" w:color="auto"/>
        <w:right w:val="none" w:sz="0" w:space="0" w:color="auto"/>
      </w:divBdr>
    </w:div>
    <w:div w:id="1048140640">
      <w:bodyDiv w:val="1"/>
      <w:marLeft w:val="0"/>
      <w:marRight w:val="0"/>
      <w:marTop w:val="0"/>
      <w:marBottom w:val="0"/>
      <w:divBdr>
        <w:top w:val="none" w:sz="0" w:space="0" w:color="auto"/>
        <w:left w:val="none" w:sz="0" w:space="0" w:color="auto"/>
        <w:bottom w:val="none" w:sz="0" w:space="0" w:color="auto"/>
        <w:right w:val="none" w:sz="0" w:space="0" w:color="auto"/>
      </w:divBdr>
      <w:divsChild>
        <w:div w:id="854223238">
          <w:marLeft w:val="0"/>
          <w:marRight w:val="0"/>
          <w:marTop w:val="0"/>
          <w:marBottom w:val="0"/>
          <w:divBdr>
            <w:top w:val="none" w:sz="0" w:space="0" w:color="auto"/>
            <w:left w:val="none" w:sz="0" w:space="0" w:color="auto"/>
            <w:bottom w:val="none" w:sz="0" w:space="0" w:color="auto"/>
            <w:right w:val="none" w:sz="0" w:space="0" w:color="auto"/>
          </w:divBdr>
        </w:div>
        <w:div w:id="1452239198">
          <w:marLeft w:val="0"/>
          <w:marRight w:val="0"/>
          <w:marTop w:val="0"/>
          <w:marBottom w:val="0"/>
          <w:divBdr>
            <w:top w:val="none" w:sz="0" w:space="0" w:color="auto"/>
            <w:left w:val="none" w:sz="0" w:space="0" w:color="auto"/>
            <w:bottom w:val="none" w:sz="0" w:space="0" w:color="auto"/>
            <w:right w:val="none" w:sz="0" w:space="0" w:color="auto"/>
          </w:divBdr>
        </w:div>
        <w:div w:id="1398434859">
          <w:marLeft w:val="0"/>
          <w:marRight w:val="0"/>
          <w:marTop w:val="0"/>
          <w:marBottom w:val="0"/>
          <w:divBdr>
            <w:top w:val="none" w:sz="0" w:space="0" w:color="auto"/>
            <w:left w:val="none" w:sz="0" w:space="0" w:color="auto"/>
            <w:bottom w:val="none" w:sz="0" w:space="0" w:color="auto"/>
            <w:right w:val="none" w:sz="0" w:space="0" w:color="auto"/>
          </w:divBdr>
        </w:div>
        <w:div w:id="1344624930">
          <w:marLeft w:val="0"/>
          <w:marRight w:val="0"/>
          <w:marTop w:val="0"/>
          <w:marBottom w:val="0"/>
          <w:divBdr>
            <w:top w:val="none" w:sz="0" w:space="0" w:color="auto"/>
            <w:left w:val="none" w:sz="0" w:space="0" w:color="auto"/>
            <w:bottom w:val="none" w:sz="0" w:space="0" w:color="auto"/>
            <w:right w:val="none" w:sz="0" w:space="0" w:color="auto"/>
          </w:divBdr>
        </w:div>
        <w:div w:id="366761411">
          <w:marLeft w:val="0"/>
          <w:marRight w:val="0"/>
          <w:marTop w:val="0"/>
          <w:marBottom w:val="0"/>
          <w:divBdr>
            <w:top w:val="none" w:sz="0" w:space="0" w:color="auto"/>
            <w:left w:val="none" w:sz="0" w:space="0" w:color="auto"/>
            <w:bottom w:val="none" w:sz="0" w:space="0" w:color="auto"/>
            <w:right w:val="none" w:sz="0" w:space="0" w:color="auto"/>
          </w:divBdr>
        </w:div>
        <w:div w:id="1314487161">
          <w:marLeft w:val="0"/>
          <w:marRight w:val="0"/>
          <w:marTop w:val="0"/>
          <w:marBottom w:val="0"/>
          <w:divBdr>
            <w:top w:val="none" w:sz="0" w:space="0" w:color="auto"/>
            <w:left w:val="none" w:sz="0" w:space="0" w:color="auto"/>
            <w:bottom w:val="none" w:sz="0" w:space="0" w:color="auto"/>
            <w:right w:val="none" w:sz="0" w:space="0" w:color="auto"/>
          </w:divBdr>
        </w:div>
        <w:div w:id="2026204666">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41987110">
      <w:bodyDiv w:val="1"/>
      <w:marLeft w:val="0"/>
      <w:marRight w:val="0"/>
      <w:marTop w:val="0"/>
      <w:marBottom w:val="0"/>
      <w:divBdr>
        <w:top w:val="none" w:sz="0" w:space="0" w:color="auto"/>
        <w:left w:val="none" w:sz="0" w:space="0" w:color="auto"/>
        <w:bottom w:val="none" w:sz="0" w:space="0" w:color="auto"/>
        <w:right w:val="none" w:sz="0" w:space="0" w:color="auto"/>
      </w:divBdr>
      <w:divsChild>
        <w:div w:id="1009719897">
          <w:marLeft w:val="0"/>
          <w:marRight w:val="0"/>
          <w:marTop w:val="0"/>
          <w:marBottom w:val="0"/>
          <w:divBdr>
            <w:top w:val="none" w:sz="0" w:space="0" w:color="auto"/>
            <w:left w:val="none" w:sz="0" w:space="0" w:color="auto"/>
            <w:bottom w:val="none" w:sz="0" w:space="0" w:color="auto"/>
            <w:right w:val="none" w:sz="0" w:space="0" w:color="auto"/>
          </w:divBdr>
        </w:div>
        <w:div w:id="1444036821">
          <w:marLeft w:val="0"/>
          <w:marRight w:val="0"/>
          <w:marTop w:val="0"/>
          <w:marBottom w:val="0"/>
          <w:divBdr>
            <w:top w:val="none" w:sz="0" w:space="0" w:color="auto"/>
            <w:left w:val="none" w:sz="0" w:space="0" w:color="auto"/>
            <w:bottom w:val="none" w:sz="0" w:space="0" w:color="auto"/>
            <w:right w:val="none" w:sz="0" w:space="0" w:color="auto"/>
          </w:divBdr>
        </w:div>
        <w:div w:id="1042903750">
          <w:marLeft w:val="0"/>
          <w:marRight w:val="0"/>
          <w:marTop w:val="0"/>
          <w:marBottom w:val="0"/>
          <w:divBdr>
            <w:top w:val="none" w:sz="0" w:space="0" w:color="auto"/>
            <w:left w:val="none" w:sz="0" w:space="0" w:color="auto"/>
            <w:bottom w:val="none" w:sz="0" w:space="0" w:color="auto"/>
            <w:right w:val="none" w:sz="0" w:space="0" w:color="auto"/>
          </w:divBdr>
        </w:div>
      </w:divsChild>
    </w:div>
    <w:div w:id="1260065738">
      <w:bodyDiv w:val="1"/>
      <w:marLeft w:val="0"/>
      <w:marRight w:val="0"/>
      <w:marTop w:val="0"/>
      <w:marBottom w:val="0"/>
      <w:divBdr>
        <w:top w:val="none" w:sz="0" w:space="0" w:color="auto"/>
        <w:left w:val="none" w:sz="0" w:space="0" w:color="auto"/>
        <w:bottom w:val="none" w:sz="0" w:space="0" w:color="auto"/>
        <w:right w:val="none" w:sz="0" w:space="0" w:color="auto"/>
      </w:divBdr>
      <w:divsChild>
        <w:div w:id="772556425">
          <w:marLeft w:val="0"/>
          <w:marRight w:val="0"/>
          <w:marTop w:val="0"/>
          <w:marBottom w:val="0"/>
          <w:divBdr>
            <w:top w:val="none" w:sz="0" w:space="0" w:color="auto"/>
            <w:left w:val="none" w:sz="0" w:space="0" w:color="auto"/>
            <w:bottom w:val="none" w:sz="0" w:space="0" w:color="auto"/>
            <w:right w:val="none" w:sz="0" w:space="0" w:color="auto"/>
          </w:divBdr>
        </w:div>
        <w:div w:id="275412952">
          <w:marLeft w:val="0"/>
          <w:marRight w:val="0"/>
          <w:marTop w:val="0"/>
          <w:marBottom w:val="0"/>
          <w:divBdr>
            <w:top w:val="none" w:sz="0" w:space="0" w:color="auto"/>
            <w:left w:val="none" w:sz="0" w:space="0" w:color="auto"/>
            <w:bottom w:val="none" w:sz="0" w:space="0" w:color="auto"/>
            <w:right w:val="none" w:sz="0" w:space="0" w:color="auto"/>
          </w:divBdr>
        </w:div>
      </w:divsChild>
    </w:div>
    <w:div w:id="1432970731">
      <w:bodyDiv w:val="1"/>
      <w:marLeft w:val="0"/>
      <w:marRight w:val="0"/>
      <w:marTop w:val="0"/>
      <w:marBottom w:val="0"/>
      <w:divBdr>
        <w:top w:val="none" w:sz="0" w:space="0" w:color="auto"/>
        <w:left w:val="none" w:sz="0" w:space="0" w:color="auto"/>
        <w:bottom w:val="none" w:sz="0" w:space="0" w:color="auto"/>
        <w:right w:val="none" w:sz="0" w:space="0" w:color="auto"/>
      </w:divBdr>
      <w:divsChild>
        <w:div w:id="81267680">
          <w:marLeft w:val="0"/>
          <w:marRight w:val="0"/>
          <w:marTop w:val="0"/>
          <w:marBottom w:val="0"/>
          <w:divBdr>
            <w:top w:val="none" w:sz="0" w:space="0" w:color="auto"/>
            <w:left w:val="none" w:sz="0" w:space="0" w:color="auto"/>
            <w:bottom w:val="none" w:sz="0" w:space="0" w:color="auto"/>
            <w:right w:val="none" w:sz="0" w:space="0" w:color="auto"/>
          </w:divBdr>
        </w:div>
        <w:div w:id="297031409">
          <w:marLeft w:val="0"/>
          <w:marRight w:val="0"/>
          <w:marTop w:val="0"/>
          <w:marBottom w:val="0"/>
          <w:divBdr>
            <w:top w:val="none" w:sz="0" w:space="0" w:color="auto"/>
            <w:left w:val="none" w:sz="0" w:space="0" w:color="auto"/>
            <w:bottom w:val="none" w:sz="0" w:space="0" w:color="auto"/>
            <w:right w:val="none" w:sz="0" w:space="0" w:color="auto"/>
          </w:divBdr>
        </w:div>
        <w:div w:id="131750207">
          <w:marLeft w:val="0"/>
          <w:marRight w:val="0"/>
          <w:marTop w:val="0"/>
          <w:marBottom w:val="0"/>
          <w:divBdr>
            <w:top w:val="none" w:sz="0" w:space="0" w:color="auto"/>
            <w:left w:val="none" w:sz="0" w:space="0" w:color="auto"/>
            <w:bottom w:val="none" w:sz="0" w:space="0" w:color="auto"/>
            <w:right w:val="none" w:sz="0" w:space="0" w:color="auto"/>
          </w:divBdr>
        </w:div>
        <w:div w:id="1711612969">
          <w:marLeft w:val="0"/>
          <w:marRight w:val="0"/>
          <w:marTop w:val="0"/>
          <w:marBottom w:val="0"/>
          <w:divBdr>
            <w:top w:val="none" w:sz="0" w:space="0" w:color="auto"/>
            <w:left w:val="none" w:sz="0" w:space="0" w:color="auto"/>
            <w:bottom w:val="none" w:sz="0" w:space="0" w:color="auto"/>
            <w:right w:val="none" w:sz="0" w:space="0" w:color="auto"/>
          </w:divBdr>
        </w:div>
        <w:div w:id="1440685186">
          <w:marLeft w:val="0"/>
          <w:marRight w:val="0"/>
          <w:marTop w:val="0"/>
          <w:marBottom w:val="0"/>
          <w:divBdr>
            <w:top w:val="none" w:sz="0" w:space="0" w:color="auto"/>
            <w:left w:val="none" w:sz="0" w:space="0" w:color="auto"/>
            <w:bottom w:val="none" w:sz="0" w:space="0" w:color="auto"/>
            <w:right w:val="none" w:sz="0" w:space="0" w:color="auto"/>
          </w:divBdr>
        </w:div>
        <w:div w:id="898051794">
          <w:marLeft w:val="0"/>
          <w:marRight w:val="0"/>
          <w:marTop w:val="0"/>
          <w:marBottom w:val="0"/>
          <w:divBdr>
            <w:top w:val="none" w:sz="0" w:space="0" w:color="auto"/>
            <w:left w:val="none" w:sz="0" w:space="0" w:color="auto"/>
            <w:bottom w:val="none" w:sz="0" w:space="0" w:color="auto"/>
            <w:right w:val="none" w:sz="0" w:space="0" w:color="auto"/>
          </w:divBdr>
        </w:div>
        <w:div w:id="1435713913">
          <w:marLeft w:val="0"/>
          <w:marRight w:val="0"/>
          <w:marTop w:val="0"/>
          <w:marBottom w:val="0"/>
          <w:divBdr>
            <w:top w:val="none" w:sz="0" w:space="0" w:color="auto"/>
            <w:left w:val="none" w:sz="0" w:space="0" w:color="auto"/>
            <w:bottom w:val="none" w:sz="0" w:space="0" w:color="auto"/>
            <w:right w:val="none" w:sz="0" w:space="0" w:color="auto"/>
          </w:divBdr>
        </w:div>
      </w:divsChild>
    </w:div>
    <w:div w:id="1672831230">
      <w:bodyDiv w:val="1"/>
      <w:marLeft w:val="0"/>
      <w:marRight w:val="0"/>
      <w:marTop w:val="0"/>
      <w:marBottom w:val="0"/>
      <w:divBdr>
        <w:top w:val="none" w:sz="0" w:space="0" w:color="auto"/>
        <w:left w:val="none" w:sz="0" w:space="0" w:color="auto"/>
        <w:bottom w:val="none" w:sz="0" w:space="0" w:color="auto"/>
        <w:right w:val="none" w:sz="0" w:space="0" w:color="auto"/>
      </w:divBdr>
      <w:divsChild>
        <w:div w:id="367872913">
          <w:marLeft w:val="0"/>
          <w:marRight w:val="0"/>
          <w:marTop w:val="0"/>
          <w:marBottom w:val="0"/>
          <w:divBdr>
            <w:top w:val="none" w:sz="0" w:space="0" w:color="auto"/>
            <w:left w:val="none" w:sz="0" w:space="0" w:color="auto"/>
            <w:bottom w:val="none" w:sz="0" w:space="0" w:color="auto"/>
            <w:right w:val="none" w:sz="0" w:space="0" w:color="auto"/>
          </w:divBdr>
        </w:div>
        <w:div w:id="567149306">
          <w:marLeft w:val="0"/>
          <w:marRight w:val="0"/>
          <w:marTop w:val="0"/>
          <w:marBottom w:val="0"/>
          <w:divBdr>
            <w:top w:val="none" w:sz="0" w:space="0" w:color="auto"/>
            <w:left w:val="none" w:sz="0" w:space="0" w:color="auto"/>
            <w:bottom w:val="none" w:sz="0" w:space="0" w:color="auto"/>
            <w:right w:val="none" w:sz="0" w:space="0" w:color="auto"/>
          </w:divBdr>
        </w:div>
        <w:div w:id="1232079603">
          <w:marLeft w:val="0"/>
          <w:marRight w:val="0"/>
          <w:marTop w:val="0"/>
          <w:marBottom w:val="0"/>
          <w:divBdr>
            <w:top w:val="none" w:sz="0" w:space="0" w:color="auto"/>
            <w:left w:val="none" w:sz="0" w:space="0" w:color="auto"/>
            <w:bottom w:val="none" w:sz="0" w:space="0" w:color="auto"/>
            <w:right w:val="none" w:sz="0" w:space="0" w:color="auto"/>
          </w:divBdr>
        </w:div>
        <w:div w:id="414478745">
          <w:marLeft w:val="0"/>
          <w:marRight w:val="0"/>
          <w:marTop w:val="0"/>
          <w:marBottom w:val="0"/>
          <w:divBdr>
            <w:top w:val="none" w:sz="0" w:space="0" w:color="auto"/>
            <w:left w:val="none" w:sz="0" w:space="0" w:color="auto"/>
            <w:bottom w:val="none" w:sz="0" w:space="0" w:color="auto"/>
            <w:right w:val="none" w:sz="0" w:space="0" w:color="auto"/>
          </w:divBdr>
        </w:div>
        <w:div w:id="808665796">
          <w:marLeft w:val="0"/>
          <w:marRight w:val="0"/>
          <w:marTop w:val="0"/>
          <w:marBottom w:val="0"/>
          <w:divBdr>
            <w:top w:val="none" w:sz="0" w:space="0" w:color="auto"/>
            <w:left w:val="none" w:sz="0" w:space="0" w:color="auto"/>
            <w:bottom w:val="none" w:sz="0" w:space="0" w:color="auto"/>
            <w:right w:val="none" w:sz="0" w:space="0" w:color="auto"/>
          </w:divBdr>
        </w:div>
        <w:div w:id="1712538034">
          <w:marLeft w:val="0"/>
          <w:marRight w:val="0"/>
          <w:marTop w:val="0"/>
          <w:marBottom w:val="0"/>
          <w:divBdr>
            <w:top w:val="none" w:sz="0" w:space="0" w:color="auto"/>
            <w:left w:val="none" w:sz="0" w:space="0" w:color="auto"/>
            <w:bottom w:val="none" w:sz="0" w:space="0" w:color="auto"/>
            <w:right w:val="none" w:sz="0" w:space="0" w:color="auto"/>
          </w:divBdr>
        </w:div>
        <w:div w:id="1839617123">
          <w:marLeft w:val="0"/>
          <w:marRight w:val="0"/>
          <w:marTop w:val="0"/>
          <w:marBottom w:val="0"/>
          <w:divBdr>
            <w:top w:val="none" w:sz="0" w:space="0" w:color="auto"/>
            <w:left w:val="none" w:sz="0" w:space="0" w:color="auto"/>
            <w:bottom w:val="none" w:sz="0" w:space="0" w:color="auto"/>
            <w:right w:val="none" w:sz="0" w:space="0" w:color="auto"/>
          </w:divBdr>
        </w:div>
        <w:div w:id="2127698148">
          <w:marLeft w:val="0"/>
          <w:marRight w:val="0"/>
          <w:marTop w:val="0"/>
          <w:marBottom w:val="0"/>
          <w:divBdr>
            <w:top w:val="none" w:sz="0" w:space="0" w:color="auto"/>
            <w:left w:val="none" w:sz="0" w:space="0" w:color="auto"/>
            <w:bottom w:val="none" w:sz="0" w:space="0" w:color="auto"/>
            <w:right w:val="none" w:sz="0" w:space="0" w:color="auto"/>
          </w:divBdr>
        </w:div>
        <w:div w:id="2115322024">
          <w:marLeft w:val="0"/>
          <w:marRight w:val="0"/>
          <w:marTop w:val="0"/>
          <w:marBottom w:val="0"/>
          <w:divBdr>
            <w:top w:val="none" w:sz="0" w:space="0" w:color="auto"/>
            <w:left w:val="none" w:sz="0" w:space="0" w:color="auto"/>
            <w:bottom w:val="none" w:sz="0" w:space="0" w:color="auto"/>
            <w:right w:val="none" w:sz="0" w:space="0" w:color="auto"/>
          </w:divBdr>
        </w:div>
        <w:div w:id="298191418">
          <w:marLeft w:val="0"/>
          <w:marRight w:val="0"/>
          <w:marTop w:val="0"/>
          <w:marBottom w:val="0"/>
          <w:divBdr>
            <w:top w:val="none" w:sz="0" w:space="0" w:color="auto"/>
            <w:left w:val="none" w:sz="0" w:space="0" w:color="auto"/>
            <w:bottom w:val="none" w:sz="0" w:space="0" w:color="auto"/>
            <w:right w:val="none" w:sz="0" w:space="0" w:color="auto"/>
          </w:divBdr>
        </w:div>
        <w:div w:id="1794443094">
          <w:marLeft w:val="0"/>
          <w:marRight w:val="0"/>
          <w:marTop w:val="0"/>
          <w:marBottom w:val="0"/>
          <w:divBdr>
            <w:top w:val="none" w:sz="0" w:space="0" w:color="auto"/>
            <w:left w:val="none" w:sz="0" w:space="0" w:color="auto"/>
            <w:bottom w:val="none" w:sz="0" w:space="0" w:color="auto"/>
            <w:right w:val="none" w:sz="0" w:space="0" w:color="auto"/>
          </w:divBdr>
        </w:div>
        <w:div w:id="2053574144">
          <w:marLeft w:val="0"/>
          <w:marRight w:val="0"/>
          <w:marTop w:val="0"/>
          <w:marBottom w:val="0"/>
          <w:divBdr>
            <w:top w:val="none" w:sz="0" w:space="0" w:color="auto"/>
            <w:left w:val="none" w:sz="0" w:space="0" w:color="auto"/>
            <w:bottom w:val="none" w:sz="0" w:space="0" w:color="auto"/>
            <w:right w:val="none" w:sz="0" w:space="0" w:color="auto"/>
          </w:divBdr>
        </w:div>
        <w:div w:id="744764191">
          <w:marLeft w:val="0"/>
          <w:marRight w:val="0"/>
          <w:marTop w:val="0"/>
          <w:marBottom w:val="0"/>
          <w:divBdr>
            <w:top w:val="none" w:sz="0" w:space="0" w:color="auto"/>
            <w:left w:val="none" w:sz="0" w:space="0" w:color="auto"/>
            <w:bottom w:val="none" w:sz="0" w:space="0" w:color="auto"/>
            <w:right w:val="none" w:sz="0" w:space="0" w:color="auto"/>
          </w:divBdr>
        </w:div>
        <w:div w:id="1065908323">
          <w:marLeft w:val="0"/>
          <w:marRight w:val="0"/>
          <w:marTop w:val="0"/>
          <w:marBottom w:val="0"/>
          <w:divBdr>
            <w:top w:val="none" w:sz="0" w:space="0" w:color="auto"/>
            <w:left w:val="none" w:sz="0" w:space="0" w:color="auto"/>
            <w:bottom w:val="none" w:sz="0" w:space="0" w:color="auto"/>
            <w:right w:val="none" w:sz="0" w:space="0" w:color="auto"/>
          </w:divBdr>
        </w:div>
        <w:div w:id="745803745">
          <w:marLeft w:val="0"/>
          <w:marRight w:val="0"/>
          <w:marTop w:val="0"/>
          <w:marBottom w:val="0"/>
          <w:divBdr>
            <w:top w:val="none" w:sz="0" w:space="0" w:color="auto"/>
            <w:left w:val="none" w:sz="0" w:space="0" w:color="auto"/>
            <w:bottom w:val="none" w:sz="0" w:space="0" w:color="auto"/>
            <w:right w:val="none" w:sz="0" w:space="0" w:color="auto"/>
          </w:divBdr>
        </w:div>
        <w:div w:id="760875257">
          <w:marLeft w:val="0"/>
          <w:marRight w:val="0"/>
          <w:marTop w:val="0"/>
          <w:marBottom w:val="0"/>
          <w:divBdr>
            <w:top w:val="none" w:sz="0" w:space="0" w:color="auto"/>
            <w:left w:val="none" w:sz="0" w:space="0" w:color="auto"/>
            <w:bottom w:val="none" w:sz="0" w:space="0" w:color="auto"/>
            <w:right w:val="none" w:sz="0" w:space="0" w:color="auto"/>
          </w:divBdr>
        </w:div>
        <w:div w:id="1062872764">
          <w:marLeft w:val="0"/>
          <w:marRight w:val="0"/>
          <w:marTop w:val="0"/>
          <w:marBottom w:val="0"/>
          <w:divBdr>
            <w:top w:val="none" w:sz="0" w:space="0" w:color="auto"/>
            <w:left w:val="none" w:sz="0" w:space="0" w:color="auto"/>
            <w:bottom w:val="none" w:sz="0" w:space="0" w:color="auto"/>
            <w:right w:val="none" w:sz="0" w:space="0" w:color="auto"/>
          </w:divBdr>
        </w:div>
        <w:div w:id="129446131">
          <w:marLeft w:val="0"/>
          <w:marRight w:val="0"/>
          <w:marTop w:val="0"/>
          <w:marBottom w:val="0"/>
          <w:divBdr>
            <w:top w:val="none" w:sz="0" w:space="0" w:color="auto"/>
            <w:left w:val="none" w:sz="0" w:space="0" w:color="auto"/>
            <w:bottom w:val="none" w:sz="0" w:space="0" w:color="auto"/>
            <w:right w:val="none" w:sz="0" w:space="0" w:color="auto"/>
          </w:divBdr>
        </w:div>
        <w:div w:id="1706448104">
          <w:marLeft w:val="0"/>
          <w:marRight w:val="0"/>
          <w:marTop w:val="0"/>
          <w:marBottom w:val="0"/>
          <w:divBdr>
            <w:top w:val="none" w:sz="0" w:space="0" w:color="auto"/>
            <w:left w:val="none" w:sz="0" w:space="0" w:color="auto"/>
            <w:bottom w:val="none" w:sz="0" w:space="0" w:color="auto"/>
            <w:right w:val="none" w:sz="0" w:space="0" w:color="auto"/>
          </w:divBdr>
        </w:div>
        <w:div w:id="1997568269">
          <w:marLeft w:val="0"/>
          <w:marRight w:val="0"/>
          <w:marTop w:val="0"/>
          <w:marBottom w:val="0"/>
          <w:divBdr>
            <w:top w:val="none" w:sz="0" w:space="0" w:color="auto"/>
            <w:left w:val="none" w:sz="0" w:space="0" w:color="auto"/>
            <w:bottom w:val="none" w:sz="0" w:space="0" w:color="auto"/>
            <w:right w:val="none" w:sz="0" w:space="0" w:color="auto"/>
          </w:divBdr>
        </w:div>
        <w:div w:id="35324795">
          <w:marLeft w:val="0"/>
          <w:marRight w:val="0"/>
          <w:marTop w:val="0"/>
          <w:marBottom w:val="0"/>
          <w:divBdr>
            <w:top w:val="none" w:sz="0" w:space="0" w:color="auto"/>
            <w:left w:val="none" w:sz="0" w:space="0" w:color="auto"/>
            <w:bottom w:val="none" w:sz="0" w:space="0" w:color="auto"/>
            <w:right w:val="none" w:sz="0" w:space="0" w:color="auto"/>
          </w:divBdr>
        </w:div>
        <w:div w:id="517501142">
          <w:marLeft w:val="0"/>
          <w:marRight w:val="0"/>
          <w:marTop w:val="0"/>
          <w:marBottom w:val="0"/>
          <w:divBdr>
            <w:top w:val="none" w:sz="0" w:space="0" w:color="auto"/>
            <w:left w:val="none" w:sz="0" w:space="0" w:color="auto"/>
            <w:bottom w:val="none" w:sz="0" w:space="0" w:color="auto"/>
            <w:right w:val="none" w:sz="0" w:space="0" w:color="auto"/>
          </w:divBdr>
        </w:div>
      </w:divsChild>
    </w:div>
    <w:div w:id="2092659046">
      <w:bodyDiv w:val="1"/>
      <w:marLeft w:val="0"/>
      <w:marRight w:val="0"/>
      <w:marTop w:val="0"/>
      <w:marBottom w:val="0"/>
      <w:divBdr>
        <w:top w:val="none" w:sz="0" w:space="0" w:color="auto"/>
        <w:left w:val="none" w:sz="0" w:space="0" w:color="auto"/>
        <w:bottom w:val="none" w:sz="0" w:space="0" w:color="auto"/>
        <w:right w:val="none" w:sz="0" w:space="0" w:color="auto"/>
      </w:divBdr>
      <w:divsChild>
        <w:div w:id="1248152352">
          <w:marLeft w:val="0"/>
          <w:marRight w:val="0"/>
          <w:marTop w:val="0"/>
          <w:marBottom w:val="375"/>
          <w:divBdr>
            <w:top w:val="none" w:sz="0" w:space="0" w:color="auto"/>
            <w:left w:val="none" w:sz="0" w:space="0" w:color="auto"/>
            <w:bottom w:val="none" w:sz="0" w:space="0" w:color="auto"/>
            <w:right w:val="none" w:sz="0" w:space="0" w:color="auto"/>
          </w:divBdr>
          <w:divsChild>
            <w:div w:id="1408844216">
              <w:marLeft w:val="0"/>
              <w:marRight w:val="0"/>
              <w:marTop w:val="0"/>
              <w:marBottom w:val="150"/>
              <w:divBdr>
                <w:top w:val="none" w:sz="0" w:space="0" w:color="auto"/>
                <w:left w:val="none" w:sz="0" w:space="0" w:color="auto"/>
                <w:bottom w:val="none" w:sz="0" w:space="0" w:color="auto"/>
                <w:right w:val="none" w:sz="0" w:space="0" w:color="auto"/>
              </w:divBdr>
            </w:div>
          </w:divsChild>
        </w:div>
        <w:div w:id="1164122116">
          <w:marLeft w:val="0"/>
          <w:marRight w:val="0"/>
          <w:marTop w:val="0"/>
          <w:marBottom w:val="375"/>
          <w:divBdr>
            <w:top w:val="none" w:sz="0" w:space="0" w:color="auto"/>
            <w:left w:val="none" w:sz="0" w:space="0" w:color="auto"/>
            <w:bottom w:val="none" w:sz="0" w:space="0" w:color="auto"/>
            <w:right w:val="none" w:sz="0" w:space="0" w:color="auto"/>
          </w:divBdr>
          <w:divsChild>
            <w:div w:id="367224978">
              <w:marLeft w:val="0"/>
              <w:marRight w:val="0"/>
              <w:marTop w:val="0"/>
              <w:marBottom w:val="150"/>
              <w:divBdr>
                <w:top w:val="none" w:sz="0" w:space="0" w:color="auto"/>
                <w:left w:val="none" w:sz="0" w:space="0" w:color="auto"/>
                <w:bottom w:val="none" w:sz="0" w:space="0" w:color="auto"/>
                <w:right w:val="none" w:sz="0" w:space="0" w:color="auto"/>
              </w:divBdr>
            </w:div>
          </w:divsChild>
        </w:div>
        <w:div w:id="1849951733">
          <w:marLeft w:val="0"/>
          <w:marRight w:val="0"/>
          <w:marTop w:val="0"/>
          <w:marBottom w:val="375"/>
          <w:divBdr>
            <w:top w:val="none" w:sz="0" w:space="0" w:color="auto"/>
            <w:left w:val="none" w:sz="0" w:space="0" w:color="auto"/>
            <w:bottom w:val="none" w:sz="0" w:space="0" w:color="auto"/>
            <w:right w:val="none" w:sz="0" w:space="0" w:color="auto"/>
          </w:divBdr>
          <w:divsChild>
            <w:div w:id="1879900613">
              <w:marLeft w:val="0"/>
              <w:marRight w:val="0"/>
              <w:marTop w:val="0"/>
              <w:marBottom w:val="150"/>
              <w:divBdr>
                <w:top w:val="none" w:sz="0" w:space="0" w:color="auto"/>
                <w:left w:val="none" w:sz="0" w:space="0" w:color="auto"/>
                <w:bottom w:val="none" w:sz="0" w:space="0" w:color="auto"/>
                <w:right w:val="none" w:sz="0" w:space="0" w:color="auto"/>
              </w:divBdr>
            </w:div>
          </w:divsChild>
        </w:div>
        <w:div w:id="2114474366">
          <w:marLeft w:val="0"/>
          <w:marRight w:val="0"/>
          <w:marTop w:val="0"/>
          <w:marBottom w:val="375"/>
          <w:divBdr>
            <w:top w:val="none" w:sz="0" w:space="0" w:color="auto"/>
            <w:left w:val="none" w:sz="0" w:space="0" w:color="auto"/>
            <w:bottom w:val="none" w:sz="0" w:space="0" w:color="auto"/>
            <w:right w:val="none" w:sz="0" w:space="0" w:color="auto"/>
          </w:divBdr>
          <w:divsChild>
            <w:div w:id="3988701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27771632">
      <w:bodyDiv w:val="1"/>
      <w:marLeft w:val="0"/>
      <w:marRight w:val="0"/>
      <w:marTop w:val="0"/>
      <w:marBottom w:val="0"/>
      <w:divBdr>
        <w:top w:val="none" w:sz="0" w:space="0" w:color="auto"/>
        <w:left w:val="none" w:sz="0" w:space="0" w:color="auto"/>
        <w:bottom w:val="none" w:sz="0" w:space="0" w:color="auto"/>
        <w:right w:val="none" w:sz="0" w:space="0" w:color="auto"/>
      </w:divBdr>
      <w:divsChild>
        <w:div w:id="2087453348">
          <w:marLeft w:val="0"/>
          <w:marRight w:val="0"/>
          <w:marTop w:val="0"/>
          <w:marBottom w:val="0"/>
          <w:divBdr>
            <w:top w:val="none" w:sz="0" w:space="0" w:color="auto"/>
            <w:left w:val="none" w:sz="0" w:space="0" w:color="auto"/>
            <w:bottom w:val="none" w:sz="0" w:space="0" w:color="auto"/>
            <w:right w:val="none" w:sz="0" w:space="0" w:color="auto"/>
          </w:divBdr>
          <w:divsChild>
            <w:div w:id="114183243">
              <w:marLeft w:val="0"/>
              <w:marRight w:val="0"/>
              <w:marTop w:val="0"/>
              <w:marBottom w:val="0"/>
              <w:divBdr>
                <w:top w:val="none" w:sz="0" w:space="0" w:color="auto"/>
                <w:left w:val="none" w:sz="0" w:space="0" w:color="auto"/>
                <w:bottom w:val="none" w:sz="0" w:space="0" w:color="auto"/>
                <w:right w:val="none" w:sz="0" w:space="0" w:color="auto"/>
              </w:divBdr>
            </w:div>
            <w:div w:id="110561074">
              <w:marLeft w:val="0"/>
              <w:marRight w:val="0"/>
              <w:marTop w:val="0"/>
              <w:marBottom w:val="0"/>
              <w:divBdr>
                <w:top w:val="none" w:sz="0" w:space="0" w:color="auto"/>
                <w:left w:val="none" w:sz="0" w:space="0" w:color="auto"/>
                <w:bottom w:val="none" w:sz="0" w:space="0" w:color="auto"/>
                <w:right w:val="none" w:sz="0" w:space="0" w:color="auto"/>
              </w:divBdr>
            </w:div>
            <w:div w:id="179047704">
              <w:marLeft w:val="0"/>
              <w:marRight w:val="0"/>
              <w:marTop w:val="0"/>
              <w:marBottom w:val="0"/>
              <w:divBdr>
                <w:top w:val="none" w:sz="0" w:space="0" w:color="auto"/>
                <w:left w:val="none" w:sz="0" w:space="0" w:color="auto"/>
                <w:bottom w:val="none" w:sz="0" w:space="0" w:color="auto"/>
                <w:right w:val="none" w:sz="0" w:space="0" w:color="auto"/>
              </w:divBdr>
            </w:div>
            <w:div w:id="1883444842">
              <w:marLeft w:val="0"/>
              <w:marRight w:val="0"/>
              <w:marTop w:val="0"/>
              <w:marBottom w:val="0"/>
              <w:divBdr>
                <w:top w:val="none" w:sz="0" w:space="0" w:color="auto"/>
                <w:left w:val="none" w:sz="0" w:space="0" w:color="auto"/>
                <w:bottom w:val="none" w:sz="0" w:space="0" w:color="auto"/>
                <w:right w:val="none" w:sz="0" w:space="0" w:color="auto"/>
              </w:divBdr>
            </w:div>
          </w:divsChild>
        </w:div>
        <w:div w:id="1083726104">
          <w:marLeft w:val="0"/>
          <w:marRight w:val="0"/>
          <w:marTop w:val="0"/>
          <w:marBottom w:val="0"/>
          <w:divBdr>
            <w:top w:val="none" w:sz="0" w:space="0" w:color="auto"/>
            <w:left w:val="none" w:sz="0" w:space="0" w:color="auto"/>
            <w:bottom w:val="none" w:sz="0" w:space="0" w:color="auto"/>
            <w:right w:val="none" w:sz="0" w:space="0" w:color="auto"/>
          </w:divBdr>
          <w:divsChild>
            <w:div w:id="255989089">
              <w:marLeft w:val="0"/>
              <w:marRight w:val="0"/>
              <w:marTop w:val="0"/>
              <w:marBottom w:val="0"/>
              <w:divBdr>
                <w:top w:val="none" w:sz="0" w:space="0" w:color="auto"/>
                <w:left w:val="none" w:sz="0" w:space="0" w:color="auto"/>
                <w:bottom w:val="none" w:sz="0" w:space="0" w:color="auto"/>
                <w:right w:val="none" w:sz="0" w:space="0" w:color="auto"/>
              </w:divBdr>
            </w:div>
            <w:div w:id="991325104">
              <w:marLeft w:val="0"/>
              <w:marRight w:val="0"/>
              <w:marTop w:val="0"/>
              <w:marBottom w:val="0"/>
              <w:divBdr>
                <w:top w:val="none" w:sz="0" w:space="0" w:color="auto"/>
                <w:left w:val="none" w:sz="0" w:space="0" w:color="auto"/>
                <w:bottom w:val="none" w:sz="0" w:space="0" w:color="auto"/>
                <w:right w:val="none" w:sz="0" w:space="0" w:color="auto"/>
              </w:divBdr>
            </w:div>
            <w:div w:id="17116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ecd.org/dac/stats/methodology.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ecd.org/dac/financing-sustainable-development/development-finance-standards/dacandcrscodelists.ht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ecd.org/dac/financing-sustainable-development/development-finance-standard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www.oecd.org/dac/stats/methodology.htm"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ecd.org/dac/sta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ACB550A-5015-4AD9-A2CB-B33C3DDE5845}"/>
      </w:docPartPr>
      <w:docPartBody>
        <w:p w:rsidR="006E0151" w:rsidRDefault="004F2186">
          <w:r w:rsidRPr="00701CD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86"/>
    <w:rsid w:val="004F2186"/>
    <w:rsid w:val="006E0151"/>
    <w:rsid w:val="008A6533"/>
    <w:rsid w:val="00FE12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21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18481-597B-450E-A0A0-477F2C74124B}">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8</cp:revision>
  <cp:lastPrinted>2016-07-16T14:25:00Z</cp:lastPrinted>
  <dcterms:created xsi:type="dcterms:W3CDTF">2024-01-05T14:10:00Z</dcterms:created>
  <dcterms:modified xsi:type="dcterms:W3CDTF">2024-01-31T20:56:00Z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OECDDocumentId">
    <vt:lpwstr>0D1082C28D31EDB09202C67B9DCFE95A5A31303D44899672B6042B6D0A3740AA</vt:lpwstr>
  </property>
  <property fmtid="{D5CDD505-2E9C-101B-9397-08002B2CF9AE}" pid="4" name="OecdDocumentCoteLangHash">
    <vt:lpwstr/>
  </property>
</Properties>
</file>