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E405012" w14:textId="009D16D3" w:rsidR="7EAFBDDB" w:rsidRDefault="7EAFBDDB" w:rsidP="0F926893">
      <w:pPr>
        <w:pStyle w:val="MIndHeader"/>
        <w:rPr>
          <w:rFonts w:ascii="Calibri" w:hAnsi="Calibri"/>
          <w:sz w:val="21"/>
          <w:szCs w:val="21"/>
        </w:rPr>
      </w:pPr>
      <w:r w:rsidRPr="0F926893">
        <w:rPr>
          <w:rFonts w:ascii="Calibri" w:eastAsia="Calibri" w:hAnsi="Calibri" w:cs="Calibri"/>
          <w:color w:val="444444"/>
          <w:sz w:val="21"/>
          <w:szCs w:val="21"/>
        </w:rPr>
        <w:t>Goal 8: Promote sustained, inclusive and sustainable economic growth, full and productive employment and decent work for all</w:t>
      </w:r>
    </w:p>
    <w:p w14:paraId="084142D2" w14:textId="62BB0970" w:rsidR="00D24330" w:rsidRPr="00A96255" w:rsidRDefault="00D24330" w:rsidP="00D24330">
      <w:pPr>
        <w:pStyle w:val="MIndHeader"/>
      </w:pPr>
      <w:r w:rsidRPr="00A96255">
        <w:t xml:space="preserve">0.b. Target </w:t>
      </w:r>
      <w:r>
        <w:rPr>
          <w:color w:val="B4B4B4"/>
          <w:sz w:val="20"/>
        </w:rPr>
        <w:t>(SDG_TARGET)</w:t>
      </w:r>
    </w:p>
    <w:p w14:paraId="5FEF34A6" w14:textId="4E6380FF" w:rsidR="392CBC0F" w:rsidRDefault="392CBC0F" w:rsidP="0F926893">
      <w:pPr>
        <w:pStyle w:val="MIndHeader"/>
        <w:rPr>
          <w:rFonts w:ascii="Calibri" w:hAnsi="Calibri"/>
          <w:szCs w:val="26"/>
        </w:rPr>
      </w:pPr>
      <w:r w:rsidRPr="0F926893">
        <w:rPr>
          <w:rFonts w:ascii="Calibri" w:eastAsia="Calibri" w:hAnsi="Calibri" w:cs="Calibri"/>
          <w:color w:val="444444"/>
          <w:sz w:val="21"/>
          <w:szCs w:val="21"/>
        </w:rPr>
        <w:t>Target 8.b: By 2020, develop and operationalize a global strategy for youth employment and implement the Global Jobs Pact of the International Labour Organization</w:t>
      </w:r>
    </w:p>
    <w:p w14:paraId="3E67E7E0" w14:textId="54C956AC" w:rsidR="00D24330" w:rsidRPr="00A96255" w:rsidRDefault="00D24330" w:rsidP="00D24330">
      <w:pPr>
        <w:pStyle w:val="MIndHeader"/>
      </w:pPr>
      <w:r w:rsidRPr="00A96255">
        <w:t xml:space="preserve">0.c. Indicator </w:t>
      </w:r>
      <w:r>
        <w:rPr>
          <w:color w:val="B4B4B4"/>
          <w:sz w:val="20"/>
        </w:rPr>
        <w:t>(SDG_INDICATOR)</w:t>
      </w:r>
    </w:p>
    <w:p w14:paraId="75E67864" w14:textId="77777777" w:rsidR="007B7DFA" w:rsidRDefault="007B7DFA" w:rsidP="00D24330">
      <w:pPr>
        <w:pStyle w:val="MIndHeader"/>
        <w:rPr>
          <w:color w:val="333333"/>
          <w:sz w:val="21"/>
          <w:szCs w:val="21"/>
        </w:rPr>
      </w:pPr>
      <w:r w:rsidRPr="007B7DFA">
        <w:rPr>
          <w:color w:val="333333"/>
          <w:sz w:val="21"/>
          <w:szCs w:val="21"/>
        </w:rPr>
        <w:t xml:space="preserve">Indicator 8.b.1: Existence of a developed and operationalized national strategy for youth employment, as a distinct strategy or as part of a national employment strategy </w:t>
      </w:r>
    </w:p>
    <w:p w14:paraId="37E5E4F6" w14:textId="33524324" w:rsidR="00D24330" w:rsidRPr="00A660AA" w:rsidRDefault="00D24330" w:rsidP="00D24330">
      <w:pPr>
        <w:pStyle w:val="MIndHeader"/>
        <w:rPr>
          <w:lang w:val="en-US"/>
        </w:rPr>
      </w:pPr>
      <w:r w:rsidRPr="00A660AA">
        <w:rPr>
          <w:lang w:val="en-US"/>
        </w:rPr>
        <w:t xml:space="preserve">0.d. Series </w:t>
      </w:r>
      <w:r>
        <w:rPr>
          <w:color w:val="B4B4B4"/>
          <w:sz w:val="20"/>
        </w:rPr>
        <w:t>(SDG_SERIES_DESCR)</w:t>
      </w:r>
    </w:p>
    <w:p w14:paraId="771888BA" w14:textId="0788CE23" w:rsidR="00D24330" w:rsidRPr="00A660AA" w:rsidRDefault="001C4AD6" w:rsidP="00D24330">
      <w:pPr>
        <w:pStyle w:val="MGTHeader"/>
        <w:rPr>
          <w:lang w:val="en-US"/>
        </w:rPr>
      </w:pPr>
      <w:r w:rsidRPr="001C4AD6">
        <w:rPr>
          <w:lang w:val="en-US"/>
        </w:rPr>
        <w:t>SL_CPA_YEMP - Existence of a developed and operationalized national strategy for youth employment, as a distinct strategy or as part of a national employment strategy [8.b.1]</w:t>
      </w:r>
    </w:p>
    <w:p w14:paraId="157DACE7" w14:textId="77777777" w:rsidR="00D24330" w:rsidRPr="00A660AA" w:rsidRDefault="00D24330" w:rsidP="00D24330">
      <w:pPr>
        <w:pStyle w:val="MIndHeader"/>
        <w:rPr>
          <w:lang w:val="en-US"/>
        </w:rPr>
      </w:pPr>
      <w:r w:rsidRPr="00A660AA">
        <w:rPr>
          <w:lang w:val="en-US"/>
        </w:rPr>
        <w:t xml:space="preserve">0.e. Metadata update </w:t>
      </w:r>
      <w:r>
        <w:rPr>
          <w:color w:val="B4B4B4"/>
          <w:sz w:val="20"/>
        </w:rPr>
        <w:t>(META_LAST_UPDATE)</w:t>
      </w:r>
    </w:p>
    <w:sdt>
      <w:sdtPr>
        <w:rPr>
          <w:lang w:val="en-US"/>
        </w:rPr>
        <w:id w:val="-1106580174"/>
        <w:placeholder>
          <w:docPart w:val="DefaultPlaceholder_-1854013437"/>
        </w:placeholder>
        <w:date w:fullDate="2025-03-28T00:00:00Z">
          <w:dateFormat w:val="yyyy-MM-dd"/>
          <w:lid w:val="en-US"/>
          <w:storeMappedDataAs w:val="dateTime"/>
          <w:calendar w:val="gregorian"/>
        </w:date>
      </w:sdtPr>
      <w:sdtEndPr/>
      <w:sdtContent>
        <w:p w14:paraId="03424B60" w14:textId="7143A298" w:rsidR="00D24330" w:rsidRPr="00A660AA" w:rsidRDefault="00B34D3B"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663E009" w14:textId="22389DF1" w:rsidR="004C10AF" w:rsidRDefault="004C10AF" w:rsidP="00B33CDE">
      <w:pPr>
        <w:pStyle w:val="MGTHeader"/>
        <w:rPr>
          <w:rStyle w:val="eop"/>
          <w:rFonts w:ascii="Calibri" w:hAnsi="Calibri" w:cs="Calibri"/>
          <w:color w:val="4A4A4A"/>
        </w:rPr>
      </w:pPr>
      <w:r>
        <w:rPr>
          <w:rStyle w:val="normaltextrun"/>
          <w:rFonts w:ascii="Calibri" w:hAnsi="Calibri" w:cs="Calibri"/>
          <w:color w:val="4A4A4A"/>
        </w:rPr>
        <w:t>8.5.2; 8.6.1; 8.7.1</w:t>
      </w:r>
    </w:p>
    <w:p w14:paraId="077BC49E" w14:textId="66A5EC3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1C5C2C9B" w:rsidR="008D1D39" w:rsidRDefault="007B7DFA" w:rsidP="00B33CDE">
      <w:pPr>
        <w:pStyle w:val="MGTHeader"/>
        <w:rPr>
          <w:rStyle w:val="eop"/>
          <w:rFonts w:ascii="Calibri" w:hAnsi="Calibri" w:cs="Calibri"/>
          <w:color w:val="4A4A4A"/>
        </w:rPr>
      </w:pPr>
      <w:r>
        <w:rPr>
          <w:rStyle w:val="normaltextrun"/>
          <w:rFonts w:ascii="Calibri" w:hAnsi="Calibri" w:cs="Calibri"/>
          <w:color w:val="4A4A4A"/>
        </w:rPr>
        <w:t>International Labour Organization (ILO)</w:t>
      </w:r>
    </w:p>
    <w:p w14:paraId="67704BCA" w14:textId="77777777" w:rsidR="00B33CDE" w:rsidRPr="00A96255" w:rsidRDefault="00B33CD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727E794" w:rsidR="00F719A8" w:rsidRDefault="007B7DFA" w:rsidP="00576CFA">
      <w:pPr>
        <w:pStyle w:val="MText"/>
        <w:rPr>
          <w:rStyle w:val="eop"/>
          <w:rFonts w:ascii="Calibri" w:hAnsi="Calibri" w:cs="Calibri"/>
        </w:rPr>
      </w:pPr>
      <w:r>
        <w:rPr>
          <w:rStyle w:val="normaltextrun"/>
          <w:rFonts w:ascii="Calibri" w:hAnsi="Calibri" w:cs="Calibri"/>
        </w:rPr>
        <w:t>International Labour Organization (ILO)</w:t>
      </w:r>
    </w:p>
    <w:p w14:paraId="7394A9AE" w14:textId="77777777" w:rsidR="007B7DFA" w:rsidRDefault="007B7D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DE21A73" w14:textId="77777777" w:rsidR="007B7DFA" w:rsidRDefault="007B7DFA" w:rsidP="007B7DFA">
      <w:pPr>
        <w:pStyle w:val="MText"/>
      </w:pPr>
      <w:r>
        <w:t>The proposed methodology draws on:</w:t>
      </w:r>
    </w:p>
    <w:p w14:paraId="261D726A" w14:textId="77777777" w:rsidR="007B7DFA" w:rsidRDefault="007B7DFA" w:rsidP="007B7DFA">
      <w:pPr>
        <w:pStyle w:val="MText"/>
        <w:numPr>
          <w:ilvl w:val="0"/>
          <w:numId w:val="12"/>
        </w:numPr>
      </w:pPr>
      <w:r>
        <w:t>Global policy instruments, notably:</w:t>
      </w:r>
    </w:p>
    <w:p w14:paraId="52BB0EAB" w14:textId="77777777" w:rsidR="007B7DFA" w:rsidRDefault="007B7DFA" w:rsidP="007B7DFA">
      <w:pPr>
        <w:pStyle w:val="MText"/>
        <w:numPr>
          <w:ilvl w:val="0"/>
          <w:numId w:val="13"/>
        </w:numPr>
      </w:pPr>
      <w:r>
        <w:t xml:space="preserve">Resolution on </w:t>
      </w:r>
      <w:r>
        <w:rPr>
          <w:i/>
          <w:iCs/>
        </w:rPr>
        <w:t>The youth employment crisis: A call for action</w:t>
      </w:r>
      <w:r>
        <w:rPr>
          <w:rStyle w:val="FootnoteReference"/>
          <w:bCs/>
          <w:i/>
          <w:iCs/>
        </w:rPr>
        <w:footnoteReference w:id="2"/>
      </w:r>
      <w:r>
        <w:t>, adopted at the 101</w:t>
      </w:r>
      <w:r>
        <w:rPr>
          <w:vertAlign w:val="superscript"/>
        </w:rPr>
        <w:t>st</w:t>
      </w:r>
      <w:r>
        <w:t xml:space="preserve"> session of the International Labour Conference (ILC) in June 2012. In calling for vigorous, collective action to address an aggravated youth employment crisis, this resolution advocates for a multi-pronged approach with policy measures that are context-specific and integrated, entailing </w:t>
      </w:r>
      <w:r>
        <w:rPr>
          <w:rFonts w:eastAsiaTheme="minorHAnsi"/>
        </w:rPr>
        <w:t xml:space="preserve">strategies </w:t>
      </w:r>
      <w:r>
        <w:rPr>
          <w:rFonts w:eastAsiaTheme="minorHAnsi"/>
        </w:rPr>
        <w:lastRenderedPageBreak/>
        <w:t>which bring together in a coherent manner a variety of instruments to increase the demand, enhance the supply and improve matching in youth labour markets.</w:t>
      </w:r>
    </w:p>
    <w:p w14:paraId="6D2E9EDE" w14:textId="77BD7068" w:rsidR="007B7DFA" w:rsidRDefault="007B7DFA" w:rsidP="007B7DFA">
      <w:pPr>
        <w:pStyle w:val="MText"/>
        <w:numPr>
          <w:ilvl w:val="0"/>
          <w:numId w:val="13"/>
        </w:numPr>
      </w:pPr>
      <w:r>
        <w:rPr>
          <w:i/>
        </w:rPr>
        <w:t>Recovering from the crisis: A Global Jobs Pact</w:t>
      </w:r>
      <w:r>
        <w:rPr>
          <w:rStyle w:val="FootnoteReference"/>
          <w:bCs/>
          <w:i/>
        </w:rPr>
        <w:footnoteReference w:id="3"/>
      </w:r>
      <w:r>
        <w:t xml:space="preserve"> adopted by the ILC at its June 2009 session. Based on the ILO’s Decent Work Agenda, the Global Jobs Pact presents an integrated portfolio of policies that puts employment and social protection at the centre of crisis response, recognising the critical role of participation and social dialogue.</w:t>
      </w:r>
    </w:p>
    <w:p w14:paraId="3091A84E" w14:textId="77777777" w:rsidR="007B7DFA" w:rsidRDefault="007B7DFA" w:rsidP="007B7DFA">
      <w:pPr>
        <w:pStyle w:val="MText"/>
        <w:numPr>
          <w:ilvl w:val="0"/>
          <w:numId w:val="12"/>
        </w:numPr>
      </w:pPr>
      <w:r>
        <w:t>ILO databases:</w:t>
      </w:r>
    </w:p>
    <w:p w14:paraId="5EF28356" w14:textId="77777777" w:rsidR="007B7DFA" w:rsidRDefault="007B7DFA" w:rsidP="007B7DFA">
      <w:pPr>
        <w:pStyle w:val="MText"/>
        <w:numPr>
          <w:ilvl w:val="0"/>
          <w:numId w:val="14"/>
        </w:numPr>
      </w:pPr>
      <w:r>
        <w:t>International monitoring of youth employment policies was carried out over the period 2010-2012 by the Youth Employment Network (YEN) – a partnership between the ILO, United Nations and World Bank – utilising a questionnaire sent to national authorities. This evolved into YouthPOL</w:t>
      </w:r>
      <w:r>
        <w:rPr>
          <w:rStyle w:val="FootnoteReference"/>
          <w:rFonts w:cstheme="majorBidi"/>
          <w:bCs/>
        </w:rPr>
        <w:footnoteReference w:id="4"/>
      </w:r>
      <w:r>
        <w:t>, an inventory of youth employment policies and programmes maintained by the ILO (</w:t>
      </w:r>
      <w:r>
        <w:rPr>
          <w:rFonts w:eastAsia="SimSun"/>
        </w:rPr>
        <w:t xml:space="preserve">65 countries covered to date). </w:t>
      </w:r>
    </w:p>
    <w:p w14:paraId="18A573A1" w14:textId="77777777" w:rsidR="007B7DFA" w:rsidRDefault="007B7DFA" w:rsidP="007B7DFA">
      <w:pPr>
        <w:pStyle w:val="MText"/>
        <w:numPr>
          <w:ilvl w:val="0"/>
          <w:numId w:val="14"/>
        </w:numPr>
      </w:pPr>
      <w:r>
        <w:t xml:space="preserve">The ILO also maintains EmPol, a dataset of broader national employment policies </w:t>
      </w:r>
      <w:r>
        <w:rPr>
          <w:rFonts w:eastAsia="SimSun"/>
        </w:rPr>
        <w:t>(143 countries covered</w:t>
      </w:r>
      <w:r>
        <w:t>).</w:t>
      </w:r>
    </w:p>
    <w:p w14:paraId="6E54D3D6" w14:textId="6F9133E5"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04EB7528" w:rsidR="00576CFA" w:rsidRPr="00A96255" w:rsidRDefault="00C367BB" w:rsidP="00576CFA">
      <w:pPr>
        <w:pStyle w:val="MText"/>
      </w:pPr>
      <w:r>
        <w:t>Categorical variable with values possible values of 0, 1, 2 or 3.</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34C5C26D" w:rsidR="00EC2915" w:rsidRDefault="004B0D06"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5D8F848" w14:textId="21C096EE" w:rsidR="00F1500E" w:rsidRPr="00116C62" w:rsidRDefault="007B7DFA" w:rsidP="007B7DFA">
      <w:pPr>
        <w:pStyle w:val="paragraph"/>
        <w:numPr>
          <w:ilvl w:val="0"/>
          <w:numId w:val="18"/>
        </w:numPr>
        <w:shd w:val="clear" w:color="auto" w:fill="FFFFFF"/>
        <w:spacing w:before="0" w:beforeAutospacing="0" w:after="0" w:afterAutospacing="0"/>
        <w:ind w:left="360" w:firstLine="0"/>
        <w:textAlignment w:val="baseline"/>
        <w:rPr>
          <w:rStyle w:val="normaltextrun"/>
          <w:rFonts w:ascii="SimSun" w:eastAsia="SimSun" w:hAnsi="SimSun" w:cs="Segoe UI"/>
          <w:color w:val="4A4A4A"/>
          <w:sz w:val="21"/>
          <w:szCs w:val="21"/>
        </w:rPr>
      </w:pPr>
      <w:r>
        <w:rPr>
          <w:rStyle w:val="normaltextrun"/>
          <w:rFonts w:ascii="Calibri" w:eastAsia="SimSun" w:hAnsi="Calibri" w:cs="Calibri"/>
          <w:i/>
          <w:iCs/>
          <w:color w:val="4A4A4A"/>
          <w:sz w:val="21"/>
          <w:szCs w:val="21"/>
          <w:shd w:val="clear" w:color="auto" w:fill="FFFFFF"/>
          <w:lang w:val="en-GB"/>
        </w:rPr>
        <w:t>Global survey for data collection</w:t>
      </w:r>
      <w:r>
        <w:rPr>
          <w:rStyle w:val="normaltextrun"/>
          <w:rFonts w:ascii="Calibri" w:eastAsia="SimSun" w:hAnsi="Calibri" w:cs="Calibri"/>
          <w:color w:val="4A4A4A"/>
          <w:sz w:val="21"/>
          <w:szCs w:val="21"/>
          <w:shd w:val="clear" w:color="auto" w:fill="FFFFFF"/>
          <w:lang w:val="en-GB"/>
        </w:rPr>
        <w:t>:  Requesting responsible national entities to provide relevant information and support documents; a survey questionnaire is developed and administered by the ILO with biennial frequency to assess progress</w:t>
      </w:r>
      <w:r>
        <w:rPr>
          <w:rStyle w:val="normaltextrun"/>
          <w:rFonts w:ascii="SimSun" w:eastAsia="SimSun" w:hAnsi="SimSun" w:cs="Segoe UI" w:hint="eastAsia"/>
          <w:color w:val="4A4A4A"/>
          <w:sz w:val="21"/>
          <w:szCs w:val="21"/>
          <w:shd w:val="clear" w:color="auto" w:fill="FFFFFF"/>
          <w:lang w:val="en-GB"/>
        </w:rPr>
        <w:t>.</w:t>
      </w:r>
      <w:r>
        <w:rPr>
          <w:rStyle w:val="normaltextrun"/>
          <w:rFonts w:ascii="Calibri" w:eastAsia="SimSun" w:hAnsi="Calibri" w:cs="Calibri"/>
          <w:color w:val="4A4A4A"/>
          <w:sz w:val="21"/>
          <w:szCs w:val="21"/>
          <w:shd w:val="clear" w:color="auto" w:fill="FFFFFF"/>
          <w:lang w:val="en-GB"/>
        </w:rPr>
        <w:t>This will be complemented by regular information and updates from ILO country offices on development, adoption and implementation of youth employment policies in countries covered by these offices, every year.</w:t>
      </w:r>
    </w:p>
    <w:p w14:paraId="507F3BBC" w14:textId="707D66AD" w:rsidR="007B7DFA" w:rsidRDefault="007B7DFA" w:rsidP="00116C62">
      <w:pPr>
        <w:pStyle w:val="paragraph"/>
        <w:shd w:val="clear" w:color="auto" w:fill="FFFFFF"/>
        <w:spacing w:before="0" w:beforeAutospacing="0" w:after="0" w:afterAutospacing="0"/>
        <w:ind w:left="360"/>
        <w:textAlignment w:val="baseline"/>
        <w:rPr>
          <w:rFonts w:ascii="SimSun" w:eastAsia="SimSun" w:hAnsi="SimSun" w:cs="Segoe UI"/>
          <w:color w:val="4A4A4A"/>
          <w:sz w:val="21"/>
          <w:szCs w:val="21"/>
        </w:rPr>
      </w:pPr>
      <w:r>
        <w:rPr>
          <w:rStyle w:val="eop"/>
          <w:rFonts w:ascii="Calibri" w:eastAsia="SimSun" w:hAnsi="Calibri" w:cs="Calibri"/>
          <w:color w:val="4A4A4A"/>
          <w:sz w:val="21"/>
          <w:szCs w:val="21"/>
        </w:rPr>
        <w:t> </w:t>
      </w:r>
    </w:p>
    <w:p w14:paraId="3C237A28" w14:textId="77777777" w:rsidR="007B7DFA" w:rsidRDefault="007B7DFA" w:rsidP="007B7DFA">
      <w:pPr>
        <w:pStyle w:val="paragraph"/>
        <w:numPr>
          <w:ilvl w:val="0"/>
          <w:numId w:val="19"/>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i/>
          <w:iCs/>
          <w:color w:val="4A4A4A"/>
          <w:sz w:val="21"/>
          <w:szCs w:val="21"/>
          <w:shd w:val="clear" w:color="auto" w:fill="FFFFFF"/>
          <w:lang w:val="en-GB"/>
        </w:rPr>
        <w:t>Data compilation</w:t>
      </w:r>
      <w:r>
        <w:rPr>
          <w:rStyle w:val="normaltextrun"/>
          <w:rFonts w:ascii="Calibri" w:hAnsi="Calibri" w:cs="Calibri"/>
          <w:color w:val="4A4A4A"/>
          <w:sz w:val="21"/>
          <w:szCs w:val="21"/>
          <w:shd w:val="clear" w:color="auto" w:fill="FFFFFF"/>
          <w:lang w:val="en-GB"/>
        </w:rPr>
        <w:t>: by the ILO; disseminated through ILOSTAT, a new repository dedicated to Indicator 8.b.1 and the active use of YouthPOL, EmPol and other databases (e.g. NATLEX – the ILO database of national labour, social security and related human rights legislation), as appropriate.</w:t>
      </w:r>
      <w:r>
        <w:rPr>
          <w:rStyle w:val="eop"/>
          <w:rFonts w:ascii="Calibri" w:hAnsi="Calibri" w:cs="Calibri"/>
          <w:color w:val="4A4A4A"/>
          <w:sz w:val="21"/>
          <w:szCs w:val="21"/>
        </w:rPr>
        <w:t> </w:t>
      </w:r>
    </w:p>
    <w:p w14:paraId="381228B9" w14:textId="77777777" w:rsidR="007B7DFA" w:rsidRDefault="007B7DFA" w:rsidP="007B7DFA">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2BB11308" w14:textId="746AFF4D" w:rsidR="007B7DFA" w:rsidRDefault="007B7DFA" w:rsidP="007B7DFA">
      <w:pPr>
        <w:pStyle w:val="paragraph"/>
        <w:numPr>
          <w:ilvl w:val="0"/>
          <w:numId w:val="20"/>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i/>
          <w:iCs/>
          <w:color w:val="4A4A4A"/>
          <w:sz w:val="21"/>
          <w:szCs w:val="21"/>
          <w:shd w:val="clear" w:color="auto" w:fill="FFFFFF"/>
          <w:lang w:val="en-GB"/>
        </w:rPr>
        <w:t>Data validation</w:t>
      </w:r>
      <w:r>
        <w:rPr>
          <w:rStyle w:val="normaltextrun"/>
          <w:rFonts w:ascii="Calibri" w:hAnsi="Calibri" w:cs="Calibri"/>
          <w:color w:val="4A4A4A"/>
          <w:sz w:val="21"/>
          <w:szCs w:val="21"/>
          <w:shd w:val="clear" w:color="auto" w:fill="FFFFFF"/>
          <w:lang w:val="en-GB"/>
        </w:rPr>
        <w:t xml:space="preserve">:  Regular quality checks </w:t>
      </w:r>
      <w:r w:rsidR="00C367BB">
        <w:rPr>
          <w:rStyle w:val="normaltextrun"/>
          <w:rFonts w:ascii="Calibri" w:hAnsi="Calibri" w:cs="Calibri"/>
          <w:color w:val="4A4A4A"/>
          <w:sz w:val="21"/>
          <w:szCs w:val="21"/>
          <w:shd w:val="clear" w:color="auto" w:fill="FFFFFF"/>
          <w:lang w:val="en-GB"/>
        </w:rPr>
        <w:t>are</w:t>
      </w:r>
      <w:r>
        <w:rPr>
          <w:rStyle w:val="normaltextrun"/>
          <w:rFonts w:ascii="Calibri" w:hAnsi="Calibri" w:cs="Calibri"/>
          <w:color w:val="4A4A4A"/>
          <w:sz w:val="21"/>
          <w:szCs w:val="21"/>
          <w:shd w:val="clear" w:color="auto" w:fill="FFFFFF"/>
          <w:lang w:val="en-GB"/>
        </w:rPr>
        <w:t xml:space="preserve"> conducted on all data, in particular when: (i) an already available document has not been directly provided by the government itself; (ii) it is unclear if the strategy and related action plan have been officially adopted; or (iii) there are doubts regarding the implementation of the strategy. </w:t>
      </w:r>
      <w:r>
        <w:rPr>
          <w:rStyle w:val="eop"/>
          <w:rFonts w:ascii="Calibri" w:hAnsi="Calibri" w:cs="Calibri"/>
          <w:color w:val="4A4A4A"/>
          <w:sz w:val="21"/>
          <w:szCs w:val="21"/>
        </w:rPr>
        <w:t> </w:t>
      </w:r>
    </w:p>
    <w:p w14:paraId="4333DADF" w14:textId="77777777" w:rsidR="007B7DFA" w:rsidRDefault="007B7DFA" w:rsidP="007B7D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59F7D8C" w14:textId="3E46A19D" w:rsidR="00531C14" w:rsidRDefault="00C367BB" w:rsidP="00576CFA">
      <w:pPr>
        <w:pStyle w:val="MText"/>
      </w:pPr>
      <w:r>
        <w:t>See section 3.a.</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4C37F52"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lastRenderedPageBreak/>
        <w:t>Proposed methodology to the ICLS: October 2018</w:t>
      </w:r>
      <w:r>
        <w:rPr>
          <w:rStyle w:val="eop"/>
          <w:rFonts w:ascii="Calibri" w:hAnsi="Calibri" w:cs="Calibri"/>
          <w:color w:val="4A4A4A"/>
          <w:sz w:val="21"/>
          <w:szCs w:val="21"/>
        </w:rPr>
        <w:t> </w:t>
      </w:r>
    </w:p>
    <w:p w14:paraId="3AF84F18"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Refinement of survey questionnaire and technical guidelines: October – November 2018</w:t>
      </w:r>
      <w:r>
        <w:rPr>
          <w:rStyle w:val="eop"/>
          <w:rFonts w:ascii="Calibri" w:hAnsi="Calibri" w:cs="Calibri"/>
          <w:color w:val="4A4A4A"/>
          <w:sz w:val="21"/>
          <w:szCs w:val="21"/>
        </w:rPr>
        <w:t> </w:t>
      </w:r>
    </w:p>
    <w:p w14:paraId="62FF318B"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Final testing: November 2018 - February 2019 </w:t>
      </w:r>
      <w:r>
        <w:rPr>
          <w:rStyle w:val="eop"/>
          <w:rFonts w:ascii="Calibri" w:hAnsi="Calibri" w:cs="Calibri"/>
          <w:color w:val="4A4A4A"/>
          <w:sz w:val="21"/>
          <w:szCs w:val="21"/>
        </w:rPr>
        <w:t> </w:t>
      </w:r>
    </w:p>
    <w:p w14:paraId="731C9BED" w14:textId="36B2C73F" w:rsidR="007B7DFA" w:rsidRDefault="007B7DFA" w:rsidP="007B7DFA">
      <w:pPr>
        <w:pStyle w:val="paragraph"/>
        <w:numPr>
          <w:ilvl w:val="0"/>
          <w:numId w:val="22"/>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 xml:space="preserve">Regular administration of the survey: </w:t>
      </w:r>
      <w:r w:rsidR="00C367BB">
        <w:rPr>
          <w:rStyle w:val="normaltextrun"/>
          <w:rFonts w:ascii="Calibri" w:hAnsi="Calibri" w:cs="Calibri"/>
          <w:color w:val="4A4A4A"/>
          <w:sz w:val="21"/>
          <w:szCs w:val="21"/>
          <w:shd w:val="clear" w:color="auto" w:fill="FFFFFF"/>
          <w:lang w:val="en-GB"/>
        </w:rPr>
        <w:t>started</w:t>
      </w:r>
      <w:r>
        <w:rPr>
          <w:rStyle w:val="normaltextrun"/>
          <w:rFonts w:ascii="Calibri" w:hAnsi="Calibri" w:cs="Calibri"/>
          <w:color w:val="4A4A4A"/>
          <w:sz w:val="21"/>
          <w:szCs w:val="21"/>
          <w:shd w:val="clear" w:color="auto" w:fill="FFFFFF"/>
          <w:lang w:val="en-GB"/>
        </w:rPr>
        <w:t xml:space="preserve"> early 2019</w:t>
      </w:r>
      <w:r>
        <w:rPr>
          <w:rStyle w:val="eop"/>
          <w:rFonts w:ascii="Calibri" w:hAnsi="Calibri" w:cs="Calibri"/>
          <w:color w:val="4A4A4A"/>
          <w:sz w:val="21"/>
          <w:szCs w:val="21"/>
        </w:rPr>
        <w:t> </w:t>
      </w:r>
    </w:p>
    <w:p w14:paraId="2B96CBA9" w14:textId="77777777" w:rsidR="007B7DFA" w:rsidRDefault="007B7DFA" w:rsidP="007B7D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BFB04B4" w14:textId="292236C5" w:rsidR="00531C14" w:rsidRPr="00A96255" w:rsidRDefault="00C367BB" w:rsidP="00576CFA">
      <w:pPr>
        <w:pStyle w:val="MText"/>
      </w:pPr>
      <w:r>
        <w:t>Annual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19E28124" w:rsidR="00EC2915" w:rsidRDefault="004C10AF" w:rsidP="00576CFA">
      <w:pPr>
        <w:pStyle w:val="MText"/>
        <w:rPr>
          <w:rStyle w:val="eop"/>
          <w:rFonts w:ascii="Calibri" w:hAnsi="Calibri" w:cs="Calibri"/>
        </w:rPr>
      </w:pPr>
      <w:r>
        <w:rPr>
          <w:rStyle w:val="normaltextrun"/>
          <w:rFonts w:ascii="Calibri" w:hAnsi="Calibri" w:cs="Calibri"/>
          <w:shd w:val="clear" w:color="auto" w:fill="FFFFFF"/>
        </w:rPr>
        <w:t>National entities (ministries or other government agencies) responsible for development, employment and youth policies. The ILO maintain</w:t>
      </w:r>
      <w:r w:rsidR="00C367BB">
        <w:rPr>
          <w:rStyle w:val="normaltextrun"/>
          <w:rFonts w:ascii="Calibri" w:hAnsi="Calibri" w:cs="Calibri"/>
          <w:shd w:val="clear" w:color="auto" w:fill="FFFFFF"/>
        </w:rPr>
        <w:t>s</w:t>
      </w:r>
      <w:r>
        <w:rPr>
          <w:rStyle w:val="normaltextrun"/>
          <w:rFonts w:ascii="Calibri" w:hAnsi="Calibri" w:cs="Calibri"/>
          <w:shd w:val="clear" w:color="auto" w:fill="FFFFFF"/>
        </w:rPr>
        <w:t xml:space="preserve"> a roster of national actors involved in the monitoring process. </w:t>
      </w:r>
      <w:r>
        <w:rPr>
          <w:rStyle w:val="eop"/>
          <w:rFonts w:ascii="Calibri" w:hAnsi="Calibri" w:cs="Calibri"/>
        </w:rPr>
        <w:t> </w:t>
      </w:r>
    </w:p>
    <w:p w14:paraId="6126197D" w14:textId="77777777" w:rsidR="004C10AF" w:rsidRPr="00A96255" w:rsidRDefault="004C10AF"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6A760479" w:rsidR="00EC2915" w:rsidRDefault="004C10AF" w:rsidP="00576CFA">
      <w:pPr>
        <w:pStyle w:val="MText"/>
        <w:rPr>
          <w:rFonts w:ascii="Calibri" w:hAnsi="Calibri" w:cs="Calibri"/>
          <w:shd w:val="clear" w:color="auto" w:fill="FFFFFF"/>
        </w:rPr>
      </w:pPr>
      <w:r>
        <w:rPr>
          <w:rFonts w:ascii="Calibri" w:hAnsi="Calibri" w:cs="Calibri"/>
          <w:shd w:val="clear" w:color="auto" w:fill="FFFFFF"/>
        </w:rPr>
        <w:t>ILO</w:t>
      </w:r>
    </w:p>
    <w:p w14:paraId="6BF974A3" w14:textId="77777777" w:rsidR="004C10AF" w:rsidRPr="00A96255" w:rsidRDefault="004C10AF"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C7357EE" w14:textId="77777777" w:rsidR="00C367BB" w:rsidRPr="00C367BB" w:rsidRDefault="00C367BB" w:rsidP="00116C62">
      <w:pPr>
        <w:pStyle w:val="MText"/>
        <w:rPr>
          <w:shd w:val="clear" w:color="auto" w:fill="FFFFFF"/>
        </w:rPr>
      </w:pPr>
      <w:r w:rsidRPr="00C367BB">
        <w:rPr>
          <w:shd w:val="clear" w:color="auto" w:fill="FFFFFF"/>
        </w:rPr>
        <w:t xml:space="preserve">The Department of Statistics (STATISTICS) </w:t>
      </w:r>
      <w:r w:rsidRPr="00C367BB">
        <w:rPr>
          <w:lang w:val="en"/>
        </w:rPr>
        <w:t xml:space="preserve">works to provide relevant, timely and reliable labour statistics, to develop international standards for better measurement of labour issues and enhanced international comparability, and to help member States develop and improve their labour statistics. </w:t>
      </w:r>
    </w:p>
    <w:p w14:paraId="46E79298" w14:textId="77777777" w:rsidR="00C367BB" w:rsidRDefault="00C367BB" w:rsidP="00116C62">
      <w:pPr>
        <w:pStyle w:val="MText"/>
      </w:pPr>
    </w:p>
    <w:p w14:paraId="20013448" w14:textId="34AF5F4B" w:rsidR="00C367BB" w:rsidRDefault="00C367BB" w:rsidP="00116C62">
      <w:pPr>
        <w:pStyle w:val="MText"/>
        <w:rPr>
          <w:bCs/>
        </w:rPr>
      </w:pPr>
      <w:r>
        <w:rPr>
          <w:lang w:val="en"/>
        </w:rPr>
        <w:t xml:space="preserve">The </w:t>
      </w:r>
      <w:r>
        <w:rPr>
          <w:shd w:val="clear" w:color="auto" w:fill="FFFFFF"/>
        </w:rPr>
        <w:t xml:space="preserve">Employment Policy Department (EMPLOYMENT) </w:t>
      </w:r>
      <w:r>
        <w:rPr>
          <w:lang w:val="en"/>
        </w:rPr>
        <w:t>is responsible for promoting full and productive employment by developing integrated employment, development and skills policies (ILO, 2012) that are inclusive, gender sensitive and sustainable. The department is mandated to coordinate ILO efforts to promote decent job opportunities for young women and men; over the years, it has supported the formulation, implementation and review of national youth employment strategies and action plans in different countries and regions (ILO, 2008; ILO, 2015). This type of targeted action and related achievements have been included in the ILO programming framework and performance system.</w:t>
      </w:r>
      <w:r>
        <w:rPr>
          <w:color w:val="4B4B4B"/>
          <w:lang w:val="en"/>
        </w:rPr>
        <w:t xml:space="preserve"> </w:t>
      </w:r>
    </w:p>
    <w:p w14:paraId="693F7A82" w14:textId="77777777" w:rsidR="00C367BB" w:rsidRDefault="00C367BB" w:rsidP="00C367BB">
      <w:pPr>
        <w:pStyle w:val="MText"/>
        <w:rPr>
          <w:rFonts w:eastAsiaTheme="minorHAnsi"/>
        </w:rPr>
      </w:pPr>
    </w:p>
    <w:p w14:paraId="434BAA96" w14:textId="398E3726" w:rsidR="00C367BB" w:rsidRDefault="00C367BB" w:rsidP="00C367BB">
      <w:pPr>
        <w:pStyle w:val="MText"/>
      </w:pPr>
      <w:r>
        <w:rPr>
          <w:rFonts w:eastAsiaTheme="minorHAnsi"/>
        </w:rPr>
        <w:t>The ILO supports its constituents and other development stakeholders through knowledge and capacity building as well as through policy advocacy and advice. The list of references at the end of this note offers examples of recent major ILO contributions to knowledge building on youth employment and youth employment policy (ILO, 2017).</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3793BBC" w14:textId="4D83028F" w:rsidR="00DC1532" w:rsidRDefault="00DC1532" w:rsidP="00DC1532">
      <w:pPr>
        <w:pStyle w:val="MText"/>
        <w:rPr>
          <w:shd w:val="clear" w:color="auto" w:fill="FFFFFF"/>
        </w:rPr>
      </w:pPr>
      <w:r>
        <w:rPr>
          <w:shd w:val="clear" w:color="auto" w:fill="FFFFFF"/>
        </w:rPr>
        <w:t>The purpose of SDG indicator 8.b.1 is to provide an indication of the progress of countries in addressing youth employment issues. In this respect, it is assumed that having officially adopted what can be recognised as a structured strategy for youth employment would mean larger attention given by a country to youth labour market challenges, compared to countries with no strategy. In fact, the development of such a strategy usually entails broad participation of and consultation/coordination among different stakeholders.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08052BC" w14:textId="101BDA7C" w:rsidR="00531C14" w:rsidRPr="00A96255" w:rsidRDefault="004B0D06" w:rsidP="004B0D06">
      <w:pPr>
        <w:pStyle w:val="MText"/>
      </w:pPr>
      <w:r>
        <w:rPr>
          <w:shd w:val="clear" w:color="auto" w:fill="FFFFFF"/>
        </w:rPr>
        <w:lastRenderedPageBreak/>
        <w:t xml:space="preserve">Governments may have </w:t>
      </w:r>
      <w:r>
        <w:rPr>
          <w:i/>
          <w:shd w:val="clear" w:color="auto" w:fill="FFFFFF"/>
        </w:rPr>
        <w:t>de facto</w:t>
      </w:r>
      <w:r>
        <w:rPr>
          <w:shd w:val="clear" w:color="auto" w:fill="FFFFFF"/>
        </w:rPr>
        <w:t xml:space="preserve"> national strategies for youth employment, but lack an officially adopted </w:t>
      </w:r>
      <w:r>
        <w:rPr>
          <w:i/>
          <w:shd w:val="clear" w:color="auto" w:fill="FFFFFF"/>
        </w:rPr>
        <w:t>de jure</w:t>
      </w:r>
      <w:r>
        <w:rPr>
          <w:shd w:val="clear" w:color="auto" w:fill="FFFFFF"/>
        </w:rPr>
        <w:t xml:space="preserve"> document. For SDG 8.b.1 monitoring purposes only what emerges from </w:t>
      </w:r>
      <w:r>
        <w:rPr>
          <w:i/>
          <w:shd w:val="clear" w:color="auto" w:fill="FFFFFF"/>
        </w:rPr>
        <w:t>de jure</w:t>
      </w:r>
      <w:r>
        <w:rPr>
          <w:shd w:val="clear" w:color="auto" w:fill="FFFFFF"/>
        </w:rPr>
        <w:t xml:space="preserve"> documents is considered.</w:t>
      </w:r>
    </w:p>
    <w:p w14:paraId="581ACEEF" w14:textId="1781980B" w:rsidR="007B7DFA" w:rsidRDefault="007B7DFA"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E15B4A" w14:textId="2EEED9F6" w:rsidR="007B7DFA" w:rsidRDefault="007B7DFA" w:rsidP="007B7DFA">
      <w:pPr>
        <w:pStyle w:val="MText"/>
        <w:rPr>
          <w:shd w:val="clear" w:color="auto" w:fill="FFFFFF"/>
        </w:rPr>
      </w:pPr>
      <w:r>
        <w:rPr>
          <w:shd w:val="clear" w:color="auto" w:fill="FFFFFF"/>
        </w:rPr>
        <w:t xml:space="preserve">The information and documents provided by national authorities will be analysed by the ILO </w:t>
      </w:r>
      <w:r w:rsidR="00025B68">
        <w:rPr>
          <w:shd w:val="clear" w:color="auto" w:fill="FFFFFF"/>
        </w:rPr>
        <w:t>to classify countries according to this grid:</w:t>
      </w:r>
      <w:r>
        <w:rPr>
          <w:shd w:val="clear" w:color="auto" w:fill="FFFFFF"/>
        </w:rPr>
        <w:t xml:space="preserve">   </w:t>
      </w:r>
    </w:p>
    <w:tbl>
      <w:tblPr>
        <w:tblW w:w="0" w:type="auto"/>
        <w:tblInd w:w="132" w:type="dxa"/>
        <w:tblCellMar>
          <w:left w:w="0" w:type="dxa"/>
          <w:right w:w="0" w:type="dxa"/>
        </w:tblCellMar>
        <w:tblLook w:val="04A0" w:firstRow="1" w:lastRow="0" w:firstColumn="1" w:lastColumn="0" w:noHBand="0" w:noVBand="1"/>
      </w:tblPr>
      <w:tblGrid>
        <w:gridCol w:w="1693"/>
        <w:gridCol w:w="7181"/>
      </w:tblGrid>
      <w:tr w:rsidR="007B7DFA" w14:paraId="3FA13CD2" w14:textId="77777777" w:rsidTr="007B7DFA">
        <w:tc>
          <w:tcPr>
            <w:tcW w:w="169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1877E952" w14:textId="77777777" w:rsidR="007B7DFA" w:rsidRDefault="007B7DFA">
            <w:pPr>
              <w:jc w:val="center"/>
              <w:rPr>
                <w:b/>
                <w:sz w:val="21"/>
                <w:szCs w:val="21"/>
              </w:rPr>
            </w:pPr>
            <w:r>
              <w:rPr>
                <w:b/>
                <w:sz w:val="21"/>
                <w:szCs w:val="21"/>
              </w:rPr>
              <w:t>Value</w:t>
            </w:r>
          </w:p>
        </w:tc>
        <w:tc>
          <w:tcPr>
            <w:tcW w:w="7181"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B3EB48C" w14:textId="77777777" w:rsidR="007B7DFA" w:rsidRDefault="007B7DFA">
            <w:pPr>
              <w:jc w:val="center"/>
              <w:rPr>
                <w:b/>
                <w:sz w:val="21"/>
                <w:szCs w:val="21"/>
              </w:rPr>
            </w:pPr>
            <w:r>
              <w:rPr>
                <w:b/>
                <w:sz w:val="21"/>
                <w:szCs w:val="21"/>
              </w:rPr>
              <w:t>Description</w:t>
            </w:r>
          </w:p>
        </w:tc>
      </w:tr>
      <w:tr w:rsidR="007B7DFA" w14:paraId="5D8D6A3F"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A71597" w14:textId="77777777" w:rsidR="007B7DFA" w:rsidRDefault="007B7DFA">
            <w:pPr>
              <w:pStyle w:val="MText"/>
            </w:pPr>
            <w:r>
              <w:t>Missing value</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4FF3F867" w14:textId="77777777" w:rsidR="007B7DFA" w:rsidRDefault="007B7DFA">
            <w:pPr>
              <w:pStyle w:val="MText"/>
            </w:pPr>
            <w:r>
              <w:t>No information available to assess the existence of a national strategy for youth employment</w:t>
            </w:r>
            <w:r>
              <w:rPr>
                <w:shd w:val="clear" w:color="auto" w:fill="FFFFFF"/>
              </w:rPr>
              <w:t>.</w:t>
            </w:r>
          </w:p>
        </w:tc>
      </w:tr>
      <w:tr w:rsidR="007B7DFA" w14:paraId="6B174A38"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31E322" w14:textId="77777777" w:rsidR="007B7DFA" w:rsidRDefault="007B7DFA">
            <w:pPr>
              <w:pStyle w:val="MText"/>
            </w:pPr>
            <w:r>
              <w:t>0</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35E34693" w14:textId="77777777" w:rsidR="007B7DFA" w:rsidRDefault="007B7DFA">
            <w:pPr>
              <w:pStyle w:val="MText"/>
            </w:pPr>
            <w:r>
              <w:t>The country has not developed any national strategy for youth employment or taken steps to develop or adopt one.</w:t>
            </w:r>
          </w:p>
        </w:tc>
      </w:tr>
      <w:tr w:rsidR="007B7DFA" w14:paraId="7EAE1A2B"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737DB" w14:textId="77777777" w:rsidR="007B7DFA" w:rsidRDefault="007B7DFA">
            <w:pPr>
              <w:pStyle w:val="MText"/>
            </w:pPr>
            <w:r>
              <w:t>1</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1976D3F5" w14:textId="77777777" w:rsidR="007B7DFA" w:rsidRDefault="007B7DFA">
            <w:pPr>
              <w:pStyle w:val="MText"/>
            </w:pPr>
            <w:r>
              <w:t xml:space="preserve">The country is in the process of developing a national strategy for youth employment.  </w:t>
            </w:r>
          </w:p>
        </w:tc>
      </w:tr>
      <w:tr w:rsidR="007B7DFA" w14:paraId="7836C256"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2EDE5A" w14:textId="77777777" w:rsidR="007B7DFA" w:rsidRDefault="007B7DFA">
            <w:pPr>
              <w:pStyle w:val="MText"/>
            </w:pPr>
            <w:r>
              <w:t>2</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391510EA" w14:textId="77777777" w:rsidR="007B7DFA" w:rsidRDefault="007B7DFA">
            <w:pPr>
              <w:pStyle w:val="MText"/>
            </w:pPr>
            <w:r>
              <w:t>The country has developed and adopted a national strategy for youth employment</w:t>
            </w:r>
          </w:p>
        </w:tc>
      </w:tr>
      <w:tr w:rsidR="007B7DFA" w14:paraId="67E87DDB"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A5B92" w14:textId="77777777" w:rsidR="007B7DFA" w:rsidRDefault="007B7DFA">
            <w:pPr>
              <w:pStyle w:val="MText"/>
            </w:pPr>
            <w:r>
              <w:t>3</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5927D378" w14:textId="77777777" w:rsidR="007B7DFA" w:rsidRDefault="007B7DFA">
            <w:pPr>
              <w:pStyle w:val="MText"/>
            </w:pPr>
            <w:r>
              <w:t xml:space="preserve">The country has operationalised a national strategy for youth employment. </w:t>
            </w:r>
          </w:p>
        </w:tc>
      </w:tr>
    </w:tbl>
    <w:p w14:paraId="5D311D8A" w14:textId="77777777" w:rsidR="007B7DFA" w:rsidRDefault="007B7DFA" w:rsidP="00116C62">
      <w:pPr>
        <w:pStyle w:val="MText"/>
        <w:rPr>
          <w:shd w:val="clear" w:color="auto" w:fill="FFFFFF"/>
        </w:rPr>
      </w:pPr>
    </w:p>
    <w:p w14:paraId="40470EF3" w14:textId="77777777" w:rsidR="007B7DFA" w:rsidRDefault="007B7DFA" w:rsidP="007B7DFA">
      <w:pPr>
        <w:pStyle w:val="MText"/>
        <w:rPr>
          <w:shd w:val="clear" w:color="auto" w:fill="FFFFFF"/>
        </w:rPr>
      </w:pPr>
      <w:r>
        <w:rPr>
          <w:shd w:val="clear" w:color="auto" w:fill="FFFFFF"/>
        </w:rPr>
        <w:t>In all cases, the grid refers to a national strategy for youth employment as a distinct strategy or as part of a national employment strategy.</w:t>
      </w:r>
    </w:p>
    <w:p w14:paraId="011555A0" w14:textId="77777777" w:rsidR="007B7DFA" w:rsidRDefault="007B7DFA" w:rsidP="007B7DFA">
      <w:pPr>
        <w:pStyle w:val="MText"/>
        <w:rPr>
          <w:shd w:val="clear" w:color="auto" w:fill="FFFFFF"/>
        </w:rPr>
      </w:pPr>
    </w:p>
    <w:p w14:paraId="2A828A55" w14:textId="1B493EAF" w:rsidR="007B7DFA" w:rsidRDefault="007B7DFA" w:rsidP="007B7DFA">
      <w:pPr>
        <w:pStyle w:val="MText"/>
      </w:pPr>
      <w:r>
        <w:rPr>
          <w:shd w:val="clear" w:color="auto" w:fill="FFFFFF"/>
        </w:rPr>
        <w:t>Missing values (i.e. no response/unknown</w:t>
      </w:r>
      <w:r w:rsidRPr="00116C62">
        <w:rPr>
          <w:shd w:val="clear" w:color="auto" w:fill="FFFFFF"/>
        </w:rPr>
        <w:t>)</w:t>
      </w:r>
      <w:r>
        <w:rPr>
          <w:shd w:val="clear" w:color="auto" w:fill="FFFFFF"/>
        </w:rPr>
        <w:t xml:space="preserve"> </w:t>
      </w:r>
      <w:r w:rsidR="00025B68">
        <w:rPr>
          <w:shd w:val="clear" w:color="auto" w:fill="FFFFFF"/>
        </w:rPr>
        <w:t>are</w:t>
      </w:r>
      <w:r>
        <w:rPr>
          <w:shd w:val="clear" w:color="auto" w:fill="FFFFFF"/>
        </w:rPr>
        <w:t xml:space="preserve"> noted as such. They </w:t>
      </w:r>
      <w:r w:rsidR="00025B68">
        <w:rPr>
          <w:shd w:val="clear" w:color="auto" w:fill="FFFFFF"/>
        </w:rPr>
        <w:t>are</w:t>
      </w:r>
      <w:r>
        <w:rPr>
          <w:shd w:val="clear" w:color="auto" w:fill="FFFFFF"/>
        </w:rPr>
        <w:t xml:space="preserve"> omitted from the final global and regional breakdown: proportions </w:t>
      </w:r>
      <w:r w:rsidR="00025B68">
        <w:rPr>
          <w:shd w:val="clear" w:color="auto" w:fill="FFFFFF"/>
        </w:rPr>
        <w:t>are</w:t>
      </w:r>
      <w:r>
        <w:rPr>
          <w:shd w:val="clear" w:color="auto" w:fill="FFFFFF"/>
        </w:rPr>
        <w:t xml:space="preserve"> </w:t>
      </w:r>
      <w:r w:rsidR="00025B68">
        <w:rPr>
          <w:shd w:val="clear" w:color="auto" w:fill="FFFFFF"/>
        </w:rPr>
        <w:t xml:space="preserve">only </w:t>
      </w:r>
      <w:r>
        <w:rPr>
          <w:shd w:val="clear" w:color="auto" w:fill="FFFFFF"/>
        </w:rPr>
        <w:t>calculated on the basis of received responses. However, the global and regional response rates will be indicated.</w:t>
      </w:r>
    </w:p>
    <w:p w14:paraId="6D01A2FD" w14:textId="77777777" w:rsidR="007B7DFA" w:rsidRDefault="007B7DFA" w:rsidP="007B7DFA">
      <w:pPr>
        <w:pStyle w:val="MText"/>
      </w:pPr>
    </w:p>
    <w:p w14:paraId="72D6AD85" w14:textId="7E039B06" w:rsidR="007B7DFA" w:rsidRDefault="007B7DFA" w:rsidP="007B7DFA">
      <w:pPr>
        <w:pStyle w:val="MText"/>
        <w:rPr>
          <w:shd w:val="clear" w:color="auto" w:fill="FFFFFF"/>
        </w:rPr>
      </w:pPr>
      <w:r>
        <w:t xml:space="preserve">The possible development of metadata notes complementing the grid is being considered. </w:t>
      </w:r>
      <w:r>
        <w:rPr>
          <w:shd w:val="clear" w:color="auto" w:fill="FFFFFF"/>
        </w:rPr>
        <w:t xml:space="preserve">Among other aspects, these notes may refer to the measures and provisions in place, and would also consider the involvement of national constituents in the development and operationalization of the strategies.    </w:t>
      </w:r>
    </w:p>
    <w:p w14:paraId="30CBB53D" w14:textId="77777777" w:rsidR="007B7DFA" w:rsidRDefault="007B7DFA" w:rsidP="007B7DFA">
      <w:pPr>
        <w:pStyle w:val="MText"/>
        <w:rPr>
          <w:rFonts w:eastAsia="SimSun"/>
        </w:rPr>
      </w:pPr>
    </w:p>
    <w:p w14:paraId="11F4AA9F" w14:textId="77777777" w:rsidR="007B7DFA" w:rsidRDefault="007B7DFA" w:rsidP="007B7DFA">
      <w:pPr>
        <w:pStyle w:val="MText"/>
        <w:rPr>
          <w:rFonts w:eastAsia="SimSun"/>
        </w:rPr>
      </w:pPr>
      <w:r>
        <w:rPr>
          <w:rFonts w:eastAsia="SimSun"/>
        </w:rPr>
        <w:t>The ILO may also envisage to conduct a more detailed analysis of selected country documents for purposes which go beyond the scope of SDG monitoring, in order to gather insights on institutional and operational matters in national efforts for youth employment.</w:t>
      </w:r>
    </w:p>
    <w:p w14:paraId="7631019C" w14:textId="1FE67FE7" w:rsidR="007B7DFA" w:rsidRDefault="007B7DFA" w:rsidP="007B7DFA">
      <w:pPr>
        <w:pStyle w:val="MText"/>
      </w:pPr>
      <w:r>
        <w:t xml:space="preserve">The following steps are followed in developing the indicator methodology: </w:t>
      </w:r>
    </w:p>
    <w:p w14:paraId="5117BF86" w14:textId="77777777" w:rsidR="007B7DFA" w:rsidRDefault="007B7DFA" w:rsidP="007B7DFA">
      <w:pPr>
        <w:pStyle w:val="MText"/>
        <w:numPr>
          <w:ilvl w:val="0"/>
          <w:numId w:val="16"/>
        </w:numPr>
      </w:pPr>
      <w:r>
        <w:t xml:space="preserve">Examination of relevant policy instruments, including the above-mentioned </w:t>
      </w:r>
      <w:r>
        <w:rPr>
          <w:i/>
        </w:rPr>
        <w:t>C</w:t>
      </w:r>
      <w:r>
        <w:rPr>
          <w:i/>
          <w:iCs/>
        </w:rPr>
        <w:t xml:space="preserve">all for action </w:t>
      </w:r>
      <w:r>
        <w:t xml:space="preserve">and </w:t>
      </w:r>
      <w:r>
        <w:rPr>
          <w:i/>
        </w:rPr>
        <w:t>Global Jobs Pact.</w:t>
      </w:r>
      <w:r>
        <w:t xml:space="preserve"> Adopted by ILO tripartite constituents, these documents provide a sound framework for defining SDG indicator 8.b.1.</w:t>
      </w:r>
    </w:p>
    <w:p w14:paraId="171B4948" w14:textId="77777777" w:rsidR="007B7DFA" w:rsidRDefault="007B7DFA" w:rsidP="007B7DFA">
      <w:pPr>
        <w:pStyle w:val="MText"/>
        <w:numPr>
          <w:ilvl w:val="0"/>
          <w:numId w:val="16"/>
        </w:numPr>
      </w:pPr>
      <w:r>
        <w:t xml:space="preserve">Review of ILO databases on employment and youth employment policies (EmPOL and YouthPOL), maintained by the Employment Policy Department. </w:t>
      </w:r>
    </w:p>
    <w:p w14:paraId="0CD6FB38" w14:textId="77777777" w:rsidR="007B7DFA" w:rsidRDefault="007B7DFA" w:rsidP="007B7DFA">
      <w:pPr>
        <w:pStyle w:val="MText"/>
        <w:numPr>
          <w:ilvl w:val="0"/>
          <w:numId w:val="16"/>
        </w:numPr>
      </w:pPr>
      <w:r>
        <w:t>A methodology for defining, measuring and validating this indicator (the present document).</w:t>
      </w:r>
    </w:p>
    <w:p w14:paraId="2E703F54" w14:textId="04DE7AE7" w:rsidR="007B7DFA" w:rsidRDefault="00DC1532" w:rsidP="007B7DFA">
      <w:pPr>
        <w:pStyle w:val="MText"/>
        <w:numPr>
          <w:ilvl w:val="0"/>
          <w:numId w:val="16"/>
        </w:numPr>
      </w:pPr>
      <w:r>
        <w:t>A</w:t>
      </w:r>
      <w:r w:rsidR="007B7DFA">
        <w:t xml:space="preserve"> survey instrument (questionnaire) to collect national-level information on youth employment policies from national entities. The information </w:t>
      </w:r>
      <w:r>
        <w:t>is</w:t>
      </w:r>
      <w:r w:rsidR="007B7DFA">
        <w:t xml:space="preserve"> used to determine if countries have </w:t>
      </w:r>
      <w:r w:rsidR="007B7DFA">
        <w:rPr>
          <w:rFonts w:cstheme="majorBidi"/>
        </w:rPr>
        <w:t>developed and operationalized a national strategy for youth employment as a stand-alone strategy or as part of a national employment or sectoral strategy,</w:t>
      </w:r>
      <w:r w:rsidR="007B7DFA">
        <w:t xml:space="preserve"> in line with the above-mentioned ILC resolutions.</w:t>
      </w:r>
      <w:r w:rsidR="007B7DFA">
        <w:rPr>
          <w:rFonts w:cstheme="majorBidi"/>
        </w:rPr>
        <w:t xml:space="preserve"> </w:t>
      </w:r>
      <w:r w:rsidR="007B7DFA">
        <w:t xml:space="preserve"> </w:t>
      </w:r>
    </w:p>
    <w:p w14:paraId="233A44E5" w14:textId="65E7CB41" w:rsidR="007B7DFA" w:rsidRDefault="007B7DFA" w:rsidP="007B7DFA">
      <w:pPr>
        <w:pStyle w:val="MText"/>
        <w:numPr>
          <w:ilvl w:val="0"/>
          <w:numId w:val="16"/>
        </w:numPr>
      </w:pPr>
      <w:r>
        <w:lastRenderedPageBreak/>
        <w:t>Technical guidelines for data providers and compilers, along with the above-mentioned questionnaire and detailed notes.</w:t>
      </w:r>
    </w:p>
    <w:p w14:paraId="086D7939" w14:textId="77777777" w:rsidR="00531C14" w:rsidRDefault="00531C14" w:rsidP="00116C62">
      <w:pPr>
        <w:pStyle w:val="MText"/>
        <w:ind w:left="360"/>
      </w:pPr>
    </w:p>
    <w:p w14:paraId="12E87D3F" w14:textId="72A405F4" w:rsidR="007B7DFA" w:rsidRDefault="007B7DFA" w:rsidP="007B7DFA">
      <w:pPr>
        <w:pStyle w:val="MText"/>
      </w:pPr>
      <w:r>
        <w:t xml:space="preserve">Consultations with pertinent ministries and social partners’ representatives </w:t>
      </w:r>
      <w:r w:rsidR="00DC1532">
        <w:t>are held</w:t>
      </w:r>
      <w:r>
        <w:t xml:space="preserve"> throughout the process.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6DF6E82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7C7EA07" w14:textId="40125680" w:rsidR="00531C14" w:rsidRPr="00A96255" w:rsidRDefault="00025B68"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4748E1F" w14:textId="4A7B5090" w:rsidR="00D51E7C" w:rsidRDefault="00025B68" w:rsidP="00D51E7C">
      <w:pPr>
        <w:pStyle w:val="MText"/>
      </w:pPr>
      <w:r>
        <w:t>For countries that have not responded in the current survey round, the last country responses to the ILO survey are reported. The underlying assumption is that policy changes are unlikely to occur each year and therefore recent responses to the ILO survey remain valid.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9A3347C" w14:textId="4E72ECFF" w:rsidR="00531C14" w:rsidRPr="00A96255" w:rsidRDefault="00DC1532" w:rsidP="00E1050F">
      <w:pPr>
        <w:pStyle w:val="MText"/>
      </w:pPr>
      <w:r>
        <w:t>None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5961844" w14:textId="64F192E2" w:rsidR="00531C14" w:rsidRPr="00A96255" w:rsidRDefault="00DC1532" w:rsidP="00576CFA">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Default="00EC2915" w:rsidP="00576CFA">
      <w:pPr>
        <w:pStyle w:val="MText"/>
      </w:pPr>
    </w:p>
    <w:p w14:paraId="713EB590" w14:textId="77777777" w:rsidR="00772F52" w:rsidRPr="00A96255" w:rsidRDefault="00772F52"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Default="00EC2915" w:rsidP="00576CFA">
      <w:pPr>
        <w:pStyle w:val="MText"/>
      </w:pPr>
    </w:p>
    <w:p w14:paraId="3BB77E77" w14:textId="77777777" w:rsidR="00772F52" w:rsidRPr="00A96255" w:rsidRDefault="00772F5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Default="00576CFA" w:rsidP="00576CFA">
      <w:pPr>
        <w:pStyle w:val="MText"/>
      </w:pPr>
    </w:p>
    <w:p w14:paraId="3BBEBA4F" w14:textId="77777777" w:rsidR="00772F52" w:rsidRPr="00A96255" w:rsidRDefault="00772F52"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4D4D3E2B" w:rsidR="00576CFA" w:rsidRPr="007B7DFA" w:rsidRDefault="00D51E7C" w:rsidP="0F926893">
      <w:pPr>
        <w:pStyle w:val="MText"/>
        <w:rPr>
          <w:b/>
          <w:bCs/>
        </w:rPr>
      </w:pPr>
      <w:r w:rsidRPr="0F926893">
        <w:rPr>
          <w:b/>
          <w:bCs/>
        </w:rPr>
        <w:t>Data availability:</w:t>
      </w:r>
    </w:p>
    <w:p w14:paraId="39CF234C" w14:textId="68C58540" w:rsidR="00531C14" w:rsidRDefault="007B7DFA" w:rsidP="00531C14">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shd w:val="clear" w:color="auto" w:fill="FFFFFF"/>
          <w:lang w:val="en-GB"/>
        </w:rPr>
      </w:pPr>
      <w:r>
        <w:rPr>
          <w:rStyle w:val="normaltextrun"/>
          <w:rFonts w:ascii="Calibri" w:hAnsi="Calibri" w:cs="Calibri"/>
          <w:color w:val="4A4A4A"/>
          <w:sz w:val="21"/>
          <w:szCs w:val="21"/>
          <w:shd w:val="clear" w:color="auto" w:fill="FFFFFF"/>
          <w:lang w:val="en-GB"/>
        </w:rPr>
        <w:t xml:space="preserve">The methodology is </w:t>
      </w:r>
      <w:r w:rsidR="00DC1532">
        <w:rPr>
          <w:rStyle w:val="normaltextrun"/>
          <w:rFonts w:ascii="Calibri" w:hAnsi="Calibri" w:cs="Calibri"/>
          <w:color w:val="4A4A4A"/>
          <w:sz w:val="21"/>
          <w:szCs w:val="21"/>
          <w:shd w:val="clear" w:color="auto" w:fill="FFFFFF"/>
          <w:lang w:val="en-GB"/>
        </w:rPr>
        <w:t xml:space="preserve">mainly </w:t>
      </w:r>
      <w:r>
        <w:rPr>
          <w:rStyle w:val="normaltextrun"/>
          <w:rFonts w:ascii="Calibri" w:hAnsi="Calibri" w:cs="Calibri"/>
          <w:color w:val="4A4A4A"/>
          <w:sz w:val="21"/>
          <w:szCs w:val="21"/>
          <w:shd w:val="clear" w:color="auto" w:fill="FFFFFF"/>
          <w:lang w:val="en-GB"/>
        </w:rPr>
        <w:t xml:space="preserve">based on </w:t>
      </w:r>
      <w:proofErr w:type="gramStart"/>
      <w:r>
        <w:rPr>
          <w:rStyle w:val="normaltextrun"/>
          <w:rFonts w:ascii="Calibri" w:hAnsi="Calibri" w:cs="Calibri"/>
          <w:color w:val="4A4A4A"/>
          <w:sz w:val="21"/>
          <w:szCs w:val="21"/>
          <w:shd w:val="clear" w:color="auto" w:fill="FFFFFF"/>
          <w:lang w:val="en-GB"/>
        </w:rPr>
        <w:t>a  methodology</w:t>
      </w:r>
      <w:proofErr w:type="gramEnd"/>
      <w:r>
        <w:rPr>
          <w:rStyle w:val="normaltextrun"/>
          <w:rFonts w:ascii="Calibri" w:hAnsi="Calibri" w:cs="Calibri"/>
          <w:color w:val="4A4A4A"/>
          <w:sz w:val="21"/>
          <w:szCs w:val="21"/>
          <w:shd w:val="clear" w:color="auto" w:fill="FFFFFF"/>
          <w:lang w:val="en-GB"/>
        </w:rPr>
        <w:t xml:space="preserve"> used for the ILO youth employment policies database (</w:t>
      </w:r>
      <w:proofErr w:type="spellStart"/>
      <w:r>
        <w:rPr>
          <w:rStyle w:val="normaltextrun"/>
          <w:rFonts w:ascii="Calibri" w:hAnsi="Calibri" w:cs="Calibri"/>
          <w:color w:val="4A4A4A"/>
          <w:sz w:val="21"/>
          <w:szCs w:val="21"/>
          <w:shd w:val="clear" w:color="auto" w:fill="FFFFFF"/>
          <w:lang w:val="en-GB"/>
        </w:rPr>
        <w:t>YouthPOL</w:t>
      </w:r>
      <w:proofErr w:type="spellEnd"/>
      <w:r>
        <w:rPr>
          <w:rStyle w:val="normaltextrun"/>
          <w:rFonts w:ascii="Calibri" w:hAnsi="Calibri" w:cs="Calibri"/>
          <w:color w:val="4A4A4A"/>
          <w:sz w:val="21"/>
          <w:szCs w:val="21"/>
          <w:shd w:val="clear" w:color="auto" w:fill="FFFFFF"/>
          <w:lang w:val="en-GB"/>
        </w:rPr>
        <w:t xml:space="preserve">) that covers </w:t>
      </w:r>
      <w:r w:rsidR="008C7898">
        <w:rPr>
          <w:rStyle w:val="normaltextrun"/>
          <w:rFonts w:ascii="Calibri" w:hAnsi="Calibri" w:cs="Calibri"/>
          <w:color w:val="4A4A4A"/>
          <w:sz w:val="21"/>
          <w:szCs w:val="21"/>
          <w:shd w:val="clear" w:color="auto" w:fill="FFFFFF"/>
          <w:lang w:val="en-GB"/>
        </w:rPr>
        <w:t>1</w:t>
      </w:r>
      <w:r w:rsidR="00BE7679">
        <w:rPr>
          <w:rStyle w:val="normaltextrun"/>
          <w:rFonts w:ascii="Calibri" w:hAnsi="Calibri" w:cs="Calibri"/>
          <w:color w:val="4A4A4A"/>
          <w:sz w:val="21"/>
          <w:szCs w:val="21"/>
          <w:shd w:val="clear" w:color="auto" w:fill="FFFFFF"/>
          <w:lang w:val="en-GB"/>
        </w:rPr>
        <w:t>70</w:t>
      </w:r>
      <w:r>
        <w:rPr>
          <w:rStyle w:val="normaltextrun"/>
          <w:rFonts w:ascii="Calibri" w:hAnsi="Calibri" w:cs="Calibri"/>
          <w:color w:val="4A4A4A"/>
          <w:sz w:val="21"/>
          <w:szCs w:val="21"/>
          <w:shd w:val="clear" w:color="auto" w:fill="FFFFFF"/>
          <w:lang w:val="en-GB"/>
        </w:rPr>
        <w:t xml:space="preserve"> countries in 5 regions, including: Colombia, Mexico, Jordan, Australia, Cambodia, China, Republic of Korea, Philippines, Germany, Kazakhstan, Russian Federation, Italy, Spain, and Ukraine. The data can be accessed </w:t>
      </w:r>
      <w:hyperlink r:id="rId11" w:tgtFrame="_blank" w:history="1">
        <w:r>
          <w:rPr>
            <w:rStyle w:val="normaltextrun"/>
            <w:rFonts w:ascii="Calibri" w:hAnsi="Calibri" w:cs="Calibri"/>
            <w:color w:val="0000FF"/>
            <w:sz w:val="21"/>
            <w:szCs w:val="21"/>
            <w:u w:val="single"/>
            <w:shd w:val="clear" w:color="auto" w:fill="FFFFFF"/>
            <w:lang w:val="en-GB"/>
          </w:rPr>
          <w:t>in this link.</w:t>
        </w:r>
      </w:hyperlink>
      <w:r>
        <w:rPr>
          <w:rStyle w:val="normaltextrun"/>
          <w:rFonts w:ascii="Calibri" w:hAnsi="Calibri" w:cs="Calibri"/>
          <w:color w:val="4A4A4A"/>
          <w:sz w:val="21"/>
          <w:szCs w:val="21"/>
          <w:shd w:val="clear" w:color="auto" w:fill="FFFFFF"/>
          <w:lang w:val="en-GB"/>
        </w:rPr>
        <w:t xml:space="preserve"> The methodology </w:t>
      </w:r>
      <w:r w:rsidR="00DC1532">
        <w:rPr>
          <w:rStyle w:val="normaltextrun"/>
          <w:rFonts w:ascii="Calibri" w:hAnsi="Calibri" w:cs="Calibri"/>
          <w:color w:val="4A4A4A"/>
          <w:sz w:val="21"/>
          <w:szCs w:val="21"/>
          <w:shd w:val="clear" w:color="auto" w:fill="FFFFFF"/>
          <w:lang w:val="en-GB"/>
        </w:rPr>
        <w:t>is based on</w:t>
      </w:r>
      <w:r>
        <w:rPr>
          <w:rStyle w:val="normaltextrun"/>
          <w:rFonts w:ascii="Calibri" w:hAnsi="Calibri" w:cs="Calibri"/>
          <w:color w:val="4A4A4A"/>
          <w:sz w:val="21"/>
          <w:szCs w:val="21"/>
          <w:shd w:val="clear" w:color="auto" w:fill="FFFFFF"/>
          <w:lang w:val="en-GB"/>
        </w:rPr>
        <w:t xml:space="preserve"> a simplified version of the questionnaires used in this database.</w:t>
      </w:r>
    </w:p>
    <w:p w14:paraId="2D0542F7" w14:textId="517F2C64" w:rsidR="00D51E7C" w:rsidRPr="00C019E5" w:rsidRDefault="007B7DFA" w:rsidP="00116C62">
      <w:pPr>
        <w:pStyle w:val="paragraph"/>
        <w:shd w:val="clear" w:color="auto" w:fill="FFFFFF"/>
        <w:spacing w:before="0" w:beforeAutospacing="0" w:after="0" w:afterAutospacing="0"/>
        <w:textAlignment w:val="baseline"/>
        <w:rPr>
          <w:highlight w:val="cyan"/>
        </w:rPr>
      </w:pPr>
      <w:r>
        <w:rPr>
          <w:rStyle w:val="eop"/>
          <w:rFonts w:ascii="Calibri" w:hAnsi="Calibri" w:cs="Calibri"/>
          <w:color w:val="4A4A4A"/>
          <w:sz w:val="21"/>
          <w:szCs w:val="21"/>
        </w:rPr>
        <w:lastRenderedPageBreak/>
        <w:t> </w:t>
      </w:r>
    </w:p>
    <w:p w14:paraId="2CB38469" w14:textId="3CF70512" w:rsidR="0063160D" w:rsidRPr="00C019E5" w:rsidRDefault="00D51E7C" w:rsidP="0063160D">
      <w:pPr>
        <w:pStyle w:val="MText"/>
        <w:rPr>
          <w:highlight w:val="cyan"/>
        </w:rPr>
      </w:pPr>
      <w:r w:rsidRPr="0F926893">
        <w:rPr>
          <w:b/>
          <w:bCs/>
        </w:rPr>
        <w:t>Time series:</w:t>
      </w:r>
      <w:r w:rsidR="0063160D">
        <w:t xml:space="preserve"> This submission covers data from 2019 to 2020. </w:t>
      </w:r>
    </w:p>
    <w:p w14:paraId="5853D6F7" w14:textId="4177D1AC" w:rsidR="00D51E7C" w:rsidRPr="00C019E5" w:rsidRDefault="00D51E7C" w:rsidP="00576CFA">
      <w:pPr>
        <w:pStyle w:val="MText"/>
        <w:rPr>
          <w:highlight w:val="cyan"/>
        </w:rPr>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2D4870" w14:textId="7E7FBDBE" w:rsidR="00D51E7C" w:rsidRDefault="00DC1532"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7F1A956" w14:textId="1C099294"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Conference of Labour Statisticians, 20</w:t>
      </w:r>
      <w:r>
        <w:rPr>
          <w:rStyle w:val="normaltextrun"/>
          <w:rFonts w:ascii="Calibri" w:hAnsi="Calibri" w:cs="Calibri"/>
          <w:color w:val="4A4A4A"/>
          <w:shd w:val="clear" w:color="auto" w:fill="FFFFFF"/>
          <w:vertAlign w:val="superscript"/>
          <w:lang w:val="en-GB"/>
        </w:rPr>
        <w:t>th</w:t>
      </w:r>
      <w:r>
        <w:rPr>
          <w:rStyle w:val="normaltextrun"/>
          <w:rFonts w:ascii="Calibri" w:hAnsi="Calibri" w:cs="Calibri"/>
          <w:color w:val="4A4A4A"/>
          <w:sz w:val="21"/>
          <w:szCs w:val="21"/>
          <w:shd w:val="clear" w:color="auto" w:fill="FFFFFF"/>
          <w:lang w:val="en-GB"/>
        </w:rPr>
        <w:t>. Session. Resolution III </w:t>
      </w:r>
      <w:hyperlink r:id="rId12" w:tgtFrame="_blank" w:history="1">
        <w:r>
          <w:rPr>
            <w:rStyle w:val="normaltextrun"/>
            <w:rFonts w:ascii="Calibri" w:hAnsi="Calibri" w:cs="Calibri"/>
            <w:color w:val="0000FF"/>
            <w:sz w:val="21"/>
            <w:szCs w:val="21"/>
            <w:u w:val="single"/>
            <w:shd w:val="clear" w:color="auto" w:fill="FFFFFF"/>
            <w:lang w:val="en-GB"/>
          </w:rPr>
          <w:t>www.ilo.org/20thicls</w:t>
        </w:r>
      </w:hyperlink>
    </w:p>
    <w:p w14:paraId="2CFA059C" w14:textId="77777777"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Labour Office (ILO). 2008. </w:t>
      </w:r>
      <w:r>
        <w:rPr>
          <w:rStyle w:val="normaltextrun"/>
          <w:rFonts w:ascii="Calibri" w:hAnsi="Calibri" w:cs="Calibri"/>
          <w:i/>
          <w:iCs/>
          <w:color w:val="4A4A4A"/>
          <w:sz w:val="21"/>
          <w:szCs w:val="21"/>
          <w:shd w:val="clear" w:color="auto" w:fill="FFFFFF"/>
          <w:lang w:val="en-GB"/>
        </w:rPr>
        <w:t>Guide for the preparation of National action Plans on Youth Employment. </w:t>
      </w:r>
      <w:r>
        <w:rPr>
          <w:rStyle w:val="normaltextrun"/>
          <w:rFonts w:ascii="Calibri" w:hAnsi="Calibri" w:cs="Calibri"/>
          <w:color w:val="4A4A4A"/>
          <w:sz w:val="21"/>
          <w:szCs w:val="21"/>
          <w:shd w:val="clear" w:color="auto" w:fill="FFFFFF"/>
          <w:lang w:val="en-GB"/>
        </w:rPr>
        <w:t>(Geneva, ILO)</w:t>
      </w:r>
      <w:r>
        <w:rPr>
          <w:rStyle w:val="eop"/>
          <w:rFonts w:ascii="Calibri" w:hAnsi="Calibri" w:cs="Calibri"/>
          <w:color w:val="4A4A4A"/>
          <w:sz w:val="21"/>
          <w:szCs w:val="21"/>
        </w:rPr>
        <w:t> </w:t>
      </w:r>
    </w:p>
    <w:p w14:paraId="0EB60273" w14:textId="25E001EC"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2012. </w:t>
      </w:r>
      <w:r>
        <w:rPr>
          <w:rStyle w:val="normaltextrun"/>
          <w:rFonts w:ascii="Calibri" w:hAnsi="Calibri" w:cs="Calibri"/>
          <w:i/>
          <w:iCs/>
          <w:color w:val="4A4A4A"/>
          <w:sz w:val="21"/>
          <w:szCs w:val="21"/>
          <w:shd w:val="clear" w:color="auto" w:fill="FFFFFF"/>
          <w:lang w:val="en-GB"/>
        </w:rPr>
        <w:t>Guide for the formulation of national employment policies. </w:t>
      </w:r>
      <w:r>
        <w:rPr>
          <w:rStyle w:val="normaltextrun"/>
          <w:rFonts w:ascii="Calibri" w:hAnsi="Calibri" w:cs="Calibri"/>
          <w:color w:val="4A4A4A"/>
          <w:sz w:val="21"/>
          <w:szCs w:val="21"/>
          <w:shd w:val="clear" w:color="auto" w:fill="FFFFFF"/>
          <w:lang w:val="en-GB"/>
        </w:rPr>
        <w:t>(Geneva).</w:t>
      </w:r>
    </w:p>
    <w:p w14:paraId="7788A1E8" w14:textId="7DFBF944"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2015. </w:t>
      </w:r>
      <w:r>
        <w:rPr>
          <w:rStyle w:val="normaltextrun"/>
          <w:rFonts w:ascii="Calibri" w:hAnsi="Calibri" w:cs="Calibri"/>
          <w:i/>
          <w:iCs/>
          <w:color w:val="4A4A4A"/>
          <w:sz w:val="21"/>
          <w:szCs w:val="21"/>
          <w:shd w:val="clear" w:color="auto" w:fill="FFFFFF"/>
          <w:lang w:val="en-GB"/>
        </w:rPr>
        <w:t>Comparative Analysis of Policies for Youth Employment in Asia and the Pacific. </w:t>
      </w:r>
      <w:r>
        <w:rPr>
          <w:rStyle w:val="normaltextrun"/>
          <w:rFonts w:ascii="Calibri" w:hAnsi="Calibri" w:cs="Calibri"/>
          <w:color w:val="4A4A4A"/>
          <w:sz w:val="21"/>
          <w:szCs w:val="21"/>
          <w:shd w:val="clear" w:color="auto" w:fill="FFFFFF"/>
          <w:lang w:val="en-GB"/>
        </w:rPr>
        <w:t>(Geneva).</w:t>
      </w:r>
    </w:p>
    <w:p w14:paraId="4FB840F5" w14:textId="77777777" w:rsidR="004C10AF" w:rsidRPr="00FF444C" w:rsidRDefault="004C10AF" w:rsidP="004C10AF">
      <w:pPr>
        <w:pStyle w:val="paragraph"/>
        <w:shd w:val="clear" w:color="auto" w:fill="FFFFFF"/>
        <w:spacing w:before="0" w:beforeAutospacing="0" w:after="0" w:afterAutospacing="0"/>
        <w:ind w:left="720"/>
        <w:textAlignment w:val="baseline"/>
        <w:rPr>
          <w:rStyle w:val="normaltextrun"/>
          <w:rFonts w:ascii="Calibri" w:hAnsi="Calibri" w:cs="Calibri"/>
          <w:sz w:val="21"/>
          <w:szCs w:val="21"/>
          <w:shd w:val="clear" w:color="auto" w:fill="FFFFFF"/>
          <w:lang w:val="en-GB"/>
        </w:rPr>
      </w:pPr>
      <w:r>
        <w:rPr>
          <w:rStyle w:val="normaltextrun"/>
          <w:rFonts w:ascii="Calibri" w:hAnsi="Calibri" w:cs="Calibri"/>
          <w:color w:val="4A4A4A"/>
          <w:sz w:val="21"/>
          <w:szCs w:val="21"/>
          <w:shd w:val="clear" w:color="auto" w:fill="FFFFFF"/>
          <w:lang w:val="en-GB"/>
        </w:rPr>
        <w:t>_. 2017.</w:t>
      </w:r>
      <w:r w:rsidRPr="00FF444C">
        <w:rPr>
          <w:rStyle w:val="normaltextrun"/>
          <w:rFonts w:ascii="Calibri" w:hAnsi="Calibri" w:cs="Calibri"/>
          <w:color w:val="4A4A4A"/>
          <w:sz w:val="21"/>
          <w:szCs w:val="21"/>
          <w:shd w:val="clear" w:color="auto" w:fill="FFFFFF"/>
          <w:lang w:val="en-GB"/>
        </w:rPr>
        <w:t> Global employment trends for youth 2017: paths to a better working future </w:t>
      </w:r>
      <w:r>
        <w:rPr>
          <w:rStyle w:val="normaltextrun"/>
          <w:rFonts w:ascii="Calibri" w:hAnsi="Calibri" w:cs="Calibri"/>
          <w:color w:val="4A4A4A"/>
          <w:sz w:val="21"/>
          <w:szCs w:val="21"/>
          <w:shd w:val="clear" w:color="auto" w:fill="FFFFFF"/>
          <w:lang w:val="en-GB"/>
        </w:rPr>
        <w:t>(Geneva) </w:t>
      </w:r>
      <w:r w:rsidRPr="00FF444C">
        <w:rPr>
          <w:rStyle w:val="normaltextrun"/>
          <w:shd w:val="clear" w:color="auto" w:fill="FFFFFF"/>
          <w:lang w:val="en-GB"/>
        </w:rPr>
        <w:t> </w:t>
      </w:r>
    </w:p>
    <w:p w14:paraId="6AA0E49F" w14:textId="18FDAE59" w:rsidR="004C10AF" w:rsidRPr="00FF444C" w:rsidRDefault="004C10AF" w:rsidP="00FF444C">
      <w:pPr>
        <w:pStyle w:val="paragraph"/>
        <w:shd w:val="clear" w:color="auto" w:fill="FFFFFF"/>
        <w:spacing w:before="0" w:beforeAutospacing="0" w:after="0" w:afterAutospacing="0"/>
        <w:ind w:left="720"/>
        <w:textAlignment w:val="baseline"/>
        <w:rPr>
          <w:rStyle w:val="normaltextrun"/>
          <w:rFonts w:ascii="Calibri" w:hAnsi="Calibri" w:cs="Calibri"/>
          <w:sz w:val="21"/>
          <w:szCs w:val="21"/>
          <w:shd w:val="clear" w:color="auto" w:fill="FFFFFF"/>
          <w:lang w:val="en-GB"/>
        </w:rPr>
      </w:pPr>
      <w:r>
        <w:rPr>
          <w:rStyle w:val="normaltextrun"/>
          <w:rFonts w:ascii="Calibri" w:hAnsi="Calibri" w:cs="Calibri"/>
          <w:color w:val="4A4A4A"/>
          <w:sz w:val="21"/>
          <w:szCs w:val="21"/>
          <w:shd w:val="clear" w:color="auto" w:fill="FFFFFF"/>
          <w:lang w:val="en-GB"/>
        </w:rPr>
        <w:t>O’higgins, N. 2017. </w:t>
      </w:r>
      <w:r w:rsidRPr="00FF444C">
        <w:rPr>
          <w:rStyle w:val="normaltextrun"/>
          <w:rFonts w:ascii="Calibri" w:hAnsi="Calibri" w:cs="Calibri"/>
          <w:color w:val="4A4A4A"/>
          <w:sz w:val="21"/>
          <w:szCs w:val="21"/>
          <w:shd w:val="clear" w:color="auto" w:fill="FFFFFF"/>
          <w:lang w:val="en-GB"/>
        </w:rPr>
        <w:t>Rising to the youth employment challenge: new evidence on key policy issues </w:t>
      </w:r>
      <w:r>
        <w:rPr>
          <w:rStyle w:val="normaltextrun"/>
          <w:rFonts w:ascii="Calibri" w:hAnsi="Calibri" w:cs="Calibri"/>
          <w:color w:val="4A4A4A"/>
          <w:sz w:val="21"/>
          <w:szCs w:val="21"/>
          <w:shd w:val="clear" w:color="auto" w:fill="FFFFFF"/>
          <w:lang w:val="en-GB"/>
        </w:rPr>
        <w:t>(Geneva, ILO).</w:t>
      </w:r>
    </w:p>
    <w:p w14:paraId="384B0992" w14:textId="36889691"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9A244" w14:textId="77777777" w:rsidR="00A71EE1" w:rsidRDefault="00A71EE1" w:rsidP="00573C0B">
      <w:pPr>
        <w:spacing w:after="0" w:line="240" w:lineRule="auto"/>
      </w:pPr>
      <w:r>
        <w:separator/>
      </w:r>
    </w:p>
  </w:endnote>
  <w:endnote w:type="continuationSeparator" w:id="0">
    <w:p w14:paraId="497AE5E1" w14:textId="77777777" w:rsidR="00A71EE1" w:rsidRDefault="00A71EE1" w:rsidP="00573C0B">
      <w:pPr>
        <w:spacing w:after="0" w:line="240" w:lineRule="auto"/>
      </w:pPr>
      <w:r>
        <w:continuationSeparator/>
      </w:r>
    </w:p>
  </w:endnote>
  <w:endnote w:type="continuationNotice" w:id="1">
    <w:p w14:paraId="2DD765C8" w14:textId="77777777" w:rsidR="00A71EE1" w:rsidRDefault="00A71E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E77B5" w14:textId="77777777" w:rsidR="00A71EE1" w:rsidRDefault="00A71EE1" w:rsidP="00573C0B">
      <w:pPr>
        <w:spacing w:after="0" w:line="240" w:lineRule="auto"/>
      </w:pPr>
      <w:r>
        <w:separator/>
      </w:r>
    </w:p>
  </w:footnote>
  <w:footnote w:type="continuationSeparator" w:id="0">
    <w:p w14:paraId="5E2B61FD" w14:textId="77777777" w:rsidR="00A71EE1" w:rsidRDefault="00A71EE1" w:rsidP="00573C0B">
      <w:pPr>
        <w:spacing w:after="0" w:line="240" w:lineRule="auto"/>
      </w:pPr>
      <w:r>
        <w:continuationSeparator/>
      </w:r>
    </w:p>
  </w:footnote>
  <w:footnote w:type="continuationNotice" w:id="1">
    <w:p w14:paraId="5EED2CBE" w14:textId="77777777" w:rsidR="00A71EE1" w:rsidRDefault="00A71EE1">
      <w:pPr>
        <w:spacing w:after="0" w:line="240" w:lineRule="auto"/>
      </w:pPr>
    </w:p>
  </w:footnote>
  <w:footnote w:id="2">
    <w:p w14:paraId="3CB9EEC1" w14:textId="77777777" w:rsidR="007B7DFA" w:rsidRDefault="007B7DFA" w:rsidP="007B7DFA">
      <w:pPr>
        <w:pStyle w:val="FootnoteText"/>
        <w:rPr>
          <w:rFonts w:asciiTheme="minorHAnsi" w:hAnsiTheme="minorHAnsi"/>
        </w:rPr>
      </w:pPr>
      <w:r>
        <w:rPr>
          <w:rStyle w:val="FootnoteReference"/>
        </w:rPr>
        <w:footnoteRef/>
      </w:r>
      <w:r>
        <w:t xml:space="preserve"> </w:t>
      </w:r>
      <w:r>
        <w:rPr>
          <w:rFonts w:asciiTheme="minorHAnsi" w:hAnsiTheme="minorHAnsi"/>
        </w:rPr>
        <w:t>Available online at: https://www.ilo.org/ilc/ILCSessions/101stSession/texts-adopted/WCMS_185950/lang--en/index.htm</w:t>
      </w:r>
    </w:p>
  </w:footnote>
  <w:footnote w:id="3">
    <w:p w14:paraId="44094684" w14:textId="77777777" w:rsidR="007B7DFA" w:rsidRDefault="007B7DFA" w:rsidP="007B7DFA">
      <w:pPr>
        <w:pStyle w:val="FootnoteText"/>
        <w:rPr>
          <w:rFonts w:asciiTheme="minorHAnsi" w:hAnsiTheme="minorHAnsi"/>
        </w:rPr>
      </w:pPr>
      <w:r>
        <w:rPr>
          <w:rStyle w:val="FootnoteReference"/>
          <w:rFonts w:asciiTheme="minorHAnsi" w:hAnsiTheme="minorHAnsi"/>
        </w:rPr>
        <w:footnoteRef/>
      </w:r>
      <w:r>
        <w:rPr>
          <w:rFonts w:asciiTheme="minorHAnsi" w:hAnsiTheme="minorHAnsi"/>
        </w:rPr>
        <w:t xml:space="preserve"> https://www.ilo.org/ilc/ILCSessions/98thSession/texts/WCMS_115076/lang--en/index.htm</w:t>
      </w:r>
    </w:p>
  </w:footnote>
  <w:footnote w:id="4">
    <w:p w14:paraId="32E31F14" w14:textId="77777777" w:rsidR="007B7DFA" w:rsidRDefault="007B7DFA" w:rsidP="007B7DFA">
      <w:pPr>
        <w:pStyle w:val="FootnoteText"/>
        <w:rPr>
          <w:rFonts w:asciiTheme="minorHAnsi" w:hAnsiTheme="minorHAnsi"/>
          <w:u w:val="single"/>
        </w:rPr>
      </w:pPr>
      <w:r>
        <w:rPr>
          <w:rStyle w:val="FootnoteReference"/>
          <w:rFonts w:asciiTheme="minorHAnsi" w:hAnsiTheme="minorHAnsi"/>
        </w:rPr>
        <w:footnoteRef/>
      </w:r>
      <w:r>
        <w:rPr>
          <w:rFonts w:asciiTheme="minorHAnsi" w:hAnsiTheme="minorHAnsi"/>
        </w:rPr>
        <w:t xml:space="preserve"> </w:t>
      </w:r>
      <w:hyperlink r:id="rId1" w:history="1">
        <w:r>
          <w:rPr>
            <w:rStyle w:val="Hyperlink"/>
            <w:rFonts w:asciiTheme="minorHAnsi" w:eastAsiaTheme="majorEastAsia" w:hAnsiTheme="minorHAnsi"/>
            <w:bCs/>
            <w:shd w:val="clear" w:color="auto" w:fill="FFFFFF"/>
          </w:rPr>
          <w:t>http://www.ilo.org/dyn/youthpol/en/f?p=30850:1001:0::NO</w:t>
        </w:r>
      </w:hyperlink>
      <w:r>
        <w:rPr>
          <w:rFonts w:asciiTheme="minorHAnsi" w:hAnsiTheme="minorHAnsi"/>
          <w:bCs/>
          <w:u w:val="single"/>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89FCFE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34D3B">
      <w:rPr>
        <w:color w:val="404040" w:themeColor="text1" w:themeTint="BF"/>
        <w:sz w:val="18"/>
        <w:szCs w:val="18"/>
      </w:rPr>
      <w:t>2025</w:t>
    </w:r>
    <w:r w:rsidR="00534593">
      <w:rPr>
        <w:color w:val="404040" w:themeColor="text1" w:themeTint="BF"/>
        <w:sz w:val="18"/>
        <w:szCs w:val="18"/>
      </w:rPr>
      <w:t>-</w:t>
    </w:r>
    <w:r w:rsidR="00B34D3B">
      <w:rPr>
        <w:color w:val="404040" w:themeColor="text1" w:themeTint="BF"/>
        <w:sz w:val="18"/>
        <w:szCs w:val="18"/>
      </w:rPr>
      <w:t>03</w:t>
    </w:r>
    <w:r w:rsidR="00534593">
      <w:rPr>
        <w:color w:val="404040" w:themeColor="text1" w:themeTint="BF"/>
        <w:sz w:val="18"/>
        <w:szCs w:val="18"/>
      </w:rPr>
      <w:t>-</w:t>
    </w:r>
    <w:r w:rsidR="00B34D3B">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1AB4"/>
    <w:multiLevelType w:val="multilevel"/>
    <w:tmpl w:val="54A263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D31C13"/>
    <w:multiLevelType w:val="multilevel"/>
    <w:tmpl w:val="8CF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F3485"/>
    <w:multiLevelType w:val="hybridMultilevel"/>
    <w:tmpl w:val="1A50AD7C"/>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2A48AA"/>
    <w:multiLevelType w:val="hybridMultilevel"/>
    <w:tmpl w:val="705866A0"/>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DC259E3"/>
    <w:multiLevelType w:val="multilevel"/>
    <w:tmpl w:val="29201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76C5B"/>
    <w:multiLevelType w:val="multilevel"/>
    <w:tmpl w:val="7234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A2B0B"/>
    <w:multiLevelType w:val="multilevel"/>
    <w:tmpl w:val="DFCC28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C630A0"/>
    <w:multiLevelType w:val="multilevel"/>
    <w:tmpl w:val="43C0A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3643CA"/>
    <w:multiLevelType w:val="multilevel"/>
    <w:tmpl w:val="C26A12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DB7AA5"/>
    <w:multiLevelType w:val="multilevel"/>
    <w:tmpl w:val="D604F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1B0D4C"/>
    <w:multiLevelType w:val="multilevel"/>
    <w:tmpl w:val="A9827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9C34DB"/>
    <w:multiLevelType w:val="hybridMultilevel"/>
    <w:tmpl w:val="D02CA358"/>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93767"/>
    <w:multiLevelType w:val="hybridMultilevel"/>
    <w:tmpl w:val="506A78B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7EF169B"/>
    <w:multiLevelType w:val="multilevel"/>
    <w:tmpl w:val="D02A7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8C2445"/>
    <w:multiLevelType w:val="multilevel"/>
    <w:tmpl w:val="3CF61C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DCF725D"/>
    <w:multiLevelType w:val="hybridMultilevel"/>
    <w:tmpl w:val="5E543C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713427FB"/>
    <w:multiLevelType w:val="multilevel"/>
    <w:tmpl w:val="FD9E2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BE1521"/>
    <w:multiLevelType w:val="hybridMultilevel"/>
    <w:tmpl w:val="3500C756"/>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371565025">
    <w:abstractNumId w:val="14"/>
  </w:num>
  <w:num w:numId="2" w16cid:durableId="1360619868">
    <w:abstractNumId w:val="5"/>
  </w:num>
  <w:num w:numId="3" w16cid:durableId="138769080">
    <w:abstractNumId w:val="20"/>
  </w:num>
  <w:num w:numId="4" w16cid:durableId="1655987318">
    <w:abstractNumId w:val="8"/>
  </w:num>
  <w:num w:numId="5" w16cid:durableId="2106916926">
    <w:abstractNumId w:val="19"/>
  </w:num>
  <w:num w:numId="6" w16cid:durableId="907106627">
    <w:abstractNumId w:val="4"/>
  </w:num>
  <w:num w:numId="7" w16cid:durableId="756562942">
    <w:abstractNumId w:val="17"/>
  </w:num>
  <w:num w:numId="8" w16cid:durableId="35132059">
    <w:abstractNumId w:val="11"/>
  </w:num>
  <w:num w:numId="9" w16cid:durableId="597299101">
    <w:abstractNumId w:val="10"/>
  </w:num>
  <w:num w:numId="10" w16cid:durableId="1599363303">
    <w:abstractNumId w:val="9"/>
  </w:num>
  <w:num w:numId="11" w16cid:durableId="1282805504">
    <w:abstractNumId w:val="16"/>
  </w:num>
  <w:num w:numId="12" w16cid:durableId="456996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6">
    <w:abstractNumId w:val="15"/>
  </w:num>
  <w:num w:numId="14" w16cid:durableId="251935788">
    <w:abstractNumId w:val="13"/>
  </w:num>
  <w:num w:numId="15" w16cid:durableId="1108350786">
    <w:abstractNumId w:val="2"/>
  </w:num>
  <w:num w:numId="16" w16cid:durableId="9342861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89392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211386">
    <w:abstractNumId w:val="12"/>
  </w:num>
  <w:num w:numId="19" w16cid:durableId="481510110">
    <w:abstractNumId w:val="7"/>
  </w:num>
  <w:num w:numId="20" w16cid:durableId="1851597758">
    <w:abstractNumId w:val="0"/>
  </w:num>
  <w:num w:numId="21" w16cid:durableId="1883714997">
    <w:abstractNumId w:val="1"/>
  </w:num>
  <w:num w:numId="22" w16cid:durableId="1325624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5B68"/>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E56A2"/>
    <w:rsid w:val="000F703E"/>
    <w:rsid w:val="00116C62"/>
    <w:rsid w:val="00120E86"/>
    <w:rsid w:val="00125DE9"/>
    <w:rsid w:val="001332E0"/>
    <w:rsid w:val="00134DE7"/>
    <w:rsid w:val="00185354"/>
    <w:rsid w:val="001854DC"/>
    <w:rsid w:val="00186795"/>
    <w:rsid w:val="00194D09"/>
    <w:rsid w:val="001A24A1"/>
    <w:rsid w:val="001A7D5C"/>
    <w:rsid w:val="001B60AA"/>
    <w:rsid w:val="001B63C8"/>
    <w:rsid w:val="001C1972"/>
    <w:rsid w:val="001C421F"/>
    <w:rsid w:val="001C4AD6"/>
    <w:rsid w:val="001D360D"/>
    <w:rsid w:val="001D58F9"/>
    <w:rsid w:val="00225D24"/>
    <w:rsid w:val="00261A8D"/>
    <w:rsid w:val="00283C1C"/>
    <w:rsid w:val="00291A00"/>
    <w:rsid w:val="00291A11"/>
    <w:rsid w:val="002955B4"/>
    <w:rsid w:val="002A315C"/>
    <w:rsid w:val="002A3342"/>
    <w:rsid w:val="002A64BA"/>
    <w:rsid w:val="002B4989"/>
    <w:rsid w:val="002C2510"/>
    <w:rsid w:val="002C2A03"/>
    <w:rsid w:val="002D67D6"/>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6D02"/>
    <w:rsid w:val="003F7A02"/>
    <w:rsid w:val="00422EA5"/>
    <w:rsid w:val="00422EFA"/>
    <w:rsid w:val="0042791F"/>
    <w:rsid w:val="004456ED"/>
    <w:rsid w:val="004462E4"/>
    <w:rsid w:val="00464B93"/>
    <w:rsid w:val="0048045A"/>
    <w:rsid w:val="004841B8"/>
    <w:rsid w:val="004930F2"/>
    <w:rsid w:val="004B0D06"/>
    <w:rsid w:val="004B0F1C"/>
    <w:rsid w:val="004C10AF"/>
    <w:rsid w:val="004F2EE6"/>
    <w:rsid w:val="00502DBA"/>
    <w:rsid w:val="005040C4"/>
    <w:rsid w:val="00507637"/>
    <w:rsid w:val="00507852"/>
    <w:rsid w:val="00514DBF"/>
    <w:rsid w:val="00531C14"/>
    <w:rsid w:val="00534593"/>
    <w:rsid w:val="00537DC8"/>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160D"/>
    <w:rsid w:val="006351E1"/>
    <w:rsid w:val="006447B1"/>
    <w:rsid w:val="00662775"/>
    <w:rsid w:val="006852FC"/>
    <w:rsid w:val="006A7FE0"/>
    <w:rsid w:val="006B40AB"/>
    <w:rsid w:val="006B5DC5"/>
    <w:rsid w:val="006C4BFD"/>
    <w:rsid w:val="006C7D30"/>
    <w:rsid w:val="006E3C08"/>
    <w:rsid w:val="00700ACF"/>
    <w:rsid w:val="00712487"/>
    <w:rsid w:val="007530CA"/>
    <w:rsid w:val="00756D68"/>
    <w:rsid w:val="007578D9"/>
    <w:rsid w:val="00757E8A"/>
    <w:rsid w:val="00760F76"/>
    <w:rsid w:val="00763E43"/>
    <w:rsid w:val="00764EB5"/>
    <w:rsid w:val="00772F52"/>
    <w:rsid w:val="00777A95"/>
    <w:rsid w:val="00782416"/>
    <w:rsid w:val="007B0364"/>
    <w:rsid w:val="007B7DFA"/>
    <w:rsid w:val="007C261A"/>
    <w:rsid w:val="007D0981"/>
    <w:rsid w:val="007D1929"/>
    <w:rsid w:val="00803CF1"/>
    <w:rsid w:val="008104BB"/>
    <w:rsid w:val="008249C5"/>
    <w:rsid w:val="008526F9"/>
    <w:rsid w:val="0085285E"/>
    <w:rsid w:val="00853023"/>
    <w:rsid w:val="008534D4"/>
    <w:rsid w:val="00881E28"/>
    <w:rsid w:val="00894C4B"/>
    <w:rsid w:val="008974FC"/>
    <w:rsid w:val="008A12E3"/>
    <w:rsid w:val="008A42FA"/>
    <w:rsid w:val="008B0AC7"/>
    <w:rsid w:val="008C2335"/>
    <w:rsid w:val="008C67C1"/>
    <w:rsid w:val="008C7898"/>
    <w:rsid w:val="008D1D39"/>
    <w:rsid w:val="008F07D2"/>
    <w:rsid w:val="009106E0"/>
    <w:rsid w:val="00917267"/>
    <w:rsid w:val="00917851"/>
    <w:rsid w:val="00917F65"/>
    <w:rsid w:val="009311E7"/>
    <w:rsid w:val="00942694"/>
    <w:rsid w:val="009A7E3A"/>
    <w:rsid w:val="009B1265"/>
    <w:rsid w:val="009B4A15"/>
    <w:rsid w:val="009B5693"/>
    <w:rsid w:val="009C61A2"/>
    <w:rsid w:val="009C78E4"/>
    <w:rsid w:val="009D687E"/>
    <w:rsid w:val="009E5066"/>
    <w:rsid w:val="009F6DE7"/>
    <w:rsid w:val="00A10583"/>
    <w:rsid w:val="00A25D60"/>
    <w:rsid w:val="00A37FCB"/>
    <w:rsid w:val="00A47006"/>
    <w:rsid w:val="00A54863"/>
    <w:rsid w:val="00A61D74"/>
    <w:rsid w:val="00A660AA"/>
    <w:rsid w:val="00A71EE1"/>
    <w:rsid w:val="00A8688B"/>
    <w:rsid w:val="00A91163"/>
    <w:rsid w:val="00A9286F"/>
    <w:rsid w:val="00A96255"/>
    <w:rsid w:val="00A96AE5"/>
    <w:rsid w:val="00AA3044"/>
    <w:rsid w:val="00AB285B"/>
    <w:rsid w:val="00AD2D69"/>
    <w:rsid w:val="00AF5552"/>
    <w:rsid w:val="00AF5CB4"/>
    <w:rsid w:val="00AF5ED1"/>
    <w:rsid w:val="00AF71D6"/>
    <w:rsid w:val="00B05272"/>
    <w:rsid w:val="00B216EE"/>
    <w:rsid w:val="00B3175F"/>
    <w:rsid w:val="00B31E2C"/>
    <w:rsid w:val="00B329B0"/>
    <w:rsid w:val="00B33CDE"/>
    <w:rsid w:val="00B34D3B"/>
    <w:rsid w:val="00B402D8"/>
    <w:rsid w:val="00B4237C"/>
    <w:rsid w:val="00B42FE8"/>
    <w:rsid w:val="00B52AFD"/>
    <w:rsid w:val="00B54077"/>
    <w:rsid w:val="00B728DE"/>
    <w:rsid w:val="00B8087E"/>
    <w:rsid w:val="00BB646E"/>
    <w:rsid w:val="00BD1BA1"/>
    <w:rsid w:val="00BE7679"/>
    <w:rsid w:val="00BF3B88"/>
    <w:rsid w:val="00C019E5"/>
    <w:rsid w:val="00C159F2"/>
    <w:rsid w:val="00C35BC4"/>
    <w:rsid w:val="00C367BB"/>
    <w:rsid w:val="00C43F5B"/>
    <w:rsid w:val="00CB01B5"/>
    <w:rsid w:val="00CB4371"/>
    <w:rsid w:val="00CC516D"/>
    <w:rsid w:val="00D24330"/>
    <w:rsid w:val="00D31E61"/>
    <w:rsid w:val="00D40056"/>
    <w:rsid w:val="00D51E7C"/>
    <w:rsid w:val="00D54F29"/>
    <w:rsid w:val="00D7020C"/>
    <w:rsid w:val="00D70AD9"/>
    <w:rsid w:val="00D72152"/>
    <w:rsid w:val="00D94BA5"/>
    <w:rsid w:val="00D9510F"/>
    <w:rsid w:val="00DA615C"/>
    <w:rsid w:val="00DC1532"/>
    <w:rsid w:val="00DC2E73"/>
    <w:rsid w:val="00DD1BC6"/>
    <w:rsid w:val="00DE5DC3"/>
    <w:rsid w:val="00E00D8A"/>
    <w:rsid w:val="00E1050F"/>
    <w:rsid w:val="00E11604"/>
    <w:rsid w:val="00E11D92"/>
    <w:rsid w:val="00E130A0"/>
    <w:rsid w:val="00E210C4"/>
    <w:rsid w:val="00E23DB7"/>
    <w:rsid w:val="00E339CC"/>
    <w:rsid w:val="00E46D96"/>
    <w:rsid w:val="00E52CCA"/>
    <w:rsid w:val="00E66409"/>
    <w:rsid w:val="00E81D5B"/>
    <w:rsid w:val="00E976B9"/>
    <w:rsid w:val="00EA05D3"/>
    <w:rsid w:val="00EB19AD"/>
    <w:rsid w:val="00EB2F31"/>
    <w:rsid w:val="00EB6493"/>
    <w:rsid w:val="00EC2915"/>
    <w:rsid w:val="00ED05A9"/>
    <w:rsid w:val="00ED1BA0"/>
    <w:rsid w:val="00EF6AD6"/>
    <w:rsid w:val="00F1500E"/>
    <w:rsid w:val="00F17257"/>
    <w:rsid w:val="00F34D24"/>
    <w:rsid w:val="00F4130B"/>
    <w:rsid w:val="00F556A2"/>
    <w:rsid w:val="00F719A8"/>
    <w:rsid w:val="00F878B9"/>
    <w:rsid w:val="00FB24E8"/>
    <w:rsid w:val="00FB3B2B"/>
    <w:rsid w:val="00FC18DA"/>
    <w:rsid w:val="00FC3917"/>
    <w:rsid w:val="00FD60DA"/>
    <w:rsid w:val="00FF07B4"/>
    <w:rsid w:val="00FF444C"/>
    <w:rsid w:val="0F926893"/>
    <w:rsid w:val="392CBC0F"/>
    <w:rsid w:val="4B126CCD"/>
    <w:rsid w:val="6E02C77A"/>
    <w:rsid w:val="7EAFBD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B7DFA"/>
  </w:style>
  <w:style w:type="character" w:customStyle="1" w:styleId="eop">
    <w:name w:val="eop"/>
    <w:basedOn w:val="DefaultParagraphFont"/>
    <w:rsid w:val="007B7DFA"/>
  </w:style>
  <w:style w:type="paragraph" w:customStyle="1" w:styleId="paragraph">
    <w:name w:val="paragraph"/>
    <w:basedOn w:val="Normal"/>
    <w:rsid w:val="007B7DF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7B7DFA"/>
  </w:style>
  <w:style w:type="paragraph" w:styleId="FootnoteText">
    <w:name w:val="footnote text"/>
    <w:basedOn w:val="Normal"/>
    <w:link w:val="FootnoteTextChar"/>
    <w:uiPriority w:val="99"/>
    <w:semiHidden/>
    <w:unhideWhenUsed/>
    <w:rsid w:val="007B7DFA"/>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7B7DF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7B7DFA"/>
    <w:rPr>
      <w:vertAlign w:val="superscript"/>
    </w:rPr>
  </w:style>
  <w:style w:type="paragraph" w:styleId="Revision">
    <w:name w:val="Revision"/>
    <w:hidden/>
    <w:uiPriority w:val="99"/>
    <w:semiHidden/>
    <w:rsid w:val="00A96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04020">
      <w:bodyDiv w:val="1"/>
      <w:marLeft w:val="0"/>
      <w:marRight w:val="0"/>
      <w:marTop w:val="0"/>
      <w:marBottom w:val="0"/>
      <w:divBdr>
        <w:top w:val="none" w:sz="0" w:space="0" w:color="auto"/>
        <w:left w:val="none" w:sz="0" w:space="0" w:color="auto"/>
        <w:bottom w:val="none" w:sz="0" w:space="0" w:color="auto"/>
        <w:right w:val="none" w:sz="0" w:space="0" w:color="auto"/>
      </w:divBdr>
      <w:divsChild>
        <w:div w:id="1872913262">
          <w:marLeft w:val="0"/>
          <w:marRight w:val="0"/>
          <w:marTop w:val="0"/>
          <w:marBottom w:val="0"/>
          <w:divBdr>
            <w:top w:val="none" w:sz="0" w:space="0" w:color="auto"/>
            <w:left w:val="none" w:sz="0" w:space="0" w:color="auto"/>
            <w:bottom w:val="none" w:sz="0" w:space="0" w:color="auto"/>
            <w:right w:val="none" w:sz="0" w:space="0" w:color="auto"/>
          </w:divBdr>
        </w:div>
        <w:div w:id="601227910">
          <w:marLeft w:val="0"/>
          <w:marRight w:val="0"/>
          <w:marTop w:val="0"/>
          <w:marBottom w:val="0"/>
          <w:divBdr>
            <w:top w:val="none" w:sz="0" w:space="0" w:color="auto"/>
            <w:left w:val="none" w:sz="0" w:space="0" w:color="auto"/>
            <w:bottom w:val="none" w:sz="0" w:space="0" w:color="auto"/>
            <w:right w:val="none" w:sz="0" w:space="0" w:color="auto"/>
          </w:divBdr>
        </w:div>
        <w:div w:id="1191071451">
          <w:marLeft w:val="0"/>
          <w:marRight w:val="0"/>
          <w:marTop w:val="0"/>
          <w:marBottom w:val="0"/>
          <w:divBdr>
            <w:top w:val="none" w:sz="0" w:space="0" w:color="auto"/>
            <w:left w:val="none" w:sz="0" w:space="0" w:color="auto"/>
            <w:bottom w:val="none" w:sz="0" w:space="0" w:color="auto"/>
            <w:right w:val="none" w:sz="0" w:space="0" w:color="auto"/>
          </w:divBdr>
        </w:div>
        <w:div w:id="1266033013">
          <w:marLeft w:val="0"/>
          <w:marRight w:val="0"/>
          <w:marTop w:val="0"/>
          <w:marBottom w:val="0"/>
          <w:divBdr>
            <w:top w:val="none" w:sz="0" w:space="0" w:color="auto"/>
            <w:left w:val="none" w:sz="0" w:space="0" w:color="auto"/>
            <w:bottom w:val="none" w:sz="0" w:space="0" w:color="auto"/>
            <w:right w:val="none" w:sz="0" w:space="0" w:color="auto"/>
          </w:divBdr>
        </w:div>
        <w:div w:id="242690982">
          <w:marLeft w:val="0"/>
          <w:marRight w:val="0"/>
          <w:marTop w:val="0"/>
          <w:marBottom w:val="0"/>
          <w:divBdr>
            <w:top w:val="none" w:sz="0" w:space="0" w:color="auto"/>
            <w:left w:val="none" w:sz="0" w:space="0" w:color="auto"/>
            <w:bottom w:val="none" w:sz="0" w:space="0" w:color="auto"/>
            <w:right w:val="none" w:sz="0" w:space="0" w:color="auto"/>
          </w:divBdr>
        </w:div>
      </w:divsChild>
    </w:div>
    <w:div w:id="484470725">
      <w:bodyDiv w:val="1"/>
      <w:marLeft w:val="0"/>
      <w:marRight w:val="0"/>
      <w:marTop w:val="0"/>
      <w:marBottom w:val="0"/>
      <w:divBdr>
        <w:top w:val="none" w:sz="0" w:space="0" w:color="auto"/>
        <w:left w:val="none" w:sz="0" w:space="0" w:color="auto"/>
        <w:bottom w:val="none" w:sz="0" w:space="0" w:color="auto"/>
        <w:right w:val="none" w:sz="0" w:space="0" w:color="auto"/>
      </w:divBdr>
      <w:divsChild>
        <w:div w:id="1404834797">
          <w:marLeft w:val="0"/>
          <w:marRight w:val="0"/>
          <w:marTop w:val="0"/>
          <w:marBottom w:val="0"/>
          <w:divBdr>
            <w:top w:val="none" w:sz="0" w:space="0" w:color="auto"/>
            <w:left w:val="none" w:sz="0" w:space="0" w:color="auto"/>
            <w:bottom w:val="none" w:sz="0" w:space="0" w:color="auto"/>
            <w:right w:val="none" w:sz="0" w:space="0" w:color="auto"/>
          </w:divBdr>
          <w:divsChild>
            <w:div w:id="930238169">
              <w:marLeft w:val="0"/>
              <w:marRight w:val="0"/>
              <w:marTop w:val="0"/>
              <w:marBottom w:val="0"/>
              <w:divBdr>
                <w:top w:val="none" w:sz="0" w:space="0" w:color="auto"/>
                <w:left w:val="none" w:sz="0" w:space="0" w:color="auto"/>
                <w:bottom w:val="none" w:sz="0" w:space="0" w:color="auto"/>
                <w:right w:val="none" w:sz="0" w:space="0" w:color="auto"/>
              </w:divBdr>
            </w:div>
            <w:div w:id="1613853418">
              <w:marLeft w:val="0"/>
              <w:marRight w:val="0"/>
              <w:marTop w:val="0"/>
              <w:marBottom w:val="0"/>
              <w:divBdr>
                <w:top w:val="none" w:sz="0" w:space="0" w:color="auto"/>
                <w:left w:val="none" w:sz="0" w:space="0" w:color="auto"/>
                <w:bottom w:val="none" w:sz="0" w:space="0" w:color="auto"/>
                <w:right w:val="none" w:sz="0" w:space="0" w:color="auto"/>
              </w:divBdr>
            </w:div>
            <w:div w:id="1059943664">
              <w:marLeft w:val="0"/>
              <w:marRight w:val="0"/>
              <w:marTop w:val="0"/>
              <w:marBottom w:val="0"/>
              <w:divBdr>
                <w:top w:val="none" w:sz="0" w:space="0" w:color="auto"/>
                <w:left w:val="none" w:sz="0" w:space="0" w:color="auto"/>
                <w:bottom w:val="none" w:sz="0" w:space="0" w:color="auto"/>
                <w:right w:val="none" w:sz="0" w:space="0" w:color="auto"/>
              </w:divBdr>
            </w:div>
          </w:divsChild>
        </w:div>
        <w:div w:id="1736590093">
          <w:marLeft w:val="0"/>
          <w:marRight w:val="0"/>
          <w:marTop w:val="0"/>
          <w:marBottom w:val="0"/>
          <w:divBdr>
            <w:top w:val="none" w:sz="0" w:space="0" w:color="auto"/>
            <w:left w:val="none" w:sz="0" w:space="0" w:color="auto"/>
            <w:bottom w:val="none" w:sz="0" w:space="0" w:color="auto"/>
            <w:right w:val="none" w:sz="0" w:space="0" w:color="auto"/>
          </w:divBdr>
          <w:divsChild>
            <w:div w:id="295768837">
              <w:marLeft w:val="0"/>
              <w:marRight w:val="0"/>
              <w:marTop w:val="0"/>
              <w:marBottom w:val="0"/>
              <w:divBdr>
                <w:top w:val="none" w:sz="0" w:space="0" w:color="auto"/>
                <w:left w:val="none" w:sz="0" w:space="0" w:color="auto"/>
                <w:bottom w:val="none" w:sz="0" w:space="0" w:color="auto"/>
                <w:right w:val="none" w:sz="0" w:space="0" w:color="auto"/>
              </w:divBdr>
            </w:div>
            <w:div w:id="508258693">
              <w:marLeft w:val="0"/>
              <w:marRight w:val="0"/>
              <w:marTop w:val="0"/>
              <w:marBottom w:val="0"/>
              <w:divBdr>
                <w:top w:val="none" w:sz="0" w:space="0" w:color="auto"/>
                <w:left w:val="none" w:sz="0" w:space="0" w:color="auto"/>
                <w:bottom w:val="none" w:sz="0" w:space="0" w:color="auto"/>
                <w:right w:val="none" w:sz="0" w:space="0" w:color="auto"/>
              </w:divBdr>
            </w:div>
            <w:div w:id="560287724">
              <w:marLeft w:val="0"/>
              <w:marRight w:val="0"/>
              <w:marTop w:val="0"/>
              <w:marBottom w:val="0"/>
              <w:divBdr>
                <w:top w:val="none" w:sz="0" w:space="0" w:color="auto"/>
                <w:left w:val="none" w:sz="0" w:space="0" w:color="auto"/>
                <w:bottom w:val="none" w:sz="0" w:space="0" w:color="auto"/>
                <w:right w:val="none" w:sz="0" w:space="0" w:color="auto"/>
              </w:divBdr>
            </w:div>
            <w:div w:id="349600436">
              <w:marLeft w:val="0"/>
              <w:marRight w:val="0"/>
              <w:marTop w:val="0"/>
              <w:marBottom w:val="0"/>
              <w:divBdr>
                <w:top w:val="none" w:sz="0" w:space="0" w:color="auto"/>
                <w:left w:val="none" w:sz="0" w:space="0" w:color="auto"/>
                <w:bottom w:val="none" w:sz="0" w:space="0" w:color="auto"/>
                <w:right w:val="none" w:sz="0" w:space="0" w:color="auto"/>
              </w:divBdr>
            </w:div>
          </w:divsChild>
        </w:div>
        <w:div w:id="747385300">
          <w:marLeft w:val="0"/>
          <w:marRight w:val="0"/>
          <w:marTop w:val="0"/>
          <w:marBottom w:val="0"/>
          <w:divBdr>
            <w:top w:val="none" w:sz="0" w:space="0" w:color="auto"/>
            <w:left w:val="none" w:sz="0" w:space="0" w:color="auto"/>
            <w:bottom w:val="none" w:sz="0" w:space="0" w:color="auto"/>
            <w:right w:val="none" w:sz="0" w:space="0" w:color="auto"/>
          </w:divBdr>
          <w:divsChild>
            <w:div w:id="15543633">
              <w:marLeft w:val="0"/>
              <w:marRight w:val="0"/>
              <w:marTop w:val="0"/>
              <w:marBottom w:val="0"/>
              <w:divBdr>
                <w:top w:val="none" w:sz="0" w:space="0" w:color="auto"/>
                <w:left w:val="none" w:sz="0" w:space="0" w:color="auto"/>
                <w:bottom w:val="none" w:sz="0" w:space="0" w:color="auto"/>
                <w:right w:val="none" w:sz="0" w:space="0" w:color="auto"/>
              </w:divBdr>
            </w:div>
            <w:div w:id="591859369">
              <w:marLeft w:val="0"/>
              <w:marRight w:val="0"/>
              <w:marTop w:val="0"/>
              <w:marBottom w:val="0"/>
              <w:divBdr>
                <w:top w:val="none" w:sz="0" w:space="0" w:color="auto"/>
                <w:left w:val="none" w:sz="0" w:space="0" w:color="auto"/>
                <w:bottom w:val="none" w:sz="0" w:space="0" w:color="auto"/>
                <w:right w:val="none" w:sz="0" w:space="0" w:color="auto"/>
              </w:divBdr>
            </w:div>
            <w:div w:id="20189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871">
      <w:bodyDiv w:val="1"/>
      <w:marLeft w:val="0"/>
      <w:marRight w:val="0"/>
      <w:marTop w:val="0"/>
      <w:marBottom w:val="0"/>
      <w:divBdr>
        <w:top w:val="none" w:sz="0" w:space="0" w:color="auto"/>
        <w:left w:val="none" w:sz="0" w:space="0" w:color="auto"/>
        <w:bottom w:val="none" w:sz="0" w:space="0" w:color="auto"/>
        <w:right w:val="none" w:sz="0" w:space="0" w:color="auto"/>
      </w:divBdr>
    </w:div>
    <w:div w:id="869731777">
      <w:bodyDiv w:val="1"/>
      <w:marLeft w:val="0"/>
      <w:marRight w:val="0"/>
      <w:marTop w:val="0"/>
      <w:marBottom w:val="0"/>
      <w:divBdr>
        <w:top w:val="none" w:sz="0" w:space="0" w:color="auto"/>
        <w:left w:val="none" w:sz="0" w:space="0" w:color="auto"/>
        <w:bottom w:val="none" w:sz="0" w:space="0" w:color="auto"/>
        <w:right w:val="none" w:sz="0" w:space="0" w:color="auto"/>
      </w:divBdr>
    </w:div>
    <w:div w:id="1042169808">
      <w:bodyDiv w:val="1"/>
      <w:marLeft w:val="0"/>
      <w:marRight w:val="0"/>
      <w:marTop w:val="0"/>
      <w:marBottom w:val="0"/>
      <w:divBdr>
        <w:top w:val="none" w:sz="0" w:space="0" w:color="auto"/>
        <w:left w:val="none" w:sz="0" w:space="0" w:color="auto"/>
        <w:bottom w:val="none" w:sz="0" w:space="0" w:color="auto"/>
        <w:right w:val="none" w:sz="0" w:space="0" w:color="auto"/>
      </w:divBdr>
      <w:divsChild>
        <w:div w:id="846822263">
          <w:marLeft w:val="0"/>
          <w:marRight w:val="0"/>
          <w:marTop w:val="0"/>
          <w:marBottom w:val="0"/>
          <w:divBdr>
            <w:top w:val="none" w:sz="0" w:space="0" w:color="auto"/>
            <w:left w:val="none" w:sz="0" w:space="0" w:color="auto"/>
            <w:bottom w:val="none" w:sz="0" w:space="0" w:color="auto"/>
            <w:right w:val="none" w:sz="0" w:space="0" w:color="auto"/>
          </w:divBdr>
        </w:div>
        <w:div w:id="849294743">
          <w:marLeft w:val="0"/>
          <w:marRight w:val="0"/>
          <w:marTop w:val="0"/>
          <w:marBottom w:val="0"/>
          <w:divBdr>
            <w:top w:val="none" w:sz="0" w:space="0" w:color="auto"/>
            <w:left w:val="none" w:sz="0" w:space="0" w:color="auto"/>
            <w:bottom w:val="none" w:sz="0" w:space="0" w:color="auto"/>
            <w:right w:val="none" w:sz="0" w:space="0" w:color="auto"/>
          </w:divBdr>
        </w:div>
        <w:div w:id="2000888309">
          <w:marLeft w:val="0"/>
          <w:marRight w:val="0"/>
          <w:marTop w:val="0"/>
          <w:marBottom w:val="0"/>
          <w:divBdr>
            <w:top w:val="none" w:sz="0" w:space="0" w:color="auto"/>
            <w:left w:val="none" w:sz="0" w:space="0" w:color="auto"/>
            <w:bottom w:val="none" w:sz="0" w:space="0" w:color="auto"/>
            <w:right w:val="none" w:sz="0" w:space="0" w:color="auto"/>
          </w:divBdr>
        </w:div>
        <w:div w:id="1069621903">
          <w:marLeft w:val="0"/>
          <w:marRight w:val="0"/>
          <w:marTop w:val="0"/>
          <w:marBottom w:val="0"/>
          <w:divBdr>
            <w:top w:val="none" w:sz="0" w:space="0" w:color="auto"/>
            <w:left w:val="none" w:sz="0" w:space="0" w:color="auto"/>
            <w:bottom w:val="none" w:sz="0" w:space="0" w:color="auto"/>
            <w:right w:val="none" w:sz="0" w:space="0" w:color="auto"/>
          </w:divBdr>
        </w:div>
        <w:div w:id="1209992497">
          <w:marLeft w:val="0"/>
          <w:marRight w:val="0"/>
          <w:marTop w:val="0"/>
          <w:marBottom w:val="0"/>
          <w:divBdr>
            <w:top w:val="none" w:sz="0" w:space="0" w:color="auto"/>
            <w:left w:val="none" w:sz="0" w:space="0" w:color="auto"/>
            <w:bottom w:val="none" w:sz="0" w:space="0" w:color="auto"/>
            <w:right w:val="none" w:sz="0" w:space="0" w:color="auto"/>
          </w:divBdr>
        </w:div>
        <w:div w:id="58322341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4911915">
      <w:bodyDiv w:val="1"/>
      <w:marLeft w:val="0"/>
      <w:marRight w:val="0"/>
      <w:marTop w:val="0"/>
      <w:marBottom w:val="0"/>
      <w:divBdr>
        <w:top w:val="none" w:sz="0" w:space="0" w:color="auto"/>
        <w:left w:val="none" w:sz="0" w:space="0" w:color="auto"/>
        <w:bottom w:val="none" w:sz="0" w:space="0" w:color="auto"/>
        <w:right w:val="none" w:sz="0" w:space="0" w:color="auto"/>
      </w:divBdr>
      <w:divsChild>
        <w:div w:id="1492060862">
          <w:marLeft w:val="0"/>
          <w:marRight w:val="0"/>
          <w:marTop w:val="0"/>
          <w:marBottom w:val="0"/>
          <w:divBdr>
            <w:top w:val="none" w:sz="0" w:space="0" w:color="auto"/>
            <w:left w:val="none" w:sz="0" w:space="0" w:color="auto"/>
            <w:bottom w:val="none" w:sz="0" w:space="0" w:color="auto"/>
            <w:right w:val="none" w:sz="0" w:space="0" w:color="auto"/>
          </w:divBdr>
          <w:divsChild>
            <w:div w:id="322048063">
              <w:marLeft w:val="0"/>
              <w:marRight w:val="0"/>
              <w:marTop w:val="0"/>
              <w:marBottom w:val="0"/>
              <w:divBdr>
                <w:top w:val="none" w:sz="0" w:space="0" w:color="auto"/>
                <w:left w:val="none" w:sz="0" w:space="0" w:color="auto"/>
                <w:bottom w:val="none" w:sz="0" w:space="0" w:color="auto"/>
                <w:right w:val="none" w:sz="0" w:space="0" w:color="auto"/>
              </w:divBdr>
            </w:div>
          </w:divsChild>
        </w:div>
        <w:div w:id="128672440">
          <w:marLeft w:val="0"/>
          <w:marRight w:val="0"/>
          <w:marTop w:val="0"/>
          <w:marBottom w:val="0"/>
          <w:divBdr>
            <w:top w:val="none" w:sz="0" w:space="0" w:color="auto"/>
            <w:left w:val="none" w:sz="0" w:space="0" w:color="auto"/>
            <w:bottom w:val="none" w:sz="0" w:space="0" w:color="auto"/>
            <w:right w:val="none" w:sz="0" w:space="0" w:color="auto"/>
          </w:divBdr>
          <w:divsChild>
            <w:div w:id="306906549">
              <w:marLeft w:val="0"/>
              <w:marRight w:val="0"/>
              <w:marTop w:val="0"/>
              <w:marBottom w:val="0"/>
              <w:divBdr>
                <w:top w:val="none" w:sz="0" w:space="0" w:color="auto"/>
                <w:left w:val="none" w:sz="0" w:space="0" w:color="auto"/>
                <w:bottom w:val="none" w:sz="0" w:space="0" w:color="auto"/>
                <w:right w:val="none" w:sz="0" w:space="0" w:color="auto"/>
              </w:divBdr>
            </w:div>
            <w:div w:id="18640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0154879">
      <w:bodyDiv w:val="1"/>
      <w:marLeft w:val="0"/>
      <w:marRight w:val="0"/>
      <w:marTop w:val="0"/>
      <w:marBottom w:val="0"/>
      <w:divBdr>
        <w:top w:val="none" w:sz="0" w:space="0" w:color="auto"/>
        <w:left w:val="none" w:sz="0" w:space="0" w:color="auto"/>
        <w:bottom w:val="none" w:sz="0" w:space="0" w:color="auto"/>
        <w:right w:val="none" w:sz="0" w:space="0" w:color="auto"/>
      </w:divBdr>
    </w:div>
    <w:div w:id="1909606812">
      <w:bodyDiv w:val="1"/>
      <w:marLeft w:val="0"/>
      <w:marRight w:val="0"/>
      <w:marTop w:val="0"/>
      <w:marBottom w:val="0"/>
      <w:divBdr>
        <w:top w:val="none" w:sz="0" w:space="0" w:color="auto"/>
        <w:left w:val="none" w:sz="0" w:space="0" w:color="auto"/>
        <w:bottom w:val="none" w:sz="0" w:space="0" w:color="auto"/>
        <w:right w:val="none" w:sz="0" w:space="0" w:color="auto"/>
      </w:divBdr>
      <w:divsChild>
        <w:div w:id="1497527150">
          <w:marLeft w:val="0"/>
          <w:marRight w:val="0"/>
          <w:marTop w:val="0"/>
          <w:marBottom w:val="0"/>
          <w:divBdr>
            <w:top w:val="none" w:sz="0" w:space="0" w:color="auto"/>
            <w:left w:val="none" w:sz="0" w:space="0" w:color="auto"/>
            <w:bottom w:val="none" w:sz="0" w:space="0" w:color="auto"/>
            <w:right w:val="none" w:sz="0" w:space="0" w:color="auto"/>
          </w:divBdr>
          <w:divsChild>
            <w:div w:id="906067651">
              <w:marLeft w:val="0"/>
              <w:marRight w:val="0"/>
              <w:marTop w:val="0"/>
              <w:marBottom w:val="0"/>
              <w:divBdr>
                <w:top w:val="none" w:sz="0" w:space="0" w:color="auto"/>
                <w:left w:val="none" w:sz="0" w:space="0" w:color="auto"/>
                <w:bottom w:val="none" w:sz="0" w:space="0" w:color="auto"/>
                <w:right w:val="none" w:sz="0" w:space="0" w:color="auto"/>
              </w:divBdr>
            </w:div>
            <w:div w:id="3633695">
              <w:marLeft w:val="0"/>
              <w:marRight w:val="0"/>
              <w:marTop w:val="0"/>
              <w:marBottom w:val="0"/>
              <w:divBdr>
                <w:top w:val="none" w:sz="0" w:space="0" w:color="auto"/>
                <w:left w:val="none" w:sz="0" w:space="0" w:color="auto"/>
                <w:bottom w:val="none" w:sz="0" w:space="0" w:color="auto"/>
                <w:right w:val="none" w:sz="0" w:space="0" w:color="auto"/>
              </w:divBdr>
            </w:div>
            <w:div w:id="849947988">
              <w:marLeft w:val="0"/>
              <w:marRight w:val="0"/>
              <w:marTop w:val="0"/>
              <w:marBottom w:val="0"/>
              <w:divBdr>
                <w:top w:val="none" w:sz="0" w:space="0" w:color="auto"/>
                <w:left w:val="none" w:sz="0" w:space="0" w:color="auto"/>
                <w:bottom w:val="none" w:sz="0" w:space="0" w:color="auto"/>
                <w:right w:val="none" w:sz="0" w:space="0" w:color="auto"/>
              </w:divBdr>
            </w:div>
            <w:div w:id="128401808">
              <w:marLeft w:val="0"/>
              <w:marRight w:val="0"/>
              <w:marTop w:val="0"/>
              <w:marBottom w:val="0"/>
              <w:divBdr>
                <w:top w:val="none" w:sz="0" w:space="0" w:color="auto"/>
                <w:left w:val="none" w:sz="0" w:space="0" w:color="auto"/>
                <w:bottom w:val="none" w:sz="0" w:space="0" w:color="auto"/>
                <w:right w:val="none" w:sz="0" w:space="0" w:color="auto"/>
              </w:divBdr>
            </w:div>
            <w:div w:id="1324821703">
              <w:marLeft w:val="0"/>
              <w:marRight w:val="0"/>
              <w:marTop w:val="0"/>
              <w:marBottom w:val="0"/>
              <w:divBdr>
                <w:top w:val="none" w:sz="0" w:space="0" w:color="auto"/>
                <w:left w:val="none" w:sz="0" w:space="0" w:color="auto"/>
                <w:bottom w:val="none" w:sz="0" w:space="0" w:color="auto"/>
                <w:right w:val="none" w:sz="0" w:space="0" w:color="auto"/>
              </w:divBdr>
            </w:div>
          </w:divsChild>
        </w:div>
        <w:div w:id="196249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lo.org/20thicl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dyn/youthpol/en/f?p=30850:1001:0::NO:::"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lo.org/dyn/youthpol/en/f?p=30850:1001:0::N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F4C98FB-2E9D-45D7-BACA-A619643AFA6B}"/>
      </w:docPartPr>
      <w:docPartBody>
        <w:p w:rsidR="00950CB0" w:rsidRDefault="00A11A5C">
          <w:r w:rsidRPr="001530E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5C"/>
    <w:rsid w:val="004462E4"/>
    <w:rsid w:val="007C261A"/>
    <w:rsid w:val="009446DD"/>
    <w:rsid w:val="00950CB0"/>
    <w:rsid w:val="00A11A5C"/>
    <w:rsid w:val="00AD2D69"/>
    <w:rsid w:val="00BF3B88"/>
    <w:rsid w:val="00D31E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A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www.w3.org/XML/1998/namespace"/>
    <ds:schemaRef ds:uri="http://purl.org/dc/terms/"/>
    <ds:schemaRef ds:uri="f2d2d782-0088-4826-96df-71eba56e6d2e"/>
    <ds:schemaRef ds:uri="http://schemas.microsoft.com/office/infopath/2007/PartnerControls"/>
    <ds:schemaRef ds:uri="http://purl.org/dc/elements/1.1/"/>
    <ds:schemaRef ds:uri="http://schemas.microsoft.com/office/2006/documentManagement/types"/>
    <ds:schemaRef ds:uri="d114b01d-ae01-4749-b845-9d88e7ef5c0e"/>
    <ds:schemaRef ds:uri="http://purl.org/dc/dcmityp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89E446C3-1847-4473-80F8-CBC06C8C9781}">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2025-04-01T04:20:00Z</cp:lastPrinted>
  <dcterms:created xsi:type="dcterms:W3CDTF">2025-03-12T20:43:00Z</dcterms:created>
  <dcterms:modified xsi:type="dcterms:W3CDTF">2025-04-01T04:21:00Z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