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2E2ED19A" w:rsidP="006C4BFD">
      <w:pPr>
        <w:spacing w:after="0"/>
        <w:jc w:val="center"/>
        <w:rPr>
          <w:rFonts w:cs="Calibri"/>
        </w:rPr>
      </w:pPr>
      <w:r w:rsidRPr="3B38542F">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6F882F53" w14:textId="60425DB9" w:rsidR="22E4B128" w:rsidRDefault="22E4B128" w:rsidP="5CE24B42">
      <w:pPr>
        <w:pStyle w:val="MIndHeader"/>
        <w:rPr>
          <w:rFonts w:ascii="Calibri" w:hAnsi="Calibri"/>
          <w:sz w:val="21"/>
          <w:szCs w:val="21"/>
        </w:rPr>
      </w:pPr>
      <w:r w:rsidRPr="5CE24B42">
        <w:rPr>
          <w:rFonts w:ascii="Calibri" w:eastAsia="Calibri" w:hAnsi="Calibri" w:cs="Calibri"/>
          <w:color w:val="444444"/>
          <w:sz w:val="21"/>
          <w:szCs w:val="21"/>
        </w:rPr>
        <w:t xml:space="preserve">Goal 8: Promote sustained, inclusive and sustainable economic growth, full and productive employment and decent work for </w:t>
      </w:r>
      <w:proofErr w:type="gramStart"/>
      <w:r w:rsidRPr="5CE24B42">
        <w:rPr>
          <w:rFonts w:ascii="Calibri" w:eastAsia="Calibri" w:hAnsi="Calibri" w:cs="Calibri"/>
          <w:color w:val="444444"/>
          <w:sz w:val="21"/>
          <w:szCs w:val="21"/>
        </w:rPr>
        <w:t>all</w:t>
      </w:r>
      <w:proofErr w:type="gramEnd"/>
    </w:p>
    <w:p w14:paraId="084142D2" w14:textId="44AF0D72" w:rsidR="00D24330" w:rsidRPr="00A96255" w:rsidRDefault="00D24330" w:rsidP="00D24330">
      <w:pPr>
        <w:pStyle w:val="MIndHeader"/>
      </w:pPr>
      <w:r>
        <w:t xml:space="preserve">0.b. Target </w:t>
      </w:r>
      <w:r>
        <w:rPr>
          <w:color w:val="B4B4B4"/>
          <w:sz w:val="20"/>
        </w:rPr>
        <w:t>(SDG_TARGET)</w:t>
      </w:r>
    </w:p>
    <w:p w14:paraId="5054FCDC" w14:textId="5EAF93E7" w:rsidR="117E5D20" w:rsidRDefault="117E5D20" w:rsidP="5CE24B42">
      <w:pPr>
        <w:pStyle w:val="MIndHeader"/>
        <w:rPr>
          <w:rFonts w:ascii="Calibri" w:hAnsi="Calibri"/>
          <w:sz w:val="21"/>
          <w:szCs w:val="21"/>
        </w:rPr>
      </w:pPr>
      <w:r w:rsidRPr="5CE24B42">
        <w:rPr>
          <w:rFonts w:ascii="Calibri" w:eastAsia="Calibri" w:hAnsi="Calibri" w:cs="Calibri"/>
          <w:color w:val="444444"/>
          <w:sz w:val="21"/>
          <w:szCs w:val="21"/>
        </w:rPr>
        <w:t xml:space="preserve">Target 8.10: Strengthen the capacity of domestic financial institutions to encourage and expand access to banking, insurance and financial services for </w:t>
      </w:r>
      <w:proofErr w:type="gramStart"/>
      <w:r w:rsidRPr="5CE24B42">
        <w:rPr>
          <w:rFonts w:ascii="Calibri" w:eastAsia="Calibri" w:hAnsi="Calibri" w:cs="Calibri"/>
          <w:color w:val="444444"/>
          <w:sz w:val="21"/>
          <w:szCs w:val="21"/>
        </w:rPr>
        <w:t>all</w:t>
      </w:r>
      <w:proofErr w:type="gramEnd"/>
    </w:p>
    <w:p w14:paraId="3E67E7E0" w14:textId="2D03E113" w:rsidR="00D24330" w:rsidRPr="00A96255" w:rsidRDefault="00D24330" w:rsidP="00D24330">
      <w:pPr>
        <w:pStyle w:val="MIndHeader"/>
      </w:pPr>
      <w:r w:rsidRPr="00A96255">
        <w:t xml:space="preserve">0.c. Indicator </w:t>
      </w:r>
      <w:r>
        <w:rPr>
          <w:color w:val="B4B4B4"/>
          <w:sz w:val="20"/>
        </w:rPr>
        <w:t>(SDG_INDICATOR)</w:t>
      </w:r>
    </w:p>
    <w:p w14:paraId="77526C2A" w14:textId="036FF472" w:rsidR="007F5097" w:rsidRDefault="007F5097" w:rsidP="00D24330">
      <w:pPr>
        <w:pStyle w:val="MIndHeader"/>
        <w:rPr>
          <w:color w:val="333333"/>
          <w:sz w:val="21"/>
          <w:szCs w:val="21"/>
        </w:rPr>
      </w:pPr>
      <w:r w:rsidRPr="007F5097">
        <w:rPr>
          <w:color w:val="333333"/>
          <w:sz w:val="21"/>
          <w:szCs w:val="21"/>
        </w:rPr>
        <w:t>Indicator 8.10.2: Proportion of adults (15 years and older) with an account at a bank or other financial institution or with a mobile-money-service provider</w:t>
      </w:r>
    </w:p>
    <w:p w14:paraId="37E5E4F6" w14:textId="3431D8AE" w:rsidR="00D24330" w:rsidRPr="001E38B6" w:rsidRDefault="66ACA48A" w:rsidP="00EF0395">
      <w:pPr>
        <w:pStyle w:val="MIndHeader"/>
      </w:pPr>
      <w:r w:rsidRPr="001E38B6">
        <w:t xml:space="preserve">0.d. Series </w:t>
      </w:r>
      <w:r>
        <w:rPr>
          <w:color w:val="B4B4B4"/>
          <w:sz w:val="20"/>
        </w:rPr>
        <w:t>(SDG_SERIES_DESCR)</w:t>
      </w:r>
    </w:p>
    <w:p w14:paraId="1B36B268" w14:textId="77777777" w:rsidR="00F36DAA" w:rsidRPr="00F36DAA" w:rsidRDefault="00F36DAA" w:rsidP="00F36DAA">
      <w:pPr>
        <w:pStyle w:val="MIndHeader"/>
        <w:rPr>
          <w:color w:val="333333"/>
          <w:sz w:val="21"/>
          <w:szCs w:val="21"/>
        </w:rPr>
      </w:pPr>
      <w:r w:rsidRPr="00F36DAA">
        <w:rPr>
          <w:color w:val="333333"/>
          <w:sz w:val="21"/>
          <w:szCs w:val="21"/>
        </w:rPr>
        <w:t>FB_BNK_ACCSS - Proportion of adults (15 years and older) with an account at a financial institution or mobile-money-service provider [8.10.2]</w:t>
      </w:r>
    </w:p>
    <w:p w14:paraId="1C67035E" w14:textId="77777777" w:rsidR="00F36DAA" w:rsidRPr="00F36DAA" w:rsidRDefault="00F36DAA" w:rsidP="00F36DAA">
      <w:pPr>
        <w:pStyle w:val="MIndHeader"/>
        <w:rPr>
          <w:color w:val="333333"/>
          <w:sz w:val="21"/>
          <w:szCs w:val="21"/>
        </w:rPr>
      </w:pPr>
      <w:r w:rsidRPr="00F36DAA">
        <w:rPr>
          <w:color w:val="333333"/>
          <w:sz w:val="21"/>
          <w:szCs w:val="21"/>
        </w:rPr>
        <w:t xml:space="preserve">FB_BNK_ACCSS_ILF - Proportion of adults (15 years and older) active in </w:t>
      </w:r>
      <w:proofErr w:type="spellStart"/>
      <w:r w:rsidRPr="00F36DAA">
        <w:rPr>
          <w:color w:val="333333"/>
          <w:sz w:val="21"/>
          <w:szCs w:val="21"/>
        </w:rPr>
        <w:t>labor</w:t>
      </w:r>
      <w:proofErr w:type="spellEnd"/>
      <w:r w:rsidRPr="00F36DAA">
        <w:rPr>
          <w:color w:val="333333"/>
          <w:sz w:val="21"/>
          <w:szCs w:val="21"/>
        </w:rPr>
        <w:t xml:space="preserve"> force with an account at a financial institution or mobile-money-service provider [8.10.2]</w:t>
      </w:r>
    </w:p>
    <w:p w14:paraId="77C01F41" w14:textId="7901744E" w:rsidR="00FE352C" w:rsidRPr="001E38B6" w:rsidRDefault="00F36DAA" w:rsidP="00F36DAA">
      <w:pPr>
        <w:pStyle w:val="MIndHeader"/>
        <w:rPr>
          <w:lang w:val="en-US"/>
        </w:rPr>
      </w:pPr>
      <w:r w:rsidRPr="00F36DAA">
        <w:rPr>
          <w:color w:val="333333"/>
          <w:sz w:val="21"/>
          <w:szCs w:val="21"/>
        </w:rPr>
        <w:t xml:space="preserve">FB_BNK_ACCSS_OLF - Proportion of adults (15 years and older) out of </w:t>
      </w:r>
      <w:proofErr w:type="spellStart"/>
      <w:r w:rsidRPr="00F36DAA">
        <w:rPr>
          <w:color w:val="333333"/>
          <w:sz w:val="21"/>
          <w:szCs w:val="21"/>
        </w:rPr>
        <w:t>labor</w:t>
      </w:r>
      <w:proofErr w:type="spellEnd"/>
      <w:r w:rsidRPr="00F36DAA">
        <w:rPr>
          <w:color w:val="333333"/>
          <w:sz w:val="21"/>
          <w:szCs w:val="21"/>
        </w:rPr>
        <w:t xml:space="preserve"> force with an account at a financial institution or mobile-money-service provider [8.10.2]</w:t>
      </w:r>
    </w:p>
    <w:p w14:paraId="157DACE7" w14:textId="69A84731" w:rsidR="00D24330" w:rsidRPr="001E38B6" w:rsidRDefault="00D24330" w:rsidP="00EF0395">
      <w:pPr>
        <w:pStyle w:val="MIndHeader"/>
      </w:pPr>
      <w:r w:rsidRPr="001E38B6">
        <w:t xml:space="preserve">0.e. Metadata update </w:t>
      </w:r>
      <w:r>
        <w:rPr>
          <w:color w:val="B4B4B4"/>
          <w:sz w:val="20"/>
        </w:rPr>
        <w:t>(META_LAST_UPDATE)</w:t>
      </w:r>
    </w:p>
    <w:sdt>
      <w:sdtPr>
        <w:id w:val="-504134357"/>
        <w:placeholder>
          <w:docPart w:val="DefaultPlaceholder_-1854013437"/>
        </w:placeholder>
        <w:date w:fullDate="2024-07-29T00:00:00Z">
          <w:dateFormat w:val="yyyy-MM-dd"/>
          <w:lid w:val="en-US"/>
          <w:storeMappedDataAs w:val="dateTime"/>
          <w:calendar w:val="gregorian"/>
        </w:date>
      </w:sdtPr>
      <w:sdtContent>
        <w:p w14:paraId="0C8E0D82" w14:textId="47D7CBB2" w:rsidR="00854B37" w:rsidRPr="001E38B6" w:rsidRDefault="0023023A"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42C11F4" w14:textId="5F6CC7D4" w:rsidR="00490658" w:rsidRPr="001E38B6" w:rsidRDefault="7376C42B" w:rsidP="2E5499FE">
      <w:pPr>
        <w:pStyle w:val="MIndHeader"/>
        <w:rPr>
          <w:rStyle w:val="eop"/>
          <w:rFonts w:ascii="Calibri" w:hAnsi="Calibri" w:cs="Calibri"/>
          <w:color w:val="4A4A4A"/>
          <w:sz w:val="21"/>
          <w:szCs w:val="21"/>
        </w:rPr>
      </w:pPr>
      <w:r w:rsidRPr="001E38B6">
        <w:rPr>
          <w:rStyle w:val="eop"/>
          <w:rFonts w:ascii="Calibri" w:hAnsi="Calibri" w:cs="Calibri"/>
          <w:color w:val="4A4A4A"/>
          <w:sz w:val="21"/>
          <w:szCs w:val="21"/>
        </w:rPr>
        <w:t>N</w:t>
      </w:r>
      <w:r w:rsidR="0443F139" w:rsidRPr="001E38B6">
        <w:rPr>
          <w:rStyle w:val="eop"/>
          <w:rFonts w:ascii="Calibri" w:hAnsi="Calibri" w:cs="Calibri"/>
          <w:color w:val="4A4A4A"/>
          <w:sz w:val="21"/>
          <w:szCs w:val="21"/>
        </w:rPr>
        <w:t>ot applicable</w:t>
      </w:r>
    </w:p>
    <w:p w14:paraId="077BC49E" w14:textId="4AFD229E"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1D18346" w14:textId="0A63D03E" w:rsidR="00101B58" w:rsidRPr="009973E3" w:rsidRDefault="679B59A4" w:rsidP="0009022E">
      <w:pPr>
        <w:pStyle w:val="MGTHeader"/>
        <w:rPr>
          <w:rStyle w:val="eop"/>
          <w:rFonts w:ascii="Calibri" w:hAnsi="Calibri" w:cs="Calibri"/>
          <w:color w:val="4A4A4A"/>
        </w:rPr>
      </w:pPr>
      <w:r w:rsidRPr="169746A9">
        <w:rPr>
          <w:rStyle w:val="normaltextrun"/>
          <w:rFonts w:ascii="Calibri" w:hAnsi="Calibri" w:cs="Calibri"/>
          <w:color w:val="4A4A4A"/>
        </w:rPr>
        <w:t xml:space="preserve">World Bank </w:t>
      </w:r>
    </w:p>
    <w:p w14:paraId="3A59428F" w14:textId="77777777" w:rsidR="0009022E" w:rsidRPr="009973E3" w:rsidRDefault="0009022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1B745458" w:rsidP="00EA05D3">
      <w:pPr>
        <w:pStyle w:val="MHeader"/>
      </w:pPr>
      <w:bookmarkStart w:id="0" w:name="_Toc37932744"/>
      <w:bookmarkStart w:id="1" w:name="_Toc36813072"/>
      <w:bookmarkStart w:id="2" w:name="_Toc36812685"/>
      <w:bookmarkStart w:id="3" w:name="_Toc36812572"/>
      <w:bookmarkStart w:id="4" w:name="_Toc36655609"/>
      <w:r>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4E68E7B1" w:rsidR="00F719A8" w:rsidRDefault="08FECCEC" w:rsidP="6E5A74AA">
      <w:pPr>
        <w:pStyle w:val="MText"/>
        <w:rPr>
          <w:rStyle w:val="normaltextrun"/>
          <w:rFonts w:ascii="Calibri" w:hAnsi="Calibri" w:cs="Calibri"/>
        </w:rPr>
      </w:pPr>
      <w:r w:rsidRPr="6E5A74AA">
        <w:rPr>
          <w:rStyle w:val="normaltextrun"/>
          <w:rFonts w:ascii="Calibri" w:hAnsi="Calibri" w:cs="Calibri"/>
        </w:rPr>
        <w:t>World Bank</w:t>
      </w:r>
    </w:p>
    <w:p w14:paraId="4E861720" w14:textId="77777777" w:rsidR="00FE352C" w:rsidRDefault="00FE352C"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2C8615D" w14:textId="77777777" w:rsidR="007F5097" w:rsidRDefault="007F5097" w:rsidP="007F50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0B06010B" w14:textId="77777777" w:rsidR="007F5097" w:rsidRDefault="007F5097" w:rsidP="007F50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adults (ages 15+) who report having an account (by themselves or together with someone else) at a bank or another type of financial institution or personally using a mobile money service in the past 12 months. </w:t>
      </w:r>
      <w:r>
        <w:rPr>
          <w:rStyle w:val="eop"/>
          <w:rFonts w:ascii="Calibri" w:hAnsi="Calibri" w:cs="Calibri"/>
          <w:color w:val="4A4A4A"/>
          <w:sz w:val="21"/>
          <w:szCs w:val="21"/>
        </w:rPr>
        <w:t> </w:t>
      </w:r>
    </w:p>
    <w:p w14:paraId="28A13B21" w14:textId="77777777" w:rsidR="007F5097" w:rsidRDefault="007F5097" w:rsidP="007F5097">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1"/>
          <w:szCs w:val="21"/>
        </w:rPr>
        <w:t> </w:t>
      </w:r>
    </w:p>
    <w:p w14:paraId="4C6635A8" w14:textId="77777777" w:rsidR="007F5097" w:rsidRDefault="007F5097" w:rsidP="007F50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3115538E" w14:textId="2287DACB" w:rsidR="00337FE1" w:rsidRDefault="29F44A1D" w:rsidP="00EB7EFB">
      <w:pPr>
        <w:pStyle w:val="MText"/>
      </w:pPr>
      <w:r w:rsidRPr="2E5499FE">
        <w:rPr>
          <w:lang w:val="en-US"/>
        </w:rPr>
        <w:lastRenderedPageBreak/>
        <w:t>Financial institution accounts (excluding mobile money) denote the percentage of respondents who report having an account (by themselves or together with someone else) at a bank, credit union, microfinance institution, or post office that falls under prudential regulation by a government body.</w:t>
      </w:r>
    </w:p>
    <w:p w14:paraId="14A4DA84" w14:textId="328B6C9B" w:rsidR="00337FE1" w:rsidRDefault="29F44A1D" w:rsidP="00603470">
      <w:pPr>
        <w:pStyle w:val="MText"/>
      </w:pPr>
      <w:r w:rsidRPr="2E5499FE">
        <w:rPr>
          <w:lang w:val="en-US"/>
        </w:rPr>
        <w:t>Data on adults with a financial institution account include respondents who reported having an account at a bank or at another type of financial institution, such as a credit union, a microfinance institution, a cooperative, or the post office (if applicable). The data also include an additional 3 percent of respondents in 2021 who reported receiving wages, government transfers, a public sector pension, or payments for agricultural products into a financial institution account in the past year; paying utility bills or school fees from a financial institution account in the past year; or receiving wages, government transfers, or agricultural payments into a card in the past year. The definition does not include non</w:t>
      </w:r>
      <w:r w:rsidR="00C80131">
        <w:rPr>
          <w:lang w:val="en-US"/>
        </w:rPr>
        <w:t>-</w:t>
      </w:r>
      <w:r w:rsidRPr="2E5499FE">
        <w:rPr>
          <w:lang w:val="en-US"/>
        </w:rPr>
        <w:t xml:space="preserve">bank financial institutions such as pension funds, retirement accounts, insurance companies, or equity holdings such as stocks. </w:t>
      </w:r>
    </w:p>
    <w:p w14:paraId="379043F7" w14:textId="7BF087B2" w:rsidR="00337FE1" w:rsidRDefault="00337FE1" w:rsidP="2E5499FE">
      <w:pPr>
        <w:pStyle w:val="MText"/>
        <w:rPr>
          <w:lang w:val="en-US"/>
        </w:rPr>
      </w:pPr>
    </w:p>
    <w:p w14:paraId="1290ECDC" w14:textId="20050801" w:rsidR="00337FE1" w:rsidRDefault="3FAA1C8E" w:rsidP="00EB7EFB">
      <w:pPr>
        <w:pStyle w:val="MText"/>
        <w:rPr>
          <w:lang w:val="en-US"/>
        </w:rPr>
      </w:pPr>
      <w:r w:rsidRPr="2E5499FE">
        <w:rPr>
          <w:lang w:val="en-US"/>
        </w:rPr>
        <w:t>Mobile money accounts denote the percentage of respondents who report personally using a mobile money service to make payments, buy things, or to send or receive money in the past year. Data on adults with a mobile money account include respondents who reported personally using services included in the GSM Association’s Mobile Money for the Unbanked (GSMA MMU) database to pay bills or to send or receive money in the past year. The data also include an additional 2 percent of respondents in 2021 who reported receiving wages, government transfers, a public sector pension, or payments for agricultural products through a mobile phone in the past year. Unlike the definition of account at a financial institution, the definition of mobile money account does not include the payment of utility bills or school fees through a mobile phone. The reason is that the phrasing of the possible answers leaves it open as to whether those payments were made using a mobile money account or an over-the-counter service.</w:t>
      </w:r>
    </w:p>
    <w:p w14:paraId="6E54D3D6" w14:textId="5C83A856" w:rsidR="00EC2915" w:rsidRPr="0009022E" w:rsidRDefault="00EC2915" w:rsidP="00603470">
      <w:pPr>
        <w:pStyle w:val="paragraph"/>
        <w:spacing w:before="0" w:beforeAutospacing="0" w:after="0" w:afterAutospacing="0"/>
        <w:textAlignment w:val="baseline"/>
        <w:rPr>
          <w:rFonts w:ascii="Segoe UI" w:hAnsi="Segoe UI" w:cs="Segoe UI"/>
          <w:sz w:val="18"/>
          <w:szCs w:val="18"/>
        </w:rPr>
      </w:pPr>
    </w:p>
    <w:p w14:paraId="7932F8BD" w14:textId="3869C451" w:rsidR="008B0AC7" w:rsidRPr="00A96255" w:rsidRDefault="36F86D73" w:rsidP="00F719A8">
      <w:pPr>
        <w:pStyle w:val="MHeader2"/>
      </w:pPr>
      <w:r>
        <w:t xml:space="preserve">2.b. Unit of measure </w:t>
      </w:r>
      <w:r>
        <w:rPr>
          <w:color w:val="B4B4B4"/>
          <w:sz w:val="20"/>
        </w:rPr>
        <w:t>(UNIT_MEASURE)</w:t>
      </w:r>
    </w:p>
    <w:p w14:paraId="548E9AAA" w14:textId="48B5A093" w:rsidR="00EC2915" w:rsidRDefault="005B3E07" w:rsidP="00576CFA">
      <w:pPr>
        <w:pStyle w:val="MText"/>
      </w:pPr>
      <w:r>
        <w:t>Percent (%)</w:t>
      </w:r>
    </w:p>
    <w:p w14:paraId="0741F5E5" w14:textId="77777777" w:rsidR="00E2677D" w:rsidRPr="00A96255" w:rsidRDefault="00E2677D" w:rsidP="00576CFA">
      <w:pPr>
        <w:pStyle w:val="MText"/>
      </w:pPr>
    </w:p>
    <w:p w14:paraId="651AA7AC" w14:textId="5144B8C4" w:rsidR="00DA615C" w:rsidRPr="00A96255" w:rsidRDefault="2F05C9B5" w:rsidP="00F719A8">
      <w:pPr>
        <w:pStyle w:val="MHeader2"/>
      </w:pPr>
      <w:r>
        <w:t xml:space="preserve">2.c. Classifications </w:t>
      </w:r>
      <w:r>
        <w:rPr>
          <w:color w:val="B4B4B4"/>
          <w:sz w:val="20"/>
        </w:rPr>
        <w:t>(CLASS_SYSTEM)</w:t>
      </w:r>
    </w:p>
    <w:p w14:paraId="050622B9" w14:textId="351A349A" w:rsidR="00C80131" w:rsidRDefault="2A0C5427" w:rsidP="00576CFA">
      <w:pPr>
        <w:pStyle w:val="MText"/>
      </w:pPr>
      <w:r>
        <w:t xml:space="preserve">Data is also aggregated using the World Bank classifications for </w:t>
      </w:r>
      <w:r w:rsidR="71D77508">
        <w:t>W</w:t>
      </w:r>
      <w:r w:rsidR="29448E0D">
        <w:t>orld, low- and middle-income economies, income groups</w:t>
      </w:r>
      <w:r w:rsidR="756462B7">
        <w:t xml:space="preserve"> (low-income, lower-middle-income, and upper-middle-income</w:t>
      </w:r>
      <w:r w:rsidR="2A08F568">
        <w:t xml:space="preserve"> economies</w:t>
      </w:r>
      <w:r w:rsidR="46BC60D2">
        <w:t>)</w:t>
      </w:r>
      <w:r w:rsidR="756462B7">
        <w:t xml:space="preserve">, </w:t>
      </w:r>
      <w:r w:rsidR="29448E0D">
        <w:t>and developing regions</w:t>
      </w:r>
      <w:r w:rsidR="4DCF1D23">
        <w:t>.</w:t>
      </w:r>
    </w:p>
    <w:p w14:paraId="123172F4" w14:textId="2FE2D893"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FC99099" w14:textId="4F93D2D0" w:rsidR="005130BF" w:rsidRPr="00E67847" w:rsidRDefault="005130BF" w:rsidP="00EB7EFB">
      <w:pPr>
        <w:shd w:val="clear" w:color="auto" w:fill="FFFFFF"/>
        <w:spacing w:after="0" w:line="240" w:lineRule="auto"/>
        <w:textAlignment w:val="baseline"/>
        <w:rPr>
          <w:rFonts w:ascii="Calibri" w:eastAsia="Times New Roman" w:hAnsi="Calibri" w:cs="Calibri"/>
          <w:color w:val="4A4A4A"/>
          <w:sz w:val="21"/>
          <w:szCs w:val="21"/>
          <w:lang w:eastAsia="en-US"/>
        </w:rPr>
      </w:pPr>
      <w:r w:rsidRPr="005130BF">
        <w:rPr>
          <w:rFonts w:ascii="Calibri" w:eastAsia="Times New Roman" w:hAnsi="Calibri" w:cs="Calibri"/>
          <w:color w:val="4A4A4A"/>
          <w:sz w:val="21"/>
          <w:szCs w:val="21"/>
          <w:lang w:eastAsia="en-US"/>
        </w:rPr>
        <w:t>The indicators in the Global</w:t>
      </w:r>
      <w:r w:rsidRPr="00E67847">
        <w:rPr>
          <w:rFonts w:ascii="Calibri" w:eastAsia="Times New Roman" w:hAnsi="Calibri" w:cs="Calibri"/>
          <w:color w:val="4A4A4A"/>
          <w:sz w:val="21"/>
          <w:szCs w:val="21"/>
          <w:lang w:eastAsia="en-US"/>
        </w:rPr>
        <w:t xml:space="preserve"> Findex Database 2021</w:t>
      </w:r>
      <w:r w:rsidR="00E67847">
        <w:rPr>
          <w:rFonts w:ascii="Calibri" w:eastAsia="Times New Roman" w:hAnsi="Calibri" w:cs="Calibri"/>
          <w:color w:val="4A4A4A"/>
          <w:sz w:val="21"/>
          <w:szCs w:val="21"/>
          <w:lang w:eastAsia="en-US"/>
        </w:rPr>
        <w:t xml:space="preserve"> a</w:t>
      </w:r>
      <w:r w:rsidRPr="005130BF">
        <w:rPr>
          <w:rFonts w:ascii="Calibri" w:eastAsia="Times New Roman" w:hAnsi="Calibri" w:cs="Calibri"/>
          <w:color w:val="4A4A4A"/>
          <w:sz w:val="21"/>
          <w:szCs w:val="21"/>
          <w:lang w:eastAsia="en-US"/>
        </w:rPr>
        <w:t>re drawn from survey data covering almost 128,000 people in 123 economies—representing 91 percent of the world’s population. The survey was carried out over the 2021 calendar year</w:t>
      </w:r>
      <w:r w:rsidRPr="00E67847">
        <w:rPr>
          <w:rFonts w:ascii="Calibri" w:eastAsia="Times New Roman" w:hAnsi="Calibri" w:cs="Calibri"/>
          <w:color w:val="4A4A4A"/>
          <w:sz w:val="21"/>
          <w:szCs w:val="21"/>
          <w:lang w:eastAsia="en-US"/>
        </w:rPr>
        <w:t>, and now marks the fourth round of Global Findex data since 2011. Typically, the survey captures data from more than 140 economies, but surveying was postponed in a handful of countries in 2021 due to COVID-19. These countries were surveyed in 2022, and d</w:t>
      </w:r>
      <w:proofErr w:type="spellStart"/>
      <w:r w:rsidRPr="00E67847">
        <w:rPr>
          <w:rFonts w:ascii="Calibri" w:eastAsia="Times New Roman" w:hAnsi="Calibri" w:cs="Calibri"/>
          <w:color w:val="4A4A4A"/>
          <w:sz w:val="21"/>
          <w:szCs w:val="21"/>
          <w:lang w:eastAsia="en-US"/>
        </w:rPr>
        <w:t>ata</w:t>
      </w:r>
      <w:proofErr w:type="spellEnd"/>
      <w:r w:rsidRPr="00E67847">
        <w:rPr>
          <w:rFonts w:ascii="Calibri" w:eastAsia="Times New Roman" w:hAnsi="Calibri" w:cs="Calibri"/>
          <w:color w:val="4A4A4A"/>
          <w:sz w:val="21"/>
          <w:szCs w:val="21"/>
          <w:lang w:eastAsia="en-US"/>
        </w:rPr>
        <w:t xml:space="preserve"> on these additional 17 countries will be available in 2023.</w:t>
      </w:r>
    </w:p>
    <w:p w14:paraId="52BD31F2" w14:textId="750B5B50" w:rsidR="005130BF" w:rsidRPr="00E67847" w:rsidRDefault="005130BF" w:rsidP="005130BF">
      <w:pPr>
        <w:shd w:val="clear" w:color="auto" w:fill="FFFFFF"/>
        <w:spacing w:after="0" w:line="240" w:lineRule="auto"/>
        <w:textAlignment w:val="baseline"/>
        <w:rPr>
          <w:rFonts w:ascii="Calibri" w:eastAsia="Times New Roman" w:hAnsi="Calibri" w:cs="Calibri"/>
          <w:color w:val="4A4A4A"/>
          <w:sz w:val="21"/>
          <w:szCs w:val="21"/>
          <w:lang w:eastAsia="en-US"/>
        </w:rPr>
      </w:pPr>
    </w:p>
    <w:p w14:paraId="3F31EE20" w14:textId="240877B5" w:rsidR="005130BF" w:rsidRPr="005130BF" w:rsidRDefault="005130BF" w:rsidP="005130BF">
      <w:pPr>
        <w:shd w:val="clear" w:color="auto" w:fill="FFFFFF"/>
        <w:spacing w:after="0" w:line="240" w:lineRule="auto"/>
        <w:textAlignment w:val="baseline"/>
        <w:rPr>
          <w:rFonts w:ascii="Segoe UI" w:eastAsia="Times New Roman" w:hAnsi="Segoe UI" w:cs="Segoe UI"/>
          <w:sz w:val="18"/>
          <w:szCs w:val="18"/>
          <w:lang w:val="en-US" w:eastAsia="en-US"/>
        </w:rPr>
      </w:pPr>
      <w:r w:rsidRPr="00E67847">
        <w:rPr>
          <w:rFonts w:ascii="Calibri" w:eastAsia="Times New Roman" w:hAnsi="Calibri" w:cs="Calibri"/>
          <w:color w:val="4A4A4A"/>
          <w:sz w:val="21"/>
          <w:szCs w:val="21"/>
          <w:lang w:eastAsia="en-US"/>
        </w:rPr>
        <w:t>The surveying is undertaken</w:t>
      </w:r>
      <w:r w:rsidRPr="005130BF">
        <w:rPr>
          <w:rFonts w:ascii="Calibri" w:eastAsia="Times New Roman" w:hAnsi="Calibri" w:cs="Calibri"/>
          <w:color w:val="4A4A4A"/>
          <w:sz w:val="21"/>
          <w:szCs w:val="21"/>
          <w:lang w:eastAsia="en-US"/>
        </w:rPr>
        <w:t xml:space="preserve"> by Gallup, Inc. as part of its Gallup World Poll</w:t>
      </w:r>
      <w:proofErr w:type="gramStart"/>
      <w:r w:rsidRPr="00E67847">
        <w:rPr>
          <w:rFonts w:ascii="Calibri" w:eastAsia="Times New Roman" w:hAnsi="Calibri" w:cs="Calibri"/>
          <w:color w:val="4A4A4A"/>
          <w:sz w:val="21"/>
          <w:szCs w:val="21"/>
          <w:lang w:eastAsia="en-US"/>
        </w:rPr>
        <w:t>, ,</w:t>
      </w:r>
      <w:proofErr w:type="gramEnd"/>
      <w:r w:rsidRPr="005130BF">
        <w:rPr>
          <w:rFonts w:ascii="Calibri" w:eastAsia="Times New Roman" w:hAnsi="Calibri" w:cs="Calibri"/>
          <w:color w:val="4A4A4A"/>
          <w:sz w:val="21"/>
          <w:szCs w:val="21"/>
          <w:lang w:eastAsia="en-US"/>
        </w:rPr>
        <w:t xml:space="preserve"> which since 2005 has continually conducted surveys of approximately 1,000 people in each of more than 160 economies and in over 150 languages, using randomly selected, nationally representative samples. The target population is the entire civilian, noninstitutionalized population age 15 and above.</w:t>
      </w:r>
    </w:p>
    <w:p w14:paraId="798919F6" w14:textId="77777777" w:rsidR="005130BF" w:rsidRPr="005130BF" w:rsidRDefault="005130BF" w:rsidP="005130BF">
      <w:pPr>
        <w:shd w:val="clear" w:color="auto" w:fill="FFFFFF"/>
        <w:spacing w:after="0" w:line="240" w:lineRule="auto"/>
        <w:textAlignment w:val="baseline"/>
        <w:rPr>
          <w:rFonts w:ascii="Segoe UI" w:eastAsia="Times New Roman" w:hAnsi="Segoe UI" w:cs="Segoe UI"/>
          <w:sz w:val="18"/>
          <w:szCs w:val="18"/>
          <w:lang w:val="en-US" w:eastAsia="en-US"/>
        </w:rPr>
      </w:pPr>
      <w:r w:rsidRPr="005130BF">
        <w:rPr>
          <w:rFonts w:ascii="Calibri" w:eastAsia="Times New Roman" w:hAnsi="Calibri" w:cs="Calibri"/>
          <w:color w:val="4A4A4A"/>
          <w:sz w:val="21"/>
          <w:szCs w:val="21"/>
          <w:lang w:val="en-US" w:eastAsia="en-US"/>
        </w:rPr>
        <w:lastRenderedPageBreak/>
        <w:t>  </w:t>
      </w:r>
    </w:p>
    <w:p w14:paraId="2F0AB2A5" w14:textId="325001DB" w:rsidR="005130BF" w:rsidRPr="005130BF" w:rsidRDefault="005130BF" w:rsidP="001E38B6">
      <w:pPr>
        <w:shd w:val="clear" w:color="auto" w:fill="FFFFFF"/>
        <w:spacing w:after="0" w:line="240" w:lineRule="auto"/>
        <w:textAlignment w:val="baseline"/>
        <w:rPr>
          <w:lang w:val="en-US" w:eastAsia="en-US"/>
        </w:rPr>
      </w:pPr>
      <w:r w:rsidRPr="169746A9">
        <w:rPr>
          <w:rFonts w:ascii="Calibri" w:eastAsia="Times New Roman" w:hAnsi="Calibri" w:cs="Calibri"/>
          <w:color w:val="4A4A4A"/>
          <w:sz w:val="21"/>
          <w:szCs w:val="21"/>
          <w:lang w:eastAsia="en-US"/>
        </w:rPr>
        <w:t xml:space="preserve">Full report, including methodology and interview procedures, data preparation, margin of error and notes by country are all available </w:t>
      </w:r>
      <w:r w:rsidR="08A6A53D" w:rsidRPr="169746A9">
        <w:rPr>
          <w:sz w:val="21"/>
          <w:szCs w:val="21"/>
        </w:rPr>
        <w:t>under Methodology Table A.1 here:</w:t>
      </w:r>
      <w:hyperlink r:id="rId11" w:history="1"/>
    </w:p>
    <w:p w14:paraId="4874389C" w14:textId="46D40187" w:rsidR="005130BF" w:rsidRPr="005130BF" w:rsidRDefault="00000000" w:rsidP="005130BF">
      <w:pPr>
        <w:shd w:val="clear" w:color="auto" w:fill="FFFFFF"/>
        <w:spacing w:after="0" w:line="240" w:lineRule="auto"/>
        <w:textAlignment w:val="baseline"/>
        <w:rPr>
          <w:rFonts w:ascii="Segoe UI" w:eastAsia="Times New Roman" w:hAnsi="Segoe UI" w:cs="Segoe UI"/>
          <w:sz w:val="18"/>
          <w:szCs w:val="18"/>
          <w:lang w:val="en-US" w:eastAsia="en-US"/>
        </w:rPr>
      </w:pPr>
      <w:hyperlink r:id="rId12" w:tgtFrame="_blank" w:history="1">
        <w:r w:rsidR="005130BF" w:rsidRPr="005130BF">
          <w:rPr>
            <w:rFonts w:ascii="Calibri" w:eastAsia="Times New Roman" w:hAnsi="Calibri" w:cs="Calibri"/>
            <w:color w:val="000000"/>
            <w:sz w:val="21"/>
            <w:szCs w:val="21"/>
            <w:u w:val="single"/>
            <w:shd w:val="clear" w:color="auto" w:fill="E1E3E6"/>
            <w:lang w:val="en-US" w:eastAsia="en-US"/>
          </w:rPr>
          <w:t>https://www.worldbank.org/en/publication/globalfindex/Report</w:t>
        </w:r>
      </w:hyperlink>
    </w:p>
    <w:p w14:paraId="32D93338" w14:textId="4E4B6FA2" w:rsidR="007F5097" w:rsidRDefault="007F5097" w:rsidP="007F509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7003AF8" w14:textId="77777777" w:rsidR="003B773A" w:rsidRPr="001E38B6" w:rsidRDefault="003B773A" w:rsidP="001E38B6">
      <w:pPr>
        <w:pStyle w:val="MText"/>
        <w:rPr>
          <w:rStyle w:val="normaltextrun"/>
          <w:rFonts w:ascii="Calibri" w:hAnsi="Calibri" w:cs="Calibri"/>
        </w:rPr>
      </w:pPr>
      <w:r w:rsidRPr="001E38B6">
        <w:rPr>
          <w:rStyle w:val="normaltextrun"/>
          <w:rFonts w:ascii="Calibri" w:hAnsi="Calibri" w:cs="Calibri"/>
        </w:rPr>
        <w:t xml:space="preserve">In most developing economies, Global Findex data have traditionally been collected through </w:t>
      </w:r>
      <w:proofErr w:type="gramStart"/>
      <w:r w:rsidRPr="001E38B6">
        <w:rPr>
          <w:rStyle w:val="normaltextrun"/>
          <w:rFonts w:ascii="Calibri" w:hAnsi="Calibri" w:cs="Calibri"/>
        </w:rPr>
        <w:t>face-to-face</w:t>
      </w:r>
      <w:proofErr w:type="gramEnd"/>
    </w:p>
    <w:p w14:paraId="1B78BEFF" w14:textId="63A20937" w:rsidR="00EB6DCE" w:rsidRPr="001E38B6" w:rsidRDefault="003B773A" w:rsidP="001E38B6">
      <w:pPr>
        <w:pStyle w:val="MText"/>
        <w:rPr>
          <w:rStyle w:val="normaltextrun"/>
          <w:rFonts w:ascii="Calibri" w:hAnsi="Calibri" w:cs="Calibri"/>
        </w:rPr>
      </w:pPr>
      <w:r w:rsidRPr="001E38B6">
        <w:rPr>
          <w:rStyle w:val="normaltextrun"/>
          <w:rFonts w:ascii="Calibri" w:hAnsi="Calibri" w:cs="Calibri"/>
        </w:rPr>
        <w:t>interviews. Surveys are conducted face-to-face in economies where telephone coverage represents less than</w:t>
      </w:r>
      <w:r w:rsidR="00A77068" w:rsidRPr="001E38B6">
        <w:rPr>
          <w:rStyle w:val="normaltextrun"/>
          <w:rFonts w:ascii="Calibri" w:hAnsi="Calibri" w:cs="Calibri"/>
        </w:rPr>
        <w:t xml:space="preserve"> </w:t>
      </w:r>
      <w:r w:rsidRPr="001E38B6">
        <w:rPr>
          <w:rStyle w:val="normaltextrun"/>
          <w:rFonts w:ascii="Calibri" w:hAnsi="Calibri" w:cs="Calibri"/>
        </w:rPr>
        <w:t xml:space="preserve">80 percent of the population or where in-person surveying is the customary methodology. However, </w:t>
      </w:r>
      <w:r w:rsidR="42020870" w:rsidRPr="001E38B6">
        <w:rPr>
          <w:rStyle w:val="normaltextrun"/>
          <w:rFonts w:ascii="Calibri" w:hAnsi="Calibri" w:cs="Calibri"/>
        </w:rPr>
        <w:t>during 2021, due to</w:t>
      </w:r>
      <w:r w:rsidR="00A77068" w:rsidRPr="001E38B6">
        <w:rPr>
          <w:rStyle w:val="normaltextrun"/>
          <w:rFonts w:ascii="Calibri" w:hAnsi="Calibri" w:cs="Calibri"/>
        </w:rPr>
        <w:t xml:space="preserve"> </w:t>
      </w:r>
      <w:r w:rsidRPr="001E38B6">
        <w:rPr>
          <w:rStyle w:val="normaltextrun"/>
          <w:rFonts w:ascii="Calibri" w:hAnsi="Calibri" w:cs="Calibri"/>
        </w:rPr>
        <w:t>ongoing COVID-19–related mobility restrictions, face-to-face interviewing was not possible in some of these</w:t>
      </w:r>
      <w:r w:rsidR="00A77068" w:rsidRPr="001E38B6">
        <w:rPr>
          <w:rStyle w:val="normaltextrun"/>
          <w:rFonts w:ascii="Calibri" w:hAnsi="Calibri" w:cs="Calibri"/>
        </w:rPr>
        <w:t xml:space="preserve"> </w:t>
      </w:r>
      <w:r w:rsidRPr="001E38B6">
        <w:rPr>
          <w:rStyle w:val="normaltextrun"/>
          <w:rFonts w:ascii="Calibri" w:hAnsi="Calibri" w:cs="Calibri"/>
        </w:rPr>
        <w:t>economies</w:t>
      </w:r>
      <w:r w:rsidR="7D2D3E6D" w:rsidRPr="001E38B6">
        <w:rPr>
          <w:rStyle w:val="normaltextrun"/>
          <w:rFonts w:ascii="Calibri" w:hAnsi="Calibri" w:cs="Calibri"/>
        </w:rPr>
        <w:t>.</w:t>
      </w:r>
    </w:p>
    <w:p w14:paraId="029EC2E0" w14:textId="77777777" w:rsidR="00EB6DCE" w:rsidRPr="001E38B6" w:rsidRDefault="00EB6DCE" w:rsidP="001E38B6">
      <w:pPr>
        <w:pStyle w:val="MText"/>
        <w:rPr>
          <w:rStyle w:val="normaltextrun"/>
          <w:rFonts w:ascii="Calibri" w:hAnsi="Calibri" w:cs="Calibri"/>
        </w:rPr>
      </w:pPr>
    </w:p>
    <w:p w14:paraId="01F37479" w14:textId="0FE98DC1" w:rsidR="003B773A" w:rsidRPr="001E38B6" w:rsidRDefault="003B773A" w:rsidP="001E38B6">
      <w:pPr>
        <w:pStyle w:val="MText"/>
        <w:rPr>
          <w:rStyle w:val="normaltextrun"/>
        </w:rPr>
      </w:pPr>
      <w:r w:rsidRPr="001E38B6">
        <w:rPr>
          <w:rStyle w:val="normaltextrun"/>
          <w:rFonts w:ascii="Calibri" w:hAnsi="Calibri" w:cs="Calibri"/>
        </w:rPr>
        <w:t>Phone-based surveys were therefore conducted in 67 economies that had been surveyed</w:t>
      </w:r>
      <w:r w:rsidR="00A77068" w:rsidRPr="001E38B6">
        <w:rPr>
          <w:rStyle w:val="normaltextrun"/>
          <w:rFonts w:ascii="Calibri" w:hAnsi="Calibri" w:cs="Calibri"/>
        </w:rPr>
        <w:t xml:space="preserve"> </w:t>
      </w:r>
      <w:r w:rsidRPr="001E38B6">
        <w:rPr>
          <w:rStyle w:val="normaltextrun"/>
          <w:rFonts w:ascii="Calibri" w:hAnsi="Calibri" w:cs="Calibri"/>
        </w:rPr>
        <w:t>face-to-face in 2017. These 67 economies were selected for inclusion based on population size,</w:t>
      </w:r>
      <w:r w:rsidR="00A77068" w:rsidRPr="001E38B6">
        <w:rPr>
          <w:rStyle w:val="normaltextrun"/>
          <w:rFonts w:ascii="Calibri" w:hAnsi="Calibri" w:cs="Calibri"/>
        </w:rPr>
        <w:t xml:space="preserve"> phone penetration rate, COVID-19 infection rates, and the feasibility of executing phone-based methods where Gallup would otherwise conduct face-to-face data collection, while complying with all government-issued</w:t>
      </w:r>
      <w:r w:rsidR="007114E8" w:rsidRPr="001E38B6">
        <w:rPr>
          <w:rStyle w:val="normaltextrun"/>
          <w:rFonts w:ascii="Calibri" w:hAnsi="Calibri" w:cs="Calibri"/>
        </w:rPr>
        <w:t xml:space="preserve"> </w:t>
      </w:r>
      <w:r w:rsidR="00A77068" w:rsidRPr="001E38B6">
        <w:rPr>
          <w:rStyle w:val="normaltextrun"/>
          <w:rFonts w:ascii="Calibri" w:hAnsi="Calibri" w:cs="Calibri"/>
        </w:rPr>
        <w:t>guidance throughout the interviewing process. Gallup takes both mobile phone and landline ownership into</w:t>
      </w:r>
      <w:r w:rsidR="007114E8" w:rsidRPr="001E38B6">
        <w:rPr>
          <w:rStyle w:val="normaltextrun"/>
          <w:rFonts w:ascii="Calibri" w:hAnsi="Calibri" w:cs="Calibri"/>
        </w:rPr>
        <w:t xml:space="preserve"> </w:t>
      </w:r>
      <w:r w:rsidR="00A77068" w:rsidRPr="001E38B6">
        <w:rPr>
          <w:rStyle w:val="normaltextrun"/>
          <w:rFonts w:ascii="Calibri" w:hAnsi="Calibri" w:cs="Calibri"/>
        </w:rPr>
        <w:t>consideration. According to Gallup World Poll 2019 data, when face-to-face surveys were last carried out in</w:t>
      </w:r>
      <w:r w:rsidR="007114E8" w:rsidRPr="001E38B6">
        <w:rPr>
          <w:rStyle w:val="normaltextrun"/>
          <w:rFonts w:ascii="Calibri" w:hAnsi="Calibri" w:cs="Calibri"/>
        </w:rPr>
        <w:t xml:space="preserve"> </w:t>
      </w:r>
      <w:r w:rsidR="00A77068" w:rsidRPr="001E38B6">
        <w:rPr>
          <w:rStyle w:val="normaltextrun"/>
          <w:rFonts w:ascii="Calibri" w:hAnsi="Calibri" w:cs="Calibri"/>
        </w:rPr>
        <w:t xml:space="preserve">these economies, at least 80 percent of adults in almost all of them reported mobile phone ownership. </w:t>
      </w:r>
    </w:p>
    <w:p w14:paraId="5AA71E1A" w14:textId="6E0B9F7C" w:rsidR="003B773A" w:rsidRPr="001E38B6" w:rsidRDefault="00A77068" w:rsidP="001E38B6">
      <w:pPr>
        <w:pStyle w:val="MText"/>
        <w:rPr>
          <w:rStyle w:val="normaltextrun"/>
        </w:rPr>
      </w:pPr>
      <w:r w:rsidRPr="001E38B6">
        <w:rPr>
          <w:rStyle w:val="normaltextrun"/>
          <w:rFonts w:ascii="Calibri" w:hAnsi="Calibri" w:cs="Calibri"/>
        </w:rPr>
        <w:t>All</w:t>
      </w:r>
      <w:r w:rsidR="007114E8" w:rsidRPr="001E38B6">
        <w:rPr>
          <w:rStyle w:val="normaltextrun"/>
          <w:rFonts w:ascii="Calibri" w:hAnsi="Calibri" w:cs="Calibri"/>
        </w:rPr>
        <w:t xml:space="preserve"> </w:t>
      </w:r>
      <w:r w:rsidRPr="001E38B6">
        <w:rPr>
          <w:rStyle w:val="normaltextrun"/>
          <w:rFonts w:ascii="Calibri" w:hAnsi="Calibri" w:cs="Calibri"/>
        </w:rPr>
        <w:t xml:space="preserve">samples are probability-based and nationally representative of the resident adult population.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8CCD0FE" w14:textId="4496545A" w:rsidR="00623DBA" w:rsidRDefault="14BED2B2">
      <w:pPr>
        <w:pStyle w:val="MText"/>
        <w:rPr>
          <w:rStyle w:val="normaltextrun"/>
          <w:rFonts w:ascii="Calibri" w:hAnsi="Calibri" w:cs="Calibri"/>
        </w:rPr>
      </w:pPr>
      <w:r w:rsidRPr="6E5A74AA">
        <w:rPr>
          <w:rStyle w:val="normaltextrun"/>
          <w:rFonts w:ascii="Calibri" w:hAnsi="Calibri" w:cs="Calibri"/>
        </w:rPr>
        <w:t xml:space="preserve">Four rounds of data collection are completed, for </w:t>
      </w:r>
      <w:r w:rsidR="00623DBA" w:rsidRPr="6E5A74AA">
        <w:rPr>
          <w:rStyle w:val="normaltextrun"/>
          <w:rFonts w:ascii="Calibri" w:hAnsi="Calibri" w:cs="Calibri"/>
        </w:rPr>
        <w:t>years:</w:t>
      </w:r>
      <w:r w:rsidRPr="6E5A74AA">
        <w:rPr>
          <w:rStyle w:val="normaltextrun"/>
          <w:rFonts w:ascii="Calibri" w:hAnsi="Calibri" w:cs="Calibri"/>
        </w:rPr>
        <w:t xml:space="preserve"> 2011, 2014, 2017, and 2022</w:t>
      </w:r>
      <w:r w:rsidR="00623DBA">
        <w:rPr>
          <w:rStyle w:val="normaltextrun"/>
          <w:rFonts w:ascii="Calibri" w:hAnsi="Calibri" w:cs="Calibri"/>
        </w:rPr>
        <w:t xml:space="preserve">. </w:t>
      </w:r>
    </w:p>
    <w:p w14:paraId="01BA862E" w14:textId="57DB72B8" w:rsidR="00EC2915" w:rsidRDefault="00623DBA">
      <w:pPr>
        <w:pStyle w:val="MText"/>
        <w:rPr>
          <w:rStyle w:val="normaltextrun"/>
          <w:rFonts w:ascii="Calibri" w:hAnsi="Calibri" w:cs="Calibri"/>
          <w:color w:val="1C75BC"/>
          <w:sz w:val="26"/>
          <w:szCs w:val="36"/>
        </w:rPr>
      </w:pPr>
      <w:r>
        <w:rPr>
          <w:rStyle w:val="normaltextrun"/>
          <w:rFonts w:ascii="Calibri" w:hAnsi="Calibri" w:cs="Calibri"/>
        </w:rPr>
        <w:t>Surveying for 2020 was delayed to 2021 due to COVID-19 restrictions.</w:t>
      </w:r>
    </w:p>
    <w:p w14:paraId="2E380602" w14:textId="77777777" w:rsidR="007F5097" w:rsidRPr="00A96255" w:rsidRDefault="007F5097"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5275D86" w:rsidR="00EC2915" w:rsidRDefault="09150768" w:rsidP="00576CFA">
      <w:pPr>
        <w:pStyle w:val="MText"/>
        <w:rPr>
          <w:rStyle w:val="eop"/>
          <w:rFonts w:ascii="Calibri" w:hAnsi="Calibri" w:cs="Calibri"/>
        </w:rPr>
      </w:pPr>
      <w:r w:rsidRPr="2E5499FE">
        <w:rPr>
          <w:rStyle w:val="normaltextrun"/>
          <w:rFonts w:ascii="Calibri" w:hAnsi="Calibri" w:cs="Calibri"/>
        </w:rPr>
        <w:t xml:space="preserve">Data </w:t>
      </w:r>
      <w:r w:rsidR="02D48232" w:rsidRPr="2E5499FE">
        <w:rPr>
          <w:rStyle w:val="normaltextrun"/>
          <w:rFonts w:ascii="Calibri" w:hAnsi="Calibri" w:cs="Calibri"/>
        </w:rPr>
        <w:t>a</w:t>
      </w:r>
      <w:r w:rsidRPr="2E5499FE">
        <w:rPr>
          <w:rStyle w:val="normaltextrun"/>
          <w:rFonts w:ascii="Calibri" w:hAnsi="Calibri" w:cs="Calibri"/>
        </w:rPr>
        <w:t>re collected every three years.</w:t>
      </w:r>
    </w:p>
    <w:p w14:paraId="2C5191A4" w14:textId="77777777" w:rsidR="007F5097" w:rsidRPr="00A96255" w:rsidRDefault="007F5097"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4E15EA4" w:rsidR="00EC2915" w:rsidRDefault="00ED0FD5" w:rsidP="2E5499FE">
      <w:pPr>
        <w:pStyle w:val="MText"/>
        <w:rPr>
          <w:rStyle w:val="normaltextrun"/>
          <w:rFonts w:ascii="Calibri" w:hAnsi="Calibri" w:cs="Calibri"/>
        </w:rPr>
      </w:pPr>
      <w:r>
        <w:rPr>
          <w:rStyle w:val="normaltextrun"/>
          <w:rFonts w:ascii="Calibri" w:hAnsi="Calibri" w:cs="Calibri"/>
        </w:rPr>
        <w:t xml:space="preserve">Collected by </w:t>
      </w:r>
      <w:r w:rsidR="2C0BB633" w:rsidRPr="2E5499FE">
        <w:rPr>
          <w:rStyle w:val="normaltextrun"/>
          <w:rFonts w:ascii="Calibri" w:hAnsi="Calibri" w:cs="Calibri"/>
        </w:rPr>
        <w:t>Gallup, Inc</w:t>
      </w:r>
      <w:r w:rsidR="3816FCE8" w:rsidRPr="2E5499FE">
        <w:rPr>
          <w:rStyle w:val="normaltextrun"/>
          <w:rFonts w:ascii="Calibri" w:hAnsi="Calibri" w:cs="Calibri"/>
        </w:rPr>
        <w:t xml:space="preserve">. </w:t>
      </w:r>
      <w:r w:rsidR="0930AF93" w:rsidRPr="2E5499FE">
        <w:rPr>
          <w:rStyle w:val="normaltextrun"/>
          <w:rFonts w:ascii="Calibri" w:hAnsi="Calibri" w:cs="Calibri"/>
        </w:rPr>
        <w:t>through the Gallup World Poll</w:t>
      </w:r>
      <w:r w:rsidR="00623DBA">
        <w:rPr>
          <w:rStyle w:val="normaltextrun"/>
          <w:rFonts w:ascii="Calibri" w:hAnsi="Calibri" w:cs="Calibri"/>
        </w:rPr>
        <w:t xml:space="preserve"> and compiled by the World Bank</w:t>
      </w:r>
    </w:p>
    <w:p w14:paraId="0AF66E3A" w14:textId="77777777" w:rsidR="007F5097" w:rsidRPr="00A96255" w:rsidRDefault="007F5097"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D47FD7C" w14:textId="0C650244" w:rsidR="007F5097" w:rsidRDefault="4CA93082" w:rsidP="2E5499FE">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6E5A74AA">
        <w:rPr>
          <w:rStyle w:val="normaltextrun"/>
          <w:rFonts w:ascii="Calibri" w:hAnsi="Calibri" w:cs="Calibri"/>
          <w:color w:val="4A4A4A"/>
          <w:sz w:val="21"/>
          <w:szCs w:val="21"/>
          <w:lang w:val="en-GB"/>
        </w:rPr>
        <w:t>World Bank</w:t>
      </w:r>
      <w:r w:rsidR="17CD4824" w:rsidRPr="6E5A74AA">
        <w:rPr>
          <w:rStyle w:val="normaltextrun"/>
          <w:rFonts w:ascii="Calibri" w:hAnsi="Calibri" w:cs="Calibri"/>
          <w:color w:val="4A4A4A"/>
          <w:sz w:val="21"/>
          <w:szCs w:val="21"/>
          <w:lang w:val="en-GB"/>
        </w:rPr>
        <w:t xml:space="preserve"> </w:t>
      </w:r>
    </w:p>
    <w:p w14:paraId="5C43435B" w14:textId="77777777" w:rsidR="00EC2915" w:rsidRPr="00A96255" w:rsidRDefault="00EC2915" w:rsidP="00576CFA">
      <w:pPr>
        <w:pStyle w:val="MText"/>
      </w:pPr>
    </w:p>
    <w:p w14:paraId="5655E768" w14:textId="5429F32E" w:rsidR="00E46D96" w:rsidRPr="00A96255" w:rsidRDefault="6B712A40" w:rsidP="00F719A8">
      <w:pPr>
        <w:pStyle w:val="MHeader2"/>
      </w:pPr>
      <w:r>
        <w:t xml:space="preserve">3.g. Institutional mandate </w:t>
      </w:r>
      <w:r>
        <w:rPr>
          <w:color w:val="B4B4B4"/>
          <w:sz w:val="20"/>
        </w:rPr>
        <w:t>(INST_MANDATE)</w:t>
      </w:r>
    </w:p>
    <w:p w14:paraId="13456C5E" w14:textId="50E5E76C" w:rsidR="00996B8F" w:rsidRPr="001E38B6" w:rsidRDefault="346B2C33" w:rsidP="001E38B6">
      <w:pPr>
        <w:pStyle w:val="MText"/>
        <w:rPr>
          <w:rStyle w:val="normaltextrun"/>
          <w:rFonts w:ascii="Calibri" w:hAnsi="Calibri" w:cs="Calibri"/>
        </w:rPr>
      </w:pPr>
      <w:r w:rsidRPr="001E38B6">
        <w:rPr>
          <w:rStyle w:val="normaltextrun"/>
          <w:rFonts w:ascii="Calibri" w:hAnsi="Calibri" w:cs="Calibri"/>
        </w:rPr>
        <w:t>Development Research Group (DECRG) i</w:t>
      </w:r>
      <w:r w:rsidR="717AB124" w:rsidRPr="001E38B6">
        <w:rPr>
          <w:rStyle w:val="normaltextrun"/>
          <w:rFonts w:ascii="Calibri" w:hAnsi="Calibri" w:cs="Calibri"/>
        </w:rPr>
        <w:t xml:space="preserve">s the World Bank's </w:t>
      </w:r>
      <w:r w:rsidR="2C4F9418" w:rsidRPr="001E38B6">
        <w:rPr>
          <w:rStyle w:val="normaltextrun"/>
          <w:rFonts w:ascii="Calibri" w:hAnsi="Calibri" w:cs="Calibri"/>
        </w:rPr>
        <w:t xml:space="preserve">principal </w:t>
      </w:r>
      <w:r w:rsidR="717AB124" w:rsidRPr="001E38B6">
        <w:rPr>
          <w:rStyle w:val="normaltextrun"/>
          <w:rFonts w:ascii="Calibri" w:hAnsi="Calibri" w:cs="Calibri"/>
        </w:rPr>
        <w:t>research department</w:t>
      </w:r>
      <w:r w:rsidR="32B62A7C" w:rsidRPr="001E38B6">
        <w:rPr>
          <w:rStyle w:val="normaltextrun"/>
          <w:rFonts w:ascii="Calibri" w:hAnsi="Calibri" w:cs="Calibri"/>
        </w:rPr>
        <w:t xml:space="preserve"> under the </w:t>
      </w:r>
      <w:r w:rsidR="717AB124" w:rsidRPr="001E38B6">
        <w:rPr>
          <w:rStyle w:val="normaltextrun"/>
          <w:rFonts w:ascii="Calibri" w:hAnsi="Calibri" w:cs="Calibri"/>
        </w:rPr>
        <w:t>Development Economics Vice Presidency</w:t>
      </w:r>
      <w:r w:rsidR="58C91A61" w:rsidRPr="001E38B6">
        <w:rPr>
          <w:rStyle w:val="normaltextrun"/>
          <w:rFonts w:ascii="Calibri" w:hAnsi="Calibri" w:cs="Calibri"/>
        </w:rPr>
        <w:t xml:space="preserve">. Under the guidance of the </w:t>
      </w:r>
      <w:r w:rsidR="0ECA5AEB" w:rsidRPr="001E38B6">
        <w:rPr>
          <w:rStyle w:val="normaltextrun"/>
          <w:rFonts w:ascii="Calibri" w:hAnsi="Calibri" w:cs="Calibri"/>
        </w:rPr>
        <w:t>World Bank’s</w:t>
      </w:r>
      <w:r w:rsidR="717AB124" w:rsidRPr="001E38B6">
        <w:rPr>
          <w:rStyle w:val="normaltextrun"/>
          <w:rFonts w:ascii="Calibri" w:hAnsi="Calibri" w:cs="Calibri"/>
        </w:rPr>
        <w:t xml:space="preserve"> Chief Economist</w:t>
      </w:r>
      <w:r w:rsidR="7E12D2FD" w:rsidRPr="001E38B6">
        <w:rPr>
          <w:rStyle w:val="normaltextrun"/>
          <w:rFonts w:ascii="Calibri" w:hAnsi="Calibri" w:cs="Calibri"/>
        </w:rPr>
        <w:t>,</w:t>
      </w:r>
      <w:r w:rsidR="717AB124" w:rsidRPr="001E38B6">
        <w:rPr>
          <w:rStyle w:val="normaltextrun"/>
          <w:rFonts w:ascii="Calibri" w:hAnsi="Calibri" w:cs="Calibri"/>
        </w:rPr>
        <w:t xml:space="preserve"> DEC</w:t>
      </w:r>
      <w:r w:rsidR="35F09C06" w:rsidRPr="001E38B6">
        <w:rPr>
          <w:rStyle w:val="normaltextrun"/>
          <w:rFonts w:ascii="Calibri" w:hAnsi="Calibri" w:cs="Calibri"/>
        </w:rPr>
        <w:t>RG</w:t>
      </w:r>
      <w:r w:rsidR="717AB124" w:rsidRPr="001E38B6">
        <w:rPr>
          <w:rStyle w:val="normaltextrun"/>
          <w:rFonts w:ascii="Calibri" w:hAnsi="Calibri" w:cs="Calibri"/>
        </w:rPr>
        <w:t xml:space="preserve"> provides high quality economic information, data, analysis, research, and training to the Bank Group and its partners. DECRG's research programs generate and disseminate knowledge about development policies essential for the achievement of the World Bank's ultimate </w:t>
      </w:r>
      <w:r w:rsidR="00662562" w:rsidRPr="001E38B6">
        <w:rPr>
          <w:rStyle w:val="normaltextrun"/>
          <w:rFonts w:ascii="Calibri" w:hAnsi="Calibri" w:cs="Calibri"/>
        </w:rPr>
        <w:t>mandate</w:t>
      </w:r>
      <w:r w:rsidR="717AB124" w:rsidRPr="001E38B6">
        <w:rPr>
          <w:rStyle w:val="normaltextrun"/>
          <w:rFonts w:ascii="Calibri" w:hAnsi="Calibri" w:cs="Calibri"/>
        </w:rPr>
        <w:t xml:space="preserve"> of poverty reduction</w:t>
      </w:r>
      <w:r w:rsidR="002734A3" w:rsidRPr="001E38B6">
        <w:rPr>
          <w:rStyle w:val="normaltextrun"/>
          <w:rFonts w:ascii="Calibri" w:hAnsi="Calibri" w:cs="Calibri"/>
        </w:rPr>
        <w:t xml:space="preserve"> and shared pro</w:t>
      </w:r>
      <w:r w:rsidR="00662562" w:rsidRPr="001E38B6">
        <w:rPr>
          <w:rStyle w:val="normaltextrun"/>
          <w:rFonts w:ascii="Calibri" w:hAnsi="Calibri" w:cs="Calibri"/>
        </w:rPr>
        <w:t>sperity</w:t>
      </w:r>
      <w:r w:rsidR="717AB124" w:rsidRPr="001E38B6">
        <w:rPr>
          <w:rStyle w:val="normaltextrun"/>
          <w:rFonts w:ascii="Calibri" w:hAnsi="Calibri" w:cs="Calibri"/>
        </w:rPr>
        <w:t xml:space="preserve">. Within DECRG, the </w:t>
      </w:r>
      <w:r w:rsidR="65537483" w:rsidRPr="001E38B6">
        <w:rPr>
          <w:rStyle w:val="normaltextrun"/>
          <w:rFonts w:ascii="Calibri" w:hAnsi="Calibri" w:cs="Calibri"/>
        </w:rPr>
        <w:t>“</w:t>
      </w:r>
      <w:r w:rsidR="717AB124" w:rsidRPr="001E38B6">
        <w:rPr>
          <w:rStyle w:val="normaltextrun"/>
          <w:rFonts w:ascii="Calibri" w:hAnsi="Calibri" w:cs="Calibri"/>
        </w:rPr>
        <w:t>Findex team</w:t>
      </w:r>
      <w:r w:rsidR="2538DE3E" w:rsidRPr="001E38B6">
        <w:rPr>
          <w:rStyle w:val="normaltextrun"/>
          <w:rFonts w:ascii="Calibri" w:hAnsi="Calibri" w:cs="Calibri"/>
        </w:rPr>
        <w:t>”</w:t>
      </w:r>
      <w:r w:rsidR="717AB124" w:rsidRPr="001E38B6">
        <w:rPr>
          <w:rStyle w:val="normaltextrun"/>
          <w:rFonts w:ascii="Calibri" w:hAnsi="Calibri" w:cs="Calibri"/>
        </w:rPr>
        <w:t xml:space="preserve"> manages </w:t>
      </w:r>
      <w:r w:rsidR="1297072C" w:rsidRPr="001E38B6">
        <w:rPr>
          <w:rStyle w:val="normaltextrun"/>
          <w:rFonts w:ascii="Calibri" w:hAnsi="Calibri" w:cs="Calibri"/>
        </w:rPr>
        <w:t xml:space="preserve">the extensive Global Findex </w:t>
      </w:r>
      <w:r w:rsidR="1297072C" w:rsidRPr="001E38B6">
        <w:rPr>
          <w:rStyle w:val="normaltextrun"/>
          <w:rFonts w:ascii="Calibri" w:hAnsi="Calibri" w:cs="Calibri"/>
        </w:rPr>
        <w:lastRenderedPageBreak/>
        <w:t>D</w:t>
      </w:r>
      <w:r w:rsidR="717AB124" w:rsidRPr="001E38B6">
        <w:rPr>
          <w:rStyle w:val="normaltextrun"/>
          <w:rFonts w:ascii="Calibri" w:hAnsi="Calibri" w:cs="Calibri"/>
        </w:rPr>
        <w:t>atabase that provides in-depth data on how people</w:t>
      </w:r>
      <w:r w:rsidR="3AD4F9BD" w:rsidRPr="001E38B6">
        <w:rPr>
          <w:rStyle w:val="normaltextrun"/>
          <w:rFonts w:ascii="Calibri" w:hAnsi="Calibri" w:cs="Calibri"/>
        </w:rPr>
        <w:t>, especially women and the poor,</w:t>
      </w:r>
      <w:r w:rsidR="717AB124" w:rsidRPr="001E38B6">
        <w:rPr>
          <w:rStyle w:val="normaltextrun"/>
          <w:rFonts w:ascii="Calibri" w:hAnsi="Calibri" w:cs="Calibri"/>
        </w:rPr>
        <w:t xml:space="preserve"> save, borrow, make payments and manage risk.</w:t>
      </w:r>
    </w:p>
    <w:p w14:paraId="2F1ACCE0" w14:textId="24F97164" w:rsidR="00996B8F" w:rsidRPr="001E38B6" w:rsidRDefault="67A90DB1" w:rsidP="00EB7EFB">
      <w:pPr>
        <w:pStyle w:val="MText"/>
        <w:rPr>
          <w:rStyle w:val="normaltextrun"/>
          <w:rFonts w:ascii="Calibri" w:hAnsi="Calibri" w:cs="Calibri"/>
        </w:rPr>
      </w:pPr>
      <w:r w:rsidRPr="001E38B6">
        <w:rPr>
          <w:rStyle w:val="normaltextrun"/>
          <w:rFonts w:ascii="Calibri" w:hAnsi="Calibri" w:cs="Calibri"/>
        </w:rPr>
        <w:t xml:space="preserve">The </w:t>
      </w:r>
      <w:r w:rsidR="7C6B64CD" w:rsidRPr="001E38B6">
        <w:rPr>
          <w:rStyle w:val="normaltextrun"/>
          <w:rFonts w:ascii="Calibri" w:hAnsi="Calibri" w:cs="Calibri"/>
        </w:rPr>
        <w:t xml:space="preserve">Global Findex Database </w:t>
      </w:r>
      <w:r w:rsidRPr="001E38B6">
        <w:rPr>
          <w:rStyle w:val="normaltextrun"/>
          <w:rFonts w:ascii="Calibri" w:hAnsi="Calibri" w:cs="Calibri"/>
        </w:rPr>
        <w:t xml:space="preserve">is collected in partnership with </w:t>
      </w:r>
      <w:r w:rsidR="6B8AC793" w:rsidRPr="001E38B6">
        <w:rPr>
          <w:rStyle w:val="normaltextrun"/>
          <w:rFonts w:ascii="Calibri" w:hAnsi="Calibri" w:cs="Calibri"/>
        </w:rPr>
        <w:t xml:space="preserve">Gallup, Inc., as a part of its </w:t>
      </w:r>
      <w:r w:rsidRPr="001E38B6">
        <w:rPr>
          <w:rStyle w:val="normaltextrun"/>
          <w:rFonts w:ascii="Calibri" w:hAnsi="Calibri" w:cs="Calibri"/>
        </w:rPr>
        <w:t xml:space="preserve">Gallup World Poll. For more information on </w:t>
      </w:r>
      <w:r w:rsidR="4B9E12DA" w:rsidRPr="001E38B6">
        <w:rPr>
          <w:rStyle w:val="normaltextrun"/>
          <w:rFonts w:ascii="Calibri" w:hAnsi="Calibri" w:cs="Calibri"/>
        </w:rPr>
        <w:t xml:space="preserve">their mandate and </w:t>
      </w:r>
      <w:proofErr w:type="gramStart"/>
      <w:r w:rsidR="4B9E12DA" w:rsidRPr="001E38B6">
        <w:rPr>
          <w:rStyle w:val="normaltextrun"/>
          <w:rFonts w:ascii="Calibri" w:hAnsi="Calibri" w:cs="Calibri"/>
        </w:rPr>
        <w:t xml:space="preserve">methodology </w:t>
      </w:r>
      <w:r w:rsidRPr="001E38B6">
        <w:rPr>
          <w:rStyle w:val="normaltextrun"/>
          <w:rFonts w:ascii="Calibri" w:hAnsi="Calibri" w:cs="Calibri"/>
        </w:rPr>
        <w:t>,</w:t>
      </w:r>
      <w:proofErr w:type="gramEnd"/>
      <w:r w:rsidRPr="001E38B6">
        <w:rPr>
          <w:rStyle w:val="normaltextrun"/>
          <w:rFonts w:ascii="Calibri" w:hAnsi="Calibri" w:cs="Calibri"/>
        </w:rPr>
        <w:t xml:space="preserve"> please see here: </w:t>
      </w:r>
      <w:hyperlink r:id="rId13" w:history="1">
        <w:r w:rsidRPr="001E38B6">
          <w:rPr>
            <w:rStyle w:val="normaltextrun"/>
            <w:rFonts w:ascii="Calibri" w:hAnsi="Calibri" w:cs="Calibri"/>
          </w:rPr>
          <w:t>https://www.gallup.com/178667/gallup-world-poll-work.aspx</w:t>
        </w:r>
      </w:hyperlink>
      <w:r w:rsidR="22DCE4CF" w:rsidRPr="001E38B6">
        <w:rPr>
          <w:rStyle w:val="normaltextrun"/>
          <w:rFonts w:ascii="Calibri" w:hAnsi="Calibri" w:cs="Calibri"/>
        </w:rPr>
        <w:t xml:space="preserve">. </w:t>
      </w:r>
    </w:p>
    <w:p w14:paraId="1138646A" w14:textId="58DAC584" w:rsidR="00996B8F" w:rsidRPr="00A96255" w:rsidRDefault="00996B8F" w:rsidP="6E5A74AA">
      <w:pPr>
        <w:pStyle w:val="MText"/>
        <w:rPr>
          <w:rStyle w:val="normaltextrun"/>
          <w:rFonts w:ascii="Calibri" w:hAnsi="Calibri" w:cs="Calibri"/>
        </w:rPr>
      </w:pPr>
    </w:p>
    <w:p w14:paraId="3D063F4C" w14:textId="3B71033C"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BC2A1E3" w14:textId="3C8FC58C" w:rsidR="007F5097" w:rsidRPr="00F02783" w:rsidRDefault="14BF02EE" w:rsidP="001E38B6">
      <w:pPr>
        <w:spacing w:after="0"/>
        <w:rPr>
          <w:sz w:val="21"/>
          <w:szCs w:val="21"/>
        </w:rPr>
      </w:pPr>
      <w:r w:rsidRPr="00F02783">
        <w:rPr>
          <w:sz w:val="21"/>
          <w:szCs w:val="21"/>
        </w:rPr>
        <w:t xml:space="preserve">Financial inclusion means that households have access to and can effectively use appropriate financial services that are provided responsibly and sustainably in a well-regulated environment. Studies show that when people participate in the financial system, they are better able to start and expand businesses, invest in education, manage risk and absorb financial shocks. Measurement is key to understanding financial inclusion and identifying opportunities to remove barriers that may be preventing people from using financial services. The Global Findex Database 2021 </w:t>
      </w:r>
      <w:r w:rsidR="33C731F4" w:rsidRPr="00F02783">
        <w:rPr>
          <w:sz w:val="21"/>
          <w:szCs w:val="21"/>
        </w:rPr>
        <w:t>is the first global, comparable database of demand-side financial inclusion indicators, capturing insights into how adults around the world save, borrow, make payments and manage risk.</w:t>
      </w:r>
    </w:p>
    <w:p w14:paraId="3CF055DC" w14:textId="181A8CC9" w:rsidR="007F5097" w:rsidRPr="00A96255" w:rsidRDefault="007F5097"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6B763E8" w14:textId="7CC01E34" w:rsidR="00DC3DCA" w:rsidRDefault="007F5097" w:rsidP="001E38B6">
      <w:pPr>
        <w:spacing w:after="0"/>
        <w:rPr>
          <w:rStyle w:val="normaltextrun"/>
          <w:rFonts w:ascii="Calibri" w:hAnsi="Calibri" w:cs="Calibri"/>
          <w:color w:val="1C75BC"/>
          <w:sz w:val="26"/>
          <w:szCs w:val="36"/>
        </w:rPr>
      </w:pPr>
      <w:r w:rsidRPr="005130BF">
        <w:rPr>
          <w:sz w:val="21"/>
          <w:szCs w:val="21"/>
        </w:rPr>
        <w:t> </w:t>
      </w:r>
      <w:r w:rsidR="3AB6266E" w:rsidRPr="169746A9">
        <w:rPr>
          <w:sz w:val="21"/>
          <w:szCs w:val="21"/>
        </w:rPr>
        <w:t xml:space="preserve">Global Findex </w:t>
      </w:r>
      <w:r w:rsidR="00DC3DCA" w:rsidRPr="169746A9">
        <w:rPr>
          <w:sz w:val="21"/>
          <w:szCs w:val="21"/>
        </w:rPr>
        <w:t>Database</w:t>
      </w:r>
      <w:r w:rsidR="3AB6266E" w:rsidRPr="001E38B6">
        <w:rPr>
          <w:sz w:val="21"/>
          <w:szCs w:val="21"/>
        </w:rPr>
        <w:t>—</w:t>
      </w:r>
      <w:r w:rsidR="22F3671A" w:rsidRPr="169746A9">
        <w:rPr>
          <w:sz w:val="21"/>
          <w:szCs w:val="21"/>
        </w:rPr>
        <w:t xml:space="preserve">only </w:t>
      </w:r>
      <w:r w:rsidR="3AB6266E" w:rsidRPr="001E38B6">
        <w:rPr>
          <w:sz w:val="21"/>
          <w:szCs w:val="21"/>
        </w:rPr>
        <w:t>measures the ‘perception’ people have about their account ownership and usage</w:t>
      </w:r>
      <w:r w:rsidR="04F516A1" w:rsidRPr="001E38B6">
        <w:rPr>
          <w:sz w:val="21"/>
          <w:szCs w:val="21"/>
        </w:rPr>
        <w:t xml:space="preserve"> by providing individual-level survey data on the demographic characteristics of users of financial services.</w:t>
      </w:r>
      <w:r w:rsidR="0D5E521C" w:rsidRPr="001E38B6">
        <w:rPr>
          <w:sz w:val="21"/>
          <w:szCs w:val="21"/>
        </w:rPr>
        <w:t xml:space="preserve"> </w:t>
      </w:r>
      <w:r w:rsidR="00090001" w:rsidRPr="169746A9">
        <w:rPr>
          <w:sz w:val="21"/>
          <w:szCs w:val="21"/>
        </w:rPr>
        <w:t>This d</w:t>
      </w:r>
      <w:r w:rsidR="6E5A74AA" w:rsidRPr="001E38B6">
        <w:rPr>
          <w:sz w:val="21"/>
          <w:szCs w:val="21"/>
        </w:rPr>
        <w:t xml:space="preserve">emand-side data collects information on the percent of adults who think of themselves as ‘banked’ and having access to an account. </w:t>
      </w:r>
      <w:r w:rsidR="2DE31803" w:rsidRPr="001E38B6">
        <w:rPr>
          <w:sz w:val="21"/>
          <w:szCs w:val="21"/>
        </w:rPr>
        <w:t xml:space="preserve"> The database complements but does replace existing supply-side data and other household surveys.</w:t>
      </w:r>
    </w:p>
    <w:p w14:paraId="0CF527DC" w14:textId="77777777" w:rsidR="00DC3DCA" w:rsidRDefault="00DC3DCA" w:rsidP="6E5A74AA">
      <w:pPr>
        <w:pStyle w:val="MText"/>
        <w:rPr>
          <w:rStyle w:val="normaltextrun"/>
          <w:rFonts w:ascii="Calibri" w:hAnsi="Calibri" w:cs="Calibri"/>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F33BB0" w14:textId="1A8F0D73" w:rsidR="4CA93082" w:rsidRPr="001E38B6" w:rsidRDefault="4CA93082" w:rsidP="005130BF">
      <w:pPr>
        <w:rPr>
          <w:sz w:val="21"/>
          <w:szCs w:val="21"/>
        </w:rPr>
      </w:pPr>
      <w:r w:rsidRPr="001E38B6">
        <w:rPr>
          <w:sz w:val="21"/>
          <w:szCs w:val="21"/>
        </w:rPr>
        <w:t>The indicator is based on data collected through individual level surveys in each country with representative</w:t>
      </w:r>
      <w:r w:rsidRPr="169746A9">
        <w:rPr>
          <w:sz w:val="21"/>
          <w:szCs w:val="21"/>
        </w:rPr>
        <w:t xml:space="preserve"> samples. </w:t>
      </w:r>
      <w:r w:rsidR="7C0744EB" w:rsidRPr="169746A9">
        <w:rPr>
          <w:sz w:val="21"/>
          <w:szCs w:val="21"/>
        </w:rPr>
        <w:t xml:space="preserve"> Data weighting is used to ensure a nationally representative sample for each economy. Final weights consist of the base sampling weight, which corrects for unequal probability of selection based on household size, and the poststratification weight, which corrects for sampling and nonresponse error. Poststratification weights use economy-level population statistics on gender and age and, where reliable data are available, education or socioeconomic status. </w:t>
      </w:r>
      <w:r w:rsidR="177A004B" w:rsidRPr="169746A9">
        <w:rPr>
          <w:sz w:val="21"/>
          <w:szCs w:val="21"/>
        </w:rPr>
        <w:t xml:space="preserve">Regional population weights are used to calculate regional aggregates. </w:t>
      </w:r>
    </w:p>
    <w:p w14:paraId="027CF1FF" w14:textId="13C46FF9" w:rsidR="5BF54906" w:rsidRPr="001E38B6" w:rsidRDefault="5BF54906" w:rsidP="001E38B6">
      <w:pPr>
        <w:spacing w:after="0"/>
      </w:pPr>
      <w:r w:rsidRPr="005130BF">
        <w:rPr>
          <w:sz w:val="21"/>
          <w:szCs w:val="21"/>
        </w:rPr>
        <w:t xml:space="preserve">Full report, including methodology and interview procedures, data preparation, margin of error and notes by country are all available under </w:t>
      </w:r>
      <w:r w:rsidRPr="001E38B6">
        <w:rPr>
          <w:sz w:val="21"/>
          <w:szCs w:val="21"/>
        </w:rPr>
        <w:t>Methodology Table A.1</w:t>
      </w:r>
      <w:r w:rsidR="005130BF">
        <w:rPr>
          <w:sz w:val="21"/>
          <w:szCs w:val="21"/>
        </w:rPr>
        <w:t xml:space="preserve"> </w:t>
      </w:r>
      <w:r w:rsidR="00DD40ED">
        <w:rPr>
          <w:sz w:val="21"/>
          <w:szCs w:val="21"/>
        </w:rPr>
        <w:t>here:</w:t>
      </w:r>
      <w:r w:rsidRPr="001E38B6">
        <w:t xml:space="preserve"> </w:t>
      </w:r>
      <w:hyperlink r:id="rId14" w:history="1">
        <w:hyperlink r:id="rId15" w:history="1">
          <w:r w:rsidRPr="001E38B6">
            <w:rPr>
              <w:rStyle w:val="Hyperlink"/>
            </w:rPr>
            <w:t>https://www.worldbank.org/en/publication/globalfindex/Report</w:t>
          </w:r>
        </w:hyperlink>
      </w:hyperlink>
    </w:p>
    <w:p w14:paraId="1DEA13CE" w14:textId="2F43D0D3" w:rsidR="6E5A74AA" w:rsidRDefault="6E5A74AA" w:rsidP="6E5A74AA">
      <w:pPr>
        <w:pStyle w:val="MText"/>
        <w:rPr>
          <w:rStyle w:val="eop"/>
          <w:rFonts w:ascii="Calibri" w:hAnsi="Calibri" w:cs="Calibri"/>
        </w:rPr>
      </w:pPr>
    </w:p>
    <w:p w14:paraId="514CE3C0" w14:textId="3F3F7A53" w:rsidR="00E1050F" w:rsidRPr="00A96255" w:rsidRDefault="5DC0AA24" w:rsidP="00F719A8">
      <w:pPr>
        <w:pStyle w:val="MHeader2"/>
      </w:pPr>
      <w:r>
        <w:t xml:space="preserve">4.d. Validation </w:t>
      </w:r>
      <w:r>
        <w:rPr>
          <w:color w:val="B4B4B4"/>
          <w:sz w:val="20"/>
        </w:rPr>
        <w:t>(DATA_VALIDATION)</w:t>
      </w:r>
    </w:p>
    <w:p w14:paraId="549F84B3" w14:textId="252F66DF" w:rsidR="5E1886C3" w:rsidRPr="001E38B6" w:rsidRDefault="5E1886C3" w:rsidP="001E38B6">
      <w:pPr>
        <w:spacing w:after="0"/>
        <w:rPr>
          <w:sz w:val="21"/>
          <w:szCs w:val="21"/>
        </w:rPr>
      </w:pPr>
      <w:r w:rsidRPr="001E38B6">
        <w:rPr>
          <w:sz w:val="21"/>
          <w:szCs w:val="21"/>
        </w:rPr>
        <w:t>The</w:t>
      </w:r>
      <w:r w:rsidR="00592200" w:rsidRPr="169746A9">
        <w:rPr>
          <w:sz w:val="21"/>
          <w:szCs w:val="21"/>
        </w:rPr>
        <w:t>re is a thorough</w:t>
      </w:r>
      <w:r w:rsidRPr="001E38B6">
        <w:rPr>
          <w:sz w:val="21"/>
          <w:szCs w:val="21"/>
        </w:rPr>
        <w:t xml:space="preserve"> review process of the </w:t>
      </w:r>
      <w:r w:rsidR="00592200" w:rsidRPr="169746A9">
        <w:rPr>
          <w:sz w:val="21"/>
          <w:szCs w:val="21"/>
        </w:rPr>
        <w:t xml:space="preserve">Global Findex surveys to </w:t>
      </w:r>
      <w:r w:rsidRPr="001E38B6">
        <w:rPr>
          <w:sz w:val="21"/>
          <w:szCs w:val="21"/>
        </w:rPr>
        <w:t>ensure its quality and integrity</w:t>
      </w:r>
      <w:r w:rsidR="12FA5600" w:rsidRPr="169746A9">
        <w:rPr>
          <w:sz w:val="21"/>
          <w:szCs w:val="21"/>
        </w:rPr>
        <w:t xml:space="preserve">. </w:t>
      </w:r>
      <w:r w:rsidRPr="001E38B6">
        <w:rPr>
          <w:sz w:val="21"/>
          <w:szCs w:val="21"/>
        </w:rPr>
        <w:t>Gallup, Inc, the survey vendor for the Global Findex database, follows the highest standards for sampling and collecting the data and thoroughly vets the data before sharing it with the Global Findex team. Once the data is received by the Findex team, the team vets the data by comparing headline indicators from the database against data from previous rounds of the database.</w:t>
      </w:r>
    </w:p>
    <w:p w14:paraId="0025F830" w14:textId="664B8D88" w:rsidR="00F719A8" w:rsidRPr="00A96255" w:rsidRDefault="00F719A8" w:rsidP="00576CFA">
      <w:pPr>
        <w:pStyle w:val="MText"/>
      </w:pPr>
    </w:p>
    <w:p w14:paraId="2CF2A343" w14:textId="0A7F0CBE" w:rsidR="00E1050F" w:rsidRPr="00A96255" w:rsidRDefault="55662DE5" w:rsidP="00F719A8">
      <w:pPr>
        <w:pStyle w:val="MHeader2"/>
      </w:pPr>
      <w:r>
        <w:t xml:space="preserve">4.e. Adjustments </w:t>
      </w:r>
      <w:r>
        <w:rPr>
          <w:color w:val="B4B4B4"/>
          <w:sz w:val="20"/>
        </w:rPr>
        <w:t>(ADJUSTMENT)</w:t>
      </w:r>
    </w:p>
    <w:p w14:paraId="30645ACB" w14:textId="1080C002" w:rsidR="00996B8F" w:rsidRPr="001E38B6" w:rsidRDefault="00000000" w:rsidP="001E38B6">
      <w:pPr>
        <w:spacing w:after="0"/>
        <w:rPr>
          <w:color w:val="4A4A4A"/>
          <w:sz w:val="21"/>
          <w:szCs w:val="21"/>
        </w:rPr>
      </w:pPr>
      <w:hyperlink r:id="rId16" w:history="1">
        <w:r w:rsidR="6B923E9C" w:rsidRPr="001E38B6">
          <w:rPr>
            <w:rStyle w:val="Hyperlink"/>
            <w:color w:val="4A4A4A"/>
            <w:sz w:val="21"/>
            <w:szCs w:val="21"/>
            <w:u w:val="none"/>
          </w:rPr>
          <w:t>Not</w:t>
        </w:r>
      </w:hyperlink>
      <w:r w:rsidR="6B923E9C" w:rsidRPr="001E38B6">
        <w:rPr>
          <w:color w:val="4A4A4A"/>
          <w:sz w:val="21"/>
          <w:szCs w:val="21"/>
        </w:rPr>
        <w:t xml:space="preserve">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C1CBE41" w14:textId="77777777" w:rsidR="007F5097" w:rsidRPr="00FE352C" w:rsidRDefault="007F5097" w:rsidP="007F5097">
      <w:pPr>
        <w:pStyle w:val="paragraph"/>
        <w:numPr>
          <w:ilvl w:val="0"/>
          <w:numId w:val="11"/>
        </w:numPr>
        <w:shd w:val="clear" w:color="auto" w:fill="FFFFFF"/>
        <w:spacing w:before="0" w:beforeAutospacing="0" w:after="0" w:afterAutospacing="0"/>
        <w:ind w:left="360" w:firstLine="0"/>
        <w:textAlignment w:val="baseline"/>
        <w:rPr>
          <w:rFonts w:ascii="Calibri" w:hAnsi="Calibri" w:cs="Calibri"/>
          <w:b/>
          <w:bCs/>
          <w:sz w:val="21"/>
          <w:szCs w:val="21"/>
        </w:rPr>
      </w:pPr>
      <w:r w:rsidRPr="00FE352C">
        <w:rPr>
          <w:rStyle w:val="normaltextrun"/>
          <w:rFonts w:ascii="Calibri" w:hAnsi="Calibri" w:cs="Calibri"/>
          <w:b/>
          <w:bCs/>
          <w:color w:val="1C75BC"/>
          <w:sz w:val="21"/>
          <w:szCs w:val="21"/>
          <w:lang w:val="en-GB"/>
        </w:rPr>
        <w:t>At country level</w:t>
      </w:r>
      <w:r w:rsidRPr="00FE352C">
        <w:rPr>
          <w:rStyle w:val="eop"/>
          <w:rFonts w:ascii="Calibri" w:hAnsi="Calibri" w:cs="Calibri"/>
          <w:b/>
          <w:bCs/>
          <w:color w:val="1C75BC"/>
          <w:sz w:val="21"/>
          <w:szCs w:val="21"/>
        </w:rPr>
        <w:t> </w:t>
      </w:r>
    </w:p>
    <w:p w14:paraId="20F23086" w14:textId="7C48229B" w:rsidR="007F5097" w:rsidRDefault="4CA93082" w:rsidP="2E5499FE">
      <w:pPr>
        <w:pStyle w:val="paragraph"/>
        <w:shd w:val="clear" w:color="auto" w:fill="FFFFFF" w:themeFill="background1"/>
        <w:spacing w:before="0" w:beforeAutospacing="0" w:after="0" w:afterAutospacing="0"/>
        <w:ind w:left="720"/>
        <w:textAlignment w:val="baseline"/>
        <w:rPr>
          <w:rFonts w:ascii="Segoe UI" w:hAnsi="Segoe UI" w:cs="Segoe UI"/>
          <w:sz w:val="18"/>
          <w:szCs w:val="18"/>
        </w:rPr>
      </w:pPr>
      <w:r w:rsidRPr="6E5A74AA">
        <w:rPr>
          <w:rStyle w:val="eop"/>
          <w:rFonts w:ascii="Calibri" w:hAnsi="Calibri" w:cs="Calibri"/>
          <w:color w:val="4A4A4A"/>
          <w:sz w:val="21"/>
          <w:szCs w:val="21"/>
        </w:rPr>
        <w:t> </w:t>
      </w:r>
      <w:r w:rsidR="3BDCDECD" w:rsidRPr="6E5A74AA">
        <w:rPr>
          <w:rStyle w:val="eop"/>
          <w:rFonts w:ascii="Calibri" w:hAnsi="Calibri" w:cs="Calibri"/>
          <w:color w:val="4A4A4A"/>
          <w:sz w:val="21"/>
          <w:szCs w:val="21"/>
        </w:rPr>
        <w:t xml:space="preserve">Data for “don’t know” and “refused to answer” form 0-1% of the total responses and are counted as </w:t>
      </w:r>
      <w:r w:rsidR="3B5DD49C" w:rsidRPr="6E5A74AA">
        <w:rPr>
          <w:rStyle w:val="eop"/>
          <w:rFonts w:ascii="Calibri" w:hAnsi="Calibri" w:cs="Calibri"/>
          <w:color w:val="4A4A4A"/>
          <w:sz w:val="21"/>
          <w:szCs w:val="21"/>
        </w:rPr>
        <w:t>“no”</w:t>
      </w:r>
      <w:r w:rsidR="00E152B4">
        <w:rPr>
          <w:rStyle w:val="eop"/>
          <w:rFonts w:ascii="Calibri" w:hAnsi="Calibri" w:cs="Calibri"/>
          <w:color w:val="4A4A4A"/>
          <w:sz w:val="21"/>
          <w:szCs w:val="21"/>
        </w:rPr>
        <w:t xml:space="preserve"> instead of missing</w:t>
      </w:r>
      <w:r w:rsidR="3B5DD49C" w:rsidRPr="6E5A74AA">
        <w:rPr>
          <w:rStyle w:val="eop"/>
          <w:rFonts w:ascii="Calibri" w:hAnsi="Calibri" w:cs="Calibri"/>
          <w:color w:val="4A4A4A"/>
          <w:sz w:val="21"/>
          <w:szCs w:val="21"/>
        </w:rPr>
        <w:t xml:space="preserve">. </w:t>
      </w:r>
      <w:r w:rsidR="43461AB3" w:rsidRPr="6E5A74AA">
        <w:rPr>
          <w:rStyle w:val="eop"/>
          <w:rFonts w:ascii="Calibri" w:hAnsi="Calibri" w:cs="Calibri"/>
          <w:color w:val="4A4A4A"/>
          <w:sz w:val="21"/>
          <w:szCs w:val="21"/>
        </w:rPr>
        <w:t xml:space="preserve">Any </w:t>
      </w:r>
      <w:r w:rsidR="5D7D418E" w:rsidRPr="6E5A74AA">
        <w:rPr>
          <w:rStyle w:val="eop"/>
          <w:rFonts w:ascii="Calibri" w:hAnsi="Calibri" w:cs="Calibri"/>
          <w:color w:val="4A4A4A"/>
          <w:sz w:val="21"/>
          <w:szCs w:val="21"/>
        </w:rPr>
        <w:t xml:space="preserve">estimates based on </w:t>
      </w:r>
      <w:r w:rsidR="43461AB3" w:rsidRPr="6E5A74AA">
        <w:rPr>
          <w:rStyle w:val="eop"/>
          <w:rFonts w:ascii="Calibri" w:hAnsi="Calibri" w:cs="Calibri"/>
          <w:color w:val="4A4A4A"/>
          <w:sz w:val="21"/>
          <w:szCs w:val="21"/>
        </w:rPr>
        <w:t>fewer than 10% of survey sample</w:t>
      </w:r>
      <w:r w:rsidR="65AFDA5A" w:rsidRPr="6E5A74AA">
        <w:rPr>
          <w:rStyle w:val="eop"/>
          <w:rFonts w:ascii="Calibri" w:hAnsi="Calibri" w:cs="Calibri"/>
          <w:color w:val="4A4A4A"/>
          <w:sz w:val="21"/>
          <w:szCs w:val="21"/>
        </w:rPr>
        <w:t xml:space="preserve"> observations are considered economically insignificant and therefore </w:t>
      </w:r>
      <w:r w:rsidR="43461AB3" w:rsidRPr="6E5A74AA">
        <w:rPr>
          <w:rStyle w:val="eop"/>
          <w:rFonts w:ascii="Calibri" w:hAnsi="Calibri" w:cs="Calibri"/>
          <w:color w:val="4A4A4A"/>
          <w:sz w:val="21"/>
          <w:szCs w:val="21"/>
        </w:rPr>
        <w:t>suppressed.</w:t>
      </w:r>
    </w:p>
    <w:p w14:paraId="063C518F" w14:textId="77777777" w:rsidR="007F5097" w:rsidRPr="00FE352C" w:rsidRDefault="007F5097" w:rsidP="007F5097">
      <w:pPr>
        <w:pStyle w:val="paragraph"/>
        <w:numPr>
          <w:ilvl w:val="0"/>
          <w:numId w:val="12"/>
        </w:numPr>
        <w:shd w:val="clear" w:color="auto" w:fill="FFFFFF"/>
        <w:spacing w:before="0" w:beforeAutospacing="0" w:after="0" w:afterAutospacing="0"/>
        <w:ind w:left="360" w:firstLine="0"/>
        <w:textAlignment w:val="baseline"/>
        <w:rPr>
          <w:rFonts w:ascii="Calibri" w:hAnsi="Calibri" w:cs="Calibri"/>
          <w:b/>
          <w:bCs/>
          <w:sz w:val="21"/>
          <w:szCs w:val="21"/>
        </w:rPr>
      </w:pPr>
      <w:r w:rsidRPr="00FE352C">
        <w:rPr>
          <w:rStyle w:val="normaltextrun"/>
          <w:rFonts w:ascii="Calibri" w:hAnsi="Calibri" w:cs="Calibri"/>
          <w:b/>
          <w:bCs/>
          <w:color w:val="1C75BC"/>
          <w:sz w:val="21"/>
          <w:szCs w:val="21"/>
          <w:lang w:val="en-GB"/>
        </w:rPr>
        <w:t>At regional and global levels</w:t>
      </w:r>
      <w:r w:rsidRPr="00FE352C">
        <w:rPr>
          <w:rStyle w:val="eop"/>
          <w:rFonts w:ascii="Calibri" w:hAnsi="Calibri" w:cs="Calibri"/>
          <w:b/>
          <w:bCs/>
          <w:color w:val="1C75BC"/>
          <w:sz w:val="21"/>
          <w:szCs w:val="21"/>
        </w:rPr>
        <w:t> </w:t>
      </w:r>
    </w:p>
    <w:p w14:paraId="65A86537" w14:textId="4E9B0DD0" w:rsidR="007F5097" w:rsidRDefault="007F5097" w:rsidP="00FE352C">
      <w:pPr>
        <w:pStyle w:val="paragraph"/>
        <w:shd w:val="clear" w:color="auto" w:fill="FFFFFF"/>
        <w:spacing w:before="0" w:beforeAutospacing="0" w:after="0" w:afterAutospacing="0"/>
        <w:ind w:left="720"/>
        <w:textAlignment w:val="baseline"/>
        <w:rPr>
          <w:rFonts w:ascii="Segoe UI" w:hAnsi="Segoe UI" w:cs="Segoe UI"/>
          <w:sz w:val="18"/>
          <w:szCs w:val="18"/>
        </w:rPr>
      </w:pPr>
      <w:r w:rsidRPr="00FE352C">
        <w:rPr>
          <w:rStyle w:val="eop"/>
          <w:rFonts w:ascii="Calibri" w:hAnsi="Calibri" w:cs="Calibri"/>
          <w:b/>
          <w:bCs/>
          <w:color w:val="4A4A4A"/>
          <w:sz w:val="21"/>
          <w:szCs w:val="21"/>
        </w:rPr>
        <w:t> </w:t>
      </w:r>
      <w:r w:rsidR="00E96EB7">
        <w:rPr>
          <w:rStyle w:val="normaltextrun"/>
          <w:rFonts w:ascii="Calibri" w:hAnsi="Calibri" w:cs="Calibri"/>
          <w:color w:val="4A4A4A"/>
          <w:sz w:val="21"/>
          <w:szCs w:val="21"/>
          <w:lang w:val="en-GB"/>
        </w:rPr>
        <w:t>Not applicable</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D6D3863" w14:textId="7456B63C" w:rsidR="00E152B4" w:rsidRDefault="53420045" w:rsidP="2E5499FE">
      <w:pPr>
        <w:pStyle w:val="MText"/>
        <w:rPr>
          <w:rStyle w:val="eop"/>
          <w:rFonts w:ascii="Calibri" w:hAnsi="Calibri" w:cs="Calibri"/>
        </w:rPr>
      </w:pPr>
      <w:r w:rsidRPr="169746A9">
        <w:rPr>
          <w:rStyle w:val="normaltextrun"/>
          <w:rFonts w:ascii="Calibri" w:hAnsi="Calibri" w:cs="Calibri"/>
        </w:rPr>
        <w:t>R</w:t>
      </w:r>
      <w:r w:rsidR="47FA3985" w:rsidRPr="169746A9">
        <w:rPr>
          <w:rStyle w:val="normaltextrun"/>
          <w:rFonts w:ascii="Calibri" w:hAnsi="Calibri" w:cs="Calibri"/>
        </w:rPr>
        <w:t xml:space="preserve">egional </w:t>
      </w:r>
      <w:r w:rsidR="00E152B4" w:rsidRPr="169746A9">
        <w:rPr>
          <w:rStyle w:val="normaltextrun"/>
          <w:rFonts w:ascii="Calibri" w:hAnsi="Calibri" w:cs="Calibri"/>
        </w:rPr>
        <w:t>estima</w:t>
      </w:r>
      <w:r w:rsidR="2E1D91BF" w:rsidRPr="169746A9">
        <w:rPr>
          <w:rStyle w:val="normaltextrun"/>
          <w:rFonts w:ascii="Calibri" w:hAnsi="Calibri" w:cs="Calibri"/>
        </w:rPr>
        <w:t>tes</w:t>
      </w:r>
      <w:r w:rsidR="1CDFC709" w:rsidRPr="169746A9">
        <w:rPr>
          <w:rStyle w:val="normaltextrun"/>
          <w:rFonts w:ascii="Calibri" w:hAnsi="Calibri" w:cs="Calibri"/>
        </w:rPr>
        <w:t xml:space="preserve"> are </w:t>
      </w:r>
      <w:r w:rsidR="00E152B4" w:rsidRPr="169746A9">
        <w:rPr>
          <w:rStyle w:val="normaltextrun"/>
          <w:rFonts w:ascii="Calibri" w:hAnsi="Calibri" w:cs="Calibri"/>
        </w:rPr>
        <w:t>calculated</w:t>
      </w:r>
      <w:r w:rsidR="1CDFC709" w:rsidRPr="169746A9">
        <w:rPr>
          <w:rStyle w:val="normaltextrun"/>
          <w:rFonts w:ascii="Calibri" w:hAnsi="Calibri" w:cs="Calibri"/>
        </w:rPr>
        <w:t xml:space="preserve"> by aggregating </w:t>
      </w:r>
      <w:r w:rsidR="47FA3985" w:rsidRPr="169746A9">
        <w:rPr>
          <w:rStyle w:val="normaltextrun"/>
          <w:rFonts w:ascii="Calibri" w:hAnsi="Calibri" w:cs="Calibri"/>
        </w:rPr>
        <w:t>individual level surveys for each country in the</w:t>
      </w:r>
      <w:r w:rsidR="37309E13" w:rsidRPr="169746A9">
        <w:rPr>
          <w:rStyle w:val="normaltextrun"/>
          <w:rFonts w:ascii="Calibri" w:hAnsi="Calibri" w:cs="Calibri"/>
        </w:rPr>
        <w:t xml:space="preserve"> developing</w:t>
      </w:r>
      <w:r w:rsidR="47FA3985" w:rsidRPr="169746A9">
        <w:rPr>
          <w:rStyle w:val="normaltextrun"/>
          <w:rFonts w:ascii="Calibri" w:hAnsi="Calibri" w:cs="Calibri"/>
        </w:rPr>
        <w:t xml:space="preserve"> region</w:t>
      </w:r>
      <w:r w:rsidR="009F170D" w:rsidRPr="169746A9">
        <w:rPr>
          <w:rStyle w:val="normaltextrun"/>
          <w:rFonts w:ascii="Calibri" w:hAnsi="Calibri" w:cs="Calibri"/>
        </w:rPr>
        <w:t>s</w:t>
      </w:r>
      <w:r w:rsidR="47FA3985" w:rsidRPr="169746A9">
        <w:rPr>
          <w:rStyle w:val="normaltextrun"/>
          <w:rFonts w:ascii="Calibri" w:hAnsi="Calibri" w:cs="Calibri"/>
        </w:rPr>
        <w:t xml:space="preserve">. Appropriate regional population-based weights are applied. </w:t>
      </w:r>
      <w:r w:rsidR="1365B7E4" w:rsidRPr="169746A9">
        <w:rPr>
          <w:rStyle w:val="eop"/>
          <w:rFonts w:ascii="Calibri" w:hAnsi="Calibri" w:cs="Calibri"/>
        </w:rPr>
        <w:t>Information on</w:t>
      </w:r>
      <w:r w:rsidR="6F313791" w:rsidRPr="169746A9">
        <w:rPr>
          <w:rStyle w:val="eop"/>
          <w:rFonts w:ascii="Calibri" w:hAnsi="Calibri" w:cs="Calibri"/>
        </w:rPr>
        <w:t xml:space="preserve"> developing</w:t>
      </w:r>
      <w:r w:rsidR="1365B7E4" w:rsidRPr="169746A9">
        <w:rPr>
          <w:rStyle w:val="eop"/>
          <w:rFonts w:ascii="Calibri" w:hAnsi="Calibri" w:cs="Calibri"/>
        </w:rPr>
        <w:t xml:space="preserve"> regional classification(s)</w:t>
      </w:r>
      <w:r w:rsidR="11E6E577" w:rsidRPr="169746A9">
        <w:rPr>
          <w:rStyle w:val="eop"/>
          <w:rFonts w:ascii="Calibri" w:hAnsi="Calibri" w:cs="Calibri"/>
        </w:rPr>
        <w:t xml:space="preserve"> is taken from the World Bank</w:t>
      </w:r>
      <w:r w:rsidR="14D3C90A" w:rsidRPr="169746A9">
        <w:rPr>
          <w:rStyle w:val="eop"/>
          <w:rFonts w:ascii="Calibri" w:hAnsi="Calibri" w:cs="Calibri"/>
        </w:rPr>
        <w:t xml:space="preserve"> and the</w:t>
      </w:r>
      <w:r w:rsidR="1365B7E4" w:rsidRPr="169746A9">
        <w:rPr>
          <w:rStyle w:val="eop"/>
          <w:rFonts w:ascii="Calibri" w:hAnsi="Calibri" w:cs="Calibri"/>
        </w:rPr>
        <w:t xml:space="preserve"> population data is taken from</w:t>
      </w:r>
      <w:r w:rsidR="508BCAA8" w:rsidRPr="169746A9">
        <w:rPr>
          <w:rStyle w:val="eop"/>
          <w:rFonts w:ascii="Calibri" w:hAnsi="Calibri" w:cs="Calibri"/>
        </w:rPr>
        <w:t xml:space="preserve"> the World Development Indicators (WDI).</w:t>
      </w:r>
      <w:r w:rsidR="1365B7E4" w:rsidRPr="169746A9">
        <w:rPr>
          <w:rStyle w:val="eop"/>
          <w:rFonts w:ascii="Calibri" w:hAnsi="Calibri" w:cs="Calibri"/>
        </w:rPr>
        <w:t xml:space="preserve"> </w:t>
      </w:r>
    </w:p>
    <w:p w14:paraId="3E977883" w14:textId="77777777" w:rsidR="007F5097" w:rsidRPr="00A96255" w:rsidRDefault="007F5097" w:rsidP="00576CFA">
      <w:pPr>
        <w:pStyle w:val="MText"/>
      </w:pPr>
    </w:p>
    <w:p w14:paraId="71213FF2" w14:textId="52980C15" w:rsidR="00E1050F" w:rsidRPr="00A96255" w:rsidRDefault="5DC0AA24" w:rsidP="00F719A8">
      <w:pPr>
        <w:pStyle w:val="MHeader2"/>
      </w:pPr>
      <w:r>
        <w:t xml:space="preserve">4.h. Methods and guidance available to countries for the compilation of the data at the national level </w:t>
      </w:r>
      <w:r>
        <w:rPr>
          <w:color w:val="B4B4B4"/>
          <w:sz w:val="20"/>
        </w:rPr>
        <w:t>(DOC_METHOD)</w:t>
      </w:r>
    </w:p>
    <w:p w14:paraId="2939895F" w14:textId="77777777" w:rsidR="00EC2915" w:rsidRDefault="00EC2915" w:rsidP="00576CFA">
      <w:pPr>
        <w:pStyle w:val="MText"/>
      </w:pPr>
    </w:p>
    <w:p w14:paraId="273C9EDD" w14:textId="77777777" w:rsidR="00FE7033" w:rsidRPr="00A96255" w:rsidRDefault="00FE7033" w:rsidP="00576CFA">
      <w:pPr>
        <w:pStyle w:val="MText"/>
      </w:pPr>
    </w:p>
    <w:p w14:paraId="4B3486F7" w14:textId="2EA69061" w:rsidR="00EB7EFB" w:rsidRPr="00A96255" w:rsidRDefault="002F24E9" w:rsidP="00EB7EFB">
      <w:pPr>
        <w:pStyle w:val="MHeader2"/>
      </w:pPr>
      <w:r w:rsidRPr="002F24E9">
        <w:t xml:space="preserve">4.i. Quality management </w:t>
      </w:r>
      <w:r>
        <w:rPr>
          <w:color w:val="B4B4B4"/>
          <w:sz w:val="20"/>
        </w:rPr>
        <w:t>(QUALITY_MGMNT)</w:t>
      </w:r>
    </w:p>
    <w:p w14:paraId="19AF4226" w14:textId="49F3C5DC" w:rsidR="00FE7033" w:rsidRPr="001E38B6" w:rsidRDefault="001320EE" w:rsidP="001E38B6">
      <w:pPr>
        <w:pStyle w:val="MText"/>
        <w:rPr>
          <w:rStyle w:val="normaltextrun"/>
        </w:rPr>
      </w:pPr>
      <w:r w:rsidRPr="001E38B6">
        <w:rPr>
          <w:rStyle w:val="normaltextrun"/>
        </w:rPr>
        <w:t xml:space="preserve">The </w:t>
      </w:r>
      <w:r w:rsidR="71183D07" w:rsidRPr="001E38B6">
        <w:rPr>
          <w:rStyle w:val="normaltextrun"/>
        </w:rPr>
        <w:t>Findex team</w:t>
      </w:r>
      <w:r w:rsidRPr="001E38B6">
        <w:rPr>
          <w:rStyle w:val="normaltextrun"/>
        </w:rPr>
        <w:t xml:space="preserve"> oversees the quality management of the Global Findex Database.</w:t>
      </w:r>
    </w:p>
    <w:p w14:paraId="05804665" w14:textId="77777777" w:rsidR="00EB7EFB" w:rsidRPr="001E38B6" w:rsidRDefault="00EB7EFB" w:rsidP="001E38B6">
      <w:pPr>
        <w:pStyle w:val="MText"/>
        <w:rPr>
          <w:rStyle w:val="normaltextrun"/>
        </w:rPr>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6895EEC" w14:textId="2F79BEDE" w:rsidR="009F170D" w:rsidRPr="001E38B6" w:rsidRDefault="001320EE" w:rsidP="00F02783">
      <w:pPr>
        <w:rPr>
          <w:rStyle w:val="normaltextrun"/>
          <w:rFonts w:ascii="Calibri" w:eastAsia="Times New Roman" w:hAnsi="Calibri" w:cs="Calibri"/>
          <w:color w:val="4A4A4A"/>
          <w:lang w:eastAsia="en-GB"/>
        </w:rPr>
      </w:pPr>
      <w:r w:rsidRPr="001E38B6">
        <w:rPr>
          <w:rStyle w:val="normaltextrun"/>
          <w:rFonts w:ascii="Calibri" w:eastAsia="Times New Roman" w:hAnsi="Calibri" w:cs="Calibri"/>
          <w:color w:val="4A4A4A"/>
          <w:lang w:eastAsia="en-GB"/>
        </w:rPr>
        <w:t>For quality assurance</w:t>
      </w:r>
      <w:r w:rsidR="7595E434" w:rsidRPr="001E38B6">
        <w:rPr>
          <w:rStyle w:val="normaltextrun"/>
          <w:rFonts w:ascii="Calibri" w:eastAsia="Times New Roman" w:hAnsi="Calibri" w:cs="Calibri"/>
          <w:color w:val="4A4A4A"/>
          <w:lang w:eastAsia="en-GB"/>
        </w:rPr>
        <w:t xml:space="preserve">, the Findex team has additional processes in place after it receives the data from Gallup Inc. </w:t>
      </w:r>
      <w:r w:rsidRPr="001E38B6">
        <w:rPr>
          <w:rStyle w:val="normaltextrun"/>
          <w:rFonts w:ascii="Calibri" w:eastAsia="Times New Roman" w:hAnsi="Calibri" w:cs="Calibri"/>
          <w:color w:val="4A4A4A"/>
          <w:lang w:eastAsia="en-GB"/>
        </w:rPr>
        <w:t>T</w:t>
      </w:r>
      <w:r w:rsidR="6E5A74AA" w:rsidRPr="001E38B6">
        <w:rPr>
          <w:rStyle w:val="normaltextrun"/>
          <w:rFonts w:ascii="Calibri" w:eastAsia="Times New Roman" w:hAnsi="Calibri" w:cs="Calibri"/>
          <w:color w:val="4A4A4A"/>
          <w:lang w:eastAsia="en-GB"/>
        </w:rPr>
        <w:t xml:space="preserve">he Findex team compares the data against (the limited number of) demand-side survey data from external sources for countries whenever available such as from the Financial Inclusion Insights Survey, </w:t>
      </w:r>
      <w:proofErr w:type="spellStart"/>
      <w:r w:rsidR="6E5A74AA" w:rsidRPr="001E38B6">
        <w:rPr>
          <w:rStyle w:val="normaltextrun"/>
          <w:rFonts w:ascii="Calibri" w:eastAsia="Times New Roman" w:hAnsi="Calibri" w:cs="Calibri"/>
          <w:color w:val="4A4A4A"/>
          <w:lang w:eastAsia="en-GB"/>
        </w:rPr>
        <w:t>FinScope</w:t>
      </w:r>
      <w:proofErr w:type="spellEnd"/>
      <w:r w:rsidR="6E5A74AA" w:rsidRPr="001E38B6">
        <w:rPr>
          <w:rStyle w:val="normaltextrun"/>
          <w:rFonts w:ascii="Calibri" w:eastAsia="Times New Roman" w:hAnsi="Calibri" w:cs="Calibri"/>
          <w:color w:val="4A4A4A"/>
          <w:lang w:eastAsia="en-GB"/>
        </w:rPr>
        <w:t>, or from Central Banks. The team also consults with key practitioners</w:t>
      </w:r>
      <w:r w:rsidR="00776F88" w:rsidRPr="001E38B6">
        <w:rPr>
          <w:rStyle w:val="normaltextrun"/>
          <w:rFonts w:ascii="Calibri" w:eastAsia="Times New Roman" w:hAnsi="Calibri" w:cs="Calibri"/>
          <w:color w:val="4A4A4A"/>
          <w:lang w:eastAsia="en-GB"/>
        </w:rPr>
        <w:t xml:space="preserve"> both within the World Bank and at other key organizations</w:t>
      </w:r>
      <w:r w:rsidR="6E5A74AA" w:rsidRPr="001E38B6">
        <w:rPr>
          <w:rStyle w:val="normaltextrun"/>
          <w:rFonts w:ascii="Calibri" w:eastAsia="Times New Roman" w:hAnsi="Calibri" w:cs="Calibri"/>
          <w:color w:val="4A4A4A"/>
          <w:lang w:eastAsia="en-GB"/>
        </w:rPr>
        <w:t xml:space="preserve"> to confirm the credibility of headline numbers on account ownership.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ED07A48" w14:textId="77777777" w:rsidR="00776F88" w:rsidRDefault="17A82EB1" w:rsidP="00576CFA">
      <w:pPr>
        <w:pStyle w:val="MText"/>
      </w:pPr>
      <w:r>
        <w:t xml:space="preserve">All the source code for the headline indicator is reviewed by an independent and external statistics department within the World Bank.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2DD09C1" w14:textId="56D7927D" w:rsidR="007F5097" w:rsidRPr="00FE352C" w:rsidRDefault="00D51E7C" w:rsidP="00215221">
      <w:pPr>
        <w:pStyle w:val="MText"/>
        <w:rPr>
          <w:b/>
          <w:bCs/>
        </w:rPr>
      </w:pPr>
      <w:r w:rsidRPr="00FE352C">
        <w:rPr>
          <w:b/>
          <w:bCs/>
        </w:rPr>
        <w:t>Data availability:</w:t>
      </w:r>
      <w:r w:rsidR="007F5097" w:rsidRPr="00FE352C">
        <w:rPr>
          <w:rStyle w:val="eop"/>
          <w:b/>
          <w:bCs/>
        </w:rPr>
        <w:t> </w:t>
      </w:r>
    </w:p>
    <w:p w14:paraId="64CC06D4" w14:textId="2D3B4162" w:rsidR="007F5097" w:rsidRDefault="4DA05194" w:rsidP="6E5A74AA">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6E5A74AA">
        <w:rPr>
          <w:rStyle w:val="normaltextrun"/>
          <w:rFonts w:ascii="Calibri" w:hAnsi="Calibri" w:cs="Calibri"/>
          <w:color w:val="4A4A4A"/>
          <w:sz w:val="21"/>
          <w:szCs w:val="21"/>
          <w:lang w:val="en-GB"/>
        </w:rPr>
        <w:lastRenderedPageBreak/>
        <w:t>There are 16</w:t>
      </w:r>
      <w:r w:rsidR="002F6560">
        <w:rPr>
          <w:rStyle w:val="normaltextrun"/>
          <w:rFonts w:ascii="Calibri" w:hAnsi="Calibri" w:cs="Calibri"/>
          <w:color w:val="4A4A4A"/>
          <w:sz w:val="21"/>
          <w:szCs w:val="21"/>
          <w:lang w:val="en-GB"/>
        </w:rPr>
        <w:t>2</w:t>
      </w:r>
      <w:r w:rsidRPr="6E5A74AA">
        <w:rPr>
          <w:rStyle w:val="normaltextrun"/>
          <w:rFonts w:ascii="Calibri" w:hAnsi="Calibri" w:cs="Calibri"/>
          <w:color w:val="4A4A4A"/>
          <w:sz w:val="21"/>
          <w:szCs w:val="21"/>
          <w:lang w:val="en-GB"/>
        </w:rPr>
        <w:t xml:space="preserve"> c</w:t>
      </w:r>
      <w:r w:rsidR="679B59A4" w:rsidRPr="6E5A74AA">
        <w:rPr>
          <w:rStyle w:val="normaltextrun"/>
          <w:rFonts w:ascii="Calibri" w:hAnsi="Calibri" w:cs="Calibri"/>
          <w:color w:val="4A4A4A"/>
          <w:sz w:val="21"/>
          <w:szCs w:val="21"/>
          <w:lang w:val="en-GB"/>
        </w:rPr>
        <w:t>ountries</w:t>
      </w:r>
      <w:r w:rsidRPr="6E5A74AA">
        <w:rPr>
          <w:rStyle w:val="normaltextrun"/>
          <w:rFonts w:ascii="Calibri" w:hAnsi="Calibri" w:cs="Calibri"/>
          <w:color w:val="4A4A4A"/>
          <w:sz w:val="21"/>
          <w:szCs w:val="21"/>
          <w:lang w:val="en-GB"/>
        </w:rPr>
        <w:t xml:space="preserve"> </w:t>
      </w:r>
      <w:r w:rsidR="35772BE5" w:rsidRPr="6E5A74AA">
        <w:rPr>
          <w:rStyle w:val="normaltextrun"/>
          <w:rFonts w:ascii="Calibri" w:hAnsi="Calibri" w:cs="Calibri"/>
          <w:color w:val="4A4A4A"/>
          <w:sz w:val="21"/>
          <w:szCs w:val="21"/>
          <w:lang w:val="en-GB"/>
        </w:rPr>
        <w:t>with</w:t>
      </w:r>
      <w:r w:rsidRPr="6E5A74AA">
        <w:rPr>
          <w:rStyle w:val="normaltextrun"/>
          <w:rFonts w:ascii="Calibri" w:hAnsi="Calibri" w:cs="Calibri"/>
          <w:color w:val="4A4A4A"/>
          <w:sz w:val="21"/>
          <w:szCs w:val="21"/>
          <w:lang w:val="en-GB"/>
        </w:rPr>
        <w:t xml:space="preserve"> regional and World aggregates</w:t>
      </w:r>
      <w:r w:rsidR="679B59A4" w:rsidRPr="6E5A74AA">
        <w:rPr>
          <w:rStyle w:val="normaltextrun"/>
          <w:rFonts w:ascii="Calibri" w:hAnsi="Calibri" w:cs="Calibri"/>
          <w:color w:val="4A4A4A"/>
          <w:sz w:val="21"/>
          <w:szCs w:val="21"/>
          <w:lang w:val="en-GB"/>
        </w:rPr>
        <w:t xml:space="preserve"> that have at least 1 data point after 201</w:t>
      </w:r>
      <w:r w:rsidR="002F6560">
        <w:rPr>
          <w:rStyle w:val="normaltextrun"/>
          <w:rFonts w:ascii="Calibri" w:hAnsi="Calibri" w:cs="Calibri"/>
          <w:color w:val="4A4A4A"/>
          <w:sz w:val="21"/>
          <w:szCs w:val="21"/>
          <w:lang w:val="en-GB"/>
        </w:rPr>
        <w:t>1</w:t>
      </w:r>
      <w:r w:rsidR="679B59A4" w:rsidRPr="6E5A74AA">
        <w:rPr>
          <w:rStyle w:val="normaltextrun"/>
          <w:rFonts w:ascii="Calibri" w:hAnsi="Calibri" w:cs="Calibri"/>
          <w:color w:val="4A4A4A"/>
          <w:sz w:val="21"/>
          <w:szCs w:val="21"/>
          <w:lang w:val="en-GB"/>
        </w:rPr>
        <w:t xml:space="preserve"> for this indicator</w:t>
      </w:r>
      <w:r w:rsidR="002F6560">
        <w:rPr>
          <w:rStyle w:val="normaltextrun"/>
          <w:rFonts w:ascii="Calibri" w:hAnsi="Calibri" w:cs="Calibri"/>
          <w:color w:val="4A4A4A"/>
          <w:sz w:val="21"/>
          <w:szCs w:val="21"/>
          <w:lang w:val="en-GB"/>
        </w:rPr>
        <w:t>.</w:t>
      </w:r>
      <w:r w:rsidR="002F6560" w:rsidRPr="6E5A74AA" w:rsidDel="002F6560">
        <w:rPr>
          <w:rStyle w:val="eop"/>
          <w:rFonts w:ascii="Calibri" w:hAnsi="Calibri" w:cs="Calibri"/>
          <w:color w:val="4A4A4A"/>
          <w:sz w:val="21"/>
          <w:szCs w:val="21"/>
        </w:rPr>
        <w:t xml:space="preserve"> </w:t>
      </w:r>
    </w:p>
    <w:p w14:paraId="2D0542F7" w14:textId="660E8E7E" w:rsidR="00D51E7C" w:rsidRPr="00D90158" w:rsidRDefault="00D51E7C" w:rsidP="00CE258B">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5853D6F7" w14:textId="10A8BF7C" w:rsidR="00D51E7C" w:rsidRPr="006D1BAD" w:rsidRDefault="00D51E7C" w:rsidP="00576CFA">
      <w:pPr>
        <w:pStyle w:val="MText"/>
        <w:rPr>
          <w:b/>
          <w:bCs/>
        </w:rPr>
      </w:pPr>
      <w:r w:rsidRPr="001E38B6">
        <w:rPr>
          <w:b/>
          <w:bCs/>
        </w:rPr>
        <w:t>Time series</w:t>
      </w:r>
      <w:r w:rsidRPr="006D1BAD">
        <w:rPr>
          <w:b/>
          <w:bCs/>
        </w:rPr>
        <w:t>:</w:t>
      </w:r>
    </w:p>
    <w:p w14:paraId="34C6B351" w14:textId="55481F65" w:rsidR="007F5097" w:rsidRPr="001E38B6" w:rsidRDefault="09555454" w:rsidP="00757B52">
      <w:pPr>
        <w:spacing w:after="0"/>
        <w:rPr>
          <w:color w:val="4A4A4A"/>
          <w:sz w:val="21"/>
          <w:szCs w:val="21"/>
          <w:highlight w:val="cyan"/>
        </w:rPr>
      </w:pPr>
      <w:r w:rsidRPr="001E38B6">
        <w:rPr>
          <w:color w:val="4A4A4A"/>
          <w:sz w:val="21"/>
          <w:szCs w:val="21"/>
        </w:rPr>
        <w:t>Triennial (</w:t>
      </w:r>
      <w:r w:rsidR="7F878B6E" w:rsidRPr="001E38B6">
        <w:rPr>
          <w:color w:val="4A4A4A"/>
          <w:sz w:val="21"/>
          <w:szCs w:val="21"/>
        </w:rPr>
        <w:t>2011</w:t>
      </w:r>
      <w:r w:rsidR="69FC09C7" w:rsidRPr="001E38B6">
        <w:rPr>
          <w:color w:val="4A4A4A"/>
          <w:sz w:val="21"/>
          <w:szCs w:val="21"/>
        </w:rPr>
        <w:t>,</w:t>
      </w:r>
      <w:r w:rsidR="7F878B6E" w:rsidRPr="001E38B6">
        <w:rPr>
          <w:color w:val="4A4A4A"/>
          <w:sz w:val="21"/>
          <w:szCs w:val="21"/>
        </w:rPr>
        <w:t>2014</w:t>
      </w:r>
      <w:r w:rsidR="69FC09C7" w:rsidRPr="001E38B6">
        <w:rPr>
          <w:color w:val="4A4A4A"/>
          <w:sz w:val="21"/>
          <w:szCs w:val="21"/>
        </w:rPr>
        <w:t>, 2017 and 2021</w:t>
      </w:r>
      <w:r w:rsidR="50E2D6EC" w:rsidRPr="001E38B6">
        <w:rPr>
          <w:color w:val="4A4A4A"/>
          <w:sz w:val="21"/>
          <w:szCs w:val="21"/>
        </w:rPr>
        <w:t>)</w:t>
      </w:r>
    </w:p>
    <w:p w14:paraId="760C013A" w14:textId="4597FCBD" w:rsidR="00D51E7C" w:rsidRPr="006D1BAD" w:rsidRDefault="00D51E7C" w:rsidP="00576CFA">
      <w:pPr>
        <w:pStyle w:val="MText"/>
        <w:rPr>
          <w:highlight w:val="cyan"/>
        </w:rPr>
      </w:pPr>
    </w:p>
    <w:p w14:paraId="72C7C370" w14:textId="3B7C5CB3" w:rsidR="00D51E7C" w:rsidRPr="001E38B6" w:rsidRDefault="00D51E7C" w:rsidP="00576CFA">
      <w:pPr>
        <w:pStyle w:val="MText"/>
        <w:rPr>
          <w:b/>
          <w:bCs/>
        </w:rPr>
      </w:pPr>
      <w:r w:rsidRPr="001E38B6">
        <w:rPr>
          <w:b/>
          <w:bCs/>
        </w:rPr>
        <w:t>Disaggregation:</w:t>
      </w:r>
    </w:p>
    <w:p w14:paraId="42E8CA56" w14:textId="74D56B03" w:rsidR="00D51E7C" w:rsidRPr="001E38B6" w:rsidRDefault="00D5396E" w:rsidP="00576CFA">
      <w:pPr>
        <w:pStyle w:val="MText"/>
        <w:rPr>
          <w:rStyle w:val="eop"/>
          <w:rFonts w:ascii="Calibri" w:hAnsi="Calibri" w:cs="Calibri"/>
        </w:rPr>
      </w:pPr>
      <w:r w:rsidRPr="001E38B6">
        <w:rPr>
          <w:rStyle w:val="normaltextrun"/>
          <w:rFonts w:ascii="Calibri" w:hAnsi="Calibri" w:cs="Calibri"/>
        </w:rPr>
        <w:t>Disaggregation are</w:t>
      </w:r>
      <w:r w:rsidR="00CB73CB" w:rsidRPr="001E38B6">
        <w:rPr>
          <w:rStyle w:val="normaltextrun"/>
          <w:rFonts w:ascii="Calibri" w:hAnsi="Calibri" w:cs="Calibri"/>
        </w:rPr>
        <w:t xml:space="preserve"> available by: </w:t>
      </w:r>
      <w:r w:rsidR="24194D1B" w:rsidRPr="001E38B6">
        <w:rPr>
          <w:rStyle w:val="normaltextrun"/>
          <w:rFonts w:ascii="Calibri" w:hAnsi="Calibri" w:cs="Calibri"/>
        </w:rPr>
        <w:t>I</w:t>
      </w:r>
      <w:r w:rsidR="7F878B6E" w:rsidRPr="001E38B6">
        <w:rPr>
          <w:rStyle w:val="normaltextrun"/>
          <w:rFonts w:ascii="Calibri" w:hAnsi="Calibri" w:cs="Calibri"/>
        </w:rPr>
        <w:t>ncome</w:t>
      </w:r>
      <w:r w:rsidR="71A06039" w:rsidRPr="001E38B6">
        <w:rPr>
          <w:rStyle w:val="normaltextrun"/>
          <w:rFonts w:ascii="Calibri" w:hAnsi="Calibri" w:cs="Calibri"/>
        </w:rPr>
        <w:t xml:space="preserve"> (</w:t>
      </w:r>
      <w:r w:rsidR="10353CD3" w:rsidRPr="001E38B6">
        <w:rPr>
          <w:rStyle w:val="normaltextrun"/>
          <w:rFonts w:ascii="Calibri" w:hAnsi="Calibri" w:cs="Calibri"/>
        </w:rPr>
        <w:t>A</w:t>
      </w:r>
      <w:r w:rsidR="71A06039" w:rsidRPr="001E38B6">
        <w:rPr>
          <w:rStyle w:val="normaltextrun"/>
          <w:rFonts w:ascii="Calibri" w:hAnsi="Calibri" w:cs="Calibri"/>
        </w:rPr>
        <w:t xml:space="preserve">dults in the poorest 40 percent of households vs. </w:t>
      </w:r>
      <w:r w:rsidR="0D1679FE" w:rsidRPr="001E38B6">
        <w:rPr>
          <w:rStyle w:val="normaltextrun"/>
          <w:rFonts w:ascii="Calibri" w:hAnsi="Calibri" w:cs="Calibri"/>
        </w:rPr>
        <w:t>Adults in the r</w:t>
      </w:r>
      <w:r w:rsidR="71A06039" w:rsidRPr="001E38B6">
        <w:rPr>
          <w:rStyle w:val="normaltextrun"/>
          <w:rFonts w:ascii="Calibri" w:hAnsi="Calibri" w:cs="Calibri"/>
        </w:rPr>
        <w:t>ichest 60 percent of households)</w:t>
      </w:r>
      <w:r w:rsidR="03166B2C" w:rsidRPr="001E38B6">
        <w:rPr>
          <w:rStyle w:val="normaltextrun"/>
          <w:rFonts w:ascii="Calibri" w:hAnsi="Calibri" w:cs="Calibri"/>
        </w:rPr>
        <w:t>;</w:t>
      </w:r>
      <w:r w:rsidR="69FC09C7" w:rsidRPr="001E38B6">
        <w:rPr>
          <w:rStyle w:val="normaltextrun"/>
          <w:rFonts w:ascii="Calibri" w:hAnsi="Calibri" w:cs="Calibri"/>
        </w:rPr>
        <w:t xml:space="preserve"> </w:t>
      </w:r>
      <w:r w:rsidR="26C0F471" w:rsidRPr="001E38B6">
        <w:rPr>
          <w:rStyle w:val="normaltextrun"/>
          <w:rFonts w:ascii="Calibri" w:hAnsi="Calibri" w:cs="Calibri"/>
        </w:rPr>
        <w:t>P</w:t>
      </w:r>
      <w:r w:rsidR="0989751F" w:rsidRPr="001E38B6">
        <w:rPr>
          <w:rStyle w:val="normaltextrun"/>
          <w:rFonts w:ascii="Calibri" w:hAnsi="Calibri" w:cs="Calibri"/>
        </w:rPr>
        <w:t xml:space="preserve">articipation in </w:t>
      </w:r>
      <w:r w:rsidR="209987A3" w:rsidRPr="001E38B6">
        <w:rPr>
          <w:rStyle w:val="normaltextrun"/>
          <w:rFonts w:ascii="Calibri" w:hAnsi="Calibri" w:cs="Calibri"/>
        </w:rPr>
        <w:t>labour</w:t>
      </w:r>
      <w:r w:rsidR="69FC09C7" w:rsidRPr="001E38B6">
        <w:rPr>
          <w:rStyle w:val="normaltextrun"/>
          <w:rFonts w:ascii="Calibri" w:hAnsi="Calibri" w:cs="Calibri"/>
        </w:rPr>
        <w:t xml:space="preserve"> force</w:t>
      </w:r>
      <w:r w:rsidR="3F893003" w:rsidRPr="001E38B6">
        <w:rPr>
          <w:rStyle w:val="normaltextrun"/>
          <w:rFonts w:ascii="Calibri" w:hAnsi="Calibri" w:cs="Calibri"/>
        </w:rPr>
        <w:t xml:space="preserve"> (</w:t>
      </w:r>
      <w:r w:rsidR="58A72089" w:rsidRPr="001E38B6">
        <w:rPr>
          <w:rStyle w:val="normaltextrun"/>
          <w:rFonts w:ascii="Calibri" w:hAnsi="Calibri" w:cs="Calibri"/>
        </w:rPr>
        <w:t>I</w:t>
      </w:r>
      <w:r w:rsidR="3F893003" w:rsidRPr="001E38B6">
        <w:rPr>
          <w:rStyle w:val="normaltextrun"/>
          <w:rFonts w:ascii="Calibri" w:hAnsi="Calibri" w:cs="Calibri"/>
        </w:rPr>
        <w:t xml:space="preserve">n </w:t>
      </w:r>
      <w:proofErr w:type="spellStart"/>
      <w:r w:rsidR="3F893003" w:rsidRPr="001E38B6">
        <w:rPr>
          <w:rStyle w:val="normaltextrun"/>
          <w:rFonts w:ascii="Calibri" w:hAnsi="Calibri" w:cs="Calibri"/>
        </w:rPr>
        <w:t>labor</w:t>
      </w:r>
      <w:proofErr w:type="spellEnd"/>
      <w:r w:rsidR="3F893003" w:rsidRPr="001E38B6">
        <w:rPr>
          <w:rStyle w:val="normaltextrun"/>
          <w:rFonts w:ascii="Calibri" w:hAnsi="Calibri" w:cs="Calibri"/>
        </w:rPr>
        <w:t xml:space="preserve"> force vs. Out of </w:t>
      </w:r>
      <w:proofErr w:type="spellStart"/>
      <w:r w:rsidR="3F893003" w:rsidRPr="001E38B6">
        <w:rPr>
          <w:rStyle w:val="normaltextrun"/>
          <w:rFonts w:ascii="Calibri" w:hAnsi="Calibri" w:cs="Calibri"/>
        </w:rPr>
        <w:t>labor</w:t>
      </w:r>
      <w:proofErr w:type="spellEnd"/>
      <w:r w:rsidR="3F893003" w:rsidRPr="001E38B6">
        <w:rPr>
          <w:rStyle w:val="normaltextrun"/>
          <w:rFonts w:ascii="Calibri" w:hAnsi="Calibri" w:cs="Calibri"/>
        </w:rPr>
        <w:t xml:space="preserve"> force</w:t>
      </w:r>
      <w:r w:rsidR="00E137F7" w:rsidRPr="001E38B6">
        <w:rPr>
          <w:rStyle w:val="normaltextrun"/>
          <w:rFonts w:ascii="Calibri" w:hAnsi="Calibri" w:cs="Calibri"/>
        </w:rPr>
        <w:t>)</w:t>
      </w:r>
      <w:r w:rsidR="7F878B6E" w:rsidRPr="001E38B6">
        <w:rPr>
          <w:rStyle w:val="normaltextrun"/>
          <w:rFonts w:ascii="Calibri" w:hAnsi="Calibri" w:cs="Calibri"/>
        </w:rPr>
        <w:t>; Age</w:t>
      </w:r>
      <w:r w:rsidR="2C13504E" w:rsidRPr="001E38B6">
        <w:rPr>
          <w:rStyle w:val="normaltextrun"/>
          <w:rFonts w:ascii="Calibri" w:hAnsi="Calibri" w:cs="Calibri"/>
        </w:rPr>
        <w:t xml:space="preserve"> (Ages 15-25</w:t>
      </w:r>
      <w:r w:rsidR="5E90CFC1" w:rsidRPr="001E38B6">
        <w:rPr>
          <w:rStyle w:val="normaltextrun"/>
          <w:rFonts w:ascii="Calibri" w:hAnsi="Calibri" w:cs="Calibri"/>
        </w:rPr>
        <w:t xml:space="preserve"> vs. </w:t>
      </w:r>
      <w:r w:rsidR="2C13504E" w:rsidRPr="001E38B6">
        <w:rPr>
          <w:rStyle w:val="normaltextrun"/>
          <w:rFonts w:ascii="Calibri" w:hAnsi="Calibri" w:cs="Calibri"/>
        </w:rPr>
        <w:t>Age 25+)</w:t>
      </w:r>
      <w:r w:rsidR="7F878B6E" w:rsidRPr="001E38B6">
        <w:rPr>
          <w:rStyle w:val="normaltextrun"/>
          <w:rFonts w:ascii="Calibri" w:hAnsi="Calibri" w:cs="Calibri"/>
        </w:rPr>
        <w:t>; Education level</w:t>
      </w:r>
      <w:r w:rsidR="55B0BCFE" w:rsidRPr="001E38B6">
        <w:rPr>
          <w:rStyle w:val="normaltextrun"/>
          <w:rFonts w:ascii="Calibri" w:hAnsi="Calibri" w:cs="Calibri"/>
        </w:rPr>
        <w:t xml:space="preserve"> </w:t>
      </w:r>
      <w:r w:rsidR="00E137F7" w:rsidRPr="001E38B6">
        <w:rPr>
          <w:rStyle w:val="normaltextrun"/>
          <w:rFonts w:ascii="Calibri" w:hAnsi="Calibri" w:cs="Calibri"/>
        </w:rPr>
        <w:t>(</w:t>
      </w:r>
      <w:r w:rsidR="55B0BCFE" w:rsidRPr="001E38B6">
        <w:rPr>
          <w:rStyle w:val="normaltextrun"/>
          <w:rFonts w:ascii="Calibri" w:hAnsi="Calibri" w:cs="Calibri"/>
        </w:rPr>
        <w:t>Primary and below vs. Primary and above)</w:t>
      </w:r>
      <w:r w:rsidR="7F878B6E" w:rsidRPr="001E38B6">
        <w:rPr>
          <w:rStyle w:val="normaltextrun"/>
          <w:rFonts w:ascii="Calibri" w:hAnsi="Calibri" w:cs="Calibri"/>
        </w:rPr>
        <w:t>; </w:t>
      </w:r>
      <w:r w:rsidR="53289708" w:rsidRPr="001E38B6">
        <w:rPr>
          <w:rStyle w:val="normaltextrun"/>
          <w:rFonts w:ascii="Calibri" w:hAnsi="Calibri" w:cs="Calibri"/>
        </w:rPr>
        <w:t>Urbanicity of residence (</w:t>
      </w:r>
      <w:r w:rsidR="2F6113DB" w:rsidRPr="001E38B6">
        <w:rPr>
          <w:rStyle w:val="normaltextrun"/>
          <w:rFonts w:ascii="Calibri" w:hAnsi="Calibri" w:cs="Calibri"/>
        </w:rPr>
        <w:t xml:space="preserve">Rural vs. </w:t>
      </w:r>
      <w:proofErr w:type="gramStart"/>
      <w:r w:rsidR="2F6113DB" w:rsidRPr="001E38B6">
        <w:rPr>
          <w:rStyle w:val="normaltextrun"/>
          <w:rFonts w:ascii="Calibri" w:hAnsi="Calibri" w:cs="Calibri"/>
        </w:rPr>
        <w:t xml:space="preserve">Urban </w:t>
      </w:r>
      <w:r w:rsidR="464B64B5" w:rsidRPr="001E38B6">
        <w:rPr>
          <w:rStyle w:val="normaltextrun"/>
          <w:rFonts w:ascii="Calibri" w:hAnsi="Calibri" w:cs="Calibri"/>
        </w:rPr>
        <w:t>)</w:t>
      </w:r>
      <w:proofErr w:type="gramEnd"/>
      <w:r w:rsidR="7F878B6E" w:rsidRPr="001E38B6">
        <w:rPr>
          <w:rStyle w:val="normaltextrun"/>
          <w:rFonts w:ascii="Calibri" w:hAnsi="Calibri" w:cs="Calibri"/>
        </w:rPr>
        <w:t>; Gender</w:t>
      </w:r>
      <w:r w:rsidR="7F878B6E" w:rsidRPr="001E38B6">
        <w:rPr>
          <w:rStyle w:val="eop"/>
          <w:rFonts w:ascii="Calibri" w:hAnsi="Calibri" w:cs="Calibri"/>
        </w:rPr>
        <w:t> </w:t>
      </w:r>
      <w:r w:rsidR="38978E6D" w:rsidRPr="001E38B6">
        <w:rPr>
          <w:rStyle w:val="eop"/>
          <w:rFonts w:ascii="Calibri" w:hAnsi="Calibri" w:cs="Calibri"/>
        </w:rPr>
        <w:t>(Female vs. Male)</w:t>
      </w:r>
    </w:p>
    <w:p w14:paraId="29097B41" w14:textId="77777777" w:rsidR="007F5097" w:rsidRPr="00A96255" w:rsidRDefault="007F5097"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CB73150" w:rsidR="00D51E7C" w:rsidRPr="006D1BAD" w:rsidRDefault="00D51E7C" w:rsidP="00576CFA">
      <w:pPr>
        <w:pStyle w:val="MText"/>
        <w:rPr>
          <w:b/>
          <w:bCs/>
        </w:rPr>
      </w:pPr>
      <w:r w:rsidRPr="001E38B6">
        <w:rPr>
          <w:b/>
          <w:bCs/>
        </w:rPr>
        <w:t>Sources of discrepancies:</w:t>
      </w:r>
    </w:p>
    <w:p w14:paraId="3ACAA808" w14:textId="1A75EC99" w:rsidR="007F5097" w:rsidRDefault="679B59A4" w:rsidP="00EB7EFB">
      <w:pPr>
        <w:pStyle w:val="MText"/>
        <w:rPr>
          <w:rStyle w:val="normaltextrun"/>
          <w:rFonts w:ascii="Calibri" w:hAnsi="Calibri" w:cs="Calibri"/>
        </w:rPr>
      </w:pPr>
      <w:r w:rsidRPr="6E5A74AA">
        <w:rPr>
          <w:rStyle w:val="normaltextrun"/>
          <w:rFonts w:ascii="Calibri" w:hAnsi="Calibri" w:cs="Calibri"/>
        </w:rPr>
        <w:t>Global Findex </w:t>
      </w:r>
      <w:r w:rsidR="65EFFBAD" w:rsidRPr="6E5A74AA">
        <w:rPr>
          <w:rStyle w:val="normaltextrun"/>
          <w:rFonts w:ascii="Calibri" w:hAnsi="Calibri" w:cs="Calibri"/>
        </w:rPr>
        <w:t xml:space="preserve">Database </w:t>
      </w:r>
      <w:r w:rsidRPr="6E5A74AA">
        <w:rPr>
          <w:rStyle w:val="normaltextrun"/>
          <w:rFonts w:ascii="Calibri" w:hAnsi="Calibri" w:cs="Calibri"/>
        </w:rPr>
        <w:t>is an individual level survey, measuring</w:t>
      </w:r>
      <w:r w:rsidR="00E137F7">
        <w:rPr>
          <w:rStyle w:val="normaltextrun"/>
          <w:rFonts w:ascii="Calibri" w:hAnsi="Calibri" w:cs="Calibri"/>
        </w:rPr>
        <w:t xml:space="preserve"> an</w:t>
      </w:r>
      <w:r w:rsidRPr="6E5A74AA">
        <w:rPr>
          <w:rStyle w:val="normaltextrun"/>
          <w:rFonts w:ascii="Calibri" w:hAnsi="Calibri" w:cs="Calibri"/>
        </w:rPr>
        <w:t xml:space="preserve"> individual’s</w:t>
      </w:r>
      <w:r w:rsidR="2C5072A0" w:rsidRPr="6E5A74AA">
        <w:rPr>
          <w:rStyle w:val="normaltextrun"/>
          <w:rFonts w:ascii="Calibri" w:hAnsi="Calibri" w:cs="Calibri"/>
        </w:rPr>
        <w:t xml:space="preserve"> perception of</w:t>
      </w:r>
      <w:r w:rsidRPr="6E5A74AA">
        <w:rPr>
          <w:rStyle w:val="normaltextrun"/>
          <w:rFonts w:ascii="Calibri" w:hAnsi="Calibri" w:cs="Calibri"/>
        </w:rPr>
        <w:t xml:space="preserve"> ownership of accounts.</w:t>
      </w:r>
      <w:r w:rsidR="2A44DDA7" w:rsidRPr="6E5A74AA">
        <w:rPr>
          <w:rStyle w:val="normaltextrun"/>
          <w:rFonts w:ascii="Calibri" w:hAnsi="Calibri" w:cs="Calibri"/>
        </w:rPr>
        <w:t xml:space="preserve"> </w:t>
      </w:r>
      <w:r w:rsidR="007F261B">
        <w:rPr>
          <w:rStyle w:val="normaltextrun"/>
          <w:rFonts w:ascii="Calibri" w:hAnsi="Calibri" w:cs="Calibri"/>
        </w:rPr>
        <w:t>It</w:t>
      </w:r>
      <w:r w:rsidR="6E5A74AA" w:rsidRPr="6E5A74AA">
        <w:rPr>
          <w:rStyle w:val="normaltextrun"/>
          <w:rFonts w:ascii="Calibri" w:hAnsi="Calibri" w:cs="Calibri"/>
        </w:rPr>
        <w:t xml:space="preserve"> assumes financial inclusion is an individual-level concept</w:t>
      </w:r>
      <w:r w:rsidR="5D15EE6B" w:rsidRPr="6E5A74AA">
        <w:rPr>
          <w:rStyle w:val="normaltextrun"/>
          <w:rFonts w:ascii="Calibri" w:hAnsi="Calibri" w:cs="Calibri"/>
        </w:rPr>
        <w:t xml:space="preserve"> which </w:t>
      </w:r>
      <w:r w:rsidR="007F261B">
        <w:rPr>
          <w:rStyle w:val="normaltextrun"/>
          <w:rFonts w:ascii="Calibri" w:hAnsi="Calibri" w:cs="Calibri"/>
        </w:rPr>
        <w:t>may create</w:t>
      </w:r>
      <w:r w:rsidR="5D15EE6B" w:rsidRPr="6E5A74AA">
        <w:rPr>
          <w:rStyle w:val="normaltextrun"/>
          <w:rFonts w:ascii="Calibri" w:hAnsi="Calibri" w:cs="Calibri"/>
        </w:rPr>
        <w:t xml:space="preserve"> two potential </w:t>
      </w:r>
      <w:r w:rsidR="6E5A74AA" w:rsidRPr="6E5A74AA">
        <w:rPr>
          <w:rStyle w:val="normaltextrun"/>
          <w:rFonts w:ascii="Calibri" w:hAnsi="Calibri" w:cs="Calibri"/>
        </w:rPr>
        <w:t xml:space="preserve">discrepancies. First, the data may deviate from supply side data which counts the number of accounts and may overstate the level of financial inclusion in a country if a significant number of adults have an account they do not use and did not formally close. Second, not all demand-side data is the same and that the data from different demand-side surveys cannot necessarily be compared if the survey method is different. </w:t>
      </w:r>
      <w:proofErr w:type="gramStart"/>
      <w:r w:rsidR="6E5A74AA" w:rsidRPr="6E5A74AA">
        <w:rPr>
          <w:rStyle w:val="normaltextrun"/>
          <w:rFonts w:ascii="Calibri" w:hAnsi="Calibri" w:cs="Calibri"/>
        </w:rPr>
        <w:t>In particular, surveys</w:t>
      </w:r>
      <w:proofErr w:type="gramEnd"/>
      <w:r w:rsidR="6E5A74AA" w:rsidRPr="6E5A74AA">
        <w:rPr>
          <w:rStyle w:val="normaltextrun"/>
          <w:rFonts w:ascii="Calibri" w:hAnsi="Calibri" w:cs="Calibri"/>
        </w:rPr>
        <w:t xml:space="preserve"> of individuals cannot be compared directly with surveys of household heads, since the use of financial services can differ considerably between different household members.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9334F42" w14:textId="77777777" w:rsidR="007F5097" w:rsidRPr="001E38B6" w:rsidRDefault="007F5097" w:rsidP="007F5097">
      <w:pPr>
        <w:pStyle w:val="paragraph"/>
        <w:shd w:val="clear" w:color="auto" w:fill="FFFFFF"/>
        <w:spacing w:before="0" w:beforeAutospacing="0" w:after="0" w:afterAutospacing="0"/>
        <w:textAlignment w:val="baseline"/>
        <w:rPr>
          <w:rFonts w:ascii="Segoe UI" w:hAnsi="Segoe UI" w:cs="Segoe UI"/>
          <w:color w:val="4A4A4A"/>
          <w:sz w:val="18"/>
          <w:szCs w:val="18"/>
        </w:rPr>
      </w:pPr>
      <w:r w:rsidRPr="001E38B6">
        <w:rPr>
          <w:rStyle w:val="normaltextrun"/>
          <w:rFonts w:ascii="Calibri" w:hAnsi="Calibri" w:cs="Calibri"/>
          <w:b/>
          <w:bCs/>
          <w:color w:val="4A4A4A"/>
          <w:sz w:val="21"/>
          <w:szCs w:val="21"/>
          <w:lang w:val="en-GB"/>
        </w:rPr>
        <w:t>URL:</w:t>
      </w:r>
      <w:r w:rsidRPr="001E38B6">
        <w:rPr>
          <w:rStyle w:val="eop"/>
          <w:rFonts w:ascii="Calibri" w:hAnsi="Calibri" w:cs="Calibri"/>
          <w:color w:val="4A4A4A"/>
          <w:sz w:val="21"/>
          <w:szCs w:val="21"/>
        </w:rPr>
        <w:t> </w:t>
      </w:r>
    </w:p>
    <w:p w14:paraId="693EEF2B" w14:textId="7A13349A" w:rsidR="007F5097" w:rsidRPr="001E38B6" w:rsidRDefault="6B47D3AD" w:rsidP="007F5097">
      <w:pPr>
        <w:pStyle w:val="paragraph"/>
        <w:shd w:val="clear" w:color="auto" w:fill="FFFFFF"/>
        <w:spacing w:before="0" w:beforeAutospacing="0" w:after="0" w:afterAutospacing="0"/>
        <w:textAlignment w:val="baseline"/>
        <w:rPr>
          <w:rFonts w:ascii="Segoe UI" w:hAnsi="Segoe UI" w:cs="Segoe UI"/>
          <w:color w:val="4A4A4A"/>
          <w:sz w:val="18"/>
          <w:szCs w:val="18"/>
        </w:rPr>
      </w:pPr>
      <w:r w:rsidRPr="006D1BAD">
        <w:rPr>
          <w:rStyle w:val="eop"/>
          <w:rFonts w:ascii="Calibri" w:hAnsi="Calibri" w:cs="Calibri"/>
          <w:color w:val="4A4A4A"/>
          <w:sz w:val="21"/>
          <w:szCs w:val="21"/>
        </w:rPr>
        <w:t>https://www.worldbank.org/en/publication/globalfindex</w:t>
      </w:r>
      <w:r w:rsidR="007F5097" w:rsidRPr="001E38B6">
        <w:rPr>
          <w:rStyle w:val="eop"/>
          <w:rFonts w:ascii="Calibri" w:hAnsi="Calibri" w:cs="Calibri"/>
          <w:color w:val="4A4A4A"/>
          <w:sz w:val="21"/>
          <w:szCs w:val="21"/>
        </w:rPr>
        <w:t> </w:t>
      </w:r>
    </w:p>
    <w:p w14:paraId="368C2B5B" w14:textId="77777777" w:rsidR="00D5396E" w:rsidRPr="006D1BAD" w:rsidRDefault="00D5396E" w:rsidP="007F5097">
      <w:pPr>
        <w:pStyle w:val="paragraph"/>
        <w:shd w:val="clear" w:color="auto" w:fill="FFFFFF"/>
        <w:spacing w:before="0" w:beforeAutospacing="0" w:after="0" w:afterAutospacing="0"/>
        <w:textAlignment w:val="baseline"/>
        <w:rPr>
          <w:rStyle w:val="normaltextrun"/>
          <w:rFonts w:ascii="Calibri" w:hAnsi="Calibri" w:cs="Calibri"/>
          <w:b/>
          <w:bCs/>
          <w:color w:val="4A4A4A"/>
          <w:sz w:val="21"/>
          <w:szCs w:val="21"/>
          <w:lang w:val="en-GB"/>
        </w:rPr>
      </w:pPr>
    </w:p>
    <w:p w14:paraId="78166247" w14:textId="1A9F46BD" w:rsidR="007F5097" w:rsidRPr="001E38B6" w:rsidRDefault="007F5097" w:rsidP="00CE258B">
      <w:pPr>
        <w:pStyle w:val="paragraph"/>
        <w:shd w:val="clear" w:color="auto" w:fill="FFFFFF"/>
        <w:spacing w:before="0" w:beforeAutospacing="0" w:after="0" w:afterAutospacing="0"/>
        <w:textAlignment w:val="baseline"/>
        <w:rPr>
          <w:rFonts w:ascii="Segoe UI" w:hAnsi="Segoe UI" w:cs="Segoe UI"/>
          <w:color w:val="4A4A4A"/>
          <w:sz w:val="18"/>
          <w:szCs w:val="18"/>
        </w:rPr>
      </w:pPr>
      <w:r w:rsidRPr="001E38B6">
        <w:rPr>
          <w:rStyle w:val="normaltextrun"/>
          <w:rFonts w:ascii="Calibri" w:hAnsi="Calibri" w:cs="Calibri"/>
          <w:b/>
          <w:bCs/>
          <w:color w:val="4A4A4A"/>
          <w:sz w:val="21"/>
          <w:szCs w:val="21"/>
        </w:rPr>
        <w:t>References:</w:t>
      </w:r>
      <w:r w:rsidRPr="001E38B6">
        <w:rPr>
          <w:rStyle w:val="eop"/>
          <w:rFonts w:ascii="Calibri" w:hAnsi="Calibri" w:cs="Calibri"/>
          <w:color w:val="4A4A4A"/>
          <w:sz w:val="21"/>
          <w:szCs w:val="21"/>
        </w:rPr>
        <w:t> </w:t>
      </w:r>
    </w:p>
    <w:p w14:paraId="384B0992" w14:textId="6CD7D224" w:rsidR="00186795" w:rsidRPr="001E38B6" w:rsidRDefault="4861126D" w:rsidP="009973E3">
      <w:pPr>
        <w:rPr>
          <w:color w:val="4A4A4A"/>
        </w:rPr>
      </w:pPr>
      <w:proofErr w:type="spellStart"/>
      <w:r w:rsidRPr="001E38B6">
        <w:rPr>
          <w:color w:val="4A4A4A"/>
          <w:sz w:val="21"/>
          <w:szCs w:val="21"/>
        </w:rPr>
        <w:t>Demirgüç-Kunt</w:t>
      </w:r>
      <w:proofErr w:type="spellEnd"/>
      <w:r w:rsidRPr="001E38B6">
        <w:rPr>
          <w:color w:val="4A4A4A"/>
          <w:sz w:val="21"/>
          <w:szCs w:val="21"/>
        </w:rPr>
        <w:t xml:space="preserve">, Asli, Leora Klapper, </w:t>
      </w:r>
      <w:proofErr w:type="spellStart"/>
      <w:r w:rsidRPr="001E38B6">
        <w:rPr>
          <w:color w:val="4A4A4A"/>
          <w:sz w:val="21"/>
          <w:szCs w:val="21"/>
        </w:rPr>
        <w:t>Dorothe</w:t>
      </w:r>
      <w:proofErr w:type="spellEnd"/>
      <w:r w:rsidRPr="001E38B6">
        <w:rPr>
          <w:color w:val="4A4A4A"/>
          <w:sz w:val="21"/>
          <w:szCs w:val="21"/>
        </w:rPr>
        <w:t xml:space="preserve"> Singer, and Saniya Ansar. 2022. The Global Findex Database 2021: Financial Inclusion, Digital Payments, and Resilience in the Age of COVID-19. Washington, DC: World Bank.  </w:t>
      </w:r>
    </w:p>
    <w:sectPr w:rsidR="00186795" w:rsidRPr="001E38B6">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C033" w14:textId="77777777" w:rsidR="00425FCC" w:rsidRDefault="00425FCC" w:rsidP="00573C0B">
      <w:pPr>
        <w:spacing w:after="0" w:line="240" w:lineRule="auto"/>
      </w:pPr>
      <w:r>
        <w:separator/>
      </w:r>
    </w:p>
  </w:endnote>
  <w:endnote w:type="continuationSeparator" w:id="0">
    <w:p w14:paraId="47A93921" w14:textId="77777777" w:rsidR="00425FCC" w:rsidRDefault="00425FCC" w:rsidP="00573C0B">
      <w:pPr>
        <w:spacing w:after="0" w:line="240" w:lineRule="auto"/>
      </w:pPr>
      <w:r>
        <w:continuationSeparator/>
      </w:r>
    </w:p>
  </w:endnote>
  <w:endnote w:type="continuationNotice" w:id="1">
    <w:p w14:paraId="4C84B009" w14:textId="77777777" w:rsidR="00425FCC" w:rsidRDefault="00425F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4E84FA3" w14:paraId="1A8BA04D" w14:textId="77777777" w:rsidTr="04E84FA3">
      <w:tc>
        <w:tcPr>
          <w:tcW w:w="3005" w:type="dxa"/>
        </w:tcPr>
        <w:p w14:paraId="63A483D3" w14:textId="7818E702" w:rsidR="04E84FA3" w:rsidRDefault="04E84FA3" w:rsidP="04E84FA3">
          <w:pPr>
            <w:pStyle w:val="Header"/>
            <w:ind w:left="-115"/>
          </w:pPr>
        </w:p>
      </w:tc>
      <w:tc>
        <w:tcPr>
          <w:tcW w:w="3005" w:type="dxa"/>
        </w:tcPr>
        <w:p w14:paraId="589BE499" w14:textId="06CBD065" w:rsidR="04E84FA3" w:rsidRDefault="04E84FA3" w:rsidP="04E84FA3">
          <w:pPr>
            <w:pStyle w:val="Header"/>
            <w:jc w:val="center"/>
          </w:pPr>
        </w:p>
      </w:tc>
      <w:tc>
        <w:tcPr>
          <w:tcW w:w="3005" w:type="dxa"/>
        </w:tcPr>
        <w:p w14:paraId="102F6166" w14:textId="3D4AD612" w:rsidR="04E84FA3" w:rsidRDefault="04E84FA3" w:rsidP="04E84FA3">
          <w:pPr>
            <w:pStyle w:val="Header"/>
            <w:ind w:right="-115"/>
            <w:jc w:val="right"/>
          </w:pPr>
        </w:p>
      </w:tc>
    </w:tr>
  </w:tbl>
  <w:p w14:paraId="165A15AD" w14:textId="6F05BF09" w:rsidR="04E84FA3" w:rsidRDefault="04E84FA3" w:rsidP="04E84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1199" w14:textId="77777777" w:rsidR="00425FCC" w:rsidRDefault="00425FCC" w:rsidP="00573C0B">
      <w:pPr>
        <w:spacing w:after="0" w:line="240" w:lineRule="auto"/>
      </w:pPr>
      <w:r>
        <w:separator/>
      </w:r>
    </w:p>
  </w:footnote>
  <w:footnote w:type="continuationSeparator" w:id="0">
    <w:p w14:paraId="5E9667F0" w14:textId="77777777" w:rsidR="00425FCC" w:rsidRDefault="00425FCC" w:rsidP="00573C0B">
      <w:pPr>
        <w:spacing w:after="0" w:line="240" w:lineRule="auto"/>
      </w:pPr>
      <w:r>
        <w:continuationSeparator/>
      </w:r>
    </w:p>
  </w:footnote>
  <w:footnote w:type="continuationNotice" w:id="1">
    <w:p w14:paraId="64A0AB4E" w14:textId="77777777" w:rsidR="00425FCC" w:rsidRDefault="00425F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D1E9A66" w:rsidR="00077F46" w:rsidRPr="00757E8A" w:rsidRDefault="04E84FA3"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4E84FA3">
      <w:rPr>
        <w:color w:val="404040" w:themeColor="text1" w:themeTint="BF"/>
        <w:sz w:val="18"/>
        <w:szCs w:val="18"/>
      </w:rPr>
      <w:t>Last updated:</w:t>
    </w:r>
    <w:bookmarkEnd w:id="5"/>
    <w:bookmarkEnd w:id="6"/>
    <w:bookmarkEnd w:id="7"/>
    <w:bookmarkEnd w:id="8"/>
    <w:bookmarkEnd w:id="9"/>
    <w:bookmarkEnd w:id="10"/>
    <w:r w:rsidRPr="04E84FA3">
      <w:rPr>
        <w:color w:val="404040" w:themeColor="text1" w:themeTint="BF"/>
        <w:sz w:val="18"/>
        <w:szCs w:val="18"/>
      </w:rPr>
      <w:t xml:space="preserve"> </w:t>
    </w:r>
    <w:r w:rsidR="0023023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5FF"/>
    <w:multiLevelType w:val="multilevel"/>
    <w:tmpl w:val="CFD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D8905"/>
    <w:multiLevelType w:val="hybridMultilevel"/>
    <w:tmpl w:val="10481C80"/>
    <w:lvl w:ilvl="0" w:tplc="D08C1BF2">
      <w:start w:val="1"/>
      <w:numFmt w:val="bullet"/>
      <w:lvlText w:val=""/>
      <w:lvlJc w:val="left"/>
      <w:pPr>
        <w:ind w:left="720" w:hanging="360"/>
      </w:pPr>
      <w:rPr>
        <w:rFonts w:ascii="Symbol" w:hAnsi="Symbol" w:hint="default"/>
      </w:rPr>
    </w:lvl>
    <w:lvl w:ilvl="1" w:tplc="8F8C63FE">
      <w:start w:val="1"/>
      <w:numFmt w:val="bullet"/>
      <w:lvlText w:val="o"/>
      <w:lvlJc w:val="left"/>
      <w:pPr>
        <w:ind w:left="1440" w:hanging="360"/>
      </w:pPr>
      <w:rPr>
        <w:rFonts w:ascii="Courier New" w:hAnsi="Courier New" w:hint="default"/>
      </w:rPr>
    </w:lvl>
    <w:lvl w:ilvl="2" w:tplc="9E2A1B5E">
      <w:start w:val="1"/>
      <w:numFmt w:val="bullet"/>
      <w:lvlText w:val=""/>
      <w:lvlJc w:val="left"/>
      <w:pPr>
        <w:ind w:left="2160" w:hanging="360"/>
      </w:pPr>
      <w:rPr>
        <w:rFonts w:ascii="Wingdings" w:hAnsi="Wingdings" w:hint="default"/>
      </w:rPr>
    </w:lvl>
    <w:lvl w:ilvl="3" w:tplc="2B827A3C">
      <w:start w:val="1"/>
      <w:numFmt w:val="bullet"/>
      <w:lvlText w:val=""/>
      <w:lvlJc w:val="left"/>
      <w:pPr>
        <w:ind w:left="2880" w:hanging="360"/>
      </w:pPr>
      <w:rPr>
        <w:rFonts w:ascii="Symbol" w:hAnsi="Symbol" w:hint="default"/>
      </w:rPr>
    </w:lvl>
    <w:lvl w:ilvl="4" w:tplc="BF581C0E">
      <w:start w:val="1"/>
      <w:numFmt w:val="bullet"/>
      <w:lvlText w:val="o"/>
      <w:lvlJc w:val="left"/>
      <w:pPr>
        <w:ind w:left="3600" w:hanging="360"/>
      </w:pPr>
      <w:rPr>
        <w:rFonts w:ascii="Courier New" w:hAnsi="Courier New" w:hint="default"/>
      </w:rPr>
    </w:lvl>
    <w:lvl w:ilvl="5" w:tplc="84F883CC">
      <w:start w:val="1"/>
      <w:numFmt w:val="bullet"/>
      <w:lvlText w:val=""/>
      <w:lvlJc w:val="left"/>
      <w:pPr>
        <w:ind w:left="4320" w:hanging="360"/>
      </w:pPr>
      <w:rPr>
        <w:rFonts w:ascii="Wingdings" w:hAnsi="Wingdings" w:hint="default"/>
      </w:rPr>
    </w:lvl>
    <w:lvl w:ilvl="6" w:tplc="A9B043C2">
      <w:start w:val="1"/>
      <w:numFmt w:val="bullet"/>
      <w:lvlText w:val=""/>
      <w:lvlJc w:val="left"/>
      <w:pPr>
        <w:ind w:left="5040" w:hanging="360"/>
      </w:pPr>
      <w:rPr>
        <w:rFonts w:ascii="Symbol" w:hAnsi="Symbol" w:hint="default"/>
      </w:rPr>
    </w:lvl>
    <w:lvl w:ilvl="7" w:tplc="FAC27A42">
      <w:start w:val="1"/>
      <w:numFmt w:val="bullet"/>
      <w:lvlText w:val="o"/>
      <w:lvlJc w:val="left"/>
      <w:pPr>
        <w:ind w:left="5760" w:hanging="360"/>
      </w:pPr>
      <w:rPr>
        <w:rFonts w:ascii="Courier New" w:hAnsi="Courier New" w:hint="default"/>
      </w:rPr>
    </w:lvl>
    <w:lvl w:ilvl="8" w:tplc="CB84193C">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E5070"/>
    <w:multiLevelType w:val="hybridMultilevel"/>
    <w:tmpl w:val="CBF28F44"/>
    <w:lvl w:ilvl="0" w:tplc="9992FDD8">
      <w:start w:val="1"/>
      <w:numFmt w:val="bullet"/>
      <w:lvlText w:val=""/>
      <w:lvlJc w:val="left"/>
      <w:pPr>
        <w:ind w:left="720" w:hanging="360"/>
      </w:pPr>
      <w:rPr>
        <w:rFonts w:ascii="Symbol" w:hAnsi="Symbol" w:hint="default"/>
      </w:rPr>
    </w:lvl>
    <w:lvl w:ilvl="1" w:tplc="D9B48762">
      <w:start w:val="1"/>
      <w:numFmt w:val="bullet"/>
      <w:lvlText w:val="o"/>
      <w:lvlJc w:val="left"/>
      <w:pPr>
        <w:ind w:left="1440" w:hanging="360"/>
      </w:pPr>
      <w:rPr>
        <w:rFonts w:ascii="Courier New" w:hAnsi="Courier New" w:hint="default"/>
      </w:rPr>
    </w:lvl>
    <w:lvl w:ilvl="2" w:tplc="2AB236A4">
      <w:start w:val="1"/>
      <w:numFmt w:val="bullet"/>
      <w:lvlText w:val=""/>
      <w:lvlJc w:val="left"/>
      <w:pPr>
        <w:ind w:left="2160" w:hanging="360"/>
      </w:pPr>
      <w:rPr>
        <w:rFonts w:ascii="Wingdings" w:hAnsi="Wingdings" w:hint="default"/>
      </w:rPr>
    </w:lvl>
    <w:lvl w:ilvl="3" w:tplc="AC862F42">
      <w:start w:val="1"/>
      <w:numFmt w:val="bullet"/>
      <w:lvlText w:val=""/>
      <w:lvlJc w:val="left"/>
      <w:pPr>
        <w:ind w:left="2880" w:hanging="360"/>
      </w:pPr>
      <w:rPr>
        <w:rFonts w:ascii="Symbol" w:hAnsi="Symbol" w:hint="default"/>
      </w:rPr>
    </w:lvl>
    <w:lvl w:ilvl="4" w:tplc="4378AEF4">
      <w:start w:val="1"/>
      <w:numFmt w:val="bullet"/>
      <w:lvlText w:val="o"/>
      <w:lvlJc w:val="left"/>
      <w:pPr>
        <w:ind w:left="3600" w:hanging="360"/>
      </w:pPr>
      <w:rPr>
        <w:rFonts w:ascii="Courier New" w:hAnsi="Courier New" w:hint="default"/>
      </w:rPr>
    </w:lvl>
    <w:lvl w:ilvl="5" w:tplc="60702F0A">
      <w:start w:val="1"/>
      <w:numFmt w:val="bullet"/>
      <w:lvlText w:val=""/>
      <w:lvlJc w:val="left"/>
      <w:pPr>
        <w:ind w:left="4320" w:hanging="360"/>
      </w:pPr>
      <w:rPr>
        <w:rFonts w:ascii="Wingdings" w:hAnsi="Wingdings" w:hint="default"/>
      </w:rPr>
    </w:lvl>
    <w:lvl w:ilvl="6" w:tplc="E5FC8352">
      <w:start w:val="1"/>
      <w:numFmt w:val="bullet"/>
      <w:lvlText w:val=""/>
      <w:lvlJc w:val="left"/>
      <w:pPr>
        <w:ind w:left="5040" w:hanging="360"/>
      </w:pPr>
      <w:rPr>
        <w:rFonts w:ascii="Symbol" w:hAnsi="Symbol" w:hint="default"/>
      </w:rPr>
    </w:lvl>
    <w:lvl w:ilvl="7" w:tplc="7624B66A">
      <w:start w:val="1"/>
      <w:numFmt w:val="bullet"/>
      <w:lvlText w:val="o"/>
      <w:lvlJc w:val="left"/>
      <w:pPr>
        <w:ind w:left="5760" w:hanging="360"/>
      </w:pPr>
      <w:rPr>
        <w:rFonts w:ascii="Courier New" w:hAnsi="Courier New" w:hint="default"/>
      </w:rPr>
    </w:lvl>
    <w:lvl w:ilvl="8" w:tplc="A20ADA22">
      <w:start w:val="1"/>
      <w:numFmt w:val="bullet"/>
      <w:lvlText w:val=""/>
      <w:lvlJc w:val="left"/>
      <w:pPr>
        <w:ind w:left="6480" w:hanging="360"/>
      </w:pPr>
      <w:rPr>
        <w:rFonts w:ascii="Wingdings" w:hAnsi="Wingdings" w:hint="default"/>
      </w:rPr>
    </w:lvl>
  </w:abstractNum>
  <w:abstractNum w:abstractNumId="4" w15:restartNumberingAfterBreak="0">
    <w:nsid w:val="2CD075AE"/>
    <w:multiLevelType w:val="multilevel"/>
    <w:tmpl w:val="C086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6DC8F"/>
    <w:multiLevelType w:val="hybridMultilevel"/>
    <w:tmpl w:val="E4A8C428"/>
    <w:lvl w:ilvl="0" w:tplc="B7F00670">
      <w:start w:val="1"/>
      <w:numFmt w:val="bullet"/>
      <w:lvlText w:val=""/>
      <w:lvlJc w:val="left"/>
      <w:pPr>
        <w:ind w:left="720" w:hanging="360"/>
      </w:pPr>
      <w:rPr>
        <w:rFonts w:ascii="Symbol" w:hAnsi="Symbol" w:hint="default"/>
      </w:rPr>
    </w:lvl>
    <w:lvl w:ilvl="1" w:tplc="4CBC4EEC">
      <w:start w:val="1"/>
      <w:numFmt w:val="bullet"/>
      <w:lvlText w:val="o"/>
      <w:lvlJc w:val="left"/>
      <w:pPr>
        <w:ind w:left="1440" w:hanging="360"/>
      </w:pPr>
      <w:rPr>
        <w:rFonts w:ascii="Courier New" w:hAnsi="Courier New" w:hint="default"/>
      </w:rPr>
    </w:lvl>
    <w:lvl w:ilvl="2" w:tplc="0CDCD35E">
      <w:start w:val="1"/>
      <w:numFmt w:val="bullet"/>
      <w:lvlText w:val=""/>
      <w:lvlJc w:val="left"/>
      <w:pPr>
        <w:ind w:left="2160" w:hanging="360"/>
      </w:pPr>
      <w:rPr>
        <w:rFonts w:ascii="Wingdings" w:hAnsi="Wingdings" w:hint="default"/>
      </w:rPr>
    </w:lvl>
    <w:lvl w:ilvl="3" w:tplc="3C32D2F2">
      <w:start w:val="1"/>
      <w:numFmt w:val="bullet"/>
      <w:lvlText w:val=""/>
      <w:lvlJc w:val="left"/>
      <w:pPr>
        <w:ind w:left="2880" w:hanging="360"/>
      </w:pPr>
      <w:rPr>
        <w:rFonts w:ascii="Symbol" w:hAnsi="Symbol" w:hint="default"/>
      </w:rPr>
    </w:lvl>
    <w:lvl w:ilvl="4" w:tplc="37D40D12">
      <w:start w:val="1"/>
      <w:numFmt w:val="bullet"/>
      <w:lvlText w:val="o"/>
      <w:lvlJc w:val="left"/>
      <w:pPr>
        <w:ind w:left="3600" w:hanging="360"/>
      </w:pPr>
      <w:rPr>
        <w:rFonts w:ascii="Courier New" w:hAnsi="Courier New" w:hint="default"/>
      </w:rPr>
    </w:lvl>
    <w:lvl w:ilvl="5" w:tplc="A6C66B56">
      <w:start w:val="1"/>
      <w:numFmt w:val="bullet"/>
      <w:lvlText w:val=""/>
      <w:lvlJc w:val="left"/>
      <w:pPr>
        <w:ind w:left="4320" w:hanging="360"/>
      </w:pPr>
      <w:rPr>
        <w:rFonts w:ascii="Wingdings" w:hAnsi="Wingdings" w:hint="default"/>
      </w:rPr>
    </w:lvl>
    <w:lvl w:ilvl="6" w:tplc="52782646">
      <w:start w:val="1"/>
      <w:numFmt w:val="bullet"/>
      <w:lvlText w:val=""/>
      <w:lvlJc w:val="left"/>
      <w:pPr>
        <w:ind w:left="5040" w:hanging="360"/>
      </w:pPr>
      <w:rPr>
        <w:rFonts w:ascii="Symbol" w:hAnsi="Symbol" w:hint="default"/>
      </w:rPr>
    </w:lvl>
    <w:lvl w:ilvl="7" w:tplc="90B88040">
      <w:start w:val="1"/>
      <w:numFmt w:val="bullet"/>
      <w:lvlText w:val="o"/>
      <w:lvlJc w:val="left"/>
      <w:pPr>
        <w:ind w:left="5760" w:hanging="360"/>
      </w:pPr>
      <w:rPr>
        <w:rFonts w:ascii="Courier New" w:hAnsi="Courier New" w:hint="default"/>
      </w:rPr>
    </w:lvl>
    <w:lvl w:ilvl="8" w:tplc="B34E38DE">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7F752"/>
    <w:multiLevelType w:val="hybridMultilevel"/>
    <w:tmpl w:val="CF4884A8"/>
    <w:lvl w:ilvl="0" w:tplc="C9600934">
      <w:start w:val="1"/>
      <w:numFmt w:val="bullet"/>
      <w:lvlText w:val=""/>
      <w:lvlJc w:val="left"/>
      <w:pPr>
        <w:ind w:left="720" w:hanging="360"/>
      </w:pPr>
      <w:rPr>
        <w:rFonts w:ascii="Symbol" w:hAnsi="Symbol" w:hint="default"/>
      </w:rPr>
    </w:lvl>
    <w:lvl w:ilvl="1" w:tplc="4D60B182">
      <w:start w:val="1"/>
      <w:numFmt w:val="bullet"/>
      <w:lvlText w:val="o"/>
      <w:lvlJc w:val="left"/>
      <w:pPr>
        <w:ind w:left="1440" w:hanging="360"/>
      </w:pPr>
      <w:rPr>
        <w:rFonts w:ascii="Courier New" w:hAnsi="Courier New" w:hint="default"/>
      </w:rPr>
    </w:lvl>
    <w:lvl w:ilvl="2" w:tplc="350671A2">
      <w:start w:val="1"/>
      <w:numFmt w:val="bullet"/>
      <w:lvlText w:val=""/>
      <w:lvlJc w:val="left"/>
      <w:pPr>
        <w:ind w:left="2160" w:hanging="360"/>
      </w:pPr>
      <w:rPr>
        <w:rFonts w:ascii="Wingdings" w:hAnsi="Wingdings" w:hint="default"/>
      </w:rPr>
    </w:lvl>
    <w:lvl w:ilvl="3" w:tplc="DD522A4A">
      <w:start w:val="1"/>
      <w:numFmt w:val="bullet"/>
      <w:lvlText w:val=""/>
      <w:lvlJc w:val="left"/>
      <w:pPr>
        <w:ind w:left="2880" w:hanging="360"/>
      </w:pPr>
      <w:rPr>
        <w:rFonts w:ascii="Symbol" w:hAnsi="Symbol" w:hint="default"/>
      </w:rPr>
    </w:lvl>
    <w:lvl w:ilvl="4" w:tplc="C4BE29B8">
      <w:start w:val="1"/>
      <w:numFmt w:val="bullet"/>
      <w:lvlText w:val="o"/>
      <w:lvlJc w:val="left"/>
      <w:pPr>
        <w:ind w:left="3600" w:hanging="360"/>
      </w:pPr>
      <w:rPr>
        <w:rFonts w:ascii="Courier New" w:hAnsi="Courier New" w:hint="default"/>
      </w:rPr>
    </w:lvl>
    <w:lvl w:ilvl="5" w:tplc="D08ADD04">
      <w:start w:val="1"/>
      <w:numFmt w:val="bullet"/>
      <w:lvlText w:val=""/>
      <w:lvlJc w:val="left"/>
      <w:pPr>
        <w:ind w:left="4320" w:hanging="360"/>
      </w:pPr>
      <w:rPr>
        <w:rFonts w:ascii="Wingdings" w:hAnsi="Wingdings" w:hint="default"/>
      </w:rPr>
    </w:lvl>
    <w:lvl w:ilvl="6" w:tplc="7C2AC2E4">
      <w:start w:val="1"/>
      <w:numFmt w:val="bullet"/>
      <w:lvlText w:val=""/>
      <w:lvlJc w:val="left"/>
      <w:pPr>
        <w:ind w:left="5040" w:hanging="360"/>
      </w:pPr>
      <w:rPr>
        <w:rFonts w:ascii="Symbol" w:hAnsi="Symbol" w:hint="default"/>
      </w:rPr>
    </w:lvl>
    <w:lvl w:ilvl="7" w:tplc="4B98672A">
      <w:start w:val="1"/>
      <w:numFmt w:val="bullet"/>
      <w:lvlText w:val="o"/>
      <w:lvlJc w:val="left"/>
      <w:pPr>
        <w:ind w:left="5760" w:hanging="360"/>
      </w:pPr>
      <w:rPr>
        <w:rFonts w:ascii="Courier New" w:hAnsi="Courier New" w:hint="default"/>
      </w:rPr>
    </w:lvl>
    <w:lvl w:ilvl="8" w:tplc="21B803A4">
      <w:start w:val="1"/>
      <w:numFmt w:val="bullet"/>
      <w:lvlText w:val=""/>
      <w:lvlJc w:val="left"/>
      <w:pPr>
        <w:ind w:left="6480" w:hanging="360"/>
      </w:pPr>
      <w:rPr>
        <w:rFonts w:ascii="Wingdings" w:hAnsi="Wingdings" w:hint="default"/>
      </w:rPr>
    </w:lvl>
  </w:abstractNum>
  <w:abstractNum w:abstractNumId="9" w15:restartNumberingAfterBreak="0">
    <w:nsid w:val="660572C8"/>
    <w:multiLevelType w:val="hybridMultilevel"/>
    <w:tmpl w:val="5E6850A4"/>
    <w:lvl w:ilvl="0" w:tplc="2B76D496">
      <w:start w:val="1"/>
      <w:numFmt w:val="bullet"/>
      <w:lvlText w:val=""/>
      <w:lvlJc w:val="left"/>
      <w:pPr>
        <w:ind w:left="720" w:hanging="360"/>
      </w:pPr>
      <w:rPr>
        <w:rFonts w:ascii="Symbol" w:hAnsi="Symbol" w:hint="default"/>
      </w:rPr>
    </w:lvl>
    <w:lvl w:ilvl="1" w:tplc="0778FC32">
      <w:start w:val="1"/>
      <w:numFmt w:val="bullet"/>
      <w:lvlText w:val="o"/>
      <w:lvlJc w:val="left"/>
      <w:pPr>
        <w:ind w:left="1440" w:hanging="360"/>
      </w:pPr>
      <w:rPr>
        <w:rFonts w:ascii="Courier New" w:hAnsi="Courier New" w:hint="default"/>
      </w:rPr>
    </w:lvl>
    <w:lvl w:ilvl="2" w:tplc="B92A2016">
      <w:start w:val="1"/>
      <w:numFmt w:val="bullet"/>
      <w:lvlText w:val=""/>
      <w:lvlJc w:val="left"/>
      <w:pPr>
        <w:ind w:left="2160" w:hanging="360"/>
      </w:pPr>
      <w:rPr>
        <w:rFonts w:ascii="Wingdings" w:hAnsi="Wingdings" w:hint="default"/>
      </w:rPr>
    </w:lvl>
    <w:lvl w:ilvl="3" w:tplc="6B867B96">
      <w:start w:val="1"/>
      <w:numFmt w:val="bullet"/>
      <w:lvlText w:val=""/>
      <w:lvlJc w:val="left"/>
      <w:pPr>
        <w:ind w:left="2880" w:hanging="360"/>
      </w:pPr>
      <w:rPr>
        <w:rFonts w:ascii="Symbol" w:hAnsi="Symbol" w:hint="default"/>
      </w:rPr>
    </w:lvl>
    <w:lvl w:ilvl="4" w:tplc="9A7AC7F8">
      <w:start w:val="1"/>
      <w:numFmt w:val="bullet"/>
      <w:lvlText w:val="o"/>
      <w:lvlJc w:val="left"/>
      <w:pPr>
        <w:ind w:left="3600" w:hanging="360"/>
      </w:pPr>
      <w:rPr>
        <w:rFonts w:ascii="Courier New" w:hAnsi="Courier New" w:hint="default"/>
      </w:rPr>
    </w:lvl>
    <w:lvl w:ilvl="5" w:tplc="069E3BE6">
      <w:start w:val="1"/>
      <w:numFmt w:val="bullet"/>
      <w:lvlText w:val=""/>
      <w:lvlJc w:val="left"/>
      <w:pPr>
        <w:ind w:left="4320" w:hanging="360"/>
      </w:pPr>
      <w:rPr>
        <w:rFonts w:ascii="Wingdings" w:hAnsi="Wingdings" w:hint="default"/>
      </w:rPr>
    </w:lvl>
    <w:lvl w:ilvl="6" w:tplc="77B4AAC8">
      <w:start w:val="1"/>
      <w:numFmt w:val="bullet"/>
      <w:lvlText w:val=""/>
      <w:lvlJc w:val="left"/>
      <w:pPr>
        <w:ind w:left="5040" w:hanging="360"/>
      </w:pPr>
      <w:rPr>
        <w:rFonts w:ascii="Symbol" w:hAnsi="Symbol" w:hint="default"/>
      </w:rPr>
    </w:lvl>
    <w:lvl w:ilvl="7" w:tplc="5AC811A6">
      <w:start w:val="1"/>
      <w:numFmt w:val="bullet"/>
      <w:lvlText w:val="o"/>
      <w:lvlJc w:val="left"/>
      <w:pPr>
        <w:ind w:left="5760" w:hanging="360"/>
      </w:pPr>
      <w:rPr>
        <w:rFonts w:ascii="Courier New" w:hAnsi="Courier New" w:hint="default"/>
      </w:rPr>
    </w:lvl>
    <w:lvl w:ilvl="8" w:tplc="7F488BC2">
      <w:start w:val="1"/>
      <w:numFmt w:val="bullet"/>
      <w:lvlText w:val=""/>
      <w:lvlJc w:val="left"/>
      <w:pPr>
        <w:ind w:left="6480" w:hanging="360"/>
      </w:pPr>
      <w:rPr>
        <w:rFonts w:ascii="Wingdings" w:hAnsi="Wingdings" w:hint="default"/>
      </w:rPr>
    </w:lvl>
  </w:abstractNum>
  <w:abstractNum w:abstractNumId="10" w15:restartNumberingAfterBreak="0">
    <w:nsid w:val="7523D22D"/>
    <w:multiLevelType w:val="hybridMultilevel"/>
    <w:tmpl w:val="60D68888"/>
    <w:lvl w:ilvl="0" w:tplc="5F523F74">
      <w:start w:val="1"/>
      <w:numFmt w:val="bullet"/>
      <w:lvlText w:val=""/>
      <w:lvlJc w:val="left"/>
      <w:pPr>
        <w:ind w:left="720" w:hanging="360"/>
      </w:pPr>
      <w:rPr>
        <w:rFonts w:ascii="Symbol" w:hAnsi="Symbol" w:hint="default"/>
      </w:rPr>
    </w:lvl>
    <w:lvl w:ilvl="1" w:tplc="A30C76F6">
      <w:start w:val="1"/>
      <w:numFmt w:val="bullet"/>
      <w:lvlText w:val="o"/>
      <w:lvlJc w:val="left"/>
      <w:pPr>
        <w:ind w:left="1440" w:hanging="360"/>
      </w:pPr>
      <w:rPr>
        <w:rFonts w:ascii="Courier New" w:hAnsi="Courier New" w:hint="default"/>
      </w:rPr>
    </w:lvl>
    <w:lvl w:ilvl="2" w:tplc="3724D082">
      <w:start w:val="1"/>
      <w:numFmt w:val="bullet"/>
      <w:lvlText w:val=""/>
      <w:lvlJc w:val="left"/>
      <w:pPr>
        <w:ind w:left="2160" w:hanging="360"/>
      </w:pPr>
      <w:rPr>
        <w:rFonts w:ascii="Wingdings" w:hAnsi="Wingdings" w:hint="default"/>
      </w:rPr>
    </w:lvl>
    <w:lvl w:ilvl="3" w:tplc="A12ECBA2">
      <w:start w:val="1"/>
      <w:numFmt w:val="bullet"/>
      <w:lvlText w:val=""/>
      <w:lvlJc w:val="left"/>
      <w:pPr>
        <w:ind w:left="2880" w:hanging="360"/>
      </w:pPr>
      <w:rPr>
        <w:rFonts w:ascii="Symbol" w:hAnsi="Symbol" w:hint="default"/>
      </w:rPr>
    </w:lvl>
    <w:lvl w:ilvl="4" w:tplc="A268F4FC">
      <w:start w:val="1"/>
      <w:numFmt w:val="bullet"/>
      <w:lvlText w:val="o"/>
      <w:lvlJc w:val="left"/>
      <w:pPr>
        <w:ind w:left="3600" w:hanging="360"/>
      </w:pPr>
      <w:rPr>
        <w:rFonts w:ascii="Courier New" w:hAnsi="Courier New" w:hint="default"/>
      </w:rPr>
    </w:lvl>
    <w:lvl w:ilvl="5" w:tplc="EACE710A">
      <w:start w:val="1"/>
      <w:numFmt w:val="bullet"/>
      <w:lvlText w:val=""/>
      <w:lvlJc w:val="left"/>
      <w:pPr>
        <w:ind w:left="4320" w:hanging="360"/>
      </w:pPr>
      <w:rPr>
        <w:rFonts w:ascii="Wingdings" w:hAnsi="Wingdings" w:hint="default"/>
      </w:rPr>
    </w:lvl>
    <w:lvl w:ilvl="6" w:tplc="2510596A">
      <w:start w:val="1"/>
      <w:numFmt w:val="bullet"/>
      <w:lvlText w:val=""/>
      <w:lvlJc w:val="left"/>
      <w:pPr>
        <w:ind w:left="5040" w:hanging="360"/>
      </w:pPr>
      <w:rPr>
        <w:rFonts w:ascii="Symbol" w:hAnsi="Symbol" w:hint="default"/>
      </w:rPr>
    </w:lvl>
    <w:lvl w:ilvl="7" w:tplc="951AA832">
      <w:start w:val="1"/>
      <w:numFmt w:val="bullet"/>
      <w:lvlText w:val="o"/>
      <w:lvlJc w:val="left"/>
      <w:pPr>
        <w:ind w:left="5760" w:hanging="360"/>
      </w:pPr>
      <w:rPr>
        <w:rFonts w:ascii="Courier New" w:hAnsi="Courier New" w:hint="default"/>
      </w:rPr>
    </w:lvl>
    <w:lvl w:ilvl="8" w:tplc="0BA898C8">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59675">
    <w:abstractNumId w:val="10"/>
  </w:num>
  <w:num w:numId="2" w16cid:durableId="893738880">
    <w:abstractNumId w:val="3"/>
  </w:num>
  <w:num w:numId="3" w16cid:durableId="1629507184">
    <w:abstractNumId w:val="8"/>
  </w:num>
  <w:num w:numId="4" w16cid:durableId="1544514433">
    <w:abstractNumId w:val="6"/>
  </w:num>
  <w:num w:numId="5" w16cid:durableId="1738236590">
    <w:abstractNumId w:val="1"/>
  </w:num>
  <w:num w:numId="6" w16cid:durableId="1598707449">
    <w:abstractNumId w:val="9"/>
  </w:num>
  <w:num w:numId="7" w16cid:durableId="193229479">
    <w:abstractNumId w:val="7"/>
  </w:num>
  <w:num w:numId="8" w16cid:durableId="410391588">
    <w:abstractNumId w:val="2"/>
  </w:num>
  <w:num w:numId="9" w16cid:durableId="379402131">
    <w:abstractNumId w:val="11"/>
  </w:num>
  <w:num w:numId="10" w16cid:durableId="470908189">
    <w:abstractNumId w:val="5"/>
  </w:num>
  <w:num w:numId="11" w16cid:durableId="1030564988">
    <w:abstractNumId w:val="4"/>
  </w:num>
  <w:num w:numId="12" w16cid:durableId="212823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4E63"/>
    <w:rsid w:val="000173F9"/>
    <w:rsid w:val="00025527"/>
    <w:rsid w:val="000412A0"/>
    <w:rsid w:val="00047DDA"/>
    <w:rsid w:val="00052E54"/>
    <w:rsid w:val="0005455A"/>
    <w:rsid w:val="00071F07"/>
    <w:rsid w:val="0007759D"/>
    <w:rsid w:val="000777AB"/>
    <w:rsid w:val="00077F46"/>
    <w:rsid w:val="00090001"/>
    <w:rsid w:val="0009022E"/>
    <w:rsid w:val="00090FB1"/>
    <w:rsid w:val="00096186"/>
    <w:rsid w:val="00097AA6"/>
    <w:rsid w:val="000A0031"/>
    <w:rsid w:val="000A72E4"/>
    <w:rsid w:val="000A77FA"/>
    <w:rsid w:val="000B0E2F"/>
    <w:rsid w:val="000B2430"/>
    <w:rsid w:val="000D0B30"/>
    <w:rsid w:val="000E21F1"/>
    <w:rsid w:val="000E2409"/>
    <w:rsid w:val="000F703E"/>
    <w:rsid w:val="00101B58"/>
    <w:rsid w:val="00120E86"/>
    <w:rsid w:val="001219FD"/>
    <w:rsid w:val="00125DE9"/>
    <w:rsid w:val="00131F9D"/>
    <w:rsid w:val="001320EE"/>
    <w:rsid w:val="001332E0"/>
    <w:rsid w:val="00134DE7"/>
    <w:rsid w:val="00141A50"/>
    <w:rsid w:val="00185354"/>
    <w:rsid w:val="001854DC"/>
    <w:rsid w:val="00186795"/>
    <w:rsid w:val="00194D09"/>
    <w:rsid w:val="001A7D5C"/>
    <w:rsid w:val="001B60AA"/>
    <w:rsid w:val="001B63C8"/>
    <w:rsid w:val="001C1972"/>
    <w:rsid w:val="001C421F"/>
    <w:rsid w:val="001D25B7"/>
    <w:rsid w:val="001D360D"/>
    <w:rsid w:val="001E38B6"/>
    <w:rsid w:val="0021359F"/>
    <w:rsid w:val="00215221"/>
    <w:rsid w:val="0023023A"/>
    <w:rsid w:val="00261A8D"/>
    <w:rsid w:val="00264CF4"/>
    <w:rsid w:val="002734A3"/>
    <w:rsid w:val="00283C1C"/>
    <w:rsid w:val="00291A00"/>
    <w:rsid w:val="00291A11"/>
    <w:rsid w:val="002A315C"/>
    <w:rsid w:val="002A3342"/>
    <w:rsid w:val="002A64BA"/>
    <w:rsid w:val="002B00DB"/>
    <w:rsid w:val="002B4989"/>
    <w:rsid w:val="002C2510"/>
    <w:rsid w:val="002D714E"/>
    <w:rsid w:val="002E53C3"/>
    <w:rsid w:val="002F1468"/>
    <w:rsid w:val="002F24E9"/>
    <w:rsid w:val="002F5F0C"/>
    <w:rsid w:val="002F6560"/>
    <w:rsid w:val="0031369F"/>
    <w:rsid w:val="003265EB"/>
    <w:rsid w:val="00337FE1"/>
    <w:rsid w:val="0034329E"/>
    <w:rsid w:val="00343FAA"/>
    <w:rsid w:val="00347F5E"/>
    <w:rsid w:val="00353C98"/>
    <w:rsid w:val="00371A20"/>
    <w:rsid w:val="003821B4"/>
    <w:rsid w:val="00382CF3"/>
    <w:rsid w:val="00387D52"/>
    <w:rsid w:val="00396550"/>
    <w:rsid w:val="003A7CEA"/>
    <w:rsid w:val="003B773A"/>
    <w:rsid w:val="003F0BD3"/>
    <w:rsid w:val="003F1B60"/>
    <w:rsid w:val="003F278A"/>
    <w:rsid w:val="003F7A02"/>
    <w:rsid w:val="00422EA5"/>
    <w:rsid w:val="00422EFA"/>
    <w:rsid w:val="00425FCC"/>
    <w:rsid w:val="0042791F"/>
    <w:rsid w:val="004456ED"/>
    <w:rsid w:val="0048045A"/>
    <w:rsid w:val="004841B8"/>
    <w:rsid w:val="00490658"/>
    <w:rsid w:val="004930F2"/>
    <w:rsid w:val="004B0F1C"/>
    <w:rsid w:val="004D0B97"/>
    <w:rsid w:val="004D5234"/>
    <w:rsid w:val="004F2EE6"/>
    <w:rsid w:val="00502DBA"/>
    <w:rsid w:val="005040C4"/>
    <w:rsid w:val="00504775"/>
    <w:rsid w:val="00507637"/>
    <w:rsid w:val="00507852"/>
    <w:rsid w:val="005130BF"/>
    <w:rsid w:val="00514DBF"/>
    <w:rsid w:val="00550921"/>
    <w:rsid w:val="00563712"/>
    <w:rsid w:val="0057109B"/>
    <w:rsid w:val="00573631"/>
    <w:rsid w:val="00573C0B"/>
    <w:rsid w:val="005768D7"/>
    <w:rsid w:val="00576CFA"/>
    <w:rsid w:val="005770A3"/>
    <w:rsid w:val="0058556D"/>
    <w:rsid w:val="00592200"/>
    <w:rsid w:val="00592AF2"/>
    <w:rsid w:val="005947AD"/>
    <w:rsid w:val="00597748"/>
    <w:rsid w:val="005979E8"/>
    <w:rsid w:val="005B3E07"/>
    <w:rsid w:val="005C016A"/>
    <w:rsid w:val="005D0AF4"/>
    <w:rsid w:val="005E54BD"/>
    <w:rsid w:val="005F5F07"/>
    <w:rsid w:val="005F6CCA"/>
    <w:rsid w:val="00603470"/>
    <w:rsid w:val="006104AF"/>
    <w:rsid w:val="00621893"/>
    <w:rsid w:val="00623DBA"/>
    <w:rsid w:val="006351E1"/>
    <w:rsid w:val="006447B1"/>
    <w:rsid w:val="00645760"/>
    <w:rsid w:val="006552D3"/>
    <w:rsid w:val="00662562"/>
    <w:rsid w:val="00662775"/>
    <w:rsid w:val="006852FC"/>
    <w:rsid w:val="006859BE"/>
    <w:rsid w:val="00694203"/>
    <w:rsid w:val="006B40AB"/>
    <w:rsid w:val="006B5DC5"/>
    <w:rsid w:val="006C4BFD"/>
    <w:rsid w:val="006C7D30"/>
    <w:rsid w:val="006D1BAD"/>
    <w:rsid w:val="006E3C08"/>
    <w:rsid w:val="006F77A0"/>
    <w:rsid w:val="00700ACF"/>
    <w:rsid w:val="007114E8"/>
    <w:rsid w:val="00712487"/>
    <w:rsid w:val="00735B9E"/>
    <w:rsid w:val="007530CA"/>
    <w:rsid w:val="00756D68"/>
    <w:rsid w:val="007578D9"/>
    <w:rsid w:val="00757B52"/>
    <w:rsid w:val="00757E8A"/>
    <w:rsid w:val="00763E43"/>
    <w:rsid w:val="00764EB5"/>
    <w:rsid w:val="00776F88"/>
    <w:rsid w:val="00777A95"/>
    <w:rsid w:val="00782416"/>
    <w:rsid w:val="007910C6"/>
    <w:rsid w:val="007B0364"/>
    <w:rsid w:val="007C7901"/>
    <w:rsid w:val="007D0981"/>
    <w:rsid w:val="007D1929"/>
    <w:rsid w:val="007F261B"/>
    <w:rsid w:val="007F34E0"/>
    <w:rsid w:val="007F5097"/>
    <w:rsid w:val="00803CF1"/>
    <w:rsid w:val="008104BB"/>
    <w:rsid w:val="008249C5"/>
    <w:rsid w:val="00831E75"/>
    <w:rsid w:val="00842BEE"/>
    <w:rsid w:val="008526F9"/>
    <w:rsid w:val="0085285E"/>
    <w:rsid w:val="00853023"/>
    <w:rsid w:val="008534D4"/>
    <w:rsid w:val="00854B37"/>
    <w:rsid w:val="0086598E"/>
    <w:rsid w:val="00881E28"/>
    <w:rsid w:val="008823BF"/>
    <w:rsid w:val="00890F83"/>
    <w:rsid w:val="00894C4B"/>
    <w:rsid w:val="008A12E3"/>
    <w:rsid w:val="008A42FA"/>
    <w:rsid w:val="008B0AC7"/>
    <w:rsid w:val="008C2335"/>
    <w:rsid w:val="008C67C1"/>
    <w:rsid w:val="008D1D39"/>
    <w:rsid w:val="008F07D2"/>
    <w:rsid w:val="008F089A"/>
    <w:rsid w:val="00917851"/>
    <w:rsid w:val="00917F65"/>
    <w:rsid w:val="009311E7"/>
    <w:rsid w:val="00942694"/>
    <w:rsid w:val="00973FAF"/>
    <w:rsid w:val="00996B8F"/>
    <w:rsid w:val="009973E3"/>
    <w:rsid w:val="009A7E3A"/>
    <w:rsid w:val="009B1265"/>
    <w:rsid w:val="009B4A15"/>
    <w:rsid w:val="009B5693"/>
    <w:rsid w:val="009C223D"/>
    <w:rsid w:val="009C61A2"/>
    <w:rsid w:val="009C78E4"/>
    <w:rsid w:val="009D687E"/>
    <w:rsid w:val="009D6910"/>
    <w:rsid w:val="009F170D"/>
    <w:rsid w:val="009F6DE7"/>
    <w:rsid w:val="00A10583"/>
    <w:rsid w:val="00A34083"/>
    <w:rsid w:val="00A37FCB"/>
    <w:rsid w:val="00A453FC"/>
    <w:rsid w:val="00A54863"/>
    <w:rsid w:val="00A61D74"/>
    <w:rsid w:val="00A77068"/>
    <w:rsid w:val="00A8688B"/>
    <w:rsid w:val="00A91163"/>
    <w:rsid w:val="00A9286F"/>
    <w:rsid w:val="00A96255"/>
    <w:rsid w:val="00AB285B"/>
    <w:rsid w:val="00AB3E58"/>
    <w:rsid w:val="00AC7106"/>
    <w:rsid w:val="00AF5552"/>
    <w:rsid w:val="00AF5CB4"/>
    <w:rsid w:val="00AF5ED1"/>
    <w:rsid w:val="00AF71D6"/>
    <w:rsid w:val="00B216EE"/>
    <w:rsid w:val="00B3175F"/>
    <w:rsid w:val="00B31E2C"/>
    <w:rsid w:val="00B329B0"/>
    <w:rsid w:val="00B402D8"/>
    <w:rsid w:val="00B4237C"/>
    <w:rsid w:val="00B42FE8"/>
    <w:rsid w:val="00B52AFD"/>
    <w:rsid w:val="00B54077"/>
    <w:rsid w:val="00B71D7B"/>
    <w:rsid w:val="00B8087E"/>
    <w:rsid w:val="00BB5F56"/>
    <w:rsid w:val="00BB646E"/>
    <w:rsid w:val="00BC3068"/>
    <w:rsid w:val="00BD1BA1"/>
    <w:rsid w:val="00BE2CEF"/>
    <w:rsid w:val="00C019E5"/>
    <w:rsid w:val="00C35BC4"/>
    <w:rsid w:val="00C43F5B"/>
    <w:rsid w:val="00C509AB"/>
    <w:rsid w:val="00C80131"/>
    <w:rsid w:val="00C82F1A"/>
    <w:rsid w:val="00C965B0"/>
    <w:rsid w:val="00CB4371"/>
    <w:rsid w:val="00CB73CB"/>
    <w:rsid w:val="00CC516D"/>
    <w:rsid w:val="00CC560B"/>
    <w:rsid w:val="00CE258B"/>
    <w:rsid w:val="00D24330"/>
    <w:rsid w:val="00D32926"/>
    <w:rsid w:val="00D40056"/>
    <w:rsid w:val="00D517EF"/>
    <w:rsid w:val="00D51E7C"/>
    <w:rsid w:val="00D5280E"/>
    <w:rsid w:val="00D5396E"/>
    <w:rsid w:val="00D54F29"/>
    <w:rsid w:val="00D63754"/>
    <w:rsid w:val="00D7020C"/>
    <w:rsid w:val="00D70AD9"/>
    <w:rsid w:val="00D72152"/>
    <w:rsid w:val="00D90158"/>
    <w:rsid w:val="00D94BA5"/>
    <w:rsid w:val="00D9510F"/>
    <w:rsid w:val="00DA615C"/>
    <w:rsid w:val="00DB6156"/>
    <w:rsid w:val="00DC3DCA"/>
    <w:rsid w:val="00DD1BC6"/>
    <w:rsid w:val="00DD2CCB"/>
    <w:rsid w:val="00DD40ED"/>
    <w:rsid w:val="00DE5DC3"/>
    <w:rsid w:val="00E00D8A"/>
    <w:rsid w:val="00E1050F"/>
    <w:rsid w:val="00E11604"/>
    <w:rsid w:val="00E11D92"/>
    <w:rsid w:val="00E130A0"/>
    <w:rsid w:val="00E137F7"/>
    <w:rsid w:val="00E152B4"/>
    <w:rsid w:val="00E210C4"/>
    <w:rsid w:val="00E23DB7"/>
    <w:rsid w:val="00E2677D"/>
    <w:rsid w:val="00E46D96"/>
    <w:rsid w:val="00E52CCA"/>
    <w:rsid w:val="00E66409"/>
    <w:rsid w:val="00E67847"/>
    <w:rsid w:val="00E81D5B"/>
    <w:rsid w:val="00E96EB7"/>
    <w:rsid w:val="00E976B9"/>
    <w:rsid w:val="00EA05D3"/>
    <w:rsid w:val="00EB0C12"/>
    <w:rsid w:val="00EB19AD"/>
    <w:rsid w:val="00EB2F31"/>
    <w:rsid w:val="00EB6493"/>
    <w:rsid w:val="00EB6DCE"/>
    <w:rsid w:val="00EB7EFB"/>
    <w:rsid w:val="00EC2915"/>
    <w:rsid w:val="00ED05A9"/>
    <w:rsid w:val="00ED0FD5"/>
    <w:rsid w:val="00ED1BA0"/>
    <w:rsid w:val="00EF0395"/>
    <w:rsid w:val="00F0185E"/>
    <w:rsid w:val="00F02783"/>
    <w:rsid w:val="00F17257"/>
    <w:rsid w:val="00F34D24"/>
    <w:rsid w:val="00F36DAA"/>
    <w:rsid w:val="00F4130B"/>
    <w:rsid w:val="00F556A2"/>
    <w:rsid w:val="00F66DC4"/>
    <w:rsid w:val="00F719A8"/>
    <w:rsid w:val="00F878B9"/>
    <w:rsid w:val="00FA7162"/>
    <w:rsid w:val="00FB24E8"/>
    <w:rsid w:val="00FB3B2B"/>
    <w:rsid w:val="00FB5508"/>
    <w:rsid w:val="00FC18DA"/>
    <w:rsid w:val="00FC3917"/>
    <w:rsid w:val="00FD60DA"/>
    <w:rsid w:val="00FE352C"/>
    <w:rsid w:val="00FE7033"/>
    <w:rsid w:val="00FF07B4"/>
    <w:rsid w:val="01192AFA"/>
    <w:rsid w:val="01D96431"/>
    <w:rsid w:val="01DC0E72"/>
    <w:rsid w:val="01DF05B4"/>
    <w:rsid w:val="026BA221"/>
    <w:rsid w:val="02D48232"/>
    <w:rsid w:val="03166B2C"/>
    <w:rsid w:val="039D0202"/>
    <w:rsid w:val="03E411C8"/>
    <w:rsid w:val="03F76515"/>
    <w:rsid w:val="041C5E6C"/>
    <w:rsid w:val="0443F139"/>
    <w:rsid w:val="04D75983"/>
    <w:rsid w:val="04E84FA3"/>
    <w:rsid w:val="04F516A1"/>
    <w:rsid w:val="0734DB11"/>
    <w:rsid w:val="07A12394"/>
    <w:rsid w:val="0803336B"/>
    <w:rsid w:val="08702F57"/>
    <w:rsid w:val="08A6A53D"/>
    <w:rsid w:val="08EE338A"/>
    <w:rsid w:val="08FECCEC"/>
    <w:rsid w:val="090EDC81"/>
    <w:rsid w:val="09150768"/>
    <w:rsid w:val="0930AF93"/>
    <w:rsid w:val="09555454"/>
    <w:rsid w:val="0989751F"/>
    <w:rsid w:val="0A08EF0F"/>
    <w:rsid w:val="0A76B406"/>
    <w:rsid w:val="0B48687A"/>
    <w:rsid w:val="0BB91A5C"/>
    <w:rsid w:val="0C3D2409"/>
    <w:rsid w:val="0D1679FE"/>
    <w:rsid w:val="0D2C3FD7"/>
    <w:rsid w:val="0D3AFB9E"/>
    <w:rsid w:val="0D408FD1"/>
    <w:rsid w:val="0D5E521C"/>
    <w:rsid w:val="0DCC1239"/>
    <w:rsid w:val="0E105A8F"/>
    <w:rsid w:val="0ECA5AEB"/>
    <w:rsid w:val="0EDCB1DC"/>
    <w:rsid w:val="0F3A9C4E"/>
    <w:rsid w:val="100A1C20"/>
    <w:rsid w:val="10353CD3"/>
    <w:rsid w:val="10F029F4"/>
    <w:rsid w:val="117E5D20"/>
    <w:rsid w:val="11D64893"/>
    <w:rsid w:val="11D8D99B"/>
    <w:rsid w:val="11E6E577"/>
    <w:rsid w:val="1297072C"/>
    <w:rsid w:val="12CB6D9E"/>
    <w:rsid w:val="12FA5600"/>
    <w:rsid w:val="1307F7AB"/>
    <w:rsid w:val="1365B7E4"/>
    <w:rsid w:val="142E14F5"/>
    <w:rsid w:val="148A9FAF"/>
    <w:rsid w:val="14BED2B2"/>
    <w:rsid w:val="14BF02EE"/>
    <w:rsid w:val="14D3C90A"/>
    <w:rsid w:val="160217BA"/>
    <w:rsid w:val="161B652A"/>
    <w:rsid w:val="169746A9"/>
    <w:rsid w:val="16A9B9B6"/>
    <w:rsid w:val="16B1CA96"/>
    <w:rsid w:val="16C72ECD"/>
    <w:rsid w:val="1764637C"/>
    <w:rsid w:val="177A004B"/>
    <w:rsid w:val="17A82EB1"/>
    <w:rsid w:val="17CD4824"/>
    <w:rsid w:val="1816A947"/>
    <w:rsid w:val="185BF7D6"/>
    <w:rsid w:val="1866B772"/>
    <w:rsid w:val="186B79D3"/>
    <w:rsid w:val="18AB9740"/>
    <w:rsid w:val="19B279A8"/>
    <w:rsid w:val="1A565B99"/>
    <w:rsid w:val="1A9D5679"/>
    <w:rsid w:val="1B745458"/>
    <w:rsid w:val="1B78DDD0"/>
    <w:rsid w:val="1C19D1E0"/>
    <w:rsid w:val="1C437CC1"/>
    <w:rsid w:val="1C69DC87"/>
    <w:rsid w:val="1C74164C"/>
    <w:rsid w:val="1CDFC709"/>
    <w:rsid w:val="1D39ACCD"/>
    <w:rsid w:val="1DD41A1E"/>
    <w:rsid w:val="1DEBAAB2"/>
    <w:rsid w:val="1EE17CE9"/>
    <w:rsid w:val="1EE683A2"/>
    <w:rsid w:val="1F158102"/>
    <w:rsid w:val="2021BB2C"/>
    <w:rsid w:val="2059F3D6"/>
    <w:rsid w:val="209987A3"/>
    <w:rsid w:val="214CC59D"/>
    <w:rsid w:val="2257D509"/>
    <w:rsid w:val="22DCE4CF"/>
    <w:rsid w:val="22E4B128"/>
    <w:rsid w:val="22F3671A"/>
    <w:rsid w:val="22F38D76"/>
    <w:rsid w:val="23595BEE"/>
    <w:rsid w:val="236B7561"/>
    <w:rsid w:val="23705BC4"/>
    <w:rsid w:val="238F3847"/>
    <w:rsid w:val="24194D1B"/>
    <w:rsid w:val="24F52C4F"/>
    <w:rsid w:val="2538DE3E"/>
    <w:rsid w:val="25F3EF5D"/>
    <w:rsid w:val="264693FC"/>
    <w:rsid w:val="26C0F471"/>
    <w:rsid w:val="274CAC1E"/>
    <w:rsid w:val="27D83077"/>
    <w:rsid w:val="27DB4120"/>
    <w:rsid w:val="282CCD11"/>
    <w:rsid w:val="2845F56E"/>
    <w:rsid w:val="285097D6"/>
    <w:rsid w:val="2888ACB5"/>
    <w:rsid w:val="292AF8A7"/>
    <w:rsid w:val="29448E0D"/>
    <w:rsid w:val="29F2B1C6"/>
    <w:rsid w:val="29F44A1D"/>
    <w:rsid w:val="2A02E1BB"/>
    <w:rsid w:val="2A08F568"/>
    <w:rsid w:val="2A0C5427"/>
    <w:rsid w:val="2A44DDA7"/>
    <w:rsid w:val="2A5734DA"/>
    <w:rsid w:val="2AAF026C"/>
    <w:rsid w:val="2B646DD3"/>
    <w:rsid w:val="2B7B9F87"/>
    <w:rsid w:val="2B922D79"/>
    <w:rsid w:val="2BAA0D97"/>
    <w:rsid w:val="2BB8BD9E"/>
    <w:rsid w:val="2C0BB633"/>
    <w:rsid w:val="2C13504E"/>
    <w:rsid w:val="2C4F9418"/>
    <w:rsid w:val="2C5072A0"/>
    <w:rsid w:val="2DDC3115"/>
    <w:rsid w:val="2DE31803"/>
    <w:rsid w:val="2E10735B"/>
    <w:rsid w:val="2E1D91BF"/>
    <w:rsid w:val="2E2ED19A"/>
    <w:rsid w:val="2E5499FE"/>
    <w:rsid w:val="2E9A17EC"/>
    <w:rsid w:val="2F05C9B5"/>
    <w:rsid w:val="2F6113DB"/>
    <w:rsid w:val="2FC6B756"/>
    <w:rsid w:val="30017E38"/>
    <w:rsid w:val="30D383FA"/>
    <w:rsid w:val="3275E659"/>
    <w:rsid w:val="32B62A7C"/>
    <w:rsid w:val="32DEF277"/>
    <w:rsid w:val="33627A07"/>
    <w:rsid w:val="33C731F4"/>
    <w:rsid w:val="342249E5"/>
    <w:rsid w:val="346B2C33"/>
    <w:rsid w:val="355B4B52"/>
    <w:rsid w:val="35772BE5"/>
    <w:rsid w:val="35A46AA5"/>
    <w:rsid w:val="35E39FD8"/>
    <w:rsid w:val="35F09C06"/>
    <w:rsid w:val="361D83A5"/>
    <w:rsid w:val="36AF0E00"/>
    <w:rsid w:val="36F86D73"/>
    <w:rsid w:val="37309E13"/>
    <w:rsid w:val="37CDC0BD"/>
    <w:rsid w:val="3800DE18"/>
    <w:rsid w:val="3816FCE8"/>
    <w:rsid w:val="38444311"/>
    <w:rsid w:val="38978E6D"/>
    <w:rsid w:val="38B2BAF4"/>
    <w:rsid w:val="39316480"/>
    <w:rsid w:val="39E3A746"/>
    <w:rsid w:val="3A04931E"/>
    <w:rsid w:val="3A3829A8"/>
    <w:rsid w:val="3AB6266E"/>
    <w:rsid w:val="3AD4F9BD"/>
    <w:rsid w:val="3B38542F"/>
    <w:rsid w:val="3B5DD49C"/>
    <w:rsid w:val="3B83EE09"/>
    <w:rsid w:val="3BDCDECD"/>
    <w:rsid w:val="3C03A042"/>
    <w:rsid w:val="3C97FB96"/>
    <w:rsid w:val="3D1CC02A"/>
    <w:rsid w:val="3DA693E0"/>
    <w:rsid w:val="3E72E2AC"/>
    <w:rsid w:val="3E8B4610"/>
    <w:rsid w:val="3EBA1FE5"/>
    <w:rsid w:val="3F893003"/>
    <w:rsid w:val="3F8BD459"/>
    <w:rsid w:val="3FAA1C8E"/>
    <w:rsid w:val="3FE1593C"/>
    <w:rsid w:val="40451BAB"/>
    <w:rsid w:val="40BB71C5"/>
    <w:rsid w:val="40DE34A2"/>
    <w:rsid w:val="4131B385"/>
    <w:rsid w:val="415F6BAC"/>
    <w:rsid w:val="41F1C0A7"/>
    <w:rsid w:val="4201A9CD"/>
    <w:rsid w:val="42020870"/>
    <w:rsid w:val="42FB3C0D"/>
    <w:rsid w:val="43461AB3"/>
    <w:rsid w:val="440EB227"/>
    <w:rsid w:val="445E6A20"/>
    <w:rsid w:val="449EB6BE"/>
    <w:rsid w:val="45527FE3"/>
    <w:rsid w:val="4647EFA0"/>
    <w:rsid w:val="464B64B5"/>
    <w:rsid w:val="46BC60D2"/>
    <w:rsid w:val="4741B804"/>
    <w:rsid w:val="47FA3985"/>
    <w:rsid w:val="48205D67"/>
    <w:rsid w:val="4861126D"/>
    <w:rsid w:val="487A15EF"/>
    <w:rsid w:val="48F11F2E"/>
    <w:rsid w:val="49ECF421"/>
    <w:rsid w:val="49FCD28C"/>
    <w:rsid w:val="4A3CFA1D"/>
    <w:rsid w:val="4AA25963"/>
    <w:rsid w:val="4B32FF40"/>
    <w:rsid w:val="4B9E12DA"/>
    <w:rsid w:val="4C14AA28"/>
    <w:rsid w:val="4C695954"/>
    <w:rsid w:val="4CA93082"/>
    <w:rsid w:val="4DA05194"/>
    <w:rsid w:val="4DA3C97E"/>
    <w:rsid w:val="4DCF1D23"/>
    <w:rsid w:val="4E0529B5"/>
    <w:rsid w:val="4E6AA002"/>
    <w:rsid w:val="4E84C0FB"/>
    <w:rsid w:val="4F5641AB"/>
    <w:rsid w:val="508BCAA8"/>
    <w:rsid w:val="50AE33DF"/>
    <w:rsid w:val="50E2D6EC"/>
    <w:rsid w:val="518076C6"/>
    <w:rsid w:val="531964D5"/>
    <w:rsid w:val="53289708"/>
    <w:rsid w:val="53420045"/>
    <w:rsid w:val="5497874A"/>
    <w:rsid w:val="550C8229"/>
    <w:rsid w:val="55662DE5"/>
    <w:rsid w:val="55B0BCFE"/>
    <w:rsid w:val="58A72089"/>
    <w:rsid w:val="58C91A61"/>
    <w:rsid w:val="58D4C615"/>
    <w:rsid w:val="58E4CB77"/>
    <w:rsid w:val="59429C2A"/>
    <w:rsid w:val="5AEB9A43"/>
    <w:rsid w:val="5B497090"/>
    <w:rsid w:val="5BD2AA62"/>
    <w:rsid w:val="5BF54906"/>
    <w:rsid w:val="5C1839AD"/>
    <w:rsid w:val="5CE24B42"/>
    <w:rsid w:val="5D15EE6B"/>
    <w:rsid w:val="5D75CE32"/>
    <w:rsid w:val="5D7D418E"/>
    <w:rsid w:val="5DC0AA24"/>
    <w:rsid w:val="5DDC36C9"/>
    <w:rsid w:val="5E1886C3"/>
    <w:rsid w:val="5E233B05"/>
    <w:rsid w:val="5E2531AE"/>
    <w:rsid w:val="5E90CFC1"/>
    <w:rsid w:val="5EF6E622"/>
    <w:rsid w:val="5F4FC34E"/>
    <w:rsid w:val="5F564DC1"/>
    <w:rsid w:val="5FBF0B66"/>
    <w:rsid w:val="60783BEB"/>
    <w:rsid w:val="608EE6A3"/>
    <w:rsid w:val="61F25035"/>
    <w:rsid w:val="61F5ECFC"/>
    <w:rsid w:val="62140C4C"/>
    <w:rsid w:val="628ADDDA"/>
    <w:rsid w:val="62C240D8"/>
    <w:rsid w:val="633D255F"/>
    <w:rsid w:val="63AFDCAD"/>
    <w:rsid w:val="63D33D67"/>
    <w:rsid w:val="645E1139"/>
    <w:rsid w:val="650AE4A9"/>
    <w:rsid w:val="654BAD0E"/>
    <w:rsid w:val="65537483"/>
    <w:rsid w:val="65AFDA5A"/>
    <w:rsid w:val="65C27E9C"/>
    <w:rsid w:val="65EFFBAD"/>
    <w:rsid w:val="66ACA48A"/>
    <w:rsid w:val="66E77D6F"/>
    <w:rsid w:val="6709E58D"/>
    <w:rsid w:val="675E4EFD"/>
    <w:rsid w:val="677ECE5B"/>
    <w:rsid w:val="679B59A4"/>
    <w:rsid w:val="67A90DB1"/>
    <w:rsid w:val="68402F8A"/>
    <w:rsid w:val="68614F19"/>
    <w:rsid w:val="68A7C6EC"/>
    <w:rsid w:val="68BDAE60"/>
    <w:rsid w:val="68FC1A0B"/>
    <w:rsid w:val="690240A8"/>
    <w:rsid w:val="695B8E4B"/>
    <w:rsid w:val="697862FE"/>
    <w:rsid w:val="6990AFFF"/>
    <w:rsid w:val="69DA29CF"/>
    <w:rsid w:val="69FC09C7"/>
    <w:rsid w:val="6A1F1E31"/>
    <w:rsid w:val="6A9E1109"/>
    <w:rsid w:val="6B2C5DAF"/>
    <w:rsid w:val="6B47D3AD"/>
    <w:rsid w:val="6B712A40"/>
    <w:rsid w:val="6B8AC793"/>
    <w:rsid w:val="6B923E9C"/>
    <w:rsid w:val="6BDD56B0"/>
    <w:rsid w:val="6DB056E2"/>
    <w:rsid w:val="6E4BD421"/>
    <w:rsid w:val="6E5A74AA"/>
    <w:rsid w:val="6E81883C"/>
    <w:rsid w:val="6F313791"/>
    <w:rsid w:val="6F64E967"/>
    <w:rsid w:val="6FDFB233"/>
    <w:rsid w:val="702D53AC"/>
    <w:rsid w:val="7059DBC7"/>
    <w:rsid w:val="708D97F9"/>
    <w:rsid w:val="70B0C7D3"/>
    <w:rsid w:val="71183D07"/>
    <w:rsid w:val="7167351E"/>
    <w:rsid w:val="717AB124"/>
    <w:rsid w:val="71A06039"/>
    <w:rsid w:val="71D77508"/>
    <w:rsid w:val="72321D9C"/>
    <w:rsid w:val="72351999"/>
    <w:rsid w:val="7376C42B"/>
    <w:rsid w:val="73783991"/>
    <w:rsid w:val="73CDEDFD"/>
    <w:rsid w:val="748DF2D7"/>
    <w:rsid w:val="756462B7"/>
    <w:rsid w:val="7595E434"/>
    <w:rsid w:val="75F53535"/>
    <w:rsid w:val="7613D6C8"/>
    <w:rsid w:val="76689EB7"/>
    <w:rsid w:val="7792A989"/>
    <w:rsid w:val="78BCD254"/>
    <w:rsid w:val="791830AE"/>
    <w:rsid w:val="79220044"/>
    <w:rsid w:val="79A29FD6"/>
    <w:rsid w:val="7A41D612"/>
    <w:rsid w:val="7B28D4AA"/>
    <w:rsid w:val="7C0744EB"/>
    <w:rsid w:val="7C271E5F"/>
    <w:rsid w:val="7C6B64CD"/>
    <w:rsid w:val="7C94B231"/>
    <w:rsid w:val="7D2D3E6D"/>
    <w:rsid w:val="7D733295"/>
    <w:rsid w:val="7D74D043"/>
    <w:rsid w:val="7E12D2FD"/>
    <w:rsid w:val="7E874365"/>
    <w:rsid w:val="7F2A1D2F"/>
    <w:rsid w:val="7F301AF1"/>
    <w:rsid w:val="7F3ABD23"/>
    <w:rsid w:val="7F3B4046"/>
    <w:rsid w:val="7F878B6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CF0B168C-10B9-44BE-AB44-05874FC0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F5097"/>
  </w:style>
  <w:style w:type="character" w:customStyle="1" w:styleId="eop">
    <w:name w:val="eop"/>
    <w:basedOn w:val="DefaultParagraphFont"/>
    <w:rsid w:val="007F5097"/>
  </w:style>
  <w:style w:type="paragraph" w:customStyle="1" w:styleId="paragraph">
    <w:name w:val="paragraph"/>
    <w:basedOn w:val="Normal"/>
    <w:rsid w:val="007F50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5770A3"/>
    <w:pPr>
      <w:spacing w:after="0" w:line="240" w:lineRule="auto"/>
    </w:pPr>
  </w:style>
  <w:style w:type="character" w:customStyle="1" w:styleId="ui-provider">
    <w:name w:val="ui-provider"/>
    <w:basedOn w:val="DefaultParagraphFont"/>
    <w:rsid w:val="005B3E07"/>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643">
      <w:bodyDiv w:val="1"/>
      <w:marLeft w:val="0"/>
      <w:marRight w:val="0"/>
      <w:marTop w:val="0"/>
      <w:marBottom w:val="0"/>
      <w:divBdr>
        <w:top w:val="none" w:sz="0" w:space="0" w:color="auto"/>
        <w:left w:val="none" w:sz="0" w:space="0" w:color="auto"/>
        <w:bottom w:val="none" w:sz="0" w:space="0" w:color="auto"/>
        <w:right w:val="none" w:sz="0" w:space="0" w:color="auto"/>
      </w:divBdr>
      <w:divsChild>
        <w:div w:id="144667920">
          <w:marLeft w:val="0"/>
          <w:marRight w:val="0"/>
          <w:marTop w:val="0"/>
          <w:marBottom w:val="0"/>
          <w:divBdr>
            <w:top w:val="none" w:sz="0" w:space="0" w:color="auto"/>
            <w:left w:val="none" w:sz="0" w:space="0" w:color="auto"/>
            <w:bottom w:val="none" w:sz="0" w:space="0" w:color="auto"/>
            <w:right w:val="none" w:sz="0" w:space="0" w:color="auto"/>
          </w:divBdr>
        </w:div>
        <w:div w:id="149837174">
          <w:marLeft w:val="0"/>
          <w:marRight w:val="0"/>
          <w:marTop w:val="0"/>
          <w:marBottom w:val="0"/>
          <w:divBdr>
            <w:top w:val="none" w:sz="0" w:space="0" w:color="auto"/>
            <w:left w:val="none" w:sz="0" w:space="0" w:color="auto"/>
            <w:bottom w:val="none" w:sz="0" w:space="0" w:color="auto"/>
            <w:right w:val="none" w:sz="0" w:space="0" w:color="auto"/>
          </w:divBdr>
        </w:div>
        <w:div w:id="177820134">
          <w:marLeft w:val="0"/>
          <w:marRight w:val="0"/>
          <w:marTop w:val="0"/>
          <w:marBottom w:val="0"/>
          <w:divBdr>
            <w:top w:val="none" w:sz="0" w:space="0" w:color="auto"/>
            <w:left w:val="none" w:sz="0" w:space="0" w:color="auto"/>
            <w:bottom w:val="none" w:sz="0" w:space="0" w:color="auto"/>
            <w:right w:val="none" w:sz="0" w:space="0" w:color="auto"/>
          </w:divBdr>
        </w:div>
        <w:div w:id="282075956">
          <w:marLeft w:val="0"/>
          <w:marRight w:val="0"/>
          <w:marTop w:val="0"/>
          <w:marBottom w:val="0"/>
          <w:divBdr>
            <w:top w:val="none" w:sz="0" w:space="0" w:color="auto"/>
            <w:left w:val="none" w:sz="0" w:space="0" w:color="auto"/>
            <w:bottom w:val="none" w:sz="0" w:space="0" w:color="auto"/>
            <w:right w:val="none" w:sz="0" w:space="0" w:color="auto"/>
          </w:divBdr>
        </w:div>
        <w:div w:id="347217056">
          <w:marLeft w:val="0"/>
          <w:marRight w:val="0"/>
          <w:marTop w:val="0"/>
          <w:marBottom w:val="0"/>
          <w:divBdr>
            <w:top w:val="none" w:sz="0" w:space="0" w:color="auto"/>
            <w:left w:val="none" w:sz="0" w:space="0" w:color="auto"/>
            <w:bottom w:val="none" w:sz="0" w:space="0" w:color="auto"/>
            <w:right w:val="none" w:sz="0" w:space="0" w:color="auto"/>
          </w:divBdr>
        </w:div>
        <w:div w:id="372310710">
          <w:marLeft w:val="0"/>
          <w:marRight w:val="0"/>
          <w:marTop w:val="0"/>
          <w:marBottom w:val="0"/>
          <w:divBdr>
            <w:top w:val="none" w:sz="0" w:space="0" w:color="auto"/>
            <w:left w:val="none" w:sz="0" w:space="0" w:color="auto"/>
            <w:bottom w:val="none" w:sz="0" w:space="0" w:color="auto"/>
            <w:right w:val="none" w:sz="0" w:space="0" w:color="auto"/>
          </w:divBdr>
        </w:div>
        <w:div w:id="642388196">
          <w:marLeft w:val="0"/>
          <w:marRight w:val="0"/>
          <w:marTop w:val="0"/>
          <w:marBottom w:val="0"/>
          <w:divBdr>
            <w:top w:val="none" w:sz="0" w:space="0" w:color="auto"/>
            <w:left w:val="none" w:sz="0" w:space="0" w:color="auto"/>
            <w:bottom w:val="none" w:sz="0" w:space="0" w:color="auto"/>
            <w:right w:val="none" w:sz="0" w:space="0" w:color="auto"/>
          </w:divBdr>
        </w:div>
        <w:div w:id="731345113">
          <w:marLeft w:val="0"/>
          <w:marRight w:val="0"/>
          <w:marTop w:val="0"/>
          <w:marBottom w:val="0"/>
          <w:divBdr>
            <w:top w:val="none" w:sz="0" w:space="0" w:color="auto"/>
            <w:left w:val="none" w:sz="0" w:space="0" w:color="auto"/>
            <w:bottom w:val="none" w:sz="0" w:space="0" w:color="auto"/>
            <w:right w:val="none" w:sz="0" w:space="0" w:color="auto"/>
          </w:divBdr>
        </w:div>
        <w:div w:id="1046948741">
          <w:marLeft w:val="0"/>
          <w:marRight w:val="0"/>
          <w:marTop w:val="0"/>
          <w:marBottom w:val="0"/>
          <w:divBdr>
            <w:top w:val="none" w:sz="0" w:space="0" w:color="auto"/>
            <w:left w:val="none" w:sz="0" w:space="0" w:color="auto"/>
            <w:bottom w:val="none" w:sz="0" w:space="0" w:color="auto"/>
            <w:right w:val="none" w:sz="0" w:space="0" w:color="auto"/>
          </w:divBdr>
        </w:div>
        <w:div w:id="1047220573">
          <w:marLeft w:val="0"/>
          <w:marRight w:val="0"/>
          <w:marTop w:val="0"/>
          <w:marBottom w:val="0"/>
          <w:divBdr>
            <w:top w:val="none" w:sz="0" w:space="0" w:color="auto"/>
            <w:left w:val="none" w:sz="0" w:space="0" w:color="auto"/>
            <w:bottom w:val="none" w:sz="0" w:space="0" w:color="auto"/>
            <w:right w:val="none" w:sz="0" w:space="0" w:color="auto"/>
          </w:divBdr>
        </w:div>
        <w:div w:id="1152605132">
          <w:marLeft w:val="0"/>
          <w:marRight w:val="0"/>
          <w:marTop w:val="0"/>
          <w:marBottom w:val="0"/>
          <w:divBdr>
            <w:top w:val="none" w:sz="0" w:space="0" w:color="auto"/>
            <w:left w:val="none" w:sz="0" w:space="0" w:color="auto"/>
            <w:bottom w:val="none" w:sz="0" w:space="0" w:color="auto"/>
            <w:right w:val="none" w:sz="0" w:space="0" w:color="auto"/>
          </w:divBdr>
        </w:div>
        <w:div w:id="1426926589">
          <w:marLeft w:val="0"/>
          <w:marRight w:val="0"/>
          <w:marTop w:val="0"/>
          <w:marBottom w:val="0"/>
          <w:divBdr>
            <w:top w:val="none" w:sz="0" w:space="0" w:color="auto"/>
            <w:left w:val="none" w:sz="0" w:space="0" w:color="auto"/>
            <w:bottom w:val="none" w:sz="0" w:space="0" w:color="auto"/>
            <w:right w:val="none" w:sz="0" w:space="0" w:color="auto"/>
          </w:divBdr>
        </w:div>
        <w:div w:id="1505438434">
          <w:marLeft w:val="0"/>
          <w:marRight w:val="0"/>
          <w:marTop w:val="0"/>
          <w:marBottom w:val="0"/>
          <w:divBdr>
            <w:top w:val="none" w:sz="0" w:space="0" w:color="auto"/>
            <w:left w:val="none" w:sz="0" w:space="0" w:color="auto"/>
            <w:bottom w:val="none" w:sz="0" w:space="0" w:color="auto"/>
            <w:right w:val="none" w:sz="0" w:space="0" w:color="auto"/>
          </w:divBdr>
        </w:div>
        <w:div w:id="1779451220">
          <w:marLeft w:val="0"/>
          <w:marRight w:val="0"/>
          <w:marTop w:val="0"/>
          <w:marBottom w:val="0"/>
          <w:divBdr>
            <w:top w:val="none" w:sz="0" w:space="0" w:color="auto"/>
            <w:left w:val="none" w:sz="0" w:space="0" w:color="auto"/>
            <w:bottom w:val="none" w:sz="0" w:space="0" w:color="auto"/>
            <w:right w:val="none" w:sz="0" w:space="0" w:color="auto"/>
          </w:divBdr>
        </w:div>
        <w:div w:id="2096319467">
          <w:marLeft w:val="0"/>
          <w:marRight w:val="0"/>
          <w:marTop w:val="0"/>
          <w:marBottom w:val="0"/>
          <w:divBdr>
            <w:top w:val="none" w:sz="0" w:space="0" w:color="auto"/>
            <w:left w:val="none" w:sz="0" w:space="0" w:color="auto"/>
            <w:bottom w:val="none" w:sz="0" w:space="0" w:color="auto"/>
            <w:right w:val="none" w:sz="0" w:space="0" w:color="auto"/>
          </w:divBdr>
        </w:div>
      </w:divsChild>
    </w:div>
    <w:div w:id="785924829">
      <w:bodyDiv w:val="1"/>
      <w:marLeft w:val="0"/>
      <w:marRight w:val="0"/>
      <w:marTop w:val="0"/>
      <w:marBottom w:val="0"/>
      <w:divBdr>
        <w:top w:val="none" w:sz="0" w:space="0" w:color="auto"/>
        <w:left w:val="none" w:sz="0" w:space="0" w:color="auto"/>
        <w:bottom w:val="none" w:sz="0" w:space="0" w:color="auto"/>
        <w:right w:val="none" w:sz="0" w:space="0" w:color="auto"/>
      </w:divBdr>
      <w:divsChild>
        <w:div w:id="182405866">
          <w:marLeft w:val="0"/>
          <w:marRight w:val="0"/>
          <w:marTop w:val="0"/>
          <w:marBottom w:val="0"/>
          <w:divBdr>
            <w:top w:val="none" w:sz="0" w:space="0" w:color="auto"/>
            <w:left w:val="none" w:sz="0" w:space="0" w:color="auto"/>
            <w:bottom w:val="none" w:sz="0" w:space="0" w:color="auto"/>
            <w:right w:val="none" w:sz="0" w:space="0" w:color="auto"/>
          </w:divBdr>
        </w:div>
        <w:div w:id="272250218">
          <w:marLeft w:val="0"/>
          <w:marRight w:val="0"/>
          <w:marTop w:val="0"/>
          <w:marBottom w:val="0"/>
          <w:divBdr>
            <w:top w:val="none" w:sz="0" w:space="0" w:color="auto"/>
            <w:left w:val="none" w:sz="0" w:space="0" w:color="auto"/>
            <w:bottom w:val="none" w:sz="0" w:space="0" w:color="auto"/>
            <w:right w:val="none" w:sz="0" w:space="0" w:color="auto"/>
          </w:divBdr>
        </w:div>
        <w:div w:id="318583516">
          <w:marLeft w:val="0"/>
          <w:marRight w:val="0"/>
          <w:marTop w:val="0"/>
          <w:marBottom w:val="0"/>
          <w:divBdr>
            <w:top w:val="none" w:sz="0" w:space="0" w:color="auto"/>
            <w:left w:val="none" w:sz="0" w:space="0" w:color="auto"/>
            <w:bottom w:val="none" w:sz="0" w:space="0" w:color="auto"/>
            <w:right w:val="none" w:sz="0" w:space="0" w:color="auto"/>
          </w:divBdr>
        </w:div>
        <w:div w:id="455952220">
          <w:marLeft w:val="0"/>
          <w:marRight w:val="0"/>
          <w:marTop w:val="0"/>
          <w:marBottom w:val="0"/>
          <w:divBdr>
            <w:top w:val="none" w:sz="0" w:space="0" w:color="auto"/>
            <w:left w:val="none" w:sz="0" w:space="0" w:color="auto"/>
            <w:bottom w:val="none" w:sz="0" w:space="0" w:color="auto"/>
            <w:right w:val="none" w:sz="0" w:space="0" w:color="auto"/>
          </w:divBdr>
        </w:div>
        <w:div w:id="825317789">
          <w:marLeft w:val="0"/>
          <w:marRight w:val="0"/>
          <w:marTop w:val="0"/>
          <w:marBottom w:val="0"/>
          <w:divBdr>
            <w:top w:val="none" w:sz="0" w:space="0" w:color="auto"/>
            <w:left w:val="none" w:sz="0" w:space="0" w:color="auto"/>
            <w:bottom w:val="none" w:sz="0" w:space="0" w:color="auto"/>
            <w:right w:val="none" w:sz="0" w:space="0" w:color="auto"/>
          </w:divBdr>
        </w:div>
        <w:div w:id="888878875">
          <w:marLeft w:val="0"/>
          <w:marRight w:val="0"/>
          <w:marTop w:val="0"/>
          <w:marBottom w:val="0"/>
          <w:divBdr>
            <w:top w:val="none" w:sz="0" w:space="0" w:color="auto"/>
            <w:left w:val="none" w:sz="0" w:space="0" w:color="auto"/>
            <w:bottom w:val="none" w:sz="0" w:space="0" w:color="auto"/>
            <w:right w:val="none" w:sz="0" w:space="0" w:color="auto"/>
          </w:divBdr>
        </w:div>
        <w:div w:id="1087187809">
          <w:marLeft w:val="0"/>
          <w:marRight w:val="0"/>
          <w:marTop w:val="0"/>
          <w:marBottom w:val="0"/>
          <w:divBdr>
            <w:top w:val="none" w:sz="0" w:space="0" w:color="auto"/>
            <w:left w:val="none" w:sz="0" w:space="0" w:color="auto"/>
            <w:bottom w:val="none" w:sz="0" w:space="0" w:color="auto"/>
            <w:right w:val="none" w:sz="0" w:space="0" w:color="auto"/>
          </w:divBdr>
        </w:div>
        <w:div w:id="1125344865">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4227956">
      <w:bodyDiv w:val="1"/>
      <w:marLeft w:val="0"/>
      <w:marRight w:val="0"/>
      <w:marTop w:val="0"/>
      <w:marBottom w:val="0"/>
      <w:divBdr>
        <w:top w:val="none" w:sz="0" w:space="0" w:color="auto"/>
        <w:left w:val="none" w:sz="0" w:space="0" w:color="auto"/>
        <w:bottom w:val="none" w:sz="0" w:space="0" w:color="auto"/>
        <w:right w:val="none" w:sz="0" w:space="0" w:color="auto"/>
      </w:divBdr>
      <w:divsChild>
        <w:div w:id="106002469">
          <w:marLeft w:val="0"/>
          <w:marRight w:val="0"/>
          <w:marTop w:val="0"/>
          <w:marBottom w:val="0"/>
          <w:divBdr>
            <w:top w:val="none" w:sz="0" w:space="0" w:color="auto"/>
            <w:left w:val="none" w:sz="0" w:space="0" w:color="auto"/>
            <w:bottom w:val="none" w:sz="0" w:space="0" w:color="auto"/>
            <w:right w:val="none" w:sz="0" w:space="0" w:color="auto"/>
          </w:divBdr>
        </w:div>
        <w:div w:id="1122112221">
          <w:marLeft w:val="0"/>
          <w:marRight w:val="0"/>
          <w:marTop w:val="0"/>
          <w:marBottom w:val="0"/>
          <w:divBdr>
            <w:top w:val="none" w:sz="0" w:space="0" w:color="auto"/>
            <w:left w:val="none" w:sz="0" w:space="0" w:color="auto"/>
            <w:bottom w:val="none" w:sz="0" w:space="0" w:color="auto"/>
            <w:right w:val="none" w:sz="0" w:space="0" w:color="auto"/>
          </w:divBdr>
        </w:div>
        <w:div w:id="1269584587">
          <w:marLeft w:val="0"/>
          <w:marRight w:val="0"/>
          <w:marTop w:val="0"/>
          <w:marBottom w:val="0"/>
          <w:divBdr>
            <w:top w:val="none" w:sz="0" w:space="0" w:color="auto"/>
            <w:left w:val="none" w:sz="0" w:space="0" w:color="auto"/>
            <w:bottom w:val="none" w:sz="0" w:space="0" w:color="auto"/>
            <w:right w:val="none" w:sz="0" w:space="0" w:color="auto"/>
          </w:divBdr>
          <w:divsChild>
            <w:div w:id="88501053">
              <w:marLeft w:val="0"/>
              <w:marRight w:val="0"/>
              <w:marTop w:val="0"/>
              <w:marBottom w:val="0"/>
              <w:divBdr>
                <w:top w:val="none" w:sz="0" w:space="0" w:color="auto"/>
                <w:left w:val="none" w:sz="0" w:space="0" w:color="auto"/>
                <w:bottom w:val="none" w:sz="0" w:space="0" w:color="auto"/>
                <w:right w:val="none" w:sz="0" w:space="0" w:color="auto"/>
              </w:divBdr>
            </w:div>
            <w:div w:id="827136649">
              <w:marLeft w:val="0"/>
              <w:marRight w:val="0"/>
              <w:marTop w:val="0"/>
              <w:marBottom w:val="0"/>
              <w:divBdr>
                <w:top w:val="none" w:sz="0" w:space="0" w:color="auto"/>
                <w:left w:val="none" w:sz="0" w:space="0" w:color="auto"/>
                <w:bottom w:val="none" w:sz="0" w:space="0" w:color="auto"/>
                <w:right w:val="none" w:sz="0" w:space="0" w:color="auto"/>
              </w:divBdr>
            </w:div>
            <w:div w:id="853231184">
              <w:marLeft w:val="0"/>
              <w:marRight w:val="0"/>
              <w:marTop w:val="0"/>
              <w:marBottom w:val="0"/>
              <w:divBdr>
                <w:top w:val="none" w:sz="0" w:space="0" w:color="auto"/>
                <w:left w:val="none" w:sz="0" w:space="0" w:color="auto"/>
                <w:bottom w:val="none" w:sz="0" w:space="0" w:color="auto"/>
                <w:right w:val="none" w:sz="0" w:space="0" w:color="auto"/>
              </w:divBdr>
            </w:div>
            <w:div w:id="1031344228">
              <w:marLeft w:val="0"/>
              <w:marRight w:val="0"/>
              <w:marTop w:val="0"/>
              <w:marBottom w:val="0"/>
              <w:divBdr>
                <w:top w:val="none" w:sz="0" w:space="0" w:color="auto"/>
                <w:left w:val="none" w:sz="0" w:space="0" w:color="auto"/>
                <w:bottom w:val="none" w:sz="0" w:space="0" w:color="auto"/>
                <w:right w:val="none" w:sz="0" w:space="0" w:color="auto"/>
              </w:divBdr>
            </w:div>
            <w:div w:id="1874422946">
              <w:marLeft w:val="0"/>
              <w:marRight w:val="0"/>
              <w:marTop w:val="0"/>
              <w:marBottom w:val="0"/>
              <w:divBdr>
                <w:top w:val="none" w:sz="0" w:space="0" w:color="auto"/>
                <w:left w:val="none" w:sz="0" w:space="0" w:color="auto"/>
                <w:bottom w:val="none" w:sz="0" w:space="0" w:color="auto"/>
                <w:right w:val="none" w:sz="0" w:space="0" w:color="auto"/>
              </w:divBdr>
            </w:div>
          </w:divsChild>
        </w:div>
        <w:div w:id="1330717270">
          <w:marLeft w:val="0"/>
          <w:marRight w:val="0"/>
          <w:marTop w:val="0"/>
          <w:marBottom w:val="0"/>
          <w:divBdr>
            <w:top w:val="none" w:sz="0" w:space="0" w:color="auto"/>
            <w:left w:val="none" w:sz="0" w:space="0" w:color="auto"/>
            <w:bottom w:val="none" w:sz="0" w:space="0" w:color="auto"/>
            <w:right w:val="none" w:sz="0" w:space="0" w:color="auto"/>
          </w:divBdr>
        </w:div>
        <w:div w:id="160892230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30097935">
      <w:bodyDiv w:val="1"/>
      <w:marLeft w:val="0"/>
      <w:marRight w:val="0"/>
      <w:marTop w:val="0"/>
      <w:marBottom w:val="0"/>
      <w:divBdr>
        <w:top w:val="none" w:sz="0" w:space="0" w:color="auto"/>
        <w:left w:val="none" w:sz="0" w:space="0" w:color="auto"/>
        <w:bottom w:val="none" w:sz="0" w:space="0" w:color="auto"/>
        <w:right w:val="none" w:sz="0" w:space="0" w:color="auto"/>
      </w:divBdr>
      <w:divsChild>
        <w:div w:id="99223211">
          <w:marLeft w:val="0"/>
          <w:marRight w:val="0"/>
          <w:marTop w:val="0"/>
          <w:marBottom w:val="0"/>
          <w:divBdr>
            <w:top w:val="none" w:sz="0" w:space="0" w:color="auto"/>
            <w:left w:val="none" w:sz="0" w:space="0" w:color="auto"/>
            <w:bottom w:val="none" w:sz="0" w:space="0" w:color="auto"/>
            <w:right w:val="none" w:sz="0" w:space="0" w:color="auto"/>
          </w:divBdr>
        </w:div>
        <w:div w:id="267198045">
          <w:marLeft w:val="0"/>
          <w:marRight w:val="0"/>
          <w:marTop w:val="0"/>
          <w:marBottom w:val="0"/>
          <w:divBdr>
            <w:top w:val="none" w:sz="0" w:space="0" w:color="auto"/>
            <w:left w:val="none" w:sz="0" w:space="0" w:color="auto"/>
            <w:bottom w:val="none" w:sz="0" w:space="0" w:color="auto"/>
            <w:right w:val="none" w:sz="0" w:space="0" w:color="auto"/>
          </w:divBdr>
        </w:div>
        <w:div w:id="703602961">
          <w:marLeft w:val="0"/>
          <w:marRight w:val="0"/>
          <w:marTop w:val="0"/>
          <w:marBottom w:val="0"/>
          <w:divBdr>
            <w:top w:val="none" w:sz="0" w:space="0" w:color="auto"/>
            <w:left w:val="none" w:sz="0" w:space="0" w:color="auto"/>
            <w:bottom w:val="none" w:sz="0" w:space="0" w:color="auto"/>
            <w:right w:val="none" w:sz="0" w:space="0" w:color="auto"/>
          </w:divBdr>
        </w:div>
        <w:div w:id="848719688">
          <w:marLeft w:val="0"/>
          <w:marRight w:val="0"/>
          <w:marTop w:val="0"/>
          <w:marBottom w:val="0"/>
          <w:divBdr>
            <w:top w:val="none" w:sz="0" w:space="0" w:color="auto"/>
            <w:left w:val="none" w:sz="0" w:space="0" w:color="auto"/>
            <w:bottom w:val="none" w:sz="0" w:space="0" w:color="auto"/>
            <w:right w:val="none" w:sz="0" w:space="0" w:color="auto"/>
          </w:divBdr>
        </w:div>
        <w:div w:id="1313414954">
          <w:marLeft w:val="0"/>
          <w:marRight w:val="0"/>
          <w:marTop w:val="0"/>
          <w:marBottom w:val="0"/>
          <w:divBdr>
            <w:top w:val="none" w:sz="0" w:space="0" w:color="auto"/>
            <w:left w:val="none" w:sz="0" w:space="0" w:color="auto"/>
            <w:bottom w:val="none" w:sz="0" w:space="0" w:color="auto"/>
            <w:right w:val="none" w:sz="0" w:space="0" w:color="auto"/>
          </w:divBdr>
        </w:div>
        <w:div w:id="1717001727">
          <w:marLeft w:val="0"/>
          <w:marRight w:val="0"/>
          <w:marTop w:val="0"/>
          <w:marBottom w:val="0"/>
          <w:divBdr>
            <w:top w:val="none" w:sz="0" w:space="0" w:color="auto"/>
            <w:left w:val="none" w:sz="0" w:space="0" w:color="auto"/>
            <w:bottom w:val="none" w:sz="0" w:space="0" w:color="auto"/>
            <w:right w:val="none" w:sz="0" w:space="0" w:color="auto"/>
          </w:divBdr>
        </w:div>
        <w:div w:id="1759256614">
          <w:marLeft w:val="0"/>
          <w:marRight w:val="0"/>
          <w:marTop w:val="0"/>
          <w:marBottom w:val="0"/>
          <w:divBdr>
            <w:top w:val="none" w:sz="0" w:space="0" w:color="auto"/>
            <w:left w:val="none" w:sz="0" w:space="0" w:color="auto"/>
            <w:bottom w:val="none" w:sz="0" w:space="0" w:color="auto"/>
            <w:right w:val="none" w:sz="0" w:space="0" w:color="auto"/>
          </w:divBdr>
        </w:div>
      </w:divsChild>
    </w:div>
    <w:div w:id="1532960304">
      <w:bodyDiv w:val="1"/>
      <w:marLeft w:val="0"/>
      <w:marRight w:val="0"/>
      <w:marTop w:val="0"/>
      <w:marBottom w:val="0"/>
      <w:divBdr>
        <w:top w:val="none" w:sz="0" w:space="0" w:color="auto"/>
        <w:left w:val="none" w:sz="0" w:space="0" w:color="auto"/>
        <w:bottom w:val="none" w:sz="0" w:space="0" w:color="auto"/>
        <w:right w:val="none" w:sz="0" w:space="0" w:color="auto"/>
      </w:divBdr>
    </w:div>
    <w:div w:id="1626155694">
      <w:bodyDiv w:val="1"/>
      <w:marLeft w:val="0"/>
      <w:marRight w:val="0"/>
      <w:marTop w:val="0"/>
      <w:marBottom w:val="0"/>
      <w:divBdr>
        <w:top w:val="none" w:sz="0" w:space="0" w:color="auto"/>
        <w:left w:val="none" w:sz="0" w:space="0" w:color="auto"/>
        <w:bottom w:val="none" w:sz="0" w:space="0" w:color="auto"/>
        <w:right w:val="none" w:sz="0" w:space="0" w:color="auto"/>
      </w:divBdr>
      <w:divsChild>
        <w:div w:id="176122425">
          <w:marLeft w:val="0"/>
          <w:marRight w:val="0"/>
          <w:marTop w:val="0"/>
          <w:marBottom w:val="0"/>
          <w:divBdr>
            <w:top w:val="none" w:sz="0" w:space="0" w:color="auto"/>
            <w:left w:val="none" w:sz="0" w:space="0" w:color="auto"/>
            <w:bottom w:val="none" w:sz="0" w:space="0" w:color="auto"/>
            <w:right w:val="none" w:sz="0" w:space="0" w:color="auto"/>
          </w:divBdr>
        </w:div>
        <w:div w:id="365563600">
          <w:marLeft w:val="0"/>
          <w:marRight w:val="0"/>
          <w:marTop w:val="0"/>
          <w:marBottom w:val="0"/>
          <w:divBdr>
            <w:top w:val="none" w:sz="0" w:space="0" w:color="auto"/>
            <w:left w:val="none" w:sz="0" w:space="0" w:color="auto"/>
            <w:bottom w:val="none" w:sz="0" w:space="0" w:color="auto"/>
            <w:right w:val="none" w:sz="0" w:space="0" w:color="auto"/>
          </w:divBdr>
        </w:div>
        <w:div w:id="779690387">
          <w:marLeft w:val="0"/>
          <w:marRight w:val="0"/>
          <w:marTop w:val="0"/>
          <w:marBottom w:val="0"/>
          <w:divBdr>
            <w:top w:val="none" w:sz="0" w:space="0" w:color="auto"/>
            <w:left w:val="none" w:sz="0" w:space="0" w:color="auto"/>
            <w:bottom w:val="none" w:sz="0" w:space="0" w:color="auto"/>
            <w:right w:val="none" w:sz="0" w:space="0" w:color="auto"/>
          </w:divBdr>
        </w:div>
        <w:div w:id="782267681">
          <w:marLeft w:val="0"/>
          <w:marRight w:val="0"/>
          <w:marTop w:val="0"/>
          <w:marBottom w:val="0"/>
          <w:divBdr>
            <w:top w:val="none" w:sz="0" w:space="0" w:color="auto"/>
            <w:left w:val="none" w:sz="0" w:space="0" w:color="auto"/>
            <w:bottom w:val="none" w:sz="0" w:space="0" w:color="auto"/>
            <w:right w:val="none" w:sz="0" w:space="0" w:color="auto"/>
          </w:divBdr>
        </w:div>
        <w:div w:id="1012225244">
          <w:marLeft w:val="0"/>
          <w:marRight w:val="0"/>
          <w:marTop w:val="0"/>
          <w:marBottom w:val="0"/>
          <w:divBdr>
            <w:top w:val="none" w:sz="0" w:space="0" w:color="auto"/>
            <w:left w:val="none" w:sz="0" w:space="0" w:color="auto"/>
            <w:bottom w:val="none" w:sz="0" w:space="0" w:color="auto"/>
            <w:right w:val="none" w:sz="0" w:space="0" w:color="auto"/>
          </w:divBdr>
        </w:div>
      </w:divsChild>
    </w:div>
    <w:div w:id="1949117331">
      <w:bodyDiv w:val="1"/>
      <w:marLeft w:val="0"/>
      <w:marRight w:val="0"/>
      <w:marTop w:val="0"/>
      <w:marBottom w:val="0"/>
      <w:divBdr>
        <w:top w:val="none" w:sz="0" w:space="0" w:color="auto"/>
        <w:left w:val="none" w:sz="0" w:space="0" w:color="auto"/>
        <w:bottom w:val="none" w:sz="0" w:space="0" w:color="auto"/>
        <w:right w:val="none" w:sz="0" w:space="0" w:color="auto"/>
      </w:divBdr>
      <w:divsChild>
        <w:div w:id="40785371">
          <w:marLeft w:val="0"/>
          <w:marRight w:val="0"/>
          <w:marTop w:val="0"/>
          <w:marBottom w:val="0"/>
          <w:divBdr>
            <w:top w:val="none" w:sz="0" w:space="0" w:color="auto"/>
            <w:left w:val="none" w:sz="0" w:space="0" w:color="auto"/>
            <w:bottom w:val="none" w:sz="0" w:space="0" w:color="auto"/>
            <w:right w:val="none" w:sz="0" w:space="0" w:color="auto"/>
          </w:divBdr>
        </w:div>
        <w:div w:id="250313485">
          <w:marLeft w:val="0"/>
          <w:marRight w:val="0"/>
          <w:marTop w:val="0"/>
          <w:marBottom w:val="0"/>
          <w:divBdr>
            <w:top w:val="none" w:sz="0" w:space="0" w:color="auto"/>
            <w:left w:val="none" w:sz="0" w:space="0" w:color="auto"/>
            <w:bottom w:val="none" w:sz="0" w:space="0" w:color="auto"/>
            <w:right w:val="none" w:sz="0" w:space="0" w:color="auto"/>
          </w:divBdr>
        </w:div>
        <w:div w:id="313411529">
          <w:marLeft w:val="0"/>
          <w:marRight w:val="0"/>
          <w:marTop w:val="0"/>
          <w:marBottom w:val="0"/>
          <w:divBdr>
            <w:top w:val="none" w:sz="0" w:space="0" w:color="auto"/>
            <w:left w:val="none" w:sz="0" w:space="0" w:color="auto"/>
            <w:bottom w:val="none" w:sz="0" w:space="0" w:color="auto"/>
            <w:right w:val="none" w:sz="0" w:space="0" w:color="auto"/>
          </w:divBdr>
        </w:div>
        <w:div w:id="818572356">
          <w:marLeft w:val="0"/>
          <w:marRight w:val="0"/>
          <w:marTop w:val="0"/>
          <w:marBottom w:val="0"/>
          <w:divBdr>
            <w:top w:val="none" w:sz="0" w:space="0" w:color="auto"/>
            <w:left w:val="none" w:sz="0" w:space="0" w:color="auto"/>
            <w:bottom w:val="none" w:sz="0" w:space="0" w:color="auto"/>
            <w:right w:val="none" w:sz="0" w:space="0" w:color="auto"/>
          </w:divBdr>
        </w:div>
        <w:div w:id="1306623813">
          <w:marLeft w:val="0"/>
          <w:marRight w:val="0"/>
          <w:marTop w:val="0"/>
          <w:marBottom w:val="0"/>
          <w:divBdr>
            <w:top w:val="none" w:sz="0" w:space="0" w:color="auto"/>
            <w:left w:val="none" w:sz="0" w:space="0" w:color="auto"/>
            <w:bottom w:val="none" w:sz="0" w:space="0" w:color="auto"/>
            <w:right w:val="none" w:sz="0" w:space="0" w:color="auto"/>
          </w:divBdr>
        </w:div>
        <w:div w:id="1490440164">
          <w:marLeft w:val="0"/>
          <w:marRight w:val="0"/>
          <w:marTop w:val="0"/>
          <w:marBottom w:val="0"/>
          <w:divBdr>
            <w:top w:val="none" w:sz="0" w:space="0" w:color="auto"/>
            <w:left w:val="none" w:sz="0" w:space="0" w:color="auto"/>
            <w:bottom w:val="none" w:sz="0" w:space="0" w:color="auto"/>
            <w:right w:val="none" w:sz="0" w:space="0" w:color="auto"/>
          </w:divBdr>
        </w:div>
        <w:div w:id="1543011560">
          <w:marLeft w:val="0"/>
          <w:marRight w:val="0"/>
          <w:marTop w:val="0"/>
          <w:marBottom w:val="0"/>
          <w:divBdr>
            <w:top w:val="none" w:sz="0" w:space="0" w:color="auto"/>
            <w:left w:val="none" w:sz="0" w:space="0" w:color="auto"/>
            <w:bottom w:val="none" w:sz="0" w:space="0" w:color="auto"/>
            <w:right w:val="none" w:sz="0" w:space="0" w:color="auto"/>
          </w:divBdr>
        </w:div>
        <w:div w:id="2110462564">
          <w:marLeft w:val="0"/>
          <w:marRight w:val="0"/>
          <w:marTop w:val="0"/>
          <w:marBottom w:val="0"/>
          <w:divBdr>
            <w:top w:val="none" w:sz="0" w:space="0" w:color="auto"/>
            <w:left w:val="none" w:sz="0" w:space="0" w:color="auto"/>
            <w:bottom w:val="none" w:sz="0" w:space="0" w:color="auto"/>
            <w:right w:val="none" w:sz="0" w:space="0" w:color="auto"/>
          </w:divBdr>
        </w:div>
      </w:divsChild>
    </w:div>
    <w:div w:id="2142728031">
      <w:bodyDiv w:val="1"/>
      <w:marLeft w:val="0"/>
      <w:marRight w:val="0"/>
      <w:marTop w:val="0"/>
      <w:marBottom w:val="0"/>
      <w:divBdr>
        <w:top w:val="none" w:sz="0" w:space="0" w:color="auto"/>
        <w:left w:val="none" w:sz="0" w:space="0" w:color="auto"/>
        <w:bottom w:val="none" w:sz="0" w:space="0" w:color="auto"/>
        <w:right w:val="none" w:sz="0" w:space="0" w:color="auto"/>
      </w:divBdr>
      <w:divsChild>
        <w:div w:id="1092312441">
          <w:marLeft w:val="0"/>
          <w:marRight w:val="0"/>
          <w:marTop w:val="0"/>
          <w:marBottom w:val="0"/>
          <w:divBdr>
            <w:top w:val="none" w:sz="0" w:space="0" w:color="auto"/>
            <w:left w:val="none" w:sz="0" w:space="0" w:color="auto"/>
            <w:bottom w:val="none" w:sz="0" w:space="0" w:color="auto"/>
            <w:right w:val="none" w:sz="0" w:space="0" w:color="auto"/>
          </w:divBdr>
        </w:div>
        <w:div w:id="1098524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allup.com/178667/gallup-world-poll-work.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worldbank.org/en/publication/globalfindex/Repor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allup.com/178667/gallup-world-poll-work.aspxNo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orldbank.org/en/publication/globalfindex/Report" TargetMode="External"/><Relationship Id="rId5" Type="http://schemas.openxmlformats.org/officeDocument/2006/relationships/numbering" Target="numbering.xml"/><Relationship Id="rId15" Type="http://schemas.openxmlformats.org/officeDocument/2006/relationships/hyperlink" Target="https://www.worldbank.org/en/publication/globalfindex/Repor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ldbank.org/en/publication/globalfindex/Repo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7A08D89-2240-4D83-A4EA-E3F3FFE619D1}"/>
      </w:docPartPr>
      <w:docPartBody>
        <w:p w:rsidR="00277E2F" w:rsidRDefault="00CB1889">
          <w:r w:rsidRPr="00312C4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89"/>
    <w:rsid w:val="00277E2F"/>
    <w:rsid w:val="003E298F"/>
    <w:rsid w:val="00616528"/>
    <w:rsid w:val="006F78E2"/>
    <w:rsid w:val="00C70620"/>
    <w:rsid w:val="00CB18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8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5ADBF2-E828-4873-B0D3-D9AB5211BABF}">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A4A8BABF-2E77-496E-80BD-A60807B9A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2274</Words>
  <Characters>12965</Characters>
  <Application>Microsoft Office Word</Application>
  <DocSecurity>0</DocSecurity>
  <Lines>108</Lines>
  <Paragraphs>30</Paragraphs>
  <ScaleCrop>false</ScaleCrop>
  <Company>United Nations</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Kebebush Welkema</cp:lastModifiedBy>
  <cp:revision>7</cp:revision>
  <cp:lastPrinted>2016-07-16T14:25:00Z</cp:lastPrinted>
  <dcterms:created xsi:type="dcterms:W3CDTF">2024-05-29T16:12:00Z</dcterms:created>
  <dcterms:modified xsi:type="dcterms:W3CDTF">2024-07-25T21:21:00Z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c4b4095f752260c3a267a798bf6413af46ef58754f566a28d50b56ba5833f788</vt:lpwstr>
  </property>
</Properties>
</file>