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871B5C" w:rsidRDefault="006C4BFD" w:rsidP="006C4BFD">
      <w:pPr>
        <w:spacing w:after="0"/>
        <w:jc w:val="center"/>
        <w:rPr>
          <w:rFonts w:cstheme="minorHAnsi"/>
        </w:rPr>
      </w:pPr>
      <w:r w:rsidRPr="00871B5C">
        <w:rPr>
          <w:rFonts w:eastAsia="Times New Roman" w:cstheme="minorHAnsi"/>
          <w:color w:val="1C75BC"/>
          <w:sz w:val="36"/>
          <w:szCs w:val="36"/>
          <w:lang w:eastAsia="en-GB"/>
        </w:rPr>
        <w:t>SDG indicator metadata</w:t>
      </w:r>
    </w:p>
    <w:p w14:paraId="129054E9" w14:textId="2FBD311C" w:rsidR="006C4BFD" w:rsidRPr="00871B5C" w:rsidRDefault="002C2510" w:rsidP="006C4BFD">
      <w:pPr>
        <w:spacing w:after="0"/>
        <w:jc w:val="center"/>
        <w:rPr>
          <w:rFonts w:eastAsia="Times New Roman" w:cstheme="minorHAnsi"/>
          <w:b/>
          <w:bCs/>
          <w:color w:val="4A4A4A"/>
          <w:sz w:val="21"/>
          <w:szCs w:val="21"/>
          <w:lang w:eastAsia="en-GB"/>
        </w:rPr>
      </w:pPr>
      <w:r w:rsidRPr="00871B5C">
        <w:rPr>
          <w:rFonts w:eastAsia="Times New Roman" w:cstheme="minorHAnsi"/>
          <w:b/>
          <w:bCs/>
          <w:color w:val="4A4A4A"/>
          <w:sz w:val="21"/>
          <w:szCs w:val="21"/>
          <w:lang w:eastAsia="en-GB"/>
        </w:rPr>
        <w:t xml:space="preserve">(Harmonized </w:t>
      </w:r>
      <w:r w:rsidR="00942694" w:rsidRPr="00871B5C">
        <w:rPr>
          <w:rFonts w:eastAsia="Times New Roman" w:cstheme="minorHAnsi"/>
          <w:b/>
          <w:bCs/>
          <w:color w:val="4A4A4A"/>
          <w:sz w:val="21"/>
          <w:szCs w:val="21"/>
          <w:lang w:eastAsia="en-GB"/>
        </w:rPr>
        <w:t xml:space="preserve">metadata </w:t>
      </w:r>
      <w:r w:rsidRPr="00871B5C">
        <w:rPr>
          <w:rFonts w:eastAsia="Times New Roman" w:cstheme="minorHAnsi"/>
          <w:b/>
          <w:bCs/>
          <w:color w:val="4A4A4A"/>
          <w:sz w:val="21"/>
          <w:szCs w:val="21"/>
          <w:lang w:eastAsia="en-GB"/>
        </w:rPr>
        <w:t>template - format version 1.</w:t>
      </w:r>
      <w:r w:rsidR="00BE751F">
        <w:rPr>
          <w:rFonts w:eastAsia="Times New Roman" w:cstheme="minorHAnsi"/>
          <w:b/>
          <w:bCs/>
          <w:color w:val="4A4A4A"/>
          <w:sz w:val="21"/>
          <w:szCs w:val="21"/>
          <w:lang w:eastAsia="en-GB"/>
        </w:rPr>
        <w:t>1</w:t>
      </w:r>
      <w:r w:rsidRPr="00871B5C">
        <w:rPr>
          <w:rFonts w:eastAsia="Times New Roman" w:cstheme="minorHAnsi"/>
          <w:b/>
          <w:bCs/>
          <w:color w:val="4A4A4A"/>
          <w:sz w:val="21"/>
          <w:szCs w:val="21"/>
          <w:lang w:eastAsia="en-GB"/>
        </w:rPr>
        <w:t>)</w:t>
      </w:r>
    </w:p>
    <w:p w14:paraId="773F63CF" w14:textId="77777777" w:rsidR="006C4BFD" w:rsidRPr="00871B5C" w:rsidRDefault="006C4BFD" w:rsidP="006C4BFD">
      <w:pPr>
        <w:spacing w:after="0"/>
        <w:rPr>
          <w:rFonts w:eastAsia="Times New Roman" w:cstheme="minorHAnsi"/>
          <w:b/>
          <w:bCs/>
          <w:color w:val="4A4A4A"/>
          <w:sz w:val="21"/>
          <w:szCs w:val="21"/>
          <w:lang w:eastAsia="en-GB"/>
        </w:rPr>
      </w:pPr>
    </w:p>
    <w:p w14:paraId="757EA342" w14:textId="0F387283" w:rsidR="00BE751F" w:rsidRPr="00871B5C" w:rsidRDefault="00B31E2C" w:rsidP="00BE751F">
      <w:pPr>
        <w:pStyle w:val="MIndHeader2"/>
        <w:rPr>
          <w:rFonts w:cstheme="minorHAnsi"/>
        </w:rPr>
      </w:pPr>
      <w:r w:rsidRPr="00871B5C">
        <w:rPr>
          <w:rFonts w:cstheme="minorHAnsi"/>
        </w:rPr>
        <w:t>0. Indicator information</w:t>
      </w:r>
      <w:r w:rsidR="00BE751F" w:rsidRPr="00871B5C">
        <w:rPr>
          <w:rFonts w:cstheme="minorHAnsi"/>
        </w:rPr>
        <w:t xml:space="preserve"> </w:t>
      </w:r>
      <w:r w:rsidR="00BE751F">
        <w:rPr>
          <w:color w:val="B4B4B4"/>
          <w:sz w:val="20"/>
        </w:rPr>
        <w:t>(SDG_INDICATOR_INFO)</w:t>
      </w:r>
    </w:p>
    <w:p w14:paraId="164A1AE2" w14:textId="77777777" w:rsidR="00BE751F" w:rsidRPr="00871B5C" w:rsidRDefault="00BE751F" w:rsidP="00BE751F">
      <w:pPr>
        <w:pStyle w:val="MIndHeader"/>
        <w:rPr>
          <w:rFonts w:cstheme="minorHAnsi"/>
        </w:rPr>
      </w:pPr>
      <w:r w:rsidRPr="00871B5C">
        <w:rPr>
          <w:rFonts w:cstheme="minorHAnsi"/>
        </w:rPr>
        <w:t xml:space="preserve">0.a. Goal </w:t>
      </w:r>
      <w:r>
        <w:rPr>
          <w:color w:val="B4B4B4"/>
          <w:sz w:val="20"/>
        </w:rPr>
        <w:t>(SDG_GOAL)</w:t>
      </w:r>
    </w:p>
    <w:p w14:paraId="33F605FA" w14:textId="77777777" w:rsidR="00BE751F" w:rsidRPr="00871B5C" w:rsidRDefault="00BE751F" w:rsidP="00BE751F">
      <w:pPr>
        <w:pStyle w:val="MGTHeader"/>
        <w:rPr>
          <w:rFonts w:cstheme="minorHAnsi"/>
        </w:rPr>
      </w:pPr>
      <w:r w:rsidRPr="00871B5C">
        <w:rPr>
          <w:rFonts w:cstheme="minorHAnsi"/>
        </w:rPr>
        <w:t xml:space="preserve">Goal 10: Reduce </w:t>
      </w:r>
      <w:r>
        <w:rPr>
          <w:rFonts w:cstheme="minorHAnsi"/>
        </w:rPr>
        <w:t>i</w:t>
      </w:r>
      <w:r w:rsidRPr="00871B5C">
        <w:rPr>
          <w:rFonts w:cstheme="minorHAnsi"/>
        </w:rPr>
        <w:t>nequality within and among countries</w:t>
      </w:r>
    </w:p>
    <w:p w14:paraId="0050124E" w14:textId="77777777" w:rsidR="00BE751F" w:rsidRPr="00871B5C" w:rsidRDefault="00BE751F" w:rsidP="00BE751F">
      <w:pPr>
        <w:pStyle w:val="MIndHeader"/>
        <w:rPr>
          <w:rFonts w:cstheme="minorHAnsi"/>
        </w:rPr>
      </w:pPr>
      <w:r w:rsidRPr="00871B5C">
        <w:rPr>
          <w:rFonts w:cstheme="minorHAnsi"/>
        </w:rPr>
        <w:t xml:space="preserve">0.b. Target </w:t>
      </w:r>
      <w:r>
        <w:rPr>
          <w:color w:val="B4B4B4"/>
          <w:sz w:val="20"/>
        </w:rPr>
        <w:t>(SDG_TARGET)</w:t>
      </w:r>
    </w:p>
    <w:p w14:paraId="1ADADC95" w14:textId="77777777" w:rsidR="00BE751F" w:rsidRPr="00871B5C" w:rsidRDefault="00BE751F" w:rsidP="00BE751F">
      <w:pPr>
        <w:pStyle w:val="MGTHeader"/>
        <w:rPr>
          <w:rFonts w:cstheme="minorHAnsi"/>
        </w:rPr>
      </w:pPr>
      <w:r w:rsidRPr="00871B5C">
        <w:rPr>
          <w:rFonts w:cstheme="minorHAnsi"/>
        </w:rPr>
        <w:t>Target 10.4: Adopt policies, especially fiscal, wage and social protection policies, and progressively achieve greater equality</w:t>
      </w:r>
    </w:p>
    <w:p w14:paraId="594CF3FB" w14:textId="77777777" w:rsidR="00BE751F" w:rsidRPr="00871B5C" w:rsidRDefault="00BE751F" w:rsidP="00BE751F">
      <w:pPr>
        <w:pStyle w:val="MIndHeader"/>
        <w:rPr>
          <w:rFonts w:cstheme="minorHAnsi"/>
        </w:rPr>
      </w:pPr>
      <w:r w:rsidRPr="00871B5C">
        <w:rPr>
          <w:rFonts w:cstheme="minorHAnsi"/>
        </w:rPr>
        <w:t xml:space="preserve">0.c. Indicator </w:t>
      </w:r>
      <w:r>
        <w:rPr>
          <w:color w:val="B4B4B4"/>
          <w:sz w:val="20"/>
        </w:rPr>
        <w:t>(SDG_INDICATOR)</w:t>
      </w:r>
    </w:p>
    <w:p w14:paraId="7838C0B8" w14:textId="21060C5C" w:rsidR="00BE751F" w:rsidRPr="00871B5C" w:rsidRDefault="003340D3" w:rsidP="00BE751F">
      <w:pPr>
        <w:pStyle w:val="MGTHeader"/>
        <w:rPr>
          <w:rFonts w:cstheme="minorHAnsi"/>
        </w:rPr>
      </w:pPr>
      <w:r w:rsidRPr="003340D3">
        <w:rPr>
          <w:rFonts w:cstheme="minorHAnsi"/>
        </w:rPr>
        <w:t>10.4.2 Redistributive impact of fiscal policy on the Gini index</w:t>
      </w:r>
    </w:p>
    <w:p w14:paraId="34463932" w14:textId="77777777" w:rsidR="00BE751F" w:rsidRPr="00871B5C" w:rsidRDefault="00BE751F" w:rsidP="00BE751F">
      <w:pPr>
        <w:pStyle w:val="MIndHeader"/>
        <w:rPr>
          <w:rFonts w:cstheme="minorHAnsi"/>
        </w:rPr>
      </w:pPr>
      <w:r w:rsidRPr="00871B5C">
        <w:rPr>
          <w:rFonts w:cstheme="minorHAnsi"/>
        </w:rPr>
        <w:t xml:space="preserve">0.d. Series </w:t>
      </w:r>
      <w:r>
        <w:rPr>
          <w:color w:val="B4B4B4"/>
          <w:sz w:val="20"/>
        </w:rPr>
        <w:t>(SDG_SERIES_DESCR)</w:t>
      </w:r>
    </w:p>
    <w:p w14:paraId="050D11CD" w14:textId="0014F66C" w:rsidR="00BE751F" w:rsidRPr="00871B5C" w:rsidRDefault="00CE708A" w:rsidP="00BE751F">
      <w:pPr>
        <w:pStyle w:val="MGTHeader"/>
        <w:rPr>
          <w:rFonts w:cstheme="minorHAnsi"/>
        </w:rPr>
      </w:pPr>
      <w:r w:rsidRPr="00CE708A">
        <w:rPr>
          <w:rFonts w:cstheme="minorHAnsi"/>
        </w:rPr>
        <w:t>SI_DST_FISP - Redistributive impact of fiscal policy, Gini index (%) [10.4.2]</w:t>
      </w:r>
    </w:p>
    <w:p w14:paraId="6170A8C2" w14:textId="77777777" w:rsidR="00BE751F" w:rsidRPr="00871B5C" w:rsidRDefault="00BE751F" w:rsidP="00BE751F">
      <w:pPr>
        <w:pStyle w:val="MIndHeader"/>
        <w:rPr>
          <w:rFonts w:cstheme="minorHAnsi"/>
        </w:rPr>
      </w:pPr>
      <w:r w:rsidRPr="00871B5C">
        <w:rPr>
          <w:rFonts w:cstheme="minorHAnsi"/>
        </w:rPr>
        <w:t xml:space="preserve">0.e. Metadata update </w:t>
      </w:r>
      <w:r>
        <w:rPr>
          <w:color w:val="B4B4B4"/>
          <w:sz w:val="20"/>
        </w:rPr>
        <w:t>(META_LAST_UPDATE)</w:t>
      </w:r>
    </w:p>
    <w:sdt>
      <w:sdtPr>
        <w:rPr>
          <w:rFonts w:cstheme="minorHAnsi"/>
        </w:rPr>
        <w:id w:val="-568652593"/>
        <w:placeholder>
          <w:docPart w:val="B8E55BB2F65242F1B6A94BA3F89EE399"/>
        </w:placeholder>
        <w:date w:fullDate="2025-03-28T00:00:00Z">
          <w:dateFormat w:val="yyyy-MM-dd"/>
          <w:lid w:val="en-US"/>
          <w:storeMappedDataAs w:val="dateTime"/>
          <w:calendar w:val="gregorian"/>
        </w:date>
      </w:sdtPr>
      <w:sdtEndPr/>
      <w:sdtContent>
        <w:p w14:paraId="3A06F8AA" w14:textId="3F3E4E46" w:rsidR="00BE751F" w:rsidRPr="00871B5C" w:rsidRDefault="00C43E2F" w:rsidP="00BE751F">
          <w:pPr>
            <w:pStyle w:val="MGTHeader"/>
            <w:rPr>
              <w:rFonts w:cstheme="minorHAnsi"/>
            </w:rPr>
          </w:pPr>
          <w:r>
            <w:rPr>
              <w:rFonts w:cstheme="minorHAnsi"/>
              <w:lang w:val="en-US"/>
            </w:rPr>
            <w:t>2025-03-28</w:t>
          </w:r>
        </w:p>
      </w:sdtContent>
    </w:sdt>
    <w:p w14:paraId="387E5199" w14:textId="77777777" w:rsidR="00BE751F" w:rsidRPr="00871B5C" w:rsidRDefault="00BE751F" w:rsidP="00BE751F">
      <w:pPr>
        <w:pStyle w:val="MIndHeader"/>
        <w:rPr>
          <w:rFonts w:cstheme="minorHAnsi"/>
        </w:rPr>
      </w:pPr>
      <w:r w:rsidRPr="00871B5C">
        <w:rPr>
          <w:rFonts w:cstheme="minorHAnsi"/>
        </w:rPr>
        <w:t xml:space="preserve">0.f. Related indicators </w:t>
      </w:r>
      <w:r>
        <w:rPr>
          <w:color w:val="B4B4B4"/>
          <w:sz w:val="20"/>
        </w:rPr>
        <w:t>(SDG_RELATED_INDICATORS)</w:t>
      </w:r>
    </w:p>
    <w:p w14:paraId="610D2B21" w14:textId="5BC5D877" w:rsidR="00BE751F" w:rsidRPr="00871B5C" w:rsidRDefault="00BE751F" w:rsidP="00BE751F">
      <w:pPr>
        <w:pStyle w:val="MGTHeader"/>
        <w:rPr>
          <w:rFonts w:cstheme="minorHAnsi"/>
        </w:rPr>
      </w:pPr>
      <w:r w:rsidRPr="00871B5C">
        <w:rPr>
          <w:rFonts w:cstheme="minorHAnsi"/>
        </w:rPr>
        <w:t xml:space="preserve">The Impact of Fiscal Policy on Poverty (see Lustig, </w:t>
      </w:r>
      <w:r w:rsidR="00642962">
        <w:rPr>
          <w:rFonts w:cstheme="minorHAnsi"/>
        </w:rPr>
        <w:t>2022</w:t>
      </w:r>
      <w:r w:rsidRPr="00871B5C">
        <w:rPr>
          <w:rFonts w:cstheme="minorHAnsi"/>
        </w:rPr>
        <w:t>, chapter 6).</w:t>
      </w:r>
    </w:p>
    <w:p w14:paraId="077BC49E" w14:textId="3E31878B" w:rsidR="00D24330" w:rsidRPr="00871B5C" w:rsidRDefault="00BE751F" w:rsidP="00CC7BE1">
      <w:pPr>
        <w:pStyle w:val="MIndHeader"/>
        <w:rPr>
          <w:rFonts w:cstheme="minorHAnsi"/>
        </w:rPr>
      </w:pPr>
      <w:r w:rsidRPr="00871B5C">
        <w:rPr>
          <w:rFonts w:cstheme="minorHAnsi"/>
        </w:rPr>
        <w:t xml:space="preserve">0.g. </w:t>
      </w:r>
      <w:proofErr w:type="gramStart"/>
      <w:r w:rsidRPr="00871B5C">
        <w:rPr>
          <w:rFonts w:cstheme="minorHAnsi"/>
        </w:rPr>
        <w:t>International</w:t>
      </w:r>
      <w:proofErr w:type="gramEnd"/>
      <w:r w:rsidRPr="00871B5C">
        <w:rPr>
          <w:rFonts w:cstheme="minorHAnsi"/>
        </w:rPr>
        <w:t xml:space="preserve"> organisations(s) responsible for global monitoring </w:t>
      </w:r>
      <w:r w:rsidRPr="00BE751F">
        <w:rPr>
          <w:color w:val="B4B4B4"/>
          <w:sz w:val="20"/>
        </w:rPr>
        <w:t>(SDG_CUSTODIAN_AGENCIES)</w:t>
      </w:r>
    </w:p>
    <w:p w14:paraId="0D4D222D" w14:textId="4BCC7A64" w:rsidR="00D6011B" w:rsidRPr="00871B5C" w:rsidRDefault="00D6011B" w:rsidP="00D24330">
      <w:pPr>
        <w:pStyle w:val="MGTHeader"/>
        <w:rPr>
          <w:rFonts w:cstheme="minorHAnsi"/>
          <w:color w:val="4A4A4A"/>
        </w:rPr>
      </w:pPr>
      <w:r w:rsidRPr="00871B5C">
        <w:rPr>
          <w:rFonts w:cstheme="minorHAnsi"/>
        </w:rPr>
        <w:t xml:space="preserve">Institutional information: The World Bank is the official custodian for this indicator. This metadata documentation was developed and agreed </w:t>
      </w:r>
      <w:r w:rsidR="006358D7">
        <w:rPr>
          <w:rFonts w:cstheme="minorHAnsi"/>
        </w:rPr>
        <w:t xml:space="preserve">upon </w:t>
      </w:r>
      <w:r w:rsidRPr="00871B5C">
        <w:rPr>
          <w:rFonts w:cstheme="minorHAnsi"/>
        </w:rPr>
        <w:t xml:space="preserve">by the three institutional data providers, </w:t>
      </w:r>
      <w:r w:rsidR="00FD39E4">
        <w:rPr>
          <w:rFonts w:cstheme="minorHAnsi"/>
        </w:rPr>
        <w:t>Commitment to Equity (</w:t>
      </w:r>
      <w:r w:rsidRPr="00871B5C">
        <w:rPr>
          <w:rFonts w:cstheme="minorHAnsi"/>
        </w:rPr>
        <w:t>CEQ</w:t>
      </w:r>
      <w:r w:rsidR="00FD39E4">
        <w:rPr>
          <w:rFonts w:cstheme="minorHAnsi"/>
        </w:rPr>
        <w:t>)</w:t>
      </w:r>
      <w:r w:rsidRPr="00871B5C">
        <w:rPr>
          <w:rFonts w:cstheme="minorHAnsi"/>
        </w:rPr>
        <w:t xml:space="preserve"> Institute, OECD and The World Bank</w:t>
      </w:r>
      <w:r w:rsidR="00497884">
        <w:rPr>
          <w:rFonts w:cstheme="minorHAnsi"/>
        </w:rPr>
        <w:t xml:space="preserve"> (WB)</w:t>
      </w:r>
      <w:r w:rsidRPr="00871B5C">
        <w:rPr>
          <w:rFonts w:cstheme="minorHAnsi"/>
        </w:rPr>
        <w:t>.</w:t>
      </w:r>
    </w:p>
    <w:p w14:paraId="19F29921" w14:textId="77777777" w:rsidR="008D1D39" w:rsidRPr="00871B5C" w:rsidRDefault="008D1D39" w:rsidP="00573631">
      <w:pPr>
        <w:shd w:val="clear" w:color="auto" w:fill="FFFFFF"/>
        <w:spacing w:after="0"/>
        <w:rPr>
          <w:rFonts w:eastAsia="Times New Roman" w:cstheme="minorHAnsi"/>
          <w:color w:val="4A4A4A"/>
          <w:sz w:val="21"/>
          <w:szCs w:val="21"/>
          <w:lang w:eastAsia="en-GB"/>
        </w:rPr>
      </w:pPr>
    </w:p>
    <w:p w14:paraId="06192853" w14:textId="4DC01231" w:rsidR="00BE751F" w:rsidRPr="007D490B" w:rsidRDefault="00B31E2C" w:rsidP="00BE751F">
      <w:pPr>
        <w:pStyle w:val="MHeader"/>
        <w:rPr>
          <w:lang w:val="en-US"/>
        </w:rPr>
      </w:pPr>
      <w:bookmarkStart w:id="0" w:name="_Toc37932744"/>
      <w:bookmarkStart w:id="1" w:name="_Toc36813072"/>
      <w:bookmarkStart w:id="2" w:name="_Toc36812685"/>
      <w:bookmarkStart w:id="3" w:name="_Toc36812572"/>
      <w:bookmarkStart w:id="4" w:name="_Toc36655609"/>
      <w:r w:rsidRPr="00871B5C">
        <w:rPr>
          <w:rFonts w:cstheme="minorHAnsi"/>
        </w:rPr>
        <w:t>1. Data reporter</w:t>
      </w:r>
      <w:bookmarkEnd w:id="0"/>
      <w:bookmarkEnd w:id="1"/>
      <w:bookmarkEnd w:id="2"/>
      <w:bookmarkEnd w:id="3"/>
      <w:bookmarkEnd w:id="4"/>
      <w:r w:rsidR="00BE751F" w:rsidRPr="007D490B">
        <w:rPr>
          <w:lang w:val="en-US"/>
        </w:rPr>
        <w:t xml:space="preserve"> </w:t>
      </w:r>
      <w:r w:rsidR="00BE751F" w:rsidRPr="007D490B">
        <w:rPr>
          <w:color w:val="B4B4B4"/>
          <w:sz w:val="20"/>
          <w:lang w:val="en-US"/>
        </w:rPr>
        <w:t>(CONTACT)</w:t>
      </w:r>
    </w:p>
    <w:p w14:paraId="29A1EC55" w14:textId="77777777" w:rsidR="00BE751F" w:rsidRPr="007D490B" w:rsidRDefault="00BE751F" w:rsidP="007D490B">
      <w:pPr>
        <w:pStyle w:val="MHeader"/>
        <w:rPr>
          <w:color w:val="B4B4B4"/>
          <w:sz w:val="20"/>
        </w:rPr>
      </w:pPr>
      <w:r w:rsidRPr="00CC7BE1">
        <w:rPr>
          <w:sz w:val="26"/>
        </w:rPr>
        <w:t>1.a. Organisation</w:t>
      </w:r>
      <w:r w:rsidRPr="00871B5C">
        <w:rPr>
          <w:rFonts w:cstheme="minorHAnsi"/>
        </w:rPr>
        <w:t xml:space="preserve"> </w:t>
      </w:r>
      <w:r>
        <w:rPr>
          <w:color w:val="B4B4B4"/>
          <w:sz w:val="20"/>
        </w:rPr>
        <w:t>(CONTACT_ORGANISATION)</w:t>
      </w:r>
    </w:p>
    <w:p w14:paraId="6E829FD0" w14:textId="13CE7F9A" w:rsidR="00F719A8" w:rsidRPr="00871B5C" w:rsidRDefault="00CE5055" w:rsidP="00576CFA">
      <w:pPr>
        <w:pStyle w:val="MText"/>
        <w:rPr>
          <w:rFonts w:cstheme="minorHAnsi"/>
        </w:rPr>
      </w:pPr>
      <w:r>
        <w:rPr>
          <w:rFonts w:eastAsia="Malgun Gothic" w:cstheme="minorHAnsi" w:hint="eastAsia"/>
          <w:lang w:eastAsia="ko-KR"/>
        </w:rPr>
        <w:t xml:space="preserve">The </w:t>
      </w:r>
      <w:r w:rsidR="00D6011B" w:rsidRPr="00871B5C">
        <w:rPr>
          <w:rFonts w:cstheme="minorHAnsi"/>
        </w:rPr>
        <w:t xml:space="preserve">World Bank </w:t>
      </w:r>
    </w:p>
    <w:p w14:paraId="6D35AEE7" w14:textId="77777777" w:rsidR="00D6011B" w:rsidRPr="00871B5C" w:rsidRDefault="00D6011B" w:rsidP="00576CFA">
      <w:pPr>
        <w:pStyle w:val="MText"/>
        <w:rPr>
          <w:rFonts w:cstheme="minorHAnsi"/>
        </w:rPr>
      </w:pPr>
    </w:p>
    <w:p w14:paraId="30862568" w14:textId="77777777" w:rsidR="00BE751F" w:rsidRPr="00871B5C" w:rsidRDefault="00BE751F" w:rsidP="00BE751F">
      <w:pPr>
        <w:pStyle w:val="MHeader"/>
        <w:rPr>
          <w:rFonts w:cstheme="minorHAnsi"/>
        </w:rPr>
      </w:pPr>
      <w:r w:rsidRPr="00871B5C">
        <w:rPr>
          <w:rFonts w:cstheme="minorHAnsi"/>
        </w:rPr>
        <w:t xml:space="preserve">2. Definition, concepts, and classifications </w:t>
      </w:r>
      <w:r>
        <w:rPr>
          <w:color w:val="B4B4B4"/>
          <w:sz w:val="20"/>
        </w:rPr>
        <w:t>(IND_DEF_CON_CLASS)</w:t>
      </w:r>
    </w:p>
    <w:p w14:paraId="752FA08E" w14:textId="403A0F96" w:rsidR="00D51E7C" w:rsidRPr="00871B5C" w:rsidRDefault="00BE751F" w:rsidP="008B2BDB">
      <w:pPr>
        <w:pStyle w:val="MHeader2"/>
        <w:rPr>
          <w:rFonts w:cstheme="minorHAnsi"/>
        </w:rPr>
      </w:pPr>
      <w:r w:rsidRPr="00CE5055">
        <w:rPr>
          <w:rFonts w:cstheme="minorHAnsi"/>
          <w:szCs w:val="26"/>
        </w:rPr>
        <w:t>2.a. Definition and concepts</w:t>
      </w:r>
      <w:r w:rsidRPr="00871B5C">
        <w:rPr>
          <w:rFonts w:cstheme="minorHAnsi"/>
        </w:rPr>
        <w:t xml:space="preserve"> </w:t>
      </w:r>
      <w:r>
        <w:rPr>
          <w:color w:val="B4B4B4"/>
          <w:sz w:val="20"/>
        </w:rPr>
        <w:t>(STAT_CONC_DEF)</w:t>
      </w:r>
    </w:p>
    <w:p w14:paraId="2A29E44C" w14:textId="4CAEA2EE" w:rsidR="00D51E7C" w:rsidRPr="000B649B" w:rsidRDefault="00D51E7C" w:rsidP="00871B5C">
      <w:pPr>
        <w:pStyle w:val="MText"/>
        <w:rPr>
          <w:b/>
        </w:rPr>
      </w:pPr>
      <w:r w:rsidRPr="000B649B">
        <w:rPr>
          <w:b/>
        </w:rPr>
        <w:t>Definitions:</w:t>
      </w:r>
    </w:p>
    <w:p w14:paraId="2E9433A3" w14:textId="77A0BBC2" w:rsidR="00D51E7C" w:rsidRPr="007D490B" w:rsidRDefault="008B2BDB" w:rsidP="008B2BDB">
      <w:pPr>
        <w:shd w:val="clear" w:color="auto" w:fill="FFFFFF"/>
        <w:jc w:val="both"/>
        <w:rPr>
          <w:color w:val="4A4A4A"/>
          <w:sz w:val="21"/>
          <w:lang w:val="en-US"/>
        </w:rPr>
      </w:pPr>
      <w:r w:rsidRPr="0076564F">
        <w:rPr>
          <w:color w:val="4A4A4A"/>
          <w:sz w:val="21"/>
          <w:lang w:val="en-US"/>
        </w:rPr>
        <w:t xml:space="preserve">The </w:t>
      </w:r>
      <w:hyperlink r:id="rId13" w:history="1">
        <w:r w:rsidRPr="00E50569">
          <w:rPr>
            <w:rStyle w:val="Hyperlink"/>
            <w:sz w:val="21"/>
            <w:lang w:val="en-US"/>
          </w:rPr>
          <w:t>Redistributive Impact of Fiscal Policy</w:t>
        </w:r>
      </w:hyperlink>
      <w:r w:rsidRPr="007D490B">
        <w:rPr>
          <w:color w:val="4A4A4A"/>
          <w:sz w:val="21"/>
          <w:lang w:val="en-US"/>
        </w:rPr>
        <w:t xml:space="preserve"> indicator is defined as the </w:t>
      </w:r>
      <w:r w:rsidR="007F2107" w:rsidRPr="007D490B">
        <w:rPr>
          <w:color w:val="4A4A4A"/>
          <w:sz w:val="21"/>
          <w:lang w:val="en-US"/>
        </w:rPr>
        <w:t xml:space="preserve">Gini </w:t>
      </w:r>
      <w:r w:rsidR="00F62B96" w:rsidRPr="007D490B">
        <w:rPr>
          <w:color w:val="4A4A4A"/>
          <w:sz w:val="21"/>
          <w:lang w:val="en-US"/>
        </w:rPr>
        <w:t xml:space="preserve">Index </w:t>
      </w:r>
      <w:r w:rsidRPr="007D490B">
        <w:rPr>
          <w:color w:val="4A4A4A"/>
          <w:sz w:val="21"/>
          <w:lang w:val="en-US"/>
        </w:rPr>
        <w:t>of pre</w:t>
      </w:r>
      <w:r w:rsidR="00F62B96" w:rsidRPr="007D490B">
        <w:rPr>
          <w:color w:val="4A4A4A"/>
          <w:sz w:val="21"/>
          <w:lang w:val="en-US"/>
        </w:rPr>
        <w:t>-</w:t>
      </w:r>
      <w:r w:rsidRPr="007D490B">
        <w:rPr>
          <w:color w:val="4A4A4A"/>
          <w:sz w:val="21"/>
          <w:lang w:val="en-US"/>
        </w:rPr>
        <w:t xml:space="preserve">fiscal per capita (or equivalized) income less the </w:t>
      </w:r>
      <w:r w:rsidR="007F2107" w:rsidRPr="007D490B">
        <w:rPr>
          <w:color w:val="4A4A4A"/>
          <w:sz w:val="21"/>
          <w:lang w:val="en-US"/>
        </w:rPr>
        <w:t xml:space="preserve">Gini </w:t>
      </w:r>
      <w:r w:rsidR="00F62B96" w:rsidRPr="007D490B">
        <w:rPr>
          <w:color w:val="4A4A4A"/>
          <w:sz w:val="21"/>
          <w:lang w:val="en-US"/>
        </w:rPr>
        <w:t xml:space="preserve">Index </w:t>
      </w:r>
      <w:r w:rsidRPr="007D490B">
        <w:rPr>
          <w:color w:val="4A4A4A"/>
          <w:sz w:val="21"/>
          <w:lang w:val="en-US"/>
        </w:rPr>
        <w:t>of post</w:t>
      </w:r>
      <w:r w:rsidR="00F62B96" w:rsidRPr="007D490B">
        <w:rPr>
          <w:color w:val="4A4A4A"/>
          <w:sz w:val="21"/>
          <w:lang w:val="en-US"/>
        </w:rPr>
        <w:t>-</w:t>
      </w:r>
      <w:r w:rsidRPr="007D490B">
        <w:rPr>
          <w:color w:val="4A4A4A"/>
          <w:sz w:val="21"/>
          <w:lang w:val="en-US"/>
        </w:rPr>
        <w:t>fiscal per capita (or equivalized) income.</w:t>
      </w:r>
      <w:r w:rsidR="00E55E1F" w:rsidRPr="007D490B">
        <w:rPr>
          <w:color w:val="4A4A4A"/>
          <w:sz w:val="21"/>
          <w:lang w:val="en-US"/>
        </w:rPr>
        <w:t xml:space="preserve"> These terms are elaborated below and can be calculated with some different variations</w:t>
      </w:r>
      <w:r w:rsidR="00E55E1F" w:rsidRPr="0076564F">
        <w:rPr>
          <w:color w:val="4A4A4A"/>
          <w:sz w:val="21"/>
          <w:lang w:val="en-US"/>
        </w:rPr>
        <w:t>.</w:t>
      </w:r>
      <w:r w:rsidR="00A611F8">
        <w:rPr>
          <w:color w:val="4A4A4A"/>
          <w:sz w:val="21"/>
          <w:lang w:val="en-US"/>
        </w:rPr>
        <w:t xml:space="preserve"> The positive sign means that inequality after taxes and transfers is lower than market income </w:t>
      </w:r>
      <w:proofErr w:type="gramStart"/>
      <w:r w:rsidR="00A611F8">
        <w:rPr>
          <w:color w:val="4A4A4A"/>
          <w:sz w:val="21"/>
          <w:lang w:val="en-US"/>
        </w:rPr>
        <w:t>inequality;</w:t>
      </w:r>
      <w:proofErr w:type="gramEnd"/>
      <w:r w:rsidR="00A611F8">
        <w:rPr>
          <w:color w:val="4A4A4A"/>
          <w:sz w:val="21"/>
          <w:lang w:val="en-US"/>
        </w:rPr>
        <w:t xml:space="preserve"> the larger the number, the higher </w:t>
      </w:r>
      <w:r w:rsidR="003676BF">
        <w:rPr>
          <w:color w:val="4A4A4A"/>
          <w:sz w:val="21"/>
          <w:lang w:val="en-US"/>
        </w:rPr>
        <w:t>the redistributive effect</w:t>
      </w:r>
      <w:r w:rsidR="00A611F8" w:rsidRPr="007D490B">
        <w:rPr>
          <w:color w:val="4A4A4A"/>
          <w:sz w:val="21"/>
          <w:lang w:val="en-US"/>
        </w:rPr>
        <w:t>.</w:t>
      </w:r>
    </w:p>
    <w:p w14:paraId="05BA0835" w14:textId="25762E06" w:rsidR="00D51E7C" w:rsidRPr="007D490B" w:rsidRDefault="00D51E7C" w:rsidP="00871B5C">
      <w:pPr>
        <w:pStyle w:val="MText"/>
      </w:pPr>
      <w:r w:rsidRPr="007D490B">
        <w:t>Concepts:</w:t>
      </w:r>
    </w:p>
    <w:p w14:paraId="0C01A882" w14:textId="3F650CFC" w:rsidR="008B2BDB" w:rsidRPr="007D490B" w:rsidRDefault="008B2BDB" w:rsidP="008B2BDB">
      <w:pPr>
        <w:jc w:val="both"/>
        <w:rPr>
          <w:color w:val="4A4A4A"/>
          <w:sz w:val="21"/>
          <w:lang w:val="en-US"/>
        </w:rPr>
      </w:pPr>
      <w:r w:rsidRPr="007D490B">
        <w:rPr>
          <w:color w:val="4A4A4A"/>
          <w:sz w:val="21"/>
          <w:u w:val="single"/>
          <w:lang w:val="en-US"/>
        </w:rPr>
        <w:t>-</w:t>
      </w:r>
      <w:r w:rsidR="007F2107" w:rsidRPr="007D490B">
        <w:rPr>
          <w:color w:val="4A4A4A"/>
          <w:sz w:val="21"/>
          <w:u w:val="single"/>
          <w:lang w:val="en-US"/>
        </w:rPr>
        <w:t xml:space="preserve">Gini </w:t>
      </w:r>
      <w:r w:rsidR="00E55E1F" w:rsidRPr="007D490B">
        <w:rPr>
          <w:color w:val="4A4A4A"/>
          <w:sz w:val="21"/>
          <w:u w:val="single"/>
          <w:lang w:val="en-US"/>
        </w:rPr>
        <w:t>Index</w:t>
      </w:r>
      <w:r w:rsidRPr="007D490B">
        <w:rPr>
          <w:color w:val="4A4A4A"/>
          <w:sz w:val="21"/>
          <w:lang w:val="en-US"/>
        </w:rPr>
        <w:t xml:space="preserve">: a commonly used measure of inequality capturing the statistical dispersion in the distribution of income over a population (Gini, 1936).  A </w:t>
      </w:r>
      <w:r w:rsidR="007F2107" w:rsidRPr="007D490B">
        <w:rPr>
          <w:color w:val="4A4A4A"/>
          <w:sz w:val="21"/>
          <w:lang w:val="en-US"/>
        </w:rPr>
        <w:t xml:space="preserve">Gini </w:t>
      </w:r>
      <w:r w:rsidR="00E55E1F" w:rsidRPr="007D490B">
        <w:rPr>
          <w:color w:val="4A4A4A"/>
          <w:sz w:val="21"/>
          <w:lang w:val="en-US"/>
        </w:rPr>
        <w:t xml:space="preserve">Index </w:t>
      </w:r>
      <w:r w:rsidRPr="007D490B">
        <w:rPr>
          <w:color w:val="4A4A4A"/>
          <w:sz w:val="21"/>
          <w:lang w:val="en-US"/>
        </w:rPr>
        <w:t xml:space="preserve">of zero expresses perfect equality: that is, every </w:t>
      </w:r>
      <w:r w:rsidRPr="007D490B">
        <w:rPr>
          <w:color w:val="4A4A4A"/>
          <w:sz w:val="21"/>
          <w:lang w:val="en-US"/>
        </w:rPr>
        <w:lastRenderedPageBreak/>
        <w:t xml:space="preserve">individual in the population has the same income. </w:t>
      </w:r>
      <w:r w:rsidR="00E55E1F" w:rsidRPr="007D490B">
        <w:rPr>
          <w:color w:val="4A4A4A"/>
          <w:sz w:val="21"/>
          <w:lang w:val="en-US"/>
        </w:rPr>
        <w:t xml:space="preserve"> </w:t>
      </w:r>
      <w:r w:rsidRPr="007D490B">
        <w:rPr>
          <w:color w:val="4A4A4A"/>
          <w:sz w:val="21"/>
          <w:lang w:val="en-US"/>
        </w:rPr>
        <w:t xml:space="preserve">A </w:t>
      </w:r>
      <w:r w:rsidR="007F2107" w:rsidRPr="007D490B">
        <w:rPr>
          <w:color w:val="4A4A4A"/>
          <w:sz w:val="21"/>
          <w:lang w:val="en-US"/>
        </w:rPr>
        <w:t xml:space="preserve">Gini </w:t>
      </w:r>
      <w:r w:rsidR="00E55E1F" w:rsidRPr="007D490B">
        <w:rPr>
          <w:color w:val="4A4A4A"/>
          <w:sz w:val="21"/>
          <w:lang w:val="en-US"/>
        </w:rPr>
        <w:t xml:space="preserve">Index </w:t>
      </w:r>
      <w:r w:rsidRPr="007D490B">
        <w:rPr>
          <w:color w:val="4A4A4A"/>
          <w:sz w:val="21"/>
          <w:lang w:val="en-US"/>
        </w:rPr>
        <w:t>of 1</w:t>
      </w:r>
      <w:r w:rsidR="00C24E74" w:rsidRPr="007D490B">
        <w:rPr>
          <w:color w:val="4A4A4A"/>
          <w:sz w:val="21"/>
          <w:lang w:val="en-US"/>
        </w:rPr>
        <w:t>00</w:t>
      </w:r>
      <w:r w:rsidRPr="007D490B">
        <w:rPr>
          <w:color w:val="4A4A4A"/>
          <w:sz w:val="21"/>
          <w:lang w:val="en-US"/>
        </w:rPr>
        <w:t xml:space="preserve"> expresses maximum inequality: that is, all income accrues to a single individual, and all other individuals have zero income.</w:t>
      </w:r>
      <w:r w:rsidR="00E55E1F" w:rsidRPr="007D490B">
        <w:rPr>
          <w:rStyle w:val="FootnoteReference"/>
          <w:color w:val="4A4A4A"/>
          <w:sz w:val="21"/>
          <w:lang w:val="en-US"/>
        </w:rPr>
        <w:footnoteReference w:id="2"/>
      </w:r>
    </w:p>
    <w:p w14:paraId="3B6324AA" w14:textId="06501CDB" w:rsidR="008B2BDB" w:rsidRPr="00D35E35" w:rsidRDefault="008B2BDB" w:rsidP="008B2BDB">
      <w:pPr>
        <w:jc w:val="both"/>
        <w:rPr>
          <w:rFonts w:cstheme="minorHAnsi"/>
          <w:b/>
          <w:color w:val="4A4A4A"/>
          <w:lang w:val="en-US"/>
        </w:rPr>
      </w:pPr>
      <w:r w:rsidRPr="007D490B">
        <w:rPr>
          <w:rStyle w:val="Strong"/>
          <w:b w:val="0"/>
          <w:color w:val="4A4A4A"/>
          <w:sz w:val="21"/>
          <w:lang w:val="en-US"/>
        </w:rPr>
        <w:t xml:space="preserve">Household income: this can be calculated: (i) in </w:t>
      </w:r>
      <w:r w:rsidRPr="007D490B">
        <w:rPr>
          <w:rStyle w:val="Strong"/>
          <w:b w:val="0"/>
          <w:color w:val="4A4A4A"/>
          <w:sz w:val="21"/>
          <w:u w:val="single"/>
          <w:lang w:val="en-US"/>
        </w:rPr>
        <w:t>per capita</w:t>
      </w:r>
      <w:r w:rsidRPr="007D490B">
        <w:rPr>
          <w:rStyle w:val="Strong"/>
          <w:b w:val="0"/>
          <w:color w:val="4A4A4A"/>
          <w:sz w:val="21"/>
          <w:lang w:val="en-US"/>
        </w:rPr>
        <w:t xml:space="preserve"> terms (household income divided by the number of household members); or (ii) in </w:t>
      </w:r>
      <w:r w:rsidRPr="007D490B">
        <w:rPr>
          <w:rStyle w:val="Strong"/>
          <w:b w:val="0"/>
          <w:color w:val="4A4A4A"/>
          <w:sz w:val="21"/>
          <w:u w:val="single"/>
          <w:lang w:val="en-US"/>
        </w:rPr>
        <w:t>equivalized</w:t>
      </w:r>
      <w:r w:rsidRPr="007D490B">
        <w:rPr>
          <w:rStyle w:val="Strong"/>
          <w:b w:val="0"/>
          <w:color w:val="4A4A4A"/>
          <w:sz w:val="21"/>
          <w:lang w:val="en-US"/>
        </w:rPr>
        <w:t xml:space="preserve"> terms (household income divided by the square root of the number of household members).</w:t>
      </w:r>
      <w:r w:rsidR="005D6E19" w:rsidRPr="007D490B">
        <w:rPr>
          <w:rStyle w:val="FootnoteReference"/>
          <w:color w:val="4A4A4A"/>
          <w:sz w:val="21"/>
          <w:lang w:val="en-US"/>
        </w:rPr>
        <w:footnoteReference w:id="3"/>
      </w:r>
      <w:r w:rsidRPr="007D490B">
        <w:rPr>
          <w:rStyle w:val="Strong"/>
          <w:b w:val="0"/>
          <w:color w:val="4A4A4A"/>
          <w:sz w:val="21"/>
          <w:lang w:val="en-US"/>
        </w:rPr>
        <w:t xml:space="preserve"> </w:t>
      </w:r>
      <w:r w:rsidR="005D6E19" w:rsidRPr="007D490B">
        <w:rPr>
          <w:rStyle w:val="Strong"/>
          <w:b w:val="0"/>
          <w:color w:val="4A4A4A"/>
          <w:sz w:val="21"/>
          <w:lang w:val="en-US"/>
        </w:rPr>
        <w:t xml:space="preserve"> </w:t>
      </w:r>
      <w:r w:rsidRPr="007D490B">
        <w:rPr>
          <w:rStyle w:val="Strong"/>
          <w:b w:val="0"/>
          <w:color w:val="4A4A4A"/>
          <w:sz w:val="21"/>
          <w:lang w:val="en-US"/>
        </w:rPr>
        <w:t>If a different definition is used, it should be noted in the reporting document</w:t>
      </w:r>
      <w:r w:rsidR="00A611F8" w:rsidRPr="007D490B">
        <w:rPr>
          <w:rStyle w:val="Strong"/>
          <w:b w:val="0"/>
          <w:color w:val="4A4A4A"/>
          <w:sz w:val="21"/>
          <w:lang w:val="en-US"/>
        </w:rPr>
        <w:t>.</w:t>
      </w:r>
      <w:r w:rsidR="00A611F8">
        <w:rPr>
          <w:rStyle w:val="Strong"/>
          <w:b w:val="0"/>
          <w:color w:val="4A4A4A"/>
          <w:sz w:val="21"/>
          <w:lang w:val="en-US"/>
        </w:rPr>
        <w:t xml:space="preserve"> </w:t>
      </w:r>
      <w:proofErr w:type="gramStart"/>
      <w:r w:rsidR="00A611F8">
        <w:rPr>
          <w:rStyle w:val="Strong"/>
          <w:b w:val="0"/>
          <w:color w:val="4A4A4A"/>
          <w:sz w:val="21"/>
          <w:lang w:val="en-US"/>
        </w:rPr>
        <w:t>In particular, it</w:t>
      </w:r>
      <w:proofErr w:type="gramEnd"/>
      <w:r w:rsidR="00A611F8">
        <w:rPr>
          <w:rStyle w:val="Strong"/>
          <w:b w:val="0"/>
          <w:color w:val="4A4A4A"/>
          <w:sz w:val="21"/>
          <w:lang w:val="en-US"/>
        </w:rPr>
        <w:t xml:space="preserve"> should be specified if the indicator is consumption rather than income.</w:t>
      </w:r>
    </w:p>
    <w:p w14:paraId="2F29FE33" w14:textId="60221B91" w:rsidR="008B2BDB" w:rsidRPr="007D490B" w:rsidRDefault="008B2BDB" w:rsidP="00D5546D">
      <w:pPr>
        <w:shd w:val="clear" w:color="auto" w:fill="FFFFFF"/>
        <w:jc w:val="both"/>
        <w:rPr>
          <w:color w:val="4A4A4A"/>
          <w:sz w:val="21"/>
          <w:lang w:val="en-US"/>
        </w:rPr>
      </w:pPr>
      <w:r w:rsidRPr="007D490B">
        <w:rPr>
          <w:color w:val="4A4A4A"/>
          <w:sz w:val="21"/>
          <w:u w:val="single"/>
          <w:lang w:val="en-US"/>
        </w:rPr>
        <w:t>-Pre</w:t>
      </w:r>
      <w:r w:rsidR="00C7471A" w:rsidRPr="007D490B">
        <w:rPr>
          <w:color w:val="4A4A4A"/>
          <w:sz w:val="21"/>
          <w:u w:val="single"/>
          <w:lang w:val="en-US"/>
        </w:rPr>
        <w:t>-</w:t>
      </w:r>
      <w:r w:rsidRPr="007D490B">
        <w:rPr>
          <w:color w:val="4A4A4A"/>
          <w:sz w:val="21"/>
          <w:u w:val="single"/>
          <w:lang w:val="en-US"/>
        </w:rPr>
        <w:t>fiscal income:</w:t>
      </w:r>
      <w:r w:rsidRPr="007D490B">
        <w:rPr>
          <w:color w:val="4A4A4A"/>
          <w:sz w:val="21"/>
          <w:lang w:val="en-US"/>
        </w:rPr>
        <w:t xml:space="preserve"> the cumulative income accruing to an individual (or a household) from market and private sources only. The </w:t>
      </w:r>
      <w:r w:rsidRPr="007D490B">
        <w:rPr>
          <w:color w:val="4A4A4A"/>
          <w:sz w:val="21"/>
          <w:u w:val="single"/>
          <w:lang w:val="en-US"/>
        </w:rPr>
        <w:t>Redistributive Impact of Fiscal Policy</w:t>
      </w:r>
      <w:r w:rsidRPr="007D490B">
        <w:rPr>
          <w:color w:val="4A4A4A"/>
          <w:sz w:val="21"/>
          <w:lang w:val="en-US"/>
        </w:rPr>
        <w:t xml:space="preserve"> indicator can be estimated with reference to two different pre</w:t>
      </w:r>
      <w:r w:rsidR="00C7471A" w:rsidRPr="007D490B">
        <w:rPr>
          <w:color w:val="4A4A4A"/>
          <w:sz w:val="21"/>
          <w:lang w:val="en-US"/>
        </w:rPr>
        <w:t>-</w:t>
      </w:r>
      <w:r w:rsidRPr="007D490B">
        <w:rPr>
          <w:color w:val="4A4A4A"/>
          <w:sz w:val="21"/>
          <w:lang w:val="en-US"/>
        </w:rPr>
        <w:t xml:space="preserve">fiscal income concepts depending on assumptions regarding the </w:t>
      </w:r>
      <w:r w:rsidR="00740DFE">
        <w:rPr>
          <w:color w:val="4A4A4A"/>
          <w:sz w:val="21"/>
          <w:lang w:val="en-US"/>
        </w:rPr>
        <w:t>treatment</w:t>
      </w:r>
      <w:r w:rsidR="00740DFE" w:rsidRPr="007D490B">
        <w:rPr>
          <w:color w:val="4A4A4A"/>
          <w:sz w:val="21"/>
          <w:lang w:val="en-US"/>
        </w:rPr>
        <w:t xml:space="preserve"> </w:t>
      </w:r>
      <w:r w:rsidRPr="007D490B">
        <w:rPr>
          <w:color w:val="4A4A4A"/>
          <w:sz w:val="21"/>
          <w:lang w:val="en-US"/>
        </w:rPr>
        <w:t xml:space="preserve">of public, contributory old-age </w:t>
      </w:r>
      <w:r w:rsidRPr="0076564F">
        <w:rPr>
          <w:color w:val="4A4A4A"/>
          <w:sz w:val="21"/>
          <w:lang w:val="en-US"/>
        </w:rPr>
        <w:t>pension</w:t>
      </w:r>
      <w:r w:rsidR="00740DFE">
        <w:rPr>
          <w:color w:val="4A4A4A"/>
          <w:sz w:val="21"/>
          <w:lang w:val="en-US"/>
        </w:rPr>
        <w:t>s</w:t>
      </w:r>
      <w:r w:rsidRPr="007D490B">
        <w:rPr>
          <w:color w:val="4A4A4A"/>
          <w:sz w:val="21"/>
          <w:lang w:val="en-US"/>
        </w:rPr>
        <w:t xml:space="preserve"> (please also see the figure below</w:t>
      </w:r>
      <w:r w:rsidRPr="0076564F">
        <w:rPr>
          <w:color w:val="4A4A4A"/>
          <w:sz w:val="21"/>
          <w:lang w:val="en-US"/>
        </w:rPr>
        <w:t xml:space="preserve"> and </w:t>
      </w:r>
      <w:r w:rsidRPr="007D490B">
        <w:rPr>
          <w:color w:val="4A4A4A"/>
          <w:sz w:val="21"/>
          <w:lang w:val="en-US"/>
        </w:rPr>
        <w:t>Lustig</w:t>
      </w:r>
      <w:r w:rsidR="00542EE3" w:rsidRPr="007D490B">
        <w:rPr>
          <w:color w:val="4A4A4A"/>
          <w:sz w:val="21"/>
          <w:lang w:val="en-US"/>
        </w:rPr>
        <w:t xml:space="preserve"> (</w:t>
      </w:r>
      <w:r w:rsidR="00542EE3">
        <w:rPr>
          <w:color w:val="4A4A4A"/>
          <w:sz w:val="21"/>
          <w:lang w:val="en-US"/>
        </w:rPr>
        <w:t>2022)</w:t>
      </w:r>
      <w:r w:rsidRPr="007D490B">
        <w:rPr>
          <w:color w:val="4A4A4A"/>
          <w:sz w:val="21"/>
          <w:lang w:val="en-US"/>
        </w:rPr>
        <w:t xml:space="preserve"> chapter 1, Section 2.2, pp. </w:t>
      </w:r>
      <w:r w:rsidRPr="0076564F">
        <w:rPr>
          <w:color w:val="4A4A4A"/>
          <w:sz w:val="21"/>
          <w:lang w:val="en-US"/>
        </w:rPr>
        <w:t>2</w:t>
      </w:r>
      <w:r w:rsidR="005E16FE">
        <w:rPr>
          <w:color w:val="4A4A4A"/>
          <w:sz w:val="21"/>
          <w:lang w:val="en-US"/>
        </w:rPr>
        <w:t>3</w:t>
      </w:r>
      <w:r w:rsidRPr="0076564F">
        <w:rPr>
          <w:color w:val="4A4A4A"/>
          <w:sz w:val="21"/>
          <w:lang w:val="en-US"/>
        </w:rPr>
        <w:t>-</w:t>
      </w:r>
      <w:r w:rsidR="005E16FE">
        <w:rPr>
          <w:color w:val="4A4A4A"/>
          <w:sz w:val="21"/>
          <w:lang w:val="en-US"/>
        </w:rPr>
        <w:t>33</w:t>
      </w:r>
      <w:r w:rsidRPr="007D490B">
        <w:rPr>
          <w:color w:val="4A4A4A"/>
          <w:sz w:val="21"/>
          <w:lang w:val="en-US"/>
        </w:rPr>
        <w:t xml:space="preserve">):  </w:t>
      </w:r>
    </w:p>
    <w:p w14:paraId="7909AC76" w14:textId="0DB729C0" w:rsidR="008B2BDB" w:rsidRPr="007D490B" w:rsidRDefault="00D66DBB" w:rsidP="007D490B">
      <w:pPr>
        <w:spacing w:after="0"/>
        <w:ind w:left="720"/>
        <w:jc w:val="both"/>
        <w:rPr>
          <w:color w:val="4A4A4A"/>
          <w:sz w:val="21"/>
          <w:u w:val="single"/>
        </w:rPr>
      </w:pPr>
      <w:r>
        <w:rPr>
          <w:color w:val="4A4A4A"/>
          <w:sz w:val="21"/>
        </w:rPr>
        <w:t xml:space="preserve">I) </w:t>
      </w:r>
      <w:r w:rsidR="008B2BDB" w:rsidRPr="007D490B">
        <w:rPr>
          <w:color w:val="4A4A4A"/>
          <w:sz w:val="21"/>
        </w:rPr>
        <w:t>Pre</w:t>
      </w:r>
      <w:r w:rsidR="00C7471A" w:rsidRPr="007D490B">
        <w:rPr>
          <w:color w:val="4A4A4A"/>
          <w:sz w:val="21"/>
        </w:rPr>
        <w:t>-</w:t>
      </w:r>
      <w:r w:rsidR="008B2BDB" w:rsidRPr="007D490B">
        <w:rPr>
          <w:color w:val="4A4A4A"/>
          <w:sz w:val="21"/>
        </w:rPr>
        <w:t xml:space="preserve">fiscal income 1 -  under the “pensions as deferred income” scenario: When incomes from public contributory old-age pension-system are counted as deferred market income and old-age pension-system contributions are counted as savings from current income (that is, the old-age pension system is treated as the equivalent of a mandatory savings program), </w:t>
      </w:r>
      <w:r w:rsidR="008B2BDB" w:rsidRPr="007D490B">
        <w:rPr>
          <w:color w:val="4A4A4A"/>
          <w:sz w:val="21"/>
          <w:u w:val="single"/>
        </w:rPr>
        <w:t>pre</w:t>
      </w:r>
      <w:r w:rsidR="00C7471A" w:rsidRPr="007D490B">
        <w:rPr>
          <w:color w:val="4A4A4A"/>
          <w:sz w:val="21"/>
          <w:u w:val="single"/>
        </w:rPr>
        <w:t>-</w:t>
      </w:r>
      <w:r w:rsidR="008B2BDB" w:rsidRPr="007D490B">
        <w:rPr>
          <w:color w:val="4A4A4A"/>
          <w:sz w:val="21"/>
          <w:u w:val="single"/>
        </w:rPr>
        <w:t>fiscal income</w:t>
      </w:r>
      <w:r w:rsidR="008B2BDB" w:rsidRPr="007D490B">
        <w:rPr>
          <w:color w:val="4A4A4A"/>
          <w:sz w:val="21"/>
        </w:rPr>
        <w:t xml:space="preserve"> is defined as an individual’s earned and unearned incomes from market and other private sources: wages, interest and dividend income; imputed income from owner-occupied housing and from consumption of own production;</w:t>
      </w:r>
      <w:r w:rsidR="008B2BDB" w:rsidRPr="007D490B">
        <w:rPr>
          <w:rStyle w:val="FootnoteReference"/>
          <w:color w:val="4A4A4A"/>
          <w:sz w:val="21"/>
        </w:rPr>
        <w:footnoteReference w:id="4"/>
      </w:r>
      <w:r w:rsidR="008B2BDB" w:rsidRPr="007D490B">
        <w:rPr>
          <w:color w:val="4A4A4A"/>
          <w:sz w:val="21"/>
        </w:rPr>
        <w:t xml:space="preserve"> remittances; private transfers; old-age pension income from the public contributory pension system; and, </w:t>
      </w:r>
      <w:r w:rsidR="008B2BDB" w:rsidRPr="007D490B">
        <w:rPr>
          <w:i/>
          <w:color w:val="4A4A4A"/>
          <w:sz w:val="21"/>
        </w:rPr>
        <w:t>less</w:t>
      </w:r>
      <w:r w:rsidR="008B2BDB" w:rsidRPr="007D490B">
        <w:rPr>
          <w:color w:val="4A4A4A"/>
          <w:sz w:val="21"/>
        </w:rPr>
        <w:t xml:space="preserve"> any contributions to the public old-age contributory pension system.</w:t>
      </w:r>
      <w:r w:rsidRPr="007D490B">
        <w:rPr>
          <w:color w:val="4A4A4A"/>
          <w:sz w:val="21"/>
        </w:rPr>
        <w:t xml:space="preserve"> </w:t>
      </w:r>
      <w:r>
        <w:rPr>
          <w:color w:val="4A4A4A"/>
          <w:sz w:val="21"/>
        </w:rPr>
        <w:t xml:space="preserve">In sum, in this case </w:t>
      </w:r>
      <w:r>
        <w:rPr>
          <w:color w:val="4A4A4A"/>
          <w:sz w:val="21"/>
          <w:u w:val="single"/>
        </w:rPr>
        <w:t xml:space="preserve">pre-fiscal income is defined as follows:  market income </w:t>
      </w:r>
      <w:r w:rsidRPr="00AA701F">
        <w:rPr>
          <w:b/>
          <w:bCs/>
          <w:color w:val="4A4A4A"/>
          <w:sz w:val="21"/>
          <w:u w:val="single"/>
        </w:rPr>
        <w:t>plus</w:t>
      </w:r>
      <w:r>
        <w:rPr>
          <w:color w:val="4A4A4A"/>
          <w:sz w:val="21"/>
          <w:u w:val="single"/>
        </w:rPr>
        <w:t xml:space="preserve"> private transfers, contributory old-age </w:t>
      </w:r>
      <w:r w:rsidRPr="00542EE3">
        <w:rPr>
          <w:color w:val="4A4A4A"/>
          <w:sz w:val="21"/>
          <w:u w:val="single"/>
        </w:rPr>
        <w:t xml:space="preserve">pensions, </w:t>
      </w:r>
      <w:r w:rsidRPr="00CC7BE1">
        <w:rPr>
          <w:color w:val="4A4A4A"/>
          <w:sz w:val="21"/>
          <w:u w:val="single"/>
        </w:rPr>
        <w:t>imputed rent for owner's occupied housing and consumption of own production</w:t>
      </w:r>
      <w:r w:rsidRPr="00542EE3">
        <w:rPr>
          <w:color w:val="4A4A4A"/>
          <w:sz w:val="21"/>
          <w:u w:val="single"/>
        </w:rPr>
        <w:t xml:space="preserve">, and employers' contributions to all social insurance benefits, </w:t>
      </w:r>
      <w:r w:rsidRPr="00542EE3">
        <w:rPr>
          <w:b/>
          <w:bCs/>
          <w:color w:val="4A4A4A"/>
          <w:sz w:val="21"/>
          <w:u w:val="single"/>
        </w:rPr>
        <w:t>less</w:t>
      </w:r>
      <w:r w:rsidRPr="00542EE3">
        <w:rPr>
          <w:color w:val="4A4A4A"/>
          <w:sz w:val="21"/>
          <w:u w:val="single"/>
        </w:rPr>
        <w:t xml:space="preserve">  employees' and employers' contributions to social</w:t>
      </w:r>
      <w:r>
        <w:rPr>
          <w:color w:val="4A4A4A"/>
          <w:sz w:val="21"/>
          <w:u w:val="single"/>
        </w:rPr>
        <w:t xml:space="preserve"> insurance for old-age pensions.</w:t>
      </w:r>
      <w:r>
        <w:rPr>
          <w:rStyle w:val="FootnoteReference"/>
          <w:color w:val="4A4A4A"/>
          <w:sz w:val="21"/>
        </w:rPr>
        <w:footnoteReference w:id="5"/>
      </w:r>
      <w:r w:rsidRPr="007D490B">
        <w:rPr>
          <w:color w:val="4A4A4A"/>
          <w:sz w:val="21"/>
          <w:u w:val="single"/>
        </w:rPr>
        <w:t xml:space="preserve"> </w:t>
      </w:r>
      <w:r w:rsidR="008B2BDB" w:rsidRPr="007D490B">
        <w:rPr>
          <w:color w:val="4A4A4A"/>
          <w:sz w:val="21"/>
        </w:rPr>
        <w:t>I</w:t>
      </w:r>
      <w:r w:rsidRPr="007D490B">
        <w:rPr>
          <w:color w:val="4A4A4A"/>
          <w:sz w:val="21"/>
        </w:rPr>
        <w:t>n</w:t>
      </w:r>
      <w:r w:rsidR="008B2BDB" w:rsidRPr="007D490B">
        <w:rPr>
          <w:color w:val="4A4A4A"/>
          <w:sz w:val="21"/>
        </w:rPr>
        <w:t xml:space="preserve"> this case, the pre</w:t>
      </w:r>
      <w:r w:rsidR="009A5B88" w:rsidRPr="007D490B">
        <w:rPr>
          <w:color w:val="4A4A4A"/>
          <w:sz w:val="21"/>
        </w:rPr>
        <w:t>-</w:t>
      </w:r>
      <w:r w:rsidR="008B2BDB" w:rsidRPr="007D490B">
        <w:rPr>
          <w:color w:val="4A4A4A"/>
          <w:sz w:val="21"/>
        </w:rPr>
        <w:t xml:space="preserve">fiscal income concept is called </w:t>
      </w:r>
      <w:r w:rsidR="008B2BDB" w:rsidRPr="007D490B">
        <w:rPr>
          <w:i/>
          <w:color w:val="4A4A4A"/>
          <w:sz w:val="21"/>
        </w:rPr>
        <w:t>Market income plus pensions.</w:t>
      </w:r>
      <w:r>
        <w:rPr>
          <w:i/>
          <w:color w:val="4A4A4A"/>
          <w:sz w:val="21"/>
        </w:rPr>
        <w:t xml:space="preserve"> </w:t>
      </w:r>
    </w:p>
    <w:p w14:paraId="032A2514" w14:textId="77777777" w:rsidR="008B2BDB" w:rsidRPr="007D490B" w:rsidRDefault="008B2BDB" w:rsidP="00D5546D">
      <w:pPr>
        <w:pStyle w:val="ListParagraph"/>
        <w:shd w:val="clear" w:color="auto" w:fill="FFFFFF"/>
        <w:ind w:left="1080"/>
        <w:jc w:val="both"/>
        <w:rPr>
          <w:color w:val="4A4A4A"/>
          <w:sz w:val="21"/>
        </w:rPr>
      </w:pPr>
    </w:p>
    <w:p w14:paraId="7A2C70A0" w14:textId="78773807" w:rsidR="008B2BDB" w:rsidRPr="00CC7BE1" w:rsidRDefault="00D66DBB" w:rsidP="007D490B">
      <w:pPr>
        <w:spacing w:after="0"/>
        <w:ind w:left="720"/>
        <w:jc w:val="both"/>
        <w:rPr>
          <w:rFonts w:cstheme="minorHAnsi"/>
          <w:color w:val="4A4A4A"/>
          <w:lang w:eastAsia="en-GB"/>
        </w:rPr>
      </w:pPr>
      <w:r>
        <w:rPr>
          <w:color w:val="4A4A4A"/>
          <w:sz w:val="21"/>
        </w:rPr>
        <w:t xml:space="preserve">II) </w:t>
      </w:r>
      <w:r w:rsidR="008B2BDB" w:rsidRPr="007D490B">
        <w:rPr>
          <w:color w:val="4A4A4A"/>
          <w:sz w:val="21"/>
        </w:rPr>
        <w:t>Pre</w:t>
      </w:r>
      <w:r w:rsidR="009A5B88" w:rsidRPr="007D490B">
        <w:rPr>
          <w:color w:val="4A4A4A"/>
          <w:sz w:val="21"/>
        </w:rPr>
        <w:t>-</w:t>
      </w:r>
      <w:r w:rsidR="008B2BDB" w:rsidRPr="007D490B">
        <w:rPr>
          <w:color w:val="4A4A4A"/>
          <w:sz w:val="21"/>
        </w:rPr>
        <w:t xml:space="preserve">fiscal income 2 - under the “pensions as government transfer” scenario: </w:t>
      </w:r>
      <w:r w:rsidR="008B2BDB" w:rsidRPr="007D490B">
        <w:rPr>
          <w:i/>
          <w:color w:val="4A4A4A"/>
          <w:sz w:val="21"/>
        </w:rPr>
        <w:t xml:space="preserve"> </w:t>
      </w:r>
      <w:r w:rsidR="008B2BDB" w:rsidRPr="007D490B">
        <w:rPr>
          <w:color w:val="4A4A4A"/>
          <w:sz w:val="21"/>
        </w:rPr>
        <w:t>When incomes from current pension</w:t>
      </w:r>
      <w:r w:rsidR="009A5B88" w:rsidRPr="007D490B">
        <w:rPr>
          <w:color w:val="4A4A4A"/>
          <w:sz w:val="21"/>
        </w:rPr>
        <w:t xml:space="preserve"> </w:t>
      </w:r>
      <w:r w:rsidR="008B2BDB" w:rsidRPr="007D490B">
        <w:rPr>
          <w:color w:val="4A4A4A"/>
          <w:sz w:val="21"/>
        </w:rPr>
        <w:t>system are counted as a government transfer and old age pension</w:t>
      </w:r>
      <w:r w:rsidR="008F5AEA" w:rsidRPr="007D490B">
        <w:rPr>
          <w:color w:val="4A4A4A"/>
          <w:sz w:val="21"/>
        </w:rPr>
        <w:t xml:space="preserve"> </w:t>
      </w:r>
      <w:r w:rsidR="008B2BDB" w:rsidRPr="007D490B">
        <w:rPr>
          <w:color w:val="4A4A4A"/>
          <w:sz w:val="21"/>
        </w:rPr>
        <w:t xml:space="preserve">system contributions are counted as a tax on current income, </w:t>
      </w:r>
      <w:r w:rsidR="008B2BDB" w:rsidRPr="007D490B">
        <w:rPr>
          <w:color w:val="4A4A4A"/>
          <w:sz w:val="21"/>
          <w:u w:val="single"/>
        </w:rPr>
        <w:t>pre</w:t>
      </w:r>
      <w:r w:rsidR="008F5AEA" w:rsidRPr="007D490B">
        <w:rPr>
          <w:color w:val="4A4A4A"/>
          <w:sz w:val="21"/>
          <w:u w:val="single"/>
        </w:rPr>
        <w:t>-</w:t>
      </w:r>
      <w:r w:rsidR="008B2BDB" w:rsidRPr="007D490B">
        <w:rPr>
          <w:color w:val="4A4A4A"/>
          <w:sz w:val="21"/>
          <w:u w:val="single"/>
        </w:rPr>
        <w:t>fiscal income</w:t>
      </w:r>
      <w:r w:rsidR="008B2BDB" w:rsidRPr="007D490B">
        <w:rPr>
          <w:color w:val="4A4A4A"/>
          <w:sz w:val="21"/>
        </w:rPr>
        <w:t xml:space="preserve"> is defined as: wages, interest and dividend income; imputed income from owner-occupied housing and from consumption of own production; remittances; and private transfers only. </w:t>
      </w:r>
      <w:r>
        <w:rPr>
          <w:color w:val="4A4A4A"/>
          <w:sz w:val="21"/>
        </w:rPr>
        <w:t xml:space="preserve">In sum, in this case </w:t>
      </w:r>
      <w:r>
        <w:rPr>
          <w:color w:val="4A4A4A"/>
          <w:sz w:val="21"/>
          <w:u w:val="single"/>
        </w:rPr>
        <w:t xml:space="preserve">pre-fiscal income is defined as follows: market income plus private transfers, </w:t>
      </w:r>
      <w:r w:rsidRPr="00CC7BE1">
        <w:rPr>
          <w:color w:val="4A4A4A"/>
          <w:sz w:val="21"/>
          <w:u w:val="single"/>
        </w:rPr>
        <w:t xml:space="preserve">imputed rent for owner's </w:t>
      </w:r>
      <w:r w:rsidRPr="00CC7BE1">
        <w:rPr>
          <w:color w:val="4A4A4A"/>
          <w:sz w:val="21"/>
          <w:u w:val="single"/>
        </w:rPr>
        <w:lastRenderedPageBreak/>
        <w:t>occupied housing, consumption of own production</w:t>
      </w:r>
      <w:r w:rsidRPr="00542EE3">
        <w:rPr>
          <w:color w:val="4A4A4A"/>
          <w:sz w:val="21"/>
          <w:u w:val="single"/>
        </w:rPr>
        <w:t>, and employers' contributions to all social insurance benefits.</w:t>
      </w:r>
      <w:r w:rsidRPr="00542EE3">
        <w:rPr>
          <w:rStyle w:val="FootnoteReference"/>
          <w:color w:val="4A4A4A"/>
          <w:sz w:val="21"/>
          <w:u w:val="single"/>
        </w:rPr>
        <w:footnoteReference w:id="6"/>
      </w:r>
      <w:r w:rsidR="00542EE3">
        <w:rPr>
          <w:color w:val="4A4A4A"/>
          <w:sz w:val="21"/>
          <w:u w:val="single"/>
        </w:rPr>
        <w:t xml:space="preserve"> </w:t>
      </w:r>
      <w:r w:rsidR="008B2BDB" w:rsidRPr="007D490B">
        <w:rPr>
          <w:color w:val="4A4A4A"/>
          <w:sz w:val="21"/>
        </w:rPr>
        <w:t>In this case, the pre</w:t>
      </w:r>
      <w:r w:rsidR="008F5AEA" w:rsidRPr="007D490B">
        <w:rPr>
          <w:color w:val="4A4A4A"/>
          <w:sz w:val="21"/>
        </w:rPr>
        <w:t>-</w:t>
      </w:r>
      <w:r w:rsidR="008B2BDB" w:rsidRPr="007D490B">
        <w:rPr>
          <w:color w:val="4A4A4A"/>
          <w:sz w:val="21"/>
        </w:rPr>
        <w:t xml:space="preserve">fiscal income concept is called </w:t>
      </w:r>
      <w:r w:rsidR="008B2BDB" w:rsidRPr="007D490B">
        <w:rPr>
          <w:i/>
          <w:color w:val="4A4A4A"/>
          <w:sz w:val="21"/>
        </w:rPr>
        <w:t>Market income.</w:t>
      </w:r>
    </w:p>
    <w:p w14:paraId="4EC54853" w14:textId="77777777" w:rsidR="008B2BDB" w:rsidRPr="00871B5C" w:rsidRDefault="008B2BDB" w:rsidP="007D490B">
      <w:pPr>
        <w:spacing w:after="0"/>
        <w:jc w:val="both"/>
        <w:rPr>
          <w:rFonts w:cstheme="minorHAnsi"/>
          <w:color w:val="4A4A4A"/>
          <w:lang w:eastAsia="en-GB"/>
        </w:rPr>
      </w:pPr>
    </w:p>
    <w:p w14:paraId="3CD10385" w14:textId="3A8A1940" w:rsidR="008B2BDB" w:rsidRPr="007D490B" w:rsidRDefault="008B2BDB" w:rsidP="008B2BDB">
      <w:pPr>
        <w:jc w:val="both"/>
        <w:rPr>
          <w:color w:val="4A4A4A"/>
          <w:sz w:val="21"/>
        </w:rPr>
      </w:pPr>
      <w:r w:rsidRPr="007D490B">
        <w:rPr>
          <w:color w:val="4A4A4A"/>
          <w:sz w:val="21"/>
        </w:rPr>
        <w:t>When pensions are treated as pure government transfers, the redistributive effect of pensions may be exaggerated as retirees with zero or near zero pre</w:t>
      </w:r>
      <w:r w:rsidR="008F5AEA" w:rsidRPr="007D490B">
        <w:rPr>
          <w:color w:val="4A4A4A"/>
          <w:sz w:val="21"/>
        </w:rPr>
        <w:t>-</w:t>
      </w:r>
      <w:r w:rsidRPr="007D490B">
        <w:rPr>
          <w:color w:val="4A4A4A"/>
          <w:sz w:val="21"/>
        </w:rPr>
        <w:t>fiscal incomes will receive pension income that is – at least in part – income deferred when the individual was working. It is important to note that deferral of own income from one’s working years to one’s retired self is possible regardless of whether the pension system is actuarially fair and in both defined-contribution and defined-benefit pension plans. Treating the public contributory pension system income as pure deferred income, however, does not allow us to capture any portion of the redistributive effect of pensions which may in effect exist. Therefore, we view the pensions as government transfer and pensions as deferred income scenarios as imperfect upper and lower bound estimates (respectively) of the true redistributive effect of contributory pensions. Rather than generating estimates of the redistributive effect of fiscal policy under specific assumptions about public contributory pension system income, the OECD instead reports estimates of the redistributive effect for the population under 65 years of age (</w:t>
      </w:r>
      <w:r w:rsidR="008F5AEA" w:rsidRPr="007D490B">
        <w:rPr>
          <w:color w:val="4A4A4A"/>
          <w:sz w:val="21"/>
        </w:rPr>
        <w:t xml:space="preserve">while </w:t>
      </w:r>
      <w:r w:rsidRPr="007D490B">
        <w:rPr>
          <w:color w:val="4A4A4A"/>
          <w:sz w:val="21"/>
        </w:rPr>
        <w:t>treating contributions to the public contributory pension system as a tax).</w:t>
      </w:r>
      <w:r w:rsidR="00FB121E" w:rsidRPr="007D490B">
        <w:rPr>
          <w:color w:val="4A4A4A"/>
          <w:sz w:val="21"/>
        </w:rPr>
        <w:t xml:space="preserve">  This is most comparable to the “pensions as deferred income” scenario</w:t>
      </w:r>
      <w:r w:rsidR="00415592" w:rsidRPr="007D490B">
        <w:rPr>
          <w:color w:val="4A4A4A"/>
          <w:sz w:val="21"/>
        </w:rPr>
        <w:t xml:space="preserve">, although not </w:t>
      </w:r>
      <w:proofErr w:type="gramStart"/>
      <w:r w:rsidR="00415592" w:rsidRPr="007D490B">
        <w:rPr>
          <w:color w:val="4A4A4A"/>
          <w:sz w:val="21"/>
        </w:rPr>
        <w:t>exactly the same</w:t>
      </w:r>
      <w:proofErr w:type="gramEnd"/>
      <w:r w:rsidR="00FB121E" w:rsidRPr="007D490B">
        <w:rPr>
          <w:color w:val="4A4A4A"/>
          <w:sz w:val="21"/>
        </w:rPr>
        <w:t xml:space="preserve">. </w:t>
      </w:r>
    </w:p>
    <w:p w14:paraId="1C631CB8" w14:textId="26A21147" w:rsidR="008B2BDB" w:rsidRPr="007D490B" w:rsidRDefault="008B2BDB" w:rsidP="008B2BDB">
      <w:pPr>
        <w:jc w:val="both"/>
        <w:rPr>
          <w:color w:val="4A4A4A"/>
          <w:sz w:val="21"/>
          <w:lang w:val="en-US"/>
        </w:rPr>
      </w:pPr>
      <w:r w:rsidRPr="007D490B">
        <w:rPr>
          <w:color w:val="4A4A4A"/>
          <w:sz w:val="21"/>
          <w:u w:val="single"/>
          <w:lang w:val="en-US"/>
        </w:rPr>
        <w:t>-Post</w:t>
      </w:r>
      <w:r w:rsidR="00415592" w:rsidRPr="007D490B">
        <w:rPr>
          <w:color w:val="4A4A4A"/>
          <w:sz w:val="21"/>
          <w:u w:val="single"/>
          <w:lang w:val="en-US"/>
        </w:rPr>
        <w:t>-</w:t>
      </w:r>
      <w:r w:rsidRPr="007D490B">
        <w:rPr>
          <w:color w:val="4A4A4A"/>
          <w:sz w:val="21"/>
          <w:u w:val="single"/>
          <w:lang w:val="en-US"/>
        </w:rPr>
        <w:t>fiscal income:</w:t>
      </w:r>
      <w:r w:rsidRPr="007D490B">
        <w:rPr>
          <w:color w:val="4A4A4A"/>
          <w:sz w:val="21"/>
          <w:lang w:val="en-US"/>
        </w:rPr>
        <w:t xml:space="preserve"> The </w:t>
      </w:r>
      <w:r w:rsidRPr="007D490B">
        <w:rPr>
          <w:color w:val="4A4A4A"/>
          <w:sz w:val="21"/>
          <w:u w:val="single"/>
          <w:lang w:val="en-US"/>
        </w:rPr>
        <w:t>Redistributive Impact of Fiscal Policy</w:t>
      </w:r>
      <w:r w:rsidRPr="007D490B">
        <w:rPr>
          <w:color w:val="4A4A4A"/>
          <w:sz w:val="21"/>
          <w:lang w:val="en-US"/>
        </w:rPr>
        <w:t xml:space="preserve"> indicator can be estimated with reference to two different post</w:t>
      </w:r>
      <w:r w:rsidR="00415592" w:rsidRPr="007D490B">
        <w:rPr>
          <w:color w:val="4A4A4A"/>
          <w:sz w:val="21"/>
          <w:lang w:val="en-US"/>
        </w:rPr>
        <w:t>-</w:t>
      </w:r>
      <w:r w:rsidRPr="007D490B">
        <w:rPr>
          <w:color w:val="4A4A4A"/>
          <w:sz w:val="21"/>
          <w:lang w:val="en-US"/>
        </w:rPr>
        <w:t xml:space="preserve">fiscal income concepts, Disposable Income and Consumable Income.  The most comprehensive concept is that of Consumable Income, which incorporates not only the impact of direct taxes and transfers but also of indirect taxes and price subsidies. </w:t>
      </w:r>
    </w:p>
    <w:p w14:paraId="4F50464B" w14:textId="10899FF6" w:rsidR="008B2BDB" w:rsidRPr="007D490B" w:rsidRDefault="008B2BDB" w:rsidP="008B2BDB">
      <w:pPr>
        <w:jc w:val="both"/>
        <w:rPr>
          <w:color w:val="4A4A4A"/>
          <w:sz w:val="21"/>
          <w:lang w:val="en-US"/>
        </w:rPr>
      </w:pPr>
      <w:r w:rsidRPr="007D490B">
        <w:rPr>
          <w:color w:val="4A4A4A"/>
          <w:sz w:val="21"/>
          <w:lang w:val="en-US"/>
        </w:rPr>
        <w:t xml:space="preserve">Disposable and Consumable Income under the “pensions as deferred income” </w:t>
      </w:r>
      <w:r w:rsidR="00C1269E" w:rsidRPr="0076564F">
        <w:rPr>
          <w:color w:val="4A4A4A"/>
          <w:sz w:val="21"/>
          <w:lang w:val="en-US"/>
        </w:rPr>
        <w:t xml:space="preserve">are equal in value </w:t>
      </w:r>
      <w:r w:rsidR="00C1269E">
        <w:rPr>
          <w:color w:val="4A4A4A"/>
          <w:sz w:val="21"/>
          <w:lang w:val="en-US"/>
        </w:rPr>
        <w:t xml:space="preserve">to </w:t>
      </w:r>
      <w:r w:rsidR="00C1269E" w:rsidRPr="0076564F">
        <w:rPr>
          <w:color w:val="4A4A4A"/>
          <w:sz w:val="21"/>
          <w:lang w:val="en-US"/>
        </w:rPr>
        <w:t>Disposable and Consumable Income under</w:t>
      </w:r>
      <w:r w:rsidR="00C1269E" w:rsidRPr="007D490B">
        <w:rPr>
          <w:color w:val="4A4A4A"/>
          <w:sz w:val="21"/>
          <w:lang w:val="en-US"/>
        </w:rPr>
        <w:t xml:space="preserve"> </w:t>
      </w:r>
      <w:r w:rsidRPr="007D490B">
        <w:rPr>
          <w:color w:val="4A4A4A"/>
          <w:sz w:val="21"/>
          <w:lang w:val="en-US"/>
        </w:rPr>
        <w:t>“pensions as government transfer” scenarios.  However, they are derived from pre</w:t>
      </w:r>
      <w:r w:rsidR="00415592" w:rsidRPr="007D490B">
        <w:rPr>
          <w:color w:val="4A4A4A"/>
          <w:sz w:val="21"/>
          <w:lang w:val="en-US"/>
        </w:rPr>
        <w:t>-</w:t>
      </w:r>
      <w:r w:rsidRPr="007D490B">
        <w:rPr>
          <w:color w:val="4A4A4A"/>
          <w:sz w:val="21"/>
          <w:lang w:val="en-US"/>
        </w:rPr>
        <w:t xml:space="preserve">fiscal income </w:t>
      </w:r>
      <w:r w:rsidR="00542EE3">
        <w:rPr>
          <w:color w:val="4A4A4A"/>
          <w:sz w:val="21"/>
          <w:lang w:val="en-US"/>
        </w:rPr>
        <w:t>I</w:t>
      </w:r>
      <w:r w:rsidRPr="007D490B">
        <w:rPr>
          <w:color w:val="4A4A4A"/>
          <w:sz w:val="21"/>
          <w:lang w:val="en-US"/>
        </w:rPr>
        <w:t xml:space="preserve"> and pre</w:t>
      </w:r>
      <w:r w:rsidR="00415592" w:rsidRPr="007D490B">
        <w:rPr>
          <w:color w:val="4A4A4A"/>
          <w:sz w:val="21"/>
          <w:lang w:val="en-US"/>
        </w:rPr>
        <w:t>-</w:t>
      </w:r>
      <w:r w:rsidRPr="007D490B">
        <w:rPr>
          <w:color w:val="4A4A4A"/>
          <w:sz w:val="21"/>
          <w:lang w:val="en-US"/>
        </w:rPr>
        <w:t xml:space="preserve">fiscal income </w:t>
      </w:r>
      <w:r w:rsidR="00542EE3">
        <w:rPr>
          <w:color w:val="4A4A4A"/>
          <w:sz w:val="21"/>
          <w:lang w:val="en-US"/>
        </w:rPr>
        <w:t>II</w:t>
      </w:r>
      <w:r w:rsidRPr="007D490B">
        <w:rPr>
          <w:color w:val="4A4A4A"/>
          <w:sz w:val="21"/>
          <w:lang w:val="en-US"/>
        </w:rPr>
        <w:t xml:space="preserve"> differently; please see the figure below, from Lustig (</w:t>
      </w:r>
      <w:r w:rsidRPr="0076564F">
        <w:rPr>
          <w:color w:val="4A4A4A"/>
          <w:sz w:val="21"/>
          <w:lang w:val="en-US"/>
        </w:rPr>
        <w:t>20</w:t>
      </w:r>
      <w:r w:rsidR="000E058B">
        <w:rPr>
          <w:color w:val="4A4A4A"/>
          <w:sz w:val="21"/>
          <w:lang w:val="en-US"/>
        </w:rPr>
        <w:t>22</w:t>
      </w:r>
      <w:r w:rsidRPr="007D490B">
        <w:rPr>
          <w:color w:val="4A4A4A"/>
          <w:sz w:val="21"/>
          <w:lang w:val="en-US"/>
        </w:rPr>
        <w:t xml:space="preserve">):  </w:t>
      </w:r>
    </w:p>
    <w:p w14:paraId="69C926D5" w14:textId="2E826859" w:rsidR="000E5A78" w:rsidRPr="007D490B" w:rsidRDefault="008B2BDB" w:rsidP="000E5A78">
      <w:pPr>
        <w:pStyle w:val="ListParagraph"/>
        <w:numPr>
          <w:ilvl w:val="0"/>
          <w:numId w:val="6"/>
        </w:numPr>
        <w:spacing w:after="0" w:line="240" w:lineRule="auto"/>
        <w:jc w:val="both"/>
        <w:rPr>
          <w:color w:val="4A4A4A"/>
          <w:sz w:val="21"/>
        </w:rPr>
      </w:pPr>
      <w:r w:rsidRPr="007D490B">
        <w:rPr>
          <w:color w:val="4A4A4A"/>
          <w:sz w:val="21"/>
        </w:rPr>
        <w:t>Post</w:t>
      </w:r>
      <w:r w:rsidR="00415592" w:rsidRPr="007D490B">
        <w:rPr>
          <w:color w:val="4A4A4A"/>
          <w:sz w:val="21"/>
        </w:rPr>
        <w:t>-</w:t>
      </w:r>
      <w:r w:rsidRPr="007D490B">
        <w:rPr>
          <w:color w:val="4A4A4A"/>
          <w:sz w:val="21"/>
        </w:rPr>
        <w:t xml:space="preserve">fiscal incomes under the “pensions as deferred income” scenario: </w:t>
      </w:r>
    </w:p>
    <w:p w14:paraId="4A820811" w14:textId="77777777" w:rsidR="008B2BDB" w:rsidRPr="007D490B" w:rsidRDefault="008B2BDB" w:rsidP="007D490B">
      <w:pPr>
        <w:spacing w:after="0" w:line="240" w:lineRule="auto"/>
        <w:ind w:left="360"/>
        <w:jc w:val="both"/>
        <w:rPr>
          <w:lang w:val="en-US"/>
        </w:rPr>
      </w:pPr>
    </w:p>
    <w:p w14:paraId="33B7FF5F" w14:textId="0ACA5951" w:rsidR="008B2BDB" w:rsidRPr="007D490B" w:rsidRDefault="008B2BDB" w:rsidP="008B2BDB">
      <w:pPr>
        <w:ind w:left="540"/>
        <w:jc w:val="both"/>
        <w:rPr>
          <w:color w:val="4A4A4A"/>
          <w:sz w:val="21"/>
          <w:lang w:val="en-US"/>
        </w:rPr>
      </w:pPr>
      <w:r w:rsidRPr="007D490B">
        <w:rPr>
          <w:color w:val="4A4A4A"/>
          <w:sz w:val="21"/>
          <w:u w:val="single"/>
          <w:lang w:val="en-US"/>
        </w:rPr>
        <w:t>Post</w:t>
      </w:r>
      <w:r w:rsidR="00415592" w:rsidRPr="007D490B">
        <w:rPr>
          <w:color w:val="4A4A4A"/>
          <w:sz w:val="21"/>
          <w:u w:val="single"/>
          <w:lang w:val="en-US"/>
        </w:rPr>
        <w:t>-</w:t>
      </w:r>
      <w:r w:rsidRPr="007D490B">
        <w:rPr>
          <w:color w:val="4A4A4A"/>
          <w:sz w:val="21"/>
          <w:u w:val="single"/>
          <w:lang w:val="en-US"/>
        </w:rPr>
        <w:t>fiscal Income A - Disposable Income:</w:t>
      </w:r>
      <w:r w:rsidRPr="007D490B">
        <w:rPr>
          <w:color w:val="4A4A4A"/>
          <w:sz w:val="21"/>
          <w:lang w:val="en-US"/>
        </w:rPr>
        <w:t xml:space="preserve"> pre</w:t>
      </w:r>
      <w:r w:rsidR="00415592" w:rsidRPr="007D490B">
        <w:rPr>
          <w:color w:val="4A4A4A"/>
          <w:sz w:val="21"/>
          <w:lang w:val="en-US"/>
        </w:rPr>
        <w:t>-</w:t>
      </w:r>
      <w:r w:rsidRPr="007D490B">
        <w:rPr>
          <w:color w:val="4A4A4A"/>
          <w:sz w:val="21"/>
          <w:lang w:val="en-US"/>
        </w:rPr>
        <w:t xml:space="preserve">fiscal income </w:t>
      </w:r>
      <w:r w:rsidR="000F5769">
        <w:rPr>
          <w:color w:val="4A4A4A"/>
          <w:sz w:val="21"/>
          <w:lang w:val="en-US"/>
        </w:rPr>
        <w:t xml:space="preserve">as defined </w:t>
      </w:r>
      <w:r w:rsidR="00D66DBB">
        <w:rPr>
          <w:color w:val="4A4A4A"/>
          <w:sz w:val="21"/>
          <w:lang w:val="en-US"/>
        </w:rPr>
        <w:t xml:space="preserve">under I) </w:t>
      </w:r>
      <w:r w:rsidR="000F5769">
        <w:rPr>
          <w:color w:val="4A4A4A"/>
          <w:sz w:val="21"/>
          <w:lang w:val="en-US"/>
        </w:rPr>
        <w:t xml:space="preserve">above </w:t>
      </w:r>
      <w:r w:rsidRPr="007D490B">
        <w:rPr>
          <w:b/>
          <w:color w:val="4A4A4A"/>
          <w:sz w:val="21"/>
          <w:lang w:val="en-US"/>
        </w:rPr>
        <w:t>less</w:t>
      </w:r>
      <w:r w:rsidRPr="007D490B">
        <w:rPr>
          <w:color w:val="4A4A4A"/>
          <w:sz w:val="21"/>
          <w:lang w:val="en-US"/>
        </w:rPr>
        <w:t xml:space="preserve"> direct taxes paid and social insurance contributions made to the public fiscal authority</w:t>
      </w:r>
      <w:r w:rsidR="000E5A78" w:rsidRPr="007D490B">
        <w:rPr>
          <w:color w:val="4A4A4A"/>
          <w:sz w:val="21"/>
          <w:lang w:val="en-US"/>
        </w:rPr>
        <w:t xml:space="preserve"> </w:t>
      </w:r>
      <w:r w:rsidR="000E5A78">
        <w:rPr>
          <w:color w:val="4A4A4A"/>
          <w:sz w:val="21"/>
          <w:lang w:val="en-US"/>
        </w:rPr>
        <w:t>for all contributory benefits excluding old-age pensions</w:t>
      </w:r>
      <w:r w:rsidRPr="0076564F">
        <w:rPr>
          <w:color w:val="4A4A4A"/>
          <w:sz w:val="21"/>
          <w:lang w:val="en-US"/>
        </w:rPr>
        <w:t xml:space="preserve"> </w:t>
      </w:r>
      <w:r w:rsidRPr="007D490B">
        <w:rPr>
          <w:b/>
          <w:color w:val="4A4A4A"/>
          <w:sz w:val="21"/>
          <w:lang w:val="en-US"/>
        </w:rPr>
        <w:t>plus</w:t>
      </w:r>
      <w:r w:rsidRPr="007D490B">
        <w:rPr>
          <w:color w:val="4A4A4A"/>
          <w:sz w:val="21"/>
          <w:lang w:val="en-US"/>
        </w:rPr>
        <w:t xml:space="preserve"> direct cash transfers</w:t>
      </w:r>
      <w:r w:rsidR="000F5769">
        <w:rPr>
          <w:color w:val="4A4A4A"/>
          <w:sz w:val="21"/>
          <w:lang w:val="en-US"/>
        </w:rPr>
        <w:t xml:space="preserve">, benefits from contributory systems </w:t>
      </w:r>
      <w:r w:rsidR="000F5769" w:rsidRPr="00CC7BE1">
        <w:rPr>
          <w:i/>
          <w:iCs/>
          <w:color w:val="4A4A4A"/>
          <w:sz w:val="21"/>
          <w:lang w:val="en-US"/>
        </w:rPr>
        <w:t>excluding</w:t>
      </w:r>
      <w:r w:rsidR="000F5769">
        <w:rPr>
          <w:color w:val="4A4A4A"/>
          <w:sz w:val="21"/>
          <w:lang w:val="en-US"/>
        </w:rPr>
        <w:t xml:space="preserve"> old-age pensions,</w:t>
      </w:r>
      <w:r w:rsidRPr="007D490B">
        <w:rPr>
          <w:color w:val="4A4A4A"/>
          <w:sz w:val="21"/>
          <w:lang w:val="en-US"/>
        </w:rPr>
        <w:t xml:space="preserve"> and the monetary value of benefits (measured at what governments spend) received by households in the form of near-cash transfers (e.g., </w:t>
      </w:r>
      <w:r w:rsidR="00BA567F" w:rsidRPr="007D490B">
        <w:rPr>
          <w:color w:val="4A4A4A"/>
          <w:sz w:val="21"/>
          <w:lang w:val="en-US"/>
        </w:rPr>
        <w:t>food stamps</w:t>
      </w:r>
      <w:r w:rsidRPr="007D490B">
        <w:rPr>
          <w:color w:val="4A4A4A"/>
          <w:sz w:val="21"/>
          <w:lang w:val="en-US"/>
        </w:rPr>
        <w:t xml:space="preserve">, school breakfasts, school uniforms). </w:t>
      </w:r>
    </w:p>
    <w:p w14:paraId="2CAA8679" w14:textId="3F2AEBDF" w:rsidR="008B2BDB" w:rsidRPr="0076564F" w:rsidRDefault="008B2BDB" w:rsidP="008B2BDB">
      <w:pPr>
        <w:ind w:left="540"/>
        <w:jc w:val="both"/>
        <w:rPr>
          <w:color w:val="4A4A4A"/>
          <w:sz w:val="21"/>
          <w:lang w:val="en-US"/>
        </w:rPr>
      </w:pPr>
      <w:r w:rsidRPr="007D490B">
        <w:rPr>
          <w:color w:val="4A4A4A"/>
          <w:sz w:val="21"/>
          <w:u w:val="single"/>
          <w:lang w:val="en-US"/>
        </w:rPr>
        <w:t>Post</w:t>
      </w:r>
      <w:r w:rsidR="00415592" w:rsidRPr="007D490B">
        <w:rPr>
          <w:color w:val="4A4A4A"/>
          <w:sz w:val="21"/>
          <w:u w:val="single"/>
          <w:lang w:val="en-US"/>
        </w:rPr>
        <w:t>-</w:t>
      </w:r>
      <w:r w:rsidRPr="007D490B">
        <w:rPr>
          <w:color w:val="4A4A4A"/>
          <w:sz w:val="21"/>
          <w:u w:val="single"/>
          <w:lang w:val="en-US"/>
        </w:rPr>
        <w:t>fiscal Income B - Consumable Income</w:t>
      </w:r>
      <w:r w:rsidRPr="007D490B">
        <w:rPr>
          <w:color w:val="4A4A4A"/>
          <w:sz w:val="21"/>
          <w:lang w:val="en-US"/>
        </w:rPr>
        <w:t xml:space="preserve">: </w:t>
      </w:r>
      <w:r w:rsidR="00F772A1">
        <w:rPr>
          <w:color w:val="4A4A4A"/>
          <w:sz w:val="21"/>
          <w:lang w:val="en-US"/>
        </w:rPr>
        <w:t xml:space="preserve">disposable </w:t>
      </w:r>
      <w:r w:rsidR="00505018">
        <w:rPr>
          <w:color w:val="4A4A4A"/>
          <w:sz w:val="21"/>
          <w:lang w:val="en-US"/>
        </w:rPr>
        <w:t xml:space="preserve">income </w:t>
      </w:r>
      <w:r w:rsidR="00F772A1">
        <w:rPr>
          <w:color w:val="4A4A4A"/>
          <w:sz w:val="21"/>
          <w:lang w:val="en-US"/>
        </w:rPr>
        <w:t xml:space="preserve">as defined immediately above less indirect taxes plus </w:t>
      </w:r>
      <w:r w:rsidRPr="0076564F">
        <w:rPr>
          <w:color w:val="4A4A4A"/>
          <w:sz w:val="21"/>
          <w:lang w:val="en-US"/>
        </w:rPr>
        <w:t>indirect</w:t>
      </w:r>
      <w:r w:rsidR="00F772A1">
        <w:rPr>
          <w:color w:val="4A4A4A"/>
          <w:sz w:val="21"/>
          <w:lang w:val="en-US"/>
        </w:rPr>
        <w:t xml:space="preserve"> </w:t>
      </w:r>
      <w:r w:rsidRPr="0076564F">
        <w:rPr>
          <w:color w:val="4A4A4A"/>
          <w:sz w:val="21"/>
          <w:lang w:val="en-US"/>
        </w:rPr>
        <w:t xml:space="preserve">price subsidies. </w:t>
      </w:r>
    </w:p>
    <w:p w14:paraId="24F5992A" w14:textId="1DDC1BBA" w:rsidR="008B2BDB" w:rsidRPr="007D490B" w:rsidRDefault="008B2BDB" w:rsidP="008B2BDB">
      <w:pPr>
        <w:pStyle w:val="ListParagraph"/>
        <w:numPr>
          <w:ilvl w:val="0"/>
          <w:numId w:val="6"/>
        </w:numPr>
        <w:spacing w:after="0" w:line="240" w:lineRule="auto"/>
        <w:jc w:val="both"/>
        <w:rPr>
          <w:color w:val="4A4A4A"/>
          <w:sz w:val="21"/>
        </w:rPr>
      </w:pPr>
      <w:r w:rsidRPr="007D490B">
        <w:rPr>
          <w:color w:val="4A4A4A"/>
          <w:sz w:val="21"/>
        </w:rPr>
        <w:t>Post</w:t>
      </w:r>
      <w:r w:rsidR="00415592" w:rsidRPr="007D490B">
        <w:rPr>
          <w:color w:val="4A4A4A"/>
          <w:sz w:val="21"/>
        </w:rPr>
        <w:t>-</w:t>
      </w:r>
      <w:r w:rsidRPr="007D490B">
        <w:rPr>
          <w:color w:val="4A4A4A"/>
          <w:sz w:val="21"/>
        </w:rPr>
        <w:t xml:space="preserve">fiscal incomes under the “pensions as government transfer” scenario: </w:t>
      </w:r>
    </w:p>
    <w:p w14:paraId="3B868EB4" w14:textId="55B779F9" w:rsidR="004A042F" w:rsidRPr="007D490B" w:rsidRDefault="004A042F" w:rsidP="007D490B">
      <w:pPr>
        <w:spacing w:after="0" w:line="240" w:lineRule="auto"/>
        <w:ind w:left="360"/>
        <w:jc w:val="both"/>
        <w:rPr>
          <w:color w:val="4A4A4A"/>
          <w:sz w:val="21"/>
        </w:rPr>
      </w:pPr>
    </w:p>
    <w:p w14:paraId="22975FA6" w14:textId="1D8C12F2" w:rsidR="008B2BDB" w:rsidRPr="007D490B" w:rsidRDefault="008B2BDB" w:rsidP="00C24E74">
      <w:pPr>
        <w:ind w:left="540"/>
        <w:jc w:val="both"/>
        <w:rPr>
          <w:strike/>
          <w:color w:val="4A4A4A"/>
          <w:sz w:val="21"/>
          <w:lang w:val="en-US"/>
        </w:rPr>
      </w:pPr>
      <w:r w:rsidRPr="0076564F">
        <w:rPr>
          <w:color w:val="4A4A4A"/>
          <w:sz w:val="21"/>
          <w:u w:val="single"/>
          <w:lang w:val="en-US"/>
        </w:rPr>
        <w:lastRenderedPageBreak/>
        <w:t>Post</w:t>
      </w:r>
      <w:r w:rsidR="00415592" w:rsidRPr="0076564F">
        <w:rPr>
          <w:color w:val="4A4A4A"/>
          <w:sz w:val="21"/>
          <w:u w:val="single"/>
          <w:lang w:val="en-US"/>
        </w:rPr>
        <w:t>-</w:t>
      </w:r>
      <w:r w:rsidRPr="0076564F">
        <w:rPr>
          <w:color w:val="4A4A4A"/>
          <w:sz w:val="21"/>
          <w:u w:val="single"/>
          <w:lang w:val="en-US"/>
        </w:rPr>
        <w:t>fiscal Income A - Disposable Income</w:t>
      </w:r>
      <w:r w:rsidRPr="0076564F">
        <w:rPr>
          <w:color w:val="4A4A4A"/>
          <w:sz w:val="21"/>
          <w:lang w:val="en-US"/>
        </w:rPr>
        <w:t xml:space="preserve">: </w:t>
      </w:r>
      <w:r w:rsidRPr="007D490B">
        <w:rPr>
          <w:color w:val="4A4A4A"/>
          <w:sz w:val="21"/>
          <w:lang w:val="en-US"/>
        </w:rPr>
        <w:t>pre</w:t>
      </w:r>
      <w:r w:rsidR="008131FB" w:rsidRPr="007D490B">
        <w:rPr>
          <w:color w:val="4A4A4A"/>
          <w:sz w:val="21"/>
          <w:lang w:val="en-US"/>
        </w:rPr>
        <w:t>-</w:t>
      </w:r>
      <w:r w:rsidRPr="007D490B">
        <w:rPr>
          <w:color w:val="4A4A4A"/>
          <w:sz w:val="21"/>
          <w:lang w:val="en-US"/>
        </w:rPr>
        <w:t>fiscal income</w:t>
      </w:r>
      <w:r w:rsidR="00505018" w:rsidRPr="007D490B">
        <w:rPr>
          <w:color w:val="4A4A4A"/>
          <w:sz w:val="21"/>
          <w:lang w:val="en-US"/>
        </w:rPr>
        <w:t xml:space="preserve"> </w:t>
      </w:r>
      <w:r w:rsidR="00AB14C2">
        <w:rPr>
          <w:color w:val="4A4A4A"/>
          <w:sz w:val="21"/>
          <w:lang w:val="en-US"/>
        </w:rPr>
        <w:t xml:space="preserve">as defined </w:t>
      </w:r>
      <w:r w:rsidR="00D66DBB">
        <w:rPr>
          <w:color w:val="4A4A4A"/>
          <w:sz w:val="21"/>
          <w:lang w:val="en-US"/>
        </w:rPr>
        <w:t>under II)</w:t>
      </w:r>
      <w:r w:rsidR="00AB14C2">
        <w:rPr>
          <w:color w:val="4A4A4A"/>
          <w:sz w:val="21"/>
          <w:lang w:val="en-US"/>
        </w:rPr>
        <w:t xml:space="preserve"> above </w:t>
      </w:r>
      <w:r w:rsidRPr="007D490B">
        <w:rPr>
          <w:b/>
          <w:color w:val="4A4A4A"/>
          <w:sz w:val="21"/>
          <w:lang w:val="en-US"/>
        </w:rPr>
        <w:t>less</w:t>
      </w:r>
      <w:r w:rsidRPr="007D490B">
        <w:rPr>
          <w:color w:val="4A4A4A"/>
          <w:sz w:val="21"/>
          <w:lang w:val="en-US"/>
        </w:rPr>
        <w:t xml:space="preserve"> direct taxes paid and social insurance contributions made to the public fiscal authority </w:t>
      </w:r>
      <w:r w:rsidRPr="007D490B">
        <w:rPr>
          <w:b/>
          <w:color w:val="4A4A4A"/>
          <w:sz w:val="21"/>
          <w:lang w:val="en-US"/>
        </w:rPr>
        <w:t>plus</w:t>
      </w:r>
      <w:r w:rsidRPr="0076564F">
        <w:rPr>
          <w:color w:val="4A4A4A"/>
          <w:sz w:val="21"/>
          <w:lang w:val="en-US"/>
        </w:rPr>
        <w:t xml:space="preserve"> </w:t>
      </w:r>
      <w:r w:rsidR="00AB14C2">
        <w:rPr>
          <w:color w:val="4A4A4A"/>
          <w:sz w:val="21"/>
          <w:lang w:val="en-US"/>
        </w:rPr>
        <w:t>all benefits from contributory systems (e.g., old-age pensions, unemployment benefits, etc.),</w:t>
      </w:r>
      <w:r w:rsidR="00AB14C2" w:rsidRPr="007D490B">
        <w:rPr>
          <w:color w:val="4A4A4A"/>
          <w:sz w:val="21"/>
          <w:lang w:val="en-US"/>
        </w:rPr>
        <w:t xml:space="preserve"> </w:t>
      </w:r>
      <w:r w:rsidRPr="007D490B">
        <w:rPr>
          <w:color w:val="4A4A4A"/>
          <w:sz w:val="21"/>
          <w:lang w:val="en-US"/>
        </w:rPr>
        <w:t xml:space="preserve">direct cash transfers and the monetary value of benefits (measured at what governments spend) received by households in the form of near-cash transfers (e.g., </w:t>
      </w:r>
      <w:r w:rsidR="00BA567F" w:rsidRPr="007D490B">
        <w:rPr>
          <w:color w:val="4A4A4A"/>
          <w:sz w:val="21"/>
          <w:lang w:val="en-US"/>
        </w:rPr>
        <w:t>food stamps</w:t>
      </w:r>
      <w:r w:rsidRPr="007D490B">
        <w:rPr>
          <w:color w:val="4A4A4A"/>
          <w:sz w:val="21"/>
          <w:lang w:val="en-US"/>
        </w:rPr>
        <w:t xml:space="preserve">, school breakfasts, school uniforms). </w:t>
      </w:r>
    </w:p>
    <w:p w14:paraId="7173FA66" w14:textId="0A9C9ACD" w:rsidR="00F772A1" w:rsidRPr="007D490B" w:rsidRDefault="008B2BDB" w:rsidP="00F772A1">
      <w:pPr>
        <w:ind w:left="540"/>
        <w:jc w:val="both"/>
        <w:rPr>
          <w:color w:val="4A4A4A"/>
          <w:sz w:val="21"/>
          <w:lang w:val="en-US"/>
        </w:rPr>
      </w:pPr>
      <w:r w:rsidRPr="007D490B">
        <w:rPr>
          <w:color w:val="4A4A4A"/>
          <w:sz w:val="21"/>
          <w:u w:val="single"/>
          <w:lang w:val="en-US"/>
        </w:rPr>
        <w:t>Post</w:t>
      </w:r>
      <w:r w:rsidR="008131FB" w:rsidRPr="007D490B">
        <w:rPr>
          <w:color w:val="4A4A4A"/>
          <w:sz w:val="21"/>
          <w:u w:val="single"/>
          <w:lang w:val="en-US"/>
        </w:rPr>
        <w:t>-</w:t>
      </w:r>
      <w:r w:rsidRPr="007D490B">
        <w:rPr>
          <w:color w:val="4A4A4A"/>
          <w:sz w:val="21"/>
          <w:u w:val="single"/>
          <w:lang w:val="en-US"/>
        </w:rPr>
        <w:t>fiscal Income B - Consumable Income</w:t>
      </w:r>
      <w:r w:rsidRPr="007D490B">
        <w:rPr>
          <w:color w:val="4A4A4A"/>
          <w:sz w:val="21"/>
          <w:lang w:val="en-US"/>
        </w:rPr>
        <w:t>:</w:t>
      </w:r>
      <w:r w:rsidRPr="007D490B" w:rsidDel="00AE0CFE">
        <w:rPr>
          <w:color w:val="4A4A4A"/>
          <w:sz w:val="21"/>
          <w:lang w:val="en-US"/>
        </w:rPr>
        <w:t xml:space="preserve"> </w:t>
      </w:r>
      <w:r w:rsidR="00F772A1">
        <w:rPr>
          <w:color w:val="4A4A4A"/>
          <w:sz w:val="21"/>
          <w:lang w:val="en-US"/>
        </w:rPr>
        <w:t>disposable</w:t>
      </w:r>
      <w:r w:rsidR="00505018" w:rsidRPr="007D490B">
        <w:rPr>
          <w:color w:val="4A4A4A"/>
          <w:sz w:val="21"/>
          <w:lang w:val="en-US"/>
        </w:rPr>
        <w:t xml:space="preserve"> income</w:t>
      </w:r>
      <w:r w:rsidR="00F772A1" w:rsidRPr="007D490B">
        <w:rPr>
          <w:color w:val="4A4A4A"/>
          <w:sz w:val="21"/>
          <w:lang w:val="en-US"/>
        </w:rPr>
        <w:t xml:space="preserve"> </w:t>
      </w:r>
      <w:r w:rsidR="00F772A1">
        <w:rPr>
          <w:color w:val="4A4A4A"/>
          <w:sz w:val="21"/>
          <w:lang w:val="en-US"/>
        </w:rPr>
        <w:t xml:space="preserve">as defined immediately above </w:t>
      </w:r>
      <w:r w:rsidR="00F772A1" w:rsidRPr="007D490B">
        <w:rPr>
          <w:color w:val="4A4A4A"/>
          <w:sz w:val="21"/>
          <w:lang w:val="en-US"/>
        </w:rPr>
        <w:t xml:space="preserve">less indirect taxes plus indirect price subsidies. </w:t>
      </w:r>
    </w:p>
    <w:p w14:paraId="70100B14" w14:textId="6640E3D4" w:rsidR="008B2BDB" w:rsidRPr="00871B5C" w:rsidRDefault="008B2BDB" w:rsidP="007D490B">
      <w:pPr>
        <w:ind w:left="540"/>
        <w:jc w:val="both"/>
        <w:rPr>
          <w:rFonts w:cstheme="minorHAnsi"/>
          <w:b/>
          <w:bCs/>
          <w:iCs/>
          <w:color w:val="4A4A4A"/>
          <w:lang w:val="en-US"/>
        </w:rPr>
      </w:pPr>
    </w:p>
    <w:p w14:paraId="3285F195" w14:textId="1CE4DA17" w:rsidR="008B2BDB" w:rsidRDefault="008B2BDB" w:rsidP="007D490B">
      <w:pPr>
        <w:rPr>
          <w:rFonts w:cstheme="minorHAnsi"/>
          <w:b/>
          <w:bCs/>
          <w:iCs/>
          <w:color w:val="4A4A4A"/>
          <w:lang w:val="en-US"/>
        </w:rPr>
      </w:pPr>
      <w:r w:rsidRPr="00871B5C">
        <w:rPr>
          <w:rFonts w:cstheme="minorHAnsi"/>
          <w:b/>
          <w:bCs/>
          <w:iCs/>
          <w:color w:val="4A4A4A"/>
          <w:lang w:val="en-US"/>
        </w:rPr>
        <w:t xml:space="preserve">CEQ Income Concepts </w:t>
      </w:r>
    </w:p>
    <w:p w14:paraId="30D8B1A1" w14:textId="2B12D170" w:rsidR="000E058B" w:rsidRPr="00871B5C" w:rsidRDefault="0002003A" w:rsidP="00CC7BE1">
      <w:pPr>
        <w:jc w:val="center"/>
        <w:rPr>
          <w:rFonts w:cstheme="minorHAnsi"/>
          <w:b/>
          <w:bCs/>
          <w:iCs/>
          <w:color w:val="4A4A4A"/>
          <w:lang w:val="en-US"/>
        </w:rPr>
      </w:pPr>
      <w:r>
        <w:rPr>
          <w:rFonts w:cstheme="minorHAnsi"/>
          <w:b/>
          <w:bCs/>
          <w:iCs/>
          <w:noProof/>
          <w:color w:val="4A4A4A"/>
          <w:lang w:val="en-US"/>
        </w:rPr>
        <w:drawing>
          <wp:inline distT="0" distB="0" distL="0" distR="0" wp14:anchorId="0BF983EB" wp14:editId="1B267AAF">
            <wp:extent cx="4898571" cy="3317091"/>
            <wp:effectExtent l="0" t="0" r="3810" b="0"/>
            <wp:docPr id="1429224104"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24104" name="Picture 5" descr="A diagram of a compan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02664" cy="3319862"/>
                    </a:xfrm>
                    <a:prstGeom prst="rect">
                      <a:avLst/>
                    </a:prstGeom>
                  </pic:spPr>
                </pic:pic>
              </a:graphicData>
            </a:graphic>
          </wp:inline>
        </w:drawing>
      </w:r>
    </w:p>
    <w:p w14:paraId="0A23ABC6" w14:textId="1CCB14A9" w:rsidR="008B2BDB" w:rsidRPr="00871B5C" w:rsidRDefault="008B2BDB" w:rsidP="008B2BDB">
      <w:pPr>
        <w:jc w:val="both"/>
        <w:rPr>
          <w:rFonts w:cstheme="minorHAnsi"/>
          <w:color w:val="000000" w:themeColor="text1"/>
          <w:lang w:val="en-US"/>
        </w:rPr>
      </w:pPr>
    </w:p>
    <w:p w14:paraId="383194BA" w14:textId="0C457EBF" w:rsidR="0002003A" w:rsidRDefault="008B2BDB" w:rsidP="008B2BDB">
      <w:pPr>
        <w:jc w:val="both"/>
        <w:rPr>
          <w:rFonts w:cstheme="minorHAnsi"/>
          <w:iCs/>
          <w:color w:val="4A4A4A"/>
          <w:lang w:val="en-US"/>
        </w:rPr>
      </w:pPr>
      <w:r w:rsidRPr="00871B5C">
        <w:rPr>
          <w:rFonts w:cstheme="minorHAnsi"/>
          <w:iCs/>
          <w:color w:val="4A4A4A"/>
          <w:lang w:val="en-US"/>
        </w:rPr>
        <w:t xml:space="preserve">Source: </w:t>
      </w:r>
      <w:r w:rsidRPr="009C7D49">
        <w:rPr>
          <w:rFonts w:cstheme="minorHAnsi"/>
          <w:iCs/>
          <w:color w:val="4A4A4A"/>
          <w:lang w:val="en-US"/>
        </w:rPr>
        <w:t>Lustig (20</w:t>
      </w:r>
      <w:r w:rsidR="005E16FE">
        <w:rPr>
          <w:rFonts w:cstheme="minorHAnsi"/>
          <w:iCs/>
          <w:color w:val="4A4A4A"/>
          <w:lang w:val="en-US"/>
        </w:rPr>
        <w:t>22</w:t>
      </w:r>
      <w:r w:rsidRPr="009C7D49">
        <w:rPr>
          <w:rFonts w:cstheme="minorHAnsi"/>
          <w:iCs/>
          <w:color w:val="4A4A4A"/>
          <w:lang w:val="en-US"/>
        </w:rPr>
        <w:t>)</w:t>
      </w:r>
      <w:r w:rsidR="000E058B">
        <w:rPr>
          <w:rFonts w:cstheme="minorHAnsi"/>
          <w:iCs/>
          <w:color w:val="4A4A4A"/>
          <w:lang w:val="en-US"/>
        </w:rPr>
        <w:t xml:space="preserve">, Figure </w:t>
      </w:r>
      <w:r w:rsidR="0002003A">
        <w:rPr>
          <w:rFonts w:cstheme="minorHAnsi"/>
          <w:iCs/>
          <w:color w:val="4A4A4A"/>
          <w:lang w:val="en-US"/>
        </w:rPr>
        <w:t>6-1</w:t>
      </w:r>
      <w:r w:rsidR="000E058B">
        <w:rPr>
          <w:rFonts w:cstheme="minorHAnsi"/>
          <w:iCs/>
          <w:color w:val="4A4A4A"/>
          <w:lang w:val="en-US"/>
        </w:rPr>
        <w:t xml:space="preserve">, p. </w:t>
      </w:r>
      <w:r w:rsidR="0002003A">
        <w:rPr>
          <w:rFonts w:cstheme="minorHAnsi"/>
          <w:iCs/>
          <w:color w:val="4A4A4A"/>
          <w:lang w:val="en-US"/>
        </w:rPr>
        <w:t>242</w:t>
      </w:r>
      <w:r w:rsidRPr="009C7D49">
        <w:rPr>
          <w:rFonts w:cstheme="minorHAnsi"/>
          <w:iCs/>
          <w:color w:val="4A4A4A"/>
          <w:lang w:val="en-US"/>
        </w:rPr>
        <w:t>.</w:t>
      </w:r>
      <w:r w:rsidR="0002003A">
        <w:rPr>
          <w:rFonts w:cstheme="minorHAnsi"/>
          <w:iCs/>
          <w:color w:val="4A4A4A"/>
          <w:lang w:val="en-US"/>
        </w:rPr>
        <w:t xml:space="preserve"> </w:t>
      </w:r>
    </w:p>
    <w:p w14:paraId="6E54D3D6" w14:textId="44ACFD81" w:rsidR="00EC2915" w:rsidRPr="00871B5C" w:rsidRDefault="0002003A" w:rsidP="008B2BDB">
      <w:pPr>
        <w:jc w:val="both"/>
        <w:rPr>
          <w:rFonts w:cstheme="minorHAnsi"/>
          <w:iCs/>
          <w:color w:val="4A4A4A"/>
          <w:lang w:val="en-US"/>
        </w:rPr>
      </w:pPr>
      <w:r>
        <w:rPr>
          <w:rFonts w:cstheme="minorHAnsi"/>
          <w:iCs/>
          <w:color w:val="4A4A4A"/>
          <w:lang w:val="en-US"/>
        </w:rPr>
        <w:t>Note</w:t>
      </w:r>
      <w:r w:rsidR="00FF4AC3">
        <w:rPr>
          <w:rFonts w:cstheme="minorHAnsi"/>
          <w:iCs/>
          <w:color w:val="4A4A4A"/>
          <w:lang w:val="en-US"/>
        </w:rPr>
        <w:t>:</w:t>
      </w:r>
      <w:r>
        <w:rPr>
          <w:rFonts w:cstheme="minorHAnsi"/>
          <w:iCs/>
          <w:color w:val="4A4A4A"/>
          <w:lang w:val="en-US"/>
        </w:rPr>
        <w:t xml:space="preserve"> The concept of "final income" has been deleted </w:t>
      </w:r>
      <w:r w:rsidR="00C1269E">
        <w:rPr>
          <w:rFonts w:cstheme="minorHAnsi"/>
          <w:iCs/>
          <w:color w:val="4A4A4A"/>
          <w:lang w:val="en-US"/>
        </w:rPr>
        <w:t>from</w:t>
      </w:r>
      <w:r w:rsidR="001D625D">
        <w:rPr>
          <w:rFonts w:cstheme="minorHAnsi"/>
          <w:iCs/>
          <w:color w:val="4A4A4A"/>
          <w:lang w:val="en-US"/>
        </w:rPr>
        <w:t xml:space="preserve"> the original version of the figure </w:t>
      </w:r>
      <w:r>
        <w:rPr>
          <w:rFonts w:cstheme="minorHAnsi"/>
          <w:iCs/>
          <w:color w:val="4A4A4A"/>
          <w:lang w:val="en-US"/>
        </w:rPr>
        <w:t xml:space="preserve">because it is not referred to in this document. Table 6-5 describes how to compute </w:t>
      </w:r>
      <w:proofErr w:type="spellStart"/>
      <w:r>
        <w:rPr>
          <w:rFonts w:cstheme="minorHAnsi"/>
          <w:iCs/>
          <w:color w:val="4A4A4A"/>
          <w:lang w:val="en-US"/>
        </w:rPr>
        <w:t>prefiscal</w:t>
      </w:r>
      <w:proofErr w:type="spellEnd"/>
      <w:r>
        <w:rPr>
          <w:rFonts w:cstheme="minorHAnsi"/>
          <w:iCs/>
          <w:color w:val="4A4A4A"/>
          <w:lang w:val="en-US"/>
        </w:rPr>
        <w:t xml:space="preserve"> incomes in both scenarios in detail (Lustig, 2022, pp. 45-46).</w:t>
      </w:r>
    </w:p>
    <w:p w14:paraId="7932F8BD" w14:textId="1FE92C3A" w:rsidR="008B0AC7" w:rsidRPr="00871B5C" w:rsidRDefault="00BE751F" w:rsidP="00F719A8">
      <w:pPr>
        <w:pStyle w:val="MHeader2"/>
        <w:rPr>
          <w:rFonts w:cstheme="minorHAnsi"/>
        </w:rPr>
      </w:pPr>
      <w:r w:rsidRPr="00871B5C">
        <w:rPr>
          <w:rFonts w:cstheme="minorHAnsi"/>
        </w:rPr>
        <w:t xml:space="preserve">2.b. Unit of measure </w:t>
      </w:r>
      <w:r>
        <w:rPr>
          <w:color w:val="B4B4B4"/>
          <w:sz w:val="20"/>
        </w:rPr>
        <w:t>(UNIT_MEASURE)</w:t>
      </w:r>
    </w:p>
    <w:p w14:paraId="548E9AAA" w14:textId="611C3017" w:rsidR="00EC2915" w:rsidRPr="007D490B" w:rsidRDefault="00C24E74" w:rsidP="008C64CD">
      <w:pPr>
        <w:rPr>
          <w:sz w:val="21"/>
        </w:rPr>
      </w:pPr>
      <w:r w:rsidRPr="007D490B">
        <w:rPr>
          <w:color w:val="4A4A4A"/>
          <w:sz w:val="21"/>
          <w:u w:val="single"/>
          <w:lang w:val="en-US"/>
        </w:rPr>
        <w:t>-</w:t>
      </w:r>
      <w:r w:rsidR="009270A6" w:rsidRPr="007D490B">
        <w:rPr>
          <w:color w:val="4A4A4A"/>
          <w:sz w:val="21"/>
          <w:u w:val="single"/>
          <w:lang w:val="en-US"/>
        </w:rPr>
        <w:t xml:space="preserve"> Gini Index points</w:t>
      </w:r>
      <w:r w:rsidR="000A7485" w:rsidRPr="007D490B">
        <w:rPr>
          <w:color w:val="4A4A4A"/>
          <w:sz w:val="21"/>
          <w:u w:val="single"/>
          <w:lang w:val="en-US"/>
        </w:rPr>
        <w:t xml:space="preserve">: </w:t>
      </w:r>
      <w:r w:rsidR="000A7485" w:rsidRPr="007D490B">
        <w:rPr>
          <w:color w:val="4A4A4A"/>
          <w:sz w:val="21"/>
          <w:lang w:val="en-US"/>
        </w:rPr>
        <w:t xml:space="preserve">The </w:t>
      </w:r>
      <w:r w:rsidR="000A7485" w:rsidRPr="007D490B">
        <w:rPr>
          <w:color w:val="4A4A4A"/>
          <w:sz w:val="21"/>
          <w:u w:val="single"/>
          <w:lang w:val="en-US"/>
        </w:rPr>
        <w:t>Redistributive Impact of Fiscal Policy</w:t>
      </w:r>
      <w:r w:rsidR="000A7485" w:rsidRPr="007D490B">
        <w:rPr>
          <w:color w:val="4A4A4A"/>
          <w:sz w:val="21"/>
          <w:lang w:val="en-US"/>
        </w:rPr>
        <w:t xml:space="preserve"> indicator is the</w:t>
      </w:r>
      <w:r w:rsidR="008A51DC" w:rsidRPr="007D490B">
        <w:rPr>
          <w:color w:val="4A4A4A"/>
          <w:sz w:val="21"/>
          <w:lang w:val="en-US"/>
        </w:rPr>
        <w:t xml:space="preserve"> difference between</w:t>
      </w:r>
      <w:r w:rsidR="000A7485" w:rsidRPr="007D490B">
        <w:rPr>
          <w:color w:val="4A4A4A"/>
          <w:sz w:val="21"/>
          <w:lang w:val="en-US"/>
        </w:rPr>
        <w:t xml:space="preserve"> </w:t>
      </w:r>
      <w:r w:rsidR="00E55849" w:rsidRPr="007D490B">
        <w:rPr>
          <w:color w:val="4A4A4A"/>
          <w:sz w:val="21"/>
          <w:lang w:val="en-US"/>
        </w:rPr>
        <w:t xml:space="preserve">pre-fiscal </w:t>
      </w:r>
      <w:r w:rsidR="000A7485" w:rsidRPr="007D490B">
        <w:rPr>
          <w:color w:val="4A4A4A"/>
          <w:sz w:val="21"/>
          <w:lang w:val="en-US"/>
        </w:rPr>
        <w:t xml:space="preserve">Gini Index </w:t>
      </w:r>
      <w:r w:rsidR="008A51DC" w:rsidRPr="007D490B">
        <w:rPr>
          <w:color w:val="4A4A4A"/>
          <w:sz w:val="21"/>
          <w:lang w:val="en-US"/>
        </w:rPr>
        <w:t>and</w:t>
      </w:r>
      <w:r w:rsidR="000A7485" w:rsidRPr="007D490B">
        <w:rPr>
          <w:color w:val="4A4A4A"/>
          <w:sz w:val="21"/>
          <w:lang w:val="en-US"/>
        </w:rPr>
        <w:t xml:space="preserve"> the </w:t>
      </w:r>
      <w:r w:rsidR="00E55849" w:rsidRPr="007D490B">
        <w:rPr>
          <w:color w:val="4A4A4A"/>
          <w:sz w:val="21"/>
          <w:lang w:val="en-US"/>
        </w:rPr>
        <w:t xml:space="preserve">post-fiscal </w:t>
      </w:r>
      <w:r w:rsidR="000A7485" w:rsidRPr="007D490B">
        <w:rPr>
          <w:color w:val="4A4A4A"/>
          <w:sz w:val="21"/>
          <w:lang w:val="en-US"/>
        </w:rPr>
        <w:t>Gini Index</w:t>
      </w:r>
      <w:r w:rsidR="00B93101" w:rsidRPr="007D490B">
        <w:rPr>
          <w:color w:val="4A4A4A"/>
          <w:sz w:val="21"/>
          <w:lang w:val="en-US"/>
        </w:rPr>
        <w:t>.</w:t>
      </w:r>
      <w:r w:rsidR="00E55849" w:rsidRPr="007D490B">
        <w:rPr>
          <w:color w:val="4A4A4A"/>
          <w:sz w:val="21"/>
          <w:lang w:val="en-US"/>
        </w:rPr>
        <w:t xml:space="preserve"> </w:t>
      </w:r>
      <w:r w:rsidR="00B93101" w:rsidRPr="007D490B">
        <w:rPr>
          <w:color w:val="4A4A4A"/>
          <w:sz w:val="21"/>
          <w:lang w:val="en-US"/>
        </w:rPr>
        <w:t>T</w:t>
      </w:r>
      <w:r w:rsidR="00E55849" w:rsidRPr="007D490B">
        <w:rPr>
          <w:color w:val="4A4A4A"/>
          <w:sz w:val="21"/>
          <w:lang w:val="en-US"/>
        </w:rPr>
        <w:t>hus</w:t>
      </w:r>
      <w:r w:rsidR="00B93101" w:rsidRPr="007D490B">
        <w:rPr>
          <w:color w:val="4A4A4A"/>
          <w:sz w:val="21"/>
          <w:lang w:val="en-US"/>
        </w:rPr>
        <w:t xml:space="preserve">, if </w:t>
      </w:r>
      <w:r w:rsidR="0020735F" w:rsidRPr="007D490B">
        <w:rPr>
          <w:color w:val="4A4A4A"/>
          <w:sz w:val="21"/>
          <w:lang w:val="en-US"/>
        </w:rPr>
        <w:t>a simple difference is applied the</w:t>
      </w:r>
      <w:r w:rsidR="00E55849" w:rsidRPr="007D490B">
        <w:rPr>
          <w:color w:val="4A4A4A"/>
          <w:sz w:val="21"/>
          <w:lang w:val="en-US"/>
        </w:rPr>
        <w:t xml:space="preserve"> measure</w:t>
      </w:r>
      <w:r w:rsidR="0020735F" w:rsidRPr="007D490B">
        <w:rPr>
          <w:color w:val="4A4A4A"/>
          <w:sz w:val="21"/>
          <w:lang w:val="en-US"/>
        </w:rPr>
        <w:t xml:space="preserve"> is the</w:t>
      </w:r>
      <w:r w:rsidR="00E55849" w:rsidRPr="007D490B">
        <w:rPr>
          <w:color w:val="4A4A4A"/>
          <w:sz w:val="21"/>
          <w:lang w:val="en-US"/>
        </w:rPr>
        <w:t xml:space="preserve"> change in Gini Index points</w:t>
      </w:r>
      <w:r w:rsidR="000A7485" w:rsidRPr="007D490B">
        <w:rPr>
          <w:color w:val="4A4A4A"/>
          <w:sz w:val="21"/>
          <w:lang w:val="en-US"/>
        </w:rPr>
        <w:t xml:space="preserve">. </w:t>
      </w:r>
      <w:r w:rsidR="00635397">
        <w:rPr>
          <w:color w:val="4A4A4A"/>
          <w:sz w:val="21"/>
          <w:lang w:val="en-US"/>
        </w:rPr>
        <w:t>Two indicators are reported</w:t>
      </w:r>
      <w:r w:rsidR="00E95E80">
        <w:rPr>
          <w:color w:val="4A4A4A"/>
          <w:sz w:val="21"/>
          <w:lang w:val="en-US"/>
        </w:rPr>
        <w:t>: (</w:t>
      </w:r>
      <w:proofErr w:type="spellStart"/>
      <w:r w:rsidR="00E95E80">
        <w:rPr>
          <w:color w:val="4A4A4A"/>
          <w:sz w:val="21"/>
          <w:lang w:val="en-US"/>
        </w:rPr>
        <w:t>i</w:t>
      </w:r>
      <w:proofErr w:type="spellEnd"/>
      <w:r w:rsidR="00E95E80">
        <w:rPr>
          <w:color w:val="4A4A4A"/>
          <w:sz w:val="21"/>
          <w:lang w:val="en-US"/>
        </w:rPr>
        <w:t xml:space="preserve">) </w:t>
      </w:r>
      <w:r w:rsidR="003710EF">
        <w:rPr>
          <w:color w:val="4A4A4A"/>
          <w:sz w:val="21"/>
          <w:lang w:val="en-US"/>
        </w:rPr>
        <w:t xml:space="preserve">the </w:t>
      </w:r>
      <w:r w:rsidR="00E95E80">
        <w:rPr>
          <w:color w:val="4A4A4A"/>
          <w:sz w:val="21"/>
          <w:lang w:val="en-US"/>
        </w:rPr>
        <w:t xml:space="preserve">change </w:t>
      </w:r>
      <w:r w:rsidR="003710EF">
        <w:rPr>
          <w:color w:val="4A4A4A"/>
          <w:sz w:val="21"/>
          <w:lang w:val="en-US"/>
        </w:rPr>
        <w:t>in</w:t>
      </w:r>
      <w:r w:rsidR="00E95E80">
        <w:rPr>
          <w:color w:val="4A4A4A"/>
          <w:sz w:val="21"/>
          <w:lang w:val="en-US"/>
        </w:rPr>
        <w:t xml:space="preserve"> </w:t>
      </w:r>
      <w:r w:rsidR="007B63C6">
        <w:rPr>
          <w:color w:val="4A4A4A"/>
          <w:sz w:val="21"/>
          <w:lang w:val="en-US"/>
        </w:rPr>
        <w:t xml:space="preserve">the </w:t>
      </w:r>
      <w:r w:rsidR="00E95E80">
        <w:rPr>
          <w:color w:val="4A4A4A"/>
          <w:sz w:val="21"/>
          <w:lang w:val="en-US"/>
        </w:rPr>
        <w:t>Gini</w:t>
      </w:r>
      <w:r w:rsidR="007B63C6">
        <w:rPr>
          <w:color w:val="4A4A4A"/>
          <w:sz w:val="21"/>
          <w:lang w:val="en-US"/>
        </w:rPr>
        <w:t xml:space="preserve"> index</w:t>
      </w:r>
      <w:r w:rsidR="00E95E80">
        <w:rPr>
          <w:color w:val="4A4A4A"/>
          <w:sz w:val="21"/>
          <w:lang w:val="en-US"/>
        </w:rPr>
        <w:t xml:space="preserve">, measured as the difference between </w:t>
      </w:r>
      <w:r w:rsidR="00246FCB">
        <w:rPr>
          <w:color w:val="4A4A4A"/>
          <w:sz w:val="21"/>
          <w:lang w:val="en-US"/>
        </w:rPr>
        <w:t xml:space="preserve">the Gini of </w:t>
      </w:r>
      <w:proofErr w:type="spellStart"/>
      <w:r w:rsidR="0030744E">
        <w:rPr>
          <w:color w:val="4A4A4A"/>
          <w:sz w:val="21"/>
          <w:lang w:val="en-US"/>
        </w:rPr>
        <w:t>postfiscal</w:t>
      </w:r>
      <w:proofErr w:type="spellEnd"/>
      <w:r w:rsidR="0030744E">
        <w:rPr>
          <w:color w:val="4A4A4A"/>
          <w:sz w:val="21"/>
          <w:lang w:val="en-US"/>
        </w:rPr>
        <w:t xml:space="preserve"> disposable and </w:t>
      </w:r>
      <w:r w:rsidR="003710EF">
        <w:rPr>
          <w:color w:val="4A4A4A"/>
          <w:sz w:val="21"/>
          <w:lang w:val="en-US"/>
        </w:rPr>
        <w:t>that</w:t>
      </w:r>
      <w:r w:rsidR="00246FCB">
        <w:rPr>
          <w:color w:val="4A4A4A"/>
          <w:sz w:val="21"/>
          <w:lang w:val="en-US"/>
        </w:rPr>
        <w:t xml:space="preserve"> of </w:t>
      </w:r>
      <w:proofErr w:type="spellStart"/>
      <w:r w:rsidR="0030744E">
        <w:rPr>
          <w:color w:val="4A4A4A"/>
          <w:sz w:val="21"/>
          <w:lang w:val="en-US"/>
        </w:rPr>
        <w:t>prefiscal</w:t>
      </w:r>
      <w:proofErr w:type="spellEnd"/>
      <w:r w:rsidR="0030744E">
        <w:rPr>
          <w:color w:val="4A4A4A"/>
          <w:sz w:val="21"/>
          <w:lang w:val="en-US"/>
        </w:rPr>
        <w:t xml:space="preserve"> income; and (ii) </w:t>
      </w:r>
      <w:r w:rsidR="003710EF">
        <w:rPr>
          <w:color w:val="4A4A4A"/>
          <w:sz w:val="21"/>
          <w:lang w:val="en-US"/>
        </w:rPr>
        <w:t xml:space="preserve">the </w:t>
      </w:r>
      <w:r w:rsidR="0030744E">
        <w:rPr>
          <w:color w:val="4A4A4A"/>
          <w:sz w:val="21"/>
          <w:lang w:val="en-US"/>
        </w:rPr>
        <w:t xml:space="preserve">change </w:t>
      </w:r>
      <w:r w:rsidR="003710EF">
        <w:rPr>
          <w:color w:val="4A4A4A"/>
          <w:sz w:val="21"/>
          <w:lang w:val="en-US"/>
        </w:rPr>
        <w:t>in</w:t>
      </w:r>
      <w:r w:rsidR="0030744E">
        <w:rPr>
          <w:color w:val="4A4A4A"/>
          <w:sz w:val="21"/>
          <w:lang w:val="en-US"/>
        </w:rPr>
        <w:t xml:space="preserve"> </w:t>
      </w:r>
      <w:r w:rsidR="007B63C6">
        <w:rPr>
          <w:color w:val="4A4A4A"/>
          <w:sz w:val="21"/>
          <w:lang w:val="en-US"/>
        </w:rPr>
        <w:t xml:space="preserve">the </w:t>
      </w:r>
      <w:r w:rsidR="0030744E">
        <w:rPr>
          <w:color w:val="4A4A4A"/>
          <w:sz w:val="21"/>
          <w:lang w:val="en-US"/>
        </w:rPr>
        <w:t>Gini</w:t>
      </w:r>
      <w:r w:rsidR="007B63C6">
        <w:rPr>
          <w:color w:val="4A4A4A"/>
          <w:sz w:val="21"/>
          <w:lang w:val="en-US"/>
        </w:rPr>
        <w:t xml:space="preserve"> index</w:t>
      </w:r>
      <w:r w:rsidR="0030744E">
        <w:rPr>
          <w:color w:val="4A4A4A"/>
          <w:sz w:val="21"/>
          <w:lang w:val="en-US"/>
        </w:rPr>
        <w:t xml:space="preserve">, measured as </w:t>
      </w:r>
      <w:r w:rsidR="00246FCB">
        <w:rPr>
          <w:color w:val="4A4A4A"/>
          <w:sz w:val="21"/>
          <w:lang w:val="en-US"/>
        </w:rPr>
        <w:t xml:space="preserve">the </w:t>
      </w:r>
      <w:r w:rsidR="0030744E">
        <w:rPr>
          <w:color w:val="4A4A4A"/>
          <w:sz w:val="21"/>
          <w:lang w:val="en-US"/>
        </w:rPr>
        <w:t xml:space="preserve">difference between </w:t>
      </w:r>
      <w:r w:rsidR="00246FCB">
        <w:rPr>
          <w:color w:val="4A4A4A"/>
          <w:sz w:val="21"/>
          <w:lang w:val="en-US"/>
        </w:rPr>
        <w:t xml:space="preserve">the Gini of </w:t>
      </w:r>
      <w:proofErr w:type="spellStart"/>
      <w:r w:rsidR="00246FCB">
        <w:rPr>
          <w:color w:val="4A4A4A"/>
          <w:sz w:val="21"/>
          <w:lang w:val="en-US"/>
        </w:rPr>
        <w:t>postfiscal</w:t>
      </w:r>
      <w:proofErr w:type="spellEnd"/>
      <w:r w:rsidR="00246FCB">
        <w:rPr>
          <w:color w:val="4A4A4A"/>
          <w:sz w:val="21"/>
          <w:lang w:val="en-US"/>
        </w:rPr>
        <w:t xml:space="preserve"> </w:t>
      </w:r>
      <w:r w:rsidR="00E95E80">
        <w:rPr>
          <w:color w:val="4A4A4A"/>
          <w:sz w:val="21"/>
          <w:lang w:val="en-US"/>
        </w:rPr>
        <w:t xml:space="preserve">consumable and </w:t>
      </w:r>
      <w:r w:rsidR="00003A9C">
        <w:rPr>
          <w:color w:val="4A4A4A"/>
          <w:sz w:val="21"/>
          <w:lang w:val="en-US"/>
        </w:rPr>
        <w:t>that</w:t>
      </w:r>
      <w:r w:rsidR="00246FCB">
        <w:rPr>
          <w:color w:val="4A4A4A"/>
          <w:sz w:val="21"/>
          <w:lang w:val="en-US"/>
        </w:rPr>
        <w:t xml:space="preserve"> of </w:t>
      </w:r>
      <w:proofErr w:type="spellStart"/>
      <w:r w:rsidR="00E95E80">
        <w:rPr>
          <w:color w:val="4A4A4A"/>
          <w:sz w:val="21"/>
          <w:lang w:val="en-US"/>
        </w:rPr>
        <w:t>prefiscal</w:t>
      </w:r>
      <w:proofErr w:type="spellEnd"/>
      <w:r w:rsidR="00E95E80">
        <w:rPr>
          <w:color w:val="4A4A4A"/>
          <w:sz w:val="21"/>
          <w:lang w:val="en-US"/>
        </w:rPr>
        <w:t xml:space="preserve"> income</w:t>
      </w:r>
      <w:r w:rsidR="00246FCB">
        <w:rPr>
          <w:color w:val="4A4A4A"/>
          <w:sz w:val="21"/>
          <w:lang w:val="en-US"/>
        </w:rPr>
        <w:t>.</w:t>
      </w:r>
    </w:p>
    <w:p w14:paraId="651AA7AC" w14:textId="4AAABF9A" w:rsidR="00DA615C" w:rsidRPr="00871B5C" w:rsidRDefault="008B0AC7" w:rsidP="00F719A8">
      <w:pPr>
        <w:pStyle w:val="MHeader2"/>
        <w:rPr>
          <w:rFonts w:cstheme="minorHAnsi"/>
        </w:rPr>
      </w:pPr>
      <w:r w:rsidRPr="00871B5C">
        <w:rPr>
          <w:rFonts w:cstheme="minorHAnsi"/>
        </w:rPr>
        <w:lastRenderedPageBreak/>
        <w:t>2.c. Classifications</w:t>
      </w:r>
      <w:r w:rsidR="00BE751F" w:rsidRPr="00871B5C">
        <w:rPr>
          <w:rFonts w:cstheme="minorHAnsi"/>
        </w:rPr>
        <w:t xml:space="preserve"> </w:t>
      </w:r>
      <w:r w:rsidR="00BE751F">
        <w:rPr>
          <w:color w:val="B4B4B4"/>
          <w:sz w:val="20"/>
        </w:rPr>
        <w:t>(CLASS_SYSTEM)</w:t>
      </w:r>
    </w:p>
    <w:p w14:paraId="123172F4" w14:textId="116DBFDF" w:rsidR="00F719A8" w:rsidRDefault="00EC5808" w:rsidP="00576CFA">
      <w:pPr>
        <w:pStyle w:val="MText"/>
        <w:rPr>
          <w:rFonts w:cstheme="minorHAnsi"/>
        </w:rPr>
      </w:pPr>
      <w:r w:rsidRPr="007A2833">
        <w:rPr>
          <w:rFonts w:cstheme="minorHAnsi"/>
        </w:rPr>
        <w:t xml:space="preserve">Not </w:t>
      </w:r>
      <w:r w:rsidR="00C27C27">
        <w:rPr>
          <w:rFonts w:cstheme="minorHAnsi"/>
        </w:rPr>
        <w:t>a</w:t>
      </w:r>
      <w:r w:rsidRPr="007A2833">
        <w:rPr>
          <w:rFonts w:cstheme="minorHAnsi"/>
        </w:rPr>
        <w:t>pplicable</w:t>
      </w:r>
    </w:p>
    <w:p w14:paraId="3031A054" w14:textId="77777777" w:rsidR="009F636B" w:rsidRPr="00871B5C" w:rsidRDefault="009F636B" w:rsidP="00576CFA">
      <w:pPr>
        <w:pStyle w:val="MText"/>
        <w:rPr>
          <w:rFonts w:cstheme="minorHAnsi"/>
        </w:rPr>
      </w:pPr>
    </w:p>
    <w:p w14:paraId="1D3AEECA" w14:textId="69EEFD97" w:rsidR="00B31E2C" w:rsidRPr="00871B5C" w:rsidRDefault="00B31E2C" w:rsidP="00F719A8">
      <w:pPr>
        <w:pStyle w:val="MHeader"/>
        <w:rPr>
          <w:rFonts w:cstheme="minorHAnsi"/>
        </w:rPr>
      </w:pPr>
      <w:r w:rsidRPr="00871B5C">
        <w:rPr>
          <w:rFonts w:cstheme="minorHAnsi"/>
        </w:rPr>
        <w:t>3. Data source type and data collection method</w:t>
      </w:r>
      <w:r w:rsidR="00BE751F" w:rsidRPr="00871B5C">
        <w:rPr>
          <w:rFonts w:cstheme="minorHAnsi"/>
        </w:rPr>
        <w:t xml:space="preserve"> </w:t>
      </w:r>
      <w:r w:rsidR="00BE751F">
        <w:rPr>
          <w:color w:val="B4B4B4"/>
          <w:sz w:val="20"/>
        </w:rPr>
        <w:t>(SRC_TYPE_COLL_METHOD)</w:t>
      </w:r>
    </w:p>
    <w:p w14:paraId="340B050E" w14:textId="106E2365" w:rsidR="008B0AC7" w:rsidRPr="00871B5C" w:rsidRDefault="008B0AC7" w:rsidP="00F719A8">
      <w:pPr>
        <w:pStyle w:val="MHeader2"/>
        <w:rPr>
          <w:rFonts w:cstheme="minorHAnsi"/>
        </w:rPr>
      </w:pPr>
      <w:r w:rsidRPr="00871B5C">
        <w:rPr>
          <w:rFonts w:cstheme="minorHAnsi"/>
        </w:rPr>
        <w:t>3.a. Data sources</w:t>
      </w:r>
      <w:r w:rsidR="00BE751F" w:rsidRPr="00871B5C">
        <w:rPr>
          <w:rFonts w:cstheme="minorHAnsi"/>
        </w:rPr>
        <w:t xml:space="preserve"> </w:t>
      </w:r>
      <w:r w:rsidR="00BE751F">
        <w:rPr>
          <w:color w:val="B4B4B4"/>
          <w:sz w:val="20"/>
        </w:rPr>
        <w:t>(SOURCE_TYPE)</w:t>
      </w:r>
    </w:p>
    <w:p w14:paraId="3018A8D8" w14:textId="0DB6B5B6" w:rsidR="00EC2915" w:rsidRDefault="00D6011B" w:rsidP="00871B5C">
      <w:pPr>
        <w:pStyle w:val="MText"/>
        <w:rPr>
          <w:rFonts w:cstheme="minorHAnsi"/>
          <w:lang w:val="en-US"/>
        </w:rPr>
      </w:pPr>
      <w:r w:rsidRPr="00871B5C">
        <w:rPr>
          <w:rFonts w:cstheme="minorHAnsi"/>
          <w:lang w:val="en-US"/>
        </w:rPr>
        <w:t xml:space="preserve">The Redistributive Impact of Fiscal Policy indicator </w:t>
      </w:r>
      <w:r w:rsidR="00BC5FF3">
        <w:rPr>
          <w:rFonts w:cstheme="minorHAnsi"/>
          <w:lang w:val="en-US"/>
        </w:rPr>
        <w:t xml:space="preserve">is </w:t>
      </w:r>
      <w:r w:rsidR="00BC5FF3" w:rsidRPr="00BC10D9">
        <w:rPr>
          <w:rFonts w:cstheme="minorHAnsi"/>
          <w:i/>
          <w:iCs/>
          <w:lang w:val="en-US"/>
        </w:rPr>
        <w:t>constructed</w:t>
      </w:r>
      <w:r w:rsidR="00BC5FF3">
        <w:rPr>
          <w:rFonts w:cstheme="minorHAnsi"/>
          <w:lang w:val="en-US"/>
        </w:rPr>
        <w:t xml:space="preserve"> from a range of data sources using </w:t>
      </w:r>
      <w:r w:rsidR="002937EA">
        <w:rPr>
          <w:rFonts w:cstheme="minorHAnsi"/>
          <w:lang w:val="en-US"/>
        </w:rPr>
        <w:t>a standardized methodology as outlined in Lustig, 20</w:t>
      </w:r>
      <w:r w:rsidR="000E058B">
        <w:rPr>
          <w:rFonts w:cstheme="minorHAnsi"/>
          <w:lang w:val="en-US"/>
        </w:rPr>
        <w:t>22</w:t>
      </w:r>
      <w:r w:rsidR="002937EA">
        <w:rPr>
          <w:rFonts w:cstheme="minorHAnsi"/>
          <w:lang w:val="en-US"/>
        </w:rPr>
        <w:t xml:space="preserve">. </w:t>
      </w:r>
      <w:r w:rsidR="001724D0">
        <w:rPr>
          <w:rFonts w:cstheme="minorHAnsi"/>
          <w:lang w:val="en-US"/>
        </w:rPr>
        <w:t xml:space="preserve">Its </w:t>
      </w:r>
      <w:r w:rsidR="002937EA">
        <w:rPr>
          <w:rFonts w:cstheme="minorHAnsi"/>
          <w:lang w:val="en-US"/>
        </w:rPr>
        <w:t>construct</w:t>
      </w:r>
      <w:r w:rsidR="001724D0">
        <w:rPr>
          <w:rFonts w:cstheme="minorHAnsi"/>
          <w:lang w:val="en-US"/>
        </w:rPr>
        <w:t>ion</w:t>
      </w:r>
      <w:r w:rsidR="002937EA">
        <w:rPr>
          <w:rFonts w:cstheme="minorHAnsi"/>
          <w:lang w:val="en-US"/>
        </w:rPr>
        <w:t xml:space="preserve"> </w:t>
      </w:r>
      <w:r w:rsidRPr="00871B5C">
        <w:rPr>
          <w:rFonts w:cstheme="minorHAnsi"/>
          <w:lang w:val="en-US"/>
        </w:rPr>
        <w:t>requires a nationally representative micro-data set (a Household Budget Survey, for example, or an Income and Expenditure Survey) and</w:t>
      </w:r>
      <w:r w:rsidR="00CB7676">
        <w:rPr>
          <w:rFonts w:cstheme="minorHAnsi"/>
          <w:lang w:val="en-US"/>
        </w:rPr>
        <w:t xml:space="preserve"> </w:t>
      </w:r>
      <w:r w:rsidRPr="00871B5C">
        <w:rPr>
          <w:rFonts w:cstheme="minorHAnsi"/>
          <w:lang w:val="en-US"/>
        </w:rPr>
        <w:t xml:space="preserve">fiscal or budgetary or administrative data on revenue collections, social expenditures, and expenditures on consumption subsidies. </w:t>
      </w:r>
      <w:r w:rsidR="00F137E5">
        <w:rPr>
          <w:rFonts w:cstheme="minorHAnsi"/>
          <w:lang w:val="en-US"/>
        </w:rPr>
        <w:t xml:space="preserve">Country-specific data sources are provided in the corresponding footnotes. For OECD countries, the indicators </w:t>
      </w:r>
      <w:r w:rsidR="00A707DA">
        <w:rPr>
          <w:rFonts w:cstheme="minorHAnsi"/>
          <w:lang w:val="en-US"/>
        </w:rPr>
        <w:t xml:space="preserve">follow the methodology in </w:t>
      </w:r>
      <w:r w:rsidR="00A707DA" w:rsidRPr="00F137E5">
        <w:rPr>
          <w:rFonts w:cstheme="minorHAnsi"/>
          <w:i/>
          <w:iCs/>
          <w:lang w:val="en-US"/>
        </w:rPr>
        <w:t xml:space="preserve">OECD </w:t>
      </w:r>
      <w:r w:rsidR="00F137E5" w:rsidRPr="00F137E5">
        <w:rPr>
          <w:rFonts w:cstheme="minorHAnsi"/>
          <w:i/>
          <w:iCs/>
          <w:lang w:val="en-US"/>
        </w:rPr>
        <w:t>(</w:t>
      </w:r>
      <w:r w:rsidR="00B35B3B" w:rsidRPr="00F137E5">
        <w:rPr>
          <w:rFonts w:cstheme="minorHAnsi"/>
          <w:i/>
          <w:iCs/>
          <w:lang w:val="en-US"/>
        </w:rPr>
        <w:t>2013</w:t>
      </w:r>
      <w:r w:rsidR="00F137E5" w:rsidRPr="00F137E5">
        <w:rPr>
          <w:rFonts w:cstheme="minorHAnsi"/>
          <w:i/>
          <w:iCs/>
          <w:lang w:val="en-US"/>
        </w:rPr>
        <w:t>),</w:t>
      </w:r>
      <w:r w:rsidR="00B35B3B" w:rsidRPr="00F137E5">
        <w:rPr>
          <w:rFonts w:cstheme="minorHAnsi"/>
          <w:i/>
          <w:iCs/>
          <w:lang w:val="en-US"/>
        </w:rPr>
        <w:t xml:space="preserve"> Framework for Statistics on the Distribution of Household Income, Consumption and Wealth.</w:t>
      </w:r>
    </w:p>
    <w:p w14:paraId="70D01CC9" w14:textId="77777777" w:rsidR="00871B5C" w:rsidRPr="00871B5C" w:rsidRDefault="00871B5C" w:rsidP="00871B5C">
      <w:pPr>
        <w:pStyle w:val="MText"/>
        <w:rPr>
          <w:rFonts w:cstheme="minorHAnsi"/>
          <w:lang w:val="en-US"/>
        </w:rPr>
      </w:pPr>
    </w:p>
    <w:p w14:paraId="79368080" w14:textId="5152A56D" w:rsidR="008B0AC7" w:rsidRPr="00871B5C" w:rsidRDefault="00576CFA" w:rsidP="00F719A8">
      <w:pPr>
        <w:pStyle w:val="MHeader2"/>
        <w:rPr>
          <w:rFonts w:cstheme="minorHAnsi"/>
        </w:rPr>
      </w:pPr>
      <w:r w:rsidRPr="00871B5C">
        <w:rPr>
          <w:rFonts w:cstheme="minorHAnsi"/>
        </w:rPr>
        <w:t>3.b</w:t>
      </w:r>
      <w:r w:rsidR="008B0AC7" w:rsidRPr="00871B5C">
        <w:rPr>
          <w:rFonts w:cstheme="minorHAnsi"/>
        </w:rPr>
        <w:t>. Data collection method</w:t>
      </w:r>
      <w:r w:rsidR="00BE751F" w:rsidRPr="00871B5C">
        <w:rPr>
          <w:rFonts w:cstheme="minorHAnsi"/>
        </w:rPr>
        <w:t xml:space="preserve"> </w:t>
      </w:r>
      <w:r w:rsidR="00BE751F">
        <w:rPr>
          <w:color w:val="B4B4B4"/>
          <w:sz w:val="20"/>
        </w:rPr>
        <w:t>(COLL_METHOD)</w:t>
      </w:r>
    </w:p>
    <w:p w14:paraId="28536E3F" w14:textId="7668F515" w:rsidR="00D6011B" w:rsidRPr="00871B5C" w:rsidRDefault="00D6011B" w:rsidP="00871B5C">
      <w:pPr>
        <w:pStyle w:val="MText"/>
        <w:rPr>
          <w:rFonts w:cstheme="minorHAnsi"/>
          <w:lang w:val="en-US"/>
        </w:rPr>
      </w:pPr>
      <w:r w:rsidRPr="00871B5C">
        <w:rPr>
          <w:rFonts w:cstheme="minorHAnsi"/>
          <w:lang w:val="en-US"/>
        </w:rPr>
        <w:t>Nationally representative micro-data sets are often collected and hosted by the national statistics agency. However, access to such data sets is frequently given to a different part of the administration (the Ministry of Finance, for example, or the Ministry of Development and Planning). Fiscal or budgetary or administrative data is occasionally available in unabridged summaries with enough detail at the program or policy level for the estimation of the indicator.  More often, however, budgetary and administrative data is kept by the agency executing the program (so, for example, the Ministry of Education will keep data on its own fiscal-year expenditures).</w:t>
      </w:r>
      <w:r w:rsidR="008F4CAD">
        <w:rPr>
          <w:rFonts w:cstheme="minorHAnsi"/>
          <w:lang w:val="en-US"/>
        </w:rPr>
        <w:t xml:space="preserve">  </w:t>
      </w:r>
      <w:r w:rsidR="00CB7676">
        <w:rPr>
          <w:rFonts w:cstheme="minorHAnsi"/>
          <w:lang w:val="en-US"/>
        </w:rPr>
        <w:t>T</w:t>
      </w:r>
      <w:r w:rsidR="00BC10D9">
        <w:rPr>
          <w:rFonts w:cstheme="minorHAnsi"/>
          <w:lang w:val="en-US"/>
        </w:rPr>
        <w:t xml:space="preserve">hese </w:t>
      </w:r>
      <w:r w:rsidR="00F152F8">
        <w:rPr>
          <w:rFonts w:cstheme="minorHAnsi"/>
          <w:lang w:val="en-US"/>
        </w:rPr>
        <w:t xml:space="preserve">datasets are </w:t>
      </w:r>
      <w:r w:rsidR="00E0056B">
        <w:rPr>
          <w:rFonts w:cstheme="minorHAnsi"/>
          <w:lang w:val="en-US"/>
        </w:rPr>
        <w:t xml:space="preserve">then </w:t>
      </w:r>
      <w:r w:rsidR="00BC10D9">
        <w:rPr>
          <w:rFonts w:cstheme="minorHAnsi"/>
          <w:lang w:val="en-US"/>
        </w:rPr>
        <w:t>used to</w:t>
      </w:r>
      <w:r w:rsidR="00BC10D9" w:rsidRPr="00CB7676">
        <w:rPr>
          <w:rFonts w:cstheme="minorHAnsi"/>
          <w:lang w:val="en-US"/>
        </w:rPr>
        <w:t xml:space="preserve"> </w:t>
      </w:r>
      <w:r w:rsidR="00BC10D9" w:rsidRPr="00AB78AF">
        <w:rPr>
          <w:rFonts w:cstheme="minorHAnsi"/>
          <w:lang w:val="en-US"/>
        </w:rPr>
        <w:t>construct</w:t>
      </w:r>
      <w:r w:rsidR="00BC10D9">
        <w:rPr>
          <w:rFonts w:cstheme="minorHAnsi"/>
          <w:lang w:val="en-US"/>
        </w:rPr>
        <w:t xml:space="preserve"> the </w:t>
      </w:r>
      <w:r w:rsidR="00BC10D9" w:rsidRPr="00871B5C">
        <w:rPr>
          <w:rFonts w:cstheme="minorHAnsi"/>
          <w:u w:val="single"/>
          <w:lang w:val="en-US"/>
        </w:rPr>
        <w:t>Redistributive Impact of Fiscal Policy</w:t>
      </w:r>
      <w:r w:rsidR="00BC10D9" w:rsidRPr="00871B5C">
        <w:rPr>
          <w:rFonts w:cstheme="minorHAnsi"/>
          <w:lang w:val="en-US"/>
        </w:rPr>
        <w:t xml:space="preserve"> indicator</w:t>
      </w:r>
      <w:r w:rsidR="00E0056B">
        <w:rPr>
          <w:rFonts w:cstheme="minorHAnsi"/>
          <w:lang w:val="en-US"/>
        </w:rPr>
        <w:t>.</w:t>
      </w:r>
    </w:p>
    <w:p w14:paraId="3C849DD8" w14:textId="77777777" w:rsidR="00871B5C" w:rsidRPr="00871B5C" w:rsidRDefault="00871B5C" w:rsidP="00871B5C">
      <w:pPr>
        <w:pStyle w:val="MText"/>
        <w:rPr>
          <w:rFonts w:cstheme="minorHAnsi"/>
          <w:lang w:val="en-US"/>
        </w:rPr>
      </w:pPr>
    </w:p>
    <w:p w14:paraId="170A2C05" w14:textId="62B497E7" w:rsidR="00E46D96" w:rsidRPr="00871B5C" w:rsidRDefault="00E46D96" w:rsidP="00F719A8">
      <w:pPr>
        <w:pStyle w:val="MHeader2"/>
        <w:rPr>
          <w:rFonts w:cstheme="minorHAnsi"/>
        </w:rPr>
      </w:pPr>
      <w:r w:rsidRPr="00871B5C">
        <w:rPr>
          <w:rFonts w:cstheme="minorHAnsi"/>
        </w:rPr>
        <w:t>3.c. Data collection calendar</w:t>
      </w:r>
      <w:r w:rsidR="00BE751F" w:rsidRPr="00871B5C">
        <w:rPr>
          <w:rFonts w:cstheme="minorHAnsi"/>
        </w:rPr>
        <w:t xml:space="preserve"> </w:t>
      </w:r>
      <w:r w:rsidR="00BE751F">
        <w:rPr>
          <w:color w:val="B4B4B4"/>
          <w:sz w:val="20"/>
        </w:rPr>
        <w:t>(FREQ_COLL)</w:t>
      </w:r>
    </w:p>
    <w:p w14:paraId="01BA862E" w14:textId="39B0A2D6" w:rsidR="00EC2915" w:rsidRDefault="00D6011B" w:rsidP="00871B5C">
      <w:pPr>
        <w:pStyle w:val="MText"/>
        <w:rPr>
          <w:lang w:val="en-US"/>
        </w:rPr>
      </w:pPr>
      <w:r w:rsidRPr="00871B5C">
        <w:rPr>
          <w:lang w:val="en-US"/>
        </w:rPr>
        <w:t xml:space="preserve">Source data collection follows the update cycle for country-specific micro-data sets as well as the audit cycle for fiscal year revenues and expenditures. </w:t>
      </w:r>
      <w:r w:rsidR="002026B0">
        <w:rPr>
          <w:lang w:val="en-US"/>
        </w:rPr>
        <w:t xml:space="preserve">The final constructed SDG indicator relies upon the calendar of the source data collection as </w:t>
      </w:r>
      <w:r w:rsidR="002026B0" w:rsidRPr="00AC50CE">
        <w:rPr>
          <w:lang w:val="en-US"/>
        </w:rPr>
        <w:t xml:space="preserve">well as </w:t>
      </w:r>
      <w:r w:rsidR="00E20D39" w:rsidRPr="00AC50CE">
        <w:rPr>
          <w:lang w:val="en-US"/>
        </w:rPr>
        <w:t xml:space="preserve">availability </w:t>
      </w:r>
      <w:r w:rsidR="00E20D39" w:rsidRPr="005B51E7">
        <w:rPr>
          <w:lang w:val="en-US"/>
        </w:rPr>
        <w:t>of analytical capacity by the data compilers</w:t>
      </w:r>
      <w:r w:rsidR="00E20D39">
        <w:rPr>
          <w:lang w:val="en-US"/>
        </w:rPr>
        <w:t xml:space="preserve"> (see below).</w:t>
      </w:r>
    </w:p>
    <w:p w14:paraId="410C17CB" w14:textId="77777777" w:rsidR="00871B5C" w:rsidRPr="00871B5C" w:rsidRDefault="00871B5C" w:rsidP="00871B5C">
      <w:pPr>
        <w:pStyle w:val="MText"/>
        <w:rPr>
          <w:lang w:val="en-US"/>
        </w:rPr>
      </w:pPr>
    </w:p>
    <w:p w14:paraId="7D466604" w14:textId="79F99A43" w:rsidR="00E46D96" w:rsidRPr="00871B5C" w:rsidRDefault="00E46D96" w:rsidP="00F719A8">
      <w:pPr>
        <w:pStyle w:val="MHeader2"/>
        <w:rPr>
          <w:rFonts w:cstheme="minorHAnsi"/>
        </w:rPr>
      </w:pPr>
      <w:r w:rsidRPr="00871B5C">
        <w:rPr>
          <w:rFonts w:cstheme="minorHAnsi"/>
        </w:rPr>
        <w:t>3.d. Data release calendar</w:t>
      </w:r>
      <w:r w:rsidR="00BE751F" w:rsidRPr="00871B5C">
        <w:rPr>
          <w:rFonts w:cstheme="minorHAnsi"/>
        </w:rPr>
        <w:t xml:space="preserve"> </w:t>
      </w:r>
      <w:r w:rsidR="00BE751F">
        <w:rPr>
          <w:color w:val="B4B4B4"/>
          <w:sz w:val="20"/>
        </w:rPr>
        <w:t>(REL_CAL_POLICY)</w:t>
      </w:r>
    </w:p>
    <w:p w14:paraId="64C749BD" w14:textId="0909CBA1" w:rsidR="00EC2915" w:rsidRDefault="005833F3" w:rsidP="00871B5C">
      <w:pPr>
        <w:pStyle w:val="MText"/>
        <w:rPr>
          <w:lang w:val="en-US"/>
        </w:rPr>
      </w:pPr>
      <w:r w:rsidRPr="005833F3">
        <w:rPr>
          <w:lang w:val="en-US"/>
        </w:rPr>
        <w:t xml:space="preserve">A </w:t>
      </w:r>
      <w:r w:rsidR="00466E5C">
        <w:rPr>
          <w:lang w:val="en-US"/>
        </w:rPr>
        <w:t>biannual</w:t>
      </w:r>
      <w:r w:rsidRPr="005833F3">
        <w:rPr>
          <w:lang w:val="en-US"/>
        </w:rPr>
        <w:t xml:space="preserve"> update to the SDG database will be made by the custodians, but it is expected that most countries will have updated indicators only every five years or so, given the underlying source data collection calendars</w:t>
      </w:r>
      <w:r w:rsidR="00D6011B" w:rsidRPr="00871B5C">
        <w:rPr>
          <w:lang w:val="en-US"/>
        </w:rPr>
        <w:t xml:space="preserve">.  The WBG would be the custodian of any international agreement committing individual countries to an update schedule. Existing CEQ Assessments </w:t>
      </w:r>
      <w:r w:rsidR="000B40F7">
        <w:rPr>
          <w:lang w:val="en-US"/>
        </w:rPr>
        <w:t xml:space="preserve">are </w:t>
      </w:r>
      <w:r w:rsidR="00D6011B" w:rsidRPr="00871B5C">
        <w:rPr>
          <w:lang w:val="en-US"/>
        </w:rPr>
        <w:t xml:space="preserve">listed here: </w:t>
      </w:r>
      <w:hyperlink r:id="rId15" w:history="1">
        <w:r w:rsidR="00D6011B" w:rsidRPr="00871B5C">
          <w:rPr>
            <w:lang w:val="en-US"/>
          </w:rPr>
          <w:t>commitmentoequity.org/publications-</w:t>
        </w:r>
        <w:proofErr w:type="spellStart"/>
        <w:r w:rsidR="00D6011B" w:rsidRPr="00871B5C">
          <w:rPr>
            <w:lang w:val="en-US"/>
          </w:rPr>
          <w:t>ceqworkingpapers</w:t>
        </w:r>
        <w:proofErr w:type="spellEnd"/>
        <w:r w:rsidR="00D6011B" w:rsidRPr="00871B5C">
          <w:rPr>
            <w:lang w:val="en-US"/>
          </w:rPr>
          <w:t>/</w:t>
        </w:r>
      </w:hyperlink>
      <w:r w:rsidR="00D6011B" w:rsidRPr="00871B5C">
        <w:rPr>
          <w:lang w:val="en-US"/>
        </w:rPr>
        <w:t xml:space="preserve"> </w:t>
      </w:r>
    </w:p>
    <w:p w14:paraId="0CE61F70" w14:textId="77777777" w:rsidR="00871B5C" w:rsidRPr="00871B5C" w:rsidRDefault="00871B5C" w:rsidP="00871B5C">
      <w:pPr>
        <w:pStyle w:val="MText"/>
        <w:rPr>
          <w:lang w:val="en-US"/>
        </w:rPr>
      </w:pPr>
    </w:p>
    <w:p w14:paraId="3A4F3065" w14:textId="7BCC296D" w:rsidR="00E46D96" w:rsidRPr="00871B5C" w:rsidRDefault="00E46D96" w:rsidP="007D490B">
      <w:pPr>
        <w:pStyle w:val="MHeader2"/>
        <w:jc w:val="both"/>
        <w:rPr>
          <w:rFonts w:cstheme="minorHAnsi"/>
        </w:rPr>
      </w:pPr>
      <w:r w:rsidRPr="00E50569">
        <w:rPr>
          <w:rFonts w:cstheme="minorHAnsi"/>
        </w:rPr>
        <w:t>3.e. Data providers</w:t>
      </w:r>
      <w:r w:rsidR="00BE751F" w:rsidRPr="00E50569">
        <w:rPr>
          <w:rFonts w:cstheme="minorHAnsi"/>
        </w:rPr>
        <w:t xml:space="preserve"> </w:t>
      </w:r>
      <w:r w:rsidR="00BE751F" w:rsidRPr="00E50569">
        <w:rPr>
          <w:color w:val="B4B4B4"/>
          <w:sz w:val="20"/>
        </w:rPr>
        <w:t>(DATA_SOURCE)</w:t>
      </w:r>
    </w:p>
    <w:p w14:paraId="3658F96D" w14:textId="28CCFAA6" w:rsidR="006A1F8C" w:rsidRPr="00AC50CE" w:rsidRDefault="006A1F8C" w:rsidP="007D490B">
      <w:pPr>
        <w:pStyle w:val="MText"/>
        <w:jc w:val="both"/>
        <w:rPr>
          <w:lang w:val="en-US"/>
        </w:rPr>
      </w:pPr>
      <w:r w:rsidRPr="00AC50CE">
        <w:rPr>
          <w:lang w:val="en-US"/>
        </w:rPr>
        <w:t xml:space="preserve">Ultimately the data providers are national-level statistical agencies for the micro-data sets and national-level fiscal agencies and bodies for budgetary and administrative data. </w:t>
      </w:r>
    </w:p>
    <w:p w14:paraId="314BF45C" w14:textId="77777777" w:rsidR="00CB7F6D" w:rsidRPr="00AC50CE" w:rsidRDefault="00CB7F6D" w:rsidP="007D490B">
      <w:pPr>
        <w:pStyle w:val="NoSpacing"/>
        <w:rPr>
          <w:lang w:val="en-US"/>
        </w:rPr>
      </w:pPr>
    </w:p>
    <w:p w14:paraId="50A66E64" w14:textId="3A80DD80" w:rsidR="00EC2915" w:rsidRPr="00AC50CE" w:rsidRDefault="00F152A1" w:rsidP="007D490B">
      <w:pPr>
        <w:pStyle w:val="MText"/>
        <w:jc w:val="both"/>
        <w:rPr>
          <w:lang w:val="en-US"/>
        </w:rPr>
      </w:pPr>
      <w:r>
        <w:rPr>
          <w:lang w:val="en-US"/>
        </w:rPr>
        <w:t xml:space="preserve">For non-OECD countries, </w:t>
      </w:r>
      <w:r w:rsidR="007A72D6">
        <w:rPr>
          <w:lang w:val="en-US"/>
        </w:rPr>
        <w:t xml:space="preserve">the </w:t>
      </w:r>
      <w:proofErr w:type="spellStart"/>
      <w:r w:rsidR="007A72D6">
        <w:rPr>
          <w:lang w:val="en-US"/>
        </w:rPr>
        <w:t>prefiscal</w:t>
      </w:r>
      <w:proofErr w:type="spellEnd"/>
      <w:r w:rsidR="007A72D6">
        <w:rPr>
          <w:lang w:val="en-US"/>
        </w:rPr>
        <w:t xml:space="preserve"> and </w:t>
      </w:r>
      <w:proofErr w:type="spellStart"/>
      <w:r w:rsidR="007A72D6">
        <w:rPr>
          <w:lang w:val="en-US"/>
        </w:rPr>
        <w:t>postfiscal</w:t>
      </w:r>
      <w:proofErr w:type="spellEnd"/>
      <w:r w:rsidR="007A72D6">
        <w:rPr>
          <w:lang w:val="en-US"/>
        </w:rPr>
        <w:t xml:space="preserve"> Gini coefficients are </w:t>
      </w:r>
      <w:r w:rsidRPr="00AC50CE">
        <w:rPr>
          <w:lang w:val="en-US"/>
        </w:rPr>
        <w:t>produced by the WBG and/or the Commitment to Equity Institut</w:t>
      </w:r>
      <w:r w:rsidR="007A72D6">
        <w:rPr>
          <w:lang w:val="en-US"/>
        </w:rPr>
        <w:t>e</w:t>
      </w:r>
      <w:r w:rsidRPr="00AC50CE">
        <w:rPr>
          <w:lang w:val="en-US"/>
        </w:rPr>
        <w:t>.</w:t>
      </w:r>
      <w:r>
        <w:rPr>
          <w:lang w:val="en-US"/>
        </w:rPr>
        <w:t xml:space="preserve"> </w:t>
      </w:r>
      <w:r w:rsidR="006A1F8C" w:rsidRPr="00AC50CE">
        <w:rPr>
          <w:lang w:val="en-US"/>
        </w:rPr>
        <w:t>Where a country produces its own 10.4.2 indicator</w:t>
      </w:r>
      <w:r w:rsidR="005B0FEF" w:rsidRPr="00AC50CE">
        <w:rPr>
          <w:lang w:val="en-US"/>
        </w:rPr>
        <w:t>,</w:t>
      </w:r>
      <w:r w:rsidR="006A1F8C" w:rsidRPr="00AC50CE">
        <w:rPr>
          <w:lang w:val="en-US"/>
        </w:rPr>
        <w:t xml:space="preserve"> it will take </w:t>
      </w:r>
      <w:r w:rsidR="006A1F8C" w:rsidRPr="00AC50CE">
        <w:rPr>
          <w:lang w:val="en-US"/>
        </w:rPr>
        <w:lastRenderedPageBreak/>
        <w:t xml:space="preserve">precedence, subject to meeting the reporting requirements below. </w:t>
      </w:r>
      <w:r w:rsidR="00C1269E" w:rsidRPr="00AC50CE">
        <w:rPr>
          <w:lang w:val="en-US"/>
        </w:rPr>
        <w:t>Most OECD countries also calculate their own pre- and post-fiscal Gini</w:t>
      </w:r>
      <w:r w:rsidR="00C1269E" w:rsidRPr="00AC50CE">
        <w:rPr>
          <w:rFonts w:eastAsia="Malgun Gothic" w:hint="eastAsia"/>
          <w:lang w:val="en-US" w:eastAsia="ko-KR"/>
        </w:rPr>
        <w:t xml:space="preserve"> indice</w:t>
      </w:r>
      <w:r w:rsidR="00C1269E" w:rsidRPr="00AC50CE">
        <w:rPr>
          <w:lang w:val="en-US"/>
        </w:rPr>
        <w:t>s.</w:t>
      </w:r>
      <w:r w:rsidR="00C1269E" w:rsidRPr="00AC50CE">
        <w:rPr>
          <w:lang w:val="en-US"/>
        </w:rPr>
        <w:t xml:space="preserve"> That is, they directly calculate the 10.4.2 indicator. </w:t>
      </w:r>
      <w:r w:rsidR="00C1269E" w:rsidRPr="00AC50CE">
        <w:rPr>
          <w:lang w:val="en-US"/>
        </w:rPr>
        <w:t>These are collated by the OECD and sent to the World Bank as custodian.</w:t>
      </w:r>
      <w:r w:rsidR="00C1269E">
        <w:rPr>
          <w:lang w:val="en-US"/>
        </w:rPr>
        <w:t xml:space="preserve"> </w:t>
      </w:r>
      <w:r w:rsidR="006A6C7F">
        <w:rPr>
          <w:lang w:val="en-US"/>
        </w:rPr>
        <w:t xml:space="preserve">Data for Malta are produced by </w:t>
      </w:r>
      <w:r w:rsidR="006A6C7F" w:rsidRPr="006A6C7F">
        <w:rPr>
          <w:lang w:val="en-US"/>
        </w:rPr>
        <w:t>EUROMOD based on calculations performed by the Joint Research Centre, European Commission</w:t>
      </w:r>
      <w:r w:rsidR="006A6C7F">
        <w:rPr>
          <w:lang w:val="en-US"/>
        </w:rPr>
        <w:t>.</w:t>
      </w:r>
    </w:p>
    <w:p w14:paraId="29D5B6C2" w14:textId="77777777" w:rsidR="00871B5C" w:rsidRPr="00AC50CE" w:rsidRDefault="00871B5C" w:rsidP="00871B5C">
      <w:pPr>
        <w:pStyle w:val="MText"/>
        <w:rPr>
          <w:lang w:val="en-US"/>
        </w:rPr>
      </w:pPr>
    </w:p>
    <w:p w14:paraId="4DCAFED4" w14:textId="77777777" w:rsidR="006C2A20" w:rsidRPr="00871B5C" w:rsidRDefault="006C2A20" w:rsidP="00871B5C">
      <w:pPr>
        <w:pStyle w:val="MText"/>
        <w:rPr>
          <w:lang w:val="en-US"/>
        </w:rPr>
      </w:pPr>
    </w:p>
    <w:p w14:paraId="30DC8E05" w14:textId="6029DBA0" w:rsidR="00E46D96" w:rsidRPr="00871B5C" w:rsidRDefault="00E46D96" w:rsidP="00F719A8">
      <w:pPr>
        <w:pStyle w:val="MHeader2"/>
        <w:rPr>
          <w:rFonts w:cstheme="minorHAnsi"/>
        </w:rPr>
      </w:pPr>
      <w:r w:rsidRPr="00871B5C">
        <w:rPr>
          <w:rFonts w:cstheme="minorHAnsi"/>
        </w:rPr>
        <w:t>3.f. Data compilers</w:t>
      </w:r>
      <w:r w:rsidR="00BE751F" w:rsidRPr="00871B5C">
        <w:rPr>
          <w:rFonts w:cstheme="minorHAnsi"/>
        </w:rPr>
        <w:t xml:space="preserve"> </w:t>
      </w:r>
      <w:r w:rsidR="00BE751F">
        <w:rPr>
          <w:color w:val="B4B4B4"/>
          <w:sz w:val="20"/>
        </w:rPr>
        <w:t>(COMPILING_ORG)</w:t>
      </w:r>
    </w:p>
    <w:p w14:paraId="06F4B757" w14:textId="7CBE4772" w:rsidR="007F2107" w:rsidRPr="007D490B" w:rsidRDefault="007F2107" w:rsidP="000F59AA">
      <w:pPr>
        <w:shd w:val="clear" w:color="auto" w:fill="FFFFFF"/>
        <w:tabs>
          <w:tab w:val="left" w:pos="1320"/>
        </w:tabs>
        <w:jc w:val="both"/>
        <w:rPr>
          <w:color w:val="4A4A4A"/>
          <w:sz w:val="21"/>
          <w:lang w:val="en-US"/>
        </w:rPr>
      </w:pPr>
      <w:r w:rsidRPr="007D490B">
        <w:rPr>
          <w:color w:val="4A4A4A"/>
          <w:sz w:val="21"/>
          <w:lang w:val="en-US"/>
        </w:rPr>
        <w:t xml:space="preserve">There will be three main data compilers: the </w:t>
      </w:r>
      <w:r w:rsidRPr="0076564F">
        <w:rPr>
          <w:color w:val="4A4A4A"/>
          <w:sz w:val="21"/>
          <w:lang w:val="en-US"/>
        </w:rPr>
        <w:t>W</w:t>
      </w:r>
      <w:r w:rsidR="002C0183">
        <w:rPr>
          <w:color w:val="4A4A4A"/>
          <w:sz w:val="21"/>
          <w:lang w:val="en-US"/>
        </w:rPr>
        <w:t xml:space="preserve">orld </w:t>
      </w:r>
      <w:r w:rsidRPr="0076564F">
        <w:rPr>
          <w:color w:val="4A4A4A"/>
          <w:sz w:val="21"/>
          <w:lang w:val="en-US"/>
        </w:rPr>
        <w:t>B</w:t>
      </w:r>
      <w:r w:rsidR="002C0183">
        <w:rPr>
          <w:color w:val="4A4A4A"/>
          <w:sz w:val="21"/>
          <w:lang w:val="en-US"/>
        </w:rPr>
        <w:t>ank</w:t>
      </w:r>
      <w:r w:rsidRPr="007D490B">
        <w:rPr>
          <w:color w:val="4A4A4A"/>
          <w:sz w:val="21"/>
          <w:lang w:val="en-US"/>
        </w:rPr>
        <w:t>, the Commitment to Equity</w:t>
      </w:r>
      <w:r w:rsidR="00C27C27">
        <w:rPr>
          <w:color w:val="4A4A4A"/>
          <w:sz w:val="21"/>
          <w:lang w:val="en-US"/>
        </w:rPr>
        <w:t xml:space="preserve"> (</w:t>
      </w:r>
      <w:r w:rsidR="000F59AA">
        <w:rPr>
          <w:rFonts w:cstheme="minorHAnsi"/>
          <w:color w:val="4A4A4A"/>
          <w:sz w:val="21"/>
          <w:szCs w:val="21"/>
          <w:lang w:val="en-US"/>
        </w:rPr>
        <w:t>CEQ</w:t>
      </w:r>
      <w:r w:rsidR="006C3100">
        <w:rPr>
          <w:rFonts w:cstheme="minorHAnsi"/>
          <w:color w:val="4A4A4A"/>
          <w:sz w:val="21"/>
          <w:szCs w:val="21"/>
          <w:lang w:val="en-US"/>
        </w:rPr>
        <w:t>)</w:t>
      </w:r>
      <w:r w:rsidRPr="007D490B">
        <w:rPr>
          <w:color w:val="4A4A4A"/>
          <w:sz w:val="21"/>
          <w:lang w:val="en-US"/>
        </w:rPr>
        <w:t xml:space="preserve"> </w:t>
      </w:r>
      <w:r w:rsidR="00BA567F" w:rsidRPr="007D490B">
        <w:rPr>
          <w:color w:val="4A4A4A"/>
          <w:sz w:val="21"/>
          <w:lang w:val="en-US"/>
        </w:rPr>
        <w:t>Institute</w:t>
      </w:r>
      <w:r w:rsidRPr="007D490B">
        <w:rPr>
          <w:color w:val="4A4A4A"/>
          <w:sz w:val="21"/>
          <w:lang w:val="en-US"/>
        </w:rPr>
        <w:t xml:space="preserve"> and the OECD. Data compilers will be responsible for compiling the necessary information and documentation in ways that are compliant with the posting requirements described as follows:</w:t>
      </w:r>
    </w:p>
    <w:p w14:paraId="752A27AB" w14:textId="2AC7D95A" w:rsidR="007F2107" w:rsidRPr="007D490B" w:rsidRDefault="007F2107" w:rsidP="007D490B">
      <w:pPr>
        <w:pStyle w:val="ListParagraph"/>
        <w:numPr>
          <w:ilvl w:val="0"/>
          <w:numId w:val="9"/>
        </w:numPr>
        <w:shd w:val="clear" w:color="auto" w:fill="FFFFFF"/>
        <w:tabs>
          <w:tab w:val="left" w:pos="1320"/>
        </w:tabs>
        <w:spacing w:after="0"/>
        <w:jc w:val="both"/>
        <w:rPr>
          <w:color w:val="4A4A4A"/>
          <w:sz w:val="21"/>
        </w:rPr>
      </w:pPr>
      <w:r w:rsidRPr="007D490B">
        <w:rPr>
          <w:color w:val="4A4A4A"/>
          <w:sz w:val="21"/>
        </w:rPr>
        <w:t xml:space="preserve">The WBG will compile information all </w:t>
      </w:r>
      <w:r w:rsidR="000F59AA">
        <w:rPr>
          <w:rFonts w:cstheme="minorHAnsi"/>
          <w:color w:val="4A4A4A"/>
          <w:sz w:val="21"/>
          <w:szCs w:val="21"/>
          <w:lang w:eastAsia="en-GB"/>
        </w:rPr>
        <w:t>CEQ</w:t>
      </w:r>
      <w:r w:rsidRPr="007D490B">
        <w:rPr>
          <w:color w:val="4A4A4A"/>
          <w:sz w:val="21"/>
        </w:rPr>
        <w:t xml:space="preserve"> Assessments conducted by WBG teams and by (non-OECD) national participants working independently. The focus of this exercise will be on assessments conducted in or after 2015.</w:t>
      </w:r>
    </w:p>
    <w:p w14:paraId="6D40CB9F" w14:textId="7A6C7ECC" w:rsidR="007F2107" w:rsidRPr="007D490B" w:rsidRDefault="007F2107" w:rsidP="007D490B">
      <w:pPr>
        <w:pStyle w:val="ListParagraph"/>
        <w:numPr>
          <w:ilvl w:val="0"/>
          <w:numId w:val="9"/>
        </w:numPr>
        <w:shd w:val="clear" w:color="auto" w:fill="FFFFFF"/>
        <w:tabs>
          <w:tab w:val="left" w:pos="1320"/>
        </w:tabs>
        <w:spacing w:after="0"/>
        <w:jc w:val="both"/>
        <w:rPr>
          <w:color w:val="4A4A4A"/>
          <w:sz w:val="21"/>
        </w:rPr>
      </w:pPr>
      <w:r w:rsidRPr="007D490B">
        <w:rPr>
          <w:color w:val="4A4A4A"/>
          <w:sz w:val="21"/>
        </w:rPr>
        <w:t xml:space="preserve">The </w:t>
      </w:r>
      <w:r w:rsidR="000F59AA">
        <w:rPr>
          <w:rFonts w:cstheme="minorHAnsi"/>
          <w:color w:val="4A4A4A"/>
          <w:sz w:val="21"/>
          <w:szCs w:val="21"/>
          <w:lang w:eastAsia="en-GB"/>
        </w:rPr>
        <w:t>CEQ</w:t>
      </w:r>
      <w:r w:rsidRPr="007D490B">
        <w:rPr>
          <w:color w:val="4A4A4A"/>
          <w:sz w:val="21"/>
        </w:rPr>
        <w:t xml:space="preserve"> Institute will compile information on all </w:t>
      </w:r>
      <w:r w:rsidR="000F59AA">
        <w:rPr>
          <w:rFonts w:cstheme="minorHAnsi"/>
          <w:color w:val="4A4A4A"/>
          <w:sz w:val="21"/>
          <w:szCs w:val="21"/>
          <w:lang w:eastAsia="en-GB"/>
        </w:rPr>
        <w:t>a</w:t>
      </w:r>
      <w:r w:rsidR="000F59AA" w:rsidRPr="0076564F">
        <w:rPr>
          <w:rFonts w:cstheme="minorHAnsi"/>
          <w:color w:val="4A4A4A"/>
          <w:sz w:val="21"/>
          <w:szCs w:val="21"/>
          <w:lang w:eastAsia="en-GB"/>
        </w:rPr>
        <w:t>ssessments</w:t>
      </w:r>
      <w:r w:rsidR="000F59AA" w:rsidRPr="007D490B">
        <w:rPr>
          <w:color w:val="4A4A4A"/>
          <w:sz w:val="21"/>
        </w:rPr>
        <w:t xml:space="preserve"> </w:t>
      </w:r>
      <w:r w:rsidRPr="007D490B">
        <w:rPr>
          <w:color w:val="4A4A4A"/>
          <w:sz w:val="21"/>
        </w:rPr>
        <w:t xml:space="preserve">conducted by the Institute. </w:t>
      </w:r>
      <w:bookmarkStart w:id="5" w:name="_Hlk63443381"/>
      <w:r w:rsidRPr="007D490B">
        <w:rPr>
          <w:color w:val="4A4A4A"/>
          <w:sz w:val="21"/>
        </w:rPr>
        <w:t xml:space="preserve">The Institute’s submissions to the </w:t>
      </w:r>
      <w:r w:rsidRPr="0076564F">
        <w:rPr>
          <w:color w:val="4A4A4A"/>
          <w:sz w:val="21"/>
        </w:rPr>
        <w:t>WB</w:t>
      </w:r>
      <w:r w:rsidRPr="007D490B">
        <w:rPr>
          <w:color w:val="4A4A4A"/>
          <w:sz w:val="21"/>
        </w:rPr>
        <w:t xml:space="preserve"> will include information on pre-fiscal and post-fiscal Gini</w:t>
      </w:r>
      <w:r w:rsidR="00914A5E" w:rsidRPr="007D490B">
        <w:rPr>
          <w:color w:val="4A4A4A"/>
          <w:sz w:val="21"/>
        </w:rPr>
        <w:t xml:space="preserve"> Indices</w:t>
      </w:r>
      <w:bookmarkEnd w:id="5"/>
      <w:r w:rsidRPr="007D490B">
        <w:rPr>
          <w:color w:val="4A4A4A"/>
          <w:sz w:val="21"/>
        </w:rPr>
        <w:t>, information needed to complete the necessary metadata</w:t>
      </w:r>
      <w:r w:rsidR="00050B0B" w:rsidRPr="007D490B">
        <w:rPr>
          <w:color w:val="4A4A4A"/>
          <w:sz w:val="21"/>
        </w:rPr>
        <w:t xml:space="preserve"> (when available</w:t>
      </w:r>
      <w:proofErr w:type="gramStart"/>
      <w:r w:rsidR="00050B0B" w:rsidRPr="007D490B">
        <w:rPr>
          <w:color w:val="4A4A4A"/>
          <w:sz w:val="21"/>
        </w:rPr>
        <w:t>)</w:t>
      </w:r>
      <w:proofErr w:type="gramEnd"/>
      <w:r w:rsidRPr="007D490B">
        <w:rPr>
          <w:color w:val="4A4A4A"/>
          <w:sz w:val="21"/>
        </w:rPr>
        <w:t xml:space="preserve"> and do-files needed for replication</w:t>
      </w:r>
      <w:r w:rsidR="00050B0B" w:rsidRPr="007D490B">
        <w:rPr>
          <w:color w:val="4A4A4A"/>
          <w:sz w:val="21"/>
        </w:rPr>
        <w:t xml:space="preserve"> (when available)</w:t>
      </w:r>
      <w:r w:rsidRPr="007D490B">
        <w:rPr>
          <w:color w:val="4A4A4A"/>
          <w:sz w:val="21"/>
        </w:rPr>
        <w:t>.</w:t>
      </w:r>
    </w:p>
    <w:p w14:paraId="7ED9FF8C" w14:textId="0E505B26" w:rsidR="007F2107" w:rsidRPr="00F80972" w:rsidRDefault="007F2107" w:rsidP="007D490B">
      <w:pPr>
        <w:pStyle w:val="ListParagraph"/>
        <w:numPr>
          <w:ilvl w:val="0"/>
          <w:numId w:val="9"/>
        </w:numPr>
        <w:shd w:val="clear" w:color="auto" w:fill="FFFFFF"/>
        <w:tabs>
          <w:tab w:val="left" w:pos="1320"/>
        </w:tabs>
        <w:spacing w:after="0"/>
        <w:jc w:val="both"/>
        <w:rPr>
          <w:rFonts w:cstheme="minorHAnsi"/>
          <w:color w:val="4A4A4A"/>
          <w:lang w:val="en-US"/>
        </w:rPr>
      </w:pPr>
      <w:r w:rsidRPr="007D490B">
        <w:rPr>
          <w:color w:val="4A4A4A"/>
          <w:sz w:val="21"/>
        </w:rPr>
        <w:t>The OECD will compile information on all fiscal assessments conducted by OECD national participants.</w:t>
      </w:r>
      <w:r w:rsidR="00BF1003" w:rsidRPr="007D490B">
        <w:rPr>
          <w:sz w:val="21"/>
        </w:rPr>
        <w:t xml:space="preserve"> </w:t>
      </w:r>
      <w:r w:rsidR="00BF1003" w:rsidRPr="007D490B">
        <w:rPr>
          <w:color w:val="4A4A4A"/>
          <w:sz w:val="21"/>
        </w:rPr>
        <w:t>The OECD’s submissions to the WBG will include information on pre-fiscal and post-fiscal Gini Indices</w:t>
      </w:r>
      <w:r w:rsidR="00237FED" w:rsidRPr="007D490B">
        <w:rPr>
          <w:color w:val="4A4A4A"/>
          <w:sz w:val="21"/>
        </w:rPr>
        <w:t>.</w:t>
      </w:r>
    </w:p>
    <w:p w14:paraId="161BC78F" w14:textId="77777777" w:rsidR="00E47C05" w:rsidRPr="007D490B" w:rsidRDefault="00E47C05" w:rsidP="007D490B">
      <w:pPr>
        <w:pStyle w:val="NoSpacing"/>
        <w:rPr>
          <w:lang w:val="en-US"/>
        </w:rPr>
      </w:pPr>
    </w:p>
    <w:p w14:paraId="5C43435B" w14:textId="0CC9D287" w:rsidR="00EC2915" w:rsidRPr="007D490B" w:rsidRDefault="007F2107" w:rsidP="00F7519E">
      <w:pPr>
        <w:shd w:val="clear" w:color="auto" w:fill="FFFFFF"/>
        <w:jc w:val="both"/>
        <w:rPr>
          <w:sz w:val="21"/>
        </w:rPr>
      </w:pPr>
      <w:r w:rsidRPr="007D490B">
        <w:rPr>
          <w:color w:val="4A4A4A"/>
          <w:sz w:val="21"/>
          <w:lang w:val="en-US"/>
        </w:rPr>
        <w:t xml:space="preserve">The </w:t>
      </w:r>
      <w:r w:rsidR="00F75281" w:rsidRPr="007D490B">
        <w:rPr>
          <w:color w:val="4A4A4A"/>
          <w:sz w:val="21"/>
          <w:lang w:val="en-US"/>
        </w:rPr>
        <w:t>three data compilers will meet periodically</w:t>
      </w:r>
      <w:r w:rsidR="00F75281" w:rsidRPr="007D490B" w:rsidDel="00F75281">
        <w:rPr>
          <w:color w:val="4A4A4A"/>
          <w:sz w:val="21"/>
          <w:lang w:val="en-US"/>
        </w:rPr>
        <w:t xml:space="preserve"> </w:t>
      </w:r>
      <w:r w:rsidRPr="007D490B">
        <w:rPr>
          <w:color w:val="4A4A4A"/>
          <w:sz w:val="21"/>
          <w:lang w:val="en-US"/>
        </w:rPr>
        <w:t>to review the reporting and submission process, exchange information on (new) methodological changes, and coordinate on further methodological innovation</w:t>
      </w:r>
      <w:r w:rsidR="00E47C05" w:rsidRPr="007D490B">
        <w:rPr>
          <w:color w:val="4A4A4A"/>
          <w:sz w:val="21"/>
          <w:lang w:val="en-US"/>
        </w:rPr>
        <w:t>s</w:t>
      </w:r>
      <w:r w:rsidRPr="007D490B">
        <w:rPr>
          <w:color w:val="4A4A4A"/>
          <w:sz w:val="21"/>
          <w:lang w:val="en-US"/>
        </w:rPr>
        <w:t xml:space="preserve"> regarding the </w:t>
      </w:r>
      <w:r w:rsidR="007F3A32">
        <w:rPr>
          <w:color w:val="4A4A4A"/>
          <w:sz w:val="21"/>
          <w:lang w:val="en-US"/>
        </w:rPr>
        <w:t xml:space="preserve">estimation of the </w:t>
      </w:r>
      <w:proofErr w:type="spellStart"/>
      <w:r w:rsidR="007F3A32">
        <w:rPr>
          <w:color w:val="4A4A4A"/>
          <w:sz w:val="21"/>
          <w:lang w:val="en-US"/>
        </w:rPr>
        <w:t>prefiscal</w:t>
      </w:r>
      <w:proofErr w:type="spellEnd"/>
      <w:r w:rsidR="007F3A32">
        <w:rPr>
          <w:color w:val="4A4A4A"/>
          <w:sz w:val="21"/>
          <w:lang w:val="en-US"/>
        </w:rPr>
        <w:t xml:space="preserve"> and </w:t>
      </w:r>
      <w:proofErr w:type="spellStart"/>
      <w:r w:rsidR="007F3A32">
        <w:rPr>
          <w:color w:val="4A4A4A"/>
          <w:sz w:val="21"/>
          <w:lang w:val="en-US"/>
        </w:rPr>
        <w:t>postfiscal</w:t>
      </w:r>
      <w:proofErr w:type="spellEnd"/>
      <w:r w:rsidR="007F3A32">
        <w:rPr>
          <w:color w:val="4A4A4A"/>
          <w:sz w:val="21"/>
          <w:lang w:val="en-US"/>
        </w:rPr>
        <w:t xml:space="preserve"> Gini coefficients</w:t>
      </w:r>
      <w:r w:rsidRPr="007D490B">
        <w:rPr>
          <w:color w:val="4A4A4A"/>
          <w:sz w:val="21"/>
          <w:lang w:val="en-US"/>
        </w:rPr>
        <w:t xml:space="preserve"> as needed. </w:t>
      </w:r>
    </w:p>
    <w:p w14:paraId="5655E768" w14:textId="5155B0C6" w:rsidR="00E46D96" w:rsidRPr="00871B5C" w:rsidRDefault="00E46D96" w:rsidP="00F719A8">
      <w:pPr>
        <w:pStyle w:val="MHeader2"/>
        <w:rPr>
          <w:rFonts w:cstheme="minorHAnsi"/>
        </w:rPr>
      </w:pPr>
      <w:r w:rsidRPr="00871B5C">
        <w:rPr>
          <w:rFonts w:cstheme="minorHAnsi"/>
        </w:rPr>
        <w:t>3.g. Institutional mandate</w:t>
      </w:r>
      <w:r w:rsidR="00BE751F" w:rsidRPr="00871B5C">
        <w:rPr>
          <w:rFonts w:cstheme="minorHAnsi"/>
        </w:rPr>
        <w:t xml:space="preserve"> </w:t>
      </w:r>
      <w:r w:rsidR="00BE751F">
        <w:rPr>
          <w:color w:val="B4B4B4"/>
          <w:sz w:val="20"/>
        </w:rPr>
        <w:t>(INST_MANDATE)</w:t>
      </w:r>
    </w:p>
    <w:p w14:paraId="26B863C3" w14:textId="1115C07C" w:rsidR="00576CFA" w:rsidRPr="007D490B" w:rsidRDefault="00857D86" w:rsidP="00576CFA">
      <w:pPr>
        <w:pStyle w:val="MText"/>
      </w:pPr>
      <w:r>
        <w:rPr>
          <w:rFonts w:cstheme="minorHAnsi"/>
        </w:rPr>
        <w:t xml:space="preserve">The WBG </w:t>
      </w:r>
      <w:r w:rsidR="008A3DEF">
        <w:rPr>
          <w:rFonts w:cstheme="minorHAnsi"/>
        </w:rPr>
        <w:t xml:space="preserve">has the mandate to </w:t>
      </w:r>
      <w:r w:rsidR="00705EA8">
        <w:rPr>
          <w:rFonts w:cstheme="minorHAnsi"/>
        </w:rPr>
        <w:t>measure</w:t>
      </w:r>
      <w:r w:rsidR="00571305">
        <w:rPr>
          <w:rFonts w:cstheme="minorHAnsi"/>
        </w:rPr>
        <w:t xml:space="preserve"> and</w:t>
      </w:r>
      <w:r w:rsidR="00705EA8">
        <w:rPr>
          <w:rFonts w:cstheme="minorHAnsi"/>
        </w:rPr>
        <w:t xml:space="preserve"> disseminate </w:t>
      </w:r>
      <w:r w:rsidR="005F566F">
        <w:rPr>
          <w:rFonts w:cstheme="minorHAnsi"/>
        </w:rPr>
        <w:t xml:space="preserve">international poverty numbers and </w:t>
      </w:r>
      <w:r w:rsidR="00B53ED7" w:rsidRPr="007D490B">
        <w:rPr>
          <w:color w:val="auto"/>
        </w:rPr>
        <w:t>inequality</w:t>
      </w:r>
      <w:r w:rsidR="003348EB" w:rsidRPr="007D490B">
        <w:rPr>
          <w:color w:val="auto"/>
        </w:rPr>
        <w:t xml:space="preserve">. </w:t>
      </w:r>
      <w:r w:rsidR="001616D2" w:rsidRPr="00E50569">
        <w:rPr>
          <w:rFonts w:cstheme="minorHAnsi"/>
          <w:color w:val="auto"/>
        </w:rPr>
        <w:t>The World Bank is</w:t>
      </w:r>
      <w:r w:rsidR="001616D2" w:rsidRPr="007D490B">
        <w:rPr>
          <w:color w:val="auto"/>
        </w:rPr>
        <w:t xml:space="preserve"> the </w:t>
      </w:r>
      <w:r w:rsidR="001616D2" w:rsidRPr="00E50569">
        <w:rPr>
          <w:rFonts w:cstheme="minorHAnsi"/>
          <w:color w:val="auto"/>
        </w:rPr>
        <w:t>formal custodian for</w:t>
      </w:r>
      <w:r w:rsidR="001616D2" w:rsidRPr="007D490B">
        <w:rPr>
          <w:color w:val="auto"/>
        </w:rPr>
        <w:t xml:space="preserve"> the </w:t>
      </w:r>
      <w:r w:rsidR="001616D2" w:rsidRPr="00E50569">
        <w:rPr>
          <w:rFonts w:cstheme="minorHAnsi"/>
          <w:color w:val="auto"/>
        </w:rPr>
        <w:t xml:space="preserve">SDG 10.4.2 fiscal redistribution. </w:t>
      </w:r>
    </w:p>
    <w:p w14:paraId="3D063F4C" w14:textId="77777777" w:rsidR="00F719A8" w:rsidRPr="00871B5C" w:rsidRDefault="00F719A8" w:rsidP="00576CFA">
      <w:pPr>
        <w:pStyle w:val="MText"/>
        <w:rPr>
          <w:rFonts w:cstheme="minorHAnsi"/>
        </w:rPr>
      </w:pPr>
    </w:p>
    <w:p w14:paraId="6149DC94" w14:textId="28E3B123" w:rsidR="00B31E2C" w:rsidRPr="00871B5C" w:rsidRDefault="00B31E2C" w:rsidP="00AF5ED1">
      <w:pPr>
        <w:pStyle w:val="MHeader"/>
        <w:rPr>
          <w:rFonts w:cstheme="minorHAnsi"/>
        </w:rPr>
      </w:pPr>
      <w:r w:rsidRPr="00871B5C">
        <w:rPr>
          <w:rFonts w:cstheme="minorHAnsi"/>
        </w:rPr>
        <w:t>4. Other methodological considerations</w:t>
      </w:r>
      <w:r w:rsidR="00BE751F" w:rsidRPr="00871B5C">
        <w:rPr>
          <w:rFonts w:cstheme="minorHAnsi"/>
        </w:rPr>
        <w:t xml:space="preserve"> </w:t>
      </w:r>
      <w:r w:rsidR="00BE751F">
        <w:rPr>
          <w:color w:val="B4B4B4"/>
          <w:sz w:val="20"/>
        </w:rPr>
        <w:t>(OTHER_METHOD)</w:t>
      </w:r>
    </w:p>
    <w:p w14:paraId="1AFA5517" w14:textId="6977CC76" w:rsidR="00AF5ED1" w:rsidRPr="00871B5C" w:rsidRDefault="00576CFA" w:rsidP="00F719A8">
      <w:pPr>
        <w:pStyle w:val="MHeader2"/>
        <w:rPr>
          <w:rFonts w:cstheme="minorHAnsi"/>
        </w:rPr>
      </w:pPr>
      <w:r w:rsidRPr="00871B5C">
        <w:rPr>
          <w:rFonts w:cstheme="minorHAnsi"/>
        </w:rPr>
        <w:t>4.a. Rationale</w:t>
      </w:r>
      <w:r w:rsidR="00BE751F" w:rsidRPr="00871B5C">
        <w:rPr>
          <w:rFonts w:cstheme="minorHAnsi"/>
        </w:rPr>
        <w:t xml:space="preserve"> </w:t>
      </w:r>
      <w:r w:rsidR="00BE751F">
        <w:rPr>
          <w:color w:val="B4B4B4"/>
          <w:sz w:val="20"/>
        </w:rPr>
        <w:t>(RATIONALE)</w:t>
      </w:r>
    </w:p>
    <w:p w14:paraId="0FA7F76E" w14:textId="567FC621" w:rsidR="009F636B" w:rsidRPr="00871B5C" w:rsidRDefault="00E82380" w:rsidP="00E82380">
      <w:pPr>
        <w:jc w:val="both"/>
        <w:rPr>
          <w:rFonts w:cstheme="minorHAnsi"/>
          <w:color w:val="4A4A4A"/>
          <w:lang w:val="en-US"/>
        </w:rPr>
      </w:pPr>
      <w:r w:rsidRPr="007D490B">
        <w:rPr>
          <w:color w:val="4A4A4A"/>
          <w:sz w:val="21"/>
          <w:shd w:val="clear" w:color="auto" w:fill="FFFFFF"/>
          <w:lang w:val="en-US"/>
        </w:rPr>
        <w:t>Developed by the</w:t>
      </w:r>
      <w:r w:rsidRPr="007D490B">
        <w:rPr>
          <w:color w:val="333333"/>
          <w:sz w:val="21"/>
          <w:shd w:val="clear" w:color="auto" w:fill="FFFFFF"/>
          <w:lang w:val="en-US"/>
        </w:rPr>
        <w:t> </w:t>
      </w:r>
      <w:hyperlink r:id="rId16" w:history="1">
        <w:r w:rsidRPr="007D490B">
          <w:rPr>
            <w:rStyle w:val="Hyperlink"/>
            <w:color w:val="337AB7"/>
            <w:sz w:val="21"/>
            <w:shd w:val="clear" w:color="auto" w:fill="FFFFFF"/>
            <w:lang w:val="en-US"/>
          </w:rPr>
          <w:t>Commitment to Equity Institute</w:t>
        </w:r>
      </w:hyperlink>
      <w:r w:rsidRPr="007D490B">
        <w:rPr>
          <w:color w:val="333333"/>
          <w:sz w:val="21"/>
          <w:shd w:val="clear" w:color="auto" w:fill="FFFFFF"/>
          <w:lang w:val="en-US"/>
        </w:rPr>
        <w:t> (</w:t>
      </w:r>
      <w:r w:rsidRPr="007D490B">
        <w:rPr>
          <w:color w:val="4A4A4A"/>
          <w:sz w:val="21"/>
          <w:shd w:val="clear" w:color="auto" w:fill="FFFFFF"/>
          <w:lang w:val="en-US"/>
        </w:rPr>
        <w:t>CEQ</w:t>
      </w:r>
      <w:r w:rsidRPr="0076564F">
        <w:rPr>
          <w:color w:val="4A4A4A"/>
          <w:sz w:val="21"/>
          <w:shd w:val="clear" w:color="auto" w:fill="FFFFFF"/>
          <w:lang w:val="en-US"/>
        </w:rPr>
        <w:t>)</w:t>
      </w:r>
      <w:hyperlink r:id="rId17" w:history="1">
        <w:r w:rsidR="006C3100">
          <w:rPr>
            <w:sz w:val="21"/>
            <w:szCs w:val="21"/>
          </w:rPr>
          <w:t xml:space="preserve"> </w:t>
        </w:r>
        <w:r w:rsidR="00272BB7" w:rsidRPr="0076564F">
          <w:rPr>
            <w:rStyle w:val="Hyperlink"/>
            <w:sz w:val="21"/>
            <w:szCs w:val="21"/>
          </w:rPr>
          <w:t>Institute</w:t>
        </w:r>
      </w:hyperlink>
      <w:r w:rsidRPr="007D490B">
        <w:rPr>
          <w:color w:val="4A4A4A"/>
          <w:sz w:val="21"/>
          <w:shd w:val="clear" w:color="auto" w:fill="FFFFFF"/>
          <w:lang w:val="en-US"/>
        </w:rPr>
        <w:t xml:space="preserve"> at Tulane University, </w:t>
      </w:r>
      <w:r w:rsidRPr="007D490B">
        <w:rPr>
          <w:color w:val="4A4A4A"/>
          <w:sz w:val="21"/>
          <w:lang w:val="en-US"/>
        </w:rPr>
        <w:t xml:space="preserve">the </w:t>
      </w:r>
      <w:r w:rsidRPr="007D490B">
        <w:rPr>
          <w:color w:val="4A4A4A"/>
          <w:sz w:val="21"/>
          <w:u w:val="single"/>
          <w:lang w:val="en-US"/>
        </w:rPr>
        <w:t>Redistributive Impact of Fiscal Policy</w:t>
      </w:r>
      <w:r w:rsidRPr="007D490B">
        <w:rPr>
          <w:color w:val="4A4A4A"/>
          <w:sz w:val="21"/>
          <w:lang w:val="en-US"/>
        </w:rPr>
        <w:t xml:space="preserve"> indicator demonstrates in an accounting framework the total amount by which current income inequality is reduced or increased by the current execution of fiscal policy (including direct and indirect taxes; social insurance and old-age pension contributions; direct cash or near-cash transfers; and subsidies).  For example, if the Redistributive Impact of Fiscal Policy is positive, that indicates that the net effect of Fiscal Policy is to reduce the </w:t>
      </w:r>
      <w:r w:rsidR="007F2107" w:rsidRPr="007D490B">
        <w:rPr>
          <w:color w:val="4A4A4A"/>
          <w:sz w:val="21"/>
          <w:lang w:val="en-US"/>
        </w:rPr>
        <w:t>Gini index</w:t>
      </w:r>
      <w:r w:rsidRPr="007D490B">
        <w:rPr>
          <w:color w:val="4A4A4A"/>
          <w:sz w:val="21"/>
          <w:lang w:val="en-US"/>
        </w:rPr>
        <w:t xml:space="preserve"> from what it otherwise would be without Fiscal Policy (in an accounting sense, not as an economic counterfactual). The indicator allows policy makers and the broader stakeholder and advocacy communities to systematically track progress at the country level in the contribution of fiscal policy to more equitable societies. </w:t>
      </w:r>
    </w:p>
    <w:p w14:paraId="2529B069" w14:textId="189D25D5" w:rsidR="00E1050F" w:rsidRPr="00871B5C" w:rsidRDefault="00E1050F" w:rsidP="00F719A8">
      <w:pPr>
        <w:pStyle w:val="MHeader2"/>
        <w:rPr>
          <w:rFonts w:cstheme="minorHAnsi"/>
        </w:rPr>
      </w:pPr>
      <w:r w:rsidRPr="00871B5C">
        <w:rPr>
          <w:rFonts w:cstheme="minorHAnsi"/>
        </w:rPr>
        <w:t>4.b. Comment and limitations</w:t>
      </w:r>
      <w:r w:rsidR="00BE751F" w:rsidRPr="00871B5C">
        <w:rPr>
          <w:rFonts w:cstheme="minorHAnsi"/>
        </w:rPr>
        <w:t xml:space="preserve"> </w:t>
      </w:r>
      <w:r w:rsidR="00BE751F">
        <w:rPr>
          <w:color w:val="B4B4B4"/>
          <w:sz w:val="20"/>
        </w:rPr>
        <w:t>(REC_USE_LIM)</w:t>
      </w:r>
    </w:p>
    <w:p w14:paraId="6E404371" w14:textId="43F09742" w:rsidR="006A1F8C" w:rsidRPr="007D490B" w:rsidRDefault="006A1F8C" w:rsidP="006A1F8C">
      <w:pPr>
        <w:shd w:val="clear" w:color="auto" w:fill="FFFFFF"/>
        <w:jc w:val="both"/>
        <w:rPr>
          <w:color w:val="4A4A4A"/>
          <w:sz w:val="21"/>
          <w:lang w:val="en-US"/>
        </w:rPr>
      </w:pPr>
      <w:r w:rsidRPr="007D490B">
        <w:rPr>
          <w:color w:val="4A4A4A"/>
          <w:sz w:val="21"/>
          <w:lang w:val="en-US"/>
        </w:rPr>
        <w:lastRenderedPageBreak/>
        <w:t xml:space="preserve">Reporting on assumptions: The choice of whether to report the </w:t>
      </w:r>
      <w:r w:rsidRPr="007D490B">
        <w:rPr>
          <w:color w:val="4A4A4A"/>
          <w:sz w:val="21"/>
          <w:u w:val="single"/>
          <w:lang w:val="en-US"/>
        </w:rPr>
        <w:t>Redistributive Impact of Fiscal Policy</w:t>
      </w:r>
      <w:r w:rsidRPr="007D490B">
        <w:rPr>
          <w:color w:val="4A4A4A"/>
          <w:sz w:val="21"/>
          <w:lang w:val="en-US"/>
        </w:rPr>
        <w:t xml:space="preserve"> indicator under the pensions as deferred income or pensions as transfers scenario will be left to the country authority or international agency in charge of submitting this indicator, </w:t>
      </w:r>
      <w:r w:rsidRPr="007D490B">
        <w:rPr>
          <w:i/>
          <w:color w:val="4A4A4A"/>
          <w:sz w:val="21"/>
          <w:lang w:val="en-US"/>
        </w:rPr>
        <w:t>but the choice must be clearly indicated in the reporting document.</w:t>
      </w:r>
      <w:r w:rsidRPr="007D490B">
        <w:rPr>
          <w:color w:val="4A4A4A"/>
          <w:sz w:val="21"/>
          <w:lang w:val="en-US"/>
        </w:rPr>
        <w:t xml:space="preserve"> For countries for which the data exist, pre</w:t>
      </w:r>
      <w:r w:rsidR="00DA5263" w:rsidRPr="007D490B">
        <w:rPr>
          <w:color w:val="4A4A4A"/>
          <w:sz w:val="21"/>
          <w:lang w:val="en-US"/>
        </w:rPr>
        <w:t>-</w:t>
      </w:r>
      <w:r w:rsidRPr="007D490B">
        <w:rPr>
          <w:color w:val="4A4A4A"/>
          <w:sz w:val="21"/>
          <w:lang w:val="en-US"/>
        </w:rPr>
        <w:t>fiscal and post</w:t>
      </w:r>
      <w:r w:rsidR="00DA5263" w:rsidRPr="007D490B">
        <w:rPr>
          <w:color w:val="4A4A4A"/>
          <w:sz w:val="21"/>
          <w:lang w:val="en-US"/>
        </w:rPr>
        <w:t>-</w:t>
      </w:r>
      <w:r w:rsidRPr="007D490B">
        <w:rPr>
          <w:color w:val="4A4A4A"/>
          <w:sz w:val="21"/>
          <w:lang w:val="en-US"/>
        </w:rPr>
        <w:t xml:space="preserve">fiscal inequality should be calculated for both pension scenarios, and the default included in the SDGs database is pension as deferred income. If only data treating pensions as transfers are available, it is recommended to report them only for the working age population (under 65 years of age). Some authorities may also choose to use equivalized income instead of per capita income as the welfare indicator. This too should be clearly indicated in the reporting document. Last, some authorities may report these data based on a micro-data set using expenditure </w:t>
      </w:r>
      <w:r w:rsidR="001616D2">
        <w:rPr>
          <w:color w:val="4A4A4A"/>
          <w:sz w:val="21"/>
          <w:lang w:val="en-US"/>
        </w:rPr>
        <w:t xml:space="preserve">(or consumption) </w:t>
      </w:r>
      <w:r w:rsidRPr="007D490B">
        <w:rPr>
          <w:color w:val="4A4A4A"/>
          <w:sz w:val="21"/>
          <w:lang w:val="en-US"/>
        </w:rPr>
        <w:t>as the relevant welfare concept.</w:t>
      </w:r>
      <w:r w:rsidR="00BF5E58" w:rsidRPr="007D490B">
        <w:rPr>
          <w:color w:val="4A4A4A"/>
          <w:sz w:val="21"/>
          <w:lang w:val="en-US"/>
        </w:rPr>
        <w:t xml:space="preserve"> </w:t>
      </w:r>
      <w:r w:rsidR="00BF5E58" w:rsidRPr="00BF5E58">
        <w:rPr>
          <w:color w:val="4A4A4A"/>
          <w:sz w:val="21"/>
          <w:lang w:val="en-US"/>
        </w:rPr>
        <w:t xml:space="preserve">In addition, </w:t>
      </w:r>
      <w:r w:rsidR="00BF5E58">
        <w:rPr>
          <w:color w:val="4A4A4A"/>
          <w:sz w:val="21"/>
          <w:lang w:val="en-US"/>
        </w:rPr>
        <w:t xml:space="preserve">where possible, </w:t>
      </w:r>
      <w:r w:rsidR="00BF5E58" w:rsidRPr="00BF5E58">
        <w:rPr>
          <w:color w:val="4A4A4A"/>
          <w:sz w:val="21"/>
          <w:lang w:val="en-US"/>
        </w:rPr>
        <w:t>specify if welfare concept includes imputed rent for owner's occupied housing, consumption of own production, and, in the case of consumption-based surveys, expenditures on durables</w:t>
      </w:r>
      <w:r w:rsidR="00BF5E58">
        <w:rPr>
          <w:color w:val="4A4A4A"/>
          <w:sz w:val="21"/>
          <w:lang w:val="en-US"/>
        </w:rPr>
        <w:t>.</w:t>
      </w:r>
      <w:r w:rsidRPr="0076564F">
        <w:rPr>
          <w:color w:val="4A4A4A"/>
          <w:sz w:val="21"/>
          <w:lang w:val="en-US"/>
        </w:rPr>
        <w:t xml:space="preserve"> </w:t>
      </w:r>
      <w:r w:rsidRPr="007D490B">
        <w:rPr>
          <w:color w:val="4A4A4A"/>
          <w:sz w:val="21"/>
          <w:lang w:val="en-US"/>
        </w:rPr>
        <w:t xml:space="preserve">Once these decisions are taken, they should be maintained in subsequent years </w:t>
      </w:r>
      <w:proofErr w:type="gramStart"/>
      <w:r w:rsidRPr="007D490B">
        <w:rPr>
          <w:color w:val="4A4A4A"/>
          <w:sz w:val="21"/>
          <w:lang w:val="en-US"/>
        </w:rPr>
        <w:t>in order to</w:t>
      </w:r>
      <w:proofErr w:type="gramEnd"/>
      <w:r w:rsidRPr="007D490B">
        <w:rPr>
          <w:color w:val="4A4A4A"/>
          <w:sz w:val="21"/>
          <w:lang w:val="en-US"/>
        </w:rPr>
        <w:t xml:space="preserve"> </w:t>
      </w:r>
      <w:r w:rsidR="008C4D8F">
        <w:rPr>
          <w:rFonts w:cstheme="minorHAnsi"/>
          <w:color w:val="4A4A4A"/>
          <w:sz w:val="21"/>
          <w:szCs w:val="21"/>
          <w:lang w:val="en-US"/>
        </w:rPr>
        <w:t>ensure</w:t>
      </w:r>
      <w:r w:rsidR="008C4D8F" w:rsidRPr="007D490B">
        <w:rPr>
          <w:color w:val="4A4A4A"/>
          <w:sz w:val="21"/>
          <w:lang w:val="en-US"/>
        </w:rPr>
        <w:t xml:space="preserve"> </w:t>
      </w:r>
      <w:r w:rsidRPr="007D490B">
        <w:rPr>
          <w:color w:val="4A4A4A"/>
          <w:sz w:val="21"/>
          <w:lang w:val="en-US"/>
        </w:rPr>
        <w:t>comparability, except that all countries are encouraged to provide data with pension as deferred income. The data reported in the UN Global Database try, to the extent possible, to distinguish between the different concepts used for different countries.</w:t>
      </w:r>
    </w:p>
    <w:p w14:paraId="62E9598D" w14:textId="7472C84C" w:rsidR="006A1F8C" w:rsidRPr="007D490B" w:rsidRDefault="006A1F8C" w:rsidP="006A1F8C">
      <w:pPr>
        <w:shd w:val="clear" w:color="auto" w:fill="FFFFFF"/>
        <w:jc w:val="both"/>
        <w:rPr>
          <w:color w:val="4A4A4A"/>
          <w:sz w:val="21"/>
          <w:lang w:val="en-US"/>
        </w:rPr>
      </w:pPr>
      <w:r w:rsidRPr="007D490B">
        <w:rPr>
          <w:color w:val="4A4A4A"/>
          <w:sz w:val="21"/>
          <w:lang w:val="en-US"/>
        </w:rPr>
        <w:t>Feasibility: The Redistributive Impact of Fiscal Policy indicator can be estimated for any country with a micro-data set detailing incomes or expenditures (or both) at the household or individual level and with a set of fiscal, administrative, or budgetary records detailing public expenditures at the program level and revenue collections at the revenue-collection instrument level.</w:t>
      </w:r>
    </w:p>
    <w:p w14:paraId="5BF6808E" w14:textId="727B0092" w:rsidR="006A1F8C" w:rsidRPr="007D490B" w:rsidRDefault="006A1F8C" w:rsidP="006A1F8C">
      <w:pPr>
        <w:shd w:val="clear" w:color="auto" w:fill="FFFFFF"/>
        <w:jc w:val="both"/>
        <w:rPr>
          <w:color w:val="4A4A4A"/>
          <w:sz w:val="21"/>
          <w:lang w:val="en-US"/>
        </w:rPr>
      </w:pPr>
      <w:r w:rsidRPr="007D490B">
        <w:rPr>
          <w:color w:val="4A4A4A"/>
          <w:sz w:val="21"/>
          <w:lang w:val="en-US"/>
        </w:rPr>
        <w:t>Suitability/Relevance: The Redistributive Impact of Fiscal Policy indicator provides a direct estimate of the current impact of fiscal policy on redistribution (of incomes).  It therefore provides a direct estimate of progress on SDG Target 10.4: “</w:t>
      </w:r>
      <w:r w:rsidRPr="007D490B">
        <w:rPr>
          <w:b/>
          <w:color w:val="4A4A4A"/>
          <w:sz w:val="21"/>
          <w:lang w:val="en-US"/>
        </w:rPr>
        <w:t>Adopt policies, especially fiscal</w:t>
      </w:r>
      <w:r w:rsidRPr="007D490B">
        <w:rPr>
          <w:color w:val="4A4A4A"/>
          <w:sz w:val="21"/>
          <w:lang w:val="en-US"/>
        </w:rPr>
        <w:t xml:space="preserve">, </w:t>
      </w:r>
      <w:r w:rsidRPr="007D490B">
        <w:rPr>
          <w:b/>
          <w:color w:val="4A4A4A"/>
          <w:sz w:val="21"/>
          <w:lang w:val="en-US"/>
        </w:rPr>
        <w:t>wage</w:t>
      </w:r>
      <w:r w:rsidRPr="007D490B">
        <w:rPr>
          <w:color w:val="4A4A4A"/>
          <w:sz w:val="21"/>
          <w:lang w:val="en-US"/>
        </w:rPr>
        <w:t xml:space="preserve"> </w:t>
      </w:r>
      <w:r w:rsidRPr="007D490B">
        <w:rPr>
          <w:b/>
          <w:color w:val="4A4A4A"/>
          <w:sz w:val="21"/>
          <w:lang w:val="en-US"/>
        </w:rPr>
        <w:t>and social protection policies</w:t>
      </w:r>
      <w:r w:rsidRPr="007D490B">
        <w:rPr>
          <w:color w:val="4A4A4A"/>
          <w:sz w:val="21"/>
          <w:lang w:val="en-US"/>
        </w:rPr>
        <w:t xml:space="preserve">, </w:t>
      </w:r>
      <w:r w:rsidRPr="007D490B">
        <w:rPr>
          <w:b/>
          <w:color w:val="4A4A4A"/>
          <w:sz w:val="21"/>
          <w:lang w:val="en-US"/>
        </w:rPr>
        <w:t>and progressively achieve greater equality</w:t>
      </w:r>
      <w:r w:rsidRPr="007D490B">
        <w:rPr>
          <w:color w:val="4A4A4A"/>
          <w:sz w:val="21"/>
          <w:lang w:val="en-US"/>
        </w:rPr>
        <w:t>.” </w:t>
      </w:r>
    </w:p>
    <w:p w14:paraId="398C00AE" w14:textId="73993330" w:rsidR="00EC2915" w:rsidRPr="00871B5C" w:rsidRDefault="006A1F8C" w:rsidP="006A1F8C">
      <w:pPr>
        <w:shd w:val="clear" w:color="auto" w:fill="FFFFFF"/>
        <w:jc w:val="both"/>
        <w:rPr>
          <w:rFonts w:cstheme="minorHAnsi"/>
          <w:color w:val="4A4A4A"/>
          <w:lang w:val="en-US"/>
        </w:rPr>
      </w:pPr>
      <w:r w:rsidRPr="007D490B">
        <w:rPr>
          <w:color w:val="4A4A4A"/>
          <w:sz w:val="21"/>
          <w:lang w:val="en-US"/>
        </w:rPr>
        <w:t>Limitations: The Redistributive Impact of Fiscal Policy indicator does not address wage policy. It does not include the benefits of public provision of in-kind benefits, such as health, education, sanitation and housing services, which may have both present-day and longer-term impacts on present-day and future inequality.</w:t>
      </w:r>
      <w:r w:rsidRPr="00871B5C">
        <w:rPr>
          <w:rFonts w:cstheme="minorHAnsi"/>
          <w:color w:val="4A4A4A"/>
          <w:lang w:val="en-US"/>
        </w:rPr>
        <w:t xml:space="preserve"> </w:t>
      </w:r>
      <w:r w:rsidR="0092642A">
        <w:rPr>
          <w:rFonts w:cstheme="minorHAnsi"/>
          <w:color w:val="4A4A4A"/>
          <w:lang w:val="en-US"/>
        </w:rPr>
        <w:t>And, if the post-fiscal income is "disposable income," the indicator does not cap</w:t>
      </w:r>
      <w:r w:rsidR="0010662B">
        <w:rPr>
          <w:rFonts w:cstheme="minorHAnsi"/>
          <w:color w:val="4A4A4A"/>
          <w:lang w:val="en-US"/>
        </w:rPr>
        <w:t>t</w:t>
      </w:r>
      <w:r w:rsidR="0092642A">
        <w:rPr>
          <w:rFonts w:cstheme="minorHAnsi"/>
          <w:color w:val="4A4A4A"/>
          <w:lang w:val="en-US"/>
        </w:rPr>
        <w:t>ure the impact of indirect taxes and indirect price subsidies on inequality.</w:t>
      </w:r>
      <w:r w:rsidRPr="00871B5C">
        <w:rPr>
          <w:rFonts w:cstheme="minorHAnsi"/>
          <w:color w:val="4A4A4A"/>
          <w:lang w:val="en-US"/>
        </w:rPr>
        <w:t xml:space="preserve"> </w:t>
      </w:r>
      <w:r w:rsidR="0092642A">
        <w:rPr>
          <w:rFonts w:cstheme="minorHAnsi"/>
          <w:color w:val="4A4A4A"/>
          <w:lang w:val="en-US"/>
        </w:rPr>
        <w:t xml:space="preserve">The indicator does not </w:t>
      </w:r>
      <w:proofErr w:type="gramStart"/>
      <w:r w:rsidR="0092642A">
        <w:rPr>
          <w:rFonts w:cstheme="minorHAnsi"/>
          <w:color w:val="4A4A4A"/>
          <w:lang w:val="en-US"/>
        </w:rPr>
        <w:t>take into account</w:t>
      </w:r>
      <w:proofErr w:type="gramEnd"/>
      <w:r w:rsidR="0092642A">
        <w:rPr>
          <w:rFonts w:cstheme="minorHAnsi"/>
          <w:color w:val="4A4A4A"/>
          <w:lang w:val="en-US"/>
        </w:rPr>
        <w:t xml:space="preserve"> behavioral responses and general equilibrium effects.</w:t>
      </w:r>
    </w:p>
    <w:p w14:paraId="79EEEE38" w14:textId="30E04835" w:rsidR="00E1050F" w:rsidRPr="00871B5C" w:rsidRDefault="00E1050F" w:rsidP="00F719A8">
      <w:pPr>
        <w:pStyle w:val="MHeader2"/>
        <w:rPr>
          <w:rFonts w:cstheme="minorHAnsi"/>
        </w:rPr>
      </w:pPr>
      <w:r w:rsidRPr="00871B5C">
        <w:rPr>
          <w:rFonts w:cstheme="minorHAnsi"/>
        </w:rPr>
        <w:t>4.c. Method of computation</w:t>
      </w:r>
      <w:r w:rsidR="00BE751F" w:rsidRPr="00871B5C">
        <w:rPr>
          <w:rFonts w:cstheme="minorHAnsi"/>
        </w:rPr>
        <w:t xml:space="preserve"> </w:t>
      </w:r>
      <w:r w:rsidR="00BE751F">
        <w:rPr>
          <w:color w:val="B4B4B4"/>
          <w:sz w:val="20"/>
        </w:rPr>
        <w:t>(DATA_COMP)</w:t>
      </w:r>
    </w:p>
    <w:p w14:paraId="000946A7" w14:textId="5BBCBCCE" w:rsidR="006A1F8C" w:rsidRPr="007D490B" w:rsidRDefault="006A1F8C" w:rsidP="006A1F8C">
      <w:pPr>
        <w:jc w:val="both"/>
        <w:rPr>
          <w:color w:val="4A4A4A"/>
          <w:sz w:val="21"/>
          <w:lang w:val="en-US"/>
        </w:rPr>
      </w:pPr>
      <w:r w:rsidRPr="007D490B">
        <w:rPr>
          <w:color w:val="4A4A4A"/>
          <w:sz w:val="21"/>
          <w:u w:val="single"/>
          <w:lang w:val="en-US"/>
        </w:rPr>
        <w:t>Pre</w:t>
      </w:r>
      <w:r w:rsidR="00E925CD" w:rsidRPr="007D490B">
        <w:rPr>
          <w:color w:val="4A4A4A"/>
          <w:sz w:val="21"/>
          <w:u w:val="single"/>
          <w:lang w:val="en-US"/>
        </w:rPr>
        <w:t>-</w:t>
      </w:r>
      <w:r w:rsidRPr="007D490B">
        <w:rPr>
          <w:color w:val="4A4A4A"/>
          <w:sz w:val="21"/>
          <w:u w:val="single"/>
          <w:lang w:val="en-US"/>
        </w:rPr>
        <w:t>fiscal income</w:t>
      </w:r>
      <w:r w:rsidRPr="007D490B">
        <w:rPr>
          <w:color w:val="4A4A4A"/>
          <w:sz w:val="21"/>
          <w:lang w:val="en-US"/>
        </w:rPr>
        <w:t xml:space="preserve"> can be derived from a nationally</w:t>
      </w:r>
      <w:r w:rsidR="00E50569">
        <w:rPr>
          <w:color w:val="4A4A4A"/>
          <w:sz w:val="21"/>
          <w:lang w:val="en-US"/>
        </w:rPr>
        <w:t xml:space="preserve"> </w:t>
      </w:r>
      <w:r w:rsidRPr="007D490B">
        <w:rPr>
          <w:color w:val="4A4A4A"/>
          <w:sz w:val="21"/>
          <w:lang w:val="en-US"/>
        </w:rPr>
        <w:t xml:space="preserve">representative micro-data set (an Income and Expenditure Survey, for example). </w:t>
      </w:r>
      <w:r w:rsidRPr="007D490B">
        <w:rPr>
          <w:color w:val="4A4A4A"/>
          <w:sz w:val="21"/>
          <w:u w:val="single"/>
          <w:lang w:val="en-US"/>
        </w:rPr>
        <w:t>Post</w:t>
      </w:r>
      <w:r w:rsidR="00E925CD" w:rsidRPr="007D490B">
        <w:rPr>
          <w:color w:val="4A4A4A"/>
          <w:sz w:val="21"/>
          <w:u w:val="single"/>
          <w:lang w:val="en-US"/>
        </w:rPr>
        <w:t>-</w:t>
      </w:r>
      <w:r w:rsidRPr="007D490B">
        <w:rPr>
          <w:color w:val="4A4A4A"/>
          <w:sz w:val="21"/>
          <w:u w:val="single"/>
          <w:lang w:val="en-US"/>
        </w:rPr>
        <w:t>fiscal income</w:t>
      </w:r>
      <w:r w:rsidRPr="007D490B">
        <w:rPr>
          <w:color w:val="4A4A4A"/>
          <w:sz w:val="21"/>
          <w:lang w:val="en-US"/>
        </w:rPr>
        <w:t xml:space="preserve"> is estimated via the allocation of the tax burdens and the expenditure-based benefits that stem from fiscal policy (direct and indirect taxes, social contributions, direct cash and near-cash transfers, subsidies, </w:t>
      </w:r>
      <w:r w:rsidRPr="007D490B">
        <w:rPr>
          <w:i/>
          <w:color w:val="4A4A4A"/>
          <w:sz w:val="21"/>
          <w:lang w:val="en-US"/>
        </w:rPr>
        <w:t>et cetera</w:t>
      </w:r>
      <w:r w:rsidRPr="007D490B">
        <w:rPr>
          <w:color w:val="4A4A4A"/>
          <w:sz w:val="21"/>
          <w:lang w:val="en-US"/>
        </w:rPr>
        <w:t>). Procedures for constructing pre</w:t>
      </w:r>
      <w:r w:rsidR="00E925CD" w:rsidRPr="007D490B">
        <w:rPr>
          <w:color w:val="4A4A4A"/>
          <w:sz w:val="21"/>
          <w:lang w:val="en-US"/>
        </w:rPr>
        <w:t>-</w:t>
      </w:r>
      <w:r w:rsidRPr="007D490B">
        <w:rPr>
          <w:color w:val="4A4A4A"/>
          <w:sz w:val="21"/>
          <w:lang w:val="en-US"/>
        </w:rPr>
        <w:t>fiscal and post</w:t>
      </w:r>
      <w:r w:rsidR="00E925CD" w:rsidRPr="007D490B">
        <w:rPr>
          <w:color w:val="4A4A4A"/>
          <w:sz w:val="21"/>
          <w:lang w:val="en-US"/>
        </w:rPr>
        <w:t>-</w:t>
      </w:r>
      <w:r w:rsidRPr="007D490B">
        <w:rPr>
          <w:color w:val="4A4A4A"/>
          <w:sz w:val="21"/>
          <w:lang w:val="en-US"/>
        </w:rPr>
        <w:t>fiscal income concepts and estimating their distribution</w:t>
      </w:r>
      <w:r w:rsidRPr="007D490B">
        <w:rPr>
          <w:i/>
          <w:color w:val="4A4A4A"/>
          <w:sz w:val="21"/>
          <w:lang w:val="en-US"/>
        </w:rPr>
        <w:t xml:space="preserve"> </w:t>
      </w:r>
      <w:r w:rsidRPr="007D490B">
        <w:rPr>
          <w:color w:val="4A4A4A"/>
          <w:sz w:val="21"/>
          <w:lang w:val="en-US"/>
        </w:rPr>
        <w:t>from an underlying microdata set are detailed comprehensively in Lustig (</w:t>
      </w:r>
      <w:r w:rsidRPr="0076564F">
        <w:rPr>
          <w:color w:val="4A4A4A"/>
          <w:sz w:val="21"/>
          <w:lang w:val="en-US"/>
        </w:rPr>
        <w:t>20</w:t>
      </w:r>
      <w:r w:rsidR="000E058B">
        <w:rPr>
          <w:color w:val="4A4A4A"/>
          <w:sz w:val="21"/>
          <w:lang w:val="en-US"/>
        </w:rPr>
        <w:t>22</w:t>
      </w:r>
      <w:r w:rsidRPr="007D490B">
        <w:rPr>
          <w:color w:val="4A4A4A"/>
          <w:sz w:val="21"/>
          <w:lang w:val="en-US"/>
        </w:rPr>
        <w:t xml:space="preserve">) (Chapters 1, 6, and 7). </w:t>
      </w:r>
    </w:p>
    <w:p w14:paraId="7EE817A8" w14:textId="69DC27DD" w:rsidR="006A1F8C" w:rsidRDefault="007F2107" w:rsidP="006A1F8C">
      <w:pPr>
        <w:shd w:val="clear" w:color="auto" w:fill="FFFFFF"/>
        <w:jc w:val="both"/>
        <w:rPr>
          <w:rFonts w:cstheme="minorHAnsi"/>
          <w:color w:val="4A4A4A"/>
          <w:lang w:val="en-US"/>
        </w:rPr>
      </w:pPr>
      <w:r w:rsidRPr="007D490B">
        <w:rPr>
          <w:color w:val="4A4A4A"/>
          <w:sz w:val="21"/>
          <w:lang w:val="en-US"/>
        </w:rPr>
        <w:t xml:space="preserve">The Gini </w:t>
      </w:r>
      <w:r w:rsidR="003935E8" w:rsidRPr="007D490B">
        <w:rPr>
          <w:color w:val="4A4A4A"/>
          <w:sz w:val="21"/>
          <w:lang w:val="en-US"/>
        </w:rPr>
        <w:t xml:space="preserve">Index </w:t>
      </w:r>
      <w:r w:rsidRPr="007D490B">
        <w:rPr>
          <w:color w:val="4A4A4A"/>
          <w:sz w:val="21"/>
          <w:lang w:val="en-US"/>
        </w:rPr>
        <w:t xml:space="preserve">is calculated </w:t>
      </w:r>
      <w:r w:rsidR="00F80972" w:rsidRPr="007D490B">
        <w:rPr>
          <w:color w:val="4A4A4A"/>
          <w:sz w:val="21"/>
          <w:lang w:val="en-US"/>
        </w:rPr>
        <w:t xml:space="preserve">rescaling the </w:t>
      </w:r>
      <w:r w:rsidRPr="007D490B">
        <w:rPr>
          <w:color w:val="4A4A4A"/>
          <w:sz w:val="21"/>
          <w:lang w:val="en-US"/>
        </w:rPr>
        <w:t xml:space="preserve">Gini </w:t>
      </w:r>
      <w:r w:rsidR="003935E8" w:rsidRPr="007D490B">
        <w:rPr>
          <w:color w:val="4A4A4A"/>
          <w:sz w:val="21"/>
          <w:lang w:val="en-US"/>
        </w:rPr>
        <w:t xml:space="preserve">Coefficient </w:t>
      </w:r>
      <w:r w:rsidR="00F80972" w:rsidRPr="007D490B">
        <w:rPr>
          <w:color w:val="4A4A4A"/>
          <w:sz w:val="21"/>
          <w:lang w:val="en-US"/>
        </w:rPr>
        <w:t xml:space="preserve">by a factor of </w:t>
      </w:r>
      <w:r w:rsidRPr="007D490B">
        <w:rPr>
          <w:color w:val="4A4A4A"/>
          <w:sz w:val="21"/>
          <w:lang w:val="en-US"/>
        </w:rPr>
        <w:t xml:space="preserve">100. </w:t>
      </w:r>
      <w:r w:rsidR="006A1F8C" w:rsidRPr="007D490B">
        <w:rPr>
          <w:color w:val="4A4A4A"/>
          <w:sz w:val="21"/>
          <w:lang w:val="en-US"/>
        </w:rPr>
        <w:t xml:space="preserve">The </w:t>
      </w:r>
      <w:r w:rsidR="00C24E74" w:rsidRPr="007D490B">
        <w:rPr>
          <w:color w:val="4A4A4A"/>
          <w:sz w:val="21"/>
          <w:lang w:val="en-US"/>
        </w:rPr>
        <w:t xml:space="preserve">Gini </w:t>
      </w:r>
      <w:r w:rsidR="003935E8" w:rsidRPr="007D490B">
        <w:rPr>
          <w:color w:val="4A4A4A"/>
          <w:sz w:val="21"/>
          <w:lang w:val="en-US"/>
        </w:rPr>
        <w:t xml:space="preserve">Coefficient </w:t>
      </w:r>
      <w:r w:rsidR="006A1F8C" w:rsidRPr="007D490B">
        <w:rPr>
          <w:color w:val="4A4A4A"/>
          <w:sz w:val="21"/>
          <w:lang w:val="en-US"/>
        </w:rPr>
        <w:t xml:space="preserve">is calculated according to standard formulas for a (generalized) </w:t>
      </w:r>
      <w:r w:rsidR="00C24E74" w:rsidRPr="007D490B">
        <w:rPr>
          <w:color w:val="4A4A4A"/>
          <w:sz w:val="21"/>
          <w:lang w:val="en-US"/>
        </w:rPr>
        <w:t xml:space="preserve">Gini </w:t>
      </w:r>
      <w:r w:rsidR="003935E8" w:rsidRPr="007D490B">
        <w:rPr>
          <w:color w:val="4A4A4A"/>
          <w:sz w:val="21"/>
          <w:lang w:val="en-US"/>
        </w:rPr>
        <w:t>Coefficient</w:t>
      </w:r>
      <w:r w:rsidR="006A1F8C" w:rsidRPr="007D490B">
        <w:rPr>
          <w:color w:val="4A4A4A"/>
          <w:sz w:val="21"/>
          <w:lang w:val="en-US"/>
        </w:rPr>
        <w:t>. See, for example, Duclos and Araar (2006):</w:t>
      </w:r>
    </w:p>
    <w:p w14:paraId="66A9F9B2" w14:textId="36F159A3" w:rsidR="00B7594C" w:rsidRPr="00730A6A" w:rsidRDefault="007F2107" w:rsidP="006A1F8C">
      <w:pPr>
        <w:shd w:val="clear" w:color="auto" w:fill="FFFFFF"/>
        <w:jc w:val="both"/>
        <w:rPr>
          <w:rFonts w:eastAsia="Malgun Gothic" w:cstheme="minorHAnsi"/>
          <w:iCs/>
          <w:color w:val="4A4A4A"/>
          <w:lang w:eastAsia="ko-KR"/>
        </w:rPr>
      </w:pPr>
      <w:r>
        <w:rPr>
          <w:rFonts w:cstheme="minorHAnsi"/>
          <w:iCs/>
          <w:noProof/>
          <w:color w:val="4A4A4A"/>
          <w:lang w:val="en-US"/>
        </w:rPr>
        <mc:AlternateContent>
          <mc:Choice Requires="wps">
            <w:drawing>
              <wp:anchor distT="0" distB="0" distL="114300" distR="114300" simplePos="0" relativeHeight="251658240" behindDoc="0" locked="0" layoutInCell="1" allowOverlap="1" wp14:anchorId="29553A89" wp14:editId="45FD8AF8">
                <wp:simplePos x="0" y="0"/>
                <wp:positionH relativeFrom="column">
                  <wp:posOffset>1508760</wp:posOffset>
                </wp:positionH>
                <wp:positionV relativeFrom="paragraph">
                  <wp:posOffset>212090</wp:posOffset>
                </wp:positionV>
                <wp:extent cx="2621280" cy="312420"/>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2621280" cy="312420"/>
                        </a:xfrm>
                        <a:prstGeom prst="rect">
                          <a:avLst/>
                        </a:prstGeom>
                        <a:solidFill>
                          <a:schemeClr val="lt1"/>
                        </a:solidFill>
                        <a:ln w="6350">
                          <a:noFill/>
                        </a:ln>
                      </wps:spPr>
                      <wps:txbx>
                        <w:txbxContent>
                          <w:p w14:paraId="5D4D23F0" w14:textId="541E39F0" w:rsidR="007F2107" w:rsidRPr="00B7594C" w:rsidRDefault="007F2107" w:rsidP="007F2107">
                            <w:pPr>
                              <w:shd w:val="clear" w:color="auto" w:fill="FFFFFF"/>
                              <w:jc w:val="both"/>
                              <w:rPr>
                                <w:rFonts w:eastAsia="Malgun Gothic" w:cstheme="minorHAnsi"/>
                                <w:iCs/>
                                <w:color w:val="000000" w:themeColor="text1"/>
                                <w:lang w:val="en-US"/>
                              </w:rPr>
                            </w:pPr>
                            <m:oMathPara>
                              <m:oMathParaPr>
                                <m:jc m:val="left"/>
                              </m:oMathParaPr>
                              <m:oMath>
                                <m:r>
                                  <m:rPr>
                                    <m:sty m:val="p"/>
                                  </m:rPr>
                                  <w:rPr>
                                    <w:rFonts w:ascii="Cambria Math" w:hAnsi="Cambria Math" w:cstheme="minorHAnsi"/>
                                    <w:color w:val="000000" w:themeColor="text1"/>
                                  </w:rPr>
                                  <m:t>GINI Index</m:t>
                                </m:r>
                                <m:r>
                                  <m:rPr>
                                    <m:sty m:val="p"/>
                                  </m:rPr>
                                  <w:rPr>
                                    <w:rFonts w:ascii="Cambria Math" w:hAnsi="Cambria Math" w:cstheme="minorHAnsi"/>
                                    <w:color w:val="000000" w:themeColor="text1"/>
                                    <w:lang w:val="en-US"/>
                                  </w:rPr>
                                  <m:t xml:space="preserve">=100 x GINI </m:t>
                                </m:r>
                                <m:d>
                                  <m:dPr>
                                    <m:ctrlPr>
                                      <w:rPr>
                                        <w:rFonts w:ascii="Cambria Math" w:hAnsi="Cambria Math" w:cstheme="minorHAnsi"/>
                                        <w:iCs/>
                                        <w:color w:val="000000" w:themeColor="text1"/>
                                        <w:lang w:val="en-US"/>
                                      </w:rPr>
                                    </m:ctrlPr>
                                  </m:dPr>
                                  <m:e>
                                    <m:r>
                                      <m:rPr>
                                        <m:sty m:val="p"/>
                                      </m:rPr>
                                      <w:rPr>
                                        <w:rFonts w:ascii="Cambria Math" w:hAnsi="Cambria Math" w:cstheme="minorHAnsi"/>
                                        <w:color w:val="000000" w:themeColor="text1"/>
                                        <w:lang w:val="en-US"/>
                                      </w:rPr>
                                      <m:t>Χ;υ</m:t>
                                    </m:r>
                                  </m:e>
                                </m:d>
                              </m:oMath>
                            </m:oMathPara>
                          </w:p>
                          <w:p w14:paraId="1DE1EB95" w14:textId="77777777" w:rsidR="00B7594C" w:rsidRPr="00B7594C" w:rsidRDefault="00B7594C" w:rsidP="007F2107">
                            <w:pPr>
                              <w:shd w:val="clear" w:color="auto" w:fill="FFFFFF"/>
                              <w:jc w:val="both"/>
                              <w:rPr>
                                <w:rFonts w:eastAsia="Malgun Gothic" w:cstheme="minorHAnsi"/>
                                <w:iCs/>
                                <w:color w:val="000000" w:themeColor="text1"/>
                                <w:lang w:val="en-US" w:eastAsia="ko-KR"/>
                              </w:rPr>
                            </w:pPr>
                          </w:p>
                          <w:p w14:paraId="08350F72" w14:textId="77777777" w:rsidR="00B7594C" w:rsidRPr="00CC7BE1" w:rsidRDefault="00B7594C" w:rsidP="007F2107">
                            <w:pPr>
                              <w:shd w:val="clear" w:color="auto" w:fill="FFFFFF"/>
                              <w:jc w:val="both"/>
                              <w:rPr>
                                <w:rFonts w:eastAsia="Malgun Gothic" w:cstheme="minorHAnsi"/>
                                <w:iCs/>
                                <w:color w:val="000000" w:themeColor="text1"/>
                                <w:lang w:val="en-US" w:eastAsia="ko-KR"/>
                              </w:rPr>
                            </w:pPr>
                          </w:p>
                          <w:p w14:paraId="1716378C" w14:textId="77777777" w:rsidR="007F2107" w:rsidRDefault="007F21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53A89" id="_x0000_t202" coordsize="21600,21600" o:spt="202" path="m,l,21600r21600,l21600,xe">
                <v:stroke joinstyle="miter"/>
                <v:path gradientshapeok="t" o:connecttype="rect"/>
              </v:shapetype>
              <v:shape id="Text Box 3" o:spid="_x0000_s1026" type="#_x0000_t202" style="position:absolute;left:0;text-align:left;margin-left:118.8pt;margin-top:16.7pt;width:206.4pt;height:2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" fillcolor="white [3201]" stroked="f" strokeweight=".5pt">
                <v:textbox>
                  <w:txbxContent>
                    <w:p w14:paraId="5D4D23F0" w14:textId="541E39F0" w:rsidR="007F2107" w:rsidRPr="00B7594C" w:rsidRDefault="007F2107" w:rsidP="007F2107">
                      <w:pPr>
                        <w:shd w:val="clear" w:color="auto" w:fill="FFFFFF"/>
                        <w:jc w:val="both"/>
                        <w:rPr>
                          <w:rFonts w:eastAsia="Malgun Gothic" w:cstheme="minorHAnsi"/>
                          <w:iCs/>
                          <w:color w:val="000000" w:themeColor="text1"/>
                          <w:lang w:val="en-US"/>
                        </w:rPr>
                      </w:pPr>
                      <m:oMathPara>
                        <m:oMathParaPr>
                          <m:jc m:val="left"/>
                        </m:oMathParaPr>
                        <m:oMath>
                          <m:r>
                            <m:rPr>
                              <m:sty m:val="p"/>
                            </m:rPr>
                            <w:rPr>
                              <w:rFonts w:ascii="Cambria Math" w:hAnsi="Cambria Math" w:cstheme="minorHAnsi"/>
                              <w:color w:val="000000" w:themeColor="text1"/>
                            </w:rPr>
                            <m:t>GINI Index</m:t>
                          </m:r>
                          <m:r>
                            <m:rPr>
                              <m:sty m:val="p"/>
                            </m:rPr>
                            <w:rPr>
                              <w:rFonts w:ascii="Cambria Math" w:hAnsi="Cambria Math" w:cstheme="minorHAnsi"/>
                              <w:color w:val="000000" w:themeColor="text1"/>
                              <w:lang w:val="en-US"/>
                            </w:rPr>
                            <m:t xml:space="preserve">=100 x GINI </m:t>
                          </m:r>
                          <m:d>
                            <m:dPr>
                              <m:ctrlPr>
                                <w:rPr>
                                  <w:rFonts w:ascii="Cambria Math" w:hAnsi="Cambria Math" w:cstheme="minorHAnsi"/>
                                  <w:iCs/>
                                  <w:color w:val="000000" w:themeColor="text1"/>
                                  <w:lang w:val="en-US"/>
                                </w:rPr>
                              </m:ctrlPr>
                            </m:dPr>
                            <m:e>
                              <m:r>
                                <m:rPr>
                                  <m:sty m:val="p"/>
                                </m:rPr>
                                <w:rPr>
                                  <w:rFonts w:ascii="Cambria Math" w:hAnsi="Cambria Math" w:cstheme="minorHAnsi"/>
                                  <w:color w:val="000000" w:themeColor="text1"/>
                                  <w:lang w:val="en-US"/>
                                </w:rPr>
                                <m:t>Χ;υ</m:t>
                              </m:r>
                            </m:e>
                          </m:d>
                        </m:oMath>
                      </m:oMathPara>
                    </w:p>
                    <w:p w14:paraId="1DE1EB95" w14:textId="77777777" w:rsidR="00B7594C" w:rsidRPr="00B7594C" w:rsidRDefault="00B7594C" w:rsidP="007F2107">
                      <w:pPr>
                        <w:shd w:val="clear" w:color="auto" w:fill="FFFFFF"/>
                        <w:jc w:val="both"/>
                        <w:rPr>
                          <w:rFonts w:eastAsia="Malgun Gothic" w:cstheme="minorHAnsi"/>
                          <w:iCs/>
                          <w:color w:val="000000" w:themeColor="text1"/>
                          <w:lang w:val="en-US" w:eastAsia="ko-KR"/>
                        </w:rPr>
                      </w:pPr>
                    </w:p>
                    <w:p w14:paraId="08350F72" w14:textId="77777777" w:rsidR="00B7594C" w:rsidRPr="00CC7BE1" w:rsidRDefault="00B7594C" w:rsidP="007F2107">
                      <w:pPr>
                        <w:shd w:val="clear" w:color="auto" w:fill="FFFFFF"/>
                        <w:jc w:val="both"/>
                        <w:rPr>
                          <w:rFonts w:eastAsia="Malgun Gothic" w:cstheme="minorHAnsi"/>
                          <w:iCs/>
                          <w:color w:val="000000" w:themeColor="text1"/>
                          <w:lang w:val="en-US" w:eastAsia="ko-KR"/>
                        </w:rPr>
                      </w:pPr>
                    </w:p>
                    <w:p w14:paraId="1716378C" w14:textId="77777777" w:rsidR="007F2107" w:rsidRDefault="007F2107"/>
                  </w:txbxContent>
                </v:textbox>
              </v:shape>
            </w:pict>
          </mc:Fallback>
        </mc:AlternateContent>
      </w:r>
    </w:p>
    <w:p w14:paraId="7C8B71C7" w14:textId="0EF8067F" w:rsidR="00B7594C" w:rsidRDefault="00B7594C" w:rsidP="006A1F8C">
      <w:pPr>
        <w:shd w:val="clear" w:color="auto" w:fill="FFFFFF"/>
        <w:jc w:val="both"/>
        <w:rPr>
          <w:rFonts w:eastAsia="Malgun Gothic" w:cstheme="minorHAnsi"/>
          <w:color w:val="4A4A4A"/>
          <w:lang w:eastAsia="ko-KR"/>
        </w:rPr>
      </w:pPr>
    </w:p>
    <w:p w14:paraId="300AA01C" w14:textId="0E19A5DC" w:rsidR="004A7647" w:rsidRPr="00620F23" w:rsidRDefault="007C085C" w:rsidP="006A1F8C">
      <w:pPr>
        <w:shd w:val="clear" w:color="auto" w:fill="FFFFFF"/>
        <w:jc w:val="both"/>
        <w:rPr>
          <w:rFonts w:eastAsia="Malgun Gothic" w:cstheme="minorHAnsi"/>
          <w:iCs/>
          <w:color w:val="4A4A4A"/>
          <w:lang w:eastAsia="ko-KR"/>
        </w:rPr>
      </w:pPr>
      <m:oMathPara>
        <m:oMath>
          <m:r>
            <m:rPr>
              <m:sty m:val="p"/>
            </m:rPr>
            <w:rPr>
              <w:rFonts w:ascii="Cambria Math" w:eastAsia="Malgun Gothic" w:hAnsi="Cambria Math" w:cstheme="minorHAnsi"/>
              <w:color w:val="4A4A4A"/>
              <w:lang w:eastAsia="ko-KR"/>
            </w:rPr>
            <m:t>GINI(X;</m:t>
          </m:r>
          <m:r>
            <m:rPr>
              <m:sty m:val="p"/>
            </m:rPr>
            <w:rPr>
              <w:rFonts w:ascii="Cambria Math" w:hAnsi="Cambria Math" w:cstheme="minorHAnsi"/>
              <w:color w:val="000000" w:themeColor="text1"/>
              <w:lang w:val="en-US"/>
            </w:rPr>
            <m:t>υ</m:t>
          </m:r>
          <m:r>
            <m:rPr>
              <m:sty m:val="p"/>
            </m:rPr>
            <w:rPr>
              <w:rFonts w:ascii="Cambria Math" w:eastAsia="Malgun Gothic" w:hAnsi="Cambria Math" w:cstheme="minorHAnsi"/>
              <w:color w:val="4A4A4A"/>
              <w:lang w:eastAsia="ko-KR"/>
            </w:rPr>
            <m:t>)=-</m:t>
          </m:r>
          <m:r>
            <m:rPr>
              <m:sty m:val="p"/>
            </m:rPr>
            <w:rPr>
              <w:rFonts w:ascii="Cambria Math" w:hAnsi="Cambria Math" w:cstheme="minorHAnsi"/>
              <w:color w:val="000000" w:themeColor="text1"/>
              <w:lang w:val="en-US"/>
            </w:rPr>
            <m:t xml:space="preserve">υ </m:t>
          </m:r>
          <m:r>
            <m:rPr>
              <m:sty m:val="p"/>
            </m:rPr>
            <w:rPr>
              <w:rFonts w:ascii="Cambria Math" w:eastAsia="Malgun Gothic" w:hAnsi="Cambria Math" w:cstheme="minorHAnsi"/>
              <w:color w:val="000000" w:themeColor="text1"/>
              <w:lang w:val="en-US" w:eastAsia="ko-KR"/>
            </w:rPr>
            <m:t>Cov</m:t>
          </m:r>
          <m:d>
            <m:dPr>
              <m:ctrlPr>
                <w:rPr>
                  <w:rFonts w:ascii="Cambria Math" w:eastAsia="Malgun Gothic" w:hAnsi="Cambria Math" w:cstheme="minorHAnsi"/>
                  <w:iCs/>
                  <w:color w:val="000000" w:themeColor="text1"/>
                  <w:lang w:val="en-US" w:eastAsia="ko-KR"/>
                </w:rPr>
              </m:ctrlPr>
            </m:dPr>
            <m:e>
              <m:f>
                <m:fPr>
                  <m:ctrlPr>
                    <w:rPr>
                      <w:rFonts w:ascii="Cambria Math" w:eastAsia="Malgun Gothic" w:hAnsi="Cambria Math" w:cstheme="minorHAnsi"/>
                      <w:iCs/>
                      <w:color w:val="000000" w:themeColor="text1"/>
                      <w:lang w:val="en-US" w:eastAsia="ko-KR"/>
                    </w:rPr>
                  </m:ctrlPr>
                </m:fPr>
                <m:num>
                  <m:r>
                    <m:rPr>
                      <m:sty m:val="p"/>
                    </m:rPr>
                    <w:rPr>
                      <w:rFonts w:ascii="Cambria Math" w:eastAsia="Malgun Gothic" w:hAnsi="Cambria Math" w:cstheme="minorHAnsi"/>
                      <w:color w:val="000000" w:themeColor="text1"/>
                      <w:lang w:val="en-US" w:eastAsia="ko-KR"/>
                    </w:rPr>
                    <m:t>X</m:t>
                  </m:r>
                </m:num>
                <m:den>
                  <m:r>
                    <m:rPr>
                      <m:sty m:val="p"/>
                    </m:rPr>
                    <w:rPr>
                      <w:rFonts w:ascii="Cambria Math" w:eastAsia="Malgun Gothic" w:hAnsi="Cambria Math" w:cstheme="minorHAnsi"/>
                      <w:color w:val="000000" w:themeColor="text1"/>
                      <w:lang w:val="en-US" w:eastAsia="ko-KR"/>
                    </w:rPr>
                    <m:t>μ(X)</m:t>
                  </m:r>
                </m:den>
              </m:f>
              <m:r>
                <m:rPr>
                  <m:sty m:val="p"/>
                </m:rPr>
                <w:rPr>
                  <w:rFonts w:ascii="Cambria Math" w:eastAsia="Malgun Gothic" w:hAnsi="Cambria Math" w:cstheme="minorHAnsi"/>
                  <w:color w:val="000000" w:themeColor="text1"/>
                  <w:lang w:val="en-US" w:eastAsia="ko-KR"/>
                </w:rPr>
                <m:t xml:space="preserve">,   </m:t>
              </m:r>
              <m:sSup>
                <m:sSupPr>
                  <m:ctrlPr>
                    <w:rPr>
                      <w:rFonts w:ascii="Cambria Math" w:eastAsia="Malgun Gothic" w:hAnsi="Cambria Math" w:cstheme="minorHAnsi"/>
                      <w:iCs/>
                      <w:color w:val="000000" w:themeColor="text1"/>
                      <w:lang w:val="en-US" w:eastAsia="ko-KR"/>
                    </w:rPr>
                  </m:ctrlPr>
                </m:sSupPr>
                <m:e>
                  <m:r>
                    <m:rPr>
                      <m:sty m:val="p"/>
                    </m:rPr>
                    <w:rPr>
                      <w:rFonts w:ascii="Cambria Math" w:eastAsia="Malgun Gothic" w:hAnsi="Cambria Math" w:cstheme="minorHAnsi"/>
                      <w:color w:val="000000" w:themeColor="text1"/>
                      <w:lang w:val="en-US" w:eastAsia="ko-KR"/>
                    </w:rPr>
                    <m:t>(1-F(X))</m:t>
                  </m:r>
                </m:e>
                <m:sup>
                  <m:r>
                    <m:rPr>
                      <m:sty m:val="p"/>
                    </m:rPr>
                    <w:rPr>
                      <w:rFonts w:ascii="Cambria Math" w:hAnsi="Cambria Math" w:cstheme="minorHAnsi"/>
                      <w:color w:val="000000" w:themeColor="text1"/>
                      <w:lang w:val="en-US"/>
                    </w:rPr>
                    <m:t>υ-</m:t>
                  </m:r>
                  <m:r>
                    <m:rPr>
                      <m:sty m:val="p"/>
                    </m:rPr>
                    <w:rPr>
                      <w:rFonts w:ascii="Cambria Math" w:eastAsia="Malgun Gothic" w:hAnsi="Cambria Math" w:cstheme="minorHAnsi"/>
                      <w:color w:val="000000" w:themeColor="text1"/>
                      <w:lang w:val="en-US" w:eastAsia="ko-KR"/>
                    </w:rPr>
                    <m:t>1</m:t>
                  </m:r>
                </m:sup>
              </m:sSup>
            </m:e>
          </m:d>
        </m:oMath>
      </m:oMathPara>
    </w:p>
    <w:p w14:paraId="6A89839E" w14:textId="64FFF77E" w:rsidR="00576CFA" w:rsidRPr="007D490B" w:rsidRDefault="006A1F8C" w:rsidP="006A1F8C">
      <w:pPr>
        <w:shd w:val="clear" w:color="auto" w:fill="FFFFFF"/>
        <w:jc w:val="both"/>
        <w:rPr>
          <w:color w:val="4A4A4A"/>
          <w:sz w:val="21"/>
          <w:lang w:val="en-US"/>
        </w:rPr>
      </w:pPr>
      <w:r w:rsidRPr="007D490B">
        <w:rPr>
          <w:color w:val="4A4A4A"/>
          <w:sz w:val="21"/>
          <w:lang w:val="en-US"/>
        </w:rPr>
        <w:t xml:space="preserve">where X is a random variable of interest with mean </w:t>
      </w:r>
      <w:r w:rsidRPr="007D490B">
        <w:rPr>
          <w:color w:val="4A4A4A"/>
          <w:sz w:val="21"/>
        </w:rPr>
        <w:t>μ</w:t>
      </w:r>
      <w:r w:rsidRPr="007D490B">
        <w:rPr>
          <w:color w:val="4A4A4A"/>
          <w:sz w:val="21"/>
          <w:lang w:val="en-US"/>
        </w:rPr>
        <w:t xml:space="preserve">(X), F(X) is its cumulative distribution function, </w:t>
      </w:r>
      <w:r w:rsidRPr="007D490B">
        <w:rPr>
          <w:color w:val="4A4A4A"/>
          <w:sz w:val="21"/>
        </w:rPr>
        <w:t>υ</w:t>
      </w:r>
      <w:r w:rsidRPr="007D490B">
        <w:rPr>
          <w:color w:val="4A4A4A"/>
          <w:sz w:val="21"/>
          <w:lang w:val="en-US"/>
        </w:rPr>
        <w:t xml:space="preserve"> is a parameter tuning the degree of ‘aversion to inequality’. The standard Gini corresponds to </w:t>
      </w:r>
      <w:r w:rsidRPr="007D490B">
        <w:rPr>
          <w:color w:val="4A4A4A"/>
          <w:sz w:val="21"/>
        </w:rPr>
        <w:t>υ</w:t>
      </w:r>
      <w:r w:rsidRPr="007D490B">
        <w:rPr>
          <w:color w:val="4A4A4A"/>
          <w:sz w:val="21"/>
          <w:lang w:val="en-US"/>
        </w:rPr>
        <w:t xml:space="preserve"> = 2. </w:t>
      </w:r>
      <w:proofErr w:type="spellStart"/>
      <w:r w:rsidRPr="007D490B">
        <w:rPr>
          <w:color w:val="4A4A4A"/>
          <w:sz w:val="21"/>
          <w:lang w:val="en-US"/>
        </w:rPr>
        <w:t>Cov</w:t>
      </w:r>
      <w:proofErr w:type="spellEnd"/>
      <w:r w:rsidRPr="007D490B">
        <w:rPr>
          <w:color w:val="4A4A4A"/>
          <w:sz w:val="21"/>
          <w:lang w:val="en-US"/>
        </w:rPr>
        <w:t xml:space="preserve"> is a Covariance estimate.</w:t>
      </w:r>
    </w:p>
    <w:p w14:paraId="514CE3C0" w14:textId="5BB226D9" w:rsidR="00E1050F" w:rsidRPr="00871B5C" w:rsidRDefault="00576CFA" w:rsidP="00F719A8">
      <w:pPr>
        <w:pStyle w:val="MHeader2"/>
        <w:rPr>
          <w:rFonts w:cstheme="minorHAnsi"/>
        </w:rPr>
      </w:pPr>
      <w:r w:rsidRPr="00871B5C">
        <w:rPr>
          <w:rFonts w:cstheme="minorHAnsi"/>
        </w:rPr>
        <w:t>4.d. Validation</w:t>
      </w:r>
      <w:r w:rsidR="00BE751F" w:rsidRPr="00871B5C">
        <w:rPr>
          <w:rFonts w:cstheme="minorHAnsi"/>
        </w:rPr>
        <w:t xml:space="preserve"> </w:t>
      </w:r>
      <w:r w:rsidR="00BE751F">
        <w:rPr>
          <w:color w:val="B4B4B4"/>
          <w:sz w:val="20"/>
        </w:rPr>
        <w:t>(DATA_VALIDATION)</w:t>
      </w:r>
    </w:p>
    <w:p w14:paraId="2F68BADF" w14:textId="1EEADDC9" w:rsidR="007F2107" w:rsidRDefault="007F2107" w:rsidP="007F2107">
      <w:pPr>
        <w:pStyle w:val="MText"/>
        <w:rPr>
          <w:rFonts w:cstheme="minorHAnsi"/>
          <w:lang w:val="en-US"/>
        </w:rPr>
      </w:pPr>
      <w:r w:rsidRPr="00871B5C">
        <w:rPr>
          <w:rFonts w:cstheme="minorHAnsi"/>
          <w:lang w:val="en-US"/>
        </w:rPr>
        <w:t>The validation process</w:t>
      </w:r>
      <w:r w:rsidR="000C4EEE">
        <w:rPr>
          <w:rFonts w:cstheme="minorHAnsi"/>
          <w:lang w:val="en-US"/>
        </w:rPr>
        <w:t xml:space="preserve"> would </w:t>
      </w:r>
      <w:r w:rsidRPr="00871B5C">
        <w:rPr>
          <w:rFonts w:cstheme="minorHAnsi"/>
          <w:lang w:val="en-US"/>
        </w:rPr>
        <w:t xml:space="preserve">require consultation with </w:t>
      </w:r>
      <w:r w:rsidR="00550071">
        <w:rPr>
          <w:rFonts w:cstheme="minorHAnsi"/>
          <w:lang w:val="en-US"/>
        </w:rPr>
        <w:t>line</w:t>
      </w:r>
      <w:r w:rsidRPr="00871B5C">
        <w:rPr>
          <w:rFonts w:cstheme="minorHAnsi"/>
          <w:lang w:val="en-US"/>
        </w:rPr>
        <w:t xml:space="preserve"> ministries and agencies responsible for executing programmatic expenditures or revenue collections.</w:t>
      </w:r>
    </w:p>
    <w:p w14:paraId="0025F830" w14:textId="77777777" w:rsidR="00F719A8" w:rsidRPr="00871B5C" w:rsidRDefault="00F719A8" w:rsidP="00576CFA">
      <w:pPr>
        <w:pStyle w:val="MText"/>
        <w:rPr>
          <w:rFonts w:cstheme="minorHAnsi"/>
        </w:rPr>
      </w:pPr>
    </w:p>
    <w:p w14:paraId="2CF2A343" w14:textId="0F7078FA" w:rsidR="00E1050F" w:rsidRPr="00871B5C" w:rsidRDefault="00E1050F" w:rsidP="00F719A8">
      <w:pPr>
        <w:pStyle w:val="MHeader2"/>
        <w:rPr>
          <w:rFonts w:cstheme="minorHAnsi"/>
        </w:rPr>
      </w:pPr>
      <w:r w:rsidRPr="00871B5C">
        <w:rPr>
          <w:rFonts w:cstheme="minorHAnsi"/>
        </w:rPr>
        <w:t>4.e. Adjustments</w:t>
      </w:r>
      <w:r w:rsidR="00BE751F" w:rsidRPr="00871B5C">
        <w:rPr>
          <w:rFonts w:cstheme="minorHAnsi"/>
        </w:rPr>
        <w:t xml:space="preserve"> </w:t>
      </w:r>
      <w:r w:rsidR="00BE751F">
        <w:rPr>
          <w:color w:val="B4B4B4"/>
          <w:sz w:val="20"/>
        </w:rPr>
        <w:t>(ADJUSTMENT)</w:t>
      </w:r>
    </w:p>
    <w:p w14:paraId="5032CC5E" w14:textId="373B8EF4" w:rsidR="00576CFA" w:rsidRPr="00871B5C" w:rsidRDefault="00BA567F" w:rsidP="00576CFA">
      <w:pPr>
        <w:pStyle w:val="MText"/>
        <w:rPr>
          <w:rFonts w:cstheme="minorHAnsi"/>
        </w:rPr>
      </w:pPr>
      <w:r>
        <w:rPr>
          <w:rFonts w:cstheme="minorHAnsi"/>
        </w:rPr>
        <w:t>Not applicable</w:t>
      </w:r>
    </w:p>
    <w:p w14:paraId="7FBAEBBA" w14:textId="77777777" w:rsidR="00EC2915" w:rsidRPr="00871B5C" w:rsidRDefault="00EC2915" w:rsidP="00576CFA">
      <w:pPr>
        <w:pStyle w:val="MText"/>
        <w:rPr>
          <w:rFonts w:cstheme="minorHAnsi"/>
        </w:rPr>
      </w:pPr>
    </w:p>
    <w:p w14:paraId="17735630" w14:textId="7A3B3CC3" w:rsidR="00E1050F" w:rsidRPr="00871B5C" w:rsidRDefault="00576CFA" w:rsidP="00F719A8">
      <w:pPr>
        <w:pStyle w:val="MHeader2"/>
        <w:rPr>
          <w:rFonts w:cstheme="minorHAnsi"/>
        </w:rPr>
      </w:pPr>
      <w:r w:rsidRPr="00871B5C">
        <w:rPr>
          <w:rFonts w:cstheme="minorHAnsi"/>
        </w:rPr>
        <w:t>4.f. Treatment of missing values (i) at country le</w:t>
      </w:r>
      <w:r w:rsidR="00E1050F" w:rsidRPr="00871B5C">
        <w:rPr>
          <w:rFonts w:cstheme="minorHAnsi"/>
        </w:rPr>
        <w:t>vel and (ii) at regional level</w:t>
      </w:r>
      <w:r w:rsidR="00BE751F" w:rsidRPr="00871B5C">
        <w:rPr>
          <w:rFonts w:cstheme="minorHAnsi"/>
        </w:rPr>
        <w:t xml:space="preserve"> </w:t>
      </w:r>
      <w:r w:rsidR="00BE751F">
        <w:rPr>
          <w:color w:val="B4B4B4"/>
          <w:sz w:val="20"/>
        </w:rPr>
        <w:t>(IMPUTATION)</w:t>
      </w:r>
    </w:p>
    <w:p w14:paraId="58DCB865" w14:textId="6401FAFC" w:rsidR="00D51E7C" w:rsidRPr="000B649B" w:rsidRDefault="00D51E7C" w:rsidP="00D51E7C">
      <w:pPr>
        <w:pStyle w:val="MText"/>
        <w:rPr>
          <w:b/>
        </w:rPr>
      </w:pPr>
      <w:r w:rsidRPr="000B649B">
        <w:rPr>
          <w:b/>
        </w:rPr>
        <w:t>•</w:t>
      </w:r>
      <w:r w:rsidRPr="000B649B">
        <w:rPr>
          <w:b/>
        </w:rPr>
        <w:tab/>
        <w:t>At country level</w:t>
      </w:r>
    </w:p>
    <w:p w14:paraId="40F8FAA4" w14:textId="1AD17010" w:rsidR="006A1F8C" w:rsidRPr="00871B5C" w:rsidRDefault="006A1F8C" w:rsidP="00D51E7C">
      <w:pPr>
        <w:pStyle w:val="MText"/>
        <w:rPr>
          <w:rFonts w:cstheme="minorHAnsi"/>
          <w:highlight w:val="cyan"/>
        </w:rPr>
      </w:pPr>
      <w:r w:rsidRPr="00871B5C">
        <w:rPr>
          <w:rFonts w:cstheme="minorHAnsi"/>
        </w:rPr>
        <w:t xml:space="preserve">When a nationally representative micro-data set or country-level fiscal, budgetary, and administrative data are not available, the indicator cannot be generated. </w:t>
      </w:r>
      <w:r w:rsidR="00F553B3">
        <w:rPr>
          <w:rFonts w:cstheme="minorHAnsi"/>
        </w:rPr>
        <w:t xml:space="preserve">An exception is Argentina </w:t>
      </w:r>
      <w:r w:rsidR="00222A50">
        <w:rPr>
          <w:rFonts w:cstheme="minorHAnsi"/>
        </w:rPr>
        <w:t>where</w:t>
      </w:r>
      <w:r w:rsidR="00F553B3">
        <w:rPr>
          <w:rFonts w:cstheme="minorHAnsi"/>
        </w:rPr>
        <w:t xml:space="preserve"> the household survey is representative only</w:t>
      </w:r>
      <w:r w:rsidR="00222A50">
        <w:rPr>
          <w:rFonts w:cstheme="minorHAnsi"/>
        </w:rPr>
        <w:t xml:space="preserve"> of</w:t>
      </w:r>
      <w:r w:rsidR="00F553B3">
        <w:rPr>
          <w:rFonts w:cstheme="minorHAnsi"/>
        </w:rPr>
        <w:t xml:space="preserve"> the urban population.</w:t>
      </w:r>
      <w:r w:rsidR="00F553B3" w:rsidRPr="00871B5C">
        <w:rPr>
          <w:rFonts w:cstheme="minorHAnsi"/>
        </w:rPr>
        <w:t xml:space="preserve"> </w:t>
      </w:r>
      <w:r w:rsidRPr="00871B5C">
        <w:rPr>
          <w:rFonts w:cstheme="minorHAnsi"/>
        </w:rPr>
        <w:t xml:space="preserve">Budget and administrative data exists for every fiscal system but is not always public. </w:t>
      </w:r>
    </w:p>
    <w:p w14:paraId="1B6182A5" w14:textId="54983DC5" w:rsidR="00D51E7C" w:rsidRPr="00871B5C" w:rsidRDefault="00D51E7C" w:rsidP="00D51E7C">
      <w:pPr>
        <w:pStyle w:val="MText"/>
        <w:rPr>
          <w:rFonts w:cstheme="minorHAnsi"/>
          <w:highlight w:val="cyan"/>
        </w:rPr>
      </w:pPr>
    </w:p>
    <w:p w14:paraId="06DDC253" w14:textId="3B068364" w:rsidR="00D51E7C" w:rsidRPr="000B649B" w:rsidRDefault="00D51E7C" w:rsidP="00D51E7C">
      <w:pPr>
        <w:pStyle w:val="MText"/>
        <w:rPr>
          <w:b/>
        </w:rPr>
      </w:pPr>
      <w:r w:rsidRPr="000B649B">
        <w:rPr>
          <w:b/>
        </w:rPr>
        <w:t>•</w:t>
      </w:r>
      <w:r w:rsidRPr="000B649B">
        <w:rPr>
          <w:b/>
        </w:rPr>
        <w:tab/>
        <w:t>At regional and global levels</w:t>
      </w:r>
    </w:p>
    <w:p w14:paraId="04748E1F" w14:textId="03EB781C" w:rsidR="00D51E7C" w:rsidRPr="00871B5C" w:rsidRDefault="006A1F8C" w:rsidP="00D51E7C">
      <w:pPr>
        <w:pStyle w:val="MText"/>
        <w:rPr>
          <w:rFonts w:cstheme="minorHAnsi"/>
        </w:rPr>
      </w:pPr>
      <w:r w:rsidRPr="00871B5C">
        <w:rPr>
          <w:rFonts w:cstheme="minorHAnsi"/>
        </w:rPr>
        <w:t>Currently no regional or global aggregates exist for this indicator.</w:t>
      </w:r>
    </w:p>
    <w:p w14:paraId="27033367" w14:textId="77777777" w:rsidR="00EC2915" w:rsidRPr="00871B5C" w:rsidRDefault="00EC2915" w:rsidP="00576CFA">
      <w:pPr>
        <w:pStyle w:val="MText"/>
        <w:rPr>
          <w:rFonts w:cstheme="minorHAnsi"/>
        </w:rPr>
      </w:pPr>
    </w:p>
    <w:p w14:paraId="51FCD280" w14:textId="2F86FEB2" w:rsidR="00E1050F" w:rsidRPr="00871B5C" w:rsidRDefault="00E1050F" w:rsidP="00F719A8">
      <w:pPr>
        <w:pStyle w:val="MHeader2"/>
        <w:rPr>
          <w:rFonts w:cstheme="minorHAnsi"/>
        </w:rPr>
      </w:pPr>
      <w:r w:rsidRPr="00871B5C">
        <w:rPr>
          <w:rFonts w:cstheme="minorHAnsi"/>
        </w:rPr>
        <w:t xml:space="preserve">4.g. </w:t>
      </w:r>
      <w:proofErr w:type="gramStart"/>
      <w:r w:rsidRPr="00871B5C">
        <w:rPr>
          <w:rFonts w:cstheme="minorHAnsi"/>
        </w:rPr>
        <w:t>Regional</w:t>
      </w:r>
      <w:proofErr w:type="gramEnd"/>
      <w:r w:rsidRPr="00871B5C">
        <w:rPr>
          <w:rFonts w:cstheme="minorHAnsi"/>
        </w:rPr>
        <w:t xml:space="preserve"> aggregations</w:t>
      </w:r>
      <w:r w:rsidR="00BE751F" w:rsidRPr="00871B5C">
        <w:rPr>
          <w:rFonts w:cstheme="minorHAnsi"/>
        </w:rPr>
        <w:t xml:space="preserve"> </w:t>
      </w:r>
      <w:r w:rsidR="00BE751F">
        <w:rPr>
          <w:color w:val="B4B4B4"/>
          <w:sz w:val="20"/>
        </w:rPr>
        <w:t>(REG_AGG)</w:t>
      </w:r>
    </w:p>
    <w:p w14:paraId="2EA010B7" w14:textId="39CBEE55" w:rsidR="00EC2915" w:rsidRDefault="006A1F8C" w:rsidP="006A1F8C">
      <w:pPr>
        <w:shd w:val="clear" w:color="auto" w:fill="FFFFFF"/>
        <w:jc w:val="both"/>
        <w:rPr>
          <w:rFonts w:cstheme="minorHAnsi"/>
          <w:color w:val="4A4A4A"/>
          <w:lang w:val="en-US"/>
        </w:rPr>
      </w:pPr>
      <w:r w:rsidRPr="00871B5C">
        <w:rPr>
          <w:rFonts w:cstheme="minorHAnsi"/>
          <w:color w:val="4A4A4A"/>
          <w:lang w:val="en-US"/>
        </w:rPr>
        <w:t xml:space="preserve">Currently no regional or global aggregates exist for this indicator. </w:t>
      </w:r>
    </w:p>
    <w:p w14:paraId="5F8315A2" w14:textId="77777777" w:rsidR="009F636B" w:rsidRPr="007D490B" w:rsidRDefault="009F636B" w:rsidP="007D490B">
      <w:pPr>
        <w:pStyle w:val="NoSpacing"/>
        <w:rPr>
          <w:lang w:val="en-US"/>
        </w:rPr>
      </w:pPr>
    </w:p>
    <w:p w14:paraId="71213FF2" w14:textId="4B2FDC75" w:rsidR="00E1050F" w:rsidRPr="00871B5C" w:rsidRDefault="00576CFA" w:rsidP="00F719A8">
      <w:pPr>
        <w:pStyle w:val="MHeader2"/>
        <w:rPr>
          <w:rFonts w:cstheme="minorHAnsi"/>
        </w:rPr>
      </w:pPr>
      <w:r w:rsidRPr="00871B5C">
        <w:rPr>
          <w:rFonts w:cstheme="minorHAnsi"/>
        </w:rPr>
        <w:t xml:space="preserve">4.h. Methods and guidance available to countries for the compilation of </w:t>
      </w:r>
      <w:r w:rsidR="00E1050F" w:rsidRPr="00871B5C">
        <w:rPr>
          <w:rFonts w:cstheme="minorHAnsi"/>
        </w:rPr>
        <w:t>the data at the national level</w:t>
      </w:r>
      <w:r w:rsidR="00BE751F" w:rsidRPr="00871B5C">
        <w:rPr>
          <w:rFonts w:cstheme="minorHAnsi"/>
        </w:rPr>
        <w:t xml:space="preserve"> </w:t>
      </w:r>
      <w:r w:rsidR="00BE751F">
        <w:rPr>
          <w:color w:val="B4B4B4"/>
          <w:sz w:val="20"/>
        </w:rPr>
        <w:t>(DOC_METHOD)</w:t>
      </w:r>
    </w:p>
    <w:p w14:paraId="4D911051" w14:textId="6FC4DAAC" w:rsidR="006A1F8C" w:rsidRPr="007D490B" w:rsidRDefault="006A1F8C" w:rsidP="006A1F8C">
      <w:pPr>
        <w:jc w:val="both"/>
        <w:rPr>
          <w:color w:val="000000" w:themeColor="text1"/>
          <w:sz w:val="21"/>
          <w:lang w:val="en-US"/>
        </w:rPr>
      </w:pPr>
      <w:r w:rsidRPr="007D490B">
        <w:rPr>
          <w:color w:val="4A4A4A"/>
          <w:sz w:val="21"/>
          <w:lang w:val="en-US"/>
        </w:rPr>
        <w:t xml:space="preserve">A complete description of the methodology, recommendations, and guidelines behind the generation of the Redistributive Impact of Fiscal Policy indicator can be found in Chapters 1, 6, 7, 8 and Part IV in </w:t>
      </w:r>
      <w:hyperlink r:id="rId18" w:history="1">
        <w:r w:rsidRPr="007D490B">
          <w:rPr>
            <w:rStyle w:val="Hyperlink"/>
            <w:sz w:val="21"/>
            <w:lang w:val="en-US"/>
          </w:rPr>
          <w:t>Lustig (</w:t>
        </w:r>
        <w:r w:rsidRPr="0076564F">
          <w:rPr>
            <w:rStyle w:val="Hyperlink"/>
            <w:sz w:val="21"/>
            <w:lang w:val="en-US"/>
          </w:rPr>
          <w:t>20</w:t>
        </w:r>
        <w:r w:rsidR="000E058B">
          <w:rPr>
            <w:rStyle w:val="Hyperlink"/>
            <w:sz w:val="21"/>
            <w:lang w:val="en-US"/>
          </w:rPr>
          <w:t>22</w:t>
        </w:r>
        <w:r w:rsidRPr="007D490B">
          <w:rPr>
            <w:rStyle w:val="Hyperlink"/>
            <w:sz w:val="21"/>
            <w:lang w:val="en-US"/>
          </w:rPr>
          <w:t>).</w:t>
        </w:r>
      </w:hyperlink>
    </w:p>
    <w:p w14:paraId="2939895F" w14:textId="42E1D120" w:rsidR="00EC2915" w:rsidRDefault="006A1F8C" w:rsidP="006A1F8C">
      <w:pPr>
        <w:shd w:val="clear" w:color="auto" w:fill="FFFFFF"/>
        <w:jc w:val="both"/>
        <w:rPr>
          <w:rFonts w:cstheme="minorHAnsi"/>
          <w:bCs/>
          <w:iCs/>
          <w:color w:val="4A4A4A"/>
          <w:lang w:val="en-US"/>
        </w:rPr>
      </w:pPr>
      <w:r w:rsidRPr="007D490B">
        <w:rPr>
          <w:color w:val="4A4A4A"/>
          <w:sz w:val="21"/>
          <w:lang w:val="en-US"/>
        </w:rPr>
        <w:t>This indicator can be calculated based on the current state of household surveys micro-data and budget administrative data.</w:t>
      </w:r>
    </w:p>
    <w:p w14:paraId="6C209A54" w14:textId="77777777" w:rsidR="009F636B" w:rsidRPr="007D490B" w:rsidRDefault="009F636B" w:rsidP="007D490B">
      <w:pPr>
        <w:pStyle w:val="NoSpacing"/>
        <w:rPr>
          <w:lang w:val="en-US"/>
        </w:rPr>
      </w:pPr>
    </w:p>
    <w:p w14:paraId="494C36E8" w14:textId="38B5377B" w:rsidR="00E1050F" w:rsidRPr="00871B5C" w:rsidRDefault="00576CFA" w:rsidP="00F719A8">
      <w:pPr>
        <w:pStyle w:val="MHeader2"/>
        <w:rPr>
          <w:rFonts w:cstheme="minorHAnsi"/>
        </w:rPr>
      </w:pPr>
      <w:r w:rsidRPr="00871B5C">
        <w:rPr>
          <w:rFonts w:cstheme="minorHAnsi"/>
        </w:rPr>
        <w:t xml:space="preserve">4.i. </w:t>
      </w:r>
      <w:r w:rsidR="00E1050F" w:rsidRPr="00871B5C">
        <w:rPr>
          <w:rFonts w:cstheme="minorHAnsi"/>
        </w:rPr>
        <w:t>Quality management</w:t>
      </w:r>
      <w:r w:rsidR="00BE751F" w:rsidRPr="00871B5C">
        <w:rPr>
          <w:rFonts w:cstheme="minorHAnsi"/>
        </w:rPr>
        <w:t xml:space="preserve"> </w:t>
      </w:r>
      <w:r w:rsidR="00BE751F">
        <w:rPr>
          <w:color w:val="B4B4B4"/>
          <w:sz w:val="20"/>
        </w:rPr>
        <w:t>(QUALITY_MGMNT)</w:t>
      </w:r>
    </w:p>
    <w:p w14:paraId="356BAA24" w14:textId="2FCA0FCE" w:rsidR="00576CFA" w:rsidRPr="007D490B" w:rsidRDefault="0022743B" w:rsidP="00E66B0B">
      <w:pPr>
        <w:pStyle w:val="MText"/>
        <w:jc w:val="both"/>
      </w:pPr>
      <w:r w:rsidRPr="007D490B">
        <w:lastRenderedPageBreak/>
        <w:t xml:space="preserve">The </w:t>
      </w:r>
      <w:r w:rsidR="00B32791" w:rsidRPr="007D490B">
        <w:t>W</w:t>
      </w:r>
      <w:r w:rsidR="00AF3009" w:rsidRPr="007D490B">
        <w:rPr>
          <w:rFonts w:eastAsia="Malgun Gothic"/>
        </w:rPr>
        <w:t xml:space="preserve">orld </w:t>
      </w:r>
      <w:r w:rsidR="00B32791" w:rsidRPr="007D490B">
        <w:t>B</w:t>
      </w:r>
      <w:r w:rsidR="00AF3009" w:rsidRPr="007D490B">
        <w:rPr>
          <w:rFonts w:eastAsia="Malgun Gothic"/>
        </w:rPr>
        <w:t>ank</w:t>
      </w:r>
      <w:r w:rsidRPr="007D490B">
        <w:t xml:space="preserve"> as custodian </w:t>
      </w:r>
      <w:r w:rsidR="000B0607" w:rsidRPr="007D490B">
        <w:t xml:space="preserve">will coordinate with data compilers </w:t>
      </w:r>
      <w:r w:rsidR="00993E49" w:rsidRPr="007D490B">
        <w:t xml:space="preserve">on the quality of their respective country indicators. </w:t>
      </w:r>
      <w:r w:rsidR="00CA74C9" w:rsidRPr="007D490B">
        <w:t xml:space="preserve">The </w:t>
      </w:r>
      <w:r w:rsidR="001616D2">
        <w:t xml:space="preserve">Poverty </w:t>
      </w:r>
      <w:r w:rsidR="00A968A6">
        <w:t xml:space="preserve">Global Department </w:t>
      </w:r>
      <w:r w:rsidR="001616D2">
        <w:t>at</w:t>
      </w:r>
      <w:r w:rsidR="001616D2" w:rsidRPr="007D490B">
        <w:t xml:space="preserve"> the </w:t>
      </w:r>
      <w:r w:rsidR="00CA74C9" w:rsidRPr="0076564F">
        <w:t>WBG</w:t>
      </w:r>
      <w:r w:rsidR="00823BCE" w:rsidRPr="0076564F">
        <w:t xml:space="preserve"> verif</w:t>
      </w:r>
      <w:r w:rsidR="00A968A6">
        <w:t>ies</w:t>
      </w:r>
      <w:r w:rsidR="00823BCE" w:rsidRPr="007D490B">
        <w:t xml:space="preserve"> </w:t>
      </w:r>
      <w:r w:rsidR="00D017F7" w:rsidRPr="007D490B">
        <w:t xml:space="preserve">the </w:t>
      </w:r>
      <w:r w:rsidR="0039521C" w:rsidRPr="007D490B">
        <w:t xml:space="preserve">SDG 10.4.2 </w:t>
      </w:r>
      <w:r w:rsidR="00D017F7" w:rsidRPr="007D490B">
        <w:t>indicators</w:t>
      </w:r>
      <w:r w:rsidR="0039521C" w:rsidRPr="007D490B">
        <w:t xml:space="preserve"> produced by WBG</w:t>
      </w:r>
      <w:r w:rsidR="00E66B0B" w:rsidRPr="007D490B">
        <w:t>.</w:t>
      </w:r>
    </w:p>
    <w:p w14:paraId="5484B16D" w14:textId="77777777" w:rsidR="00EC2915" w:rsidRPr="00BA567F" w:rsidRDefault="00EC2915" w:rsidP="00576CFA">
      <w:pPr>
        <w:pStyle w:val="MText"/>
        <w:rPr>
          <w:rFonts w:cstheme="minorHAnsi"/>
        </w:rPr>
      </w:pPr>
    </w:p>
    <w:p w14:paraId="17B979CA" w14:textId="1E8DCC16" w:rsidR="00E1050F" w:rsidRPr="00871B5C" w:rsidRDefault="00E1050F" w:rsidP="00F719A8">
      <w:pPr>
        <w:pStyle w:val="MHeader2"/>
        <w:rPr>
          <w:rFonts w:cstheme="minorHAnsi"/>
        </w:rPr>
      </w:pPr>
      <w:r w:rsidRPr="00871B5C">
        <w:rPr>
          <w:rFonts w:cstheme="minorHAnsi"/>
        </w:rPr>
        <w:t>4.j Quality assurance</w:t>
      </w:r>
      <w:r w:rsidR="00BE751F" w:rsidRPr="00871B5C">
        <w:rPr>
          <w:rFonts w:cstheme="minorHAnsi"/>
        </w:rPr>
        <w:t xml:space="preserve"> </w:t>
      </w:r>
      <w:r w:rsidR="00BE751F">
        <w:rPr>
          <w:color w:val="B4B4B4"/>
          <w:sz w:val="20"/>
        </w:rPr>
        <w:t>(QUALITY_ASSURE)</w:t>
      </w:r>
    </w:p>
    <w:p w14:paraId="6D3D0667" w14:textId="75CD290D" w:rsidR="006A1F8C" w:rsidRPr="007D490B" w:rsidRDefault="006A1F8C" w:rsidP="006A1F8C">
      <w:pPr>
        <w:shd w:val="clear" w:color="auto" w:fill="FFFFFF"/>
        <w:jc w:val="both"/>
        <w:rPr>
          <w:color w:val="4A4A4A"/>
          <w:sz w:val="21"/>
          <w:lang w:val="en-US"/>
        </w:rPr>
      </w:pPr>
      <w:r w:rsidRPr="007D490B">
        <w:rPr>
          <w:color w:val="4A4A4A"/>
          <w:sz w:val="21"/>
          <w:lang w:val="en-US"/>
        </w:rPr>
        <w:t>In its role as custodian agency of the proposed indicator for SDG</w:t>
      </w:r>
      <w:r w:rsidR="00EC5B9F" w:rsidRPr="007D490B">
        <w:rPr>
          <w:color w:val="4A4A4A"/>
          <w:sz w:val="21"/>
          <w:lang w:val="en-US"/>
        </w:rPr>
        <w:t xml:space="preserve"> </w:t>
      </w:r>
      <w:r w:rsidRPr="007D490B">
        <w:rPr>
          <w:color w:val="4A4A4A"/>
          <w:sz w:val="21"/>
          <w:lang w:val="en-US"/>
        </w:rPr>
        <w:t>10.4</w:t>
      </w:r>
      <w:r w:rsidR="006766DB">
        <w:rPr>
          <w:color w:val="4A4A4A"/>
          <w:sz w:val="21"/>
          <w:lang w:val="en-US"/>
        </w:rPr>
        <w:t>.2</w:t>
      </w:r>
      <w:r w:rsidRPr="007D490B">
        <w:rPr>
          <w:color w:val="4A4A4A"/>
          <w:sz w:val="21"/>
          <w:lang w:val="en-US"/>
        </w:rPr>
        <w:t>, the World Bank is responsible for quality control of and quality assurance over all data submitted to the SDG Indicators Database, as well as the underlying analysis and documentation.</w:t>
      </w:r>
    </w:p>
    <w:p w14:paraId="761A533C" w14:textId="3F1B2142" w:rsidR="006A1F8C" w:rsidRPr="007D490B" w:rsidRDefault="006A1F8C" w:rsidP="006A1F8C">
      <w:pPr>
        <w:shd w:val="clear" w:color="auto" w:fill="FFFFFF"/>
        <w:jc w:val="both"/>
        <w:rPr>
          <w:color w:val="4A4A4A"/>
          <w:sz w:val="21"/>
          <w:lang w:val="en-US"/>
        </w:rPr>
      </w:pPr>
      <w:r w:rsidRPr="007D490B">
        <w:rPr>
          <w:color w:val="4A4A4A"/>
          <w:sz w:val="21"/>
          <w:lang w:val="en-US"/>
        </w:rPr>
        <w:t xml:space="preserve">In practice and taking advantage of the proposed partnership between the WBG and the </w:t>
      </w:r>
      <w:hyperlink r:id="rId19" w:history="1">
        <w:r w:rsidRPr="007D490B">
          <w:rPr>
            <w:rStyle w:val="Hyperlink"/>
            <w:sz w:val="21"/>
            <w:lang w:val="en-US"/>
          </w:rPr>
          <w:t>Commitment to Equity Institute</w:t>
        </w:r>
      </w:hyperlink>
      <w:r w:rsidR="00125FAE" w:rsidRPr="007D490B">
        <w:rPr>
          <w:rStyle w:val="Hyperlink"/>
          <w:sz w:val="21"/>
        </w:rPr>
        <w:t xml:space="preserve"> </w:t>
      </w:r>
      <w:r w:rsidR="00125FAE" w:rsidRPr="0076564F">
        <w:rPr>
          <w:rStyle w:val="Hyperlink"/>
          <w:rFonts w:cstheme="minorHAnsi"/>
          <w:sz w:val="21"/>
          <w:szCs w:val="21"/>
          <w:lang w:val="en-US"/>
        </w:rPr>
        <w:t>(</w:t>
      </w:r>
      <w:hyperlink r:id="rId20" w:history="1">
        <w:r w:rsidR="00C9603D" w:rsidRPr="00A7133C">
          <w:rPr>
            <w:rStyle w:val="Hyperlink"/>
            <w:sz w:val="21"/>
            <w:szCs w:val="21"/>
          </w:rPr>
          <w:t>CEQ</w:t>
        </w:r>
        <w:r w:rsidR="00125FAE" w:rsidRPr="00A7133C">
          <w:rPr>
            <w:rStyle w:val="Hyperlink"/>
            <w:sz w:val="21"/>
            <w:szCs w:val="21"/>
          </w:rPr>
          <w:t>)</w:t>
        </w:r>
        <w:r w:rsidR="00C9603D" w:rsidRPr="00A7133C">
          <w:rPr>
            <w:rStyle w:val="Hyperlink"/>
            <w:sz w:val="21"/>
            <w:szCs w:val="21"/>
          </w:rPr>
          <w:t xml:space="preserve"> Institute</w:t>
        </w:r>
      </w:hyperlink>
      <w:r w:rsidRPr="0076564F">
        <w:rPr>
          <w:color w:val="000000" w:themeColor="text1"/>
          <w:sz w:val="21"/>
          <w:szCs w:val="21"/>
          <w:lang w:val="en-US"/>
        </w:rPr>
        <w:t xml:space="preserve"> </w:t>
      </w:r>
      <w:r w:rsidRPr="007D490B">
        <w:rPr>
          <w:color w:val="4A4A4A"/>
          <w:sz w:val="21"/>
          <w:lang w:val="en-US"/>
        </w:rPr>
        <w:t xml:space="preserve">at Tulane University regarding the monitoring of the proposed indicator, the Institute will be responsible for quality control of and quality assurance over the Redistributive Impact of Fiscal Policy indicators submitted by the Institute. Similarly, the OECD will be responsible for quality control of and quality </w:t>
      </w:r>
      <w:r w:rsidR="00BA567F" w:rsidRPr="007D490B">
        <w:rPr>
          <w:color w:val="4A4A4A"/>
          <w:sz w:val="21"/>
          <w:lang w:val="en-US"/>
        </w:rPr>
        <w:t>assurance</w:t>
      </w:r>
      <w:r w:rsidRPr="007D490B">
        <w:rPr>
          <w:color w:val="4A4A4A"/>
          <w:sz w:val="21"/>
          <w:lang w:val="en-US"/>
        </w:rPr>
        <w:t xml:space="preserve"> over the Redistributive Impact of Fiscal Policy indicators submitted by OECD member nations.</w:t>
      </w:r>
    </w:p>
    <w:p w14:paraId="03EF3244" w14:textId="5AACC20B" w:rsidR="00EC2915" w:rsidRPr="00871B5C" w:rsidRDefault="006A1F8C" w:rsidP="006A1F8C">
      <w:pPr>
        <w:shd w:val="clear" w:color="auto" w:fill="FFFFFF"/>
        <w:jc w:val="both"/>
        <w:rPr>
          <w:rFonts w:cstheme="minorHAnsi"/>
          <w:color w:val="4A4A4A"/>
          <w:lang w:val="en-US"/>
        </w:rPr>
      </w:pPr>
      <w:r w:rsidRPr="007D490B">
        <w:rPr>
          <w:color w:val="4A4A4A"/>
          <w:sz w:val="21"/>
          <w:lang w:val="en-US"/>
        </w:rPr>
        <w:t xml:space="preserve">For any data reporting outside of the CEQ </w:t>
      </w:r>
      <w:r w:rsidR="00BA567F" w:rsidRPr="007D490B">
        <w:rPr>
          <w:color w:val="4A4A4A"/>
          <w:sz w:val="21"/>
          <w:lang w:val="en-US"/>
        </w:rPr>
        <w:t>Institute</w:t>
      </w:r>
      <w:r w:rsidRPr="007D490B">
        <w:rPr>
          <w:color w:val="4A4A4A"/>
          <w:sz w:val="21"/>
          <w:lang w:val="en-US"/>
        </w:rPr>
        <w:t xml:space="preserve"> and OECD, the World Bank</w:t>
      </w:r>
      <w:r w:rsidR="00A7133C" w:rsidRPr="007D490B">
        <w:rPr>
          <w:color w:val="4A4A4A"/>
          <w:sz w:val="21"/>
          <w:lang w:val="en-US"/>
        </w:rPr>
        <w:t xml:space="preserve"> </w:t>
      </w:r>
      <w:r w:rsidRPr="007D490B">
        <w:rPr>
          <w:color w:val="4A4A4A"/>
          <w:sz w:val="21"/>
          <w:lang w:val="en-US"/>
        </w:rPr>
        <w:t>will review accompanying technical documentation to confirm that the methodology employed is consistent with that described in Lustig (</w:t>
      </w:r>
      <w:r w:rsidRPr="0076564F">
        <w:rPr>
          <w:color w:val="4A4A4A"/>
          <w:sz w:val="21"/>
          <w:lang w:val="en-US"/>
        </w:rPr>
        <w:t>20</w:t>
      </w:r>
      <w:r w:rsidR="000E058B">
        <w:rPr>
          <w:color w:val="4A4A4A"/>
          <w:sz w:val="21"/>
          <w:lang w:val="en-US"/>
        </w:rPr>
        <w:t>22</w:t>
      </w:r>
      <w:r w:rsidRPr="007D490B">
        <w:rPr>
          <w:color w:val="4A4A4A"/>
          <w:sz w:val="21"/>
          <w:lang w:val="en-US"/>
        </w:rPr>
        <w:t xml:space="preserve">). Where questions arise, the </w:t>
      </w:r>
      <w:r w:rsidR="00B32791" w:rsidRPr="007D490B">
        <w:rPr>
          <w:color w:val="4A4A4A"/>
          <w:sz w:val="21"/>
          <w:lang w:val="en-US"/>
        </w:rPr>
        <w:t>W</w:t>
      </w:r>
      <w:r w:rsidR="00AF3009" w:rsidRPr="007D490B">
        <w:rPr>
          <w:color w:val="4A4A4A"/>
          <w:sz w:val="21"/>
          <w:lang w:val="en-US"/>
        </w:rPr>
        <w:t xml:space="preserve">orld </w:t>
      </w:r>
      <w:r w:rsidR="00B32791" w:rsidRPr="007D490B">
        <w:rPr>
          <w:color w:val="4A4A4A"/>
          <w:sz w:val="21"/>
          <w:lang w:val="en-US"/>
        </w:rPr>
        <w:t>B</w:t>
      </w:r>
      <w:r w:rsidR="00AF3009" w:rsidRPr="007D490B">
        <w:rPr>
          <w:color w:val="4A4A4A"/>
          <w:sz w:val="21"/>
          <w:lang w:val="en-US"/>
        </w:rPr>
        <w:t>ank</w:t>
      </w:r>
      <w:r w:rsidRPr="007D490B">
        <w:rPr>
          <w:color w:val="4A4A4A"/>
          <w:sz w:val="21"/>
          <w:lang w:val="en-US"/>
        </w:rPr>
        <w:t xml:space="preserve"> will engage with the reporting institution to verify the analysis.</w:t>
      </w:r>
    </w:p>
    <w:p w14:paraId="34ADD322" w14:textId="1C4302DA" w:rsidR="00E1050F" w:rsidRPr="00871B5C" w:rsidRDefault="00576CFA" w:rsidP="00F719A8">
      <w:pPr>
        <w:pStyle w:val="MHeader2"/>
        <w:rPr>
          <w:rFonts w:cstheme="minorHAnsi"/>
        </w:rPr>
      </w:pPr>
      <w:r w:rsidRPr="00871B5C">
        <w:rPr>
          <w:rFonts w:cstheme="minorHAnsi"/>
        </w:rPr>
        <w:t>4.k Qua</w:t>
      </w:r>
      <w:r w:rsidR="00E1050F" w:rsidRPr="00871B5C">
        <w:rPr>
          <w:rFonts w:cstheme="minorHAnsi"/>
        </w:rPr>
        <w:t>lity assessment</w:t>
      </w:r>
      <w:r w:rsidR="00BE751F" w:rsidRPr="00871B5C">
        <w:rPr>
          <w:rFonts w:cstheme="minorHAnsi"/>
        </w:rPr>
        <w:t xml:space="preserve"> </w:t>
      </w:r>
      <w:r w:rsidR="00BE751F">
        <w:rPr>
          <w:color w:val="B4B4B4"/>
          <w:sz w:val="20"/>
        </w:rPr>
        <w:t>(QUALITY_ASSMNT)</w:t>
      </w:r>
    </w:p>
    <w:p w14:paraId="0B4C5723" w14:textId="77777777" w:rsidR="00EC5808" w:rsidRPr="007D490B" w:rsidRDefault="00EC5808" w:rsidP="007C7AB9">
      <w:pPr>
        <w:shd w:val="clear" w:color="auto" w:fill="FFFFFF"/>
        <w:jc w:val="both"/>
        <w:rPr>
          <w:b/>
          <w:color w:val="4A4A4A"/>
          <w:sz w:val="21"/>
          <w:lang w:val="en-US"/>
        </w:rPr>
      </w:pPr>
      <w:r w:rsidRPr="007D490B">
        <w:rPr>
          <w:b/>
          <w:color w:val="4A4A4A"/>
          <w:sz w:val="21"/>
          <w:lang w:val="en-US"/>
        </w:rPr>
        <w:t>Reporting requirements:</w:t>
      </w:r>
    </w:p>
    <w:p w14:paraId="0AB79AD5" w14:textId="157926C1" w:rsidR="00EC5808" w:rsidRPr="007D490B" w:rsidRDefault="00EC5808" w:rsidP="007C7AB9">
      <w:pPr>
        <w:shd w:val="clear" w:color="auto" w:fill="FFFFFF"/>
        <w:jc w:val="both"/>
        <w:rPr>
          <w:color w:val="4A4A4A"/>
          <w:sz w:val="21"/>
          <w:lang w:val="en-US"/>
        </w:rPr>
      </w:pPr>
      <w:r w:rsidRPr="007D490B">
        <w:rPr>
          <w:color w:val="4A4A4A"/>
          <w:sz w:val="21"/>
          <w:lang w:val="en-US"/>
        </w:rPr>
        <w:t xml:space="preserve">The </w:t>
      </w:r>
      <w:r w:rsidRPr="0076564F">
        <w:rPr>
          <w:color w:val="4A4A4A"/>
          <w:sz w:val="21"/>
          <w:lang w:val="en-US"/>
        </w:rPr>
        <w:t>W</w:t>
      </w:r>
      <w:r w:rsidR="00B27945">
        <w:rPr>
          <w:rFonts w:eastAsia="Malgun Gothic" w:hint="eastAsia"/>
          <w:color w:val="4A4A4A"/>
          <w:sz w:val="21"/>
          <w:lang w:val="en-US" w:eastAsia="ko-KR"/>
        </w:rPr>
        <w:t xml:space="preserve">orld </w:t>
      </w:r>
      <w:r w:rsidRPr="0076564F">
        <w:rPr>
          <w:color w:val="4A4A4A"/>
          <w:sz w:val="21"/>
          <w:lang w:val="en-US"/>
        </w:rPr>
        <w:t>B</w:t>
      </w:r>
      <w:r w:rsidR="00B27945">
        <w:rPr>
          <w:rFonts w:eastAsia="Malgun Gothic" w:hint="eastAsia"/>
          <w:color w:val="4A4A4A"/>
          <w:sz w:val="21"/>
          <w:lang w:val="en-US" w:eastAsia="ko-KR"/>
        </w:rPr>
        <w:t>ank</w:t>
      </w:r>
      <w:r w:rsidRPr="0076564F">
        <w:rPr>
          <w:color w:val="4A4A4A"/>
          <w:sz w:val="21"/>
          <w:lang w:val="en-US"/>
        </w:rPr>
        <w:t xml:space="preserve"> </w:t>
      </w:r>
      <w:r w:rsidR="00BE5796">
        <w:rPr>
          <w:color w:val="4A4A4A"/>
          <w:sz w:val="21"/>
          <w:lang w:val="en-US"/>
        </w:rPr>
        <w:t>requests the following</w:t>
      </w:r>
      <w:r w:rsidRPr="0076564F">
        <w:rPr>
          <w:color w:val="4A4A4A"/>
          <w:sz w:val="21"/>
          <w:lang w:val="en-US"/>
        </w:rPr>
        <w:t xml:space="preserve"> </w:t>
      </w:r>
      <w:r w:rsidRPr="007D490B">
        <w:rPr>
          <w:color w:val="4A4A4A"/>
          <w:sz w:val="21"/>
          <w:lang w:val="en-US"/>
        </w:rPr>
        <w:t xml:space="preserve">information </w:t>
      </w:r>
      <w:r w:rsidR="00A824AE">
        <w:rPr>
          <w:color w:val="4A4A4A"/>
          <w:sz w:val="21"/>
          <w:lang w:val="en-US"/>
        </w:rPr>
        <w:t xml:space="preserve">from </w:t>
      </w:r>
      <w:r w:rsidR="00A824AE" w:rsidRPr="0076564F">
        <w:rPr>
          <w:color w:val="4A4A4A"/>
          <w:sz w:val="21"/>
          <w:lang w:val="en-US"/>
        </w:rPr>
        <w:t>Commitment to Equity</w:t>
      </w:r>
      <w:r w:rsidR="00A824AE">
        <w:rPr>
          <w:color w:val="4A4A4A"/>
          <w:sz w:val="21"/>
          <w:lang w:val="en-US"/>
        </w:rPr>
        <w:t xml:space="preserve"> (</w:t>
      </w:r>
      <w:r w:rsidR="00A824AE">
        <w:rPr>
          <w:rFonts w:cstheme="minorHAnsi"/>
          <w:color w:val="4A4A4A"/>
          <w:sz w:val="21"/>
          <w:szCs w:val="21"/>
          <w:lang w:val="en-US"/>
        </w:rPr>
        <w:t>CEQ)</w:t>
      </w:r>
      <w:r w:rsidR="00A824AE" w:rsidRPr="0076564F">
        <w:rPr>
          <w:color w:val="4A4A4A"/>
          <w:sz w:val="21"/>
          <w:lang w:val="en-US"/>
        </w:rPr>
        <w:t xml:space="preserve"> Assessments</w:t>
      </w:r>
      <w:r w:rsidR="00A824AE">
        <w:rPr>
          <w:color w:val="4A4A4A"/>
          <w:sz w:val="21"/>
          <w:lang w:val="en-US"/>
        </w:rPr>
        <w:t xml:space="preserve"> </w:t>
      </w:r>
      <w:r w:rsidR="00BE5796">
        <w:rPr>
          <w:color w:val="4A4A4A"/>
          <w:sz w:val="21"/>
          <w:lang w:val="en-US"/>
        </w:rPr>
        <w:t xml:space="preserve">for submission </w:t>
      </w:r>
      <w:r w:rsidRPr="007D490B">
        <w:rPr>
          <w:color w:val="4A4A4A"/>
          <w:sz w:val="21"/>
          <w:lang w:val="en-US"/>
        </w:rPr>
        <w:t>to the SDG Indicator Database:</w:t>
      </w:r>
    </w:p>
    <w:p w14:paraId="40BB8AF0" w14:textId="63D089E9" w:rsidR="00EC5808" w:rsidRPr="007D490B" w:rsidRDefault="00EC5808" w:rsidP="007D490B">
      <w:pPr>
        <w:pStyle w:val="ListParagraph"/>
        <w:numPr>
          <w:ilvl w:val="0"/>
          <w:numId w:val="8"/>
        </w:numPr>
        <w:shd w:val="clear" w:color="auto" w:fill="FFFFFF"/>
        <w:spacing w:after="0"/>
        <w:jc w:val="both"/>
        <w:rPr>
          <w:color w:val="4A4A4A"/>
          <w:sz w:val="21"/>
        </w:rPr>
      </w:pPr>
      <w:r w:rsidRPr="007D490B">
        <w:rPr>
          <w:color w:val="4A4A4A"/>
          <w:sz w:val="21"/>
        </w:rPr>
        <w:t xml:space="preserve">Information on both pre-fiscal and post-fiscal Gini </w:t>
      </w:r>
    </w:p>
    <w:p w14:paraId="75CDDD72" w14:textId="137A2F0C" w:rsidR="00EC5808" w:rsidRPr="0076564F" w:rsidRDefault="000A5811" w:rsidP="0076564F">
      <w:pPr>
        <w:pStyle w:val="ListParagraph"/>
        <w:numPr>
          <w:ilvl w:val="0"/>
          <w:numId w:val="8"/>
        </w:numPr>
        <w:shd w:val="clear" w:color="auto" w:fill="FFFFFF"/>
        <w:spacing w:after="0"/>
        <w:jc w:val="both"/>
        <w:rPr>
          <w:color w:val="4A4A4A"/>
          <w:sz w:val="21"/>
        </w:rPr>
      </w:pPr>
      <w:r>
        <w:rPr>
          <w:color w:val="4A4A4A"/>
          <w:sz w:val="21"/>
        </w:rPr>
        <w:t>M</w:t>
      </w:r>
      <w:r w:rsidR="00EC5808" w:rsidRPr="0076564F">
        <w:rPr>
          <w:color w:val="4A4A4A"/>
          <w:sz w:val="21"/>
        </w:rPr>
        <w:t xml:space="preserve">etadata </w:t>
      </w:r>
    </w:p>
    <w:p w14:paraId="75B54A75" w14:textId="69738974" w:rsidR="00EC5808" w:rsidRPr="007D490B" w:rsidRDefault="00EC5808" w:rsidP="007D490B">
      <w:pPr>
        <w:pStyle w:val="ListParagraph"/>
        <w:numPr>
          <w:ilvl w:val="0"/>
          <w:numId w:val="8"/>
        </w:numPr>
        <w:shd w:val="clear" w:color="auto" w:fill="FFFFFF"/>
        <w:spacing w:after="0"/>
        <w:jc w:val="both"/>
        <w:rPr>
          <w:color w:val="4A4A4A"/>
          <w:sz w:val="21"/>
        </w:rPr>
      </w:pPr>
      <w:r w:rsidRPr="007D490B">
        <w:rPr>
          <w:color w:val="4A4A4A"/>
          <w:sz w:val="21"/>
        </w:rPr>
        <w:t xml:space="preserve">Technical report on methodology </w:t>
      </w:r>
    </w:p>
    <w:p w14:paraId="46F66802" w14:textId="106D186F" w:rsidR="00EC5808" w:rsidRPr="007D490B" w:rsidRDefault="00EC5808" w:rsidP="007D490B">
      <w:pPr>
        <w:pStyle w:val="ListParagraph"/>
        <w:numPr>
          <w:ilvl w:val="0"/>
          <w:numId w:val="8"/>
        </w:numPr>
        <w:shd w:val="clear" w:color="auto" w:fill="FFFFFF"/>
        <w:spacing w:after="0"/>
        <w:jc w:val="both"/>
        <w:rPr>
          <w:color w:val="4A4A4A"/>
          <w:sz w:val="21"/>
        </w:rPr>
      </w:pPr>
      <w:r w:rsidRPr="007D490B">
        <w:rPr>
          <w:color w:val="4A4A4A"/>
          <w:sz w:val="21"/>
        </w:rPr>
        <w:t xml:space="preserve">Master Workbook or equivalent </w:t>
      </w:r>
    </w:p>
    <w:p w14:paraId="7600F827" w14:textId="77777777" w:rsidR="00EC5808" w:rsidRPr="007D490B" w:rsidRDefault="00EC5808" w:rsidP="007D490B">
      <w:pPr>
        <w:pStyle w:val="NoSpacing"/>
        <w:spacing w:line="276" w:lineRule="auto"/>
        <w:rPr>
          <w:sz w:val="21"/>
          <w:lang w:val="en-US"/>
        </w:rPr>
      </w:pPr>
    </w:p>
    <w:p w14:paraId="1E3CF1CC" w14:textId="6C4167F7" w:rsidR="00EC5808" w:rsidRPr="007D490B" w:rsidRDefault="00EC5808" w:rsidP="007C7AB9">
      <w:pPr>
        <w:shd w:val="clear" w:color="auto" w:fill="FFFFFF"/>
        <w:jc w:val="both"/>
        <w:rPr>
          <w:color w:val="4A4A4A"/>
          <w:sz w:val="21"/>
          <w:lang w:val="en-US"/>
        </w:rPr>
      </w:pPr>
      <w:r w:rsidRPr="007D490B">
        <w:rPr>
          <w:color w:val="4A4A4A"/>
          <w:sz w:val="21"/>
          <w:lang w:val="en-US"/>
        </w:rPr>
        <w:t xml:space="preserve">While reporting requirements </w:t>
      </w:r>
      <w:r w:rsidR="002D422B">
        <w:rPr>
          <w:color w:val="4A4A4A"/>
          <w:sz w:val="21"/>
          <w:lang w:val="en-US"/>
        </w:rPr>
        <w:t>specify</w:t>
      </w:r>
      <w:r w:rsidR="002D422B" w:rsidRPr="007D490B">
        <w:rPr>
          <w:color w:val="4A4A4A"/>
          <w:sz w:val="21"/>
          <w:lang w:val="en-US"/>
        </w:rPr>
        <w:t xml:space="preserve"> </w:t>
      </w:r>
      <w:r w:rsidRPr="007D490B">
        <w:rPr>
          <w:color w:val="4A4A4A"/>
          <w:sz w:val="21"/>
          <w:lang w:val="en-US"/>
        </w:rPr>
        <w:t xml:space="preserve">that the post-fiscal Gini </w:t>
      </w:r>
      <w:r w:rsidR="002D422B">
        <w:rPr>
          <w:color w:val="4A4A4A"/>
          <w:sz w:val="21"/>
          <w:lang w:val="en-US"/>
        </w:rPr>
        <w:t>should be</w:t>
      </w:r>
      <w:r w:rsidR="002D422B" w:rsidRPr="007D490B">
        <w:rPr>
          <w:color w:val="4A4A4A"/>
          <w:sz w:val="21"/>
          <w:lang w:val="en-US"/>
        </w:rPr>
        <w:t xml:space="preserve"> </w:t>
      </w:r>
      <w:r w:rsidRPr="007D490B">
        <w:rPr>
          <w:color w:val="4A4A4A"/>
          <w:sz w:val="21"/>
          <w:lang w:val="en-US"/>
        </w:rPr>
        <w:t xml:space="preserve">reported for either </w:t>
      </w:r>
      <w:r w:rsidR="00CE5637" w:rsidRPr="007D490B">
        <w:rPr>
          <w:color w:val="4A4A4A"/>
          <w:sz w:val="21"/>
          <w:lang w:val="en-US"/>
        </w:rPr>
        <w:t xml:space="preserve">Consumable </w:t>
      </w:r>
      <w:r w:rsidRPr="007D490B">
        <w:rPr>
          <w:color w:val="4A4A4A"/>
          <w:sz w:val="21"/>
          <w:lang w:val="en-US"/>
        </w:rPr>
        <w:t xml:space="preserve">or </w:t>
      </w:r>
      <w:r w:rsidR="00CE5637" w:rsidRPr="007D490B">
        <w:rPr>
          <w:color w:val="4A4A4A"/>
          <w:sz w:val="21"/>
          <w:lang w:val="en-US"/>
        </w:rPr>
        <w:t>Disposable Income</w:t>
      </w:r>
      <w:r w:rsidRPr="007D490B">
        <w:rPr>
          <w:color w:val="4A4A4A"/>
          <w:sz w:val="21"/>
          <w:lang w:val="en-US"/>
        </w:rPr>
        <w:t xml:space="preserve">, countries and international agencies are encouraged to report both whenever possible. When this is not feasible in the short term, they should work towards reporting both indicators over time. </w:t>
      </w:r>
      <w:r w:rsidR="003320D9">
        <w:rPr>
          <w:color w:val="4A4A4A"/>
          <w:sz w:val="21"/>
          <w:lang w:val="en-US"/>
        </w:rPr>
        <w:t xml:space="preserve">Unlike most </w:t>
      </w:r>
      <w:r w:rsidR="003F3866">
        <w:rPr>
          <w:color w:val="4A4A4A"/>
          <w:sz w:val="21"/>
          <w:lang w:val="en-US"/>
        </w:rPr>
        <w:t xml:space="preserve">data from the </w:t>
      </w:r>
      <w:r w:rsidR="003320D9">
        <w:rPr>
          <w:color w:val="4A4A4A"/>
          <w:sz w:val="21"/>
          <w:lang w:val="en-US"/>
        </w:rPr>
        <w:t xml:space="preserve">CEQ Institute and </w:t>
      </w:r>
      <w:r w:rsidR="003F3866">
        <w:rPr>
          <w:color w:val="4A4A4A"/>
          <w:sz w:val="21"/>
          <w:lang w:val="en-US"/>
        </w:rPr>
        <w:t xml:space="preserve">the </w:t>
      </w:r>
      <w:r w:rsidR="003320D9">
        <w:rPr>
          <w:color w:val="4A4A4A"/>
          <w:sz w:val="21"/>
          <w:lang w:val="en-US"/>
        </w:rPr>
        <w:t>World Bank,</w:t>
      </w:r>
      <w:r w:rsidR="003F3866">
        <w:rPr>
          <w:color w:val="4A4A4A"/>
          <w:sz w:val="21"/>
          <w:lang w:val="en-US"/>
        </w:rPr>
        <w:t xml:space="preserve"> </w:t>
      </w:r>
      <w:r w:rsidR="00466DA0">
        <w:rPr>
          <w:color w:val="4A4A4A"/>
          <w:sz w:val="21"/>
          <w:lang w:val="en-US"/>
        </w:rPr>
        <w:t xml:space="preserve">OECD </w:t>
      </w:r>
      <w:r w:rsidR="003F3866">
        <w:rPr>
          <w:color w:val="4A4A4A"/>
          <w:sz w:val="21"/>
          <w:lang w:val="en-US"/>
        </w:rPr>
        <w:t>submissions</w:t>
      </w:r>
      <w:r w:rsidR="005764F0">
        <w:rPr>
          <w:color w:val="4A4A4A"/>
          <w:sz w:val="21"/>
          <w:lang w:val="en-US"/>
        </w:rPr>
        <w:t xml:space="preserve"> </w:t>
      </w:r>
      <w:r w:rsidR="002403F2">
        <w:rPr>
          <w:color w:val="4A4A4A"/>
          <w:sz w:val="21"/>
          <w:lang w:val="en-US"/>
        </w:rPr>
        <w:t xml:space="preserve">do not report consumable </w:t>
      </w:r>
      <w:proofErr w:type="gramStart"/>
      <w:r w:rsidR="002403F2">
        <w:rPr>
          <w:color w:val="4A4A4A"/>
          <w:sz w:val="21"/>
          <w:lang w:val="en-US"/>
        </w:rPr>
        <w:t>income</w:t>
      </w:r>
      <w:r w:rsidR="00F111E1">
        <w:rPr>
          <w:color w:val="4A4A4A"/>
          <w:sz w:val="21"/>
          <w:lang w:val="en-US"/>
        </w:rPr>
        <w:t>, and</w:t>
      </w:r>
      <w:proofErr w:type="gramEnd"/>
      <w:r w:rsidR="00F111E1">
        <w:rPr>
          <w:color w:val="4A4A4A"/>
          <w:sz w:val="21"/>
          <w:lang w:val="en-US"/>
        </w:rPr>
        <w:t xml:space="preserve"> therefore do not account for indirect taxes and price subsidies. </w:t>
      </w:r>
      <w:r w:rsidR="005B16D1">
        <w:rPr>
          <w:color w:val="4A4A4A"/>
          <w:sz w:val="21"/>
          <w:lang w:val="en-US"/>
        </w:rPr>
        <w:t>For any country-year with</w:t>
      </w:r>
      <w:r w:rsidR="00C43B9B">
        <w:rPr>
          <w:color w:val="4A4A4A"/>
          <w:sz w:val="21"/>
          <w:lang w:val="en-US"/>
        </w:rPr>
        <w:t xml:space="preserve"> both OECD and CEQ estimates</w:t>
      </w:r>
      <w:r w:rsidR="004B77ED">
        <w:rPr>
          <w:color w:val="4A4A4A"/>
          <w:sz w:val="21"/>
          <w:lang w:val="en-US"/>
        </w:rPr>
        <w:t xml:space="preserve">, </w:t>
      </w:r>
      <w:r w:rsidR="00C43B9B">
        <w:rPr>
          <w:color w:val="4A4A4A"/>
          <w:sz w:val="21"/>
          <w:lang w:val="en-US"/>
        </w:rPr>
        <w:t xml:space="preserve">the </w:t>
      </w:r>
      <w:r w:rsidR="005B16D1">
        <w:rPr>
          <w:color w:val="4A4A4A"/>
          <w:sz w:val="21"/>
          <w:lang w:val="en-US"/>
        </w:rPr>
        <w:t>OECD data</w:t>
      </w:r>
      <w:r w:rsidR="004B77ED">
        <w:rPr>
          <w:color w:val="4A4A4A"/>
          <w:sz w:val="21"/>
          <w:lang w:val="en-US"/>
        </w:rPr>
        <w:t xml:space="preserve"> take precedence. </w:t>
      </w:r>
      <w:r w:rsidR="0083355C" w:rsidRPr="00CC7BE1">
        <w:rPr>
          <w:color w:val="4A4A4A"/>
          <w:sz w:val="21"/>
        </w:rPr>
        <w:t xml:space="preserve">CEQ results for all available countries are accessible at </w:t>
      </w:r>
      <w:hyperlink r:id="rId21" w:history="1">
        <w:r w:rsidR="0083355C" w:rsidRPr="00CC7BE1">
          <w:rPr>
            <w:rStyle w:val="Hyperlink"/>
            <w:sz w:val="21"/>
          </w:rPr>
          <w:t>https://commitmentoequity.org/datacenter/</w:t>
        </w:r>
      </w:hyperlink>
      <w:r w:rsidR="0083355C" w:rsidRPr="00CC7BE1">
        <w:rPr>
          <w:color w:val="4A4A4A"/>
          <w:sz w:val="21"/>
        </w:rPr>
        <w:t>.</w:t>
      </w:r>
    </w:p>
    <w:p w14:paraId="2314DBE1" w14:textId="099FFF18" w:rsidR="00EC5808" w:rsidRPr="007D490B" w:rsidRDefault="00EC5808">
      <w:pPr>
        <w:shd w:val="clear" w:color="auto" w:fill="FFFFFF"/>
        <w:jc w:val="both"/>
        <w:rPr>
          <w:color w:val="4A4A4A"/>
          <w:sz w:val="21"/>
          <w:lang w:val="en-US"/>
        </w:rPr>
      </w:pPr>
      <w:r w:rsidRPr="007D490B">
        <w:rPr>
          <w:color w:val="4A4A4A"/>
          <w:sz w:val="21"/>
          <w:lang w:val="en-US"/>
        </w:rPr>
        <w:t xml:space="preserve">WBG submissions to the SDG Indicator Database indicate whether information has been prepared by the WBG, the </w:t>
      </w:r>
      <w:r w:rsidR="00D3620C">
        <w:rPr>
          <w:rFonts w:cstheme="minorHAnsi"/>
          <w:color w:val="4A4A4A"/>
          <w:sz w:val="21"/>
          <w:szCs w:val="21"/>
          <w:lang w:val="en-US"/>
        </w:rPr>
        <w:t>CEQ</w:t>
      </w:r>
      <w:r w:rsidRPr="007D490B">
        <w:rPr>
          <w:color w:val="4A4A4A"/>
          <w:sz w:val="21"/>
          <w:lang w:val="en-US"/>
        </w:rPr>
        <w:t xml:space="preserve"> Institute, or another agency (e.g. OECD for OECD countries).</w:t>
      </w:r>
    </w:p>
    <w:p w14:paraId="72440620" w14:textId="5A0A011A" w:rsidR="00EC5808" w:rsidRPr="007D490B" w:rsidRDefault="00EC5808">
      <w:pPr>
        <w:shd w:val="clear" w:color="auto" w:fill="FFFFFF"/>
        <w:jc w:val="both"/>
        <w:rPr>
          <w:color w:val="4A4A4A"/>
          <w:sz w:val="21"/>
          <w:lang w:val="en-US"/>
        </w:rPr>
      </w:pPr>
      <w:r w:rsidRPr="007D490B">
        <w:rPr>
          <w:color w:val="4A4A4A"/>
          <w:sz w:val="21"/>
          <w:lang w:val="en-US"/>
        </w:rPr>
        <w:t xml:space="preserve">Required metadata </w:t>
      </w:r>
      <w:r w:rsidR="001616D2">
        <w:rPr>
          <w:color w:val="4A4A4A"/>
          <w:sz w:val="21"/>
          <w:lang w:val="en-US"/>
        </w:rPr>
        <w:t>should specify</w:t>
      </w:r>
      <w:r w:rsidRPr="007D490B">
        <w:rPr>
          <w:color w:val="4A4A4A"/>
          <w:sz w:val="21"/>
          <w:lang w:val="en-US"/>
        </w:rPr>
        <w:t>:</w:t>
      </w:r>
    </w:p>
    <w:p w14:paraId="36ABED17" w14:textId="77777777" w:rsidR="00EC5808" w:rsidRPr="007D490B" w:rsidRDefault="00EC5808" w:rsidP="007D490B">
      <w:pPr>
        <w:pStyle w:val="ListParagraph"/>
        <w:numPr>
          <w:ilvl w:val="0"/>
          <w:numId w:val="11"/>
        </w:numPr>
        <w:spacing w:after="0"/>
        <w:rPr>
          <w:color w:val="4A4A4A"/>
          <w:sz w:val="21"/>
        </w:rPr>
      </w:pPr>
      <w:r w:rsidRPr="007D490B">
        <w:rPr>
          <w:color w:val="4A4A4A"/>
          <w:sz w:val="21"/>
        </w:rPr>
        <w:t>Welfare aggregate: consumption or income</w:t>
      </w:r>
    </w:p>
    <w:p w14:paraId="7CB361BF" w14:textId="77777777" w:rsidR="00EC5808" w:rsidRPr="007D490B" w:rsidRDefault="00EC5808" w:rsidP="007D490B">
      <w:pPr>
        <w:pStyle w:val="ListParagraph"/>
        <w:numPr>
          <w:ilvl w:val="0"/>
          <w:numId w:val="11"/>
        </w:numPr>
        <w:spacing w:after="0"/>
        <w:rPr>
          <w:color w:val="4A4A4A"/>
          <w:sz w:val="21"/>
        </w:rPr>
      </w:pPr>
      <w:r w:rsidRPr="007D490B">
        <w:rPr>
          <w:color w:val="4A4A4A"/>
          <w:sz w:val="21"/>
        </w:rPr>
        <w:t>Welfare aggregate: per capita or equivalized</w:t>
      </w:r>
    </w:p>
    <w:p w14:paraId="2F8F7E2A" w14:textId="57861480" w:rsidR="0062793C" w:rsidRDefault="0062793C" w:rsidP="0076564F">
      <w:pPr>
        <w:pStyle w:val="ListParagraph"/>
        <w:numPr>
          <w:ilvl w:val="0"/>
          <w:numId w:val="11"/>
        </w:numPr>
        <w:spacing w:after="0"/>
        <w:rPr>
          <w:color w:val="4A4A4A"/>
          <w:sz w:val="21"/>
        </w:rPr>
      </w:pPr>
      <w:r>
        <w:rPr>
          <w:color w:val="4A4A4A"/>
          <w:sz w:val="21"/>
        </w:rPr>
        <w:t>Income/consumption includes imputed rent for owner's occupied housing: YES/NO</w:t>
      </w:r>
    </w:p>
    <w:p w14:paraId="0FB74447" w14:textId="2A96945C" w:rsidR="0062793C" w:rsidRDefault="0062793C" w:rsidP="0062793C">
      <w:pPr>
        <w:pStyle w:val="ListParagraph"/>
        <w:numPr>
          <w:ilvl w:val="0"/>
          <w:numId w:val="11"/>
        </w:numPr>
        <w:spacing w:after="0"/>
        <w:rPr>
          <w:color w:val="4A4A4A"/>
          <w:sz w:val="21"/>
        </w:rPr>
      </w:pPr>
      <w:r>
        <w:rPr>
          <w:color w:val="4A4A4A"/>
          <w:sz w:val="21"/>
        </w:rPr>
        <w:lastRenderedPageBreak/>
        <w:t>Income/consumption includes consumption of own production: YES/NO</w:t>
      </w:r>
    </w:p>
    <w:p w14:paraId="1B62C519" w14:textId="72961442" w:rsidR="0062793C" w:rsidRPr="0076564F" w:rsidRDefault="0062793C" w:rsidP="0076564F">
      <w:pPr>
        <w:pStyle w:val="ListParagraph"/>
        <w:numPr>
          <w:ilvl w:val="0"/>
          <w:numId w:val="11"/>
        </w:numPr>
        <w:spacing w:after="0"/>
        <w:rPr>
          <w:color w:val="4A4A4A"/>
          <w:sz w:val="21"/>
        </w:rPr>
      </w:pPr>
      <w:r>
        <w:rPr>
          <w:color w:val="4A4A4A"/>
          <w:sz w:val="21"/>
        </w:rPr>
        <w:t>Consumption includes expenditures on durable goods: YES/NO</w:t>
      </w:r>
    </w:p>
    <w:p w14:paraId="08B9C6CA" w14:textId="77777777" w:rsidR="00EC5808" w:rsidRPr="007D490B" w:rsidRDefault="00EC5808" w:rsidP="007D490B">
      <w:pPr>
        <w:pStyle w:val="ListParagraph"/>
        <w:numPr>
          <w:ilvl w:val="0"/>
          <w:numId w:val="11"/>
        </w:numPr>
        <w:spacing w:after="0"/>
        <w:rPr>
          <w:color w:val="4A4A4A"/>
          <w:sz w:val="21"/>
        </w:rPr>
      </w:pPr>
      <w:r w:rsidRPr="007D490B">
        <w:rPr>
          <w:color w:val="4A4A4A"/>
          <w:sz w:val="21"/>
        </w:rPr>
        <w:t>Treatment of pensions: pensions as deferred incomes or government transfers</w:t>
      </w:r>
    </w:p>
    <w:p w14:paraId="5A0BE429" w14:textId="77777777" w:rsidR="00EC5808" w:rsidRPr="007D490B" w:rsidRDefault="00EC5808" w:rsidP="007D490B">
      <w:pPr>
        <w:pStyle w:val="ListParagraph"/>
        <w:numPr>
          <w:ilvl w:val="0"/>
          <w:numId w:val="11"/>
        </w:numPr>
        <w:spacing w:after="0"/>
        <w:rPr>
          <w:color w:val="4A4A4A"/>
          <w:sz w:val="21"/>
        </w:rPr>
      </w:pPr>
      <w:r w:rsidRPr="007D490B">
        <w:rPr>
          <w:color w:val="4A4A4A"/>
          <w:sz w:val="21"/>
        </w:rPr>
        <w:t>Population coverage: all or working age</w:t>
      </w:r>
    </w:p>
    <w:p w14:paraId="153CDC41" w14:textId="77777777" w:rsidR="00EC5808" w:rsidRPr="007D490B" w:rsidRDefault="00EC5808" w:rsidP="007D490B">
      <w:pPr>
        <w:pStyle w:val="ListParagraph"/>
        <w:numPr>
          <w:ilvl w:val="0"/>
          <w:numId w:val="11"/>
        </w:numPr>
        <w:spacing w:after="0"/>
        <w:rPr>
          <w:color w:val="4A4A4A"/>
          <w:sz w:val="21"/>
        </w:rPr>
      </w:pPr>
      <w:r w:rsidRPr="007D490B">
        <w:rPr>
          <w:color w:val="4A4A4A"/>
          <w:sz w:val="21"/>
        </w:rPr>
        <w:t>Indirect effects of indirect taxes and subsidies included: YES/NO</w:t>
      </w:r>
    </w:p>
    <w:p w14:paraId="5ADA578B" w14:textId="77777777" w:rsidR="00EC5808" w:rsidRPr="007D490B" w:rsidRDefault="00EC5808" w:rsidP="007D490B">
      <w:pPr>
        <w:pStyle w:val="ListParagraph"/>
        <w:numPr>
          <w:ilvl w:val="0"/>
          <w:numId w:val="11"/>
        </w:numPr>
        <w:spacing w:after="0"/>
        <w:rPr>
          <w:color w:val="4A4A4A"/>
          <w:sz w:val="21"/>
        </w:rPr>
      </w:pPr>
      <w:r w:rsidRPr="007D490B">
        <w:rPr>
          <w:color w:val="4A4A4A"/>
          <w:sz w:val="21"/>
        </w:rPr>
        <w:t>Level of government: general or consolidated; federal or federal plus subnational</w:t>
      </w:r>
    </w:p>
    <w:p w14:paraId="055D569A" w14:textId="41442100" w:rsidR="00EC5808" w:rsidRPr="007D490B" w:rsidRDefault="00EC5808" w:rsidP="007D490B">
      <w:pPr>
        <w:pStyle w:val="ListParagraph"/>
        <w:numPr>
          <w:ilvl w:val="0"/>
          <w:numId w:val="11"/>
        </w:numPr>
        <w:shd w:val="clear" w:color="auto" w:fill="FFFFFF"/>
        <w:spacing w:after="0"/>
        <w:jc w:val="both"/>
        <w:rPr>
          <w:color w:val="4A4A4A"/>
          <w:sz w:val="21"/>
        </w:rPr>
      </w:pPr>
      <w:r w:rsidRPr="007D490B">
        <w:rPr>
          <w:color w:val="4A4A4A"/>
          <w:sz w:val="21"/>
        </w:rPr>
        <w:t xml:space="preserve">Alternative </w:t>
      </w:r>
      <w:proofErr w:type="spellStart"/>
      <w:r w:rsidR="0062793C">
        <w:rPr>
          <w:color w:val="4A4A4A"/>
          <w:sz w:val="21"/>
        </w:rPr>
        <w:t>prefiscal</w:t>
      </w:r>
      <w:proofErr w:type="spellEnd"/>
      <w:r w:rsidR="0062793C" w:rsidRPr="007D490B">
        <w:rPr>
          <w:color w:val="4A4A4A"/>
          <w:sz w:val="21"/>
        </w:rPr>
        <w:t xml:space="preserve"> </w:t>
      </w:r>
      <w:r w:rsidRPr="007D490B">
        <w:rPr>
          <w:color w:val="4A4A4A"/>
          <w:sz w:val="21"/>
        </w:rPr>
        <w:t>income Gini using (PDI</w:t>
      </w:r>
      <w:r w:rsidR="0062793C">
        <w:rPr>
          <w:color w:val="4A4A4A"/>
          <w:sz w:val="21"/>
        </w:rPr>
        <w:t>/PGT</w:t>
      </w:r>
      <w:r w:rsidRPr="007D490B">
        <w:rPr>
          <w:color w:val="4A4A4A"/>
          <w:sz w:val="21"/>
        </w:rPr>
        <w:t>, whichever is not one of the main indicators), where available</w:t>
      </w:r>
    </w:p>
    <w:p w14:paraId="68D00305" w14:textId="77777777" w:rsidR="00EC5808" w:rsidRPr="007D490B" w:rsidRDefault="00EC5808" w:rsidP="007D490B">
      <w:pPr>
        <w:pStyle w:val="ListParagraph"/>
        <w:numPr>
          <w:ilvl w:val="0"/>
          <w:numId w:val="11"/>
        </w:numPr>
        <w:shd w:val="clear" w:color="auto" w:fill="FFFFFF"/>
        <w:spacing w:after="0"/>
        <w:jc w:val="both"/>
        <w:rPr>
          <w:color w:val="4A4A4A"/>
          <w:sz w:val="21"/>
        </w:rPr>
      </w:pPr>
      <w:r w:rsidRPr="007D490B">
        <w:rPr>
          <w:color w:val="4A4A4A"/>
          <w:sz w:val="21"/>
        </w:rPr>
        <w:t>Date of household survey</w:t>
      </w:r>
    </w:p>
    <w:p w14:paraId="0F10D60C" w14:textId="77777777" w:rsidR="00EC5808" w:rsidRPr="007D490B" w:rsidRDefault="00EC5808" w:rsidP="007D490B">
      <w:pPr>
        <w:pStyle w:val="ListParagraph"/>
        <w:numPr>
          <w:ilvl w:val="0"/>
          <w:numId w:val="11"/>
        </w:numPr>
        <w:shd w:val="clear" w:color="auto" w:fill="FFFFFF"/>
        <w:spacing w:after="0"/>
        <w:jc w:val="both"/>
        <w:rPr>
          <w:color w:val="4A4A4A"/>
          <w:sz w:val="21"/>
        </w:rPr>
      </w:pPr>
      <w:r w:rsidRPr="007D490B">
        <w:rPr>
          <w:color w:val="4A4A4A"/>
          <w:sz w:val="21"/>
        </w:rPr>
        <w:t>Date of submission</w:t>
      </w:r>
    </w:p>
    <w:p w14:paraId="13F04E2C" w14:textId="77777777" w:rsidR="00EC5808" w:rsidRPr="007D490B" w:rsidRDefault="00EC5808" w:rsidP="007D490B">
      <w:pPr>
        <w:pStyle w:val="ListParagraph"/>
        <w:numPr>
          <w:ilvl w:val="0"/>
          <w:numId w:val="11"/>
        </w:numPr>
        <w:shd w:val="clear" w:color="auto" w:fill="FFFFFF"/>
        <w:spacing w:after="0"/>
        <w:jc w:val="both"/>
        <w:rPr>
          <w:color w:val="4A4A4A"/>
          <w:sz w:val="21"/>
        </w:rPr>
      </w:pPr>
      <w:r w:rsidRPr="007D490B">
        <w:rPr>
          <w:color w:val="4A4A4A"/>
          <w:sz w:val="21"/>
        </w:rPr>
        <w:t>Link to official report and technical documentation</w:t>
      </w:r>
    </w:p>
    <w:p w14:paraId="04F3B03A" w14:textId="77777777" w:rsidR="00EC5808" w:rsidRPr="00871B5C" w:rsidRDefault="00EC5808" w:rsidP="007D490B">
      <w:pPr>
        <w:pStyle w:val="ListParagraph"/>
        <w:numPr>
          <w:ilvl w:val="0"/>
          <w:numId w:val="11"/>
        </w:numPr>
        <w:shd w:val="clear" w:color="auto" w:fill="FFFFFF"/>
        <w:spacing w:after="0"/>
        <w:jc w:val="both"/>
        <w:rPr>
          <w:rFonts w:cstheme="minorHAnsi"/>
          <w:color w:val="4A4A4A"/>
        </w:rPr>
      </w:pPr>
      <w:r w:rsidRPr="007D490B">
        <w:rPr>
          <w:color w:val="4A4A4A"/>
          <w:sz w:val="21"/>
        </w:rPr>
        <w:t>Reporting institution and contact person</w:t>
      </w:r>
    </w:p>
    <w:p w14:paraId="5B7C52CE" w14:textId="77777777" w:rsidR="00576CFA" w:rsidRPr="00871B5C" w:rsidRDefault="00576CFA" w:rsidP="00576CFA">
      <w:pPr>
        <w:pStyle w:val="MText"/>
        <w:rPr>
          <w:rFonts w:cstheme="minorHAnsi"/>
        </w:rPr>
      </w:pPr>
    </w:p>
    <w:p w14:paraId="4CD8F3EF" w14:textId="1EEFED0B" w:rsidR="00F719A8" w:rsidRPr="00871B5C" w:rsidRDefault="00576CFA" w:rsidP="006A1F8C">
      <w:pPr>
        <w:pStyle w:val="MHeader"/>
        <w:spacing w:after="100"/>
        <w:rPr>
          <w:rFonts w:cstheme="minorHAnsi"/>
        </w:rPr>
      </w:pPr>
      <w:r w:rsidRPr="00871B5C">
        <w:rPr>
          <w:rFonts w:cstheme="minorHAnsi"/>
        </w:rPr>
        <w:t>5. Data availability and disaggregation</w:t>
      </w:r>
      <w:r w:rsidR="00BE751F" w:rsidRPr="00871B5C">
        <w:rPr>
          <w:rFonts w:cstheme="minorHAnsi"/>
        </w:rPr>
        <w:t xml:space="preserve"> </w:t>
      </w:r>
      <w:r w:rsidR="00BE751F">
        <w:rPr>
          <w:color w:val="B4B4B4"/>
          <w:sz w:val="20"/>
        </w:rPr>
        <w:t>(COVERAGE)</w:t>
      </w:r>
    </w:p>
    <w:p w14:paraId="2956866F" w14:textId="10E9B16D" w:rsidR="00AD37DA" w:rsidRDefault="009356B1" w:rsidP="007C7AB9">
      <w:pPr>
        <w:pStyle w:val="MText"/>
        <w:rPr>
          <w:lang w:val="en-US"/>
        </w:rPr>
      </w:pPr>
      <w:r w:rsidRPr="007C7AB9">
        <w:rPr>
          <w:rFonts w:cstheme="minorHAnsi"/>
        </w:rPr>
        <w:t>A</w:t>
      </w:r>
      <w:r w:rsidR="00604706" w:rsidRPr="007C7AB9">
        <w:rPr>
          <w:rFonts w:cstheme="minorHAnsi"/>
        </w:rPr>
        <w:t xml:space="preserve">s </w:t>
      </w:r>
      <w:r w:rsidR="00604706" w:rsidRPr="00AC320B">
        <w:rPr>
          <w:rFonts w:cstheme="minorHAnsi"/>
        </w:rPr>
        <w:t xml:space="preserve">of </w:t>
      </w:r>
      <w:r w:rsidR="007A14EE" w:rsidRPr="00AC320B">
        <w:rPr>
          <w:rFonts w:cstheme="minorHAnsi"/>
        </w:rPr>
        <w:t xml:space="preserve">March </w:t>
      </w:r>
      <w:r w:rsidR="00BE2A70" w:rsidRPr="00AC320B">
        <w:rPr>
          <w:rFonts w:cstheme="minorHAnsi"/>
        </w:rPr>
        <w:t>202</w:t>
      </w:r>
      <w:r w:rsidR="007A14EE" w:rsidRPr="00AC320B">
        <w:rPr>
          <w:rFonts w:cstheme="minorHAnsi"/>
        </w:rPr>
        <w:t>5</w:t>
      </w:r>
      <w:r w:rsidRPr="00AC320B">
        <w:rPr>
          <w:rFonts w:cstheme="minorHAnsi"/>
        </w:rPr>
        <w:t>,</w:t>
      </w:r>
      <w:r w:rsidR="006A1F8C" w:rsidRPr="00AC320B">
        <w:rPr>
          <w:rFonts w:cstheme="minorHAnsi"/>
          <w:lang w:val="en-US"/>
        </w:rPr>
        <w:t xml:space="preserve"> </w:t>
      </w:r>
      <w:hyperlink r:id="rId22" w:history="1">
        <w:r w:rsidR="006A1F8C" w:rsidRPr="00AC320B">
          <w:rPr>
            <w:rStyle w:val="Hyperlink"/>
            <w:rFonts w:cstheme="minorHAnsi"/>
            <w:lang w:val="en-US"/>
          </w:rPr>
          <w:t>the Redistributive Impact of Fiscal Policy indicator</w:t>
        </w:r>
      </w:hyperlink>
      <w:r w:rsidR="006A1F8C" w:rsidRPr="00AC320B">
        <w:rPr>
          <w:rFonts w:cstheme="minorHAnsi"/>
          <w:lang w:val="en-US"/>
        </w:rPr>
        <w:t xml:space="preserve"> </w:t>
      </w:r>
      <w:r w:rsidR="00730668" w:rsidRPr="00AC320B">
        <w:rPr>
          <w:rFonts w:cstheme="minorHAnsi"/>
          <w:lang w:val="en-US"/>
        </w:rPr>
        <w:t>covers</w:t>
      </w:r>
      <w:r w:rsidR="00B85192" w:rsidRPr="00AC320B">
        <w:rPr>
          <w:rFonts w:cstheme="minorHAnsi"/>
          <w:lang w:val="en-US"/>
        </w:rPr>
        <w:t xml:space="preserve"> 10</w:t>
      </w:r>
      <w:r w:rsidR="007A14EE" w:rsidRPr="00AC320B">
        <w:rPr>
          <w:rFonts w:cstheme="minorHAnsi"/>
          <w:lang w:val="en-US"/>
        </w:rPr>
        <w:t>5</w:t>
      </w:r>
      <w:r w:rsidR="00B85192" w:rsidRPr="00AC320B">
        <w:rPr>
          <w:rFonts w:cstheme="minorHAnsi"/>
          <w:lang w:val="en-US"/>
        </w:rPr>
        <w:t xml:space="preserve"> countries. </w:t>
      </w:r>
      <w:r w:rsidR="00730668" w:rsidRPr="00AC320B">
        <w:rPr>
          <w:rFonts w:cstheme="minorHAnsi"/>
          <w:lang w:val="en-US"/>
        </w:rPr>
        <w:t xml:space="preserve">Of these, </w:t>
      </w:r>
      <w:r w:rsidR="00FB58BA" w:rsidRPr="00AC320B">
        <w:rPr>
          <w:rFonts w:cstheme="minorHAnsi"/>
          <w:lang w:val="en-US"/>
        </w:rPr>
        <w:t xml:space="preserve">67 countries have </w:t>
      </w:r>
      <w:r w:rsidR="003B063B" w:rsidRPr="00AC320B">
        <w:rPr>
          <w:rFonts w:cstheme="minorHAnsi"/>
          <w:lang w:val="en-US"/>
        </w:rPr>
        <w:t xml:space="preserve">data </w:t>
      </w:r>
      <w:r w:rsidR="006A1F8C" w:rsidRPr="00AC320B">
        <w:rPr>
          <w:rFonts w:cstheme="minorHAnsi"/>
          <w:lang w:val="en-US"/>
        </w:rPr>
        <w:t>from</w:t>
      </w:r>
      <w:r w:rsidR="006A1F8C" w:rsidRPr="0020521B">
        <w:rPr>
          <w:rFonts w:cstheme="minorHAnsi"/>
          <w:lang w:val="en-US"/>
        </w:rPr>
        <w:t xml:space="preserve"> the Commitment to Equity Institute</w:t>
      </w:r>
      <w:r w:rsidR="00A7133C">
        <w:rPr>
          <w:rFonts w:cstheme="minorHAnsi"/>
          <w:lang w:val="en-US"/>
        </w:rPr>
        <w:t xml:space="preserve"> (</w:t>
      </w:r>
      <w:r w:rsidR="0020521B">
        <w:rPr>
          <w:rFonts w:cstheme="minorHAnsi"/>
          <w:lang w:val="en-US"/>
        </w:rPr>
        <w:t>CEQ</w:t>
      </w:r>
      <w:r w:rsidR="00A7133C">
        <w:rPr>
          <w:rFonts w:cstheme="minorHAnsi"/>
          <w:lang w:val="en-US"/>
        </w:rPr>
        <w:t>)</w:t>
      </w:r>
      <w:r w:rsidR="006A1F8C" w:rsidRPr="0020521B">
        <w:rPr>
          <w:rFonts w:cstheme="minorHAnsi"/>
          <w:lang w:val="en-US"/>
        </w:rPr>
        <w:t xml:space="preserve"> </w:t>
      </w:r>
      <w:r w:rsidR="00FB58BA">
        <w:rPr>
          <w:rFonts w:cstheme="minorHAnsi"/>
          <w:lang w:val="en-US"/>
        </w:rPr>
        <w:t>or</w:t>
      </w:r>
      <w:r w:rsidR="006A1F8C" w:rsidRPr="0020521B">
        <w:rPr>
          <w:rFonts w:cstheme="minorHAnsi"/>
          <w:lang w:val="en-US"/>
        </w:rPr>
        <w:t xml:space="preserve"> the World Bank</w:t>
      </w:r>
      <w:r w:rsidR="00A7133C">
        <w:rPr>
          <w:rFonts w:cstheme="minorHAnsi"/>
          <w:lang w:val="en-US"/>
        </w:rPr>
        <w:t xml:space="preserve"> (</w:t>
      </w:r>
      <w:r w:rsidR="00497884">
        <w:rPr>
          <w:rFonts w:cstheme="minorHAnsi"/>
          <w:lang w:val="en-US"/>
        </w:rPr>
        <w:t>WB</w:t>
      </w:r>
      <w:r w:rsidR="00A7133C">
        <w:rPr>
          <w:rFonts w:cstheme="minorHAnsi"/>
          <w:lang w:val="en-US"/>
        </w:rPr>
        <w:t>)</w:t>
      </w:r>
      <w:r w:rsidR="003B063B">
        <w:rPr>
          <w:rFonts w:cstheme="minorHAnsi"/>
          <w:lang w:val="en-US"/>
        </w:rPr>
        <w:t xml:space="preserve"> </w:t>
      </w:r>
      <w:r w:rsidR="003B063B" w:rsidRPr="007D490B">
        <w:rPr>
          <w:lang w:val="en-US"/>
        </w:rPr>
        <w:t>for at least one year</w:t>
      </w:r>
      <w:r w:rsidR="00EF5B27">
        <w:rPr>
          <w:rFonts w:cstheme="minorHAnsi"/>
          <w:lang w:val="en-US"/>
        </w:rPr>
        <w:t xml:space="preserve">. </w:t>
      </w:r>
      <w:r w:rsidR="002B3047">
        <w:t>All included</w:t>
      </w:r>
      <w:r w:rsidR="00A2427E">
        <w:t xml:space="preserve"> data points </w:t>
      </w:r>
      <w:r w:rsidR="002B3047">
        <w:t>are from</w:t>
      </w:r>
      <w:r w:rsidR="00A2427E">
        <w:t xml:space="preserve"> 2013 </w:t>
      </w:r>
      <w:r w:rsidR="002B3047">
        <w:t>onward</w:t>
      </w:r>
      <w:r w:rsidR="00A2427E">
        <w:t>, except</w:t>
      </w:r>
      <w:r w:rsidR="002B3047">
        <w:t xml:space="preserve"> for</w:t>
      </w:r>
      <w:r w:rsidR="00A2427E" w:rsidRPr="007D490B">
        <w:t xml:space="preserve"> the </w:t>
      </w:r>
      <w:r w:rsidR="00A2427E">
        <w:t>Dominican Republic</w:t>
      </w:r>
      <w:r w:rsidR="00EE0F7F">
        <w:t>, where</w:t>
      </w:r>
      <w:r w:rsidR="00A2427E">
        <w:t xml:space="preserve"> the only available estimate is from 2007. </w:t>
      </w:r>
      <w:r w:rsidR="00F4105B">
        <w:t>T</w:t>
      </w:r>
      <w:r w:rsidR="0095513A" w:rsidRPr="006A6C7F">
        <w:rPr>
          <w:lang w:val="en-US"/>
        </w:rPr>
        <w:t>he Joint Research Centre</w:t>
      </w:r>
      <w:r w:rsidR="000E5681">
        <w:rPr>
          <w:lang w:val="en-US"/>
        </w:rPr>
        <w:t xml:space="preserve"> of the</w:t>
      </w:r>
      <w:r w:rsidR="0095513A" w:rsidRPr="006A6C7F">
        <w:rPr>
          <w:lang w:val="en-US"/>
        </w:rPr>
        <w:t xml:space="preserve"> European Commission</w:t>
      </w:r>
      <w:r w:rsidR="00F4105B">
        <w:rPr>
          <w:lang w:val="en-US"/>
        </w:rPr>
        <w:t xml:space="preserve"> separately submits data for Malta</w:t>
      </w:r>
      <w:r w:rsidR="0095513A">
        <w:rPr>
          <w:lang w:val="en-US"/>
        </w:rPr>
        <w:t xml:space="preserve">. </w:t>
      </w:r>
    </w:p>
    <w:p w14:paraId="64B3AE7D" w14:textId="0C5A4DC0" w:rsidR="006A1F8C" w:rsidRPr="00497884" w:rsidRDefault="009B1139" w:rsidP="007C7AB9">
      <w:pPr>
        <w:pStyle w:val="MText"/>
        <w:rPr>
          <w:rFonts w:cstheme="minorHAnsi"/>
          <w:lang w:val="en-US"/>
        </w:rPr>
      </w:pPr>
      <w:r w:rsidRPr="009B1139">
        <w:t xml:space="preserve">Data </w:t>
      </w:r>
      <w:r w:rsidR="00AD37DA">
        <w:t>on</w:t>
      </w:r>
      <w:r w:rsidRPr="009B1139">
        <w:t xml:space="preserve"> Pre-fiscal and Disposable Income is available for 37 of the 38 OECD member countries. OECD data </w:t>
      </w:r>
      <w:r w:rsidR="0081230D">
        <w:t>is</w:t>
      </w:r>
      <w:r w:rsidRPr="009B1139">
        <w:t xml:space="preserve"> available annually through the OECD Income Distribution Database, </w:t>
      </w:r>
      <w:proofErr w:type="gramStart"/>
      <w:r w:rsidRPr="009B1139">
        <w:t>with the exception of</w:t>
      </w:r>
      <w:proofErr w:type="gramEnd"/>
      <w:r w:rsidRPr="009B1139">
        <w:t xml:space="preserve"> countries where income surveys are conducted every two or three years. For countries with both CEQ and OECD estimates, only OECD data </w:t>
      </w:r>
      <w:r w:rsidR="0081230D">
        <w:t>is</w:t>
      </w:r>
      <w:r w:rsidRPr="009B1139">
        <w:t xml:space="preserve"> reported. </w:t>
      </w:r>
      <w:r w:rsidR="003B063B">
        <w:t>The regional distribution</w:t>
      </w:r>
      <w:r w:rsidR="0053107F">
        <w:t xml:space="preserve"> of countr</w:t>
      </w:r>
      <w:r w:rsidR="003B063B">
        <w:t>y coverage</w:t>
      </w:r>
      <w:r w:rsidR="0053107F">
        <w:rPr>
          <w:rFonts w:cstheme="minorHAnsi"/>
          <w:lang w:val="en-US"/>
        </w:rPr>
        <w:t xml:space="preserve"> is as follows</w:t>
      </w:r>
      <w:r w:rsidR="006A1F8C" w:rsidRPr="0020521B">
        <w:rPr>
          <w:rFonts w:cstheme="minorHAnsi"/>
          <w:lang w:val="en-US"/>
        </w:rPr>
        <w:t xml:space="preserve">: </w:t>
      </w:r>
    </w:p>
    <w:p w14:paraId="5C39EDCA" w14:textId="70484C8E" w:rsidR="006A1F8C" w:rsidRPr="007D490B" w:rsidRDefault="006A1F8C" w:rsidP="007D490B">
      <w:pPr>
        <w:pStyle w:val="ListParagraph"/>
        <w:numPr>
          <w:ilvl w:val="0"/>
          <w:numId w:val="7"/>
        </w:numPr>
        <w:shd w:val="clear" w:color="auto" w:fill="FFFFFF"/>
        <w:spacing w:after="0"/>
        <w:jc w:val="both"/>
        <w:rPr>
          <w:color w:val="4A4A4A"/>
          <w:sz w:val="21"/>
        </w:rPr>
      </w:pPr>
      <w:r w:rsidRPr="007D490B">
        <w:rPr>
          <w:color w:val="4A4A4A"/>
          <w:sz w:val="21"/>
        </w:rPr>
        <w:t xml:space="preserve">East Asia and the Pacific: </w:t>
      </w:r>
      <w:r w:rsidR="007F2107" w:rsidRPr="0076564F">
        <w:rPr>
          <w:color w:val="4A4A4A"/>
          <w:sz w:val="21"/>
        </w:rPr>
        <w:t>1</w:t>
      </w:r>
      <w:r w:rsidR="00511993">
        <w:rPr>
          <w:color w:val="4A4A4A"/>
          <w:sz w:val="21"/>
        </w:rPr>
        <w:t>4</w:t>
      </w:r>
    </w:p>
    <w:p w14:paraId="35644C4E" w14:textId="20ADD900" w:rsidR="006A1F8C" w:rsidRPr="007D490B" w:rsidRDefault="006A1F8C" w:rsidP="007D490B">
      <w:pPr>
        <w:pStyle w:val="ListParagraph"/>
        <w:numPr>
          <w:ilvl w:val="0"/>
          <w:numId w:val="7"/>
        </w:numPr>
        <w:shd w:val="clear" w:color="auto" w:fill="FFFFFF"/>
        <w:spacing w:after="0"/>
        <w:jc w:val="both"/>
        <w:rPr>
          <w:color w:val="4A4A4A"/>
          <w:sz w:val="21"/>
        </w:rPr>
      </w:pPr>
      <w:r w:rsidRPr="007D490B">
        <w:rPr>
          <w:color w:val="4A4A4A"/>
          <w:sz w:val="21"/>
        </w:rPr>
        <w:t xml:space="preserve">Europe and Central Asia: </w:t>
      </w:r>
      <w:r w:rsidR="00511993">
        <w:rPr>
          <w:color w:val="4A4A4A"/>
          <w:sz w:val="21"/>
        </w:rPr>
        <w:t>4</w:t>
      </w:r>
      <w:r w:rsidR="00E24F68">
        <w:rPr>
          <w:color w:val="4A4A4A"/>
          <w:sz w:val="21"/>
        </w:rPr>
        <w:t>2</w:t>
      </w:r>
    </w:p>
    <w:p w14:paraId="63D011B8" w14:textId="3DA5D817" w:rsidR="006A1F8C" w:rsidRPr="007D490B" w:rsidRDefault="006A1F8C" w:rsidP="007D490B">
      <w:pPr>
        <w:pStyle w:val="ListParagraph"/>
        <w:numPr>
          <w:ilvl w:val="0"/>
          <w:numId w:val="7"/>
        </w:numPr>
        <w:shd w:val="clear" w:color="auto" w:fill="FFFFFF"/>
        <w:spacing w:after="0"/>
        <w:jc w:val="both"/>
        <w:rPr>
          <w:color w:val="4A4A4A"/>
          <w:sz w:val="21"/>
        </w:rPr>
      </w:pPr>
      <w:r w:rsidRPr="007D490B">
        <w:rPr>
          <w:color w:val="4A4A4A"/>
          <w:sz w:val="21"/>
        </w:rPr>
        <w:t xml:space="preserve">Latin America and the Caribbean: </w:t>
      </w:r>
      <w:r w:rsidR="004E019D">
        <w:rPr>
          <w:color w:val="4A4A4A"/>
          <w:sz w:val="21"/>
        </w:rPr>
        <w:t>1</w:t>
      </w:r>
      <w:r w:rsidR="00015B1A">
        <w:rPr>
          <w:color w:val="4A4A4A"/>
          <w:sz w:val="21"/>
        </w:rPr>
        <w:t>8</w:t>
      </w:r>
    </w:p>
    <w:p w14:paraId="4044A153" w14:textId="1E5FCB3D" w:rsidR="006A1F8C" w:rsidRPr="007D490B" w:rsidRDefault="006A1F8C" w:rsidP="007D490B">
      <w:pPr>
        <w:pStyle w:val="ListParagraph"/>
        <w:numPr>
          <w:ilvl w:val="0"/>
          <w:numId w:val="7"/>
        </w:numPr>
        <w:shd w:val="clear" w:color="auto" w:fill="FFFFFF"/>
        <w:spacing w:after="0"/>
        <w:jc w:val="both"/>
        <w:rPr>
          <w:color w:val="4A4A4A"/>
          <w:sz w:val="21"/>
        </w:rPr>
      </w:pPr>
      <w:r w:rsidRPr="007D490B">
        <w:rPr>
          <w:color w:val="4A4A4A"/>
          <w:sz w:val="21"/>
        </w:rPr>
        <w:t xml:space="preserve">Middle East and North Africa: </w:t>
      </w:r>
      <w:r w:rsidR="006752C2">
        <w:rPr>
          <w:color w:val="4A4A4A"/>
          <w:sz w:val="21"/>
        </w:rPr>
        <w:t>8</w:t>
      </w:r>
    </w:p>
    <w:p w14:paraId="23EDD30F" w14:textId="7948D2C4" w:rsidR="006A1F8C" w:rsidRPr="007D490B" w:rsidRDefault="006A1F8C" w:rsidP="007D490B">
      <w:pPr>
        <w:pStyle w:val="ListParagraph"/>
        <w:numPr>
          <w:ilvl w:val="0"/>
          <w:numId w:val="7"/>
        </w:numPr>
        <w:shd w:val="clear" w:color="auto" w:fill="FFFFFF"/>
        <w:spacing w:after="0"/>
        <w:jc w:val="both"/>
        <w:rPr>
          <w:color w:val="4A4A4A"/>
          <w:sz w:val="21"/>
        </w:rPr>
      </w:pPr>
      <w:r w:rsidRPr="007D490B">
        <w:rPr>
          <w:color w:val="4A4A4A"/>
          <w:sz w:val="21"/>
        </w:rPr>
        <w:t xml:space="preserve">North America: </w:t>
      </w:r>
      <w:r w:rsidR="007F2107" w:rsidRPr="007D490B">
        <w:rPr>
          <w:color w:val="4A4A4A"/>
          <w:sz w:val="21"/>
        </w:rPr>
        <w:t>2</w:t>
      </w:r>
    </w:p>
    <w:p w14:paraId="75C69B1F" w14:textId="32C2AE34" w:rsidR="006A1F8C" w:rsidRPr="007D490B" w:rsidRDefault="00404FC1" w:rsidP="007D490B">
      <w:pPr>
        <w:pStyle w:val="ListParagraph"/>
        <w:numPr>
          <w:ilvl w:val="0"/>
          <w:numId w:val="7"/>
        </w:numPr>
        <w:shd w:val="clear" w:color="auto" w:fill="FFFFFF"/>
        <w:spacing w:after="0"/>
        <w:jc w:val="both"/>
        <w:rPr>
          <w:color w:val="4A4A4A"/>
          <w:sz w:val="21"/>
        </w:rPr>
      </w:pPr>
      <w:r>
        <w:rPr>
          <w:color w:val="4A4A4A"/>
          <w:sz w:val="21"/>
        </w:rPr>
        <w:t>South</w:t>
      </w:r>
      <w:r w:rsidRPr="007D490B">
        <w:rPr>
          <w:color w:val="4A4A4A"/>
          <w:sz w:val="21"/>
        </w:rPr>
        <w:t xml:space="preserve"> Asia</w:t>
      </w:r>
      <w:r w:rsidR="006A1F8C" w:rsidRPr="0076564F">
        <w:rPr>
          <w:color w:val="4A4A4A"/>
          <w:sz w:val="21"/>
        </w:rPr>
        <w:t xml:space="preserve">: </w:t>
      </w:r>
      <w:r w:rsidR="00015B1A">
        <w:rPr>
          <w:color w:val="4A4A4A"/>
          <w:sz w:val="21"/>
        </w:rPr>
        <w:t>2</w:t>
      </w:r>
    </w:p>
    <w:p w14:paraId="4BA0FF5B" w14:textId="71A1E080" w:rsidR="006A1F8C" w:rsidRPr="007D490B" w:rsidRDefault="006A1F8C" w:rsidP="007D490B">
      <w:pPr>
        <w:pStyle w:val="ListParagraph"/>
        <w:numPr>
          <w:ilvl w:val="0"/>
          <w:numId w:val="7"/>
        </w:numPr>
        <w:shd w:val="clear" w:color="auto" w:fill="FFFFFF"/>
        <w:spacing w:after="0"/>
        <w:jc w:val="both"/>
        <w:rPr>
          <w:color w:val="4A4A4A"/>
          <w:sz w:val="21"/>
        </w:rPr>
      </w:pPr>
      <w:r w:rsidRPr="007D490B">
        <w:rPr>
          <w:color w:val="4A4A4A"/>
          <w:sz w:val="21"/>
        </w:rPr>
        <w:t xml:space="preserve">Sub-Saharan Africa: </w:t>
      </w:r>
      <w:r w:rsidR="007F2107" w:rsidRPr="0076564F">
        <w:rPr>
          <w:color w:val="4A4A4A"/>
          <w:sz w:val="21"/>
        </w:rPr>
        <w:t>1</w:t>
      </w:r>
      <w:r w:rsidR="00015B1A">
        <w:rPr>
          <w:color w:val="4A4A4A"/>
          <w:sz w:val="21"/>
        </w:rPr>
        <w:t>9</w:t>
      </w:r>
    </w:p>
    <w:p w14:paraId="269D8F68" w14:textId="2D9CCC0F" w:rsidR="006A1F8C" w:rsidRPr="00871B5C" w:rsidRDefault="006A1F8C" w:rsidP="007D490B">
      <w:pPr>
        <w:pStyle w:val="ListParagraph"/>
        <w:shd w:val="clear" w:color="auto" w:fill="FFFFFF"/>
        <w:spacing w:after="0" w:line="240" w:lineRule="auto"/>
        <w:jc w:val="both"/>
        <w:rPr>
          <w:rFonts w:cstheme="minorHAnsi"/>
          <w:color w:val="4A4A4A"/>
          <w:lang w:eastAsia="en-GB"/>
        </w:rPr>
      </w:pPr>
    </w:p>
    <w:p w14:paraId="5853D6F7" w14:textId="6848AF51" w:rsidR="00D51E7C" w:rsidRPr="00D82BE9" w:rsidRDefault="00D51E7C" w:rsidP="00576CFA">
      <w:pPr>
        <w:pStyle w:val="MText"/>
        <w:rPr>
          <w:b/>
          <w:bCs/>
        </w:rPr>
      </w:pPr>
      <w:r w:rsidRPr="00D82BE9">
        <w:rPr>
          <w:b/>
          <w:bCs/>
        </w:rPr>
        <w:t>Time series:</w:t>
      </w:r>
    </w:p>
    <w:p w14:paraId="760C013A" w14:textId="734D1A29" w:rsidR="00D51E7C" w:rsidRPr="007D490B" w:rsidRDefault="006A1F8C" w:rsidP="006A1F8C">
      <w:pPr>
        <w:keepNext/>
        <w:keepLines/>
        <w:shd w:val="clear" w:color="auto" w:fill="FFFFFF"/>
        <w:jc w:val="both"/>
        <w:rPr>
          <w:color w:val="4A4A4A"/>
          <w:sz w:val="21"/>
          <w:lang w:val="en-US"/>
        </w:rPr>
      </w:pPr>
      <w:r w:rsidRPr="007D490B">
        <w:rPr>
          <w:color w:val="4A4A4A"/>
          <w:sz w:val="21"/>
          <w:lang w:val="en-US"/>
        </w:rPr>
        <w:t xml:space="preserve">The Redistributive Impact of Fiscal Policy indicator is currently </w:t>
      </w:r>
      <w:r w:rsidRPr="007D490B">
        <w:rPr>
          <w:i/>
          <w:color w:val="4A4A4A"/>
          <w:sz w:val="21"/>
          <w:lang w:val="en-US"/>
        </w:rPr>
        <w:t>for the most part</w:t>
      </w:r>
      <w:r w:rsidRPr="007D490B">
        <w:rPr>
          <w:color w:val="4A4A4A"/>
          <w:sz w:val="21"/>
          <w:lang w:val="en-US"/>
        </w:rPr>
        <w:t xml:space="preserve"> available for single country/year pairs only. The </w:t>
      </w:r>
      <w:r w:rsidR="006E70EC" w:rsidRPr="007D490B">
        <w:rPr>
          <w:color w:val="4A4A4A"/>
          <w:sz w:val="21"/>
          <w:lang w:val="en-US"/>
        </w:rPr>
        <w:t xml:space="preserve">main </w:t>
      </w:r>
      <w:r w:rsidRPr="007D490B">
        <w:rPr>
          <w:color w:val="4A4A4A"/>
          <w:sz w:val="21"/>
          <w:lang w:val="en-US"/>
        </w:rPr>
        <w:t xml:space="preserve">limitation to producing more frequent time series is the availability of more frequent household surveys. However, that is also a limitation faced by other SDG indicators. </w:t>
      </w:r>
    </w:p>
    <w:p w14:paraId="72C7C370" w14:textId="725AF702" w:rsidR="00D51E7C" w:rsidRPr="00D82BE9" w:rsidRDefault="00D51E7C" w:rsidP="00576CFA">
      <w:pPr>
        <w:pStyle w:val="MText"/>
        <w:rPr>
          <w:b/>
          <w:bCs/>
        </w:rPr>
      </w:pPr>
      <w:r w:rsidRPr="00D82BE9">
        <w:rPr>
          <w:b/>
          <w:bCs/>
        </w:rPr>
        <w:t>Disaggregation:</w:t>
      </w:r>
    </w:p>
    <w:p w14:paraId="42E8CA56" w14:textId="49657DC8" w:rsidR="00D51E7C" w:rsidRPr="00871B5C" w:rsidRDefault="00D6011B" w:rsidP="00D6011B">
      <w:pPr>
        <w:shd w:val="clear" w:color="auto" w:fill="FFFFFF"/>
        <w:jc w:val="both"/>
        <w:rPr>
          <w:rFonts w:cstheme="minorHAnsi"/>
          <w:color w:val="4A4A4A"/>
          <w:lang w:val="en-US"/>
        </w:rPr>
      </w:pPr>
      <w:r w:rsidRPr="007D490B">
        <w:rPr>
          <w:color w:val="4A4A4A"/>
          <w:sz w:val="21"/>
          <w:lang w:val="en-US"/>
        </w:rPr>
        <w:t xml:space="preserve">The Redistributive Impact of Fiscal Policy indicator can be shown separately for as many different subgroups as are represented in the survey or micro-data from which it is </w:t>
      </w:r>
      <w:proofErr w:type="gramStart"/>
      <w:r w:rsidRPr="007D490B">
        <w:rPr>
          <w:color w:val="4A4A4A"/>
          <w:sz w:val="21"/>
          <w:lang w:val="en-US"/>
        </w:rPr>
        <w:t>drawn:</w:t>
      </w:r>
      <w:proofErr w:type="gramEnd"/>
      <w:r w:rsidRPr="007D490B">
        <w:rPr>
          <w:color w:val="4A4A4A"/>
          <w:sz w:val="21"/>
          <w:lang w:val="en-US"/>
        </w:rPr>
        <w:t xml:space="preserve"> income subgroups; by gender, age group, ethnic grouping; geographic location; disability status, household size; household dependency ratios, and so on. </w:t>
      </w:r>
      <w:r w:rsidR="00C9347C" w:rsidRPr="007D490B">
        <w:rPr>
          <w:color w:val="4A4A4A"/>
          <w:sz w:val="21"/>
          <w:lang w:val="en-US"/>
        </w:rPr>
        <w:t xml:space="preserve">These are frequently reported in the </w:t>
      </w:r>
      <w:r w:rsidR="005D068A" w:rsidRPr="007D490B">
        <w:rPr>
          <w:color w:val="4A4A4A"/>
          <w:sz w:val="21"/>
          <w:lang w:val="en-US"/>
        </w:rPr>
        <w:t>main CEQ studies which the SDG indicators are drawn from but not reported within the SG database itself.</w:t>
      </w:r>
    </w:p>
    <w:p w14:paraId="33CAB7BE" w14:textId="2B850051" w:rsidR="00EC2915" w:rsidRPr="00871B5C" w:rsidRDefault="00B31E2C" w:rsidP="006A1F8C">
      <w:pPr>
        <w:pStyle w:val="MHeader"/>
        <w:spacing w:after="100"/>
        <w:rPr>
          <w:rFonts w:cstheme="minorHAnsi"/>
        </w:rPr>
      </w:pPr>
      <w:r w:rsidRPr="00871B5C">
        <w:rPr>
          <w:rFonts w:cstheme="minorHAnsi"/>
        </w:rPr>
        <w:t>6. Comparability / d</w:t>
      </w:r>
      <w:r w:rsidR="00576CFA" w:rsidRPr="00871B5C">
        <w:rPr>
          <w:rFonts w:cstheme="minorHAnsi"/>
        </w:rPr>
        <w:t>eviatio</w:t>
      </w:r>
      <w:r w:rsidR="00382CF3" w:rsidRPr="00871B5C">
        <w:rPr>
          <w:rFonts w:cstheme="minorHAnsi"/>
        </w:rPr>
        <w:t>n from international standards</w:t>
      </w:r>
      <w:r w:rsidR="00BE751F" w:rsidRPr="00871B5C">
        <w:rPr>
          <w:rFonts w:cstheme="minorHAnsi"/>
        </w:rPr>
        <w:t xml:space="preserve"> </w:t>
      </w:r>
      <w:r w:rsidR="00BE751F">
        <w:rPr>
          <w:color w:val="B4B4B4"/>
          <w:sz w:val="20"/>
        </w:rPr>
        <w:t>(COMPARABILITY)</w:t>
      </w:r>
    </w:p>
    <w:p w14:paraId="3595E072" w14:textId="7DED61E4" w:rsidR="00D51E7C" w:rsidRPr="00D82BE9" w:rsidRDefault="00D51E7C" w:rsidP="00576CFA">
      <w:pPr>
        <w:pStyle w:val="MText"/>
        <w:rPr>
          <w:b/>
          <w:bCs/>
        </w:rPr>
      </w:pPr>
      <w:r w:rsidRPr="00D82BE9">
        <w:rPr>
          <w:b/>
          <w:bCs/>
        </w:rPr>
        <w:lastRenderedPageBreak/>
        <w:t>Sources of discrepancies:</w:t>
      </w:r>
    </w:p>
    <w:p w14:paraId="5AB6DD91" w14:textId="6FF1985E" w:rsidR="00F719A8" w:rsidRPr="00871B5C" w:rsidRDefault="006A1F8C" w:rsidP="00D6011B">
      <w:pPr>
        <w:shd w:val="clear" w:color="auto" w:fill="FFFFFF"/>
        <w:jc w:val="both"/>
        <w:rPr>
          <w:rFonts w:cstheme="minorHAnsi"/>
          <w:color w:val="4A4A4A"/>
          <w:lang w:val="en-US"/>
        </w:rPr>
      </w:pPr>
      <w:r w:rsidRPr="007D490B">
        <w:rPr>
          <w:color w:val="4A4A4A"/>
          <w:sz w:val="21"/>
          <w:lang w:val="en-US"/>
        </w:rPr>
        <w:t>Not applicable</w:t>
      </w:r>
    </w:p>
    <w:p w14:paraId="76DF099C" w14:textId="5CC65231" w:rsidR="00382CF3" w:rsidRPr="00871B5C" w:rsidRDefault="00576CFA" w:rsidP="000412A0">
      <w:pPr>
        <w:pStyle w:val="MHeader"/>
        <w:spacing w:after="100"/>
        <w:rPr>
          <w:rFonts w:cstheme="minorHAnsi"/>
        </w:rPr>
      </w:pPr>
      <w:r w:rsidRPr="00871B5C">
        <w:rPr>
          <w:rFonts w:cstheme="minorHAnsi"/>
        </w:rPr>
        <w:t>7</w:t>
      </w:r>
      <w:r w:rsidR="00382CF3" w:rsidRPr="00871B5C">
        <w:rPr>
          <w:rFonts w:cstheme="minorHAnsi"/>
        </w:rPr>
        <w:t>. References and Documentation</w:t>
      </w:r>
      <w:r w:rsidR="00BE751F" w:rsidRPr="00871B5C">
        <w:rPr>
          <w:rFonts w:cstheme="minorHAnsi"/>
        </w:rPr>
        <w:t xml:space="preserve"> </w:t>
      </w:r>
      <w:r w:rsidR="00BE751F">
        <w:rPr>
          <w:color w:val="B4B4B4"/>
          <w:sz w:val="20"/>
        </w:rPr>
        <w:t>(OTHER_DOC)</w:t>
      </w:r>
    </w:p>
    <w:p w14:paraId="3C5E1A63" w14:textId="319FEA68" w:rsidR="00D6011B" w:rsidRPr="007D490B" w:rsidRDefault="00D6011B" w:rsidP="00D6011B">
      <w:pPr>
        <w:shd w:val="clear" w:color="auto" w:fill="FFFFFF"/>
        <w:jc w:val="both"/>
        <w:rPr>
          <w:i/>
          <w:color w:val="4A4A4A"/>
          <w:sz w:val="21"/>
          <w:u w:val="single"/>
          <w:lang w:val="en-US"/>
        </w:rPr>
      </w:pPr>
      <w:r w:rsidRPr="007D490B">
        <w:rPr>
          <w:color w:val="4A4A4A"/>
          <w:sz w:val="21"/>
          <w:lang w:val="en-US"/>
        </w:rPr>
        <w:t xml:space="preserve">Duclos, Jean Yves, and Abdelkrim Araar. 2006. </w:t>
      </w:r>
      <w:hyperlink r:id="rId23" w:history="1">
        <w:r w:rsidRPr="00CC7BE1">
          <w:rPr>
            <w:rStyle w:val="Hyperlink"/>
            <w:sz w:val="21"/>
            <w:lang w:val="en-US"/>
          </w:rPr>
          <w:t>Poverty</w:t>
        </w:r>
        <w:r w:rsidRPr="00DA741F">
          <w:rPr>
            <w:rStyle w:val="Hyperlink"/>
            <w:sz w:val="21"/>
            <w:lang w:val="en-US"/>
          </w:rPr>
          <w:t xml:space="preserve"> and Equity: Measurement, Policy, and Estimation with DAD</w:t>
        </w:r>
      </w:hyperlink>
      <w:r w:rsidRPr="0076564F">
        <w:rPr>
          <w:rStyle w:val="Hyperlink"/>
          <w:color w:val="4A4A4A"/>
          <w:sz w:val="21"/>
          <w:u w:val="none"/>
          <w:lang w:val="en-US"/>
        </w:rPr>
        <w:t>.</w:t>
      </w:r>
      <w:r w:rsidRPr="007D490B">
        <w:rPr>
          <w:rStyle w:val="Hyperlink"/>
          <w:color w:val="4A4A4A"/>
          <w:sz w:val="21"/>
          <w:u w:val="none"/>
          <w:lang w:val="en-US"/>
        </w:rPr>
        <w:t xml:space="preserve"> </w:t>
      </w:r>
      <w:r w:rsidRPr="007D490B">
        <w:rPr>
          <w:color w:val="4A4A4A"/>
          <w:sz w:val="21"/>
          <w:lang w:val="en-US"/>
        </w:rPr>
        <w:t xml:space="preserve"> Springer US.</w:t>
      </w:r>
    </w:p>
    <w:p w14:paraId="566260D5" w14:textId="62B03385" w:rsidR="00D6011B" w:rsidRPr="007D490B" w:rsidRDefault="00D6011B" w:rsidP="00D6011B">
      <w:pPr>
        <w:jc w:val="both"/>
        <w:rPr>
          <w:color w:val="4A4A4A"/>
          <w:sz w:val="21"/>
          <w:lang w:val="en-US"/>
        </w:rPr>
      </w:pPr>
      <w:r w:rsidRPr="007D490B">
        <w:rPr>
          <w:color w:val="4A4A4A"/>
          <w:sz w:val="21"/>
          <w:lang w:val="en-US"/>
        </w:rPr>
        <w:t xml:space="preserve">Gini, Corrado. (1936). "On the Measure of Concentration with Special Reference to Income and Statistics", Colorado College Publication, General Series No. 208, 73–79. </w:t>
      </w:r>
    </w:p>
    <w:p w14:paraId="384B0992" w14:textId="561F67D5" w:rsidR="00186795" w:rsidRPr="00871B5C" w:rsidRDefault="00D6011B">
      <w:pPr>
        <w:rPr>
          <w:rFonts w:cstheme="minorHAnsi"/>
          <w:color w:val="4A4A4A"/>
        </w:rPr>
      </w:pPr>
      <w:r w:rsidRPr="007D490B">
        <w:rPr>
          <w:color w:val="4A4A4A"/>
          <w:sz w:val="21"/>
          <w:lang w:val="en-US"/>
        </w:rPr>
        <w:t xml:space="preserve">Lustig, Nora (ed). </w:t>
      </w:r>
      <w:r w:rsidRPr="0076564F">
        <w:rPr>
          <w:color w:val="4A4A4A"/>
          <w:sz w:val="21"/>
          <w:lang w:val="en-US"/>
        </w:rPr>
        <w:t>20</w:t>
      </w:r>
      <w:r w:rsidR="00642962">
        <w:rPr>
          <w:color w:val="4A4A4A"/>
          <w:sz w:val="21"/>
          <w:lang w:val="en-US"/>
        </w:rPr>
        <w:t>22</w:t>
      </w:r>
      <w:r w:rsidRPr="007D490B">
        <w:rPr>
          <w:color w:val="4A4A4A"/>
          <w:sz w:val="21"/>
          <w:lang w:val="en-US"/>
        </w:rPr>
        <w:t xml:space="preserve">. </w:t>
      </w:r>
      <w:hyperlink r:id="rId24" w:history="1">
        <w:r w:rsidR="004F1540" w:rsidRPr="00CC7BE1">
          <w:rPr>
            <w:rStyle w:val="Hyperlink"/>
            <w:sz w:val="21"/>
            <w:lang w:val="en-US"/>
          </w:rPr>
          <w:t>CEQ Handbook: Estimating the Impact of Fiscal Policy on Inequality and Poverty</w:t>
        </w:r>
      </w:hyperlink>
      <w:r w:rsidR="004F1540" w:rsidRPr="00CC7BE1">
        <w:rPr>
          <w:sz w:val="21"/>
          <w:lang w:val="en-US"/>
        </w:rPr>
        <w:t>,</w:t>
      </w:r>
      <w:r w:rsidRPr="0076564F">
        <w:rPr>
          <w:color w:val="4A4A4A"/>
          <w:sz w:val="21"/>
          <w:lang w:val="en-US"/>
        </w:rPr>
        <w:t xml:space="preserve"> </w:t>
      </w:r>
      <w:r w:rsidR="00642962" w:rsidRPr="00CC7BE1">
        <w:rPr>
          <w:rFonts w:cstheme="minorHAnsi"/>
          <w:noProof/>
          <w:color w:val="000000"/>
          <w:sz w:val="21"/>
          <w:szCs w:val="21"/>
        </w:rPr>
        <w:t>Second Edition,</w:t>
      </w:r>
      <w:r w:rsidR="00642962" w:rsidRPr="007D490B">
        <w:rPr>
          <w:color w:val="4A4A4A"/>
          <w:sz w:val="21"/>
          <w:lang w:val="en-US"/>
        </w:rPr>
        <w:t xml:space="preserve"> </w:t>
      </w:r>
      <w:r w:rsidRPr="007D490B">
        <w:rPr>
          <w:color w:val="4A4A4A"/>
          <w:sz w:val="21"/>
          <w:lang w:val="en-US"/>
        </w:rPr>
        <w:t xml:space="preserve">CEQ Institute at Tulane University and Brookings Institution Press. </w:t>
      </w:r>
      <w:r w:rsidR="00052938">
        <w:rPr>
          <w:color w:val="4A4A4A"/>
          <w:sz w:val="21"/>
          <w:lang w:val="en-US"/>
        </w:rPr>
        <w:t>www.</w:t>
      </w:r>
      <w:hyperlink r:id="rId25" w:history="1">
        <w:r w:rsidRPr="007D490B">
          <w:rPr>
            <w:color w:val="4A4A4A"/>
            <w:sz w:val="21"/>
            <w:lang w:val="en-US"/>
          </w:rPr>
          <w:t>commitmentoequity.org/publications-ceq-handbook</w:t>
        </w:r>
      </w:hyperlink>
      <w:r w:rsidR="007D4E83" w:rsidRPr="007D490B">
        <w:t xml:space="preserve"> </w:t>
      </w:r>
      <w:r w:rsidRPr="007D490B">
        <w:rPr>
          <w:color w:val="4A4A4A"/>
          <w:sz w:val="21"/>
          <w:lang w:val="en-US"/>
        </w:rPr>
        <w:t>(open source; available online free of charge).</w:t>
      </w:r>
    </w:p>
    <w:sectPr w:rsidR="00186795" w:rsidRPr="00871B5C">
      <w:headerReference w:type="default" r:id="rId26"/>
      <w:footerReference w:type="even" r:id="rId27"/>
      <w:footerReference w:type="defaul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405B9" w14:textId="77777777" w:rsidR="00BD6292" w:rsidRDefault="00BD6292" w:rsidP="00573C0B">
      <w:pPr>
        <w:spacing w:after="0" w:line="240" w:lineRule="auto"/>
      </w:pPr>
      <w:r>
        <w:separator/>
      </w:r>
    </w:p>
  </w:endnote>
  <w:endnote w:type="continuationSeparator" w:id="0">
    <w:p w14:paraId="073B378D" w14:textId="77777777" w:rsidR="00BD6292" w:rsidRDefault="00BD6292" w:rsidP="00573C0B">
      <w:pPr>
        <w:spacing w:after="0" w:line="240" w:lineRule="auto"/>
      </w:pPr>
      <w:r>
        <w:continuationSeparator/>
      </w:r>
    </w:p>
  </w:endnote>
  <w:endnote w:type="continuationNotice" w:id="1">
    <w:p w14:paraId="6914426E" w14:textId="77777777" w:rsidR="00BD6292" w:rsidRDefault="00BD62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31265781"/>
      <w:docPartObj>
        <w:docPartGallery w:val="Page Numbers (Bottom of Page)"/>
        <w:docPartUnique/>
      </w:docPartObj>
    </w:sdtPr>
    <w:sdtEndPr>
      <w:rPr>
        <w:rStyle w:val="PageNumber"/>
      </w:rPr>
    </w:sdtEndPr>
    <w:sdtContent>
      <w:p w14:paraId="590D1B0C" w14:textId="5B82DD55" w:rsidR="00FD042A" w:rsidRDefault="00FD042A" w:rsidP="003539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BDF92C" w14:textId="77777777" w:rsidR="00FD042A" w:rsidRDefault="00FD042A" w:rsidP="007D49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7786123"/>
      <w:docPartObj>
        <w:docPartGallery w:val="Page Numbers (Bottom of Page)"/>
        <w:docPartUnique/>
      </w:docPartObj>
    </w:sdtPr>
    <w:sdtEndPr>
      <w:rPr>
        <w:rStyle w:val="PageNumber"/>
      </w:rPr>
    </w:sdtEndPr>
    <w:sdtContent>
      <w:p w14:paraId="3568091E" w14:textId="29462323" w:rsidR="00FD042A" w:rsidRDefault="00FD042A" w:rsidP="003539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BF2E83" w14:textId="77777777" w:rsidR="00FD042A" w:rsidRDefault="00FD042A" w:rsidP="007D49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D2806" w14:textId="77777777" w:rsidR="00BD6292" w:rsidRDefault="00BD6292" w:rsidP="00573C0B">
      <w:pPr>
        <w:spacing w:after="0" w:line="240" w:lineRule="auto"/>
      </w:pPr>
      <w:r>
        <w:separator/>
      </w:r>
    </w:p>
  </w:footnote>
  <w:footnote w:type="continuationSeparator" w:id="0">
    <w:p w14:paraId="6D446EE2" w14:textId="77777777" w:rsidR="00BD6292" w:rsidRDefault="00BD6292" w:rsidP="00573C0B">
      <w:pPr>
        <w:spacing w:after="0" w:line="240" w:lineRule="auto"/>
      </w:pPr>
      <w:r>
        <w:continuationSeparator/>
      </w:r>
    </w:p>
  </w:footnote>
  <w:footnote w:type="continuationNotice" w:id="1">
    <w:p w14:paraId="4D4C3C66" w14:textId="77777777" w:rsidR="00BD6292" w:rsidRDefault="00BD6292">
      <w:pPr>
        <w:spacing w:after="0" w:line="240" w:lineRule="auto"/>
      </w:pPr>
    </w:p>
  </w:footnote>
  <w:footnote w:id="2">
    <w:p w14:paraId="5449346D" w14:textId="089D3EE3" w:rsidR="00E55E1F" w:rsidRPr="00B31672" w:rsidRDefault="00E55E1F" w:rsidP="007D490B">
      <w:pPr>
        <w:pStyle w:val="FootnoteText"/>
        <w:jc w:val="both"/>
        <w:rPr>
          <w:rFonts w:asciiTheme="minorHAnsi" w:hAnsiTheme="minorHAnsi" w:cstheme="minorHAnsi"/>
          <w:color w:val="4A4A4A"/>
          <w:sz w:val="21"/>
          <w:szCs w:val="21"/>
          <w:lang w:val="en-US"/>
        </w:rPr>
      </w:pPr>
      <w:r w:rsidRPr="00B31672">
        <w:rPr>
          <w:rStyle w:val="FootnoteReference"/>
          <w:rFonts w:asciiTheme="minorHAnsi" w:hAnsiTheme="minorHAnsi" w:cstheme="minorHAnsi"/>
          <w:color w:val="4A4A4A"/>
          <w:sz w:val="21"/>
          <w:szCs w:val="21"/>
        </w:rPr>
        <w:footnoteRef/>
      </w:r>
      <w:r w:rsidRPr="00B31672">
        <w:rPr>
          <w:rFonts w:asciiTheme="minorHAnsi" w:hAnsiTheme="minorHAnsi" w:cstheme="minorHAnsi"/>
          <w:color w:val="4A4A4A"/>
          <w:sz w:val="21"/>
          <w:szCs w:val="21"/>
          <w:lang w:val="en-US"/>
        </w:rPr>
        <w:t xml:space="preserve"> </w:t>
      </w:r>
      <w:r w:rsidRPr="00B31672">
        <w:rPr>
          <w:rFonts w:asciiTheme="minorHAnsi" w:hAnsiTheme="minorHAnsi" w:cstheme="minorHAnsi"/>
          <w:color w:val="4A4A4A"/>
          <w:sz w:val="21"/>
          <w:szCs w:val="21"/>
          <w:lang w:val="en-NZ"/>
        </w:rPr>
        <w:t>The Gini Coefficient is the same indicator but measured between 0 and 1 as a proportion rather than a percentage.</w:t>
      </w:r>
    </w:p>
  </w:footnote>
  <w:footnote w:id="3">
    <w:p w14:paraId="1F05ECAD" w14:textId="0A1FFA43" w:rsidR="005D6E19" w:rsidRPr="00B31672" w:rsidRDefault="005D6E19" w:rsidP="007D490B">
      <w:pPr>
        <w:pStyle w:val="FootnoteText"/>
        <w:jc w:val="both"/>
        <w:rPr>
          <w:rFonts w:asciiTheme="minorHAnsi" w:hAnsiTheme="minorHAnsi" w:cstheme="minorHAnsi"/>
          <w:color w:val="4A4A4A"/>
          <w:sz w:val="21"/>
          <w:szCs w:val="21"/>
          <w:lang w:val="en-US"/>
        </w:rPr>
      </w:pPr>
      <w:r w:rsidRPr="00B31672">
        <w:rPr>
          <w:rStyle w:val="FootnoteReference"/>
          <w:rFonts w:asciiTheme="minorHAnsi" w:hAnsiTheme="minorHAnsi" w:cstheme="minorHAnsi"/>
          <w:color w:val="4A4A4A"/>
          <w:sz w:val="21"/>
          <w:szCs w:val="21"/>
        </w:rPr>
        <w:footnoteRef/>
      </w:r>
      <w:r w:rsidRPr="00B31672">
        <w:rPr>
          <w:rFonts w:asciiTheme="minorHAnsi" w:hAnsiTheme="minorHAnsi" w:cstheme="minorHAnsi"/>
          <w:color w:val="4A4A4A"/>
          <w:sz w:val="21"/>
          <w:szCs w:val="21"/>
          <w:lang w:val="en-US"/>
        </w:rPr>
        <w:t xml:space="preserve"> </w:t>
      </w:r>
      <w:r w:rsidRPr="00B31672">
        <w:rPr>
          <w:rFonts w:asciiTheme="minorHAnsi" w:hAnsiTheme="minorHAnsi" w:cstheme="minorHAnsi"/>
          <w:color w:val="4A4A4A"/>
          <w:sz w:val="21"/>
          <w:szCs w:val="21"/>
          <w:lang w:val="en-NZ"/>
        </w:rPr>
        <w:t>Other equivalence scales exist but this is the one used by OECD countries in generating this SDG indicator.</w:t>
      </w:r>
    </w:p>
  </w:footnote>
  <w:footnote w:id="4">
    <w:p w14:paraId="2F625597" w14:textId="77777777" w:rsidR="008B2BDB" w:rsidRPr="00B31672" w:rsidRDefault="008B2BDB" w:rsidP="007D490B">
      <w:pPr>
        <w:pStyle w:val="FootnoteText"/>
        <w:jc w:val="both"/>
        <w:rPr>
          <w:rFonts w:asciiTheme="minorHAnsi" w:hAnsiTheme="minorHAnsi" w:cstheme="minorHAnsi"/>
          <w:color w:val="4A4A4A"/>
          <w:sz w:val="21"/>
          <w:szCs w:val="21"/>
          <w:lang w:val="en-US"/>
        </w:rPr>
      </w:pPr>
      <w:r w:rsidRPr="00B31672">
        <w:rPr>
          <w:rStyle w:val="FootnoteReference"/>
          <w:rFonts w:asciiTheme="minorHAnsi" w:hAnsiTheme="minorHAnsi" w:cstheme="minorHAnsi"/>
          <w:color w:val="4A4A4A"/>
          <w:sz w:val="21"/>
          <w:szCs w:val="21"/>
          <w:lang w:val="en-US"/>
        </w:rPr>
        <w:footnoteRef/>
      </w:r>
      <w:r w:rsidRPr="00B31672">
        <w:rPr>
          <w:rFonts w:asciiTheme="minorHAnsi" w:hAnsiTheme="minorHAnsi" w:cstheme="minorHAnsi"/>
          <w:color w:val="4A4A4A"/>
          <w:sz w:val="21"/>
          <w:szCs w:val="21"/>
          <w:lang w:val="en-US"/>
        </w:rPr>
        <w:t xml:space="preserve"> Some of the income items mentioned may not be part of the income definition used by various NSOs and IGOS, with imputed rents or consumption of own production being a case in point.</w:t>
      </w:r>
    </w:p>
  </w:footnote>
  <w:footnote w:id="5">
    <w:p w14:paraId="3F75761E" w14:textId="33C0CFBC" w:rsidR="00D66DBB" w:rsidRPr="00AA701F" w:rsidRDefault="00D66DBB" w:rsidP="00CC7BE1">
      <w:pPr>
        <w:spacing w:after="0" w:line="240" w:lineRule="auto"/>
        <w:jc w:val="both"/>
        <w:rPr>
          <w:color w:val="4A4A4A"/>
          <w:sz w:val="21"/>
          <w:u w:val="single"/>
        </w:rPr>
      </w:pPr>
      <w:r>
        <w:rPr>
          <w:rStyle w:val="FootnoteReference"/>
        </w:rPr>
        <w:footnoteRef/>
      </w:r>
      <w:r>
        <w:t xml:space="preserve"> </w:t>
      </w:r>
      <w:r w:rsidR="00A611F8" w:rsidRPr="00AC320B">
        <w:rPr>
          <w:color w:val="4A4A4A"/>
          <w:sz w:val="21"/>
        </w:rPr>
        <w:t>C</w:t>
      </w:r>
      <w:r w:rsidRPr="00AC320B">
        <w:rPr>
          <w:color w:val="4A4A4A"/>
          <w:sz w:val="21"/>
        </w:rPr>
        <w:t>ontributory old-age pensions are considered deferred income (or consumption) obtained from the contributions during working years, a form of forced savings. Other contributory benefits such as unemployment benefits, disability benefits, etc., are treated as pure government transfers. Employer's contributions to all social insurance program are added because the assumptions underlying typical fiscal incidence analysis is that the workers bear the burden of the employer's contributions in full in the form of lower wages (lower market income) and, thus, they need to be added to obtain the correct pre</w:t>
      </w:r>
      <w:r w:rsidR="00FA4325" w:rsidRPr="00AC320B">
        <w:rPr>
          <w:color w:val="4A4A4A"/>
          <w:sz w:val="21"/>
        </w:rPr>
        <w:t>-</w:t>
      </w:r>
      <w:r w:rsidRPr="00AC320B">
        <w:rPr>
          <w:color w:val="4A4A4A"/>
          <w:sz w:val="21"/>
        </w:rPr>
        <w:t>fiscal income and subsequently subtracted to obtain disposable income. For details see Lustig (2022), Chapter 1 and 6.</w:t>
      </w:r>
    </w:p>
    <w:p w14:paraId="18413E75" w14:textId="77777777" w:rsidR="00D66DBB" w:rsidRPr="00AA701F" w:rsidRDefault="00D66DBB" w:rsidP="00D66DBB">
      <w:pPr>
        <w:pStyle w:val="FootnoteText"/>
        <w:rPr>
          <w:lang w:val="en-GB"/>
        </w:rPr>
      </w:pPr>
    </w:p>
  </w:footnote>
  <w:footnote w:id="6">
    <w:p w14:paraId="7F794BAB" w14:textId="7FFF099F" w:rsidR="00D66DBB" w:rsidRPr="00AA701F" w:rsidRDefault="00D66DBB" w:rsidP="00D66DBB">
      <w:pPr>
        <w:spacing w:after="0" w:line="240" w:lineRule="auto"/>
        <w:ind w:left="360"/>
        <w:jc w:val="both"/>
        <w:rPr>
          <w:color w:val="4A4A4A"/>
          <w:sz w:val="21"/>
          <w:u w:val="single"/>
        </w:rPr>
      </w:pPr>
      <w:r>
        <w:rPr>
          <w:rStyle w:val="FootnoteReference"/>
        </w:rPr>
        <w:footnoteRef/>
      </w:r>
      <w:r>
        <w:t xml:space="preserve"> </w:t>
      </w:r>
      <w:r w:rsidRPr="00E50569">
        <w:rPr>
          <w:color w:val="4A4A4A"/>
          <w:sz w:val="21"/>
        </w:rPr>
        <w:t>Employer's contributions to all social insurance program are added because the assumptions underlying typical fiscal incidence analysis is that the workers bear the burden of the employer's contributions in full in the form of lower wages (lower market income) and, thus, they need to be added to obtain the correct pre</w:t>
      </w:r>
      <w:r w:rsidR="00FA4325" w:rsidRPr="00E50569">
        <w:rPr>
          <w:color w:val="4A4A4A"/>
          <w:sz w:val="21"/>
        </w:rPr>
        <w:t>-</w:t>
      </w:r>
      <w:r w:rsidRPr="00E50569">
        <w:rPr>
          <w:color w:val="4A4A4A"/>
          <w:sz w:val="21"/>
        </w:rPr>
        <w:t>fiscal income and subsequently subtracted to obtain disposable income. For details see Lustig (2022), Chapter 1 and 6.</w:t>
      </w:r>
    </w:p>
    <w:p w14:paraId="6B58CA31" w14:textId="77777777" w:rsidR="00D66DBB" w:rsidRPr="00AA701F" w:rsidRDefault="00D66DBB" w:rsidP="00D66DBB">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135C6B4D"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8A5CE8">
      <w:rPr>
        <w:color w:val="404040" w:themeColor="text1" w:themeTint="BF"/>
        <w:sz w:val="18"/>
        <w:szCs w:val="18"/>
      </w:rPr>
      <w:t>Last updated:</w:t>
    </w:r>
    <w:bookmarkEnd w:id="6"/>
    <w:bookmarkEnd w:id="7"/>
    <w:bookmarkEnd w:id="8"/>
    <w:bookmarkEnd w:id="9"/>
    <w:bookmarkEnd w:id="10"/>
    <w:bookmarkEnd w:id="11"/>
    <w:r w:rsidR="00AF5552" w:rsidRPr="008A5CE8">
      <w:rPr>
        <w:color w:val="404040" w:themeColor="text1" w:themeTint="BF"/>
        <w:sz w:val="18"/>
        <w:szCs w:val="18"/>
      </w:rPr>
      <w:t xml:space="preserve"> </w:t>
    </w:r>
    <w:r w:rsidR="00604706" w:rsidRPr="008A5CE8">
      <w:rPr>
        <w:color w:val="404040" w:themeColor="text1" w:themeTint="BF"/>
        <w:sz w:val="18"/>
        <w:szCs w:val="18"/>
      </w:rPr>
      <w:t>202</w:t>
    </w:r>
    <w:r w:rsidR="00427B49" w:rsidRPr="00CC7BE1">
      <w:rPr>
        <w:color w:val="404040" w:themeColor="text1" w:themeTint="BF"/>
        <w:sz w:val="18"/>
        <w:szCs w:val="18"/>
      </w:rPr>
      <w:t>5</w:t>
    </w:r>
    <w:r w:rsidR="00456D85" w:rsidRPr="008A5CE8">
      <w:rPr>
        <w:color w:val="404040" w:themeColor="text1" w:themeTint="BF"/>
        <w:sz w:val="18"/>
        <w:szCs w:val="18"/>
      </w:rPr>
      <w:t>-0</w:t>
    </w:r>
    <w:r w:rsidR="009218A2" w:rsidRPr="00CC7BE1">
      <w:rPr>
        <w:color w:val="404040" w:themeColor="text1" w:themeTint="BF"/>
        <w:sz w:val="18"/>
        <w:szCs w:val="18"/>
      </w:rPr>
      <w:t>3</w:t>
    </w:r>
    <w:r w:rsidR="00456D85" w:rsidRPr="008A5CE8">
      <w:rPr>
        <w:color w:val="404040" w:themeColor="text1" w:themeTint="BF"/>
        <w:sz w:val="18"/>
        <w:szCs w:val="18"/>
      </w:rPr>
      <w:t>-</w:t>
    </w:r>
    <w:r w:rsidR="00C43E2F">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5D0"/>
    <w:multiLevelType w:val="hybridMultilevel"/>
    <w:tmpl w:val="03F2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0B727C"/>
    <w:multiLevelType w:val="hybridMultilevel"/>
    <w:tmpl w:val="C876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B7D3E"/>
    <w:multiLevelType w:val="hybridMultilevel"/>
    <w:tmpl w:val="F6805118"/>
    <w:lvl w:ilvl="0" w:tplc="10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9413A14"/>
    <w:multiLevelType w:val="hybridMultilevel"/>
    <w:tmpl w:val="1A9E828E"/>
    <w:lvl w:ilvl="0" w:tplc="A5F2C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747C0"/>
    <w:multiLevelType w:val="hybridMultilevel"/>
    <w:tmpl w:val="9BFA6BCE"/>
    <w:lvl w:ilvl="0" w:tplc="815AF13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9F350D7"/>
    <w:multiLevelType w:val="hybridMultilevel"/>
    <w:tmpl w:val="084E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E7A25"/>
    <w:multiLevelType w:val="hybridMultilevel"/>
    <w:tmpl w:val="D598C91A"/>
    <w:lvl w:ilvl="0" w:tplc="66703CD2">
      <w:start w:val="1"/>
      <w:numFmt w:val="decimal"/>
      <w:lvlText w:val="%1)"/>
      <w:lvlJc w:val="left"/>
      <w:pPr>
        <w:ind w:left="720" w:hanging="360"/>
      </w:pPr>
      <w:rPr>
        <w:rFonts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2721127">
    <w:abstractNumId w:val="6"/>
  </w:num>
  <w:num w:numId="2" w16cid:durableId="757213354">
    <w:abstractNumId w:val="1"/>
  </w:num>
  <w:num w:numId="3" w16cid:durableId="26683679">
    <w:abstractNumId w:val="10"/>
  </w:num>
  <w:num w:numId="4" w16cid:durableId="1270775304">
    <w:abstractNumId w:val="2"/>
  </w:num>
  <w:num w:numId="5" w16cid:durableId="867640745">
    <w:abstractNumId w:val="5"/>
  </w:num>
  <w:num w:numId="6" w16cid:durableId="707994815">
    <w:abstractNumId w:val="9"/>
  </w:num>
  <w:num w:numId="7" w16cid:durableId="629672234">
    <w:abstractNumId w:val="3"/>
  </w:num>
  <w:num w:numId="8" w16cid:durableId="1096247569">
    <w:abstractNumId w:val="8"/>
  </w:num>
  <w:num w:numId="9" w16cid:durableId="1196626404">
    <w:abstractNumId w:val="0"/>
  </w:num>
  <w:num w:numId="10" w16cid:durableId="154417270">
    <w:abstractNumId w:val="7"/>
  </w:num>
  <w:num w:numId="11" w16cid:durableId="225337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NZ" w:vendorID="64" w:dllVersion="0" w:nlCheck="1" w:checkStyle="0"/>
  <w:activeWritingStyle w:appName="MSWord" w:lang="en-NZ" w:vendorID="64" w:dllVersion="4096" w:nlCheck="1" w:checkStyle="0"/>
  <w:activeWritingStyle w:appName="MSWord" w:lang="fr-FR"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286B"/>
    <w:rsid w:val="00003A9C"/>
    <w:rsid w:val="000070BA"/>
    <w:rsid w:val="00014F03"/>
    <w:rsid w:val="00015B1A"/>
    <w:rsid w:val="00015C91"/>
    <w:rsid w:val="0001717F"/>
    <w:rsid w:val="000173F9"/>
    <w:rsid w:val="0002003A"/>
    <w:rsid w:val="000234EF"/>
    <w:rsid w:val="00024A0C"/>
    <w:rsid w:val="00037ED5"/>
    <w:rsid w:val="000412A0"/>
    <w:rsid w:val="00047DDA"/>
    <w:rsid w:val="00050B0B"/>
    <w:rsid w:val="00052938"/>
    <w:rsid w:val="0005455A"/>
    <w:rsid w:val="00056F3A"/>
    <w:rsid w:val="00060B31"/>
    <w:rsid w:val="000654A4"/>
    <w:rsid w:val="00066860"/>
    <w:rsid w:val="00071F07"/>
    <w:rsid w:val="0007759D"/>
    <w:rsid w:val="000777AB"/>
    <w:rsid w:val="00077F46"/>
    <w:rsid w:val="00084CE7"/>
    <w:rsid w:val="00090FB1"/>
    <w:rsid w:val="00096186"/>
    <w:rsid w:val="000A5811"/>
    <w:rsid w:val="000A72E4"/>
    <w:rsid w:val="000A7485"/>
    <w:rsid w:val="000B0607"/>
    <w:rsid w:val="000B0626"/>
    <w:rsid w:val="000B0D14"/>
    <w:rsid w:val="000B0E2F"/>
    <w:rsid w:val="000B2430"/>
    <w:rsid w:val="000B40F7"/>
    <w:rsid w:val="000B649B"/>
    <w:rsid w:val="000C4EEE"/>
    <w:rsid w:val="000C7880"/>
    <w:rsid w:val="000D0B30"/>
    <w:rsid w:val="000E058B"/>
    <w:rsid w:val="000E21F1"/>
    <w:rsid w:val="000E5681"/>
    <w:rsid w:val="000E5A78"/>
    <w:rsid w:val="000F5769"/>
    <w:rsid w:val="000F59AA"/>
    <w:rsid w:val="000F703E"/>
    <w:rsid w:val="0010662B"/>
    <w:rsid w:val="00106C79"/>
    <w:rsid w:val="00120E86"/>
    <w:rsid w:val="00125DE9"/>
    <w:rsid w:val="00125FAE"/>
    <w:rsid w:val="00130A75"/>
    <w:rsid w:val="001332E0"/>
    <w:rsid w:val="00134DE7"/>
    <w:rsid w:val="00156CB7"/>
    <w:rsid w:val="001616D2"/>
    <w:rsid w:val="001724D0"/>
    <w:rsid w:val="00182FB9"/>
    <w:rsid w:val="00185354"/>
    <w:rsid w:val="001854DC"/>
    <w:rsid w:val="00186795"/>
    <w:rsid w:val="0019288A"/>
    <w:rsid w:val="00194D09"/>
    <w:rsid w:val="00195E8C"/>
    <w:rsid w:val="001978E0"/>
    <w:rsid w:val="001A0254"/>
    <w:rsid w:val="001A51E0"/>
    <w:rsid w:val="001A7D5C"/>
    <w:rsid w:val="001B60AA"/>
    <w:rsid w:val="001B63C8"/>
    <w:rsid w:val="001B6B9E"/>
    <w:rsid w:val="001C17C1"/>
    <w:rsid w:val="001C1972"/>
    <w:rsid w:val="001C2225"/>
    <w:rsid w:val="001C421F"/>
    <w:rsid w:val="001C5A5C"/>
    <w:rsid w:val="001D360D"/>
    <w:rsid w:val="001D625D"/>
    <w:rsid w:val="001D6940"/>
    <w:rsid w:val="002026B0"/>
    <w:rsid w:val="0020521B"/>
    <w:rsid w:val="0020684D"/>
    <w:rsid w:val="0020735F"/>
    <w:rsid w:val="00210961"/>
    <w:rsid w:val="00220B5D"/>
    <w:rsid w:val="00222A50"/>
    <w:rsid w:val="00224AE8"/>
    <w:rsid w:val="0022519B"/>
    <w:rsid w:val="0022743B"/>
    <w:rsid w:val="00234124"/>
    <w:rsid w:val="00237FED"/>
    <w:rsid w:val="002403F2"/>
    <w:rsid w:val="00246FCB"/>
    <w:rsid w:val="00250109"/>
    <w:rsid w:val="00261A8D"/>
    <w:rsid w:val="00272BB7"/>
    <w:rsid w:val="00282851"/>
    <w:rsid w:val="00283C1C"/>
    <w:rsid w:val="00285124"/>
    <w:rsid w:val="00285240"/>
    <w:rsid w:val="00291A00"/>
    <w:rsid w:val="00291A11"/>
    <w:rsid w:val="002937EA"/>
    <w:rsid w:val="002A1F2D"/>
    <w:rsid w:val="002A315C"/>
    <w:rsid w:val="002A3342"/>
    <w:rsid w:val="002A64BA"/>
    <w:rsid w:val="002B3047"/>
    <w:rsid w:val="002B4989"/>
    <w:rsid w:val="002C0183"/>
    <w:rsid w:val="002C2510"/>
    <w:rsid w:val="002D4154"/>
    <w:rsid w:val="002D422B"/>
    <w:rsid w:val="002D714E"/>
    <w:rsid w:val="002D7C56"/>
    <w:rsid w:val="002E3DDD"/>
    <w:rsid w:val="002E53C3"/>
    <w:rsid w:val="002F1468"/>
    <w:rsid w:val="002F5F0C"/>
    <w:rsid w:val="00302D46"/>
    <w:rsid w:val="003042D4"/>
    <w:rsid w:val="0030744E"/>
    <w:rsid w:val="00313093"/>
    <w:rsid w:val="00323705"/>
    <w:rsid w:val="003265EB"/>
    <w:rsid w:val="003269DA"/>
    <w:rsid w:val="0033165D"/>
    <w:rsid w:val="003320D9"/>
    <w:rsid w:val="00333581"/>
    <w:rsid w:val="003340D3"/>
    <w:rsid w:val="003348EB"/>
    <w:rsid w:val="0034329E"/>
    <w:rsid w:val="00343FAA"/>
    <w:rsid w:val="00346C97"/>
    <w:rsid w:val="00347F5E"/>
    <w:rsid w:val="003513E0"/>
    <w:rsid w:val="00353C98"/>
    <w:rsid w:val="003569B8"/>
    <w:rsid w:val="00357A74"/>
    <w:rsid w:val="0036161A"/>
    <w:rsid w:val="003676BF"/>
    <w:rsid w:val="003710EF"/>
    <w:rsid w:val="00371A20"/>
    <w:rsid w:val="003821B4"/>
    <w:rsid w:val="00382CF3"/>
    <w:rsid w:val="00387D52"/>
    <w:rsid w:val="003935E8"/>
    <w:rsid w:val="0039521C"/>
    <w:rsid w:val="003A30FD"/>
    <w:rsid w:val="003A7CEA"/>
    <w:rsid w:val="003B063B"/>
    <w:rsid w:val="003B7916"/>
    <w:rsid w:val="003C1EBB"/>
    <w:rsid w:val="003C7CA7"/>
    <w:rsid w:val="003D3530"/>
    <w:rsid w:val="003D3F5F"/>
    <w:rsid w:val="003D498E"/>
    <w:rsid w:val="003F0BD3"/>
    <w:rsid w:val="003F278A"/>
    <w:rsid w:val="003F3866"/>
    <w:rsid w:val="003F7A02"/>
    <w:rsid w:val="00404FC1"/>
    <w:rsid w:val="00415592"/>
    <w:rsid w:val="00422EA5"/>
    <w:rsid w:val="00422EFA"/>
    <w:rsid w:val="00425D16"/>
    <w:rsid w:val="0042791F"/>
    <w:rsid w:val="00427B49"/>
    <w:rsid w:val="00430655"/>
    <w:rsid w:val="004419C3"/>
    <w:rsid w:val="004456ED"/>
    <w:rsid w:val="004569D4"/>
    <w:rsid w:val="00456D85"/>
    <w:rsid w:val="00466DA0"/>
    <w:rsid w:val="00466E5C"/>
    <w:rsid w:val="00467F85"/>
    <w:rsid w:val="00476909"/>
    <w:rsid w:val="0048045A"/>
    <w:rsid w:val="004841B8"/>
    <w:rsid w:val="00487A23"/>
    <w:rsid w:val="004930F2"/>
    <w:rsid w:val="00497884"/>
    <w:rsid w:val="004A042F"/>
    <w:rsid w:val="004A7647"/>
    <w:rsid w:val="004B0F1C"/>
    <w:rsid w:val="004B77ED"/>
    <w:rsid w:val="004C260D"/>
    <w:rsid w:val="004D12BC"/>
    <w:rsid w:val="004D797B"/>
    <w:rsid w:val="004E019D"/>
    <w:rsid w:val="004E73D3"/>
    <w:rsid w:val="004F10C8"/>
    <w:rsid w:val="004F1540"/>
    <w:rsid w:val="004F2E4C"/>
    <w:rsid w:val="004F2EE6"/>
    <w:rsid w:val="004F6D65"/>
    <w:rsid w:val="00501E1F"/>
    <w:rsid w:val="00502DBA"/>
    <w:rsid w:val="005040C4"/>
    <w:rsid w:val="00505018"/>
    <w:rsid w:val="00507637"/>
    <w:rsid w:val="00507852"/>
    <w:rsid w:val="00507E3F"/>
    <w:rsid w:val="00511993"/>
    <w:rsid w:val="00514DBF"/>
    <w:rsid w:val="00516DBD"/>
    <w:rsid w:val="005214F7"/>
    <w:rsid w:val="0052226D"/>
    <w:rsid w:val="00527F52"/>
    <w:rsid w:val="0053107F"/>
    <w:rsid w:val="00535BD8"/>
    <w:rsid w:val="00540C15"/>
    <w:rsid w:val="00542EE3"/>
    <w:rsid w:val="00550071"/>
    <w:rsid w:val="00550921"/>
    <w:rsid w:val="00552AEE"/>
    <w:rsid w:val="00553FE0"/>
    <w:rsid w:val="00554305"/>
    <w:rsid w:val="0055539F"/>
    <w:rsid w:val="00563712"/>
    <w:rsid w:val="00565BA5"/>
    <w:rsid w:val="00571305"/>
    <w:rsid w:val="00573631"/>
    <w:rsid w:val="00573C0B"/>
    <w:rsid w:val="005764F0"/>
    <w:rsid w:val="00576CFA"/>
    <w:rsid w:val="0057731D"/>
    <w:rsid w:val="00577907"/>
    <w:rsid w:val="00577CFB"/>
    <w:rsid w:val="0058059A"/>
    <w:rsid w:val="005833F3"/>
    <w:rsid w:val="0058556D"/>
    <w:rsid w:val="00591B70"/>
    <w:rsid w:val="00592AF2"/>
    <w:rsid w:val="005947AD"/>
    <w:rsid w:val="00597748"/>
    <w:rsid w:val="005979E8"/>
    <w:rsid w:val="005A1A85"/>
    <w:rsid w:val="005B0FEF"/>
    <w:rsid w:val="005B16D1"/>
    <w:rsid w:val="005B51E7"/>
    <w:rsid w:val="005D068A"/>
    <w:rsid w:val="005D0AF4"/>
    <w:rsid w:val="005D2E47"/>
    <w:rsid w:val="005D6B0C"/>
    <w:rsid w:val="005D6E19"/>
    <w:rsid w:val="005E16FE"/>
    <w:rsid w:val="005E54BD"/>
    <w:rsid w:val="005E61DB"/>
    <w:rsid w:val="005F41BA"/>
    <w:rsid w:val="005F566F"/>
    <w:rsid w:val="005F6CCA"/>
    <w:rsid w:val="00604706"/>
    <w:rsid w:val="00604B10"/>
    <w:rsid w:val="00604D85"/>
    <w:rsid w:val="006104AF"/>
    <w:rsid w:val="0061156F"/>
    <w:rsid w:val="00620F23"/>
    <w:rsid w:val="0062170E"/>
    <w:rsid w:val="00621893"/>
    <w:rsid w:val="0062793C"/>
    <w:rsid w:val="006351E1"/>
    <w:rsid w:val="00635397"/>
    <w:rsid w:val="006358D7"/>
    <w:rsid w:val="0064212D"/>
    <w:rsid w:val="00642962"/>
    <w:rsid w:val="006447B1"/>
    <w:rsid w:val="00662775"/>
    <w:rsid w:val="006752C2"/>
    <w:rsid w:val="006766DB"/>
    <w:rsid w:val="00677C91"/>
    <w:rsid w:val="006852FC"/>
    <w:rsid w:val="0069227F"/>
    <w:rsid w:val="00695F2F"/>
    <w:rsid w:val="006A1F8C"/>
    <w:rsid w:val="006A6C7F"/>
    <w:rsid w:val="006A7338"/>
    <w:rsid w:val="006B40AB"/>
    <w:rsid w:val="006B5DC5"/>
    <w:rsid w:val="006B74AD"/>
    <w:rsid w:val="006C2A20"/>
    <w:rsid w:val="006C3100"/>
    <w:rsid w:val="006C4BFD"/>
    <w:rsid w:val="006C5153"/>
    <w:rsid w:val="006C7D30"/>
    <w:rsid w:val="006E232E"/>
    <w:rsid w:val="006E2F6B"/>
    <w:rsid w:val="006E3C08"/>
    <w:rsid w:val="006E70EC"/>
    <w:rsid w:val="006E7996"/>
    <w:rsid w:val="006F3F76"/>
    <w:rsid w:val="006F70EB"/>
    <w:rsid w:val="00700ACF"/>
    <w:rsid w:val="00705EA8"/>
    <w:rsid w:val="00712487"/>
    <w:rsid w:val="00713779"/>
    <w:rsid w:val="00716BE2"/>
    <w:rsid w:val="00727939"/>
    <w:rsid w:val="007303BF"/>
    <w:rsid w:val="00730668"/>
    <w:rsid w:val="00730A6A"/>
    <w:rsid w:val="007337C9"/>
    <w:rsid w:val="00733802"/>
    <w:rsid w:val="00740DFE"/>
    <w:rsid w:val="007443E5"/>
    <w:rsid w:val="007450F8"/>
    <w:rsid w:val="007530CA"/>
    <w:rsid w:val="00753A39"/>
    <w:rsid w:val="00756D68"/>
    <w:rsid w:val="00757311"/>
    <w:rsid w:val="007578D9"/>
    <w:rsid w:val="00757E8A"/>
    <w:rsid w:val="00760221"/>
    <w:rsid w:val="007605DE"/>
    <w:rsid w:val="00763E43"/>
    <w:rsid w:val="00764EB5"/>
    <w:rsid w:val="0076564F"/>
    <w:rsid w:val="00766AAA"/>
    <w:rsid w:val="00777A95"/>
    <w:rsid w:val="007805A7"/>
    <w:rsid w:val="00782416"/>
    <w:rsid w:val="00783519"/>
    <w:rsid w:val="00792C7D"/>
    <w:rsid w:val="0079364B"/>
    <w:rsid w:val="0079467E"/>
    <w:rsid w:val="007A14EE"/>
    <w:rsid w:val="007A2833"/>
    <w:rsid w:val="007A72D6"/>
    <w:rsid w:val="007A73CC"/>
    <w:rsid w:val="007B0364"/>
    <w:rsid w:val="007B63C6"/>
    <w:rsid w:val="007C085C"/>
    <w:rsid w:val="007C11AF"/>
    <w:rsid w:val="007C2264"/>
    <w:rsid w:val="007C7AB9"/>
    <w:rsid w:val="007D0981"/>
    <w:rsid w:val="007D1929"/>
    <w:rsid w:val="007D490B"/>
    <w:rsid w:val="007D4E83"/>
    <w:rsid w:val="007D7AE8"/>
    <w:rsid w:val="007E2AA3"/>
    <w:rsid w:val="007F2107"/>
    <w:rsid w:val="007F3A32"/>
    <w:rsid w:val="007F4B7B"/>
    <w:rsid w:val="00803CF1"/>
    <w:rsid w:val="008104BB"/>
    <w:rsid w:val="0081230D"/>
    <w:rsid w:val="008131FB"/>
    <w:rsid w:val="008149BD"/>
    <w:rsid w:val="0082021A"/>
    <w:rsid w:val="00823BCE"/>
    <w:rsid w:val="008249C5"/>
    <w:rsid w:val="008256EA"/>
    <w:rsid w:val="0082711E"/>
    <w:rsid w:val="0083355C"/>
    <w:rsid w:val="00835953"/>
    <w:rsid w:val="008523EB"/>
    <w:rsid w:val="008526F9"/>
    <w:rsid w:val="0085285E"/>
    <w:rsid w:val="00853023"/>
    <w:rsid w:val="008534D4"/>
    <w:rsid w:val="00856654"/>
    <w:rsid w:val="00857D86"/>
    <w:rsid w:val="00861741"/>
    <w:rsid w:val="008705EC"/>
    <w:rsid w:val="00871B5C"/>
    <w:rsid w:val="00881E28"/>
    <w:rsid w:val="008868CF"/>
    <w:rsid w:val="00893DE9"/>
    <w:rsid w:val="00894C4B"/>
    <w:rsid w:val="008A12E3"/>
    <w:rsid w:val="008A3C20"/>
    <w:rsid w:val="008A3DEF"/>
    <w:rsid w:val="008A42FA"/>
    <w:rsid w:val="008A4520"/>
    <w:rsid w:val="008A51DC"/>
    <w:rsid w:val="008A5CE8"/>
    <w:rsid w:val="008B0AC7"/>
    <w:rsid w:val="008B2BDB"/>
    <w:rsid w:val="008C097F"/>
    <w:rsid w:val="008C2335"/>
    <w:rsid w:val="008C4D8F"/>
    <w:rsid w:val="008C64CD"/>
    <w:rsid w:val="008C67C1"/>
    <w:rsid w:val="008D1D39"/>
    <w:rsid w:val="008E0190"/>
    <w:rsid w:val="008E6E47"/>
    <w:rsid w:val="008F07D2"/>
    <w:rsid w:val="008F4CAD"/>
    <w:rsid w:val="008F5AEA"/>
    <w:rsid w:val="008F7761"/>
    <w:rsid w:val="00914A5E"/>
    <w:rsid w:val="00917851"/>
    <w:rsid w:val="00917F65"/>
    <w:rsid w:val="009218A2"/>
    <w:rsid w:val="0092642A"/>
    <w:rsid w:val="009270A6"/>
    <w:rsid w:val="009311E7"/>
    <w:rsid w:val="00934409"/>
    <w:rsid w:val="009353FC"/>
    <w:rsid w:val="009356B1"/>
    <w:rsid w:val="00942694"/>
    <w:rsid w:val="009521E1"/>
    <w:rsid w:val="0095513A"/>
    <w:rsid w:val="00960A7F"/>
    <w:rsid w:val="00976B8E"/>
    <w:rsid w:val="0098790C"/>
    <w:rsid w:val="00991B62"/>
    <w:rsid w:val="00993E49"/>
    <w:rsid w:val="009A5B88"/>
    <w:rsid w:val="009A75E9"/>
    <w:rsid w:val="009A7E3A"/>
    <w:rsid w:val="009B1139"/>
    <w:rsid w:val="009B1265"/>
    <w:rsid w:val="009B274E"/>
    <w:rsid w:val="009B371C"/>
    <w:rsid w:val="009B4A15"/>
    <w:rsid w:val="009B5693"/>
    <w:rsid w:val="009C1C68"/>
    <w:rsid w:val="009C3DD8"/>
    <w:rsid w:val="009C61A2"/>
    <w:rsid w:val="009C78E4"/>
    <w:rsid w:val="009C7D49"/>
    <w:rsid w:val="009D06AC"/>
    <w:rsid w:val="009D687E"/>
    <w:rsid w:val="009F636B"/>
    <w:rsid w:val="009F6DE7"/>
    <w:rsid w:val="00A04BEB"/>
    <w:rsid w:val="00A0682F"/>
    <w:rsid w:val="00A10583"/>
    <w:rsid w:val="00A11EEA"/>
    <w:rsid w:val="00A122C0"/>
    <w:rsid w:val="00A1418C"/>
    <w:rsid w:val="00A20A09"/>
    <w:rsid w:val="00A23228"/>
    <w:rsid w:val="00A24243"/>
    <w:rsid w:val="00A2427E"/>
    <w:rsid w:val="00A37FCB"/>
    <w:rsid w:val="00A54863"/>
    <w:rsid w:val="00A548FC"/>
    <w:rsid w:val="00A56229"/>
    <w:rsid w:val="00A611F8"/>
    <w:rsid w:val="00A61D74"/>
    <w:rsid w:val="00A707DA"/>
    <w:rsid w:val="00A7133C"/>
    <w:rsid w:val="00A815B0"/>
    <w:rsid w:val="00A824AE"/>
    <w:rsid w:val="00A8688B"/>
    <w:rsid w:val="00A91163"/>
    <w:rsid w:val="00A9286F"/>
    <w:rsid w:val="00A95DC8"/>
    <w:rsid w:val="00A96255"/>
    <w:rsid w:val="00A968A6"/>
    <w:rsid w:val="00AA0CFB"/>
    <w:rsid w:val="00AB14C2"/>
    <w:rsid w:val="00AB1856"/>
    <w:rsid w:val="00AB285B"/>
    <w:rsid w:val="00AB3F75"/>
    <w:rsid w:val="00AB78AF"/>
    <w:rsid w:val="00AC320B"/>
    <w:rsid w:val="00AC339C"/>
    <w:rsid w:val="00AC50CE"/>
    <w:rsid w:val="00AC7C47"/>
    <w:rsid w:val="00AD37DA"/>
    <w:rsid w:val="00AD5081"/>
    <w:rsid w:val="00AF3009"/>
    <w:rsid w:val="00AF5552"/>
    <w:rsid w:val="00AF577B"/>
    <w:rsid w:val="00AF5CB4"/>
    <w:rsid w:val="00AF5ED1"/>
    <w:rsid w:val="00AF71D6"/>
    <w:rsid w:val="00B038DE"/>
    <w:rsid w:val="00B216EE"/>
    <w:rsid w:val="00B23AD8"/>
    <w:rsid w:val="00B266D4"/>
    <w:rsid w:val="00B27945"/>
    <w:rsid w:val="00B31672"/>
    <w:rsid w:val="00B3175F"/>
    <w:rsid w:val="00B31E2C"/>
    <w:rsid w:val="00B32791"/>
    <w:rsid w:val="00B329B0"/>
    <w:rsid w:val="00B35B3B"/>
    <w:rsid w:val="00B402D8"/>
    <w:rsid w:val="00B40CFA"/>
    <w:rsid w:val="00B4237C"/>
    <w:rsid w:val="00B42FE8"/>
    <w:rsid w:val="00B52AFD"/>
    <w:rsid w:val="00B53ED7"/>
    <w:rsid w:val="00B54077"/>
    <w:rsid w:val="00B54577"/>
    <w:rsid w:val="00B753F2"/>
    <w:rsid w:val="00B7594C"/>
    <w:rsid w:val="00B774A1"/>
    <w:rsid w:val="00B8087E"/>
    <w:rsid w:val="00B85192"/>
    <w:rsid w:val="00B93101"/>
    <w:rsid w:val="00BA567F"/>
    <w:rsid w:val="00BB646E"/>
    <w:rsid w:val="00BC10D9"/>
    <w:rsid w:val="00BC5FF3"/>
    <w:rsid w:val="00BD1BA1"/>
    <w:rsid w:val="00BD6292"/>
    <w:rsid w:val="00BE2A70"/>
    <w:rsid w:val="00BE5796"/>
    <w:rsid w:val="00BE751F"/>
    <w:rsid w:val="00BF1003"/>
    <w:rsid w:val="00BF5E58"/>
    <w:rsid w:val="00C019E5"/>
    <w:rsid w:val="00C072DC"/>
    <w:rsid w:val="00C1269E"/>
    <w:rsid w:val="00C15E8D"/>
    <w:rsid w:val="00C22EE3"/>
    <w:rsid w:val="00C24E74"/>
    <w:rsid w:val="00C27C27"/>
    <w:rsid w:val="00C35BC4"/>
    <w:rsid w:val="00C36D80"/>
    <w:rsid w:val="00C43B9B"/>
    <w:rsid w:val="00C43E2F"/>
    <w:rsid w:val="00C43F5B"/>
    <w:rsid w:val="00C47122"/>
    <w:rsid w:val="00C564DF"/>
    <w:rsid w:val="00C62A5F"/>
    <w:rsid w:val="00C6696E"/>
    <w:rsid w:val="00C7471A"/>
    <w:rsid w:val="00C842D6"/>
    <w:rsid w:val="00C90AE2"/>
    <w:rsid w:val="00C92861"/>
    <w:rsid w:val="00C9347C"/>
    <w:rsid w:val="00C9603D"/>
    <w:rsid w:val="00CA74C9"/>
    <w:rsid w:val="00CB4371"/>
    <w:rsid w:val="00CB7676"/>
    <w:rsid w:val="00CB7F6D"/>
    <w:rsid w:val="00CC516D"/>
    <w:rsid w:val="00CC7BE1"/>
    <w:rsid w:val="00CE128C"/>
    <w:rsid w:val="00CE17FD"/>
    <w:rsid w:val="00CE257B"/>
    <w:rsid w:val="00CE5055"/>
    <w:rsid w:val="00CE5637"/>
    <w:rsid w:val="00CE708A"/>
    <w:rsid w:val="00CF4D53"/>
    <w:rsid w:val="00D017F7"/>
    <w:rsid w:val="00D051B0"/>
    <w:rsid w:val="00D11812"/>
    <w:rsid w:val="00D24330"/>
    <w:rsid w:val="00D35E35"/>
    <w:rsid w:val="00D3620C"/>
    <w:rsid w:val="00D40056"/>
    <w:rsid w:val="00D51E7C"/>
    <w:rsid w:val="00D53644"/>
    <w:rsid w:val="00D54F29"/>
    <w:rsid w:val="00D5546D"/>
    <w:rsid w:val="00D6011B"/>
    <w:rsid w:val="00D6660E"/>
    <w:rsid w:val="00D66DBB"/>
    <w:rsid w:val="00D7020C"/>
    <w:rsid w:val="00D70AD9"/>
    <w:rsid w:val="00D72152"/>
    <w:rsid w:val="00D74A9A"/>
    <w:rsid w:val="00D82BE9"/>
    <w:rsid w:val="00D91B3F"/>
    <w:rsid w:val="00D94BA5"/>
    <w:rsid w:val="00D9510F"/>
    <w:rsid w:val="00DA33AF"/>
    <w:rsid w:val="00DA5263"/>
    <w:rsid w:val="00DA615C"/>
    <w:rsid w:val="00DA741F"/>
    <w:rsid w:val="00DB5FA3"/>
    <w:rsid w:val="00DD1BC6"/>
    <w:rsid w:val="00DE0CE4"/>
    <w:rsid w:val="00DE5DC3"/>
    <w:rsid w:val="00DE7D92"/>
    <w:rsid w:val="00DF7B7D"/>
    <w:rsid w:val="00E0056B"/>
    <w:rsid w:val="00E00D8A"/>
    <w:rsid w:val="00E1050F"/>
    <w:rsid w:val="00E11604"/>
    <w:rsid w:val="00E11D92"/>
    <w:rsid w:val="00E130A0"/>
    <w:rsid w:val="00E20D39"/>
    <w:rsid w:val="00E210C4"/>
    <w:rsid w:val="00E23DB7"/>
    <w:rsid w:val="00E24F68"/>
    <w:rsid w:val="00E305F1"/>
    <w:rsid w:val="00E46D96"/>
    <w:rsid w:val="00E47C05"/>
    <w:rsid w:val="00E50569"/>
    <w:rsid w:val="00E52CCA"/>
    <w:rsid w:val="00E54854"/>
    <w:rsid w:val="00E55849"/>
    <w:rsid w:val="00E55E1F"/>
    <w:rsid w:val="00E66409"/>
    <w:rsid w:val="00E66B0B"/>
    <w:rsid w:val="00E72492"/>
    <w:rsid w:val="00E81D5B"/>
    <w:rsid w:val="00E82380"/>
    <w:rsid w:val="00E925CD"/>
    <w:rsid w:val="00E95E80"/>
    <w:rsid w:val="00E976B9"/>
    <w:rsid w:val="00E97F23"/>
    <w:rsid w:val="00EA05D3"/>
    <w:rsid w:val="00EA24A3"/>
    <w:rsid w:val="00EB19AD"/>
    <w:rsid w:val="00EB2F31"/>
    <w:rsid w:val="00EB3623"/>
    <w:rsid w:val="00EB6493"/>
    <w:rsid w:val="00EB7A26"/>
    <w:rsid w:val="00EB7FE4"/>
    <w:rsid w:val="00EC2915"/>
    <w:rsid w:val="00EC5808"/>
    <w:rsid w:val="00EC5B9F"/>
    <w:rsid w:val="00ED05A9"/>
    <w:rsid w:val="00ED12A3"/>
    <w:rsid w:val="00ED1BA0"/>
    <w:rsid w:val="00ED2D8C"/>
    <w:rsid w:val="00EE0F7F"/>
    <w:rsid w:val="00EE40A0"/>
    <w:rsid w:val="00EF5B27"/>
    <w:rsid w:val="00F10872"/>
    <w:rsid w:val="00F111E1"/>
    <w:rsid w:val="00F137E5"/>
    <w:rsid w:val="00F152A1"/>
    <w:rsid w:val="00F152F8"/>
    <w:rsid w:val="00F17257"/>
    <w:rsid w:val="00F261AB"/>
    <w:rsid w:val="00F34D24"/>
    <w:rsid w:val="00F37462"/>
    <w:rsid w:val="00F4105B"/>
    <w:rsid w:val="00F4130B"/>
    <w:rsid w:val="00F43A4D"/>
    <w:rsid w:val="00F4635F"/>
    <w:rsid w:val="00F5169D"/>
    <w:rsid w:val="00F55004"/>
    <w:rsid w:val="00F553B3"/>
    <w:rsid w:val="00F556A2"/>
    <w:rsid w:val="00F62B96"/>
    <w:rsid w:val="00F719A8"/>
    <w:rsid w:val="00F7519E"/>
    <w:rsid w:val="00F75281"/>
    <w:rsid w:val="00F772A1"/>
    <w:rsid w:val="00F80972"/>
    <w:rsid w:val="00F878B9"/>
    <w:rsid w:val="00FA4325"/>
    <w:rsid w:val="00FB121E"/>
    <w:rsid w:val="00FB24E8"/>
    <w:rsid w:val="00FB3B2B"/>
    <w:rsid w:val="00FB58BA"/>
    <w:rsid w:val="00FC08F5"/>
    <w:rsid w:val="00FC18DA"/>
    <w:rsid w:val="00FC3917"/>
    <w:rsid w:val="00FC40E2"/>
    <w:rsid w:val="00FD042A"/>
    <w:rsid w:val="00FD054C"/>
    <w:rsid w:val="00FD39E4"/>
    <w:rsid w:val="00FD60DA"/>
    <w:rsid w:val="00FF07B4"/>
    <w:rsid w:val="00FF4AC3"/>
    <w:rsid w:val="00FF692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D5081"/>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Strong">
    <w:name w:val="Strong"/>
    <w:uiPriority w:val="22"/>
    <w:qFormat/>
    <w:rsid w:val="008B2BDB"/>
    <w:rPr>
      <w:b/>
      <w:bCs/>
    </w:rPr>
  </w:style>
  <w:style w:type="paragraph" w:styleId="FootnoteText">
    <w:name w:val="footnote text"/>
    <w:basedOn w:val="Normal"/>
    <w:link w:val="FootnoteTextChar"/>
    <w:uiPriority w:val="99"/>
    <w:semiHidden/>
    <w:unhideWhenUsed/>
    <w:rsid w:val="008B2BDB"/>
    <w:pPr>
      <w:spacing w:after="0" w:line="240" w:lineRule="auto"/>
    </w:pPr>
    <w:rPr>
      <w:rFonts w:ascii="Times New Roman" w:eastAsia="Times New Roman" w:hAnsi="Times New Roman" w:cs="Times New Roman"/>
      <w:sz w:val="20"/>
      <w:szCs w:val="20"/>
      <w:lang w:val="de-DE" w:eastAsia="en-GB"/>
    </w:rPr>
  </w:style>
  <w:style w:type="character" w:customStyle="1" w:styleId="FootnoteTextChar">
    <w:name w:val="Footnote Text Char"/>
    <w:basedOn w:val="DefaultParagraphFont"/>
    <w:link w:val="FootnoteText"/>
    <w:uiPriority w:val="99"/>
    <w:semiHidden/>
    <w:rsid w:val="008B2BDB"/>
    <w:rPr>
      <w:rFonts w:ascii="Times New Roman" w:eastAsia="Times New Roman" w:hAnsi="Times New Roman" w:cs="Times New Roman"/>
      <w:sz w:val="20"/>
      <w:szCs w:val="20"/>
      <w:lang w:val="de-DE" w:eastAsia="en-GB"/>
    </w:rPr>
  </w:style>
  <w:style w:type="character" w:styleId="FootnoteReference">
    <w:name w:val="footnote reference"/>
    <w:basedOn w:val="DefaultParagraphFont"/>
    <w:uiPriority w:val="99"/>
    <w:semiHidden/>
    <w:unhideWhenUsed/>
    <w:rsid w:val="008B2BDB"/>
    <w:rPr>
      <w:vertAlign w:val="superscript"/>
    </w:rPr>
  </w:style>
  <w:style w:type="character" w:styleId="FollowedHyperlink">
    <w:name w:val="FollowedHyperlink"/>
    <w:basedOn w:val="DefaultParagraphFont"/>
    <w:uiPriority w:val="99"/>
    <w:semiHidden/>
    <w:unhideWhenUsed/>
    <w:rsid w:val="00D6011B"/>
    <w:rPr>
      <w:color w:val="800080" w:themeColor="followedHyperlink"/>
      <w:u w:val="single"/>
    </w:rPr>
  </w:style>
  <w:style w:type="paragraph" w:styleId="Revision">
    <w:name w:val="Revision"/>
    <w:hidden/>
    <w:uiPriority w:val="99"/>
    <w:semiHidden/>
    <w:rsid w:val="007F2107"/>
    <w:pPr>
      <w:spacing w:after="0" w:line="240" w:lineRule="auto"/>
    </w:pPr>
  </w:style>
  <w:style w:type="paragraph" w:styleId="NoSpacing">
    <w:name w:val="No Spacing"/>
    <w:uiPriority w:val="1"/>
    <w:qFormat/>
    <w:rsid w:val="001A51E0"/>
    <w:pPr>
      <w:spacing w:after="0" w:line="240" w:lineRule="auto"/>
    </w:pPr>
  </w:style>
  <w:style w:type="character" w:customStyle="1" w:styleId="ui-provider">
    <w:name w:val="ui-provider"/>
    <w:basedOn w:val="DefaultParagraphFont"/>
    <w:rsid w:val="00CF4D53"/>
  </w:style>
  <w:style w:type="character" w:styleId="PageNumber">
    <w:name w:val="page number"/>
    <w:basedOn w:val="DefaultParagraphFont"/>
    <w:uiPriority w:val="99"/>
    <w:semiHidden/>
    <w:unhideWhenUsed/>
    <w:rsid w:val="00FD0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unstats.un.org/sdgs/dataportal/database" TargetMode="External"/><Relationship Id="rId18" Type="http://schemas.openxmlformats.org/officeDocument/2006/relationships/hyperlink" Target="https://commitmentoequity.org/publications-ceq-handbook"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commitmentoequity.org/datacenter/"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commitmentoequity.org/" TargetMode="External"/><Relationship Id="rId25" Type="http://schemas.openxmlformats.org/officeDocument/2006/relationships/hyperlink" Target="http://commitmentoequity.org/publications-ceq-handbook" TargetMode="External"/><Relationship Id="rId2" Type="http://schemas.openxmlformats.org/officeDocument/2006/relationships/customXml" Target="../customXml/item2.xml"/><Relationship Id="rId16" Type="http://schemas.openxmlformats.org/officeDocument/2006/relationships/hyperlink" Target="http://commitmentoequity.org/" TargetMode="External"/><Relationship Id="rId20" Type="http://schemas.openxmlformats.org/officeDocument/2006/relationships/hyperlink" Target="http://commitmentoequity.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tulane.app.box.com/s/l72r8kez5b1r38fibghgyb439i6849pm" TargetMode="External"/><Relationship Id="rId5" Type="http://schemas.openxmlformats.org/officeDocument/2006/relationships/customXml" Target="../customXml/item5.xml"/><Relationship Id="rId15" Type="http://schemas.openxmlformats.org/officeDocument/2006/relationships/hyperlink" Target="http://commitmentoequity.org/publications-ceqworkingpapers/" TargetMode="External"/><Relationship Id="rId23" Type="http://schemas.openxmlformats.org/officeDocument/2006/relationships/hyperlink" Target="https://idrc-crdi.ca/en/book/poverty-and-equity-measurement-policy-and-estimation-dad"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www.ceqinstitute.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hyperlink" Target="https://unstats.un.org/sdgs/dataportal/database"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8E55BB2F65242F1B6A94BA3F89EE399"/>
        <w:category>
          <w:name w:val="General"/>
          <w:gallery w:val="placeholder"/>
        </w:category>
        <w:types>
          <w:type w:val="bbPlcHdr"/>
        </w:types>
        <w:behaviors>
          <w:behavior w:val="content"/>
        </w:behaviors>
        <w:guid w:val="{9F159B9F-5943-471C-A922-B70B386E8EF3}"/>
      </w:docPartPr>
      <w:docPartBody>
        <w:p w:rsidR="002027DD" w:rsidRDefault="002027DD" w:rsidP="002027DD">
          <w:pPr>
            <w:pStyle w:val="B8E55BB2F65242F1B6A94BA3F89EE399"/>
          </w:pPr>
          <w:r w:rsidRPr="00804EE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DD"/>
    <w:rsid w:val="002027DD"/>
    <w:rsid w:val="00313093"/>
    <w:rsid w:val="003A4AA5"/>
    <w:rsid w:val="003B7916"/>
    <w:rsid w:val="004C260D"/>
    <w:rsid w:val="004D12BC"/>
    <w:rsid w:val="00512CF6"/>
    <w:rsid w:val="0052226D"/>
    <w:rsid w:val="005233A5"/>
    <w:rsid w:val="00554305"/>
    <w:rsid w:val="0057731D"/>
    <w:rsid w:val="006846ED"/>
    <w:rsid w:val="006977A9"/>
    <w:rsid w:val="00766AAA"/>
    <w:rsid w:val="0082711E"/>
    <w:rsid w:val="009521E1"/>
    <w:rsid w:val="009E6DBA"/>
    <w:rsid w:val="00B64585"/>
    <w:rsid w:val="00C62A5F"/>
    <w:rsid w:val="00C94627"/>
    <w:rsid w:val="00D73808"/>
    <w:rsid w:val="00DB6A0A"/>
    <w:rsid w:val="00DE0CE4"/>
    <w:rsid w:val="00E97F23"/>
    <w:rsid w:val="00F31516"/>
    <w:rsid w:val="00F478E5"/>
    <w:rsid w:val="00F5169D"/>
    <w:rsid w:val="00FD05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7A9"/>
    <w:rPr>
      <w:color w:val="808080"/>
    </w:rPr>
  </w:style>
  <w:style w:type="paragraph" w:customStyle="1" w:styleId="B8E55BB2F65242F1B6A94BA3F89EE399">
    <w:name w:val="B8E55BB2F65242F1B6A94BA3F89EE399"/>
    <w:rsid w:val="00202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e9001b0-b180-4aff-aa74-0b7c3b0b9217">
      <Terms xmlns="http://schemas.microsoft.com/office/infopath/2007/PartnerControls"/>
    </lcf76f155ced4ddcb4097134ff3c332f>
    <TaxCatchAll xmlns="34bb0af6-af25-4d5b-ad87-5fb86b1e297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98E5775160C84449AA31726C2E92DCE" ma:contentTypeVersion="11" ma:contentTypeDescription="Create a new document." ma:contentTypeScope="" ma:versionID="5deed5df9fc911ae5035e2039a4316da">
  <xsd:schema xmlns:xsd="http://www.w3.org/2001/XMLSchema" xmlns:xs="http://www.w3.org/2001/XMLSchema" xmlns:p="http://schemas.microsoft.com/office/2006/metadata/properties" xmlns:ns2="ae9001b0-b180-4aff-aa74-0b7c3b0b9217" xmlns:ns3="34bb0af6-af25-4d5b-ad87-5fb86b1e297c" targetNamespace="http://schemas.microsoft.com/office/2006/metadata/properties" ma:root="true" ma:fieldsID="0479fe77d12a3fa5fa2510e0ba0cb099" ns2:_="" ns3:_="">
    <xsd:import namespace="ae9001b0-b180-4aff-aa74-0b7c3b0b9217"/>
    <xsd:import namespace="34bb0af6-af25-4d5b-ad87-5fb86b1e297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001b0-b180-4aff-aa74-0b7c3b0b92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bb0af6-af25-4d5b-ad87-5fb86b1e297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314a2d-187a-40c3-b974-fdf7d9c1545e}" ma:internalName="TaxCatchAll" ma:showField="CatchAllData" ma:web="34bb0af6-af25-4d5b-ad87-5fb86b1e29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C186A0-45D6-42EF-A184-669CAD0A0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ae9001b0-b180-4aff-aa74-0b7c3b0b9217"/>
    <ds:schemaRef ds:uri="34bb0af6-af25-4d5b-ad87-5fb86b1e297c"/>
  </ds:schemaRefs>
</ds:datastoreItem>
</file>

<file path=customXml/itemProps4.xml><?xml version="1.0" encoding="utf-8"?>
<ds:datastoreItem xmlns:ds="http://schemas.openxmlformats.org/officeDocument/2006/customXml" ds:itemID="{E18FDBB2-3391-4CCA-911E-D2F4F491D858}">
  <ds:schemaRefs>
    <ds:schemaRef ds:uri="http://schemas.openxmlformats.org/officeDocument/2006/bibliography"/>
  </ds:schemaRefs>
</ds:datastoreItem>
</file>

<file path=customXml/itemProps5.xml><?xml version="1.0" encoding="utf-8"?>
<ds:datastoreItem xmlns:ds="http://schemas.openxmlformats.org/officeDocument/2006/customXml" ds:itemID="{1594AEF7-E4F8-4103-8DAF-5141ECCF8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001b0-b180-4aff-aa74-0b7c3b0b9217"/>
    <ds:schemaRef ds:uri="34bb0af6-af25-4d5b-ad87-5fb86b1e2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4113</Words>
  <Characters>23449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9</cp:revision>
  <cp:lastPrinted>2025-04-01T04:06:00Z</cp:lastPrinted>
  <dcterms:created xsi:type="dcterms:W3CDTF">2025-03-21T19:03:00Z</dcterms:created>
  <dcterms:modified xsi:type="dcterms:W3CDTF">2025-04-01T04:06:00Z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0x010100698E5775160C84449AA31726C2E92DCE</vt:lpwstr>
  </property>
  <property fmtid="{D5CDD505-2E9C-101B-9397-08002B2CF9AE}" pid="3" name="MediaServiceImageTags">
    <vt:lpwstr/>
  </property>
</Properties>
</file>