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254780" w:rsidRDefault="006C4BFD" w:rsidP="00A027A2">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D64BA9">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254780" w:rsidRDefault="006C4BFD" w:rsidP="00A027A2">
      <w:pPr>
        <w:spacing w:after="0"/>
        <w:rPr>
          <w:rFonts w:eastAsia="Times New Roman" w:cs="Times New Roman"/>
          <w:b/>
          <w:bCs/>
          <w:color w:val="4A4A4A"/>
          <w:sz w:val="21"/>
          <w:szCs w:val="21"/>
          <w:lang w:eastAsia="en-GB"/>
        </w:rPr>
      </w:pPr>
    </w:p>
    <w:p w14:paraId="6AEAC6DA" w14:textId="01E89D07" w:rsidR="00B31E2C" w:rsidRPr="00A96255" w:rsidRDefault="00B31E2C" w:rsidP="00254780">
      <w:pPr>
        <w:pStyle w:val="MIndHeader2"/>
      </w:pPr>
      <w:r w:rsidRPr="00A96255">
        <w:t>0. Indicator information</w:t>
      </w:r>
      <w:r w:rsidR="00BA1E25" w:rsidRPr="00A96255">
        <w:t xml:space="preserve"> </w:t>
      </w:r>
      <w:r>
        <w:rPr>
          <w:color w:val="B4B4B4"/>
          <w:sz w:val="20"/>
        </w:rPr>
        <w:t>(SDG_INDICATOR_INFO)</w:t>
      </w:r>
    </w:p>
    <w:p w14:paraId="043ED752" w14:textId="2B756F3B" w:rsidR="00D24330" w:rsidRPr="00A96255" w:rsidRDefault="00D24330" w:rsidP="00254780">
      <w:pPr>
        <w:pStyle w:val="MIndHeader"/>
      </w:pPr>
      <w:r w:rsidRPr="00A96255">
        <w:t xml:space="preserve">0.a. Goal </w:t>
      </w:r>
      <w:r>
        <w:rPr>
          <w:color w:val="B4B4B4"/>
          <w:sz w:val="20"/>
        </w:rPr>
        <w:t>(SDG_GOAL)</w:t>
      </w:r>
    </w:p>
    <w:p w14:paraId="0C615824" w14:textId="77B10C68" w:rsidR="00D24330" w:rsidRPr="00A96255" w:rsidRDefault="00AF4C4E" w:rsidP="00254780">
      <w:pPr>
        <w:pStyle w:val="MGTHeader"/>
      </w:pPr>
      <w:r w:rsidRPr="00AF4C4E">
        <w:t xml:space="preserve">Goal 10: Reduce inequality within and among </w:t>
      </w:r>
      <w:proofErr w:type="gramStart"/>
      <w:r w:rsidRPr="00AF4C4E">
        <w:t>countries</w:t>
      </w:r>
      <w:proofErr w:type="gramEnd"/>
    </w:p>
    <w:p w14:paraId="084142D2" w14:textId="492733FD" w:rsidR="00D24330" w:rsidRPr="00A96255" w:rsidRDefault="00D24330" w:rsidP="00254780">
      <w:pPr>
        <w:pStyle w:val="MIndHeader"/>
      </w:pPr>
      <w:r w:rsidRPr="00A96255">
        <w:t xml:space="preserve">0.b. Target </w:t>
      </w:r>
      <w:r>
        <w:rPr>
          <w:color w:val="B4B4B4"/>
          <w:sz w:val="20"/>
        </w:rPr>
        <w:t>(SDG_TARGET)</w:t>
      </w:r>
    </w:p>
    <w:p w14:paraId="0D7F1B46" w14:textId="066C88B9" w:rsidR="00D24330" w:rsidRPr="00A96255" w:rsidRDefault="005B74EC" w:rsidP="00254780">
      <w:pPr>
        <w:pStyle w:val="MGTHeader"/>
      </w:pPr>
      <w:r w:rsidRPr="005B74EC">
        <w:t xml:space="preserve">Target 10.5: Improve the regulation and monitoring of global financial markets and institutions and strengthen the implementation of such </w:t>
      </w:r>
      <w:proofErr w:type="gramStart"/>
      <w:r w:rsidRPr="005B74EC">
        <w:t>regulations</w:t>
      </w:r>
      <w:proofErr w:type="gramEnd"/>
    </w:p>
    <w:p w14:paraId="3E67E7E0" w14:textId="70A49452" w:rsidR="00D24330" w:rsidRPr="00A96255" w:rsidRDefault="00D24330" w:rsidP="00254780">
      <w:pPr>
        <w:pStyle w:val="MIndHeader"/>
      </w:pPr>
      <w:r>
        <w:t xml:space="preserve">0.c. Indicator </w:t>
      </w:r>
      <w:r>
        <w:rPr>
          <w:color w:val="B4B4B4"/>
          <w:sz w:val="20"/>
        </w:rPr>
        <w:t>(SDG_INDICATOR)</w:t>
      </w:r>
    </w:p>
    <w:p w14:paraId="11454E13" w14:textId="46A0A3C8" w:rsidR="004AC8EB" w:rsidRDefault="004AC8EB" w:rsidP="00254780">
      <w:pPr>
        <w:pStyle w:val="MGTHeader"/>
        <w:rPr>
          <w:rFonts w:ascii="Calibri" w:hAnsi="Calibri"/>
        </w:rPr>
      </w:pPr>
      <w:r w:rsidRPr="464D7857">
        <w:rPr>
          <w:rFonts w:ascii="Calibri" w:eastAsia="Calibri" w:hAnsi="Calibri" w:cs="Calibri"/>
          <w:color w:val="444444"/>
        </w:rPr>
        <w:t>Indicator 10.5.1: Financial Soundness Indicators</w:t>
      </w:r>
    </w:p>
    <w:p w14:paraId="37E5E4F6" w14:textId="0EDD950A" w:rsidR="00D24330" w:rsidRPr="00E20D61" w:rsidRDefault="00D24330" w:rsidP="00254780">
      <w:pPr>
        <w:pStyle w:val="MIndHeader"/>
        <w:rPr>
          <w:lang w:val="en-US"/>
        </w:rPr>
      </w:pPr>
      <w:r w:rsidRPr="00E20D61">
        <w:rPr>
          <w:lang w:val="en-US"/>
        </w:rPr>
        <w:t xml:space="preserve">0.d. Series </w:t>
      </w:r>
      <w:r>
        <w:rPr>
          <w:color w:val="B4B4B4"/>
          <w:sz w:val="20"/>
        </w:rPr>
        <w:t>(SDG_SERIES_DESCR)</w:t>
      </w:r>
    </w:p>
    <w:p w14:paraId="7AC9339D" w14:textId="77777777" w:rsidR="00C26311" w:rsidRDefault="00C26311" w:rsidP="00C26311">
      <w:pPr>
        <w:pStyle w:val="MGTHeader"/>
        <w:rPr>
          <w:lang w:val="en-US"/>
        </w:rPr>
      </w:pPr>
      <w:r w:rsidRPr="00C26311">
        <w:rPr>
          <w:lang w:val="en-US"/>
        </w:rPr>
        <w:t>FI_FSI_FSKNL - Non-performing loans net of provisions to capital (%) [10.5.1]</w:t>
      </w:r>
    </w:p>
    <w:p w14:paraId="364CD5FF" w14:textId="77777777" w:rsidR="002955D5" w:rsidRPr="002955D5" w:rsidRDefault="002955D5" w:rsidP="002955D5">
      <w:pPr>
        <w:pStyle w:val="MGTHeader"/>
        <w:rPr>
          <w:lang w:val="en-US"/>
        </w:rPr>
      </w:pPr>
      <w:r w:rsidRPr="002955D5">
        <w:rPr>
          <w:lang w:val="en-US"/>
        </w:rPr>
        <w:t>FI_FSI_FSERA - Return on assets (%) [10.5.1]</w:t>
      </w:r>
    </w:p>
    <w:p w14:paraId="3CBA6CFB" w14:textId="77777777" w:rsidR="002955D5" w:rsidRPr="002955D5" w:rsidRDefault="002955D5" w:rsidP="002955D5">
      <w:pPr>
        <w:pStyle w:val="MGTHeader"/>
        <w:rPr>
          <w:lang w:val="en-US"/>
        </w:rPr>
      </w:pPr>
      <w:r w:rsidRPr="002955D5">
        <w:rPr>
          <w:lang w:val="en-US"/>
        </w:rPr>
        <w:t>FI_FSI_FSKA - Regulatory capital to assets (%) [10.5.1]</w:t>
      </w:r>
    </w:p>
    <w:p w14:paraId="6426E234" w14:textId="56F3AEC0" w:rsidR="002955D5" w:rsidRPr="00C26311" w:rsidRDefault="002955D5" w:rsidP="002955D5">
      <w:pPr>
        <w:pStyle w:val="MGTHeader"/>
        <w:rPr>
          <w:lang w:val="en-US"/>
        </w:rPr>
      </w:pPr>
      <w:r w:rsidRPr="002955D5">
        <w:rPr>
          <w:lang w:val="en-US"/>
        </w:rPr>
        <w:t>FI_FSI_FSKNL - Non-performing loans net of provisions to capital (%) [10.5.1]</w:t>
      </w:r>
    </w:p>
    <w:p w14:paraId="13CDFBA9" w14:textId="77777777" w:rsidR="00C26311" w:rsidRPr="00C26311" w:rsidRDefault="00C26311" w:rsidP="00C26311">
      <w:pPr>
        <w:pStyle w:val="MGTHeader"/>
        <w:rPr>
          <w:lang w:val="en-US"/>
        </w:rPr>
      </w:pPr>
      <w:r w:rsidRPr="00C26311">
        <w:rPr>
          <w:lang w:val="en-US"/>
        </w:rPr>
        <w:t>FI_FSI_FSKRTC - Regulatory Tier 1 capital to risk-weighted assets (%) [10.5.1]</w:t>
      </w:r>
    </w:p>
    <w:p w14:paraId="603C2BFA" w14:textId="77777777" w:rsidR="00C26311" w:rsidRPr="00C26311" w:rsidRDefault="00C26311" w:rsidP="00C26311">
      <w:pPr>
        <w:pStyle w:val="MGTHeader"/>
        <w:rPr>
          <w:lang w:val="en-US"/>
        </w:rPr>
      </w:pPr>
      <w:r w:rsidRPr="00C26311">
        <w:rPr>
          <w:lang w:val="en-US"/>
        </w:rPr>
        <w:t>FI_FSI_FSLS - Liquid assets to short term liabilities (%) [10.5.1]</w:t>
      </w:r>
    </w:p>
    <w:p w14:paraId="561800A9" w14:textId="7F700EC0" w:rsidR="003B65DF" w:rsidRPr="00AD28D5" w:rsidRDefault="00C26311" w:rsidP="00C26311">
      <w:pPr>
        <w:pStyle w:val="MGTHeader"/>
        <w:rPr>
          <w:lang w:val="en-US"/>
        </w:rPr>
      </w:pPr>
      <w:r w:rsidRPr="00C26311">
        <w:rPr>
          <w:lang w:val="en-US"/>
        </w:rPr>
        <w:t>FI_FSI_FSSNO - Net open position in foreign exchange to capital (%) [10.5.1]</w:t>
      </w:r>
    </w:p>
    <w:p w14:paraId="157DACE7" w14:textId="7AAF31DB" w:rsidR="00D24330" w:rsidRPr="00E20D61" w:rsidRDefault="00D24330" w:rsidP="00254780">
      <w:pPr>
        <w:pStyle w:val="MIndHeader"/>
        <w:rPr>
          <w:lang w:val="en-US"/>
        </w:rPr>
      </w:pPr>
      <w:r w:rsidRPr="00E20D61">
        <w:rPr>
          <w:lang w:val="en-US"/>
        </w:rPr>
        <w:t xml:space="preserve">0.e. Metadata update </w:t>
      </w:r>
      <w:r>
        <w:rPr>
          <w:color w:val="B4B4B4"/>
          <w:sz w:val="20"/>
        </w:rPr>
        <w:t>(META_LAST_UPDATE)</w:t>
      </w:r>
    </w:p>
    <w:sdt>
      <w:sdtPr>
        <w:rPr>
          <w:lang w:val="en-US"/>
        </w:rPr>
        <w:id w:val="-1030790849"/>
        <w:placeholder>
          <w:docPart w:val="DefaultPlaceholder_-1854013437"/>
        </w:placeholder>
        <w:date w:fullDate="2024-09-27T00:00:00Z">
          <w:dateFormat w:val="yyyy-MM-dd"/>
          <w:lid w:val="en-US"/>
          <w:storeMappedDataAs w:val="dateTime"/>
          <w:calendar w:val="gregorian"/>
        </w:date>
      </w:sdtPr>
      <w:sdtContent>
        <w:p w14:paraId="03424B60" w14:textId="13D588EC" w:rsidR="00D24330" w:rsidRPr="00E20D61" w:rsidRDefault="00CB4E7F" w:rsidP="00254780">
          <w:pPr>
            <w:pStyle w:val="MGTHeader"/>
            <w:rPr>
              <w:lang w:val="en-US"/>
            </w:rPr>
          </w:pPr>
          <w:r>
            <w:rPr>
              <w:lang w:val="en-US"/>
            </w:rPr>
            <w:t>2024-09-27</w:t>
          </w:r>
        </w:p>
      </w:sdtContent>
    </w:sdt>
    <w:p w14:paraId="415C9FF1" w14:textId="4CCEB5DC" w:rsidR="00D24330" w:rsidRPr="00A96255" w:rsidRDefault="00D24330" w:rsidP="00481BC8">
      <w:pPr>
        <w:pStyle w:val="MIndHeader"/>
      </w:pPr>
      <w:r w:rsidRPr="00A96255">
        <w:t xml:space="preserve">0.f. Related indicators </w:t>
      </w:r>
      <w:r>
        <w:rPr>
          <w:color w:val="B4B4B4"/>
          <w:sz w:val="20"/>
        </w:rPr>
        <w:t>(SDG_RELATED_INDICATORS)</w:t>
      </w:r>
    </w:p>
    <w:p w14:paraId="21524279" w14:textId="15BEADA8" w:rsidR="00D24330" w:rsidRDefault="00EF6F87" w:rsidP="00254780">
      <w:pPr>
        <w:pStyle w:val="MGTHeader"/>
      </w:pPr>
      <w:r w:rsidRPr="00EF6F87">
        <w:t>Linkages with any other Goals and Targets: Recommendation II.2 of G-20 Data Gap Initiative – 2 concern</w:t>
      </w:r>
      <w:r w:rsidR="002074B3">
        <w:t>ed</w:t>
      </w:r>
      <w:r w:rsidRPr="00EF6F87">
        <w:t xml:space="preserve"> </w:t>
      </w:r>
      <w:r w:rsidR="00EA6F23" w:rsidRPr="00EA6F23">
        <w:t xml:space="preserve">Financial Soundness Indicators </w:t>
      </w:r>
      <w:r w:rsidR="00EA6F23">
        <w:t>(</w:t>
      </w:r>
      <w:r w:rsidRPr="00EF6F87">
        <w:t>FSIs</w:t>
      </w:r>
      <w:r w:rsidR="00EA6F23">
        <w:t>)</w:t>
      </w:r>
      <w:r w:rsidRPr="00EF6F87">
        <w:t xml:space="preserve">. </w:t>
      </w:r>
      <w:r w:rsidR="00987261">
        <w:t xml:space="preserve">The </w:t>
      </w:r>
      <w:r w:rsidRPr="00EF6F87">
        <w:t xml:space="preserve">G-20 economies </w:t>
      </w:r>
      <w:r w:rsidR="00987261">
        <w:t xml:space="preserve">were asked </w:t>
      </w:r>
      <w:r w:rsidRPr="00EF6F87">
        <w:t xml:space="preserve">to report the seven FSIs </w:t>
      </w:r>
      <w:r w:rsidR="00987261">
        <w:t xml:space="preserve">required </w:t>
      </w:r>
      <w:r w:rsidRPr="00EF6F87">
        <w:t>from Special Data Dissemination Standards Plus (SDDS Plus) adherent economies on a quarterly frequency, with a timeliness of one quarter. The</w:t>
      </w:r>
      <w:r w:rsidR="00987261">
        <w:t>se</w:t>
      </w:r>
      <w:r w:rsidRPr="00EF6F87">
        <w:t xml:space="preserve"> are the same </w:t>
      </w:r>
      <w:r w:rsidR="00371716">
        <w:t xml:space="preserve">FSIs </w:t>
      </w:r>
      <w:r w:rsidRPr="00EF6F87">
        <w:t>as</w:t>
      </w:r>
      <w:r w:rsidR="00FC5062" w:rsidRPr="00FC5062">
        <w:t xml:space="preserve"> covered by this SDG Indicator 10.5.1 </w:t>
      </w:r>
      <w:r w:rsidR="00987261">
        <w:t>except that the</w:t>
      </w:r>
      <w:r w:rsidRPr="00EF6F87">
        <w:t xml:space="preserve"> </w:t>
      </w:r>
      <w:r w:rsidR="00FC5062" w:rsidRPr="00FC5062">
        <w:t xml:space="preserve">SDG indicator includes the FSI </w:t>
      </w:r>
      <w:r w:rsidRPr="00EF6F87">
        <w:t>net open position in foreign exchange to capital</w:t>
      </w:r>
      <w:r w:rsidR="00FC5062">
        <w:t xml:space="preserve"> </w:t>
      </w:r>
      <w:r w:rsidR="00FC5062" w:rsidRPr="00FC5062">
        <w:t>instead of the residential real estate prices</w:t>
      </w:r>
      <w:r w:rsidRPr="00EF6F87">
        <w:t>.</w:t>
      </w:r>
      <w:r w:rsidR="002074B3" w:rsidRPr="002074B3">
        <w:t xml:space="preserve"> </w:t>
      </w:r>
      <w:r w:rsidR="00987261">
        <w:t>The</w:t>
      </w:r>
      <w:r w:rsidR="002074B3" w:rsidRPr="002074B3">
        <w:t xml:space="preserve"> G-20 economies</w:t>
      </w:r>
      <w:r w:rsidR="004F3F98">
        <w:t xml:space="preserve"> </w:t>
      </w:r>
      <w:r w:rsidR="00987261">
        <w:t xml:space="preserve">were also asked </w:t>
      </w:r>
      <w:r w:rsidR="002074B3" w:rsidRPr="002074B3">
        <w:t xml:space="preserve">to </w:t>
      </w:r>
      <w:r w:rsidR="00987261">
        <w:t xml:space="preserve">voluntarily </w:t>
      </w:r>
      <w:r w:rsidR="002074B3" w:rsidRPr="002074B3">
        <w:t xml:space="preserve">initiate regular collection of </w:t>
      </w:r>
      <w:r w:rsidR="004F3F98" w:rsidRPr="004F3F98">
        <w:t>Concentration and Distribution Measures</w:t>
      </w:r>
      <w:r w:rsidR="00987261" w:rsidRPr="002074B3">
        <w:t>, depending on the results of the</w:t>
      </w:r>
      <w:r w:rsidR="00987261">
        <w:t>ir</w:t>
      </w:r>
      <w:r w:rsidR="00987261" w:rsidRPr="002074B3">
        <w:t xml:space="preserve"> cost-benefit analysis and national priorities</w:t>
      </w:r>
      <w:r w:rsidR="002074B3" w:rsidRPr="00EF6F87">
        <w:t xml:space="preserve">. </w:t>
      </w:r>
      <w:r w:rsidR="002074B3">
        <w:t>The</w:t>
      </w:r>
      <w:r w:rsidR="00AE0E61">
        <w:t xml:space="preserve"> </w:t>
      </w:r>
      <w:r w:rsidR="004F3F98">
        <w:t xml:space="preserve">implementation of the </w:t>
      </w:r>
      <w:r w:rsidR="00AE0E61">
        <w:t xml:space="preserve">two FSI-related recommendations </w:t>
      </w:r>
      <w:r w:rsidR="004F3F98">
        <w:t>was</w:t>
      </w:r>
      <w:r w:rsidR="002074B3" w:rsidRPr="00EF6F87">
        <w:t xml:space="preserve"> </w:t>
      </w:r>
      <w:r w:rsidR="002074B3">
        <w:t>concluded at end-</w:t>
      </w:r>
      <w:r w:rsidR="002074B3" w:rsidRPr="00EF6F87">
        <w:t>2021</w:t>
      </w:r>
      <w:r w:rsidR="004929A1">
        <w:t>.</w:t>
      </w:r>
    </w:p>
    <w:p w14:paraId="077BC49E" w14:textId="2D279303" w:rsidR="00D24330" w:rsidRPr="00A96255" w:rsidRDefault="00D24330" w:rsidP="0025478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0393368E" w14:textId="60E1E972" w:rsidR="00621893" w:rsidRPr="00A96255" w:rsidRDefault="00C46477" w:rsidP="00254780">
      <w:pPr>
        <w:pStyle w:val="MGTHeader"/>
        <w:rPr>
          <w:color w:val="4A4A4A"/>
        </w:rPr>
      </w:pPr>
      <w:r w:rsidRPr="00C46477">
        <w:t>International Monetary Fund</w:t>
      </w:r>
      <w:r w:rsidR="003D0A4F">
        <w:t xml:space="preserve"> (IMF)</w:t>
      </w:r>
    </w:p>
    <w:p w14:paraId="19F29921" w14:textId="77777777" w:rsidR="008D1D39" w:rsidRPr="00A96255" w:rsidRDefault="008D1D39" w:rsidP="00A027A2">
      <w:pPr>
        <w:shd w:val="clear" w:color="auto" w:fill="FFFFFF"/>
        <w:spacing w:after="0"/>
        <w:rPr>
          <w:rFonts w:eastAsia="Times New Roman" w:cs="Times New Roman"/>
          <w:color w:val="4A4A4A"/>
          <w:sz w:val="21"/>
          <w:szCs w:val="21"/>
          <w:lang w:eastAsia="en-GB"/>
        </w:rPr>
      </w:pPr>
    </w:p>
    <w:p w14:paraId="12E0D73A" w14:textId="105B3571" w:rsidR="00B31E2C" w:rsidRPr="00EA05D3" w:rsidRDefault="00B31E2C" w:rsidP="00A027A2">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254780">
      <w:pPr>
        <w:pStyle w:val="MHeader2"/>
      </w:pPr>
      <w:r w:rsidRPr="00A96255">
        <w:t xml:space="preserve">1.a. Organisation </w:t>
      </w:r>
      <w:r>
        <w:rPr>
          <w:color w:val="B4B4B4"/>
          <w:sz w:val="20"/>
        </w:rPr>
        <w:t>(CONTACT_ORGANISATION)</w:t>
      </w:r>
    </w:p>
    <w:p w14:paraId="065F26D2" w14:textId="3E88CE61" w:rsidR="00576CFA" w:rsidRDefault="007C61E2" w:rsidP="00A027A2">
      <w:pPr>
        <w:pStyle w:val="MText"/>
      </w:pPr>
      <w:r w:rsidRPr="007C61E2">
        <w:t>International Monetary Fund</w:t>
      </w:r>
      <w:r w:rsidR="003D0A4F">
        <w:t xml:space="preserve"> (IMF)</w:t>
      </w:r>
    </w:p>
    <w:p w14:paraId="27917BB3" w14:textId="1343538D" w:rsidR="00576CFA" w:rsidRPr="00A96255" w:rsidRDefault="00576CFA" w:rsidP="00A027A2">
      <w:pPr>
        <w:pStyle w:val="MText"/>
      </w:pPr>
    </w:p>
    <w:p w14:paraId="14915AC8" w14:textId="3630FC36" w:rsidR="00B31E2C" w:rsidRPr="00A96255" w:rsidRDefault="00B31E2C" w:rsidP="00A027A2">
      <w:pPr>
        <w:pStyle w:val="MHeader"/>
      </w:pPr>
      <w:r w:rsidRPr="00A96255">
        <w:t xml:space="preserve">2. Definition, concepts, and classifications </w:t>
      </w:r>
      <w:r>
        <w:rPr>
          <w:color w:val="B4B4B4"/>
          <w:sz w:val="20"/>
        </w:rPr>
        <w:t>(IND_DEF_CON_CLASS)</w:t>
      </w:r>
    </w:p>
    <w:p w14:paraId="2AC373EA" w14:textId="46D110E2" w:rsidR="008B0AC7" w:rsidRPr="00A96255" w:rsidRDefault="008B0AC7" w:rsidP="00254780">
      <w:pPr>
        <w:pStyle w:val="MHeader2"/>
      </w:pPr>
      <w:r w:rsidRPr="00A96255">
        <w:lastRenderedPageBreak/>
        <w:t xml:space="preserve">2.a. Definition and concepts </w:t>
      </w:r>
      <w:r>
        <w:rPr>
          <w:color w:val="B4B4B4"/>
          <w:sz w:val="20"/>
        </w:rPr>
        <w:t>(STAT_CONC_DEF)</w:t>
      </w:r>
    </w:p>
    <w:p w14:paraId="06A4C0AA" w14:textId="77777777" w:rsidR="00140038" w:rsidRDefault="00140038" w:rsidP="00A027A2">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Definition:</w:t>
      </w:r>
    </w:p>
    <w:p w14:paraId="39C8BEF9" w14:textId="19C01054" w:rsidR="00140038" w:rsidRDefault="00140038" w:rsidP="00A027A2">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S</w:t>
      </w:r>
      <w:r w:rsidRPr="00C1605C">
        <w:rPr>
          <w:rFonts w:eastAsia="Times New Roman" w:cs="Times New Roman"/>
          <w:color w:val="4A4A4A"/>
          <w:sz w:val="21"/>
          <w:szCs w:val="21"/>
          <w:lang w:eastAsia="en-GB"/>
        </w:rPr>
        <w:t xml:space="preserve">even </w:t>
      </w:r>
      <w:r w:rsidR="008D735E" w:rsidRPr="00254780">
        <w:rPr>
          <w:rFonts w:ascii="Calibri" w:eastAsia="Calibri" w:hAnsi="Calibri" w:cs="Calibri"/>
          <w:color w:val="444444"/>
        </w:rPr>
        <w:t>Financial Soundness Indicators</w:t>
      </w:r>
      <w:r w:rsidR="008D735E" w:rsidRPr="00C1605C">
        <w:rPr>
          <w:rFonts w:eastAsia="Times New Roman" w:cs="Times New Roman"/>
          <w:color w:val="4A4A4A"/>
          <w:sz w:val="21"/>
          <w:szCs w:val="21"/>
          <w:lang w:eastAsia="en-GB"/>
        </w:rPr>
        <w:t xml:space="preserve"> </w:t>
      </w:r>
      <w:r w:rsidR="008D735E">
        <w:rPr>
          <w:rFonts w:eastAsia="Times New Roman" w:cs="Times New Roman"/>
          <w:color w:val="4A4A4A"/>
          <w:sz w:val="21"/>
          <w:szCs w:val="21"/>
          <w:lang w:eastAsia="en-GB"/>
        </w:rPr>
        <w:t>(</w:t>
      </w:r>
      <w:r w:rsidRPr="00C1605C">
        <w:rPr>
          <w:rFonts w:eastAsia="Times New Roman" w:cs="Times New Roman"/>
          <w:color w:val="4A4A4A"/>
          <w:sz w:val="21"/>
          <w:szCs w:val="21"/>
          <w:lang w:eastAsia="en-GB"/>
        </w:rPr>
        <w:t>FSIs</w:t>
      </w:r>
      <w:r w:rsidR="008D735E">
        <w:rPr>
          <w:rFonts w:eastAsia="Times New Roman" w:cs="Times New Roman"/>
          <w:color w:val="4A4A4A"/>
          <w:sz w:val="21"/>
          <w:szCs w:val="21"/>
          <w:lang w:eastAsia="en-GB"/>
        </w:rPr>
        <w:t>)</w:t>
      </w:r>
      <w:r w:rsidRPr="00C1605C">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are included </w:t>
      </w:r>
      <w:r w:rsidRPr="00C1605C">
        <w:rPr>
          <w:rFonts w:eastAsia="Times New Roman" w:cs="Times New Roman"/>
          <w:color w:val="4A4A4A"/>
          <w:sz w:val="21"/>
          <w:szCs w:val="21"/>
          <w:lang w:eastAsia="en-GB"/>
        </w:rPr>
        <w:t>as SDG indicators for 10.5.1</w:t>
      </w:r>
      <w:r>
        <w:rPr>
          <w:rFonts w:eastAsia="Times New Roman" w:cs="Times New Roman"/>
          <w:color w:val="4A4A4A"/>
          <w:sz w:val="21"/>
          <w:szCs w:val="21"/>
          <w:lang w:eastAsia="en-GB"/>
        </w:rPr>
        <w:t xml:space="preserve"> and expressed as percent</w:t>
      </w:r>
      <w:r w:rsidRPr="00C1605C">
        <w:rPr>
          <w:rFonts w:eastAsia="Times New Roman" w:cs="Times New Roman"/>
          <w:color w:val="4A4A4A"/>
          <w:sz w:val="21"/>
          <w:szCs w:val="21"/>
          <w:lang w:eastAsia="en-GB"/>
        </w:rPr>
        <w:t>.</w:t>
      </w:r>
    </w:p>
    <w:p w14:paraId="65532402" w14:textId="77777777" w:rsidR="00140038" w:rsidRPr="00C1605C" w:rsidRDefault="00140038" w:rsidP="00A027A2">
      <w:pPr>
        <w:shd w:val="clear" w:color="auto" w:fill="FFFFFF"/>
        <w:spacing w:after="0"/>
        <w:rPr>
          <w:rFonts w:eastAsia="Times New Roman" w:cs="Times New Roman"/>
          <w:color w:val="4A4A4A"/>
          <w:sz w:val="21"/>
          <w:szCs w:val="21"/>
          <w:lang w:eastAsia="en-GB"/>
        </w:rPr>
      </w:pPr>
    </w:p>
    <w:p w14:paraId="41993A7E" w14:textId="7E784786" w:rsidR="00140038" w:rsidRPr="00C1605C" w:rsidRDefault="008D735E" w:rsidP="0025478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t>
      </w:r>
      <w:r w:rsidR="00140038" w:rsidRPr="00C1605C">
        <w:rPr>
          <w:rFonts w:eastAsia="Times New Roman" w:cs="Times New Roman"/>
          <w:color w:val="4A4A4A"/>
          <w:sz w:val="21"/>
          <w:szCs w:val="21"/>
          <w:lang w:eastAsia="en-GB"/>
        </w:rPr>
        <w:t>1</w:t>
      </w:r>
      <w:r>
        <w:rPr>
          <w:rFonts w:eastAsia="Times New Roman" w:cs="Times New Roman"/>
          <w:color w:val="4A4A4A"/>
          <w:sz w:val="21"/>
          <w:szCs w:val="21"/>
          <w:lang w:eastAsia="en-GB"/>
        </w:rPr>
        <w:t>)</w:t>
      </w:r>
      <w:r w:rsidR="00140038" w:rsidRPr="00C1605C">
        <w:rPr>
          <w:rFonts w:eastAsia="Times New Roman" w:cs="Times New Roman"/>
          <w:color w:val="4A4A4A"/>
          <w:sz w:val="21"/>
          <w:szCs w:val="21"/>
          <w:lang w:eastAsia="en-GB"/>
        </w:rPr>
        <w:tab/>
        <w:t>Regulatory Tier 1 capital to assets</w:t>
      </w:r>
    </w:p>
    <w:p w14:paraId="2E65BE7A" w14:textId="6FC3C155" w:rsidR="00140038" w:rsidRPr="00C1605C" w:rsidRDefault="008D735E" w:rsidP="0025478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t>
      </w:r>
      <w:r w:rsidR="00140038" w:rsidRPr="00C1605C">
        <w:rPr>
          <w:rFonts w:eastAsia="Times New Roman" w:cs="Times New Roman"/>
          <w:color w:val="4A4A4A"/>
          <w:sz w:val="21"/>
          <w:szCs w:val="21"/>
          <w:lang w:eastAsia="en-GB"/>
        </w:rPr>
        <w:t>2</w:t>
      </w:r>
      <w:r>
        <w:rPr>
          <w:rFonts w:eastAsia="Times New Roman" w:cs="Times New Roman"/>
          <w:color w:val="4A4A4A"/>
          <w:sz w:val="21"/>
          <w:szCs w:val="21"/>
          <w:lang w:eastAsia="en-GB"/>
        </w:rPr>
        <w:t>)</w:t>
      </w:r>
      <w:r w:rsidR="00140038" w:rsidRPr="00C1605C">
        <w:rPr>
          <w:rFonts w:eastAsia="Times New Roman" w:cs="Times New Roman"/>
          <w:color w:val="4A4A4A"/>
          <w:sz w:val="21"/>
          <w:szCs w:val="21"/>
          <w:lang w:eastAsia="en-GB"/>
        </w:rPr>
        <w:tab/>
        <w:t>Regulatory Tier 1 capital to risk-weighted assets</w:t>
      </w:r>
    </w:p>
    <w:p w14:paraId="10492BD6" w14:textId="060F7E59" w:rsidR="00140038" w:rsidRPr="00C1605C" w:rsidRDefault="008D735E" w:rsidP="0025478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t>
      </w:r>
      <w:r w:rsidR="00140038" w:rsidRPr="00C1605C">
        <w:rPr>
          <w:rFonts w:eastAsia="Times New Roman" w:cs="Times New Roman"/>
          <w:color w:val="4A4A4A"/>
          <w:sz w:val="21"/>
          <w:szCs w:val="21"/>
          <w:lang w:eastAsia="en-GB"/>
        </w:rPr>
        <w:t>3</w:t>
      </w:r>
      <w:r>
        <w:rPr>
          <w:rFonts w:eastAsia="Times New Roman" w:cs="Times New Roman"/>
          <w:color w:val="4A4A4A"/>
          <w:sz w:val="21"/>
          <w:szCs w:val="21"/>
          <w:lang w:eastAsia="en-GB"/>
        </w:rPr>
        <w:t>)</w:t>
      </w:r>
      <w:r w:rsidR="00140038" w:rsidRPr="00C1605C">
        <w:rPr>
          <w:rFonts w:eastAsia="Times New Roman" w:cs="Times New Roman"/>
          <w:color w:val="4A4A4A"/>
          <w:sz w:val="21"/>
          <w:szCs w:val="21"/>
          <w:lang w:eastAsia="en-GB"/>
        </w:rPr>
        <w:tab/>
        <w:t>Nonperforming loans net of provisions to capital</w:t>
      </w:r>
    </w:p>
    <w:p w14:paraId="6223583A" w14:textId="06CD96DD" w:rsidR="00140038" w:rsidRPr="00C1605C" w:rsidRDefault="008D735E" w:rsidP="0025478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t>
      </w:r>
      <w:r w:rsidR="00140038" w:rsidRPr="00C1605C">
        <w:rPr>
          <w:rFonts w:eastAsia="Times New Roman" w:cs="Times New Roman"/>
          <w:color w:val="4A4A4A"/>
          <w:sz w:val="21"/>
          <w:szCs w:val="21"/>
          <w:lang w:eastAsia="en-GB"/>
        </w:rPr>
        <w:t>4</w:t>
      </w:r>
      <w:r>
        <w:rPr>
          <w:rFonts w:eastAsia="Times New Roman" w:cs="Times New Roman"/>
          <w:color w:val="4A4A4A"/>
          <w:sz w:val="21"/>
          <w:szCs w:val="21"/>
          <w:lang w:eastAsia="en-GB"/>
        </w:rPr>
        <w:t>)</w:t>
      </w:r>
      <w:r w:rsidR="00140038" w:rsidRPr="00C1605C">
        <w:rPr>
          <w:rFonts w:eastAsia="Times New Roman" w:cs="Times New Roman"/>
          <w:color w:val="4A4A4A"/>
          <w:sz w:val="21"/>
          <w:szCs w:val="21"/>
          <w:lang w:eastAsia="en-GB"/>
        </w:rPr>
        <w:tab/>
        <w:t>Nonperforming loans to total gross loans</w:t>
      </w:r>
    </w:p>
    <w:p w14:paraId="00FC9EB6" w14:textId="52201073" w:rsidR="00140038" w:rsidRPr="00C1605C" w:rsidRDefault="008D735E" w:rsidP="0025478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t>
      </w:r>
      <w:r w:rsidR="00140038" w:rsidRPr="00C1605C">
        <w:rPr>
          <w:rFonts w:eastAsia="Times New Roman" w:cs="Times New Roman"/>
          <w:color w:val="4A4A4A"/>
          <w:sz w:val="21"/>
          <w:szCs w:val="21"/>
          <w:lang w:eastAsia="en-GB"/>
        </w:rPr>
        <w:t>5</w:t>
      </w:r>
      <w:r>
        <w:rPr>
          <w:rFonts w:eastAsia="Times New Roman" w:cs="Times New Roman"/>
          <w:color w:val="4A4A4A"/>
          <w:sz w:val="21"/>
          <w:szCs w:val="21"/>
          <w:lang w:eastAsia="en-GB"/>
        </w:rPr>
        <w:t>)</w:t>
      </w:r>
      <w:r w:rsidR="00140038" w:rsidRPr="00C1605C">
        <w:rPr>
          <w:rFonts w:eastAsia="Times New Roman" w:cs="Times New Roman"/>
          <w:color w:val="4A4A4A"/>
          <w:sz w:val="21"/>
          <w:szCs w:val="21"/>
          <w:lang w:eastAsia="en-GB"/>
        </w:rPr>
        <w:tab/>
        <w:t>Return on assets</w:t>
      </w:r>
    </w:p>
    <w:p w14:paraId="76616655" w14:textId="03F8C6E4" w:rsidR="00140038" w:rsidRPr="00C1605C" w:rsidRDefault="008D735E" w:rsidP="0025478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t>
      </w:r>
      <w:r w:rsidR="00140038" w:rsidRPr="00C1605C">
        <w:rPr>
          <w:rFonts w:eastAsia="Times New Roman" w:cs="Times New Roman"/>
          <w:color w:val="4A4A4A"/>
          <w:sz w:val="21"/>
          <w:szCs w:val="21"/>
          <w:lang w:eastAsia="en-GB"/>
        </w:rPr>
        <w:t>6</w:t>
      </w:r>
      <w:r>
        <w:rPr>
          <w:rFonts w:eastAsia="Times New Roman" w:cs="Times New Roman"/>
          <w:color w:val="4A4A4A"/>
          <w:sz w:val="21"/>
          <w:szCs w:val="21"/>
          <w:lang w:eastAsia="en-GB"/>
        </w:rPr>
        <w:t>)</w:t>
      </w:r>
      <w:r w:rsidR="00140038" w:rsidRPr="00C1605C">
        <w:rPr>
          <w:rFonts w:eastAsia="Times New Roman" w:cs="Times New Roman"/>
          <w:color w:val="4A4A4A"/>
          <w:sz w:val="21"/>
          <w:szCs w:val="21"/>
          <w:lang w:eastAsia="en-GB"/>
        </w:rPr>
        <w:tab/>
        <w:t>Liquid assets to short-term liabilities</w:t>
      </w:r>
    </w:p>
    <w:p w14:paraId="119FD041" w14:textId="74A86614" w:rsidR="00140038" w:rsidRDefault="008D735E" w:rsidP="0025478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t>
      </w:r>
      <w:r w:rsidR="00140038" w:rsidRPr="00C1605C">
        <w:rPr>
          <w:rFonts w:eastAsia="Times New Roman" w:cs="Times New Roman"/>
          <w:color w:val="4A4A4A"/>
          <w:sz w:val="21"/>
          <w:szCs w:val="21"/>
          <w:lang w:eastAsia="en-GB"/>
        </w:rPr>
        <w:t>7</w:t>
      </w:r>
      <w:r>
        <w:rPr>
          <w:rFonts w:eastAsia="Times New Roman" w:cs="Times New Roman"/>
          <w:color w:val="4A4A4A"/>
          <w:sz w:val="21"/>
          <w:szCs w:val="21"/>
          <w:lang w:eastAsia="en-GB"/>
        </w:rPr>
        <w:t>)</w:t>
      </w:r>
      <w:r w:rsidR="00140038" w:rsidRPr="00C1605C">
        <w:rPr>
          <w:rFonts w:eastAsia="Times New Roman" w:cs="Times New Roman"/>
          <w:color w:val="4A4A4A"/>
          <w:sz w:val="21"/>
          <w:szCs w:val="21"/>
          <w:lang w:eastAsia="en-GB"/>
        </w:rPr>
        <w:tab/>
      </w:r>
      <w:bookmarkStart w:id="5" w:name="_Hlk534882724"/>
      <w:r w:rsidR="00140038" w:rsidRPr="00C1605C">
        <w:rPr>
          <w:rFonts w:eastAsia="Times New Roman" w:cs="Times New Roman"/>
          <w:color w:val="4A4A4A"/>
          <w:sz w:val="21"/>
          <w:szCs w:val="21"/>
          <w:lang w:eastAsia="en-GB"/>
        </w:rPr>
        <w:t>Net open position in foreign exchange to capital</w:t>
      </w:r>
    </w:p>
    <w:bookmarkEnd w:id="5"/>
    <w:p w14:paraId="3B0518EB" w14:textId="77777777" w:rsidR="00140038" w:rsidRDefault="00140038" w:rsidP="00D64BA9">
      <w:pPr>
        <w:shd w:val="clear" w:color="auto" w:fill="FFFFFF"/>
        <w:spacing w:after="0"/>
        <w:rPr>
          <w:rFonts w:eastAsia="Times New Roman" w:cs="Times New Roman"/>
          <w:color w:val="4A4A4A"/>
          <w:sz w:val="21"/>
          <w:szCs w:val="21"/>
          <w:lang w:eastAsia="en-GB"/>
        </w:rPr>
      </w:pPr>
    </w:p>
    <w:p w14:paraId="4D99B7E7" w14:textId="717FB52A" w:rsidR="00140038" w:rsidRPr="0049461D" w:rsidRDefault="008D735E" w:rsidP="00D64BA9">
      <w:pPr>
        <w:shd w:val="clear" w:color="auto" w:fill="FFFFFF"/>
        <w:spacing w:after="0"/>
        <w:rPr>
          <w:rFonts w:eastAsia="Times New Roman" w:cs="Times New Roman"/>
          <w:color w:val="4A4A4A"/>
          <w:sz w:val="21"/>
          <w:szCs w:val="21"/>
          <w:lang w:eastAsia="en-GB"/>
        </w:rPr>
      </w:pPr>
      <w:bookmarkStart w:id="6" w:name="_Hlk534877436"/>
      <w:r w:rsidRPr="0019694F">
        <w:rPr>
          <w:rFonts w:eastAsia="Times New Roman" w:cs="Times New Roman"/>
          <w:iCs/>
          <w:color w:val="4A4A4A"/>
          <w:sz w:val="21"/>
          <w:szCs w:val="21"/>
          <w:lang w:eastAsia="en-GB"/>
        </w:rPr>
        <w:t>(1)</w:t>
      </w:r>
      <w:r>
        <w:rPr>
          <w:rFonts w:eastAsia="Times New Roman" w:cs="Times New Roman"/>
          <w:b/>
          <w:bCs/>
          <w:iCs/>
          <w:color w:val="4A4A4A"/>
          <w:sz w:val="21"/>
          <w:szCs w:val="21"/>
          <w:lang w:eastAsia="en-GB"/>
        </w:rPr>
        <w:t xml:space="preserve"> </w:t>
      </w:r>
      <w:r w:rsidR="00140038" w:rsidRPr="00254780">
        <w:rPr>
          <w:rFonts w:eastAsia="Times New Roman" w:cs="Times New Roman"/>
          <w:bCs/>
          <w:i/>
          <w:iCs/>
          <w:color w:val="4A4A4A"/>
          <w:sz w:val="21"/>
          <w:szCs w:val="21"/>
          <w:lang w:eastAsia="en-GB"/>
        </w:rPr>
        <w:t>Regulatory Tier 1 capital to assets:</w:t>
      </w:r>
      <w:r w:rsidR="00140038" w:rsidRPr="0049461D">
        <w:rPr>
          <w:rFonts w:eastAsia="Times New Roman" w:cs="Times New Roman"/>
          <w:color w:val="4A4A4A"/>
          <w:sz w:val="21"/>
          <w:szCs w:val="21"/>
          <w:lang w:eastAsia="en-GB"/>
        </w:rPr>
        <w:t xml:space="preserve"> This is the ratio of the core capital (Tier 1) to total (balance sheet) assets. </w:t>
      </w:r>
      <w:bookmarkStart w:id="7" w:name="_Hlk96328156"/>
      <w:r w:rsidR="002074B3" w:rsidRPr="002074B3">
        <w:rPr>
          <w:rFonts w:eastAsia="Times New Roman" w:cs="Times New Roman"/>
          <w:color w:val="4A4A4A"/>
          <w:sz w:val="21"/>
          <w:szCs w:val="21"/>
          <w:lang w:eastAsia="en-GB"/>
        </w:rPr>
        <w:t>For jurisdictions that have implemented</w:t>
      </w:r>
      <w:r w:rsidR="002074B3">
        <w:rPr>
          <w:rFonts w:eastAsia="Times New Roman" w:cs="Times New Roman"/>
          <w:color w:val="4A4A4A"/>
          <w:sz w:val="21"/>
          <w:szCs w:val="21"/>
          <w:lang w:eastAsia="en-GB"/>
        </w:rPr>
        <w:t xml:space="preserve"> </w:t>
      </w:r>
      <w:r w:rsidR="005D6A8D">
        <w:rPr>
          <w:rFonts w:eastAsia="Times New Roman" w:cs="Times New Roman"/>
          <w:color w:val="4A4A4A"/>
          <w:sz w:val="21"/>
          <w:szCs w:val="21"/>
          <w:lang w:eastAsia="en-GB"/>
        </w:rPr>
        <w:t>the Basel</w:t>
      </w:r>
      <w:r w:rsidR="004929A1">
        <w:rPr>
          <w:rFonts w:eastAsia="Times New Roman" w:cs="Times New Roman"/>
          <w:color w:val="4A4A4A"/>
          <w:sz w:val="21"/>
          <w:szCs w:val="21"/>
          <w:lang w:eastAsia="en-GB"/>
        </w:rPr>
        <w:t xml:space="preserve"> III</w:t>
      </w:r>
      <w:r w:rsidR="005D6A8D">
        <w:rPr>
          <w:rFonts w:eastAsia="Times New Roman" w:cs="Times New Roman"/>
          <w:color w:val="4A4A4A"/>
          <w:sz w:val="21"/>
          <w:szCs w:val="21"/>
          <w:lang w:eastAsia="en-GB"/>
        </w:rPr>
        <w:t xml:space="preserve"> leverage</w:t>
      </w:r>
      <w:r w:rsidR="004929A1">
        <w:rPr>
          <w:rFonts w:eastAsia="Times New Roman" w:cs="Times New Roman"/>
          <w:color w:val="4A4A4A"/>
          <w:sz w:val="21"/>
          <w:szCs w:val="21"/>
          <w:lang w:eastAsia="en-GB"/>
        </w:rPr>
        <w:t xml:space="preserve"> ratio</w:t>
      </w:r>
      <w:r w:rsidR="002074B3" w:rsidRPr="002074B3">
        <w:rPr>
          <w:rFonts w:eastAsia="Times New Roman" w:cs="Times New Roman"/>
          <w:color w:val="4A4A4A"/>
          <w:sz w:val="21"/>
          <w:szCs w:val="21"/>
          <w:lang w:eastAsia="en-GB"/>
        </w:rPr>
        <w:t>, this indicator would be calculated</w:t>
      </w:r>
      <w:r w:rsidR="00E44150" w:rsidRPr="00E20D61">
        <w:rPr>
          <w:rFonts w:eastAsia="Times New Roman" w:cs="Times New Roman"/>
          <w:color w:val="4A4A4A"/>
          <w:sz w:val="21"/>
          <w:szCs w:val="21"/>
          <w:lang w:eastAsia="en-GB"/>
        </w:rPr>
        <w:t xml:space="preserve"> using</w:t>
      </w:r>
      <w:r w:rsidR="001D6F28" w:rsidRPr="001D6F28">
        <w:rPr>
          <w:rFonts w:eastAsia="Times New Roman" w:cs="Times New Roman"/>
          <w:color w:val="4A4A4A"/>
          <w:sz w:val="21"/>
          <w:szCs w:val="21"/>
          <w:lang w:eastAsia="en-GB"/>
        </w:rPr>
        <w:t xml:space="preserve"> </w:t>
      </w:r>
      <w:r w:rsidR="001D6F28" w:rsidRPr="0049461D">
        <w:rPr>
          <w:rFonts w:eastAsia="Times New Roman" w:cs="Times New Roman"/>
          <w:color w:val="4A4A4A"/>
          <w:sz w:val="21"/>
          <w:szCs w:val="21"/>
          <w:lang w:eastAsia="en-GB"/>
        </w:rPr>
        <w:t>regulatory</w:t>
      </w:r>
      <w:r w:rsidR="00E44150" w:rsidRPr="00E44150">
        <w:rPr>
          <w:rFonts w:eastAsia="Times New Roman" w:cs="Times New Roman"/>
          <w:color w:val="4A4A4A"/>
          <w:sz w:val="21"/>
          <w:szCs w:val="21"/>
          <w:lang w:eastAsia="en-GB"/>
        </w:rPr>
        <w:t xml:space="preserve"> Tier 1 capital</w:t>
      </w:r>
      <w:r w:rsidR="005D6A8D">
        <w:rPr>
          <w:rFonts w:eastAsia="Times New Roman" w:cs="Times New Roman"/>
          <w:color w:val="4A4A4A"/>
          <w:sz w:val="21"/>
          <w:szCs w:val="21"/>
          <w:lang w:eastAsia="en-GB"/>
        </w:rPr>
        <w:t xml:space="preserve"> </w:t>
      </w:r>
      <w:r w:rsidR="00E44150">
        <w:rPr>
          <w:rFonts w:eastAsia="Times New Roman" w:cs="Times New Roman"/>
          <w:color w:val="4A4A4A"/>
          <w:sz w:val="21"/>
          <w:szCs w:val="21"/>
          <w:lang w:eastAsia="en-GB"/>
        </w:rPr>
        <w:t xml:space="preserve">as the </w:t>
      </w:r>
      <w:r w:rsidR="00E44150" w:rsidRPr="00E44150">
        <w:rPr>
          <w:rFonts w:eastAsia="Times New Roman" w:cs="Times New Roman"/>
          <w:color w:val="4A4A4A"/>
          <w:sz w:val="21"/>
          <w:szCs w:val="21"/>
          <w:lang w:eastAsia="en-GB"/>
        </w:rPr>
        <w:t xml:space="preserve">numerator and the exposure measure </w:t>
      </w:r>
      <w:r w:rsidR="00E44150">
        <w:rPr>
          <w:rFonts w:eastAsia="Times New Roman" w:cs="Times New Roman"/>
          <w:color w:val="4A4A4A"/>
          <w:sz w:val="21"/>
          <w:szCs w:val="21"/>
          <w:lang w:eastAsia="en-GB"/>
        </w:rPr>
        <w:t xml:space="preserve">as the </w:t>
      </w:r>
      <w:r w:rsidR="00E44150" w:rsidRPr="00E44150">
        <w:rPr>
          <w:rFonts w:eastAsia="Times New Roman" w:cs="Times New Roman"/>
          <w:color w:val="4A4A4A"/>
          <w:sz w:val="21"/>
          <w:szCs w:val="21"/>
          <w:lang w:eastAsia="en-GB"/>
        </w:rPr>
        <w:t>denominator</w:t>
      </w:r>
      <w:r w:rsidR="00E44150">
        <w:rPr>
          <w:rFonts w:eastAsia="Times New Roman" w:cs="Times New Roman"/>
          <w:color w:val="4A4A4A"/>
          <w:sz w:val="21"/>
          <w:szCs w:val="21"/>
          <w:lang w:eastAsia="en-GB"/>
        </w:rPr>
        <w:t xml:space="preserve">, </w:t>
      </w:r>
      <w:r w:rsidR="00BC5F32">
        <w:rPr>
          <w:rFonts w:eastAsia="Times New Roman" w:cs="Times New Roman"/>
          <w:color w:val="4A4A4A"/>
          <w:sz w:val="21"/>
          <w:szCs w:val="21"/>
          <w:lang w:eastAsia="en-GB"/>
        </w:rPr>
        <w:t xml:space="preserve">which </w:t>
      </w:r>
      <w:r w:rsidR="00E55C14" w:rsidRPr="00E44150">
        <w:rPr>
          <w:rFonts w:eastAsia="Times New Roman" w:cs="Times New Roman"/>
          <w:color w:val="4A4A4A"/>
          <w:sz w:val="21"/>
          <w:szCs w:val="21"/>
          <w:lang w:eastAsia="en-GB"/>
        </w:rPr>
        <w:t>comprises balance</w:t>
      </w:r>
      <w:r w:rsidR="00E44150" w:rsidRPr="00E44150">
        <w:rPr>
          <w:rFonts w:eastAsia="Times New Roman" w:cs="Times New Roman"/>
          <w:color w:val="4A4A4A"/>
          <w:sz w:val="21"/>
          <w:szCs w:val="21"/>
          <w:lang w:eastAsia="en-GB"/>
        </w:rPr>
        <w:t xml:space="preserve"> sheet assets, derivatives exposures,</w:t>
      </w:r>
      <w:r w:rsidR="00E44150">
        <w:rPr>
          <w:rFonts w:eastAsia="Times New Roman" w:cs="Times New Roman"/>
          <w:color w:val="4A4A4A"/>
          <w:sz w:val="21"/>
          <w:szCs w:val="21"/>
          <w:lang w:eastAsia="en-GB"/>
        </w:rPr>
        <w:t xml:space="preserve"> </w:t>
      </w:r>
      <w:r w:rsidR="00E44150" w:rsidRPr="00E44150">
        <w:rPr>
          <w:rFonts w:eastAsia="Times New Roman" w:cs="Times New Roman"/>
          <w:color w:val="4A4A4A"/>
          <w:sz w:val="21"/>
          <w:szCs w:val="21"/>
          <w:lang w:eastAsia="en-GB"/>
        </w:rPr>
        <w:t xml:space="preserve">securities financing transaction exposures, and </w:t>
      </w:r>
      <w:r w:rsidR="00BC5F32" w:rsidRPr="00E44150">
        <w:rPr>
          <w:rFonts w:eastAsia="Times New Roman" w:cs="Times New Roman"/>
          <w:color w:val="4A4A4A"/>
          <w:sz w:val="21"/>
          <w:szCs w:val="21"/>
          <w:lang w:eastAsia="en-GB"/>
        </w:rPr>
        <w:t>off-balance</w:t>
      </w:r>
      <w:r w:rsidR="00E44150" w:rsidRPr="00E44150">
        <w:rPr>
          <w:rFonts w:eastAsia="Times New Roman" w:cs="Times New Roman"/>
          <w:color w:val="4A4A4A"/>
          <w:sz w:val="21"/>
          <w:szCs w:val="21"/>
          <w:lang w:eastAsia="en-GB"/>
        </w:rPr>
        <w:t>-sheet items</w:t>
      </w:r>
      <w:bookmarkEnd w:id="7"/>
      <w:r w:rsidR="00E44150">
        <w:rPr>
          <w:rFonts w:eastAsia="Times New Roman" w:cs="Times New Roman"/>
          <w:color w:val="4A4A4A"/>
          <w:sz w:val="21"/>
          <w:szCs w:val="21"/>
          <w:lang w:eastAsia="en-GB"/>
        </w:rPr>
        <w:t>.</w:t>
      </w:r>
    </w:p>
    <w:p w14:paraId="1D30EC2A" w14:textId="1905697B" w:rsidR="00140038" w:rsidRPr="0049461D" w:rsidRDefault="00140038">
      <w:pPr>
        <w:shd w:val="clear" w:color="auto" w:fill="FFFFFF"/>
        <w:spacing w:after="0"/>
        <w:rPr>
          <w:rFonts w:eastAsia="Times New Roman" w:cs="Times New Roman"/>
          <w:color w:val="4A4A4A"/>
          <w:sz w:val="21"/>
          <w:szCs w:val="21"/>
          <w:lang w:eastAsia="en-GB"/>
        </w:rPr>
      </w:pPr>
    </w:p>
    <w:p w14:paraId="78E0D987" w14:textId="7FAC54DE" w:rsidR="00140038" w:rsidRPr="0049461D" w:rsidRDefault="008D735E">
      <w:pPr>
        <w:shd w:val="clear" w:color="auto" w:fill="FFFFFF"/>
        <w:spacing w:after="0"/>
        <w:rPr>
          <w:rFonts w:eastAsia="Times New Roman" w:cs="Times New Roman"/>
          <w:color w:val="4A4A4A"/>
          <w:sz w:val="21"/>
          <w:szCs w:val="21"/>
          <w:lang w:eastAsia="en-GB"/>
        </w:rPr>
      </w:pPr>
      <w:r w:rsidRPr="0019694F">
        <w:rPr>
          <w:rFonts w:eastAsia="Times New Roman" w:cs="Times New Roman"/>
          <w:iCs/>
          <w:color w:val="4A4A4A"/>
          <w:sz w:val="21"/>
          <w:szCs w:val="21"/>
          <w:lang w:eastAsia="en-GB"/>
        </w:rPr>
        <w:t>(2)</w:t>
      </w:r>
      <w:r>
        <w:rPr>
          <w:rFonts w:eastAsia="Times New Roman" w:cs="Times New Roman"/>
          <w:b/>
          <w:bCs/>
          <w:iCs/>
          <w:color w:val="4A4A4A"/>
          <w:sz w:val="21"/>
          <w:szCs w:val="21"/>
          <w:lang w:eastAsia="en-GB"/>
        </w:rPr>
        <w:t xml:space="preserve"> </w:t>
      </w:r>
      <w:r w:rsidR="00140038" w:rsidRPr="00254780">
        <w:rPr>
          <w:rFonts w:eastAsia="Times New Roman" w:cs="Times New Roman"/>
          <w:bCs/>
          <w:i/>
          <w:iCs/>
          <w:color w:val="4A4A4A"/>
          <w:sz w:val="21"/>
          <w:szCs w:val="21"/>
          <w:lang w:eastAsia="en-GB"/>
        </w:rPr>
        <w:t>Regulatory Tier 1 capital to risk-weighted assets:</w:t>
      </w:r>
      <w:r w:rsidR="00140038" w:rsidRPr="0049461D">
        <w:rPr>
          <w:rFonts w:eastAsia="Times New Roman" w:cs="Times New Roman"/>
          <w:color w:val="4A4A4A"/>
          <w:sz w:val="21"/>
          <w:szCs w:val="21"/>
          <w:lang w:eastAsia="en-GB"/>
        </w:rPr>
        <w:t xml:space="preserve"> </w:t>
      </w:r>
      <w:r w:rsidR="00140038">
        <w:rPr>
          <w:rFonts w:eastAsia="Times New Roman" w:cs="Times New Roman"/>
          <w:color w:val="4A4A4A"/>
          <w:sz w:val="21"/>
          <w:szCs w:val="21"/>
          <w:lang w:eastAsia="en-GB"/>
        </w:rPr>
        <w:t xml:space="preserve">It </w:t>
      </w:r>
      <w:r w:rsidR="00140038" w:rsidRPr="0049461D">
        <w:rPr>
          <w:rFonts w:eastAsia="Times New Roman" w:cs="Times New Roman"/>
          <w:color w:val="4A4A4A"/>
          <w:sz w:val="21"/>
          <w:szCs w:val="21"/>
          <w:lang w:eastAsia="en-GB"/>
        </w:rPr>
        <w:t xml:space="preserve">is calculated using regulatory Tier 1 capital as the numerator and risk-weighted assets as the denominator. The data for this FSI are compiled in accordance with the </w:t>
      </w:r>
      <w:r w:rsidR="00EF625A">
        <w:rPr>
          <w:rFonts w:eastAsia="Times New Roman" w:cs="Times New Roman"/>
          <w:color w:val="4A4A4A"/>
          <w:sz w:val="21"/>
          <w:szCs w:val="21"/>
          <w:lang w:eastAsia="en-GB"/>
        </w:rPr>
        <w:t xml:space="preserve">implemented Basel Accord (i.e., </w:t>
      </w:r>
      <w:r w:rsidR="00140038" w:rsidRPr="0049461D">
        <w:rPr>
          <w:rFonts w:eastAsia="Times New Roman" w:cs="Times New Roman"/>
          <w:color w:val="4A4A4A"/>
          <w:sz w:val="21"/>
          <w:szCs w:val="21"/>
          <w:lang w:eastAsia="en-GB"/>
        </w:rPr>
        <w:t xml:space="preserve">Basel I, Basel II, </w:t>
      </w:r>
      <w:r w:rsidR="004929A1">
        <w:rPr>
          <w:rFonts w:eastAsia="Times New Roman" w:cs="Times New Roman"/>
          <w:color w:val="4A4A4A"/>
          <w:sz w:val="21"/>
          <w:szCs w:val="21"/>
          <w:lang w:eastAsia="en-GB"/>
        </w:rPr>
        <w:t xml:space="preserve">or </w:t>
      </w:r>
      <w:r w:rsidR="00140038" w:rsidRPr="0049461D">
        <w:rPr>
          <w:rFonts w:eastAsia="Times New Roman" w:cs="Times New Roman"/>
          <w:color w:val="4A4A4A"/>
          <w:sz w:val="21"/>
          <w:szCs w:val="21"/>
          <w:lang w:eastAsia="en-GB"/>
        </w:rPr>
        <w:t>Basel III</w:t>
      </w:r>
      <w:r w:rsidR="00EF625A">
        <w:rPr>
          <w:rFonts w:eastAsia="Times New Roman" w:cs="Times New Roman"/>
          <w:color w:val="4A4A4A"/>
          <w:sz w:val="21"/>
          <w:szCs w:val="21"/>
          <w:lang w:eastAsia="en-GB"/>
        </w:rPr>
        <w:t>)</w:t>
      </w:r>
      <w:r w:rsidR="00140038" w:rsidRPr="0049461D">
        <w:rPr>
          <w:rFonts w:eastAsia="Times New Roman" w:cs="Times New Roman"/>
          <w:color w:val="4A4A4A"/>
          <w:sz w:val="21"/>
          <w:szCs w:val="21"/>
          <w:lang w:eastAsia="en-GB"/>
        </w:rPr>
        <w:t>.</w:t>
      </w:r>
    </w:p>
    <w:p w14:paraId="6505FAD0" w14:textId="1140C9E7" w:rsidR="00140038" w:rsidRPr="0049461D" w:rsidRDefault="00140038">
      <w:pPr>
        <w:shd w:val="clear" w:color="auto" w:fill="FFFFFF"/>
        <w:spacing w:after="0"/>
        <w:rPr>
          <w:rFonts w:eastAsia="Times New Roman" w:cs="Times New Roman"/>
          <w:color w:val="4A4A4A"/>
          <w:sz w:val="21"/>
          <w:szCs w:val="21"/>
          <w:lang w:eastAsia="en-GB"/>
        </w:rPr>
      </w:pPr>
    </w:p>
    <w:p w14:paraId="3173F79F" w14:textId="7D8E6321" w:rsidR="00140038" w:rsidRPr="0049461D" w:rsidRDefault="008D735E">
      <w:pPr>
        <w:shd w:val="clear" w:color="auto" w:fill="FFFFFF"/>
        <w:spacing w:after="0"/>
        <w:rPr>
          <w:rFonts w:eastAsia="Times New Roman" w:cs="Times New Roman"/>
          <w:color w:val="4A4A4A"/>
          <w:sz w:val="21"/>
          <w:szCs w:val="21"/>
          <w:lang w:eastAsia="en-GB"/>
        </w:rPr>
      </w:pPr>
      <w:r w:rsidRPr="0019694F">
        <w:rPr>
          <w:rFonts w:eastAsia="Times New Roman" w:cs="Times New Roman"/>
          <w:iCs/>
          <w:color w:val="4A4A4A"/>
          <w:sz w:val="21"/>
          <w:szCs w:val="21"/>
          <w:lang w:eastAsia="en-GB"/>
        </w:rPr>
        <w:t>(3)</w:t>
      </w:r>
      <w:r>
        <w:rPr>
          <w:rFonts w:eastAsia="Times New Roman" w:cs="Times New Roman"/>
          <w:b/>
          <w:bCs/>
          <w:iCs/>
          <w:color w:val="4A4A4A"/>
          <w:sz w:val="21"/>
          <w:szCs w:val="21"/>
          <w:lang w:eastAsia="en-GB"/>
        </w:rPr>
        <w:t xml:space="preserve"> </w:t>
      </w:r>
      <w:r w:rsidR="00140038" w:rsidRPr="00254780">
        <w:rPr>
          <w:rFonts w:eastAsia="Times New Roman" w:cs="Times New Roman"/>
          <w:bCs/>
          <w:i/>
          <w:iCs/>
          <w:color w:val="4A4A4A"/>
          <w:sz w:val="21"/>
          <w:szCs w:val="21"/>
          <w:lang w:eastAsia="en-GB"/>
        </w:rPr>
        <w:t>Nonperforming loans net of provisions to capital:</w:t>
      </w:r>
      <w:r w:rsidR="00140038" w:rsidRPr="0049461D">
        <w:rPr>
          <w:rFonts w:eastAsia="Times New Roman" w:cs="Times New Roman"/>
          <w:color w:val="4A4A4A"/>
          <w:sz w:val="21"/>
          <w:szCs w:val="21"/>
          <w:lang w:eastAsia="en-GB"/>
        </w:rPr>
        <w:t xml:space="preserve"> This FSI is calculated by taking the value of nonperforming loans (NPLs) less the value of specific provisions </w:t>
      </w:r>
      <w:r w:rsidR="00E44150">
        <w:rPr>
          <w:rFonts w:eastAsia="Times New Roman" w:cs="Times New Roman"/>
          <w:color w:val="4A4A4A"/>
          <w:sz w:val="21"/>
          <w:szCs w:val="21"/>
          <w:lang w:eastAsia="en-GB"/>
        </w:rPr>
        <w:t xml:space="preserve">for NPLs </w:t>
      </w:r>
      <w:r w:rsidR="00140038" w:rsidRPr="0049461D">
        <w:rPr>
          <w:rFonts w:eastAsia="Times New Roman" w:cs="Times New Roman"/>
          <w:color w:val="4A4A4A"/>
          <w:sz w:val="21"/>
          <w:szCs w:val="21"/>
          <w:lang w:eastAsia="en-GB"/>
        </w:rPr>
        <w:t xml:space="preserve">as the numerator and </w:t>
      </w:r>
      <w:r w:rsidR="00F25B54">
        <w:rPr>
          <w:rFonts w:eastAsia="Times New Roman" w:cs="Times New Roman"/>
          <w:color w:val="4A4A4A"/>
          <w:sz w:val="21"/>
          <w:szCs w:val="21"/>
          <w:lang w:eastAsia="en-GB"/>
        </w:rPr>
        <w:t>total regulatory capital</w:t>
      </w:r>
      <w:r w:rsidR="00F25B54" w:rsidRPr="0049461D">
        <w:rPr>
          <w:rFonts w:eastAsia="Times New Roman" w:cs="Times New Roman"/>
          <w:color w:val="4A4A4A"/>
          <w:sz w:val="21"/>
          <w:szCs w:val="21"/>
          <w:lang w:eastAsia="en-GB"/>
        </w:rPr>
        <w:t xml:space="preserve"> </w:t>
      </w:r>
      <w:r w:rsidR="00140038" w:rsidRPr="0049461D">
        <w:rPr>
          <w:rFonts w:eastAsia="Times New Roman" w:cs="Times New Roman"/>
          <w:color w:val="4A4A4A"/>
          <w:sz w:val="21"/>
          <w:szCs w:val="21"/>
          <w:lang w:eastAsia="en-GB"/>
        </w:rPr>
        <w:t>as the denominator.</w:t>
      </w:r>
    </w:p>
    <w:p w14:paraId="48EF647B" w14:textId="5A7DDC60" w:rsidR="00140038" w:rsidRPr="0049461D" w:rsidRDefault="00140038">
      <w:pPr>
        <w:shd w:val="clear" w:color="auto" w:fill="FFFFFF"/>
        <w:spacing w:after="0"/>
        <w:rPr>
          <w:rFonts w:eastAsia="Times New Roman" w:cs="Times New Roman"/>
          <w:color w:val="4A4A4A"/>
          <w:sz w:val="21"/>
          <w:szCs w:val="21"/>
          <w:lang w:eastAsia="en-GB"/>
        </w:rPr>
      </w:pPr>
    </w:p>
    <w:p w14:paraId="22EE94BB" w14:textId="297C4497" w:rsidR="00140038" w:rsidRPr="0049461D" w:rsidRDefault="008D735E">
      <w:pPr>
        <w:shd w:val="clear" w:color="auto" w:fill="FFFFFF"/>
        <w:spacing w:after="0"/>
        <w:rPr>
          <w:rFonts w:eastAsia="Times New Roman" w:cs="Times New Roman"/>
          <w:color w:val="4A4A4A"/>
          <w:sz w:val="21"/>
          <w:szCs w:val="21"/>
          <w:lang w:eastAsia="en-GB"/>
        </w:rPr>
      </w:pPr>
      <w:r w:rsidRPr="0019694F">
        <w:rPr>
          <w:rFonts w:eastAsia="Times New Roman" w:cs="Times New Roman"/>
          <w:iCs/>
          <w:color w:val="4A4A4A"/>
          <w:sz w:val="21"/>
          <w:szCs w:val="21"/>
          <w:lang w:eastAsia="en-GB"/>
        </w:rPr>
        <w:t>(4)</w:t>
      </w:r>
      <w:r>
        <w:rPr>
          <w:rFonts w:eastAsia="Times New Roman" w:cs="Times New Roman"/>
          <w:b/>
          <w:bCs/>
          <w:iCs/>
          <w:color w:val="4A4A4A"/>
          <w:sz w:val="21"/>
          <w:szCs w:val="21"/>
          <w:lang w:eastAsia="en-GB"/>
        </w:rPr>
        <w:t xml:space="preserve"> </w:t>
      </w:r>
      <w:r w:rsidR="00140038" w:rsidRPr="00254780">
        <w:rPr>
          <w:rFonts w:eastAsia="Times New Roman" w:cs="Times New Roman"/>
          <w:bCs/>
          <w:i/>
          <w:iCs/>
          <w:color w:val="4A4A4A"/>
          <w:sz w:val="21"/>
          <w:szCs w:val="21"/>
          <w:lang w:eastAsia="en-GB"/>
        </w:rPr>
        <w:t>Nonperforming loans to total gross loans</w:t>
      </w:r>
      <w:r w:rsidR="00140038" w:rsidRPr="00254780">
        <w:rPr>
          <w:rFonts w:eastAsia="Times New Roman" w:cs="Times New Roman"/>
          <w:color w:val="4A4A4A"/>
          <w:sz w:val="21"/>
          <w:szCs w:val="21"/>
          <w:lang w:eastAsia="en-GB"/>
        </w:rPr>
        <w:t>:</w:t>
      </w:r>
      <w:r w:rsidR="00140038" w:rsidRPr="0049461D">
        <w:rPr>
          <w:rFonts w:eastAsia="Times New Roman" w:cs="Times New Roman"/>
          <w:color w:val="4A4A4A"/>
          <w:sz w:val="21"/>
          <w:szCs w:val="21"/>
          <w:lang w:eastAsia="en-GB"/>
        </w:rPr>
        <w:t xml:space="preserve"> This FSI is calculated by using the value of NPLs as the numerator and the total value of the loan portfolio (including NPLs, and before the deduction of specific provisions</w:t>
      </w:r>
      <w:r w:rsidR="00E44150">
        <w:rPr>
          <w:rFonts w:eastAsia="Times New Roman" w:cs="Times New Roman"/>
          <w:color w:val="4A4A4A"/>
          <w:sz w:val="21"/>
          <w:szCs w:val="21"/>
          <w:lang w:eastAsia="en-GB"/>
        </w:rPr>
        <w:t xml:space="preserve"> for NPLs</w:t>
      </w:r>
      <w:r w:rsidR="00140038" w:rsidRPr="0049461D">
        <w:rPr>
          <w:rFonts w:eastAsia="Times New Roman" w:cs="Times New Roman"/>
          <w:color w:val="4A4A4A"/>
          <w:sz w:val="21"/>
          <w:szCs w:val="21"/>
          <w:lang w:eastAsia="en-GB"/>
        </w:rPr>
        <w:t>) as the denominator.</w:t>
      </w:r>
    </w:p>
    <w:p w14:paraId="35CC9FCD" w14:textId="1F60160C" w:rsidR="00140038" w:rsidRPr="0049461D" w:rsidRDefault="00140038">
      <w:pPr>
        <w:shd w:val="clear" w:color="auto" w:fill="FFFFFF"/>
        <w:spacing w:after="0"/>
        <w:rPr>
          <w:rFonts w:eastAsia="Times New Roman" w:cs="Times New Roman"/>
          <w:color w:val="4A4A4A"/>
          <w:sz w:val="21"/>
          <w:szCs w:val="21"/>
          <w:lang w:eastAsia="en-GB"/>
        </w:rPr>
      </w:pPr>
    </w:p>
    <w:p w14:paraId="061B5B76" w14:textId="443A7EE2" w:rsidR="00140038" w:rsidRPr="0049461D" w:rsidRDefault="008D735E">
      <w:pPr>
        <w:shd w:val="clear" w:color="auto" w:fill="FFFFFF"/>
        <w:spacing w:after="0"/>
        <w:rPr>
          <w:rFonts w:eastAsia="Times New Roman" w:cs="Times New Roman"/>
          <w:color w:val="4A4A4A"/>
          <w:sz w:val="21"/>
          <w:szCs w:val="21"/>
          <w:lang w:eastAsia="en-GB"/>
        </w:rPr>
      </w:pPr>
      <w:r w:rsidRPr="0019694F">
        <w:rPr>
          <w:rFonts w:eastAsia="Times New Roman" w:cs="Times New Roman"/>
          <w:iCs/>
          <w:color w:val="4A4A4A"/>
          <w:sz w:val="21"/>
          <w:szCs w:val="21"/>
          <w:lang w:eastAsia="en-GB"/>
        </w:rPr>
        <w:t>(5)</w:t>
      </w:r>
      <w:r>
        <w:rPr>
          <w:rFonts w:eastAsia="Times New Roman" w:cs="Times New Roman"/>
          <w:b/>
          <w:bCs/>
          <w:iCs/>
          <w:color w:val="4A4A4A"/>
          <w:sz w:val="21"/>
          <w:szCs w:val="21"/>
          <w:lang w:eastAsia="en-GB"/>
        </w:rPr>
        <w:t xml:space="preserve"> </w:t>
      </w:r>
      <w:r w:rsidR="00140038" w:rsidRPr="00254780">
        <w:rPr>
          <w:rFonts w:eastAsia="Times New Roman" w:cs="Times New Roman"/>
          <w:bCs/>
          <w:i/>
          <w:iCs/>
          <w:color w:val="4A4A4A"/>
          <w:sz w:val="21"/>
          <w:szCs w:val="21"/>
          <w:lang w:eastAsia="en-GB"/>
        </w:rPr>
        <w:t>Return on assets</w:t>
      </w:r>
      <w:r w:rsidR="00140038" w:rsidRPr="00254780">
        <w:rPr>
          <w:rFonts w:eastAsia="Times New Roman" w:cs="Times New Roman"/>
          <w:color w:val="4A4A4A"/>
          <w:sz w:val="21"/>
          <w:szCs w:val="21"/>
          <w:lang w:eastAsia="en-GB"/>
        </w:rPr>
        <w:t>:</w:t>
      </w:r>
      <w:r w:rsidR="00140038" w:rsidRPr="0049461D">
        <w:rPr>
          <w:rFonts w:eastAsia="Times New Roman" w:cs="Times New Roman"/>
          <w:color w:val="4A4A4A"/>
          <w:sz w:val="21"/>
          <w:szCs w:val="21"/>
          <w:lang w:eastAsia="en-GB"/>
        </w:rPr>
        <w:t xml:space="preserve"> This FSI is calculated by dividing annualized net income before taxes by the average value of total assets (financial and nonfinancial) over the same period.</w:t>
      </w:r>
    </w:p>
    <w:p w14:paraId="62906521" w14:textId="13228A9B" w:rsidR="00140038" w:rsidRPr="0049461D" w:rsidRDefault="00140038">
      <w:pPr>
        <w:shd w:val="clear" w:color="auto" w:fill="FFFFFF"/>
        <w:spacing w:after="0"/>
        <w:rPr>
          <w:rFonts w:eastAsia="Times New Roman" w:cs="Times New Roman"/>
          <w:color w:val="4A4A4A"/>
          <w:sz w:val="21"/>
          <w:szCs w:val="21"/>
          <w:lang w:eastAsia="en-GB"/>
        </w:rPr>
      </w:pPr>
    </w:p>
    <w:p w14:paraId="588483B8" w14:textId="6F41EB92" w:rsidR="00140038" w:rsidRPr="0049461D" w:rsidRDefault="008D735E">
      <w:pPr>
        <w:shd w:val="clear" w:color="auto" w:fill="FFFFFF"/>
        <w:spacing w:after="0"/>
        <w:rPr>
          <w:rFonts w:eastAsia="Times New Roman" w:cs="Times New Roman"/>
          <w:color w:val="4A4A4A"/>
          <w:sz w:val="21"/>
          <w:szCs w:val="21"/>
          <w:lang w:eastAsia="en-GB"/>
        </w:rPr>
      </w:pPr>
      <w:r w:rsidRPr="0019694F">
        <w:rPr>
          <w:rFonts w:eastAsia="Times New Roman" w:cs="Times New Roman"/>
          <w:iCs/>
          <w:color w:val="4A4A4A"/>
          <w:sz w:val="21"/>
          <w:szCs w:val="21"/>
          <w:lang w:eastAsia="en-GB"/>
        </w:rPr>
        <w:t>(6)</w:t>
      </w:r>
      <w:r>
        <w:rPr>
          <w:rFonts w:eastAsia="Times New Roman" w:cs="Times New Roman"/>
          <w:b/>
          <w:bCs/>
          <w:iCs/>
          <w:color w:val="4A4A4A"/>
          <w:sz w:val="21"/>
          <w:szCs w:val="21"/>
          <w:lang w:eastAsia="en-GB"/>
        </w:rPr>
        <w:t xml:space="preserve"> </w:t>
      </w:r>
      <w:r w:rsidR="00140038" w:rsidRPr="00254780">
        <w:rPr>
          <w:rFonts w:eastAsia="Times New Roman" w:cs="Times New Roman"/>
          <w:bCs/>
          <w:i/>
          <w:iCs/>
          <w:color w:val="4A4A4A"/>
          <w:sz w:val="21"/>
          <w:szCs w:val="21"/>
          <w:lang w:eastAsia="en-GB"/>
        </w:rPr>
        <w:t>Liquid assets to short-term liabilities</w:t>
      </w:r>
      <w:r w:rsidR="00140038" w:rsidRPr="00254780">
        <w:rPr>
          <w:rFonts w:eastAsia="Times New Roman" w:cs="Times New Roman"/>
          <w:color w:val="4A4A4A"/>
          <w:sz w:val="21"/>
          <w:szCs w:val="21"/>
          <w:lang w:eastAsia="en-GB"/>
        </w:rPr>
        <w:t>:</w:t>
      </w:r>
      <w:r w:rsidR="00140038" w:rsidRPr="0049461D">
        <w:rPr>
          <w:rFonts w:eastAsia="Times New Roman" w:cs="Times New Roman"/>
          <w:color w:val="4A4A4A"/>
          <w:sz w:val="21"/>
          <w:szCs w:val="21"/>
          <w:lang w:eastAsia="en-GB"/>
        </w:rPr>
        <w:t xml:space="preserve"> This FSI is calculated by using liquid assets as the numerator and short-term liabilities as the denominator.</w:t>
      </w:r>
      <w:r w:rsidR="003D0A4F">
        <w:rPr>
          <w:rFonts w:eastAsia="Times New Roman" w:cs="Times New Roman"/>
          <w:color w:val="4A4A4A"/>
          <w:sz w:val="21"/>
          <w:szCs w:val="21"/>
          <w:lang w:eastAsia="en-GB"/>
        </w:rPr>
        <w:t xml:space="preserve"> </w:t>
      </w:r>
      <w:r w:rsidR="007C3604">
        <w:rPr>
          <w:rFonts w:eastAsia="Times New Roman" w:cs="Times New Roman"/>
          <w:color w:val="4A4A4A"/>
          <w:sz w:val="21"/>
          <w:szCs w:val="21"/>
          <w:lang w:eastAsia="en-GB"/>
        </w:rPr>
        <w:t>The component</w:t>
      </w:r>
      <w:r w:rsidR="009253F0">
        <w:rPr>
          <w:rFonts w:eastAsia="Times New Roman" w:cs="Times New Roman"/>
          <w:color w:val="4A4A4A"/>
          <w:sz w:val="21"/>
          <w:szCs w:val="21"/>
          <w:lang w:eastAsia="en-GB"/>
        </w:rPr>
        <w:t>s</w:t>
      </w:r>
      <w:r w:rsidR="007C3604">
        <w:rPr>
          <w:rFonts w:eastAsia="Times New Roman" w:cs="Times New Roman"/>
          <w:color w:val="4A4A4A"/>
          <w:sz w:val="21"/>
          <w:szCs w:val="21"/>
          <w:lang w:eastAsia="en-GB"/>
        </w:rPr>
        <w:t xml:space="preserve"> of liquid assets are defined in the</w:t>
      </w:r>
      <w:r w:rsidR="0034227D">
        <w:rPr>
          <w:rFonts w:eastAsia="Times New Roman" w:cs="Times New Roman"/>
          <w:color w:val="4A4A4A"/>
          <w:sz w:val="21"/>
          <w:szCs w:val="21"/>
          <w:lang w:eastAsia="en-GB"/>
        </w:rPr>
        <w:t xml:space="preserve"> IMF’s </w:t>
      </w:r>
      <w:r w:rsidR="000E2A2A" w:rsidRPr="008118B9">
        <w:rPr>
          <w:rFonts w:eastAsia="Times New Roman" w:cs="Times New Roman"/>
          <w:i/>
          <w:iCs/>
          <w:color w:val="4A4A4A"/>
          <w:sz w:val="21"/>
          <w:szCs w:val="21"/>
          <w:lang w:eastAsia="en-GB"/>
        </w:rPr>
        <w:t>2019 FSIs Compilation Guide</w:t>
      </w:r>
      <w:r w:rsidR="00BB5AD1">
        <w:rPr>
          <w:rFonts w:eastAsia="Times New Roman" w:cs="Times New Roman"/>
          <w:color w:val="4A4A4A"/>
          <w:sz w:val="21"/>
          <w:szCs w:val="21"/>
          <w:lang w:eastAsia="en-GB"/>
        </w:rPr>
        <w:t xml:space="preserve"> (</w:t>
      </w:r>
      <w:r w:rsidR="00BB5AD1" w:rsidRPr="008118B9">
        <w:rPr>
          <w:rFonts w:eastAsia="Times New Roman" w:cs="Times New Roman"/>
          <w:i/>
          <w:iCs/>
          <w:color w:val="4A4A4A"/>
          <w:sz w:val="21"/>
          <w:szCs w:val="21"/>
          <w:lang w:eastAsia="en-GB"/>
        </w:rPr>
        <w:t>2019 FSIs Guide</w:t>
      </w:r>
      <w:r w:rsidR="00BB5AD1">
        <w:rPr>
          <w:rFonts w:eastAsia="Times New Roman" w:cs="Times New Roman"/>
          <w:color w:val="4A4A4A"/>
          <w:sz w:val="21"/>
          <w:szCs w:val="21"/>
          <w:lang w:eastAsia="en-GB"/>
        </w:rPr>
        <w:t>)</w:t>
      </w:r>
      <w:r w:rsidR="000E2A2A">
        <w:rPr>
          <w:rFonts w:eastAsia="Times New Roman" w:cs="Times New Roman"/>
          <w:color w:val="4A4A4A"/>
          <w:sz w:val="21"/>
          <w:szCs w:val="21"/>
          <w:lang w:eastAsia="en-GB"/>
        </w:rPr>
        <w:t>.</w:t>
      </w:r>
    </w:p>
    <w:p w14:paraId="6EBE16C9" w14:textId="4EF744D0" w:rsidR="00140038" w:rsidRPr="0049461D" w:rsidRDefault="00140038">
      <w:pPr>
        <w:shd w:val="clear" w:color="auto" w:fill="FFFFFF"/>
        <w:spacing w:after="0"/>
        <w:rPr>
          <w:rFonts w:eastAsia="Times New Roman" w:cs="Times New Roman"/>
          <w:color w:val="4A4A4A"/>
          <w:sz w:val="21"/>
          <w:szCs w:val="21"/>
          <w:lang w:eastAsia="en-GB"/>
        </w:rPr>
      </w:pPr>
    </w:p>
    <w:p w14:paraId="0D7D2145" w14:textId="4B6CFEE2" w:rsidR="00140038" w:rsidRPr="00C1605C" w:rsidRDefault="008D735E">
      <w:pPr>
        <w:shd w:val="clear" w:color="auto" w:fill="FFFFFF"/>
        <w:spacing w:after="0"/>
        <w:rPr>
          <w:rFonts w:eastAsia="Times New Roman" w:cs="Times New Roman"/>
          <w:color w:val="4A4A4A"/>
          <w:sz w:val="21"/>
          <w:szCs w:val="21"/>
          <w:lang w:eastAsia="en-GB"/>
        </w:rPr>
      </w:pPr>
      <w:r w:rsidRPr="0019694F">
        <w:rPr>
          <w:rFonts w:eastAsia="Times New Roman" w:cs="Times New Roman"/>
          <w:iCs/>
          <w:color w:val="4A4A4A"/>
          <w:sz w:val="21"/>
          <w:szCs w:val="21"/>
          <w:lang w:eastAsia="en-GB"/>
        </w:rPr>
        <w:t>(7)</w:t>
      </w:r>
      <w:r>
        <w:rPr>
          <w:rFonts w:eastAsia="Times New Roman" w:cs="Times New Roman"/>
          <w:b/>
          <w:bCs/>
          <w:iCs/>
          <w:color w:val="4A4A4A"/>
          <w:sz w:val="21"/>
          <w:szCs w:val="21"/>
          <w:lang w:eastAsia="en-GB"/>
        </w:rPr>
        <w:t xml:space="preserve"> </w:t>
      </w:r>
      <w:r w:rsidR="00140038" w:rsidRPr="00254780">
        <w:rPr>
          <w:rFonts w:eastAsia="Times New Roman" w:cs="Times New Roman"/>
          <w:bCs/>
          <w:i/>
          <w:iCs/>
          <w:color w:val="4A4A4A"/>
          <w:sz w:val="21"/>
          <w:szCs w:val="21"/>
          <w:lang w:eastAsia="en-GB"/>
        </w:rPr>
        <w:t>Net open position in foreign exchange to capital</w:t>
      </w:r>
      <w:r w:rsidR="00140038" w:rsidRPr="00254780">
        <w:rPr>
          <w:rFonts w:eastAsia="Times New Roman" w:cs="Times New Roman"/>
          <w:color w:val="4A4A4A"/>
          <w:sz w:val="21"/>
          <w:szCs w:val="21"/>
          <w:lang w:eastAsia="en-GB"/>
        </w:rPr>
        <w:t>:</w:t>
      </w:r>
      <w:r w:rsidR="00140038" w:rsidRPr="0049461D">
        <w:rPr>
          <w:rFonts w:eastAsia="Times New Roman" w:cs="Times New Roman"/>
          <w:color w:val="4A4A4A"/>
          <w:sz w:val="21"/>
          <w:szCs w:val="21"/>
          <w:lang w:eastAsia="en-GB"/>
        </w:rPr>
        <w:t xml:space="preserve"> The net open position in foreign exchange should be calculated based on the </w:t>
      </w:r>
      <w:r w:rsidR="00EF625A">
        <w:rPr>
          <w:rFonts w:eastAsia="Times New Roman" w:cs="Times New Roman"/>
          <w:color w:val="4A4A4A"/>
          <w:sz w:val="21"/>
          <w:szCs w:val="21"/>
          <w:lang w:eastAsia="en-GB"/>
        </w:rPr>
        <w:t xml:space="preserve">guidance in the </w:t>
      </w:r>
      <w:r w:rsidR="00EF625A" w:rsidRPr="008118B9">
        <w:rPr>
          <w:rFonts w:eastAsia="Times New Roman" w:cs="Times New Roman"/>
          <w:i/>
          <w:iCs/>
          <w:color w:val="4A4A4A"/>
          <w:sz w:val="21"/>
          <w:szCs w:val="21"/>
          <w:lang w:eastAsia="en-GB"/>
        </w:rPr>
        <w:t>2019 FSIs Guide</w:t>
      </w:r>
      <w:r w:rsidR="00140038" w:rsidRPr="0049461D">
        <w:rPr>
          <w:rFonts w:eastAsia="Times New Roman" w:cs="Times New Roman"/>
          <w:color w:val="4A4A4A"/>
          <w:sz w:val="21"/>
          <w:szCs w:val="21"/>
          <w:lang w:eastAsia="en-GB"/>
        </w:rPr>
        <w:t>. Capital should be total regulatory capital as net open position in foreign exchange is a supervisory concept.</w:t>
      </w:r>
    </w:p>
    <w:bookmarkEnd w:id="6"/>
    <w:p w14:paraId="14721E79" w14:textId="77777777" w:rsidR="00140038" w:rsidRPr="00573631" w:rsidRDefault="00140038">
      <w:pPr>
        <w:shd w:val="clear" w:color="auto" w:fill="FFFFFF"/>
        <w:spacing w:after="0"/>
        <w:rPr>
          <w:rFonts w:eastAsia="Times New Roman" w:cs="Times New Roman"/>
          <w:color w:val="4A4A4A"/>
          <w:sz w:val="21"/>
          <w:szCs w:val="21"/>
          <w:lang w:eastAsia="en-GB"/>
        </w:rPr>
      </w:pPr>
    </w:p>
    <w:p w14:paraId="7907C997" w14:textId="77777777" w:rsidR="00140038" w:rsidRDefault="00140038">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Concepts:</w:t>
      </w:r>
    </w:p>
    <w:p w14:paraId="74322626" w14:textId="07ADB6EA" w:rsidR="006A025E" w:rsidRPr="006A025E" w:rsidRDefault="008D735E">
      <w:pPr>
        <w:shd w:val="clear" w:color="auto" w:fill="FFFFFF"/>
        <w:spacing w:after="0"/>
        <w:rPr>
          <w:rFonts w:eastAsia="Times New Roman" w:cs="Times New Roman"/>
          <w:color w:val="4A4A4A"/>
          <w:sz w:val="21"/>
          <w:szCs w:val="21"/>
          <w:lang w:eastAsia="en-GB"/>
        </w:rPr>
      </w:pPr>
      <w:r w:rsidRPr="0019694F">
        <w:rPr>
          <w:rFonts w:eastAsia="Times New Roman" w:cs="Times New Roman"/>
          <w:iCs/>
          <w:color w:val="4A4A4A"/>
          <w:sz w:val="21"/>
          <w:szCs w:val="21"/>
          <w:lang w:eastAsia="en-GB"/>
        </w:rPr>
        <w:lastRenderedPageBreak/>
        <w:t>(1)</w:t>
      </w:r>
      <w:r>
        <w:rPr>
          <w:rFonts w:eastAsia="Times New Roman" w:cs="Times New Roman"/>
          <w:b/>
          <w:bCs/>
          <w:iCs/>
          <w:color w:val="4A4A4A"/>
          <w:sz w:val="21"/>
          <w:szCs w:val="21"/>
          <w:lang w:eastAsia="en-GB"/>
        </w:rPr>
        <w:t xml:space="preserve"> </w:t>
      </w:r>
      <w:r w:rsidR="00140038" w:rsidRPr="00254780">
        <w:rPr>
          <w:rFonts w:eastAsia="Times New Roman" w:cs="Times New Roman"/>
          <w:bCs/>
          <w:i/>
          <w:iCs/>
          <w:color w:val="4A4A4A"/>
          <w:sz w:val="21"/>
          <w:szCs w:val="21"/>
          <w:lang w:eastAsia="en-GB"/>
        </w:rPr>
        <w:t>Regulatory Tier 1 capital to assets</w:t>
      </w:r>
      <w:r w:rsidR="00140038" w:rsidRPr="00254780">
        <w:rPr>
          <w:rFonts w:eastAsia="Times New Roman" w:cs="Times New Roman"/>
          <w:color w:val="4A4A4A"/>
          <w:sz w:val="21"/>
          <w:szCs w:val="21"/>
          <w:lang w:eastAsia="en-GB"/>
        </w:rPr>
        <w:t>:</w:t>
      </w:r>
      <w:r w:rsidR="00140038" w:rsidRPr="00414682">
        <w:rPr>
          <w:rFonts w:eastAsia="Times New Roman" w:cs="Times New Roman"/>
          <w:color w:val="4A4A4A"/>
          <w:sz w:val="21"/>
          <w:szCs w:val="21"/>
          <w:lang w:eastAsia="en-GB"/>
        </w:rPr>
        <w:t xml:space="preserve"> Regulatory Tier 1 capital is </w:t>
      </w:r>
      <w:r w:rsidR="00140038">
        <w:rPr>
          <w:rFonts w:eastAsia="Times New Roman" w:cs="Times New Roman"/>
          <w:color w:val="4A4A4A"/>
          <w:sz w:val="21"/>
          <w:szCs w:val="21"/>
          <w:lang w:eastAsia="en-GB"/>
        </w:rPr>
        <w:t>calculated based on Basel I, II, or III depending on countries’ supervisory practices. Denominator is total balance sheet (non-risk weighted) assets</w:t>
      </w:r>
      <w:r w:rsidR="009253F0">
        <w:rPr>
          <w:rFonts w:eastAsia="Times New Roman" w:cs="Times New Roman"/>
          <w:color w:val="4A4A4A"/>
          <w:sz w:val="21"/>
          <w:szCs w:val="21"/>
          <w:lang w:eastAsia="en-GB"/>
        </w:rPr>
        <w:t>. F</w:t>
      </w:r>
      <w:r w:rsidR="009253F0" w:rsidRPr="002074B3">
        <w:rPr>
          <w:rFonts w:eastAsia="Times New Roman" w:cs="Times New Roman"/>
          <w:color w:val="4A4A4A"/>
          <w:sz w:val="21"/>
          <w:szCs w:val="21"/>
          <w:lang w:eastAsia="en-GB"/>
        </w:rPr>
        <w:t>or jurisdictions that have implemented</w:t>
      </w:r>
      <w:r w:rsidR="009253F0">
        <w:rPr>
          <w:rFonts w:eastAsia="Times New Roman" w:cs="Times New Roman"/>
          <w:color w:val="4A4A4A"/>
          <w:sz w:val="21"/>
          <w:szCs w:val="21"/>
          <w:lang w:eastAsia="en-GB"/>
        </w:rPr>
        <w:t xml:space="preserve"> the Basel</w:t>
      </w:r>
      <w:r w:rsidR="0034227D">
        <w:rPr>
          <w:rFonts w:eastAsia="Times New Roman" w:cs="Times New Roman"/>
          <w:color w:val="4A4A4A"/>
          <w:sz w:val="21"/>
          <w:szCs w:val="21"/>
          <w:lang w:eastAsia="en-GB"/>
        </w:rPr>
        <w:t xml:space="preserve"> III</w:t>
      </w:r>
      <w:r w:rsidR="009253F0">
        <w:rPr>
          <w:rFonts w:eastAsia="Times New Roman" w:cs="Times New Roman"/>
          <w:color w:val="4A4A4A"/>
          <w:sz w:val="21"/>
          <w:szCs w:val="21"/>
          <w:lang w:eastAsia="en-GB"/>
        </w:rPr>
        <w:t xml:space="preserve"> leverage</w:t>
      </w:r>
      <w:r w:rsidR="0034227D">
        <w:rPr>
          <w:rFonts w:eastAsia="Times New Roman" w:cs="Times New Roman"/>
          <w:color w:val="4A4A4A"/>
          <w:sz w:val="21"/>
          <w:szCs w:val="21"/>
          <w:lang w:eastAsia="en-GB"/>
        </w:rPr>
        <w:t xml:space="preserve"> ratio</w:t>
      </w:r>
      <w:r w:rsidR="009253F0" w:rsidRPr="002074B3">
        <w:rPr>
          <w:rFonts w:eastAsia="Times New Roman" w:cs="Times New Roman"/>
          <w:color w:val="4A4A4A"/>
          <w:sz w:val="21"/>
          <w:szCs w:val="21"/>
          <w:lang w:eastAsia="en-GB"/>
        </w:rPr>
        <w:t xml:space="preserve">, </w:t>
      </w:r>
      <w:r w:rsidR="009253F0">
        <w:rPr>
          <w:rFonts w:eastAsia="Times New Roman" w:cs="Times New Roman"/>
          <w:color w:val="4A4A4A"/>
          <w:sz w:val="21"/>
          <w:szCs w:val="21"/>
          <w:lang w:eastAsia="en-GB"/>
        </w:rPr>
        <w:t xml:space="preserve">the </w:t>
      </w:r>
      <w:r w:rsidR="009253F0" w:rsidRPr="00E44150">
        <w:rPr>
          <w:rFonts w:eastAsia="Times New Roman" w:cs="Times New Roman"/>
          <w:color w:val="4A4A4A"/>
          <w:sz w:val="21"/>
          <w:szCs w:val="21"/>
          <w:lang w:eastAsia="en-GB"/>
        </w:rPr>
        <w:t>denominator</w:t>
      </w:r>
      <w:r w:rsidR="009253F0">
        <w:rPr>
          <w:rFonts w:eastAsia="Times New Roman" w:cs="Times New Roman"/>
          <w:color w:val="4A4A4A"/>
          <w:sz w:val="21"/>
          <w:szCs w:val="21"/>
          <w:lang w:eastAsia="en-GB"/>
        </w:rPr>
        <w:t xml:space="preserve"> also includes </w:t>
      </w:r>
      <w:r w:rsidR="009253F0" w:rsidRPr="00E44150">
        <w:rPr>
          <w:rFonts w:eastAsia="Times New Roman" w:cs="Times New Roman"/>
          <w:color w:val="4A4A4A"/>
          <w:sz w:val="21"/>
          <w:szCs w:val="21"/>
          <w:lang w:eastAsia="en-GB"/>
        </w:rPr>
        <w:t>off-balance-sheet items</w:t>
      </w:r>
      <w:r w:rsidR="008118B9">
        <w:rPr>
          <w:rFonts w:eastAsia="Times New Roman" w:cs="Times New Roman"/>
          <w:color w:val="4A4A4A"/>
          <w:sz w:val="21"/>
          <w:szCs w:val="21"/>
          <w:lang w:eastAsia="en-GB"/>
        </w:rPr>
        <w:t>.</w:t>
      </w:r>
    </w:p>
    <w:p w14:paraId="5D99B2F6" w14:textId="107EBB7B" w:rsidR="00140038" w:rsidRPr="00414682" w:rsidRDefault="00140038">
      <w:pPr>
        <w:shd w:val="clear" w:color="auto" w:fill="FFFFFF"/>
        <w:spacing w:after="0"/>
        <w:rPr>
          <w:rFonts w:eastAsia="Times New Roman" w:cs="Times New Roman"/>
          <w:color w:val="4A4A4A"/>
          <w:sz w:val="21"/>
          <w:szCs w:val="21"/>
          <w:lang w:eastAsia="en-GB"/>
        </w:rPr>
      </w:pPr>
    </w:p>
    <w:p w14:paraId="72AFE697" w14:textId="68EB1820" w:rsidR="00D77C00" w:rsidRPr="0049461D" w:rsidRDefault="008D735E">
      <w:pPr>
        <w:shd w:val="clear" w:color="auto" w:fill="FFFFFF"/>
        <w:spacing w:after="0"/>
        <w:rPr>
          <w:rFonts w:eastAsia="Times New Roman" w:cs="Times New Roman"/>
          <w:color w:val="4A4A4A"/>
          <w:sz w:val="21"/>
          <w:szCs w:val="21"/>
          <w:lang w:eastAsia="en-GB"/>
        </w:rPr>
      </w:pPr>
      <w:r w:rsidRPr="0019694F">
        <w:rPr>
          <w:rFonts w:eastAsia="Times New Roman" w:cs="Times New Roman"/>
          <w:iCs/>
          <w:color w:val="4A4A4A"/>
          <w:sz w:val="21"/>
          <w:szCs w:val="21"/>
          <w:lang w:eastAsia="en-GB"/>
        </w:rPr>
        <w:t>(2)</w:t>
      </w:r>
      <w:r>
        <w:rPr>
          <w:rFonts w:eastAsia="Times New Roman" w:cs="Times New Roman"/>
          <w:b/>
          <w:bCs/>
          <w:iCs/>
          <w:color w:val="4A4A4A"/>
          <w:sz w:val="21"/>
          <w:szCs w:val="21"/>
          <w:lang w:eastAsia="en-GB"/>
        </w:rPr>
        <w:t xml:space="preserve"> </w:t>
      </w:r>
      <w:r w:rsidR="00140038" w:rsidRPr="00254780">
        <w:rPr>
          <w:rFonts w:eastAsia="Times New Roman" w:cs="Times New Roman"/>
          <w:bCs/>
          <w:i/>
          <w:iCs/>
          <w:color w:val="4A4A4A"/>
          <w:sz w:val="21"/>
          <w:szCs w:val="21"/>
          <w:lang w:eastAsia="en-GB"/>
        </w:rPr>
        <w:t>Regulatory Tier 1 capital to risk- weighted assets</w:t>
      </w:r>
      <w:r w:rsidR="00140038" w:rsidRPr="00254780">
        <w:rPr>
          <w:rFonts w:eastAsia="Times New Roman" w:cs="Times New Roman"/>
          <w:color w:val="4A4A4A"/>
          <w:sz w:val="21"/>
          <w:szCs w:val="21"/>
          <w:lang w:eastAsia="en-GB"/>
        </w:rPr>
        <w:t>:</w:t>
      </w:r>
      <w:r w:rsidR="00140038" w:rsidRPr="0049461D">
        <w:rPr>
          <w:rFonts w:eastAsia="Times New Roman" w:cs="Times New Roman"/>
          <w:color w:val="4A4A4A"/>
          <w:sz w:val="21"/>
          <w:szCs w:val="21"/>
          <w:lang w:eastAsia="en-GB"/>
        </w:rPr>
        <w:t xml:space="preserve"> </w:t>
      </w:r>
      <w:r w:rsidR="00140038" w:rsidRPr="00414682">
        <w:rPr>
          <w:rFonts w:eastAsia="Times New Roman" w:cs="Times New Roman"/>
          <w:color w:val="4A4A4A"/>
          <w:sz w:val="21"/>
          <w:szCs w:val="21"/>
          <w:lang w:eastAsia="en-GB"/>
        </w:rPr>
        <w:t xml:space="preserve">Regulatory Tier 1 capital is </w:t>
      </w:r>
      <w:r w:rsidR="00140038">
        <w:rPr>
          <w:rFonts w:eastAsia="Times New Roman" w:cs="Times New Roman"/>
          <w:color w:val="4A4A4A"/>
          <w:sz w:val="21"/>
          <w:szCs w:val="21"/>
          <w:lang w:eastAsia="en-GB"/>
        </w:rPr>
        <w:t>calculated based on Basel I, II, or III depending on countries’ supervisory practices. Denominator is risk-weighted assets also calculated based on Basel standards.</w:t>
      </w:r>
    </w:p>
    <w:p w14:paraId="226D7408" w14:textId="1E09778B" w:rsidR="00140038" w:rsidRPr="00254780" w:rsidRDefault="00140038">
      <w:pPr>
        <w:shd w:val="clear" w:color="auto" w:fill="FFFFFF"/>
        <w:spacing w:after="0"/>
        <w:rPr>
          <w:rFonts w:eastAsia="Times New Roman" w:cs="Times New Roman"/>
          <w:bCs/>
          <w:i/>
          <w:iCs/>
          <w:color w:val="4A4A4A"/>
          <w:sz w:val="21"/>
          <w:szCs w:val="21"/>
          <w:lang w:eastAsia="en-GB"/>
        </w:rPr>
      </w:pPr>
    </w:p>
    <w:p w14:paraId="0FADE137" w14:textId="6C3BC2E5" w:rsidR="00F43157" w:rsidRPr="0049461D" w:rsidRDefault="008D735E">
      <w:pPr>
        <w:shd w:val="clear" w:color="auto" w:fill="FFFFFF"/>
        <w:spacing w:after="0"/>
        <w:rPr>
          <w:rFonts w:eastAsia="Times New Roman" w:cs="Times New Roman"/>
          <w:color w:val="4A4A4A"/>
          <w:sz w:val="21"/>
          <w:szCs w:val="21"/>
          <w:lang w:eastAsia="en-GB"/>
        </w:rPr>
      </w:pPr>
      <w:r w:rsidRPr="0019694F">
        <w:rPr>
          <w:rFonts w:eastAsia="Times New Roman" w:cs="Times New Roman"/>
          <w:iCs/>
          <w:color w:val="4A4A4A"/>
          <w:sz w:val="21"/>
          <w:szCs w:val="21"/>
          <w:lang w:eastAsia="en-GB"/>
        </w:rPr>
        <w:t>(3)</w:t>
      </w:r>
      <w:r>
        <w:rPr>
          <w:rFonts w:eastAsia="Times New Roman" w:cs="Times New Roman"/>
          <w:b/>
          <w:bCs/>
          <w:iCs/>
          <w:color w:val="4A4A4A"/>
          <w:sz w:val="21"/>
          <w:szCs w:val="21"/>
          <w:lang w:eastAsia="en-GB"/>
        </w:rPr>
        <w:t xml:space="preserve"> </w:t>
      </w:r>
      <w:r w:rsidR="00140038" w:rsidRPr="00254780">
        <w:rPr>
          <w:rFonts w:eastAsia="Times New Roman" w:cs="Times New Roman"/>
          <w:bCs/>
          <w:i/>
          <w:iCs/>
          <w:color w:val="4A4A4A"/>
          <w:sz w:val="21"/>
          <w:szCs w:val="21"/>
          <w:lang w:eastAsia="en-GB"/>
        </w:rPr>
        <w:t>Nonperforming loans net of provisions to capital:</w:t>
      </w:r>
      <w:r w:rsidR="00140038" w:rsidRPr="0049461D">
        <w:rPr>
          <w:rFonts w:eastAsia="Times New Roman" w:cs="Times New Roman"/>
          <w:color w:val="4A4A4A"/>
          <w:sz w:val="21"/>
          <w:szCs w:val="21"/>
          <w:lang w:eastAsia="en-GB"/>
        </w:rPr>
        <w:t xml:space="preserve"> </w:t>
      </w:r>
      <w:r w:rsidR="00140038">
        <w:rPr>
          <w:rFonts w:eastAsia="Times New Roman" w:cs="Times New Roman"/>
          <w:color w:val="4A4A4A"/>
          <w:sz w:val="21"/>
          <w:szCs w:val="21"/>
          <w:lang w:eastAsia="en-GB"/>
        </w:rPr>
        <w:t>A loan is classified as</w:t>
      </w:r>
      <w:r w:rsidR="00695AB6">
        <w:rPr>
          <w:rFonts w:eastAsia="Times New Roman" w:cs="Times New Roman"/>
          <w:color w:val="4A4A4A"/>
          <w:sz w:val="21"/>
          <w:szCs w:val="21"/>
          <w:lang w:eastAsia="en-GB"/>
        </w:rPr>
        <w:t xml:space="preserve"> nonperforming</w:t>
      </w:r>
      <w:r w:rsidR="00140038">
        <w:rPr>
          <w:rFonts w:eastAsia="Times New Roman" w:cs="Times New Roman"/>
          <w:color w:val="4A4A4A"/>
          <w:sz w:val="21"/>
          <w:szCs w:val="21"/>
          <w:lang w:eastAsia="en-GB"/>
        </w:rPr>
        <w:t xml:space="preserve"> </w:t>
      </w:r>
      <w:r w:rsidR="00695AB6">
        <w:rPr>
          <w:rFonts w:eastAsia="Times New Roman" w:cs="Times New Roman"/>
          <w:color w:val="4A4A4A"/>
          <w:sz w:val="21"/>
          <w:szCs w:val="21"/>
          <w:lang w:eastAsia="en-GB"/>
        </w:rPr>
        <w:t>(</w:t>
      </w:r>
      <w:r w:rsidR="00140038" w:rsidRPr="0049461D">
        <w:rPr>
          <w:rFonts w:eastAsia="Times New Roman" w:cs="Times New Roman"/>
          <w:color w:val="4A4A4A"/>
          <w:sz w:val="21"/>
          <w:szCs w:val="21"/>
          <w:lang w:eastAsia="en-GB"/>
        </w:rPr>
        <w:t>NPL</w:t>
      </w:r>
      <w:r w:rsidR="00695AB6">
        <w:rPr>
          <w:rFonts w:eastAsia="Times New Roman" w:cs="Times New Roman"/>
          <w:color w:val="4A4A4A"/>
          <w:sz w:val="21"/>
          <w:szCs w:val="21"/>
          <w:lang w:eastAsia="en-GB"/>
        </w:rPr>
        <w:t>)</w:t>
      </w:r>
      <w:r w:rsidR="00140038">
        <w:rPr>
          <w:rFonts w:eastAsia="Times New Roman" w:cs="Times New Roman"/>
          <w:color w:val="4A4A4A"/>
          <w:sz w:val="21"/>
          <w:szCs w:val="21"/>
          <w:lang w:eastAsia="en-GB"/>
        </w:rPr>
        <w:t xml:space="preserve"> when p</w:t>
      </w:r>
      <w:r w:rsidR="00140038" w:rsidRPr="00414682">
        <w:rPr>
          <w:rFonts w:eastAsia="Times New Roman" w:cs="Times New Roman"/>
          <w:color w:val="4A4A4A"/>
          <w:sz w:val="21"/>
          <w:szCs w:val="21"/>
          <w:lang w:eastAsia="en-GB"/>
        </w:rPr>
        <w:t xml:space="preserve">ayment of principal </w:t>
      </w:r>
      <w:r w:rsidR="00140038">
        <w:rPr>
          <w:rFonts w:eastAsia="Times New Roman" w:cs="Times New Roman"/>
          <w:color w:val="4A4A4A"/>
          <w:sz w:val="21"/>
          <w:szCs w:val="21"/>
          <w:lang w:eastAsia="en-GB"/>
        </w:rPr>
        <w:t>or</w:t>
      </w:r>
      <w:r w:rsidR="00140038" w:rsidRPr="00414682">
        <w:rPr>
          <w:rFonts w:eastAsia="Times New Roman" w:cs="Times New Roman"/>
          <w:color w:val="4A4A4A"/>
          <w:sz w:val="21"/>
          <w:szCs w:val="21"/>
          <w:lang w:eastAsia="en-GB"/>
        </w:rPr>
        <w:t xml:space="preserve"> interest </w:t>
      </w:r>
      <w:r w:rsidR="00140038">
        <w:rPr>
          <w:rFonts w:eastAsia="Times New Roman" w:cs="Times New Roman"/>
          <w:color w:val="4A4A4A"/>
          <w:sz w:val="21"/>
          <w:szCs w:val="21"/>
          <w:lang w:eastAsia="en-GB"/>
        </w:rPr>
        <w:t xml:space="preserve">is </w:t>
      </w:r>
      <w:r w:rsidR="00140038" w:rsidRPr="00414682">
        <w:rPr>
          <w:rFonts w:eastAsia="Times New Roman" w:cs="Times New Roman"/>
          <w:color w:val="4A4A4A"/>
          <w:sz w:val="21"/>
          <w:szCs w:val="21"/>
          <w:lang w:eastAsia="en-GB"/>
        </w:rPr>
        <w:t>past due by 90 days or more</w:t>
      </w:r>
      <w:r w:rsidR="00140038">
        <w:rPr>
          <w:rFonts w:eastAsia="Times New Roman" w:cs="Times New Roman"/>
          <w:color w:val="4A4A4A"/>
          <w:sz w:val="21"/>
          <w:szCs w:val="21"/>
          <w:lang w:eastAsia="en-GB"/>
        </w:rPr>
        <w:t>, or</w:t>
      </w:r>
      <w:r w:rsidR="00695AB6">
        <w:rPr>
          <w:rFonts w:eastAsia="Times New Roman" w:cs="Times New Roman"/>
          <w:color w:val="4A4A4A"/>
          <w:sz w:val="21"/>
          <w:szCs w:val="21"/>
          <w:lang w:eastAsia="en-GB"/>
        </w:rPr>
        <w:t xml:space="preserve"> when</w:t>
      </w:r>
      <w:r w:rsidR="00140038">
        <w:rPr>
          <w:rFonts w:eastAsia="Times New Roman" w:cs="Times New Roman"/>
          <w:color w:val="4A4A4A"/>
          <w:sz w:val="21"/>
          <w:szCs w:val="21"/>
          <w:lang w:eastAsia="en-GB"/>
        </w:rPr>
        <w:t xml:space="preserve"> e</w:t>
      </w:r>
      <w:r w:rsidR="00140038" w:rsidRPr="00414682">
        <w:rPr>
          <w:rFonts w:eastAsia="Times New Roman" w:cs="Times New Roman"/>
          <w:color w:val="4A4A4A"/>
          <w:sz w:val="21"/>
          <w:szCs w:val="21"/>
          <w:lang w:eastAsia="en-GB"/>
        </w:rPr>
        <w:t xml:space="preserve">vidence exists </w:t>
      </w:r>
      <w:r w:rsidR="00140038">
        <w:rPr>
          <w:rFonts w:eastAsia="Times New Roman" w:cs="Times New Roman"/>
          <w:color w:val="4A4A4A"/>
          <w:sz w:val="21"/>
          <w:szCs w:val="21"/>
          <w:lang w:eastAsia="en-GB"/>
        </w:rPr>
        <w:t>that a full or partial amount of a loan is not going to be recovered</w:t>
      </w:r>
      <w:r w:rsidR="00695AB6">
        <w:rPr>
          <w:rFonts w:eastAsia="Times New Roman" w:cs="Times New Roman"/>
          <w:color w:val="4A4A4A"/>
          <w:sz w:val="21"/>
          <w:szCs w:val="21"/>
          <w:lang w:eastAsia="en-GB"/>
        </w:rPr>
        <w:t xml:space="preserve"> even in the absence of a 90-day past due payment</w:t>
      </w:r>
      <w:r w:rsidR="00140038">
        <w:rPr>
          <w:rFonts w:eastAsia="Times New Roman" w:cs="Times New Roman"/>
          <w:color w:val="4A4A4A"/>
          <w:sz w:val="21"/>
          <w:szCs w:val="21"/>
          <w:lang w:eastAsia="en-GB"/>
        </w:rPr>
        <w:t>. Only s</w:t>
      </w:r>
      <w:r w:rsidR="00140038" w:rsidRPr="0049461D">
        <w:rPr>
          <w:rFonts w:eastAsia="Times New Roman" w:cs="Times New Roman"/>
          <w:color w:val="4A4A4A"/>
          <w:sz w:val="21"/>
          <w:szCs w:val="21"/>
          <w:lang w:eastAsia="en-GB"/>
        </w:rPr>
        <w:t xml:space="preserve">pecific provisions </w:t>
      </w:r>
      <w:r w:rsidR="00F85E55">
        <w:rPr>
          <w:rFonts w:eastAsia="Times New Roman" w:cs="Times New Roman"/>
          <w:color w:val="4A4A4A"/>
          <w:sz w:val="21"/>
          <w:szCs w:val="21"/>
          <w:lang w:eastAsia="en-GB"/>
        </w:rPr>
        <w:t xml:space="preserve">for NPLs </w:t>
      </w:r>
      <w:r w:rsidR="00140038">
        <w:rPr>
          <w:rFonts w:eastAsia="Times New Roman" w:cs="Times New Roman"/>
          <w:color w:val="4A4A4A"/>
          <w:sz w:val="21"/>
          <w:szCs w:val="21"/>
          <w:lang w:eastAsia="en-GB"/>
        </w:rPr>
        <w:t xml:space="preserve">are used in this calculation and they refer </w:t>
      </w:r>
      <w:r w:rsidR="00F85E55">
        <w:rPr>
          <w:rFonts w:eastAsia="Times New Roman" w:cs="Times New Roman"/>
          <w:color w:val="4A4A4A"/>
          <w:sz w:val="21"/>
          <w:szCs w:val="21"/>
          <w:lang w:eastAsia="en-GB"/>
        </w:rPr>
        <w:t xml:space="preserve">to </w:t>
      </w:r>
      <w:r w:rsidR="00140038">
        <w:rPr>
          <w:rFonts w:eastAsia="Times New Roman" w:cs="Times New Roman"/>
          <w:color w:val="4A4A4A"/>
          <w:sz w:val="21"/>
          <w:szCs w:val="21"/>
          <w:lang w:eastAsia="en-GB"/>
        </w:rPr>
        <w:t>c</w:t>
      </w:r>
      <w:r w:rsidR="00140038" w:rsidRPr="00164B4B">
        <w:rPr>
          <w:rFonts w:eastAsia="Times New Roman" w:cs="Times New Roman"/>
          <w:color w:val="4A4A4A"/>
          <w:sz w:val="21"/>
          <w:szCs w:val="21"/>
          <w:lang w:eastAsia="en-GB"/>
        </w:rPr>
        <w:t xml:space="preserve">harges against the value of specific </w:t>
      </w:r>
      <w:r w:rsidR="00F85E55">
        <w:rPr>
          <w:rFonts w:eastAsia="Times New Roman" w:cs="Times New Roman"/>
          <w:color w:val="4A4A4A"/>
          <w:sz w:val="21"/>
          <w:szCs w:val="21"/>
          <w:lang w:eastAsia="en-GB"/>
        </w:rPr>
        <w:t>NPLs</w:t>
      </w:r>
      <w:r w:rsidR="00140038">
        <w:rPr>
          <w:rFonts w:eastAsia="Times New Roman" w:cs="Times New Roman"/>
          <w:color w:val="4A4A4A"/>
          <w:sz w:val="21"/>
          <w:szCs w:val="21"/>
          <w:lang w:eastAsia="en-GB"/>
        </w:rPr>
        <w:t xml:space="preserve">. </w:t>
      </w:r>
      <w:r w:rsidR="00140038" w:rsidRPr="00164B4B">
        <w:rPr>
          <w:rFonts w:eastAsia="Times New Roman" w:cs="Times New Roman"/>
          <w:color w:val="4A4A4A"/>
          <w:sz w:val="21"/>
          <w:szCs w:val="21"/>
          <w:lang w:eastAsia="en-GB"/>
        </w:rPr>
        <w:t xml:space="preserve">Data exclude accrued interest </w:t>
      </w:r>
      <w:r w:rsidR="00F85E55">
        <w:rPr>
          <w:rFonts w:eastAsia="Times New Roman" w:cs="Times New Roman"/>
          <w:color w:val="4A4A4A"/>
          <w:sz w:val="21"/>
          <w:szCs w:val="21"/>
          <w:lang w:eastAsia="en-GB"/>
        </w:rPr>
        <w:t>o</w:t>
      </w:r>
      <w:r w:rsidR="00140038" w:rsidRPr="00164B4B">
        <w:rPr>
          <w:rFonts w:eastAsia="Times New Roman" w:cs="Times New Roman"/>
          <w:color w:val="4A4A4A"/>
          <w:sz w:val="21"/>
          <w:szCs w:val="21"/>
          <w:lang w:eastAsia="en-GB"/>
        </w:rPr>
        <w:t>n NPLs</w:t>
      </w:r>
      <w:r w:rsidR="00140038">
        <w:rPr>
          <w:rFonts w:eastAsia="Times New Roman" w:cs="Times New Roman"/>
          <w:color w:val="4A4A4A"/>
          <w:sz w:val="21"/>
          <w:szCs w:val="21"/>
          <w:lang w:eastAsia="en-GB"/>
        </w:rPr>
        <w:t>.</w:t>
      </w:r>
      <w:r w:rsidR="00140038" w:rsidRPr="0049461D">
        <w:rPr>
          <w:rFonts w:eastAsia="Times New Roman" w:cs="Times New Roman"/>
          <w:color w:val="4A4A4A"/>
          <w:sz w:val="21"/>
          <w:szCs w:val="21"/>
          <w:lang w:eastAsia="en-GB"/>
        </w:rPr>
        <w:t xml:space="preserve"> Capital is measured as total regulatory capital</w:t>
      </w:r>
      <w:r w:rsidR="00140038">
        <w:rPr>
          <w:rFonts w:eastAsia="Times New Roman" w:cs="Times New Roman"/>
          <w:color w:val="4A4A4A"/>
          <w:sz w:val="21"/>
          <w:szCs w:val="21"/>
          <w:lang w:eastAsia="en-GB"/>
        </w:rPr>
        <w:t xml:space="preserve"> </w:t>
      </w:r>
      <w:r w:rsidR="00140038" w:rsidRPr="00164B4B">
        <w:rPr>
          <w:rFonts w:eastAsia="Times New Roman" w:cs="Times New Roman"/>
          <w:color w:val="4A4A4A"/>
          <w:sz w:val="21"/>
          <w:szCs w:val="21"/>
          <w:lang w:eastAsia="en-GB"/>
        </w:rPr>
        <w:t xml:space="preserve">calculated based on </w:t>
      </w:r>
      <w:r w:rsidR="00140038" w:rsidRPr="009253F0">
        <w:rPr>
          <w:rFonts w:eastAsia="Times New Roman" w:cs="Times New Roman"/>
          <w:color w:val="4A4A4A"/>
          <w:sz w:val="21"/>
          <w:szCs w:val="21"/>
          <w:lang w:eastAsia="en-GB"/>
        </w:rPr>
        <w:t>Basel I, II, or III</w:t>
      </w:r>
      <w:r w:rsidR="00140038" w:rsidRPr="00164B4B">
        <w:rPr>
          <w:rFonts w:eastAsia="Times New Roman" w:cs="Times New Roman"/>
          <w:color w:val="4A4A4A"/>
          <w:sz w:val="21"/>
          <w:szCs w:val="21"/>
          <w:lang w:eastAsia="en-GB"/>
        </w:rPr>
        <w:t xml:space="preserve"> depending on countries’ supervisory practices.</w:t>
      </w:r>
    </w:p>
    <w:p w14:paraId="62811C08" w14:textId="4BB0BC42" w:rsidR="00140038" w:rsidRPr="0049461D" w:rsidRDefault="00140038">
      <w:pPr>
        <w:shd w:val="clear" w:color="auto" w:fill="FFFFFF"/>
        <w:spacing w:after="0"/>
        <w:rPr>
          <w:rFonts w:eastAsia="Times New Roman" w:cs="Times New Roman"/>
          <w:color w:val="4A4A4A"/>
          <w:sz w:val="21"/>
          <w:szCs w:val="21"/>
          <w:lang w:eastAsia="en-GB"/>
        </w:rPr>
      </w:pPr>
    </w:p>
    <w:p w14:paraId="492C16D1" w14:textId="56330D90" w:rsidR="00F43157" w:rsidRPr="0049461D" w:rsidRDefault="008D735E">
      <w:pPr>
        <w:shd w:val="clear" w:color="auto" w:fill="FFFFFF"/>
        <w:spacing w:after="0"/>
        <w:rPr>
          <w:rFonts w:eastAsia="Times New Roman" w:cs="Times New Roman"/>
          <w:color w:val="4A4A4A"/>
          <w:sz w:val="21"/>
          <w:szCs w:val="21"/>
          <w:lang w:eastAsia="en-GB"/>
        </w:rPr>
      </w:pPr>
      <w:r w:rsidRPr="0019694F">
        <w:rPr>
          <w:rFonts w:eastAsia="Times New Roman" w:cs="Times New Roman"/>
          <w:iCs/>
          <w:color w:val="4A4A4A"/>
          <w:sz w:val="21"/>
          <w:szCs w:val="21"/>
          <w:lang w:eastAsia="en-GB"/>
        </w:rPr>
        <w:t>(4)</w:t>
      </w:r>
      <w:r>
        <w:rPr>
          <w:rFonts w:eastAsia="Times New Roman" w:cs="Times New Roman"/>
          <w:b/>
          <w:bCs/>
          <w:iCs/>
          <w:color w:val="4A4A4A"/>
          <w:sz w:val="21"/>
          <w:szCs w:val="21"/>
          <w:lang w:eastAsia="en-GB"/>
        </w:rPr>
        <w:t xml:space="preserve"> </w:t>
      </w:r>
      <w:r w:rsidR="00140038" w:rsidRPr="00254780">
        <w:rPr>
          <w:rFonts w:eastAsia="Times New Roman" w:cs="Times New Roman"/>
          <w:bCs/>
          <w:i/>
          <w:iCs/>
          <w:color w:val="4A4A4A"/>
          <w:sz w:val="21"/>
          <w:szCs w:val="21"/>
          <w:lang w:eastAsia="en-GB"/>
        </w:rPr>
        <w:t>Nonperforming loans to total gross loans</w:t>
      </w:r>
      <w:r w:rsidR="00140038" w:rsidRPr="00254780">
        <w:rPr>
          <w:rFonts w:eastAsia="Times New Roman" w:cs="Times New Roman"/>
          <w:color w:val="4A4A4A"/>
          <w:sz w:val="21"/>
          <w:szCs w:val="21"/>
          <w:lang w:eastAsia="en-GB"/>
        </w:rPr>
        <w:t>:</w:t>
      </w:r>
      <w:r w:rsidR="00140038" w:rsidRPr="0049461D">
        <w:rPr>
          <w:rFonts w:eastAsia="Times New Roman" w:cs="Times New Roman"/>
          <w:color w:val="4A4A4A"/>
          <w:sz w:val="21"/>
          <w:szCs w:val="21"/>
          <w:lang w:eastAsia="en-GB"/>
        </w:rPr>
        <w:t xml:space="preserve"> </w:t>
      </w:r>
      <w:r w:rsidR="00140038" w:rsidRPr="00164B4B">
        <w:rPr>
          <w:rFonts w:eastAsia="Times New Roman" w:cs="Times New Roman"/>
          <w:color w:val="4A4A4A"/>
          <w:sz w:val="21"/>
          <w:szCs w:val="21"/>
          <w:lang w:eastAsia="en-GB"/>
        </w:rPr>
        <w:t>A loan is classified as NPL when payment of principal or interest is past due by 90 days or more, or</w:t>
      </w:r>
      <w:r w:rsidR="00695AB6">
        <w:rPr>
          <w:rFonts w:eastAsia="Times New Roman" w:cs="Times New Roman"/>
          <w:color w:val="4A4A4A"/>
          <w:sz w:val="21"/>
          <w:szCs w:val="21"/>
          <w:lang w:eastAsia="en-GB"/>
        </w:rPr>
        <w:t xml:space="preserve"> when</w:t>
      </w:r>
      <w:r w:rsidR="00140038" w:rsidRPr="00164B4B">
        <w:rPr>
          <w:rFonts w:eastAsia="Times New Roman" w:cs="Times New Roman"/>
          <w:color w:val="4A4A4A"/>
          <w:sz w:val="21"/>
          <w:szCs w:val="21"/>
          <w:lang w:eastAsia="en-GB"/>
        </w:rPr>
        <w:t xml:space="preserve"> evidence exists that a full or partial amount of a loan is not going to be recovered</w:t>
      </w:r>
      <w:r w:rsidR="00695AB6">
        <w:rPr>
          <w:rFonts w:eastAsia="Times New Roman" w:cs="Times New Roman"/>
          <w:color w:val="4A4A4A"/>
          <w:sz w:val="21"/>
          <w:szCs w:val="21"/>
          <w:lang w:eastAsia="en-GB"/>
        </w:rPr>
        <w:t xml:space="preserve"> even in the absence of a 90-day past due payment</w:t>
      </w:r>
      <w:r w:rsidR="00140038" w:rsidRPr="00164B4B">
        <w:rPr>
          <w:rFonts w:eastAsia="Times New Roman" w:cs="Times New Roman"/>
          <w:color w:val="4A4A4A"/>
          <w:sz w:val="21"/>
          <w:szCs w:val="21"/>
          <w:lang w:eastAsia="en-GB"/>
        </w:rPr>
        <w:t>.</w:t>
      </w:r>
      <w:r w:rsidR="00140038">
        <w:rPr>
          <w:rFonts w:eastAsia="Times New Roman" w:cs="Times New Roman"/>
          <w:color w:val="4A4A4A"/>
          <w:sz w:val="21"/>
          <w:szCs w:val="21"/>
          <w:lang w:eastAsia="en-GB"/>
        </w:rPr>
        <w:t xml:space="preserve"> T</w:t>
      </w:r>
      <w:r w:rsidR="00140038" w:rsidRPr="00164B4B">
        <w:rPr>
          <w:rFonts w:eastAsia="Times New Roman" w:cs="Times New Roman"/>
          <w:color w:val="4A4A4A"/>
          <w:sz w:val="21"/>
          <w:szCs w:val="21"/>
          <w:lang w:eastAsia="en-GB"/>
        </w:rPr>
        <w:t>he denominator</w:t>
      </w:r>
      <w:r w:rsidR="00140038">
        <w:rPr>
          <w:rFonts w:eastAsia="Times New Roman" w:cs="Times New Roman"/>
          <w:color w:val="4A4A4A"/>
          <w:sz w:val="21"/>
          <w:szCs w:val="21"/>
          <w:lang w:eastAsia="en-GB"/>
        </w:rPr>
        <w:t xml:space="preserve"> is t</w:t>
      </w:r>
      <w:r w:rsidR="00140038" w:rsidRPr="0049461D">
        <w:rPr>
          <w:rFonts w:eastAsia="Times New Roman" w:cs="Times New Roman"/>
          <w:color w:val="4A4A4A"/>
          <w:sz w:val="21"/>
          <w:szCs w:val="21"/>
          <w:lang w:eastAsia="en-GB"/>
        </w:rPr>
        <w:t>he total value of the loan portfolio (including NPLs, and before the deduction of specific provisions</w:t>
      </w:r>
      <w:r w:rsidR="00F85E55">
        <w:rPr>
          <w:rFonts w:eastAsia="Times New Roman" w:cs="Times New Roman"/>
          <w:color w:val="4A4A4A"/>
          <w:sz w:val="21"/>
          <w:szCs w:val="21"/>
          <w:lang w:eastAsia="en-GB"/>
        </w:rPr>
        <w:t xml:space="preserve"> for NPLs</w:t>
      </w:r>
      <w:r w:rsidR="00140038" w:rsidRPr="0049461D">
        <w:rPr>
          <w:rFonts w:eastAsia="Times New Roman" w:cs="Times New Roman"/>
          <w:color w:val="4A4A4A"/>
          <w:sz w:val="21"/>
          <w:szCs w:val="21"/>
          <w:lang w:eastAsia="en-GB"/>
        </w:rPr>
        <w:t>)</w:t>
      </w:r>
      <w:r w:rsidR="00140038">
        <w:rPr>
          <w:rFonts w:eastAsia="Times New Roman" w:cs="Times New Roman"/>
          <w:color w:val="4A4A4A"/>
          <w:sz w:val="21"/>
          <w:szCs w:val="21"/>
          <w:lang w:eastAsia="en-GB"/>
        </w:rPr>
        <w:t>.</w:t>
      </w:r>
    </w:p>
    <w:p w14:paraId="11EE8ADF" w14:textId="7F9C2221" w:rsidR="00140038" w:rsidRPr="0049461D" w:rsidRDefault="00140038">
      <w:pPr>
        <w:shd w:val="clear" w:color="auto" w:fill="FFFFFF"/>
        <w:spacing w:after="0"/>
        <w:rPr>
          <w:rFonts w:eastAsia="Times New Roman" w:cs="Times New Roman"/>
          <w:color w:val="4A4A4A"/>
          <w:sz w:val="21"/>
          <w:szCs w:val="21"/>
          <w:lang w:eastAsia="en-GB"/>
        </w:rPr>
      </w:pPr>
    </w:p>
    <w:p w14:paraId="444F8BC8" w14:textId="23D63D82" w:rsidR="00F43157" w:rsidRPr="0049461D" w:rsidRDefault="008D735E">
      <w:pPr>
        <w:shd w:val="clear" w:color="auto" w:fill="FFFFFF"/>
        <w:spacing w:after="0"/>
        <w:rPr>
          <w:rFonts w:eastAsia="Times New Roman" w:cs="Times New Roman"/>
          <w:color w:val="4A4A4A"/>
          <w:sz w:val="21"/>
          <w:szCs w:val="21"/>
          <w:lang w:eastAsia="en-GB"/>
        </w:rPr>
      </w:pPr>
      <w:r w:rsidRPr="0019694F">
        <w:rPr>
          <w:rFonts w:eastAsia="Times New Roman" w:cs="Times New Roman"/>
          <w:iCs/>
          <w:color w:val="4A4A4A"/>
          <w:sz w:val="21"/>
          <w:szCs w:val="21"/>
          <w:lang w:eastAsia="en-GB"/>
        </w:rPr>
        <w:t>(5)</w:t>
      </w:r>
      <w:r>
        <w:rPr>
          <w:rFonts w:eastAsia="Times New Roman" w:cs="Times New Roman"/>
          <w:b/>
          <w:bCs/>
          <w:iCs/>
          <w:color w:val="4A4A4A"/>
          <w:sz w:val="21"/>
          <w:szCs w:val="21"/>
          <w:lang w:eastAsia="en-GB"/>
        </w:rPr>
        <w:t xml:space="preserve"> </w:t>
      </w:r>
      <w:r w:rsidR="00140038" w:rsidRPr="00254780">
        <w:rPr>
          <w:rFonts w:eastAsia="Times New Roman" w:cs="Times New Roman"/>
          <w:bCs/>
          <w:i/>
          <w:iCs/>
          <w:color w:val="4A4A4A"/>
          <w:sz w:val="21"/>
          <w:szCs w:val="21"/>
          <w:lang w:eastAsia="en-GB"/>
        </w:rPr>
        <w:t>Return on assets:</w:t>
      </w:r>
      <w:r w:rsidR="00140038" w:rsidRPr="0049461D">
        <w:rPr>
          <w:rFonts w:eastAsia="Times New Roman" w:cs="Times New Roman"/>
          <w:color w:val="4A4A4A"/>
          <w:sz w:val="21"/>
          <w:szCs w:val="21"/>
          <w:lang w:eastAsia="en-GB"/>
        </w:rPr>
        <w:t xml:space="preserve"> Th</w:t>
      </w:r>
      <w:r w:rsidR="00140038">
        <w:rPr>
          <w:rFonts w:eastAsia="Times New Roman" w:cs="Times New Roman"/>
          <w:color w:val="4A4A4A"/>
          <w:sz w:val="21"/>
          <w:szCs w:val="21"/>
          <w:lang w:eastAsia="en-GB"/>
        </w:rPr>
        <w:t xml:space="preserve">e numerator is </w:t>
      </w:r>
      <w:r w:rsidR="00140038" w:rsidRPr="0049461D">
        <w:rPr>
          <w:rFonts w:eastAsia="Times New Roman" w:cs="Times New Roman"/>
          <w:color w:val="4A4A4A"/>
          <w:sz w:val="21"/>
          <w:szCs w:val="21"/>
          <w:lang w:eastAsia="en-GB"/>
        </w:rPr>
        <w:t>annualized net income before taxes</w:t>
      </w:r>
      <w:r w:rsidR="00140038">
        <w:rPr>
          <w:rFonts w:eastAsia="Times New Roman" w:cs="Times New Roman"/>
          <w:color w:val="4A4A4A"/>
          <w:sz w:val="21"/>
          <w:szCs w:val="21"/>
          <w:lang w:eastAsia="en-GB"/>
        </w:rPr>
        <w:t xml:space="preserve">. The denominator is </w:t>
      </w:r>
      <w:r w:rsidR="00140038" w:rsidRPr="0049461D">
        <w:rPr>
          <w:rFonts w:eastAsia="Times New Roman" w:cs="Times New Roman"/>
          <w:color w:val="4A4A4A"/>
          <w:sz w:val="21"/>
          <w:szCs w:val="21"/>
          <w:lang w:eastAsia="en-GB"/>
        </w:rPr>
        <w:t>the average value of total assets (financial and nonfinancial) over the same period.</w:t>
      </w:r>
    </w:p>
    <w:p w14:paraId="7C552C7D" w14:textId="6D025EE5" w:rsidR="00140038" w:rsidRPr="0049461D" w:rsidRDefault="00140038">
      <w:pPr>
        <w:shd w:val="clear" w:color="auto" w:fill="FFFFFF"/>
        <w:spacing w:after="0"/>
        <w:rPr>
          <w:rFonts w:eastAsia="Times New Roman" w:cs="Times New Roman"/>
          <w:color w:val="4A4A4A"/>
          <w:sz w:val="21"/>
          <w:szCs w:val="21"/>
          <w:lang w:eastAsia="en-GB"/>
        </w:rPr>
      </w:pPr>
    </w:p>
    <w:p w14:paraId="6ACE4B1B" w14:textId="41BD6553" w:rsidR="00F43157" w:rsidRPr="0049461D" w:rsidRDefault="008D735E">
      <w:pPr>
        <w:shd w:val="clear" w:color="auto" w:fill="FFFFFF"/>
        <w:spacing w:after="0"/>
        <w:rPr>
          <w:rFonts w:eastAsia="Times New Roman" w:cs="Times New Roman"/>
          <w:color w:val="4A4A4A"/>
          <w:sz w:val="21"/>
          <w:szCs w:val="21"/>
          <w:lang w:eastAsia="en-GB"/>
        </w:rPr>
      </w:pPr>
      <w:r w:rsidRPr="0019694F">
        <w:rPr>
          <w:rFonts w:eastAsia="Times New Roman" w:cs="Times New Roman"/>
          <w:iCs/>
          <w:color w:val="4A4A4A"/>
          <w:sz w:val="21"/>
          <w:szCs w:val="21"/>
          <w:lang w:eastAsia="en-GB"/>
        </w:rPr>
        <w:t>(6)</w:t>
      </w:r>
      <w:r>
        <w:rPr>
          <w:rFonts w:eastAsia="Times New Roman" w:cs="Times New Roman"/>
          <w:b/>
          <w:bCs/>
          <w:iCs/>
          <w:color w:val="4A4A4A"/>
          <w:sz w:val="21"/>
          <w:szCs w:val="21"/>
          <w:lang w:eastAsia="en-GB"/>
        </w:rPr>
        <w:t xml:space="preserve"> </w:t>
      </w:r>
      <w:r w:rsidR="00140038" w:rsidRPr="00254780">
        <w:rPr>
          <w:rFonts w:eastAsia="Times New Roman" w:cs="Times New Roman"/>
          <w:bCs/>
          <w:i/>
          <w:iCs/>
          <w:color w:val="4A4A4A"/>
          <w:sz w:val="21"/>
          <w:szCs w:val="21"/>
          <w:lang w:eastAsia="en-GB"/>
        </w:rPr>
        <w:t>Liquid assets to short-term liabilities:</w:t>
      </w:r>
      <w:r w:rsidR="00FE1611">
        <w:rPr>
          <w:rFonts w:eastAsia="Times New Roman" w:cs="Times New Roman"/>
          <w:color w:val="4A4A4A"/>
          <w:sz w:val="21"/>
          <w:szCs w:val="21"/>
          <w:lang w:eastAsia="en-GB"/>
        </w:rPr>
        <w:t xml:space="preserve"> Liquid assets include </w:t>
      </w:r>
      <w:r w:rsidR="00140038" w:rsidRPr="00164B4B">
        <w:rPr>
          <w:rFonts w:eastAsia="Times New Roman" w:cs="Times New Roman"/>
          <w:color w:val="4A4A4A"/>
          <w:sz w:val="21"/>
          <w:szCs w:val="21"/>
          <w:lang w:eastAsia="en-GB"/>
        </w:rPr>
        <w:t>currency and deposits and other financial assets available on demand or within three months</w:t>
      </w:r>
      <w:r w:rsidR="00FE1611">
        <w:rPr>
          <w:rFonts w:eastAsia="Times New Roman" w:cs="Times New Roman"/>
          <w:color w:val="4A4A4A"/>
          <w:sz w:val="21"/>
          <w:szCs w:val="21"/>
          <w:lang w:eastAsia="en-GB"/>
        </w:rPr>
        <w:t xml:space="preserve"> as well as</w:t>
      </w:r>
      <w:r w:rsidR="00140038">
        <w:rPr>
          <w:rFonts w:eastAsia="Times New Roman" w:cs="Times New Roman"/>
          <w:color w:val="4A4A4A"/>
          <w:sz w:val="21"/>
          <w:szCs w:val="21"/>
          <w:lang w:eastAsia="en-GB"/>
        </w:rPr>
        <w:t xml:space="preserve"> </w:t>
      </w:r>
      <w:r w:rsidR="00140038" w:rsidRPr="00164B4B">
        <w:rPr>
          <w:rFonts w:eastAsia="Times New Roman" w:cs="Times New Roman"/>
          <w:color w:val="4A4A4A"/>
          <w:sz w:val="21"/>
          <w:szCs w:val="21"/>
          <w:lang w:eastAsia="en-GB"/>
        </w:rPr>
        <w:t>securities traded in liquid markets that can be converted into cash with minimal change in value</w:t>
      </w:r>
      <w:r w:rsidR="00140038">
        <w:rPr>
          <w:rFonts w:eastAsia="Times New Roman" w:cs="Times New Roman"/>
          <w:color w:val="4A4A4A"/>
          <w:sz w:val="21"/>
          <w:szCs w:val="21"/>
          <w:lang w:eastAsia="en-GB"/>
        </w:rPr>
        <w:t xml:space="preserve">. </w:t>
      </w:r>
      <w:r w:rsidR="00140038" w:rsidRPr="00164B4B">
        <w:rPr>
          <w:rFonts w:eastAsia="Times New Roman" w:cs="Times New Roman"/>
          <w:color w:val="4A4A4A"/>
          <w:sz w:val="21"/>
          <w:szCs w:val="21"/>
          <w:lang w:eastAsia="en-GB"/>
        </w:rPr>
        <w:t xml:space="preserve">The denominator is </w:t>
      </w:r>
      <w:r w:rsidR="00140038">
        <w:rPr>
          <w:rFonts w:eastAsia="Times New Roman" w:cs="Times New Roman"/>
          <w:color w:val="4A4A4A"/>
          <w:sz w:val="21"/>
          <w:szCs w:val="21"/>
          <w:lang w:eastAsia="en-GB"/>
        </w:rPr>
        <w:t>s</w:t>
      </w:r>
      <w:r w:rsidR="00140038" w:rsidRPr="00164B4B">
        <w:rPr>
          <w:rFonts w:eastAsia="Times New Roman" w:cs="Times New Roman"/>
          <w:color w:val="4A4A4A"/>
          <w:sz w:val="21"/>
          <w:szCs w:val="21"/>
          <w:lang w:eastAsia="en-GB"/>
        </w:rPr>
        <w:t>hort-term elements of debt liabilities plus net market value of financial derivatives position</w:t>
      </w:r>
      <w:r w:rsidR="00140038">
        <w:rPr>
          <w:rFonts w:eastAsia="Times New Roman" w:cs="Times New Roman"/>
          <w:color w:val="4A4A4A"/>
          <w:sz w:val="21"/>
          <w:szCs w:val="21"/>
          <w:lang w:eastAsia="en-GB"/>
        </w:rPr>
        <w:t>. The latter is c</w:t>
      </w:r>
      <w:r w:rsidR="00140038" w:rsidRPr="00164B4B">
        <w:rPr>
          <w:rFonts w:eastAsia="Times New Roman" w:cs="Times New Roman"/>
          <w:color w:val="4A4A4A"/>
          <w:sz w:val="21"/>
          <w:szCs w:val="21"/>
          <w:lang w:eastAsia="en-GB"/>
        </w:rPr>
        <w:t>alculated as financial derivatives liability position minus financial derivative asset position</w:t>
      </w:r>
      <w:r w:rsidR="00140038">
        <w:rPr>
          <w:rFonts w:eastAsia="Times New Roman" w:cs="Times New Roman"/>
          <w:color w:val="4A4A4A"/>
          <w:sz w:val="21"/>
          <w:szCs w:val="21"/>
          <w:lang w:eastAsia="en-GB"/>
        </w:rPr>
        <w:t>.</w:t>
      </w:r>
      <w:r w:rsidR="00140038" w:rsidRPr="00164B4B">
        <w:t xml:space="preserve"> </w:t>
      </w:r>
      <w:r w:rsidR="00140038" w:rsidRPr="00164B4B">
        <w:rPr>
          <w:rFonts w:eastAsia="Times New Roman" w:cs="Times New Roman"/>
          <w:color w:val="4A4A4A"/>
          <w:sz w:val="21"/>
          <w:szCs w:val="21"/>
          <w:lang w:eastAsia="en-GB"/>
        </w:rPr>
        <w:t xml:space="preserve">Short-term </w:t>
      </w:r>
      <w:r w:rsidR="00140038">
        <w:rPr>
          <w:rFonts w:eastAsia="Times New Roman" w:cs="Times New Roman"/>
          <w:color w:val="4A4A4A"/>
          <w:sz w:val="21"/>
          <w:szCs w:val="21"/>
          <w:lang w:eastAsia="en-GB"/>
        </w:rPr>
        <w:t xml:space="preserve">refers to three months and </w:t>
      </w:r>
      <w:r w:rsidR="00140038" w:rsidRPr="00164B4B">
        <w:rPr>
          <w:rFonts w:eastAsia="Times New Roman" w:cs="Times New Roman"/>
          <w:color w:val="4A4A4A"/>
          <w:sz w:val="21"/>
          <w:szCs w:val="21"/>
          <w:lang w:eastAsia="en-GB"/>
        </w:rPr>
        <w:t>should be defined on a remaining maturity basis</w:t>
      </w:r>
      <w:r w:rsidR="00140038">
        <w:rPr>
          <w:rFonts w:eastAsia="Times New Roman" w:cs="Times New Roman"/>
          <w:color w:val="4A4A4A"/>
          <w:sz w:val="21"/>
          <w:szCs w:val="21"/>
          <w:lang w:eastAsia="en-GB"/>
        </w:rPr>
        <w:t xml:space="preserve">. If </w:t>
      </w:r>
      <w:r w:rsidR="00140038" w:rsidRPr="00164B4B">
        <w:rPr>
          <w:rFonts w:eastAsia="Times New Roman" w:cs="Times New Roman"/>
          <w:color w:val="4A4A4A"/>
          <w:sz w:val="21"/>
          <w:szCs w:val="21"/>
          <w:lang w:eastAsia="en-GB"/>
        </w:rPr>
        <w:t>remaining maturity</w:t>
      </w:r>
      <w:r w:rsidR="00140038">
        <w:rPr>
          <w:rFonts w:eastAsia="Times New Roman" w:cs="Times New Roman"/>
          <w:color w:val="4A4A4A"/>
          <w:sz w:val="21"/>
          <w:szCs w:val="21"/>
          <w:lang w:eastAsia="en-GB"/>
        </w:rPr>
        <w:t xml:space="preserve"> is not available, o</w:t>
      </w:r>
      <w:r w:rsidR="00140038" w:rsidRPr="00164B4B">
        <w:rPr>
          <w:rFonts w:eastAsia="Times New Roman" w:cs="Times New Roman"/>
          <w:color w:val="4A4A4A"/>
          <w:sz w:val="21"/>
          <w:szCs w:val="21"/>
          <w:lang w:eastAsia="en-GB"/>
        </w:rPr>
        <w:t>riginal maturity can be used as an alternative</w:t>
      </w:r>
      <w:r w:rsidR="00140038">
        <w:rPr>
          <w:rFonts w:eastAsia="Times New Roman" w:cs="Times New Roman"/>
          <w:color w:val="4A4A4A"/>
          <w:sz w:val="21"/>
          <w:szCs w:val="21"/>
          <w:lang w:eastAsia="en-GB"/>
        </w:rPr>
        <w:t>.</w:t>
      </w:r>
    </w:p>
    <w:p w14:paraId="7F501936" w14:textId="19E4EC02" w:rsidR="00140038" w:rsidRPr="0049461D" w:rsidRDefault="00140038">
      <w:pPr>
        <w:shd w:val="clear" w:color="auto" w:fill="FFFFFF"/>
        <w:spacing w:after="0"/>
        <w:rPr>
          <w:rFonts w:eastAsia="Times New Roman" w:cs="Times New Roman"/>
          <w:color w:val="4A4A4A"/>
          <w:sz w:val="21"/>
          <w:szCs w:val="21"/>
          <w:lang w:eastAsia="en-GB"/>
        </w:rPr>
      </w:pPr>
    </w:p>
    <w:p w14:paraId="4046A11C" w14:textId="77216BEC" w:rsidR="007E569B" w:rsidRPr="00A96255" w:rsidRDefault="008D735E">
      <w:pPr>
        <w:pStyle w:val="MText"/>
      </w:pPr>
      <w:r w:rsidRPr="0019694F">
        <w:rPr>
          <w:iCs/>
        </w:rPr>
        <w:t>(7)</w:t>
      </w:r>
      <w:r>
        <w:rPr>
          <w:b/>
          <w:bCs/>
          <w:iCs/>
        </w:rPr>
        <w:t xml:space="preserve"> </w:t>
      </w:r>
      <w:r w:rsidR="00140038" w:rsidRPr="00254780">
        <w:rPr>
          <w:bCs/>
          <w:i/>
          <w:iCs/>
        </w:rPr>
        <w:t>Net open position in foreign exchange to capital:</w:t>
      </w:r>
      <w:r w:rsidR="00140038" w:rsidRPr="0049461D">
        <w:t xml:space="preserve"> </w:t>
      </w:r>
      <w:r w:rsidR="0085348C">
        <w:t xml:space="preserve">Net open position should be calculated in accordance with </w:t>
      </w:r>
      <w:r w:rsidR="009253F0">
        <w:t xml:space="preserve">the </w:t>
      </w:r>
      <w:r w:rsidR="0085348C">
        <w:t>guidance</w:t>
      </w:r>
      <w:r w:rsidR="009253F0">
        <w:t xml:space="preserve"> in the </w:t>
      </w:r>
      <w:r w:rsidR="009253F0" w:rsidRPr="009A5983">
        <w:rPr>
          <w:i/>
          <w:iCs/>
        </w:rPr>
        <w:t>2019 FSI</w:t>
      </w:r>
      <w:r w:rsidR="009A5983" w:rsidRPr="009A5983">
        <w:rPr>
          <w:i/>
          <w:iCs/>
        </w:rPr>
        <w:t>s</w:t>
      </w:r>
      <w:r w:rsidR="009253F0" w:rsidRPr="009A5983">
        <w:rPr>
          <w:i/>
          <w:iCs/>
        </w:rPr>
        <w:t xml:space="preserve"> Guide</w:t>
      </w:r>
      <w:r w:rsidR="0026233D">
        <w:t>.</w:t>
      </w:r>
      <w:r w:rsidR="00140038" w:rsidRPr="0062263B">
        <w:t xml:space="preserve"> The denominator is </w:t>
      </w:r>
      <w:r w:rsidR="00140038" w:rsidRPr="0049461D">
        <w:t>total regulatory capital</w:t>
      </w:r>
      <w:r w:rsidR="00140038">
        <w:t xml:space="preserve"> as defined above.</w:t>
      </w:r>
    </w:p>
    <w:p w14:paraId="6E54D3D6" w14:textId="77777777" w:rsidR="00EC2915" w:rsidRPr="00A96255" w:rsidRDefault="00EC2915">
      <w:pPr>
        <w:pStyle w:val="MText"/>
      </w:pPr>
    </w:p>
    <w:p w14:paraId="7932F8BD" w14:textId="3883A11B" w:rsidR="008B0AC7" w:rsidRPr="00A96255" w:rsidRDefault="00576CFA" w:rsidP="00254780">
      <w:pPr>
        <w:pStyle w:val="MHeader2"/>
      </w:pPr>
      <w:r w:rsidRPr="00A96255">
        <w:t xml:space="preserve">2.b. Unit of measure </w:t>
      </w:r>
      <w:r>
        <w:rPr>
          <w:color w:val="B4B4B4"/>
          <w:sz w:val="20"/>
        </w:rPr>
        <w:t>(UNIT_MEASURE)</w:t>
      </w:r>
    </w:p>
    <w:p w14:paraId="2ACAB3E6" w14:textId="7E3ECDCF" w:rsidR="008D735E" w:rsidRDefault="0003293A" w:rsidP="00A027A2">
      <w:pPr>
        <w:pStyle w:val="MText"/>
      </w:pPr>
      <w:r>
        <w:t>Percent (%)</w:t>
      </w:r>
    </w:p>
    <w:p w14:paraId="474716D6" w14:textId="77777777" w:rsidR="00D64BA9" w:rsidRDefault="00D64BA9" w:rsidP="00A027A2">
      <w:pPr>
        <w:pStyle w:val="MText"/>
      </w:pPr>
    </w:p>
    <w:p w14:paraId="548E9AAA" w14:textId="6F77EA15" w:rsidR="00EC2915" w:rsidRDefault="0026233D" w:rsidP="00A027A2">
      <w:pPr>
        <w:pStyle w:val="MText"/>
      </w:pPr>
      <w:r>
        <w:t>Data in the sectoral financial statements and</w:t>
      </w:r>
      <w:r w:rsidR="00524C0D">
        <w:t xml:space="preserve"> other memorandum series</w:t>
      </w:r>
      <w:r>
        <w:t xml:space="preserve"> used to calculate FSIs are in national currency.</w:t>
      </w:r>
    </w:p>
    <w:p w14:paraId="65B03078" w14:textId="77777777" w:rsidR="00140038" w:rsidRPr="00A96255" w:rsidRDefault="00140038" w:rsidP="00A027A2">
      <w:pPr>
        <w:pStyle w:val="MText"/>
      </w:pPr>
    </w:p>
    <w:p w14:paraId="651AA7AC" w14:textId="1C07C84D" w:rsidR="00DA615C" w:rsidRPr="00A96255" w:rsidRDefault="008B0AC7" w:rsidP="00254780">
      <w:pPr>
        <w:pStyle w:val="MHeader2"/>
      </w:pPr>
      <w:r w:rsidRPr="00A96255">
        <w:t xml:space="preserve">2.c. Classifications </w:t>
      </w:r>
      <w:r>
        <w:rPr>
          <w:color w:val="B4B4B4"/>
          <w:sz w:val="20"/>
        </w:rPr>
        <w:t>(CLASS_SYSTEM)</w:t>
      </w:r>
    </w:p>
    <w:p w14:paraId="099638A5" w14:textId="73B0FEC1" w:rsidR="0026233D" w:rsidRPr="00254780" w:rsidRDefault="0026233D" w:rsidP="00A027A2">
      <w:pPr>
        <w:spacing w:after="0"/>
        <w:rPr>
          <w:rFonts w:ascii="MuseoSlab-300" w:hAnsi="MuseoSlab-300" w:hint="eastAsia"/>
          <w:color w:val="000000"/>
          <w:sz w:val="27"/>
          <w:szCs w:val="27"/>
        </w:rPr>
      </w:pPr>
      <w:r w:rsidRPr="00E20D61">
        <w:rPr>
          <w:rFonts w:eastAsia="Times New Roman" w:cs="Times New Roman"/>
          <w:color w:val="4A4A4A"/>
          <w:sz w:val="21"/>
          <w:szCs w:val="21"/>
          <w:lang w:eastAsia="en-GB"/>
        </w:rPr>
        <w:t xml:space="preserve">Classification </w:t>
      </w:r>
      <w:r w:rsidR="005E23C8" w:rsidRPr="00E20D61">
        <w:rPr>
          <w:rFonts w:eastAsia="Times New Roman" w:cs="Times New Roman"/>
          <w:color w:val="4A4A4A"/>
          <w:sz w:val="21"/>
          <w:szCs w:val="21"/>
          <w:lang w:eastAsia="en-GB"/>
        </w:rPr>
        <w:t xml:space="preserve">of financial positions </w:t>
      </w:r>
      <w:r w:rsidRPr="00E20D61">
        <w:rPr>
          <w:rFonts w:eastAsia="Times New Roman" w:cs="Times New Roman"/>
          <w:color w:val="4A4A4A"/>
          <w:sz w:val="21"/>
          <w:szCs w:val="21"/>
          <w:lang w:eastAsia="en-GB"/>
        </w:rPr>
        <w:t>by type of financial instruments and by counterpart sector</w:t>
      </w:r>
      <w:r w:rsidR="005E23C8" w:rsidRPr="00E20D61">
        <w:rPr>
          <w:rFonts w:eastAsia="Times New Roman" w:cs="Times New Roman"/>
          <w:color w:val="4A4A4A"/>
          <w:sz w:val="21"/>
          <w:szCs w:val="21"/>
          <w:lang w:eastAsia="en-GB"/>
        </w:rPr>
        <w:t xml:space="preserve">, and </w:t>
      </w:r>
      <w:r w:rsidR="005E23C8" w:rsidRPr="00E20D61">
        <w:rPr>
          <w:rFonts w:eastAsia="Times New Roman" w:cstheme="minorHAnsi"/>
          <w:color w:val="4A4A4A"/>
          <w:sz w:val="21"/>
          <w:szCs w:val="21"/>
          <w:lang w:eastAsia="en-GB"/>
        </w:rPr>
        <w:t xml:space="preserve">definition of financial </w:t>
      </w:r>
      <w:proofErr w:type="gramStart"/>
      <w:r w:rsidR="005E23C8" w:rsidRPr="00E20D61">
        <w:rPr>
          <w:rFonts w:eastAsia="Times New Roman" w:cstheme="minorHAnsi"/>
          <w:color w:val="4A4A4A"/>
          <w:sz w:val="21"/>
          <w:szCs w:val="21"/>
          <w:lang w:eastAsia="en-GB"/>
        </w:rPr>
        <w:t>corporation</w:t>
      </w:r>
      <w:r w:rsidR="0034227D" w:rsidRPr="00E20D61">
        <w:rPr>
          <w:rFonts w:eastAsia="Times New Roman" w:cstheme="minorHAnsi"/>
          <w:color w:val="4A4A4A"/>
          <w:sz w:val="21"/>
          <w:szCs w:val="21"/>
          <w:lang w:eastAsia="en-GB"/>
        </w:rPr>
        <w:t>s</w:t>
      </w:r>
      <w:proofErr w:type="gramEnd"/>
      <w:r w:rsidR="005E23C8" w:rsidRPr="00E20D61">
        <w:rPr>
          <w:rFonts w:eastAsia="Times New Roman" w:cstheme="minorHAnsi"/>
          <w:color w:val="4A4A4A"/>
          <w:sz w:val="21"/>
          <w:szCs w:val="21"/>
          <w:lang w:eastAsia="en-GB"/>
        </w:rPr>
        <w:t xml:space="preserve"> </w:t>
      </w:r>
      <w:r w:rsidR="0034227D" w:rsidRPr="00E20D61">
        <w:rPr>
          <w:rFonts w:eastAsia="Times New Roman" w:cstheme="minorHAnsi"/>
          <w:color w:val="4A4A4A"/>
          <w:sz w:val="21"/>
          <w:szCs w:val="21"/>
          <w:lang w:eastAsia="en-GB"/>
        </w:rPr>
        <w:t>sub</w:t>
      </w:r>
      <w:r w:rsidR="005E23C8" w:rsidRPr="00E20D61">
        <w:rPr>
          <w:rFonts w:eastAsia="Times New Roman" w:cstheme="minorHAnsi"/>
          <w:color w:val="4A4A4A"/>
          <w:sz w:val="21"/>
          <w:szCs w:val="21"/>
          <w:lang w:eastAsia="en-GB"/>
        </w:rPr>
        <w:t xml:space="preserve">sectors are provided </w:t>
      </w:r>
      <w:r w:rsidRPr="00E20D61">
        <w:rPr>
          <w:rFonts w:eastAsia="Times New Roman" w:cstheme="minorHAnsi"/>
          <w:color w:val="4A4A4A"/>
          <w:sz w:val="21"/>
          <w:szCs w:val="21"/>
          <w:lang w:eastAsia="en-GB"/>
        </w:rPr>
        <w:t xml:space="preserve">in the </w:t>
      </w:r>
      <w:r w:rsidRPr="00254780">
        <w:rPr>
          <w:rFonts w:eastAsia="Times New Roman" w:cstheme="minorHAnsi"/>
          <w:color w:val="4A4A4A"/>
          <w:sz w:val="21"/>
          <w:szCs w:val="21"/>
          <w:lang w:eastAsia="en-GB"/>
        </w:rPr>
        <w:t>2019 FSI</w:t>
      </w:r>
      <w:r w:rsidR="00524C0D" w:rsidRPr="00254780">
        <w:rPr>
          <w:rFonts w:eastAsia="Times New Roman" w:cstheme="minorHAnsi"/>
          <w:color w:val="4A4A4A"/>
          <w:sz w:val="21"/>
          <w:szCs w:val="21"/>
          <w:lang w:eastAsia="en-GB"/>
        </w:rPr>
        <w:t>s</w:t>
      </w:r>
      <w:r w:rsidRPr="00254780">
        <w:rPr>
          <w:rFonts w:eastAsia="Times New Roman" w:cstheme="minorHAnsi"/>
          <w:color w:val="4A4A4A"/>
          <w:sz w:val="21"/>
          <w:szCs w:val="21"/>
          <w:lang w:eastAsia="en-GB"/>
        </w:rPr>
        <w:t xml:space="preserve"> Guide</w:t>
      </w:r>
      <w:r w:rsidR="00D64BA9">
        <w:rPr>
          <w:rFonts w:eastAsia="Times New Roman" w:cstheme="minorHAnsi"/>
          <w:color w:val="4A4A4A"/>
          <w:sz w:val="21"/>
          <w:szCs w:val="21"/>
          <w:lang w:eastAsia="en-GB"/>
        </w:rPr>
        <w:t>:</w:t>
      </w:r>
      <w:r w:rsidRPr="00E20D61">
        <w:rPr>
          <w:rFonts w:cstheme="minorHAnsi"/>
          <w:sz w:val="21"/>
          <w:szCs w:val="21"/>
        </w:rPr>
        <w:t xml:space="preserve"> </w:t>
      </w:r>
      <w:hyperlink r:id="rId11" w:history="1">
        <w:r w:rsidR="00D64BA9" w:rsidRPr="00D64BA9">
          <w:rPr>
            <w:rStyle w:val="Hyperlink"/>
            <w:rFonts w:cstheme="minorHAnsi"/>
            <w:sz w:val="21"/>
            <w:szCs w:val="21"/>
          </w:rPr>
          <w:t>http://data.imf.org/FSI</w:t>
        </w:r>
      </w:hyperlink>
      <w:r w:rsidR="0034227D" w:rsidRPr="00E20D61">
        <w:rPr>
          <w:rFonts w:cstheme="minorHAnsi" w:hint="eastAsia"/>
          <w:color w:val="000000"/>
          <w:sz w:val="21"/>
          <w:szCs w:val="21"/>
        </w:rPr>
        <w:t>.</w:t>
      </w:r>
    </w:p>
    <w:p w14:paraId="123172F4" w14:textId="77777777" w:rsidR="00F719A8" w:rsidRPr="00A96255" w:rsidRDefault="00F719A8" w:rsidP="00A027A2">
      <w:pPr>
        <w:pStyle w:val="MText"/>
      </w:pPr>
    </w:p>
    <w:p w14:paraId="1D3AEECA" w14:textId="2EF96940" w:rsidR="00B31E2C" w:rsidRPr="00F719A8" w:rsidRDefault="00B31E2C" w:rsidP="00A027A2">
      <w:pPr>
        <w:pStyle w:val="MHeader"/>
      </w:pPr>
      <w:r w:rsidRPr="00F719A8">
        <w:lastRenderedPageBreak/>
        <w:t xml:space="preserve">3. Data source type and data collection </w:t>
      </w:r>
      <w:proofErr w:type="gramStart"/>
      <w:r w:rsidRPr="00F719A8">
        <w:t>method</w:t>
      </w:r>
      <w:r>
        <w:rPr>
          <w:color w:val="B4B4B4"/>
          <w:sz w:val="20"/>
        </w:rPr>
        <w:t>(</w:t>
      </w:r>
      <w:proofErr w:type="gramEnd"/>
      <w:r>
        <w:rPr>
          <w:color w:val="B4B4B4"/>
          <w:sz w:val="20"/>
        </w:rPr>
        <w:t>SRC_TYPE_COLL_METHOD)</w:t>
      </w:r>
    </w:p>
    <w:p w14:paraId="340B050E" w14:textId="402B2078" w:rsidR="008B0AC7" w:rsidRPr="00A96255" w:rsidRDefault="008B0AC7" w:rsidP="00254780">
      <w:pPr>
        <w:pStyle w:val="MHeader2"/>
      </w:pPr>
      <w:r w:rsidRPr="00A96255">
        <w:t xml:space="preserve">3.a. Data sources </w:t>
      </w:r>
      <w:r>
        <w:rPr>
          <w:color w:val="B4B4B4"/>
          <w:sz w:val="20"/>
        </w:rPr>
        <w:t>(SOURCE_TYPE)</w:t>
      </w:r>
    </w:p>
    <w:p w14:paraId="08E1C3DF" w14:textId="6B650625" w:rsidR="00576CFA" w:rsidRPr="00A96255" w:rsidRDefault="004C0478" w:rsidP="00A027A2">
      <w:pPr>
        <w:pStyle w:val="MText"/>
      </w:pPr>
      <w:r w:rsidRPr="004C0478">
        <w:t xml:space="preserve">The common source data are data reported by banks for supervisory purposes. They include balance sheet, income statement, and </w:t>
      </w:r>
      <w:r w:rsidR="00524C0D">
        <w:t>memorandum</w:t>
      </w:r>
      <w:r w:rsidR="00524C0D" w:rsidRPr="004C0478">
        <w:t xml:space="preserve"> </w:t>
      </w:r>
      <w:r w:rsidRPr="004C0478">
        <w:t>series (such as Tier 1 capital, Tier 2 capital, risk-weighted assets).</w:t>
      </w:r>
    </w:p>
    <w:p w14:paraId="3018A8D8" w14:textId="77777777" w:rsidR="00EC2915" w:rsidRPr="00A96255" w:rsidRDefault="00EC2915" w:rsidP="00A027A2">
      <w:pPr>
        <w:pStyle w:val="MText"/>
      </w:pPr>
    </w:p>
    <w:p w14:paraId="79368080" w14:textId="1F2EEEBC" w:rsidR="008B0AC7" w:rsidRPr="00A96255" w:rsidRDefault="00576CFA" w:rsidP="00254780">
      <w:pPr>
        <w:pStyle w:val="MHeader2"/>
      </w:pPr>
      <w:r w:rsidRPr="00A96255">
        <w:t xml:space="preserve">3.b. Data collection method </w:t>
      </w:r>
      <w:r>
        <w:rPr>
          <w:color w:val="B4B4B4"/>
          <w:sz w:val="20"/>
        </w:rPr>
        <w:t>(COLL_METHOD)</w:t>
      </w:r>
    </w:p>
    <w:p w14:paraId="5823FBC8" w14:textId="20281B1E" w:rsidR="00576CFA" w:rsidRPr="00A96255" w:rsidRDefault="00830755" w:rsidP="00A027A2">
      <w:pPr>
        <w:pStyle w:val="MText"/>
      </w:pPr>
      <w:r>
        <w:t xml:space="preserve">The national central banks or supervisory agencies collect these data for </w:t>
      </w:r>
      <w:r w:rsidRPr="001A4CE0">
        <w:t>supervisory purposes</w:t>
      </w:r>
      <w:r>
        <w:t>, and these data are used for FSI</w:t>
      </w:r>
      <w:r w:rsidR="00524C0D">
        <w:t>s</w:t>
      </w:r>
      <w:r>
        <w:t xml:space="preserve"> compilation.</w:t>
      </w:r>
    </w:p>
    <w:p w14:paraId="7D9F065F" w14:textId="77777777" w:rsidR="00EC2915" w:rsidRPr="00A96255" w:rsidRDefault="00EC2915" w:rsidP="00A027A2">
      <w:pPr>
        <w:pStyle w:val="MText"/>
      </w:pPr>
    </w:p>
    <w:p w14:paraId="170A2C05" w14:textId="3FC5E66B" w:rsidR="00E46D96" w:rsidRPr="00A96255" w:rsidRDefault="00E46D96" w:rsidP="00254780">
      <w:pPr>
        <w:pStyle w:val="MHeader2"/>
      </w:pPr>
      <w:r w:rsidRPr="00A96255">
        <w:t xml:space="preserve">3.c. Data collection calendar </w:t>
      </w:r>
      <w:r>
        <w:rPr>
          <w:color w:val="B4B4B4"/>
          <w:sz w:val="20"/>
        </w:rPr>
        <w:t>(FREQ_COLL)</w:t>
      </w:r>
    </w:p>
    <w:p w14:paraId="240FFC3D" w14:textId="37484124" w:rsidR="00056844" w:rsidRDefault="00056844" w:rsidP="00A027A2">
      <w:pPr>
        <w:shd w:val="clear" w:color="auto" w:fill="FFFFFF"/>
        <w:tabs>
          <w:tab w:val="left" w:pos="1320"/>
        </w:tabs>
        <w:spacing w:after="0"/>
        <w:rPr>
          <w:rFonts w:eastAsia="Times New Roman" w:cs="Times New Roman"/>
          <w:color w:val="4A4A4A"/>
          <w:sz w:val="21"/>
          <w:szCs w:val="21"/>
          <w:lang w:eastAsia="en-GB"/>
        </w:rPr>
      </w:pPr>
      <w:r>
        <w:rPr>
          <w:rFonts w:eastAsia="Times New Roman" w:cs="Times New Roman"/>
          <w:color w:val="4A4A4A"/>
          <w:sz w:val="21"/>
          <w:szCs w:val="21"/>
          <w:lang w:eastAsia="en-GB"/>
        </w:rPr>
        <w:t>There are no predetermined deadlines. Countries report new FSIs as soon as they are ready</w:t>
      </w:r>
      <w:r w:rsidR="00AC60DA">
        <w:rPr>
          <w:rFonts w:eastAsia="Times New Roman" w:cs="Times New Roman"/>
          <w:color w:val="4A4A4A"/>
          <w:sz w:val="21"/>
          <w:szCs w:val="21"/>
          <w:lang w:eastAsia="en-GB"/>
        </w:rPr>
        <w:t>.</w:t>
      </w:r>
    </w:p>
    <w:p w14:paraId="01BA862E" w14:textId="77777777" w:rsidR="00EC2915" w:rsidRPr="00A96255" w:rsidRDefault="00EC2915" w:rsidP="00A027A2">
      <w:pPr>
        <w:pStyle w:val="MText"/>
      </w:pPr>
    </w:p>
    <w:p w14:paraId="7D466604" w14:textId="04CF2E63" w:rsidR="00E46D96" w:rsidRPr="00F719A8" w:rsidRDefault="00E46D96" w:rsidP="00254780">
      <w:pPr>
        <w:pStyle w:val="MHeader2"/>
      </w:pPr>
      <w:r w:rsidRPr="00A96255">
        <w:t xml:space="preserve">3.d. Data release calendar </w:t>
      </w:r>
      <w:r>
        <w:rPr>
          <w:color w:val="B4B4B4"/>
          <w:sz w:val="20"/>
        </w:rPr>
        <w:t>(REL_CAL_POLICY)</w:t>
      </w:r>
    </w:p>
    <w:p w14:paraId="09C96551" w14:textId="77777777" w:rsidR="00BA70C1" w:rsidRPr="00573631" w:rsidRDefault="00BA70C1" w:rsidP="00A027A2">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Data are disseminated on the IMF website as </w:t>
      </w:r>
      <w:r w:rsidRPr="001A4CE0">
        <w:rPr>
          <w:rFonts w:eastAsia="Times New Roman" w:cs="Times New Roman"/>
          <w:color w:val="4A4A4A"/>
          <w:sz w:val="21"/>
          <w:szCs w:val="21"/>
          <w:lang w:eastAsia="en-GB"/>
        </w:rPr>
        <w:t>soon as they are ready.</w:t>
      </w:r>
    </w:p>
    <w:p w14:paraId="64C749BD" w14:textId="77777777" w:rsidR="00EC2915" w:rsidRPr="00A96255" w:rsidRDefault="00EC2915" w:rsidP="00A027A2">
      <w:pPr>
        <w:pStyle w:val="MText"/>
      </w:pPr>
    </w:p>
    <w:p w14:paraId="3A4F3065" w14:textId="3DA52125" w:rsidR="00E46D96" w:rsidRPr="00A96255" w:rsidRDefault="00E46D96" w:rsidP="00254780">
      <w:pPr>
        <w:pStyle w:val="MHeader2"/>
      </w:pPr>
      <w:r w:rsidRPr="00A96255">
        <w:t xml:space="preserve">3.e. Data </w:t>
      </w:r>
      <w:proofErr w:type="gramStart"/>
      <w:r w:rsidRPr="00A96255">
        <w:t>providers</w:t>
      </w:r>
      <w:r>
        <w:rPr>
          <w:color w:val="B4B4B4"/>
          <w:sz w:val="20"/>
        </w:rPr>
        <w:t>(</w:t>
      </w:r>
      <w:proofErr w:type="gramEnd"/>
      <w:r>
        <w:rPr>
          <w:color w:val="B4B4B4"/>
          <w:sz w:val="20"/>
        </w:rPr>
        <w:t>DATA_SOURCE)</w:t>
      </w:r>
    </w:p>
    <w:p w14:paraId="2C2703BB" w14:textId="77777777" w:rsidR="00077286" w:rsidRDefault="00077286" w:rsidP="00A027A2">
      <w:pPr>
        <w:shd w:val="clear" w:color="auto" w:fill="FFFFFF"/>
        <w:spacing w:after="0"/>
        <w:rPr>
          <w:rFonts w:eastAsia="Times New Roman" w:cs="Times New Roman"/>
          <w:color w:val="4A4A4A"/>
          <w:sz w:val="21"/>
          <w:szCs w:val="21"/>
          <w:lang w:eastAsia="en-GB"/>
        </w:rPr>
      </w:pPr>
      <w:r w:rsidRPr="001A4CE0">
        <w:rPr>
          <w:rFonts w:eastAsia="Times New Roman" w:cs="Times New Roman"/>
          <w:color w:val="4A4A4A"/>
          <w:sz w:val="21"/>
          <w:szCs w:val="21"/>
          <w:lang w:eastAsia="en-GB"/>
        </w:rPr>
        <w:t xml:space="preserve">The national central banks or </w:t>
      </w:r>
      <w:r>
        <w:rPr>
          <w:rFonts w:eastAsia="Times New Roman" w:cs="Times New Roman"/>
          <w:color w:val="4A4A4A"/>
          <w:sz w:val="21"/>
          <w:szCs w:val="21"/>
          <w:lang w:eastAsia="en-GB"/>
        </w:rPr>
        <w:t xml:space="preserve">bank </w:t>
      </w:r>
      <w:r w:rsidRPr="001A4CE0">
        <w:rPr>
          <w:rFonts w:eastAsia="Times New Roman" w:cs="Times New Roman"/>
          <w:color w:val="4A4A4A"/>
          <w:sz w:val="21"/>
          <w:szCs w:val="21"/>
          <w:lang w:eastAsia="en-GB"/>
        </w:rPr>
        <w:t>supervisory agencies</w:t>
      </w:r>
      <w:r>
        <w:rPr>
          <w:rFonts w:eastAsia="Times New Roman" w:cs="Times New Roman"/>
          <w:color w:val="4A4A4A"/>
          <w:sz w:val="21"/>
          <w:szCs w:val="21"/>
          <w:lang w:eastAsia="en-GB"/>
        </w:rPr>
        <w:t>.</w:t>
      </w:r>
    </w:p>
    <w:p w14:paraId="50A66E64" w14:textId="77777777" w:rsidR="00EC2915" w:rsidRPr="00A96255" w:rsidRDefault="00EC2915" w:rsidP="00A027A2">
      <w:pPr>
        <w:pStyle w:val="MText"/>
      </w:pPr>
    </w:p>
    <w:p w14:paraId="30DC8E05" w14:textId="121FA145" w:rsidR="00E46D96" w:rsidRPr="00A96255" w:rsidRDefault="00E46D96" w:rsidP="00254780">
      <w:pPr>
        <w:pStyle w:val="MHeader2"/>
      </w:pPr>
      <w:r w:rsidRPr="00A96255">
        <w:t xml:space="preserve">3.f. Data compilers </w:t>
      </w:r>
      <w:r>
        <w:rPr>
          <w:color w:val="B4B4B4"/>
          <w:sz w:val="20"/>
        </w:rPr>
        <w:t>(COMPILING_ORG)</w:t>
      </w:r>
    </w:p>
    <w:p w14:paraId="4402A615" w14:textId="19A5E2E5" w:rsidR="001E68A5" w:rsidRPr="00D64BA9" w:rsidRDefault="00151D4E" w:rsidP="00A027A2">
      <w:pPr>
        <w:shd w:val="clear" w:color="auto" w:fill="FFFFFF"/>
        <w:spacing w:after="0"/>
        <w:rPr>
          <w:rFonts w:eastAsia="Times New Roman" w:cs="Times New Roman"/>
          <w:color w:val="4A4A4A"/>
          <w:sz w:val="21"/>
          <w:szCs w:val="21"/>
          <w:lang w:eastAsia="en-GB"/>
        </w:rPr>
      </w:pPr>
      <w:r w:rsidRPr="0019694F">
        <w:rPr>
          <w:rFonts w:eastAsia="Times New Roman" w:cs="Times New Roman"/>
          <w:color w:val="4A4A4A"/>
          <w:sz w:val="21"/>
          <w:szCs w:val="21"/>
          <w:lang w:eastAsia="en-GB"/>
        </w:rPr>
        <w:t>International Monetary Fund (IMF)</w:t>
      </w:r>
    </w:p>
    <w:p w14:paraId="3ED5C255" w14:textId="77777777" w:rsidR="00D64BA9" w:rsidRPr="00A96255" w:rsidRDefault="00D64BA9" w:rsidP="00A027A2">
      <w:pPr>
        <w:pStyle w:val="MText"/>
      </w:pPr>
    </w:p>
    <w:p w14:paraId="5655E768" w14:textId="15AB2343" w:rsidR="00E46D96" w:rsidRPr="00A96255" w:rsidRDefault="00E46D96" w:rsidP="00254780">
      <w:pPr>
        <w:pStyle w:val="MHeader2"/>
      </w:pPr>
      <w:r w:rsidRPr="00A96255">
        <w:t xml:space="preserve">3.g. Institutional mandate </w:t>
      </w:r>
      <w:r>
        <w:rPr>
          <w:color w:val="B4B4B4"/>
          <w:sz w:val="20"/>
        </w:rPr>
        <w:t>(INST_MANDATE)</w:t>
      </w:r>
    </w:p>
    <w:p w14:paraId="7D007C3C" w14:textId="11BD688C" w:rsidR="00EC2915" w:rsidRDefault="00695AB6" w:rsidP="00A027A2">
      <w:pPr>
        <w:pStyle w:val="MText"/>
      </w:pPr>
      <w:r>
        <w:t xml:space="preserve">The banks’ supervisory authorities/agencies in countries or jurisdictions collect source data from the banks – whose </w:t>
      </w:r>
      <w:r w:rsidR="00B24676" w:rsidRPr="00812FF5">
        <w:t>complete reporting is usually mandated by law.</w:t>
      </w:r>
    </w:p>
    <w:p w14:paraId="3D063F4C" w14:textId="77777777" w:rsidR="00F719A8" w:rsidRPr="00A96255" w:rsidRDefault="00F719A8" w:rsidP="00A027A2">
      <w:pPr>
        <w:pStyle w:val="MText"/>
      </w:pPr>
    </w:p>
    <w:p w14:paraId="6149DC94" w14:textId="5D0DFC82" w:rsidR="00B31E2C" w:rsidRPr="00A96255" w:rsidRDefault="00B31E2C" w:rsidP="00A027A2">
      <w:pPr>
        <w:pStyle w:val="MHeader"/>
      </w:pPr>
      <w:r w:rsidRPr="00A96255">
        <w:t xml:space="preserve">4. Other methodological considerations </w:t>
      </w:r>
      <w:r>
        <w:rPr>
          <w:color w:val="B4B4B4"/>
          <w:sz w:val="20"/>
        </w:rPr>
        <w:t>(OTHER_METHOD)</w:t>
      </w:r>
    </w:p>
    <w:p w14:paraId="1AFA5517" w14:textId="2C729852" w:rsidR="00AF5ED1" w:rsidRPr="00A96255" w:rsidRDefault="00576CFA" w:rsidP="00254780">
      <w:pPr>
        <w:pStyle w:val="MHeader2"/>
      </w:pPr>
      <w:r w:rsidRPr="00A96255">
        <w:t xml:space="preserve">4.a. Rationale </w:t>
      </w:r>
      <w:r>
        <w:rPr>
          <w:color w:val="B4B4B4"/>
          <w:sz w:val="20"/>
        </w:rPr>
        <w:t>(RATIONALE)</w:t>
      </w:r>
    </w:p>
    <w:p w14:paraId="79CF3729" w14:textId="4A1B227B" w:rsidR="00B43DAE" w:rsidRPr="00C1605C" w:rsidRDefault="00D64BA9" w:rsidP="00A027A2">
      <w:pPr>
        <w:shd w:val="clear" w:color="auto" w:fill="FFFFFF"/>
        <w:spacing w:after="0"/>
        <w:rPr>
          <w:rFonts w:eastAsia="Times New Roman" w:cs="Times New Roman"/>
          <w:color w:val="4A4A4A"/>
          <w:sz w:val="21"/>
          <w:szCs w:val="21"/>
          <w:lang w:eastAsia="en-GB"/>
        </w:rPr>
      </w:pPr>
      <w:r w:rsidRPr="0019694F">
        <w:rPr>
          <w:rFonts w:eastAsia="Times New Roman" w:cs="Times New Roman"/>
          <w:bCs/>
          <w:color w:val="4A4A4A"/>
          <w:sz w:val="21"/>
          <w:szCs w:val="21"/>
          <w:lang w:eastAsia="en-GB"/>
        </w:rPr>
        <w:t>(1)</w:t>
      </w:r>
      <w:r>
        <w:rPr>
          <w:rFonts w:eastAsia="Times New Roman" w:cs="Times New Roman"/>
          <w:b/>
          <w:color w:val="4A4A4A"/>
          <w:sz w:val="21"/>
          <w:szCs w:val="21"/>
          <w:lang w:eastAsia="en-GB"/>
        </w:rPr>
        <w:t xml:space="preserve"> </w:t>
      </w:r>
      <w:r w:rsidR="00B43DAE" w:rsidRPr="00C1605C">
        <w:rPr>
          <w:rFonts w:eastAsia="Times New Roman" w:cs="Times New Roman"/>
          <w:b/>
          <w:color w:val="4A4A4A"/>
          <w:sz w:val="21"/>
          <w:szCs w:val="21"/>
          <w:lang w:eastAsia="en-GB"/>
        </w:rPr>
        <w:t>Regulatory Tier 1 capital to assets</w:t>
      </w:r>
      <w:r w:rsidR="00B43DAE" w:rsidRPr="00C1605C">
        <w:rPr>
          <w:rFonts w:eastAsia="Times New Roman" w:cs="Times New Roman"/>
          <w:color w:val="4A4A4A"/>
          <w:sz w:val="21"/>
          <w:szCs w:val="21"/>
          <w:lang w:eastAsia="en-GB"/>
        </w:rPr>
        <w:t xml:space="preserve">: It is </w:t>
      </w:r>
      <w:r w:rsidR="004F21D7">
        <w:rPr>
          <w:rFonts w:eastAsia="Times New Roman" w:cs="Times New Roman"/>
          <w:color w:val="4A4A4A"/>
          <w:sz w:val="21"/>
          <w:szCs w:val="21"/>
          <w:lang w:eastAsia="en-GB"/>
        </w:rPr>
        <w:t xml:space="preserve">a </w:t>
      </w:r>
      <w:r w:rsidR="00CC2317">
        <w:rPr>
          <w:rFonts w:eastAsia="Times New Roman" w:cs="Times New Roman"/>
          <w:color w:val="4A4A4A"/>
          <w:sz w:val="21"/>
          <w:szCs w:val="21"/>
          <w:lang w:eastAsia="en-GB"/>
        </w:rPr>
        <w:t xml:space="preserve">measure of </w:t>
      </w:r>
      <w:r w:rsidR="004F21D7">
        <w:rPr>
          <w:rFonts w:eastAsia="Times New Roman" w:cs="Times New Roman"/>
          <w:color w:val="4A4A4A"/>
          <w:sz w:val="21"/>
          <w:szCs w:val="21"/>
          <w:lang w:eastAsia="en-GB"/>
        </w:rPr>
        <w:t>leverage</w:t>
      </w:r>
      <w:r w:rsidR="00CC2317">
        <w:rPr>
          <w:rFonts w:eastAsia="Times New Roman" w:cs="Times New Roman"/>
          <w:color w:val="4A4A4A"/>
          <w:sz w:val="21"/>
          <w:szCs w:val="21"/>
          <w:lang w:eastAsia="en-GB"/>
        </w:rPr>
        <w:t xml:space="preserve"> </w:t>
      </w:r>
      <w:r w:rsidR="00B37710">
        <w:rPr>
          <w:rFonts w:eastAsia="Times New Roman" w:cs="Times New Roman"/>
          <w:color w:val="4A4A4A"/>
          <w:sz w:val="21"/>
          <w:szCs w:val="21"/>
          <w:lang w:eastAsia="en-GB"/>
        </w:rPr>
        <w:t xml:space="preserve">indicating </w:t>
      </w:r>
      <w:r w:rsidR="00B43DAE" w:rsidRPr="00C1605C">
        <w:rPr>
          <w:rFonts w:eastAsia="Times New Roman" w:cs="Times New Roman"/>
          <w:color w:val="4A4A4A"/>
          <w:sz w:val="21"/>
          <w:szCs w:val="21"/>
          <w:lang w:eastAsia="en-GB"/>
        </w:rPr>
        <w:t>the extent to which assets are funded by other than own funds</w:t>
      </w:r>
      <w:r w:rsidR="00B80BD1">
        <w:rPr>
          <w:rFonts w:eastAsia="Times New Roman" w:cs="Times New Roman"/>
          <w:color w:val="4A4A4A"/>
          <w:sz w:val="21"/>
          <w:szCs w:val="21"/>
          <w:lang w:eastAsia="en-GB"/>
        </w:rPr>
        <w:t>.</w:t>
      </w:r>
    </w:p>
    <w:p w14:paraId="1D8407E6" w14:textId="2A607FED" w:rsidR="00B43DAE" w:rsidRPr="00C1605C" w:rsidRDefault="00B43DAE" w:rsidP="00A027A2">
      <w:pPr>
        <w:shd w:val="clear" w:color="auto" w:fill="FFFFFF"/>
        <w:spacing w:after="0"/>
        <w:rPr>
          <w:rFonts w:eastAsia="Times New Roman" w:cs="Times New Roman"/>
          <w:color w:val="4A4A4A"/>
          <w:sz w:val="21"/>
          <w:szCs w:val="21"/>
          <w:lang w:eastAsia="en-GB"/>
        </w:rPr>
      </w:pPr>
    </w:p>
    <w:p w14:paraId="6D2FBA86" w14:textId="5318825C" w:rsidR="00B43DAE" w:rsidRPr="00C1605C" w:rsidRDefault="00D64BA9" w:rsidP="00A027A2">
      <w:pPr>
        <w:shd w:val="clear" w:color="auto" w:fill="FFFFFF"/>
        <w:spacing w:after="0"/>
        <w:rPr>
          <w:rFonts w:eastAsia="Times New Roman" w:cs="Times New Roman"/>
          <w:color w:val="4A4A4A"/>
          <w:sz w:val="21"/>
          <w:szCs w:val="21"/>
          <w:lang w:eastAsia="en-GB"/>
        </w:rPr>
      </w:pPr>
      <w:r w:rsidRPr="0019694F">
        <w:rPr>
          <w:rFonts w:eastAsia="Times New Roman" w:cs="Times New Roman"/>
          <w:bCs/>
          <w:color w:val="4A4A4A"/>
          <w:sz w:val="21"/>
          <w:szCs w:val="21"/>
          <w:lang w:eastAsia="en-GB"/>
        </w:rPr>
        <w:t>(2)</w:t>
      </w:r>
      <w:r>
        <w:rPr>
          <w:rFonts w:eastAsia="Times New Roman" w:cs="Times New Roman"/>
          <w:b/>
          <w:color w:val="4A4A4A"/>
          <w:sz w:val="21"/>
          <w:szCs w:val="21"/>
          <w:lang w:eastAsia="en-GB"/>
        </w:rPr>
        <w:t xml:space="preserve"> </w:t>
      </w:r>
      <w:r w:rsidR="00B43DAE" w:rsidRPr="00C1605C">
        <w:rPr>
          <w:rFonts w:eastAsia="Times New Roman" w:cs="Times New Roman"/>
          <w:b/>
          <w:color w:val="4A4A4A"/>
          <w:sz w:val="21"/>
          <w:szCs w:val="21"/>
          <w:lang w:eastAsia="en-GB"/>
        </w:rPr>
        <w:t>Regulatory Tier 1 capital to risk-weighted assets</w:t>
      </w:r>
      <w:r w:rsidR="00B43DAE" w:rsidRPr="00C1605C">
        <w:rPr>
          <w:rFonts w:eastAsia="Times New Roman" w:cs="Times New Roman"/>
          <w:color w:val="4A4A4A"/>
          <w:sz w:val="21"/>
          <w:szCs w:val="21"/>
          <w:lang w:eastAsia="en-GB"/>
        </w:rPr>
        <w:t>: It measures the capital adequacy of deposit takers based on the core capital concept of the Basel Committee on Banking Supervision (BCBS). Capital adequacy and availability ultimately determine the degree of robustness of financial institutions to withstand shocks to their balance sheets.</w:t>
      </w:r>
    </w:p>
    <w:p w14:paraId="5B139AD1" w14:textId="6E4DE666" w:rsidR="00B43DAE" w:rsidRPr="00C1605C" w:rsidRDefault="00B43DAE" w:rsidP="00A027A2">
      <w:pPr>
        <w:shd w:val="clear" w:color="auto" w:fill="FFFFFF"/>
        <w:spacing w:after="0"/>
        <w:rPr>
          <w:rFonts w:eastAsia="Times New Roman" w:cs="Times New Roman"/>
          <w:color w:val="4A4A4A"/>
          <w:sz w:val="21"/>
          <w:szCs w:val="21"/>
          <w:lang w:eastAsia="en-GB"/>
        </w:rPr>
      </w:pPr>
    </w:p>
    <w:p w14:paraId="1A2732BF" w14:textId="3D8CD53C" w:rsidR="00B43DAE" w:rsidRPr="00C1605C" w:rsidRDefault="00D64BA9" w:rsidP="008D735E">
      <w:pPr>
        <w:shd w:val="clear" w:color="auto" w:fill="FFFFFF"/>
        <w:spacing w:after="0"/>
        <w:rPr>
          <w:rFonts w:eastAsia="Times New Roman" w:cs="Times New Roman"/>
          <w:color w:val="4A4A4A"/>
          <w:sz w:val="21"/>
          <w:szCs w:val="21"/>
          <w:lang w:eastAsia="en-GB"/>
        </w:rPr>
      </w:pPr>
      <w:r w:rsidRPr="0019694F">
        <w:rPr>
          <w:rFonts w:eastAsia="Times New Roman" w:cs="Times New Roman"/>
          <w:bCs/>
          <w:color w:val="4A4A4A"/>
          <w:sz w:val="21"/>
          <w:szCs w:val="21"/>
          <w:lang w:eastAsia="en-GB"/>
        </w:rPr>
        <w:t>(3)</w:t>
      </w:r>
      <w:r>
        <w:rPr>
          <w:rFonts w:eastAsia="Times New Roman" w:cs="Times New Roman"/>
          <w:b/>
          <w:color w:val="4A4A4A"/>
          <w:sz w:val="21"/>
          <w:szCs w:val="21"/>
          <w:lang w:eastAsia="en-GB"/>
        </w:rPr>
        <w:t xml:space="preserve"> </w:t>
      </w:r>
      <w:r w:rsidR="00B43DAE" w:rsidRPr="00C1605C">
        <w:rPr>
          <w:rFonts w:eastAsia="Times New Roman" w:cs="Times New Roman"/>
          <w:b/>
          <w:color w:val="4A4A4A"/>
          <w:sz w:val="21"/>
          <w:szCs w:val="21"/>
          <w:lang w:eastAsia="en-GB"/>
        </w:rPr>
        <w:t>Nonperforming loans net of provisions to capital</w:t>
      </w:r>
      <w:r w:rsidR="00B43DAE" w:rsidRPr="00C1605C">
        <w:rPr>
          <w:rFonts w:eastAsia="Times New Roman" w:cs="Times New Roman"/>
          <w:color w:val="4A4A4A"/>
          <w:sz w:val="21"/>
          <w:szCs w:val="21"/>
          <w:lang w:eastAsia="en-GB"/>
        </w:rPr>
        <w:t>: This FSI is a capital adequacy ratio and is an important indicator of the capacity of bank capital to withstand losses from NPLs that are not covered by specific provisions</w:t>
      </w:r>
      <w:r w:rsidR="005E23C8">
        <w:rPr>
          <w:rFonts w:eastAsia="Times New Roman" w:cs="Times New Roman"/>
          <w:color w:val="4A4A4A"/>
          <w:sz w:val="21"/>
          <w:szCs w:val="21"/>
          <w:lang w:eastAsia="en-GB"/>
        </w:rPr>
        <w:t xml:space="preserve"> for NPLs</w:t>
      </w:r>
      <w:r w:rsidR="00B43DAE" w:rsidRPr="00C1605C">
        <w:rPr>
          <w:rFonts w:eastAsia="Times New Roman" w:cs="Times New Roman"/>
          <w:color w:val="4A4A4A"/>
          <w:sz w:val="21"/>
          <w:szCs w:val="21"/>
          <w:lang w:eastAsia="en-GB"/>
        </w:rPr>
        <w:t>.</w:t>
      </w:r>
    </w:p>
    <w:p w14:paraId="6CD295A9" w14:textId="5EDD3423" w:rsidR="00B43DAE" w:rsidRPr="00C1605C" w:rsidRDefault="00B43DAE" w:rsidP="008D735E">
      <w:pPr>
        <w:shd w:val="clear" w:color="auto" w:fill="FFFFFF"/>
        <w:spacing w:after="0"/>
        <w:rPr>
          <w:rFonts w:eastAsia="Times New Roman" w:cs="Times New Roman"/>
          <w:color w:val="4A4A4A"/>
          <w:sz w:val="21"/>
          <w:szCs w:val="21"/>
          <w:lang w:eastAsia="en-GB"/>
        </w:rPr>
      </w:pPr>
    </w:p>
    <w:p w14:paraId="65C47126" w14:textId="67261EA5" w:rsidR="00B43DAE" w:rsidRPr="00C1605C" w:rsidRDefault="00D64BA9" w:rsidP="008D735E">
      <w:pPr>
        <w:shd w:val="clear" w:color="auto" w:fill="FFFFFF"/>
        <w:spacing w:after="0"/>
        <w:rPr>
          <w:rFonts w:eastAsia="Times New Roman" w:cs="Times New Roman"/>
          <w:color w:val="4A4A4A"/>
          <w:sz w:val="21"/>
          <w:szCs w:val="21"/>
          <w:lang w:eastAsia="en-GB"/>
        </w:rPr>
      </w:pPr>
      <w:r w:rsidRPr="0019694F">
        <w:rPr>
          <w:rFonts w:eastAsia="Times New Roman" w:cs="Times New Roman"/>
          <w:bCs/>
          <w:color w:val="4A4A4A"/>
          <w:sz w:val="21"/>
          <w:szCs w:val="21"/>
          <w:lang w:eastAsia="en-GB"/>
        </w:rPr>
        <w:lastRenderedPageBreak/>
        <w:t>(4)</w:t>
      </w:r>
      <w:r>
        <w:rPr>
          <w:rFonts w:eastAsia="Times New Roman" w:cs="Times New Roman"/>
          <w:b/>
          <w:color w:val="4A4A4A"/>
          <w:sz w:val="21"/>
          <w:szCs w:val="21"/>
          <w:lang w:eastAsia="en-GB"/>
        </w:rPr>
        <w:t xml:space="preserve"> </w:t>
      </w:r>
      <w:r w:rsidR="00B43DAE" w:rsidRPr="00C1605C">
        <w:rPr>
          <w:rFonts w:eastAsia="Times New Roman" w:cs="Times New Roman"/>
          <w:b/>
          <w:color w:val="4A4A4A"/>
          <w:sz w:val="21"/>
          <w:szCs w:val="21"/>
          <w:lang w:eastAsia="en-GB"/>
        </w:rPr>
        <w:t>Nonperforming loans to total gross loans</w:t>
      </w:r>
      <w:r w:rsidR="00B43DAE" w:rsidRPr="00C1605C">
        <w:rPr>
          <w:rFonts w:eastAsia="Times New Roman" w:cs="Times New Roman"/>
          <w:color w:val="4A4A4A"/>
          <w:sz w:val="21"/>
          <w:szCs w:val="21"/>
          <w:lang w:eastAsia="en-GB"/>
        </w:rPr>
        <w:t>: This FSI is often used as a proxy for asset quality and is intended to identify problems with asset quality in the loan portfolio.</w:t>
      </w:r>
    </w:p>
    <w:p w14:paraId="3C35A947" w14:textId="3C728A6A" w:rsidR="00B43DAE" w:rsidRPr="00C1605C" w:rsidRDefault="00B43DAE" w:rsidP="008D735E">
      <w:pPr>
        <w:shd w:val="clear" w:color="auto" w:fill="FFFFFF"/>
        <w:spacing w:after="0"/>
        <w:rPr>
          <w:rFonts w:eastAsia="Times New Roman" w:cs="Times New Roman"/>
          <w:color w:val="4A4A4A"/>
          <w:sz w:val="21"/>
          <w:szCs w:val="21"/>
          <w:lang w:eastAsia="en-GB"/>
        </w:rPr>
      </w:pPr>
    </w:p>
    <w:p w14:paraId="71ABE6E6" w14:textId="1134E29F" w:rsidR="00B43DAE" w:rsidRPr="00C1605C" w:rsidRDefault="00D64BA9" w:rsidP="008D735E">
      <w:pPr>
        <w:shd w:val="clear" w:color="auto" w:fill="FFFFFF"/>
        <w:spacing w:after="0"/>
        <w:rPr>
          <w:rFonts w:eastAsia="Times New Roman" w:cs="Times New Roman"/>
          <w:color w:val="4A4A4A"/>
          <w:sz w:val="21"/>
          <w:szCs w:val="21"/>
          <w:lang w:eastAsia="en-GB"/>
        </w:rPr>
      </w:pPr>
      <w:r w:rsidRPr="0019694F">
        <w:rPr>
          <w:rFonts w:eastAsia="Times New Roman" w:cs="Times New Roman"/>
          <w:bCs/>
          <w:color w:val="4A4A4A"/>
          <w:sz w:val="21"/>
          <w:szCs w:val="21"/>
          <w:lang w:eastAsia="en-GB"/>
        </w:rPr>
        <w:t>(5)</w:t>
      </w:r>
      <w:r>
        <w:rPr>
          <w:rFonts w:eastAsia="Times New Roman" w:cs="Times New Roman"/>
          <w:b/>
          <w:color w:val="4A4A4A"/>
          <w:sz w:val="21"/>
          <w:szCs w:val="21"/>
          <w:lang w:eastAsia="en-GB"/>
        </w:rPr>
        <w:t xml:space="preserve"> </w:t>
      </w:r>
      <w:r w:rsidR="00B43DAE" w:rsidRPr="0049461D">
        <w:rPr>
          <w:rFonts w:eastAsia="Times New Roman" w:cs="Times New Roman"/>
          <w:b/>
          <w:color w:val="4A4A4A"/>
          <w:sz w:val="21"/>
          <w:szCs w:val="21"/>
          <w:lang w:eastAsia="en-GB"/>
        </w:rPr>
        <w:t>Return on assets</w:t>
      </w:r>
      <w:r w:rsidR="00B43DAE" w:rsidRPr="00C1605C">
        <w:rPr>
          <w:rFonts w:eastAsia="Times New Roman" w:cs="Times New Roman"/>
          <w:color w:val="4A4A4A"/>
          <w:sz w:val="21"/>
          <w:szCs w:val="21"/>
          <w:lang w:eastAsia="en-GB"/>
        </w:rPr>
        <w:t xml:space="preserve">: </w:t>
      </w:r>
      <w:r w:rsidR="00B43DAE">
        <w:rPr>
          <w:rFonts w:eastAsia="Times New Roman" w:cs="Times New Roman"/>
          <w:color w:val="4A4A4A"/>
          <w:sz w:val="21"/>
          <w:szCs w:val="21"/>
          <w:lang w:eastAsia="en-GB"/>
        </w:rPr>
        <w:t>It</w:t>
      </w:r>
      <w:r w:rsidR="00B43DAE" w:rsidRPr="00C1605C">
        <w:rPr>
          <w:rFonts w:eastAsia="Times New Roman" w:cs="Times New Roman"/>
          <w:color w:val="4A4A4A"/>
          <w:sz w:val="21"/>
          <w:szCs w:val="21"/>
          <w:lang w:eastAsia="en-GB"/>
        </w:rPr>
        <w:t xml:space="preserve"> is an indicator of bank profitability and is intended to measure deposit takers’ efficiency in using their assets.</w:t>
      </w:r>
    </w:p>
    <w:p w14:paraId="6AC60B26" w14:textId="34E6A6A2" w:rsidR="00B43DAE" w:rsidRPr="00C1605C" w:rsidRDefault="00B43DAE" w:rsidP="008D735E">
      <w:pPr>
        <w:shd w:val="clear" w:color="auto" w:fill="FFFFFF"/>
        <w:spacing w:after="0"/>
        <w:rPr>
          <w:rFonts w:eastAsia="Times New Roman" w:cs="Times New Roman"/>
          <w:color w:val="4A4A4A"/>
          <w:sz w:val="21"/>
          <w:szCs w:val="21"/>
          <w:lang w:eastAsia="en-GB"/>
        </w:rPr>
      </w:pPr>
    </w:p>
    <w:p w14:paraId="4AA6ABE9" w14:textId="0F936986" w:rsidR="00B43DAE" w:rsidRPr="00C1605C" w:rsidRDefault="00D64BA9" w:rsidP="008D735E">
      <w:pPr>
        <w:shd w:val="clear" w:color="auto" w:fill="FFFFFF"/>
        <w:spacing w:after="0"/>
        <w:rPr>
          <w:rFonts w:eastAsia="Times New Roman" w:cs="Times New Roman"/>
          <w:color w:val="4A4A4A"/>
          <w:sz w:val="21"/>
          <w:szCs w:val="21"/>
          <w:lang w:eastAsia="en-GB"/>
        </w:rPr>
      </w:pPr>
      <w:r w:rsidRPr="0019694F">
        <w:rPr>
          <w:rFonts w:eastAsia="Times New Roman" w:cs="Times New Roman"/>
          <w:bCs/>
          <w:color w:val="4A4A4A"/>
          <w:sz w:val="21"/>
          <w:szCs w:val="21"/>
          <w:lang w:eastAsia="en-GB"/>
        </w:rPr>
        <w:t>(6)</w:t>
      </w:r>
      <w:r>
        <w:rPr>
          <w:rFonts w:eastAsia="Times New Roman" w:cs="Times New Roman"/>
          <w:b/>
          <w:color w:val="4A4A4A"/>
          <w:sz w:val="21"/>
          <w:szCs w:val="21"/>
          <w:lang w:eastAsia="en-GB"/>
        </w:rPr>
        <w:t xml:space="preserve"> </w:t>
      </w:r>
      <w:r w:rsidR="00B43DAE" w:rsidRPr="0049461D">
        <w:rPr>
          <w:rFonts w:eastAsia="Times New Roman" w:cs="Times New Roman"/>
          <w:b/>
          <w:color w:val="4A4A4A"/>
          <w:sz w:val="21"/>
          <w:szCs w:val="21"/>
          <w:lang w:eastAsia="en-GB"/>
        </w:rPr>
        <w:t>Liquid assets to short-term liabilities</w:t>
      </w:r>
      <w:r w:rsidR="00B43DAE" w:rsidRPr="00C1605C">
        <w:rPr>
          <w:rFonts w:eastAsia="Times New Roman" w:cs="Times New Roman"/>
          <w:color w:val="4A4A4A"/>
          <w:sz w:val="21"/>
          <w:szCs w:val="21"/>
          <w:lang w:eastAsia="en-GB"/>
        </w:rPr>
        <w:t xml:space="preserve">: </w:t>
      </w:r>
      <w:r w:rsidR="00B43DAE">
        <w:rPr>
          <w:rFonts w:eastAsia="Times New Roman" w:cs="Times New Roman"/>
          <w:color w:val="4A4A4A"/>
          <w:sz w:val="21"/>
          <w:szCs w:val="21"/>
          <w:lang w:eastAsia="en-GB"/>
        </w:rPr>
        <w:t xml:space="preserve">It </w:t>
      </w:r>
      <w:r w:rsidR="00B43DAE" w:rsidRPr="00C1605C">
        <w:rPr>
          <w:rFonts w:eastAsia="Times New Roman" w:cs="Times New Roman"/>
          <w:color w:val="4A4A4A"/>
          <w:sz w:val="21"/>
          <w:szCs w:val="21"/>
          <w:lang w:eastAsia="en-GB"/>
        </w:rPr>
        <w:t xml:space="preserve">is a </w:t>
      </w:r>
      <w:r w:rsidR="00524C0D">
        <w:rPr>
          <w:rFonts w:eastAsia="Times New Roman" w:cs="Times New Roman"/>
          <w:color w:val="4A4A4A"/>
          <w:sz w:val="21"/>
          <w:szCs w:val="21"/>
          <w:lang w:eastAsia="en-GB"/>
        </w:rPr>
        <w:t xml:space="preserve">liquidity </w:t>
      </w:r>
      <w:r w:rsidR="00B43DAE" w:rsidRPr="00C1605C">
        <w:rPr>
          <w:rFonts w:eastAsia="Times New Roman" w:cs="Times New Roman"/>
          <w:color w:val="4A4A4A"/>
          <w:sz w:val="21"/>
          <w:szCs w:val="21"/>
          <w:lang w:eastAsia="en-GB"/>
        </w:rPr>
        <w:t>ratio and is intended to capture the liquidity mismatch of assets and liabilities and provides an indication of the extent to which deposit takers can meet the short-term withdrawal of funds without facing liquidity problems.</w:t>
      </w:r>
    </w:p>
    <w:p w14:paraId="771DF444" w14:textId="2543F6E6" w:rsidR="00B43DAE" w:rsidRPr="00C1605C" w:rsidRDefault="00B43DAE" w:rsidP="008D735E">
      <w:pPr>
        <w:shd w:val="clear" w:color="auto" w:fill="FFFFFF"/>
        <w:spacing w:after="0"/>
        <w:rPr>
          <w:rFonts w:eastAsia="Times New Roman" w:cs="Times New Roman"/>
          <w:color w:val="4A4A4A"/>
          <w:sz w:val="21"/>
          <w:szCs w:val="21"/>
          <w:lang w:eastAsia="en-GB"/>
        </w:rPr>
      </w:pPr>
    </w:p>
    <w:p w14:paraId="5330C0C0" w14:textId="2BD10F4A" w:rsidR="00B43DAE" w:rsidRPr="00573631" w:rsidRDefault="00D64BA9" w:rsidP="00D64BA9">
      <w:pPr>
        <w:shd w:val="clear" w:color="auto" w:fill="FFFFFF"/>
        <w:spacing w:after="0"/>
        <w:rPr>
          <w:rFonts w:eastAsia="Times New Roman" w:cs="Times New Roman"/>
          <w:color w:val="4A4A4A"/>
          <w:sz w:val="21"/>
          <w:szCs w:val="21"/>
          <w:lang w:eastAsia="en-GB"/>
        </w:rPr>
      </w:pPr>
      <w:r w:rsidRPr="0019694F">
        <w:rPr>
          <w:rFonts w:eastAsia="Times New Roman" w:cs="Times New Roman"/>
          <w:bCs/>
          <w:color w:val="4A4A4A"/>
          <w:sz w:val="21"/>
          <w:szCs w:val="21"/>
          <w:lang w:eastAsia="en-GB"/>
        </w:rPr>
        <w:t>(7)</w:t>
      </w:r>
      <w:r>
        <w:rPr>
          <w:rFonts w:eastAsia="Times New Roman" w:cs="Times New Roman"/>
          <w:b/>
          <w:color w:val="4A4A4A"/>
          <w:sz w:val="21"/>
          <w:szCs w:val="21"/>
          <w:lang w:eastAsia="en-GB"/>
        </w:rPr>
        <w:t xml:space="preserve"> </w:t>
      </w:r>
      <w:r w:rsidR="00B43DAE" w:rsidRPr="0049461D">
        <w:rPr>
          <w:rFonts w:eastAsia="Times New Roman" w:cs="Times New Roman"/>
          <w:b/>
          <w:color w:val="4A4A4A"/>
          <w:sz w:val="21"/>
          <w:szCs w:val="21"/>
          <w:lang w:eastAsia="en-GB"/>
        </w:rPr>
        <w:t>Net open position in foreign exchange to capital</w:t>
      </w:r>
      <w:r w:rsidR="00B43DAE" w:rsidRPr="00C1605C">
        <w:rPr>
          <w:rFonts w:eastAsia="Times New Roman" w:cs="Times New Roman"/>
          <w:color w:val="4A4A4A"/>
          <w:sz w:val="21"/>
          <w:szCs w:val="21"/>
          <w:lang w:eastAsia="en-GB"/>
        </w:rPr>
        <w:t>: This FSI is an indicator of sensitivity to market risk, which is intended to gauge deposit takers’ exposure to exchange rate risk compared with capital. It measures the mismatch of foreign currency asset and liability positions to assess the vulnerability to exchange rate movements.</w:t>
      </w:r>
    </w:p>
    <w:p w14:paraId="18EA7892" w14:textId="77777777" w:rsidR="00576CFA" w:rsidRPr="00A96255" w:rsidRDefault="00576CFA" w:rsidP="00D64BA9">
      <w:pPr>
        <w:pStyle w:val="MText"/>
      </w:pPr>
    </w:p>
    <w:p w14:paraId="2529B069" w14:textId="12B06EF2" w:rsidR="00E1050F" w:rsidRPr="00A96255" w:rsidRDefault="00E1050F" w:rsidP="00254780">
      <w:pPr>
        <w:pStyle w:val="MHeader2"/>
      </w:pPr>
      <w:r w:rsidRPr="00A96255">
        <w:t xml:space="preserve">4.b. Comment and limitations </w:t>
      </w:r>
      <w:r>
        <w:rPr>
          <w:color w:val="B4B4B4"/>
          <w:sz w:val="20"/>
        </w:rPr>
        <w:t>(REC_USE_LIM)</w:t>
      </w:r>
    </w:p>
    <w:p w14:paraId="1BA844B2" w14:textId="37E16279" w:rsidR="00BA4A6B" w:rsidRPr="00D64BA9" w:rsidRDefault="00BA4A6B" w:rsidP="00A027A2">
      <w:pPr>
        <w:shd w:val="clear" w:color="auto" w:fill="FFFFFF"/>
        <w:spacing w:after="0"/>
        <w:rPr>
          <w:rFonts w:eastAsia="Times New Roman" w:cs="Times New Roman"/>
          <w:color w:val="4A4A4A"/>
          <w:sz w:val="21"/>
          <w:szCs w:val="21"/>
          <w:lang w:eastAsia="en-GB"/>
        </w:rPr>
      </w:pPr>
      <w:r w:rsidRPr="00D64BA9">
        <w:rPr>
          <w:rFonts w:eastAsia="Times New Roman" w:cs="Times New Roman"/>
          <w:color w:val="4A4A4A"/>
          <w:sz w:val="21"/>
          <w:szCs w:val="21"/>
          <w:lang w:eastAsia="en-GB"/>
        </w:rPr>
        <w:t xml:space="preserve">Data for most countries are reported on a monthly or quarterly basis; a few countries report </w:t>
      </w:r>
      <w:r w:rsidR="009A5983" w:rsidRPr="00D64BA9">
        <w:rPr>
          <w:rFonts w:eastAsia="Times New Roman" w:cs="Times New Roman"/>
          <w:color w:val="4A4A4A"/>
          <w:sz w:val="21"/>
          <w:szCs w:val="21"/>
          <w:lang w:eastAsia="en-GB"/>
        </w:rPr>
        <w:t xml:space="preserve">some FSI </w:t>
      </w:r>
      <w:r w:rsidRPr="00D64BA9">
        <w:rPr>
          <w:rFonts w:eastAsia="Times New Roman" w:cs="Times New Roman"/>
          <w:color w:val="4A4A4A"/>
          <w:sz w:val="21"/>
          <w:szCs w:val="21"/>
          <w:lang w:eastAsia="en-GB"/>
        </w:rPr>
        <w:t xml:space="preserve">data on a semi-annual </w:t>
      </w:r>
      <w:r w:rsidR="009A5983" w:rsidRPr="00D64BA9">
        <w:rPr>
          <w:rFonts w:eastAsia="Times New Roman" w:cs="Times New Roman"/>
          <w:color w:val="4A4A4A"/>
          <w:sz w:val="21"/>
          <w:szCs w:val="21"/>
          <w:lang w:eastAsia="en-GB"/>
        </w:rPr>
        <w:t xml:space="preserve">or annual </w:t>
      </w:r>
      <w:r w:rsidRPr="00D64BA9">
        <w:rPr>
          <w:rFonts w:eastAsia="Times New Roman" w:cs="Times New Roman"/>
          <w:color w:val="4A4A4A"/>
          <w:sz w:val="21"/>
          <w:szCs w:val="21"/>
          <w:lang w:eastAsia="en-GB"/>
        </w:rPr>
        <w:t>basis and with a lag of more than a quarter.</w:t>
      </w:r>
      <w:r w:rsidR="001C44E7" w:rsidRPr="00D64BA9">
        <w:rPr>
          <w:rFonts w:eastAsia="Times New Roman" w:cs="Times New Roman"/>
          <w:color w:val="4A4A4A"/>
          <w:sz w:val="21"/>
          <w:szCs w:val="21"/>
          <w:lang w:eastAsia="en-GB"/>
        </w:rPr>
        <w:t xml:space="preserve"> </w:t>
      </w:r>
      <w:r w:rsidRPr="00D64BA9">
        <w:rPr>
          <w:rFonts w:eastAsia="Times New Roman" w:cs="Times New Roman"/>
          <w:color w:val="4A4A4A"/>
          <w:sz w:val="21"/>
          <w:szCs w:val="21"/>
          <w:lang w:eastAsia="en-GB"/>
        </w:rPr>
        <w:t xml:space="preserve">As of </w:t>
      </w:r>
      <w:r w:rsidR="005F267F">
        <w:rPr>
          <w:rFonts w:eastAsia="Times New Roman" w:cs="Times New Roman"/>
          <w:color w:val="4A4A4A"/>
          <w:sz w:val="21"/>
          <w:szCs w:val="21"/>
          <w:lang w:eastAsia="en-GB"/>
        </w:rPr>
        <w:t>August</w:t>
      </w:r>
      <w:r w:rsidRPr="00D64BA9">
        <w:rPr>
          <w:rFonts w:eastAsia="Times New Roman" w:cs="Times New Roman"/>
          <w:color w:val="4A4A4A"/>
          <w:sz w:val="21"/>
          <w:szCs w:val="21"/>
          <w:lang w:eastAsia="en-GB"/>
        </w:rPr>
        <w:t xml:space="preserve"> 20</w:t>
      </w:r>
      <w:r w:rsidR="00BC5F32" w:rsidRPr="00D64BA9">
        <w:rPr>
          <w:rFonts w:eastAsia="Times New Roman" w:cs="Times New Roman"/>
          <w:color w:val="4A4A4A"/>
          <w:sz w:val="21"/>
          <w:szCs w:val="21"/>
          <w:lang w:eastAsia="en-GB"/>
        </w:rPr>
        <w:t>2</w:t>
      </w:r>
      <w:r w:rsidR="005F267F">
        <w:rPr>
          <w:rFonts w:eastAsia="Times New Roman" w:cs="Times New Roman"/>
          <w:color w:val="4A4A4A"/>
          <w:sz w:val="21"/>
          <w:szCs w:val="21"/>
          <w:lang w:eastAsia="en-GB"/>
        </w:rPr>
        <w:t>4</w:t>
      </w:r>
      <w:r w:rsidRPr="00D64BA9">
        <w:rPr>
          <w:rFonts w:eastAsia="Times New Roman" w:cs="Times New Roman"/>
          <w:color w:val="4A4A4A"/>
          <w:sz w:val="21"/>
          <w:szCs w:val="21"/>
          <w:lang w:eastAsia="en-GB"/>
        </w:rPr>
        <w:t xml:space="preserve">, there were </w:t>
      </w:r>
      <w:r w:rsidR="00D30E2B" w:rsidRPr="00D64BA9">
        <w:rPr>
          <w:rFonts w:eastAsia="Times New Roman" w:cs="Times New Roman"/>
          <w:color w:val="4A4A4A"/>
          <w:sz w:val="21"/>
          <w:szCs w:val="21"/>
          <w:lang w:eastAsia="en-GB"/>
        </w:rPr>
        <w:t>more than 1</w:t>
      </w:r>
      <w:r w:rsidR="005F267F">
        <w:rPr>
          <w:rFonts w:eastAsia="Times New Roman" w:cs="Times New Roman"/>
          <w:color w:val="4A4A4A"/>
          <w:sz w:val="21"/>
          <w:szCs w:val="21"/>
          <w:lang w:eastAsia="en-GB"/>
        </w:rPr>
        <w:t>5</w:t>
      </w:r>
      <w:r w:rsidR="00D30E2B" w:rsidRPr="00D64BA9">
        <w:rPr>
          <w:rFonts w:eastAsia="Times New Roman" w:cs="Times New Roman"/>
          <w:color w:val="4A4A4A"/>
          <w:sz w:val="21"/>
          <w:szCs w:val="21"/>
          <w:lang w:eastAsia="en-GB"/>
        </w:rPr>
        <w:t xml:space="preserve">0 </w:t>
      </w:r>
      <w:r w:rsidRPr="00D64BA9">
        <w:rPr>
          <w:rFonts w:eastAsia="Times New Roman" w:cs="Times New Roman"/>
          <w:color w:val="4A4A4A"/>
          <w:sz w:val="21"/>
          <w:szCs w:val="21"/>
          <w:lang w:eastAsia="en-GB"/>
        </w:rPr>
        <w:t xml:space="preserve">FSI reporters. Some countries’ compilation practices deviate from the </w:t>
      </w:r>
      <w:r w:rsidR="004949AB" w:rsidRPr="00D64BA9">
        <w:rPr>
          <w:rFonts w:eastAsia="Times New Roman" w:cs="Times New Roman"/>
          <w:i/>
          <w:iCs/>
          <w:color w:val="4A4A4A"/>
          <w:sz w:val="21"/>
          <w:szCs w:val="21"/>
          <w:lang w:eastAsia="en-GB"/>
        </w:rPr>
        <w:t xml:space="preserve">2019 </w:t>
      </w:r>
      <w:r w:rsidRPr="00D64BA9">
        <w:rPr>
          <w:rFonts w:eastAsia="Times New Roman" w:cs="Times New Roman"/>
          <w:i/>
          <w:iCs/>
          <w:color w:val="4A4A4A"/>
          <w:sz w:val="21"/>
          <w:szCs w:val="21"/>
          <w:lang w:eastAsia="en-GB"/>
        </w:rPr>
        <w:t>FSI</w:t>
      </w:r>
      <w:r w:rsidR="004949AB" w:rsidRPr="00D64BA9">
        <w:rPr>
          <w:rFonts w:eastAsia="Times New Roman" w:cs="Times New Roman"/>
          <w:i/>
          <w:iCs/>
          <w:color w:val="4A4A4A"/>
          <w:sz w:val="21"/>
          <w:szCs w:val="21"/>
          <w:lang w:eastAsia="en-GB"/>
        </w:rPr>
        <w:t>s</w:t>
      </w:r>
      <w:r w:rsidRPr="00D64BA9">
        <w:rPr>
          <w:rFonts w:eastAsia="Times New Roman" w:cs="Times New Roman"/>
          <w:i/>
          <w:iCs/>
          <w:color w:val="4A4A4A"/>
          <w:sz w:val="21"/>
          <w:szCs w:val="21"/>
          <w:lang w:eastAsia="en-GB"/>
        </w:rPr>
        <w:t xml:space="preserve"> Guide</w:t>
      </w:r>
      <w:r w:rsidRPr="00D64BA9">
        <w:rPr>
          <w:rFonts w:eastAsia="Times New Roman" w:cs="Times New Roman"/>
          <w:color w:val="4A4A4A"/>
          <w:sz w:val="21"/>
          <w:szCs w:val="21"/>
          <w:lang w:eastAsia="en-GB"/>
        </w:rPr>
        <w:t xml:space="preserve"> methodology in certain areas and are documented in the FSI</w:t>
      </w:r>
      <w:r w:rsidR="004949AB" w:rsidRPr="00D64BA9">
        <w:rPr>
          <w:rFonts w:eastAsia="Times New Roman" w:cs="Times New Roman"/>
          <w:color w:val="4A4A4A"/>
          <w:sz w:val="21"/>
          <w:szCs w:val="21"/>
          <w:lang w:eastAsia="en-GB"/>
        </w:rPr>
        <w:t>s</w:t>
      </w:r>
      <w:r w:rsidRPr="00D64BA9">
        <w:rPr>
          <w:rFonts w:eastAsia="Times New Roman" w:cs="Times New Roman"/>
          <w:color w:val="4A4A4A"/>
          <w:sz w:val="21"/>
          <w:szCs w:val="21"/>
          <w:lang w:eastAsia="en-GB"/>
        </w:rPr>
        <w:t xml:space="preserve"> metadata also posted on the IMF’s FSI</w:t>
      </w:r>
      <w:r w:rsidR="004949AB" w:rsidRPr="00D64BA9">
        <w:rPr>
          <w:rFonts w:eastAsia="Times New Roman" w:cs="Times New Roman"/>
          <w:color w:val="4A4A4A"/>
          <w:sz w:val="21"/>
          <w:szCs w:val="21"/>
          <w:lang w:eastAsia="en-GB"/>
        </w:rPr>
        <w:t>s</w:t>
      </w:r>
      <w:r w:rsidRPr="00D64BA9">
        <w:rPr>
          <w:rFonts w:eastAsia="Times New Roman" w:cs="Times New Roman"/>
          <w:color w:val="4A4A4A"/>
          <w:sz w:val="21"/>
          <w:szCs w:val="21"/>
          <w:lang w:eastAsia="en-GB"/>
        </w:rPr>
        <w:t xml:space="preserve"> website. Reporting countries provide all or most core FSIs and some encouraged FSIs that can be used to support the interpretation of these seven SDG indicators. FSI</w:t>
      </w:r>
      <w:r w:rsidR="004949AB" w:rsidRPr="00D64BA9">
        <w:rPr>
          <w:rFonts w:eastAsia="Times New Roman" w:cs="Times New Roman"/>
          <w:color w:val="4A4A4A"/>
          <w:sz w:val="21"/>
          <w:szCs w:val="21"/>
          <w:lang w:eastAsia="en-GB"/>
        </w:rPr>
        <w:t>s</w:t>
      </w:r>
      <w:r w:rsidRPr="00D64BA9">
        <w:rPr>
          <w:rFonts w:eastAsia="Times New Roman" w:cs="Times New Roman"/>
          <w:color w:val="4A4A4A"/>
          <w:sz w:val="21"/>
          <w:szCs w:val="21"/>
          <w:lang w:eastAsia="en-GB"/>
        </w:rPr>
        <w:t xml:space="preserve"> data and metadata reported by countries are available at </w:t>
      </w:r>
      <w:hyperlink r:id="rId12" w:history="1">
        <w:r w:rsidRPr="00254780">
          <w:rPr>
            <w:rFonts w:eastAsia="Times New Roman" w:cs="Times New Roman"/>
            <w:color w:val="4A4A4A"/>
            <w:sz w:val="21"/>
            <w:szCs w:val="21"/>
            <w:lang w:eastAsia="en-GB"/>
          </w:rPr>
          <w:t>http://data.imf.org/FSI</w:t>
        </w:r>
      </w:hyperlink>
      <w:r w:rsidRPr="00D64BA9">
        <w:rPr>
          <w:rFonts w:eastAsia="Times New Roman" w:cs="Times New Roman"/>
          <w:color w:val="4A4A4A"/>
          <w:sz w:val="21"/>
          <w:szCs w:val="21"/>
          <w:lang w:eastAsia="en-GB"/>
        </w:rPr>
        <w:t>.</w:t>
      </w:r>
    </w:p>
    <w:p w14:paraId="398C00AE" w14:textId="77777777" w:rsidR="00EC2915" w:rsidRPr="00A96255" w:rsidRDefault="00EC2915" w:rsidP="00A027A2">
      <w:pPr>
        <w:pStyle w:val="MText"/>
      </w:pPr>
    </w:p>
    <w:p w14:paraId="79EEEE38" w14:textId="2D1D1384" w:rsidR="00E1050F" w:rsidRPr="00A96255" w:rsidRDefault="00E1050F" w:rsidP="00254780">
      <w:pPr>
        <w:pStyle w:val="MHeader2"/>
      </w:pPr>
      <w:r w:rsidRPr="00A96255">
        <w:t xml:space="preserve">4.c. Method of computation </w:t>
      </w:r>
      <w:r>
        <w:rPr>
          <w:color w:val="B4B4B4"/>
          <w:sz w:val="20"/>
        </w:rPr>
        <w:t>(DATA_COMP)</w:t>
      </w:r>
    </w:p>
    <w:p w14:paraId="2F162BD9" w14:textId="758DDC64" w:rsidR="00A32520" w:rsidRPr="00254780" w:rsidRDefault="00A32520" w:rsidP="00A32520">
      <w:pPr>
        <w:shd w:val="clear" w:color="auto" w:fill="FFFFFF"/>
        <w:spacing w:after="0"/>
        <w:ind w:left="426" w:hanging="426"/>
        <w:rPr>
          <w:rFonts w:eastAsia="Times New Roman" w:cs="Times New Roman"/>
          <w:color w:val="4A4A4A"/>
          <w:sz w:val="21"/>
          <w:szCs w:val="21"/>
          <w:lang w:eastAsia="en-GB"/>
        </w:rPr>
      </w:pPr>
      <w:r w:rsidRPr="00254780">
        <w:rPr>
          <w:rFonts w:eastAsia="Times New Roman" w:cs="Times New Roman"/>
          <w:color w:val="4A4A4A"/>
          <w:sz w:val="21"/>
          <w:szCs w:val="21"/>
          <w:lang w:eastAsia="en-GB"/>
        </w:rPr>
        <w:t>(1) Regulatory Tier 1 capital to assets</w:t>
      </w:r>
    </w:p>
    <w:p w14:paraId="4FC242CD" w14:textId="7F406A18" w:rsidR="00576CFA" w:rsidRDefault="00576CFA" w:rsidP="00A027A2">
      <w:pPr>
        <w:pStyle w:val="MText"/>
        <w:rPr>
          <w:bCs/>
        </w:rPr>
      </w:pPr>
    </w:p>
    <w:p w14:paraId="25596AFA" w14:textId="785379CC" w:rsidR="007E569B" w:rsidRPr="00254780" w:rsidRDefault="00000000" w:rsidP="00A027A2">
      <w:pPr>
        <w:pStyle w:val="MText"/>
        <w:rPr>
          <w:rFonts w:ascii="Cambria Math" w:hAnsi="Cambria Math"/>
          <w:i/>
        </w:rPr>
      </w:pPr>
      <m:oMathPara>
        <m:oMathParaPr>
          <m:jc m:val="center"/>
        </m:oMathParaPr>
        <m:oMath>
          <m:eqArr>
            <m:eqArrPr>
              <m:ctrlPr>
                <w:rPr>
                  <w:rFonts w:ascii="Cambria Math" w:hAnsi="Cambria Math"/>
                </w:rPr>
              </m:ctrlPr>
            </m:eqArrPr>
            <m:e>
              <m:r>
                <m:rPr>
                  <m:sty m:val="p"/>
                </m:rPr>
                <w:rPr>
                  <w:rFonts w:ascii="Cambria Math" w:hAnsi="Cambria Math"/>
                </w:rPr>
                <m:t xml:space="preserve">Regulatory Tier 1 </m:t>
              </m:r>
            </m:e>
            <m:e>
              <m:r>
                <m:rPr>
                  <m:sty m:val="p"/>
                </m:rPr>
                <w:rPr>
                  <w:rFonts w:ascii="Cambria Math" w:hAnsi="Cambria Math"/>
                </w:rPr>
                <m:t>capital to assets</m:t>
              </m:r>
            </m:e>
          </m:eqArr>
          <m:r>
            <m:rPr>
              <m:sty m:val="p"/>
            </m:rPr>
            <w:rPr>
              <w:rFonts w:ascii="Cambria Math" w:hAnsi="Cambria Math"/>
            </w:rPr>
            <m:t>=</m:t>
          </m:r>
          <m:f>
            <m:fPr>
              <m:ctrlPr>
                <w:rPr>
                  <w:rFonts w:ascii="Cambria Math" w:hAnsi="Cambria Math"/>
                </w:rPr>
              </m:ctrlPr>
            </m:fPr>
            <m:num>
              <m:r>
                <m:rPr>
                  <m:sty m:val="p"/>
                </m:rPr>
                <w:rPr>
                  <w:rFonts w:ascii="Cambria Math" w:hAnsi="Cambria Math"/>
                </w:rPr>
                <m:t xml:space="preserve">Core capital </m:t>
              </m:r>
              <m:d>
                <m:dPr>
                  <m:ctrlPr>
                    <w:rPr>
                      <w:rFonts w:ascii="Cambria Math" w:hAnsi="Cambria Math"/>
                    </w:rPr>
                  </m:ctrlPr>
                </m:dPr>
                <m:e>
                  <m:r>
                    <m:rPr>
                      <m:sty m:val="p"/>
                    </m:rPr>
                    <w:rPr>
                      <w:rFonts w:ascii="Cambria Math" w:hAnsi="Cambria Math"/>
                    </w:rPr>
                    <m:t>Tier 1</m:t>
                  </m:r>
                </m:e>
              </m:d>
            </m:num>
            <m:den>
              <m:r>
                <m:rPr>
                  <m:sty m:val="p"/>
                </m:rPr>
                <w:rPr>
                  <w:rFonts w:ascii="Cambria Math" w:hAnsi="Cambria Math"/>
                </w:rPr>
                <m:t xml:space="preserve">Total balance sheet assets </m:t>
              </m:r>
              <m:d>
                <m:dPr>
                  <m:ctrlPr>
                    <w:rPr>
                      <w:rFonts w:ascii="Cambria Math" w:hAnsi="Cambria Math"/>
                    </w:rPr>
                  </m:ctrlPr>
                </m:dPr>
                <m:e>
                  <m:r>
                    <m:rPr>
                      <m:sty m:val="p"/>
                    </m:rPr>
                    <w:rPr>
                      <w:rFonts w:ascii="Cambria Math" w:hAnsi="Cambria Math"/>
                    </w:rPr>
                    <m:t>non-risk weighted</m:t>
                  </m:r>
                </m:e>
              </m:d>
            </m:den>
          </m:f>
          <m:r>
            <w:rPr>
              <w:rFonts w:ascii="Cambria Math" w:hAnsi="Cambria Math"/>
            </w:rPr>
            <m:t>∙100%</m:t>
          </m:r>
        </m:oMath>
      </m:oMathPara>
    </w:p>
    <w:p w14:paraId="35747CD3" w14:textId="30EF76AF" w:rsidR="007E569B" w:rsidRDefault="007E569B" w:rsidP="00A027A2">
      <w:pPr>
        <w:pStyle w:val="MText"/>
        <w:rPr>
          <w:bCs/>
        </w:rPr>
      </w:pPr>
    </w:p>
    <w:p w14:paraId="00D2D444" w14:textId="7C9A7AF2" w:rsidR="00A32520" w:rsidRPr="00C1605C" w:rsidRDefault="00A32520" w:rsidP="00A32520">
      <w:pPr>
        <w:shd w:val="clear" w:color="auto" w:fill="FFFFFF"/>
        <w:spacing w:after="0"/>
        <w:ind w:left="426" w:hanging="426"/>
        <w:rPr>
          <w:rFonts w:eastAsia="Times New Roman" w:cs="Times New Roman"/>
          <w:color w:val="4A4A4A"/>
          <w:sz w:val="21"/>
          <w:szCs w:val="21"/>
          <w:lang w:eastAsia="en-GB"/>
        </w:rPr>
      </w:pPr>
      <w:r w:rsidRPr="00254780">
        <w:rPr>
          <w:rFonts w:eastAsia="Times New Roman" w:cs="Times New Roman"/>
          <w:color w:val="4A4A4A"/>
          <w:sz w:val="21"/>
          <w:szCs w:val="21"/>
          <w:lang w:eastAsia="en-GB"/>
        </w:rPr>
        <w:t>(2)</w:t>
      </w:r>
      <w:r w:rsidRPr="00030C55">
        <w:rPr>
          <w:rFonts w:eastAsia="Times New Roman" w:cs="Times New Roman"/>
          <w:b/>
          <w:color w:val="4A4A4A"/>
          <w:sz w:val="21"/>
          <w:szCs w:val="21"/>
          <w:lang w:eastAsia="en-GB"/>
        </w:rPr>
        <w:t xml:space="preserve"> </w:t>
      </w:r>
      <w:r w:rsidRPr="00254780">
        <w:rPr>
          <w:rFonts w:eastAsia="Times New Roman" w:cs="Times New Roman"/>
          <w:color w:val="4A4A4A"/>
          <w:sz w:val="21"/>
          <w:szCs w:val="21"/>
          <w:lang w:eastAsia="en-GB"/>
        </w:rPr>
        <w:t>Regulatory Tier 1 capital to risk-weighted assets</w:t>
      </w:r>
    </w:p>
    <w:p w14:paraId="6DA8D3D0" w14:textId="62A862D8" w:rsidR="00A32520" w:rsidRPr="007E569B" w:rsidRDefault="00A32520" w:rsidP="00A32520">
      <w:pPr>
        <w:pStyle w:val="MText"/>
        <w:rPr>
          <w:bCs/>
        </w:rPr>
      </w:pPr>
    </w:p>
    <w:p w14:paraId="7B16E642" w14:textId="594EAA78" w:rsidR="007E569B" w:rsidRPr="00254780" w:rsidRDefault="00000000" w:rsidP="00A027A2">
      <w:pPr>
        <w:pStyle w:val="MText"/>
        <w:rPr>
          <w:rFonts w:ascii="Cambria Math" w:hAnsi="Cambria Math"/>
          <w:i/>
        </w:rPr>
      </w:pPr>
      <m:oMathPara>
        <m:oMathParaPr>
          <m:jc m:val="center"/>
        </m:oMathParaPr>
        <m:oMath>
          <m:eqArr>
            <m:eqArrPr>
              <m:ctrlPr>
                <w:rPr>
                  <w:rFonts w:ascii="Cambria Math" w:hAnsi="Cambria Math"/>
                </w:rPr>
              </m:ctrlPr>
            </m:eqArrPr>
            <m:e>
              <m:r>
                <m:rPr>
                  <m:sty m:val="p"/>
                </m:rPr>
                <w:rPr>
                  <w:rFonts w:ascii="Cambria Math" w:hAnsi="Cambria Math"/>
                </w:rPr>
                <m:t xml:space="preserve">Regulatory Tier 1 </m:t>
              </m:r>
            </m:e>
            <m:e>
              <m:r>
                <m:rPr>
                  <m:sty m:val="p"/>
                </m:rPr>
                <w:rPr>
                  <w:rFonts w:ascii="Cambria Math" w:hAnsi="Cambria Math"/>
                </w:rPr>
                <m:t>capital to risk weighted</m:t>
              </m:r>
              <m:r>
                <m:rPr>
                  <m:sty m:val="p"/>
                </m:rPr>
                <w:rPr>
                  <w:rFonts w:ascii="Cambria Math"/>
                </w:rPr>
                <m:t xml:space="preserve"> </m:t>
              </m:r>
              <m:r>
                <m:rPr>
                  <m:sty m:val="p"/>
                </m:rPr>
                <w:rPr>
                  <w:rFonts w:ascii="Cambria Math" w:hAnsi="Cambria Math"/>
                </w:rPr>
                <m:t>assets</m:t>
              </m:r>
            </m:e>
          </m:eqArr>
          <m:r>
            <m:rPr>
              <m:sty m:val="p"/>
            </m:rPr>
            <w:rPr>
              <w:rFonts w:ascii="Cambria Math" w:hAnsi="Cambria Math"/>
            </w:rPr>
            <m:t>=</m:t>
          </m:r>
          <m:f>
            <m:fPr>
              <m:ctrlPr>
                <w:rPr>
                  <w:rFonts w:ascii="Cambria Math" w:hAnsi="Cambria Math"/>
                </w:rPr>
              </m:ctrlPr>
            </m:fPr>
            <m:num>
              <m:r>
                <m:rPr>
                  <m:sty m:val="p"/>
                </m:rPr>
                <w:rPr>
                  <w:rFonts w:ascii="Cambria Math" w:hAnsi="Cambria Math"/>
                </w:rPr>
                <m:t xml:space="preserve">Core capital </m:t>
              </m:r>
              <m:d>
                <m:dPr>
                  <m:ctrlPr>
                    <w:rPr>
                      <w:rFonts w:ascii="Cambria Math" w:hAnsi="Cambria Math"/>
                    </w:rPr>
                  </m:ctrlPr>
                </m:dPr>
                <m:e>
                  <m:r>
                    <m:rPr>
                      <m:sty m:val="p"/>
                    </m:rPr>
                    <w:rPr>
                      <w:rFonts w:ascii="Cambria Math" w:hAnsi="Cambria Math"/>
                    </w:rPr>
                    <m:t>Tier 1</m:t>
                  </m:r>
                </m:e>
              </m:d>
            </m:num>
            <m:den>
              <m:r>
                <m:rPr>
                  <m:sty m:val="p"/>
                </m:rPr>
                <w:rPr>
                  <w:rFonts w:ascii="Cambria Math" w:hAnsi="Cambria Math"/>
                </w:rPr>
                <m:t>Risk weighted assets</m:t>
              </m:r>
            </m:den>
          </m:f>
          <m:r>
            <w:rPr>
              <w:rFonts w:ascii="Cambria Math" w:hAnsi="Cambria Math"/>
            </w:rPr>
            <m:t>∙100%</m:t>
          </m:r>
        </m:oMath>
      </m:oMathPara>
    </w:p>
    <w:p w14:paraId="6C443C0B" w14:textId="70E4E842" w:rsidR="007E569B" w:rsidRDefault="007E569B" w:rsidP="008D735E">
      <w:pPr>
        <w:pStyle w:val="MText"/>
        <w:rPr>
          <w:bCs/>
        </w:rPr>
      </w:pPr>
    </w:p>
    <w:p w14:paraId="134A31F2" w14:textId="2B43FD89" w:rsidR="00A32520" w:rsidRPr="00C1605C" w:rsidRDefault="00A32520" w:rsidP="00A32520">
      <w:pPr>
        <w:shd w:val="clear" w:color="auto" w:fill="FFFFFF"/>
        <w:spacing w:after="0"/>
        <w:ind w:left="426" w:hanging="426"/>
        <w:rPr>
          <w:rFonts w:eastAsia="Times New Roman" w:cs="Times New Roman"/>
          <w:color w:val="4A4A4A"/>
          <w:sz w:val="21"/>
          <w:szCs w:val="21"/>
          <w:lang w:eastAsia="en-GB"/>
        </w:rPr>
      </w:pPr>
      <w:r w:rsidRPr="00254780">
        <w:rPr>
          <w:rFonts w:eastAsia="Times New Roman" w:cs="Times New Roman"/>
          <w:color w:val="4A4A4A"/>
          <w:sz w:val="21"/>
          <w:szCs w:val="21"/>
          <w:lang w:eastAsia="en-GB"/>
        </w:rPr>
        <w:t>(3)</w:t>
      </w:r>
      <w:r w:rsidRPr="00030C55">
        <w:rPr>
          <w:rFonts w:eastAsia="Times New Roman" w:cs="Times New Roman"/>
          <w:b/>
          <w:color w:val="4A4A4A"/>
          <w:sz w:val="21"/>
          <w:szCs w:val="21"/>
          <w:lang w:eastAsia="en-GB"/>
        </w:rPr>
        <w:t xml:space="preserve"> </w:t>
      </w:r>
      <w:r w:rsidRPr="00254780">
        <w:rPr>
          <w:rFonts w:eastAsia="Times New Roman" w:cs="Times New Roman"/>
          <w:color w:val="4A4A4A"/>
          <w:sz w:val="21"/>
          <w:szCs w:val="21"/>
          <w:lang w:eastAsia="en-GB"/>
        </w:rPr>
        <w:t>Nonperforming loans net of provisions to capital</w:t>
      </w:r>
    </w:p>
    <w:p w14:paraId="18AF2C7B" w14:textId="17FD422B" w:rsidR="00A32520" w:rsidRPr="007E569B" w:rsidRDefault="00A32520" w:rsidP="00A32520">
      <w:pPr>
        <w:pStyle w:val="MText"/>
        <w:rPr>
          <w:bCs/>
        </w:rPr>
      </w:pPr>
    </w:p>
    <w:p w14:paraId="76B4E93C" w14:textId="33503A73" w:rsidR="007E569B" w:rsidRPr="00D64BA9" w:rsidRDefault="007E569B" w:rsidP="008D735E">
      <w:pPr>
        <w:pStyle w:val="MText"/>
        <w:rPr>
          <w:bCs/>
        </w:rPr>
      </w:pPr>
      <m:oMathPara>
        <m:oMathParaPr>
          <m:jc m:val="center"/>
        </m:oMathParaPr>
        <m:oMath>
          <m:r>
            <m:rPr>
              <m:sty m:val="p"/>
            </m:rPr>
            <w:rPr>
              <w:rFonts w:ascii="Cambria Math" w:hAnsi="Cambria Math"/>
            </w:rPr>
            <m:t>NPL net of provisions to capital=</m:t>
          </m:r>
          <m:f>
            <m:fPr>
              <m:ctrlPr>
                <w:rPr>
                  <w:rFonts w:ascii="Cambria Math" w:hAnsi="Cambria Math"/>
                </w:rPr>
              </m:ctrlPr>
            </m:fPr>
            <m:num>
              <m:r>
                <m:rPr>
                  <m:sty m:val="p"/>
                </m:rPr>
                <w:rPr>
                  <w:rFonts w:ascii="Cambria Math" w:hAnsi="Cambria Math"/>
                </w:rPr>
                <m:t>Value of NPLs- Value of specific provisions for NPLs</m:t>
              </m:r>
            </m:num>
            <m:den>
              <m:r>
                <m:rPr>
                  <m:sty m:val="p"/>
                </m:rPr>
                <w:rPr>
                  <w:rFonts w:ascii="Cambria Math" w:hAnsi="Cambria Math"/>
                </w:rPr>
                <m:t>Total regulatory capital</m:t>
              </m:r>
            </m:den>
          </m:f>
          <m:r>
            <w:rPr>
              <w:rFonts w:ascii="Cambria Math" w:hAnsi="Cambria Math"/>
            </w:rPr>
            <m:t>∙100%</m:t>
          </m:r>
        </m:oMath>
      </m:oMathPara>
    </w:p>
    <w:p w14:paraId="6866301A" w14:textId="69E033C6" w:rsidR="007E569B" w:rsidRDefault="007E569B" w:rsidP="008D735E">
      <w:pPr>
        <w:pStyle w:val="MText"/>
        <w:rPr>
          <w:bCs/>
        </w:rPr>
      </w:pPr>
    </w:p>
    <w:p w14:paraId="02539654" w14:textId="17684B21" w:rsidR="00A32520" w:rsidRPr="00254780" w:rsidRDefault="00A32520" w:rsidP="00A32520">
      <w:pPr>
        <w:shd w:val="clear" w:color="auto" w:fill="FFFFFF"/>
        <w:spacing w:after="0"/>
        <w:ind w:left="426" w:hanging="426"/>
        <w:rPr>
          <w:rFonts w:eastAsia="Times New Roman" w:cs="Times New Roman"/>
          <w:color w:val="4A4A4A"/>
          <w:sz w:val="21"/>
          <w:szCs w:val="21"/>
          <w:lang w:eastAsia="en-GB"/>
        </w:rPr>
      </w:pPr>
      <w:r w:rsidRPr="00254780">
        <w:rPr>
          <w:rFonts w:eastAsia="Times New Roman" w:cs="Times New Roman"/>
          <w:color w:val="4A4A4A"/>
          <w:sz w:val="21"/>
          <w:szCs w:val="21"/>
          <w:lang w:eastAsia="en-GB"/>
        </w:rPr>
        <w:t>(4)</w:t>
      </w:r>
      <w:r w:rsidRPr="00030C55">
        <w:rPr>
          <w:rFonts w:eastAsia="Times New Roman" w:cs="Times New Roman"/>
          <w:b/>
          <w:color w:val="4A4A4A"/>
          <w:sz w:val="21"/>
          <w:szCs w:val="21"/>
          <w:lang w:eastAsia="en-GB"/>
        </w:rPr>
        <w:t xml:space="preserve"> </w:t>
      </w:r>
      <w:r w:rsidRPr="00254780">
        <w:rPr>
          <w:rFonts w:eastAsia="Times New Roman" w:cs="Times New Roman"/>
          <w:color w:val="4A4A4A"/>
          <w:sz w:val="21"/>
          <w:szCs w:val="21"/>
          <w:lang w:eastAsia="en-GB"/>
        </w:rPr>
        <w:t>Nonperforming loans to total gross loans</w:t>
      </w:r>
    </w:p>
    <w:p w14:paraId="592F300F" w14:textId="3D69A662" w:rsidR="00A32520" w:rsidRDefault="00A32520" w:rsidP="00A32520">
      <w:pPr>
        <w:pStyle w:val="MText"/>
        <w:rPr>
          <w:bCs/>
        </w:rPr>
      </w:pPr>
    </w:p>
    <w:p w14:paraId="508BEBA5" w14:textId="39DB6642" w:rsidR="007E569B" w:rsidRPr="00254780" w:rsidRDefault="007E569B" w:rsidP="008D735E">
      <w:pPr>
        <w:pStyle w:val="MText"/>
        <w:rPr>
          <w:rFonts w:ascii="Cambria Math" w:hAnsi="Cambria Math"/>
          <w:i/>
        </w:rPr>
      </w:pPr>
      <m:oMathPara>
        <m:oMathParaPr>
          <m:jc m:val="center"/>
        </m:oMathParaPr>
        <m:oMath>
          <m:r>
            <m:rPr>
              <m:sty m:val="p"/>
            </m:rPr>
            <w:rPr>
              <w:rFonts w:ascii="Cambria Math" w:hAnsi="Cambria Math"/>
            </w:rPr>
            <m:t>NPLs to total gross loans=</m:t>
          </m:r>
          <m:f>
            <m:fPr>
              <m:ctrlPr>
                <w:rPr>
                  <w:rFonts w:ascii="Cambria Math" w:hAnsi="Cambria Math"/>
                </w:rPr>
              </m:ctrlPr>
            </m:fPr>
            <m:num>
              <m:r>
                <m:rPr>
                  <m:sty m:val="p"/>
                </m:rPr>
                <w:rPr>
                  <w:rFonts w:ascii="Cambria Math" w:hAnsi="Cambria Math"/>
                </w:rPr>
                <m:t>Value of NPLs</m:t>
              </m:r>
            </m:num>
            <m:den>
              <m:r>
                <m:rPr>
                  <m:sty m:val="p"/>
                </m:rPr>
                <w:rPr>
                  <w:rFonts w:ascii="Cambria Math" w:hAnsi="Cambria Math"/>
                </w:rPr>
                <m:t xml:space="preserve">Total value of the loan portfolio </m:t>
              </m:r>
            </m:den>
          </m:f>
          <m:r>
            <w:rPr>
              <w:rFonts w:ascii="Cambria Math" w:hAnsi="Cambria Math"/>
            </w:rPr>
            <m:t>∙100%</m:t>
          </m:r>
        </m:oMath>
      </m:oMathPara>
    </w:p>
    <w:p w14:paraId="30EEB7BC" w14:textId="1920D9CE" w:rsidR="007E569B" w:rsidRDefault="007E569B" w:rsidP="00D64BA9">
      <w:pPr>
        <w:pStyle w:val="MText"/>
        <w:rPr>
          <w:bCs/>
        </w:rPr>
      </w:pPr>
    </w:p>
    <w:p w14:paraId="53A69916" w14:textId="31A26794" w:rsidR="00A32520" w:rsidRPr="00C1605C" w:rsidRDefault="00A32520" w:rsidP="00A32520">
      <w:pPr>
        <w:shd w:val="clear" w:color="auto" w:fill="FFFFFF"/>
        <w:spacing w:after="0"/>
        <w:ind w:left="426" w:hanging="426"/>
        <w:rPr>
          <w:rFonts w:eastAsia="Times New Roman" w:cs="Times New Roman"/>
          <w:color w:val="4A4A4A"/>
          <w:sz w:val="21"/>
          <w:szCs w:val="21"/>
          <w:lang w:eastAsia="en-GB"/>
        </w:rPr>
      </w:pPr>
      <w:r w:rsidRPr="00254780">
        <w:rPr>
          <w:rFonts w:eastAsia="Times New Roman" w:cs="Times New Roman"/>
          <w:color w:val="4A4A4A"/>
          <w:sz w:val="21"/>
          <w:szCs w:val="21"/>
          <w:lang w:eastAsia="en-GB"/>
        </w:rPr>
        <w:t>(5)</w:t>
      </w:r>
      <w:r w:rsidRPr="00030C55">
        <w:rPr>
          <w:rFonts w:eastAsia="Times New Roman" w:cs="Times New Roman"/>
          <w:b/>
          <w:color w:val="4A4A4A"/>
          <w:sz w:val="21"/>
          <w:szCs w:val="21"/>
          <w:lang w:eastAsia="en-GB"/>
        </w:rPr>
        <w:t xml:space="preserve"> </w:t>
      </w:r>
      <w:r w:rsidRPr="00254780">
        <w:rPr>
          <w:rFonts w:eastAsia="Times New Roman" w:cs="Times New Roman"/>
          <w:color w:val="4A4A4A"/>
          <w:sz w:val="21"/>
          <w:szCs w:val="21"/>
          <w:lang w:eastAsia="en-GB"/>
        </w:rPr>
        <w:t>Return on assets</w:t>
      </w:r>
    </w:p>
    <w:p w14:paraId="1C5067B0" w14:textId="2206067B" w:rsidR="00A32520" w:rsidRPr="007E569B" w:rsidRDefault="00A32520" w:rsidP="00A32520">
      <w:pPr>
        <w:pStyle w:val="MText"/>
        <w:rPr>
          <w:bCs/>
        </w:rPr>
      </w:pPr>
    </w:p>
    <w:p w14:paraId="6DA135EF" w14:textId="531532E8" w:rsidR="007E569B" w:rsidRPr="00254780" w:rsidRDefault="007E569B" w:rsidP="00D64BA9">
      <w:pPr>
        <w:pStyle w:val="MText"/>
        <w:rPr>
          <w:rFonts w:ascii="Cambria Math" w:hAnsi="Cambria Math"/>
          <w:i/>
        </w:rPr>
      </w:pPr>
      <m:oMathPara>
        <m:oMathParaPr>
          <m:jc m:val="center"/>
        </m:oMathParaPr>
        <m:oMath>
          <m:r>
            <m:rPr>
              <m:sty m:val="p"/>
            </m:rPr>
            <w:rPr>
              <w:rFonts w:ascii="Cambria Math" w:hAnsi="Cambria Math"/>
            </w:rPr>
            <m:t>Return on assets=</m:t>
          </m:r>
          <m:f>
            <m:fPr>
              <m:ctrlPr>
                <w:rPr>
                  <w:rFonts w:ascii="Cambria Math" w:hAnsi="Cambria Math"/>
                </w:rPr>
              </m:ctrlPr>
            </m:fPr>
            <m:num>
              <m:r>
                <m:rPr>
                  <m:sty m:val="p"/>
                </m:rPr>
                <w:rPr>
                  <w:rFonts w:ascii="Cambria Math" w:hAnsi="Cambria Math"/>
                </w:rPr>
                <m:t>Annualized net income before taxes</m:t>
              </m:r>
            </m:num>
            <m:den>
              <m:r>
                <m:rPr>
                  <m:sty m:val="p"/>
                </m:rPr>
                <w:rPr>
                  <w:rFonts w:ascii="Cambria Math" w:hAnsi="Cambria Math"/>
                </w:rPr>
                <m:t>Average value of total assets</m:t>
              </m:r>
            </m:den>
          </m:f>
          <m:r>
            <w:rPr>
              <w:rFonts w:ascii="Cambria Math" w:hAnsi="Cambria Math"/>
            </w:rPr>
            <m:t>∙100%</m:t>
          </m:r>
        </m:oMath>
      </m:oMathPara>
    </w:p>
    <w:p w14:paraId="34817707" w14:textId="77777777" w:rsidR="00A32520" w:rsidRPr="00254780" w:rsidRDefault="00A32520" w:rsidP="00254780">
      <w:pPr>
        <w:shd w:val="clear" w:color="auto" w:fill="FFFFFF"/>
        <w:spacing w:after="0"/>
        <w:ind w:left="426" w:hanging="426"/>
        <w:rPr>
          <w:rFonts w:eastAsia="Times New Roman" w:cs="Times New Roman"/>
          <w:b/>
          <w:color w:val="4A4A4A"/>
          <w:sz w:val="21"/>
          <w:szCs w:val="21"/>
          <w:lang w:eastAsia="en-GB"/>
        </w:rPr>
      </w:pPr>
    </w:p>
    <w:p w14:paraId="5C336271" w14:textId="7F11C3E3" w:rsidR="00A32520" w:rsidRPr="00C1605C" w:rsidRDefault="00A32520" w:rsidP="00A32520">
      <w:pPr>
        <w:shd w:val="clear" w:color="auto" w:fill="FFFFFF"/>
        <w:spacing w:after="0"/>
        <w:ind w:left="426" w:hanging="426"/>
        <w:rPr>
          <w:rFonts w:eastAsia="Times New Roman" w:cs="Times New Roman"/>
          <w:color w:val="4A4A4A"/>
          <w:sz w:val="21"/>
          <w:szCs w:val="21"/>
          <w:lang w:eastAsia="en-GB"/>
        </w:rPr>
      </w:pPr>
      <w:r w:rsidRPr="00254780">
        <w:rPr>
          <w:rFonts w:eastAsia="Times New Roman" w:cs="Times New Roman"/>
          <w:color w:val="4A4A4A"/>
          <w:sz w:val="21"/>
          <w:szCs w:val="21"/>
          <w:lang w:eastAsia="en-GB"/>
        </w:rPr>
        <w:t>(6)</w:t>
      </w:r>
      <w:r w:rsidRPr="00030C55">
        <w:rPr>
          <w:rFonts w:eastAsia="Times New Roman" w:cs="Times New Roman"/>
          <w:b/>
          <w:color w:val="4A4A4A"/>
          <w:sz w:val="21"/>
          <w:szCs w:val="21"/>
          <w:lang w:eastAsia="en-GB"/>
        </w:rPr>
        <w:t xml:space="preserve"> </w:t>
      </w:r>
      <w:r w:rsidRPr="00254780">
        <w:rPr>
          <w:rFonts w:eastAsia="Times New Roman" w:cs="Times New Roman"/>
          <w:color w:val="4A4A4A"/>
          <w:sz w:val="21"/>
          <w:szCs w:val="21"/>
          <w:lang w:eastAsia="en-GB"/>
        </w:rPr>
        <w:t>Liquid assets to short-term liabilities</w:t>
      </w:r>
    </w:p>
    <w:p w14:paraId="6F4EC426" w14:textId="43BECCE1" w:rsidR="007E569B" w:rsidRPr="007E569B" w:rsidRDefault="007E569B" w:rsidP="00A32520">
      <w:pPr>
        <w:pStyle w:val="MText"/>
        <w:rPr>
          <w:bCs/>
        </w:rPr>
      </w:pPr>
    </w:p>
    <w:p w14:paraId="6B16032C" w14:textId="7D4CC8B2" w:rsidR="007E569B" w:rsidRPr="00D64BA9" w:rsidRDefault="00000000">
      <w:pPr>
        <w:pStyle w:val="MText"/>
      </w:pPr>
      <m:oMathPara>
        <m:oMathParaPr>
          <m:jc m:val="center"/>
        </m:oMathParaPr>
        <m:oMath>
          <m:eqArr>
            <m:eqArrPr>
              <m:ctrlPr>
                <w:rPr>
                  <w:rFonts w:ascii="Cambria Math" w:hAnsi="Cambria Math"/>
                </w:rPr>
              </m:ctrlPr>
            </m:eqArrPr>
            <m:e>
              <m:r>
                <m:rPr>
                  <m:sty m:val="p"/>
                </m:rPr>
                <w:rPr>
                  <w:rFonts w:ascii="Cambria Math" w:hAnsi="Cambria Math"/>
                </w:rPr>
                <m:t xml:space="preserve">Liquid assets to </m:t>
              </m:r>
            </m:e>
            <m:e>
              <m:r>
                <m:rPr>
                  <m:sty m:val="p"/>
                </m:rPr>
                <w:rPr>
                  <w:rFonts w:ascii="Cambria Math" w:hAnsi="Cambria Math"/>
                </w:rPr>
                <m:t>short term liabilities</m:t>
              </m:r>
            </m:e>
          </m:eqArr>
          <m:r>
            <m:rPr>
              <m:sty m:val="p"/>
            </m:rPr>
            <w:rPr>
              <w:rFonts w:ascii="Cambria Math" w:hAnsi="Cambria Math"/>
            </w:rPr>
            <m:t>=</m:t>
          </m:r>
          <m:f>
            <m:fPr>
              <m:ctrlPr>
                <w:rPr>
                  <w:rFonts w:ascii="Cambria Math" w:hAnsi="Cambria Math"/>
                </w:rPr>
              </m:ctrlPr>
            </m:fPr>
            <m:num>
              <m:r>
                <m:rPr>
                  <m:sty m:val="p"/>
                </m:rPr>
                <w:rPr>
                  <w:rFonts w:ascii="Cambria Math" w:hAnsi="Cambria Math"/>
                </w:rPr>
                <m:t>Liquid assets</m:t>
              </m:r>
            </m:num>
            <m:den>
              <m:r>
                <m:rPr>
                  <m:sty m:val="p"/>
                </m:rPr>
                <w:rPr>
                  <w:rFonts w:ascii="Cambria Math" w:hAnsi="Cambria Math"/>
                </w:rPr>
                <m:t>Short term liabilities</m:t>
              </m:r>
            </m:den>
          </m:f>
          <m:r>
            <w:rPr>
              <w:rFonts w:ascii="Cambria Math" w:hAnsi="Cambria Math"/>
            </w:rPr>
            <m:t>∙100%</m:t>
          </m:r>
        </m:oMath>
      </m:oMathPara>
    </w:p>
    <w:p w14:paraId="5471443B" w14:textId="77777777" w:rsidR="00A32520" w:rsidRDefault="00A32520">
      <w:pPr>
        <w:pStyle w:val="MText"/>
      </w:pPr>
    </w:p>
    <w:p w14:paraId="05BC4523" w14:textId="11148926" w:rsidR="007E569B" w:rsidRDefault="00A32520" w:rsidP="00254780">
      <w:pPr>
        <w:pStyle w:val="MText"/>
      </w:pPr>
      <w:r w:rsidRPr="00254780">
        <w:t>(7)</w:t>
      </w:r>
      <w:r w:rsidRPr="00030C55">
        <w:rPr>
          <w:b/>
        </w:rPr>
        <w:t xml:space="preserve"> </w:t>
      </w:r>
      <w:r w:rsidRPr="00254780">
        <w:t>Net open position in foreign exchange to capital</w:t>
      </w:r>
    </w:p>
    <w:p w14:paraId="522A628F" w14:textId="77777777" w:rsidR="00A32520" w:rsidRDefault="00A32520">
      <w:pPr>
        <w:pStyle w:val="MText"/>
        <w:rPr>
          <w:bCs/>
        </w:rPr>
      </w:pPr>
    </w:p>
    <w:p w14:paraId="694A8CBD" w14:textId="65330B09" w:rsidR="007E569B" w:rsidRPr="00D64BA9" w:rsidRDefault="00000000">
      <w:pPr>
        <w:pStyle w:val="MText"/>
      </w:pPr>
      <m:oMathPara>
        <m:oMathParaPr>
          <m:jc m:val="center"/>
        </m:oMathParaPr>
        <m:oMath>
          <m:eqArr>
            <m:eqArrPr>
              <m:ctrlPr>
                <w:rPr>
                  <w:rFonts w:ascii="Cambria Math" w:hAnsi="Cambria Math"/>
                </w:rPr>
              </m:ctrlPr>
            </m:eqArrPr>
            <m:e>
              <m:r>
                <m:rPr>
                  <m:sty m:val="p"/>
                </m:rPr>
                <w:rPr>
                  <w:rFonts w:ascii="Cambria Math" w:hAnsi="Cambria Math"/>
                </w:rPr>
                <m:t xml:space="preserve">Net open position in foreign  </m:t>
              </m:r>
            </m:e>
            <m:e>
              <m:r>
                <m:rPr>
                  <m:sty m:val="p"/>
                </m:rPr>
                <w:rPr>
                  <w:rFonts w:ascii="Cambria Math" w:hAnsi="Cambria Math"/>
                </w:rPr>
                <m:t>exchange to capital</m:t>
              </m:r>
            </m:e>
          </m:eqArr>
          <m:r>
            <m:rPr>
              <m:sty m:val="p"/>
            </m:rPr>
            <w:rPr>
              <w:rFonts w:ascii="Cambria Math" w:hAnsi="Cambria Math"/>
            </w:rPr>
            <m:t>=</m:t>
          </m:r>
          <m:f>
            <m:fPr>
              <m:ctrlPr>
                <w:rPr>
                  <w:rFonts w:ascii="Cambria Math" w:hAnsi="Cambria Math"/>
                </w:rPr>
              </m:ctrlPr>
            </m:fPr>
            <m:num>
              <m:r>
                <m:rPr>
                  <m:sty m:val="p"/>
                </m:rPr>
                <w:rPr>
                  <w:rFonts w:ascii="Cambria Math" w:hAnsi="Cambria Math"/>
                </w:rPr>
                <m:t>Net open position in foreign exchange</m:t>
              </m:r>
            </m:num>
            <m:den>
              <m:r>
                <m:rPr>
                  <m:sty m:val="p"/>
                </m:rPr>
                <w:rPr>
                  <w:rFonts w:ascii="Cambria Math" w:hAnsi="Cambria Math"/>
                </w:rPr>
                <m:t>Total regulatory capital</m:t>
              </m:r>
            </m:den>
          </m:f>
          <m:r>
            <w:rPr>
              <w:rFonts w:ascii="Cambria Math" w:hAnsi="Cambria Math"/>
            </w:rPr>
            <m:t>∙100%</m:t>
          </m:r>
        </m:oMath>
      </m:oMathPara>
    </w:p>
    <w:p w14:paraId="6A89839E" w14:textId="77777777" w:rsidR="00576CFA" w:rsidRPr="00A96255" w:rsidRDefault="00576CFA">
      <w:pPr>
        <w:pStyle w:val="MText"/>
      </w:pPr>
    </w:p>
    <w:p w14:paraId="514CE3C0" w14:textId="6D1F1411" w:rsidR="00E1050F" w:rsidRPr="00A96255" w:rsidRDefault="00576CFA" w:rsidP="00254780">
      <w:pPr>
        <w:pStyle w:val="MHeader2"/>
      </w:pPr>
      <w:r w:rsidRPr="00A96255">
        <w:t xml:space="preserve">4.d. Validation </w:t>
      </w:r>
      <w:r>
        <w:rPr>
          <w:color w:val="B4B4B4"/>
          <w:sz w:val="20"/>
        </w:rPr>
        <w:t>(DATA_VALIDATION)</w:t>
      </w:r>
    </w:p>
    <w:p w14:paraId="0025F830" w14:textId="659C1B38" w:rsidR="00F719A8" w:rsidRDefault="001C44E7" w:rsidP="00A027A2">
      <w:pPr>
        <w:pStyle w:val="MText"/>
      </w:pPr>
      <w:r>
        <w:t>Country authorities validate data that they collect</w:t>
      </w:r>
      <w:r w:rsidR="00695AB6">
        <w:t xml:space="preserve"> from the supervised deposit-taking (or banking) institutions.</w:t>
      </w:r>
      <w:r>
        <w:t xml:space="preserve"> </w:t>
      </w:r>
      <w:r w:rsidR="00695AB6">
        <w:t xml:space="preserve">The authorities use these </w:t>
      </w:r>
      <w:r>
        <w:t>data to compile FSIs</w:t>
      </w:r>
      <w:r w:rsidR="00695AB6">
        <w:t>, following the methodology in the IMF 2019 FSI Guide</w:t>
      </w:r>
      <w:r>
        <w:t>.</w:t>
      </w:r>
    </w:p>
    <w:p w14:paraId="46ABCADF" w14:textId="77777777" w:rsidR="0015203C" w:rsidRPr="00A96255" w:rsidRDefault="0015203C" w:rsidP="00A027A2">
      <w:pPr>
        <w:pStyle w:val="MText"/>
      </w:pPr>
    </w:p>
    <w:p w14:paraId="2CF2A343" w14:textId="462A73A6" w:rsidR="00E1050F" w:rsidRPr="00A96255" w:rsidRDefault="00E1050F" w:rsidP="00254780">
      <w:pPr>
        <w:pStyle w:val="MHeader2"/>
      </w:pPr>
      <w:r w:rsidRPr="00A96255">
        <w:t xml:space="preserve">4.e. Adjustments </w:t>
      </w:r>
      <w:r>
        <w:rPr>
          <w:color w:val="B4B4B4"/>
          <w:sz w:val="20"/>
        </w:rPr>
        <w:t>(ADJUSTMENT)</w:t>
      </w:r>
    </w:p>
    <w:p w14:paraId="7FBAEBBA" w14:textId="4881F316" w:rsidR="00EC2915" w:rsidRDefault="00D64BA9" w:rsidP="00A027A2">
      <w:pPr>
        <w:pStyle w:val="MText"/>
      </w:pPr>
      <w:r w:rsidRPr="00254780">
        <w:t>N</w:t>
      </w:r>
      <w:r w:rsidR="001C44E7" w:rsidRPr="00254780">
        <w:t>ot applicable</w:t>
      </w:r>
    </w:p>
    <w:p w14:paraId="463001B1" w14:textId="77777777" w:rsidR="0015203C" w:rsidRPr="00A96255" w:rsidRDefault="0015203C" w:rsidP="00A027A2">
      <w:pPr>
        <w:pStyle w:val="MText"/>
      </w:pPr>
    </w:p>
    <w:p w14:paraId="17735630" w14:textId="4B9E659F" w:rsidR="00E1050F" w:rsidRPr="00A96255" w:rsidRDefault="00576CFA" w:rsidP="00254780">
      <w:pPr>
        <w:pStyle w:val="MHeader2"/>
      </w:pPr>
      <w:r w:rsidRPr="00A96255">
        <w:t xml:space="preserve">4.f. Treatment of missing values (i) at country level and (ii) at regional level </w:t>
      </w:r>
      <w:r>
        <w:rPr>
          <w:color w:val="B4B4B4"/>
          <w:sz w:val="20"/>
        </w:rPr>
        <w:t>(IMPUTATION)</w:t>
      </w:r>
    </w:p>
    <w:p w14:paraId="0C9DE122" w14:textId="77777777" w:rsidR="00020B46" w:rsidRPr="00812FF5" w:rsidRDefault="00020B46" w:rsidP="00254780">
      <w:pPr>
        <w:pStyle w:val="MText"/>
        <w:rPr>
          <w:b/>
          <w:bCs/>
        </w:rPr>
      </w:pPr>
      <w:r w:rsidRPr="464D7857">
        <w:rPr>
          <w:b/>
          <w:bCs/>
        </w:rPr>
        <w:t>•</w:t>
      </w:r>
      <w:r>
        <w:tab/>
      </w:r>
      <w:r w:rsidRPr="464D7857">
        <w:rPr>
          <w:b/>
          <w:bCs/>
        </w:rPr>
        <w:t>At country level</w:t>
      </w:r>
    </w:p>
    <w:p w14:paraId="563FE48D" w14:textId="77777777" w:rsidR="00D64BA9" w:rsidRDefault="00D64BA9" w:rsidP="00D64BA9">
      <w:pPr>
        <w:pStyle w:val="MText"/>
      </w:pPr>
      <w:r w:rsidRPr="0019694F">
        <w:t>Not applicable</w:t>
      </w:r>
    </w:p>
    <w:p w14:paraId="6D8CBF84" w14:textId="77777777" w:rsidR="00020B46" w:rsidRPr="00C019E5" w:rsidRDefault="00020B46" w:rsidP="00A027A2">
      <w:pPr>
        <w:pStyle w:val="MText"/>
        <w:rPr>
          <w:highlight w:val="cyan"/>
        </w:rPr>
      </w:pPr>
    </w:p>
    <w:p w14:paraId="4B9C2EFA" w14:textId="77777777" w:rsidR="00020B46" w:rsidRDefault="00020B46" w:rsidP="00254780">
      <w:pPr>
        <w:pStyle w:val="MText"/>
        <w:rPr>
          <w:b/>
          <w:bCs/>
        </w:rPr>
      </w:pPr>
      <w:r w:rsidRPr="464D7857">
        <w:rPr>
          <w:b/>
          <w:bCs/>
        </w:rPr>
        <w:t>•</w:t>
      </w:r>
      <w:r>
        <w:tab/>
      </w:r>
      <w:r w:rsidRPr="464D7857">
        <w:rPr>
          <w:b/>
          <w:bCs/>
        </w:rPr>
        <w:t>At regional and global levels</w:t>
      </w:r>
    </w:p>
    <w:p w14:paraId="41C308C2" w14:textId="77777777" w:rsidR="00020B46" w:rsidRDefault="00020B46" w:rsidP="00A027A2">
      <w:pPr>
        <w:pStyle w:val="MText"/>
      </w:pPr>
      <w:r w:rsidRPr="00812FF5">
        <w:t>The FSIs are not compiled at regional or global levels.</w:t>
      </w:r>
    </w:p>
    <w:p w14:paraId="27033367" w14:textId="77777777" w:rsidR="00EC2915" w:rsidRPr="00A96255" w:rsidRDefault="00EC2915" w:rsidP="00A027A2">
      <w:pPr>
        <w:pStyle w:val="MText"/>
      </w:pPr>
    </w:p>
    <w:p w14:paraId="51FCD280" w14:textId="78D14FE7" w:rsidR="00E1050F" w:rsidRPr="00A96255" w:rsidRDefault="00E1050F" w:rsidP="00254780">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63DDEB01" w14:textId="77777777" w:rsidR="00D64BA9" w:rsidRDefault="00D64BA9" w:rsidP="00D64BA9">
      <w:pPr>
        <w:pStyle w:val="MText"/>
      </w:pPr>
      <w:r w:rsidRPr="0019694F">
        <w:t>Not applicable</w:t>
      </w:r>
    </w:p>
    <w:p w14:paraId="2EA010B7" w14:textId="77777777" w:rsidR="00EC2915" w:rsidRPr="00A96255" w:rsidRDefault="00EC2915" w:rsidP="00A027A2">
      <w:pPr>
        <w:pStyle w:val="MText"/>
      </w:pPr>
    </w:p>
    <w:p w14:paraId="71213FF2" w14:textId="62E333C4" w:rsidR="00E1050F" w:rsidRPr="00A96255" w:rsidRDefault="00576CFA" w:rsidP="00254780">
      <w:pPr>
        <w:pStyle w:val="MHeader2"/>
      </w:pPr>
      <w:r w:rsidRPr="00A96255">
        <w:t xml:space="preserve">4.h. Methods and guidance available to countries for the compilation of the data at the national level </w:t>
      </w:r>
      <w:r>
        <w:rPr>
          <w:color w:val="B4B4B4"/>
          <w:sz w:val="20"/>
        </w:rPr>
        <w:t>(DOC_METHOD)</w:t>
      </w:r>
    </w:p>
    <w:p w14:paraId="064E9CD0" w14:textId="12C931BE" w:rsidR="00327331" w:rsidRPr="005E650F" w:rsidRDefault="00327331" w:rsidP="00A027A2">
      <w:pPr>
        <w:pStyle w:val="MText"/>
      </w:pPr>
      <w:r w:rsidRPr="005E650F">
        <w:t xml:space="preserve">The </w:t>
      </w:r>
      <w:r w:rsidR="004949AB" w:rsidRPr="009A5983">
        <w:rPr>
          <w:i/>
          <w:iCs/>
        </w:rPr>
        <w:t xml:space="preserve">2019 </w:t>
      </w:r>
      <w:r w:rsidRPr="009A5983">
        <w:rPr>
          <w:i/>
          <w:iCs/>
        </w:rPr>
        <w:t>FSI</w:t>
      </w:r>
      <w:r w:rsidR="004949AB" w:rsidRPr="009A5983">
        <w:rPr>
          <w:i/>
          <w:iCs/>
        </w:rPr>
        <w:t>s</w:t>
      </w:r>
      <w:r w:rsidRPr="009A5983">
        <w:rPr>
          <w:i/>
          <w:iCs/>
        </w:rPr>
        <w:t xml:space="preserve"> Guide</w:t>
      </w:r>
      <w:r w:rsidRPr="005E650F">
        <w:t xml:space="preserve"> </w:t>
      </w:r>
      <w:r w:rsidR="004949AB">
        <w:t xml:space="preserve">is </w:t>
      </w:r>
      <w:r w:rsidRPr="005E650F">
        <w:t xml:space="preserve">available at </w:t>
      </w:r>
      <w:hyperlink r:id="rId13" w:history="1">
        <w:r w:rsidR="00A10A58" w:rsidRPr="00F43BA5">
          <w:rPr>
            <w:rStyle w:val="Hyperlink"/>
            <w:rFonts w:eastAsiaTheme="minorEastAsia" w:cstheme="minorHAnsi"/>
          </w:rPr>
          <w:t>http://data.imf.org/FSI</w:t>
        </w:r>
      </w:hyperlink>
      <w:r w:rsidRPr="005E650F">
        <w:t>.</w:t>
      </w:r>
    </w:p>
    <w:p w14:paraId="2939895F" w14:textId="77777777" w:rsidR="00EC2915" w:rsidRPr="00A96255" w:rsidRDefault="00EC2915" w:rsidP="00A027A2">
      <w:pPr>
        <w:pStyle w:val="MText"/>
      </w:pPr>
    </w:p>
    <w:p w14:paraId="494C36E8" w14:textId="2F1E328E" w:rsidR="00E1050F" w:rsidRPr="00A96255" w:rsidRDefault="00576CFA" w:rsidP="00254780">
      <w:pPr>
        <w:pStyle w:val="MHeader2"/>
      </w:pPr>
      <w:r w:rsidRPr="00A96255">
        <w:t xml:space="preserve">4.i. Quality management </w:t>
      </w:r>
      <w:r>
        <w:rPr>
          <w:color w:val="B4B4B4"/>
          <w:sz w:val="20"/>
        </w:rPr>
        <w:t>(QUALITY_MGMNT)</w:t>
      </w:r>
    </w:p>
    <w:p w14:paraId="5484B16D" w14:textId="706D2633" w:rsidR="00EC2915" w:rsidRDefault="001C44E7" w:rsidP="00A027A2">
      <w:pPr>
        <w:pStyle w:val="MText"/>
      </w:pPr>
      <w:r>
        <w:t>Country authorities are responsible for the quality of FSI</w:t>
      </w:r>
      <w:r w:rsidR="0034227D">
        <w:t>s</w:t>
      </w:r>
      <w:r>
        <w:t xml:space="preserve"> </w:t>
      </w:r>
      <w:r w:rsidR="00536ECD">
        <w:t xml:space="preserve">and </w:t>
      </w:r>
      <w:r>
        <w:t>underlying data.</w:t>
      </w:r>
    </w:p>
    <w:p w14:paraId="292A2C74" w14:textId="77777777" w:rsidR="00327331" w:rsidRPr="00A96255" w:rsidRDefault="00327331" w:rsidP="00A027A2">
      <w:pPr>
        <w:pStyle w:val="MText"/>
      </w:pPr>
    </w:p>
    <w:p w14:paraId="17B979CA" w14:textId="1A317E03" w:rsidR="00E1050F" w:rsidRPr="00A96255" w:rsidRDefault="00E1050F" w:rsidP="00254780">
      <w:pPr>
        <w:pStyle w:val="MHeader2"/>
      </w:pPr>
      <w:r w:rsidRPr="00A96255">
        <w:t xml:space="preserve">4.j Quality assurance </w:t>
      </w:r>
      <w:r>
        <w:rPr>
          <w:color w:val="B4B4B4"/>
          <w:sz w:val="20"/>
        </w:rPr>
        <w:t>(QUALITY_ASSURE)</w:t>
      </w:r>
    </w:p>
    <w:p w14:paraId="03EF3244" w14:textId="08B16609" w:rsidR="00EC2915" w:rsidRPr="00A96255" w:rsidRDefault="00486346" w:rsidP="007E1D9D">
      <w:pPr>
        <w:pStyle w:val="MText"/>
      </w:pPr>
      <w:r w:rsidRPr="00254780">
        <w:lastRenderedPageBreak/>
        <w:t>National</w:t>
      </w:r>
      <w:r w:rsidR="00695AB6">
        <w:t xml:space="preserve"> banking sector</w:t>
      </w:r>
      <w:r w:rsidRPr="00254780">
        <w:t xml:space="preserve"> supervisors check and validate</w:t>
      </w:r>
      <w:r w:rsidR="00695AB6">
        <w:t xml:space="preserve"> supervisory and prudential</w:t>
      </w:r>
      <w:r w:rsidRPr="00254780">
        <w:t xml:space="preserve"> data</w:t>
      </w:r>
      <w:r w:rsidR="00816EE0">
        <w:t xml:space="preserve"> reported by individual banks for supervisory purposes, which is then used to compile aggregated FSI data for the country</w:t>
      </w:r>
      <w:r w:rsidRPr="00254780">
        <w:t xml:space="preserve"> that</w:t>
      </w:r>
      <w:r w:rsidR="00816EE0">
        <w:t xml:space="preserve"> has reported to the IMF.</w:t>
      </w:r>
      <w:r w:rsidRPr="00254780">
        <w:t xml:space="preserve"> IMF staff </w:t>
      </w:r>
      <w:r w:rsidR="00816EE0">
        <w:t>review the data and engage the national compilers in case there are issues to be resolved. After the data is successfully reviewed, it is published on the IMF FSI website.</w:t>
      </w:r>
    </w:p>
    <w:p w14:paraId="34ADD322" w14:textId="0115D557" w:rsidR="00E1050F" w:rsidRPr="00A96255" w:rsidRDefault="00576CFA" w:rsidP="00254780">
      <w:pPr>
        <w:pStyle w:val="MHeader2"/>
      </w:pPr>
      <w:r w:rsidRPr="00A96255">
        <w:t xml:space="preserve">4.k Quality assessment </w:t>
      </w:r>
      <w:r>
        <w:rPr>
          <w:color w:val="B4B4B4"/>
          <w:sz w:val="20"/>
        </w:rPr>
        <w:t>(QUALITY_ASSMNT)</w:t>
      </w:r>
    </w:p>
    <w:p w14:paraId="326EB0AB" w14:textId="6FFA402D" w:rsidR="00576CFA" w:rsidRPr="00A96255" w:rsidRDefault="0034227D" w:rsidP="00A027A2">
      <w:pPr>
        <w:pStyle w:val="MText"/>
      </w:pPr>
      <w:r>
        <w:t xml:space="preserve">Quality assessment </w:t>
      </w:r>
      <w:r w:rsidR="001C44E7">
        <w:t>is done as part of the validation and consistency checks implemented in the IMF data processing system</w:t>
      </w:r>
      <w:r w:rsidR="001C44E7" w:rsidRPr="005E650F">
        <w:t xml:space="preserve">.  </w:t>
      </w:r>
    </w:p>
    <w:p w14:paraId="5B7C52CE" w14:textId="77777777" w:rsidR="00576CFA" w:rsidRPr="00A96255" w:rsidRDefault="00576CFA" w:rsidP="00A027A2">
      <w:pPr>
        <w:pStyle w:val="MText"/>
      </w:pPr>
    </w:p>
    <w:p w14:paraId="17787B3C" w14:textId="2A02101D" w:rsidR="00E1050F" w:rsidRPr="00A96255" w:rsidRDefault="00576CFA" w:rsidP="00254780">
      <w:pPr>
        <w:pStyle w:val="MHeader"/>
        <w:spacing w:after="100"/>
      </w:pPr>
      <w:r w:rsidRPr="00A96255">
        <w:t xml:space="preserve">5. Data availability and disaggregation </w:t>
      </w:r>
      <w:r>
        <w:rPr>
          <w:color w:val="B4B4B4"/>
          <w:sz w:val="20"/>
        </w:rPr>
        <w:t>(COVERAGE)</w:t>
      </w:r>
    </w:p>
    <w:p w14:paraId="77AA3EDF" w14:textId="77777777" w:rsidR="006A3433" w:rsidRPr="006A3433" w:rsidRDefault="006A3433" w:rsidP="00A027A2">
      <w:pPr>
        <w:pStyle w:val="MText"/>
        <w:rPr>
          <w:b/>
          <w:bCs/>
        </w:rPr>
      </w:pPr>
      <w:r w:rsidRPr="006A3433">
        <w:rPr>
          <w:b/>
          <w:bCs/>
        </w:rPr>
        <w:t>Data availability:</w:t>
      </w:r>
    </w:p>
    <w:p w14:paraId="593AE274" w14:textId="77D96997" w:rsidR="006A3433" w:rsidRPr="00573631" w:rsidRDefault="006A3433" w:rsidP="00A027A2">
      <w:pPr>
        <w:shd w:val="clear" w:color="auto" w:fill="FFFFFF"/>
        <w:spacing w:after="0"/>
        <w:rPr>
          <w:rFonts w:eastAsia="Times New Roman" w:cs="Times New Roman"/>
          <w:color w:val="4A4A4A"/>
          <w:sz w:val="21"/>
          <w:szCs w:val="21"/>
          <w:lang w:eastAsia="en-GB"/>
        </w:rPr>
      </w:pPr>
      <w:r w:rsidRPr="001A4CE0">
        <w:rPr>
          <w:rFonts w:eastAsia="Times New Roman" w:cs="Times New Roman"/>
          <w:color w:val="4A4A4A"/>
          <w:sz w:val="21"/>
          <w:szCs w:val="21"/>
          <w:lang w:eastAsia="en-GB"/>
        </w:rPr>
        <w:t>As of</w:t>
      </w:r>
      <w:r w:rsidR="00816EE0">
        <w:rPr>
          <w:rFonts w:eastAsia="Times New Roman" w:cs="Times New Roman"/>
          <w:color w:val="4A4A4A"/>
          <w:sz w:val="21"/>
          <w:szCs w:val="21"/>
          <w:lang w:eastAsia="en-GB"/>
        </w:rPr>
        <w:t xml:space="preserve"> August</w:t>
      </w:r>
      <w:r w:rsidRPr="001A4CE0">
        <w:rPr>
          <w:rFonts w:eastAsia="Times New Roman" w:cs="Times New Roman"/>
          <w:color w:val="4A4A4A"/>
          <w:sz w:val="21"/>
          <w:szCs w:val="21"/>
          <w:lang w:eastAsia="en-GB"/>
        </w:rPr>
        <w:t xml:space="preserve"> 20</w:t>
      </w:r>
      <w:r w:rsidR="00BC5F32">
        <w:rPr>
          <w:rFonts w:eastAsia="Times New Roman" w:cs="Times New Roman"/>
          <w:color w:val="4A4A4A"/>
          <w:sz w:val="21"/>
          <w:szCs w:val="21"/>
          <w:lang w:eastAsia="en-GB"/>
        </w:rPr>
        <w:t>2</w:t>
      </w:r>
      <w:r w:rsidR="00816EE0">
        <w:rPr>
          <w:rFonts w:eastAsia="Times New Roman" w:cs="Times New Roman"/>
          <w:color w:val="4A4A4A"/>
          <w:sz w:val="21"/>
          <w:szCs w:val="21"/>
          <w:lang w:eastAsia="en-GB"/>
        </w:rPr>
        <w:t>4</w:t>
      </w:r>
      <w:r w:rsidRPr="001A4CE0">
        <w:rPr>
          <w:rFonts w:eastAsia="Times New Roman" w:cs="Times New Roman"/>
          <w:color w:val="4A4A4A"/>
          <w:sz w:val="21"/>
          <w:szCs w:val="21"/>
          <w:lang w:eastAsia="en-GB"/>
        </w:rPr>
        <w:t xml:space="preserve">, there were </w:t>
      </w:r>
      <w:r w:rsidR="009A5983">
        <w:rPr>
          <w:rFonts w:eastAsia="Times New Roman" w:cs="Times New Roman"/>
          <w:color w:val="4A4A4A"/>
          <w:sz w:val="21"/>
          <w:szCs w:val="21"/>
          <w:lang w:eastAsia="en-GB"/>
        </w:rPr>
        <w:t xml:space="preserve">more than </w:t>
      </w:r>
      <w:r w:rsidR="00BC5F32">
        <w:rPr>
          <w:rFonts w:eastAsia="Times New Roman" w:cs="Times New Roman"/>
          <w:color w:val="4A4A4A"/>
          <w:sz w:val="21"/>
          <w:szCs w:val="21"/>
          <w:lang w:eastAsia="en-GB"/>
        </w:rPr>
        <w:t>1</w:t>
      </w:r>
      <w:r w:rsidR="00816EE0">
        <w:rPr>
          <w:rFonts w:eastAsia="Times New Roman" w:cs="Times New Roman"/>
          <w:color w:val="4A4A4A"/>
          <w:sz w:val="21"/>
          <w:szCs w:val="21"/>
          <w:lang w:eastAsia="en-GB"/>
        </w:rPr>
        <w:t>5</w:t>
      </w:r>
      <w:r w:rsidR="009A5983">
        <w:rPr>
          <w:rFonts w:eastAsia="Times New Roman" w:cs="Times New Roman"/>
          <w:color w:val="4A4A4A"/>
          <w:sz w:val="21"/>
          <w:szCs w:val="21"/>
          <w:lang w:eastAsia="en-GB"/>
        </w:rPr>
        <w:t>0</w:t>
      </w:r>
      <w:r w:rsidR="00BC5F32" w:rsidRPr="001A4CE0">
        <w:rPr>
          <w:rFonts w:eastAsia="Times New Roman" w:cs="Times New Roman"/>
          <w:color w:val="4A4A4A"/>
          <w:sz w:val="21"/>
          <w:szCs w:val="21"/>
          <w:lang w:eastAsia="en-GB"/>
        </w:rPr>
        <w:t xml:space="preserve"> </w:t>
      </w:r>
      <w:r w:rsidRPr="001A4CE0">
        <w:rPr>
          <w:rFonts w:eastAsia="Times New Roman" w:cs="Times New Roman"/>
          <w:color w:val="4A4A4A"/>
          <w:sz w:val="21"/>
          <w:szCs w:val="21"/>
          <w:lang w:eastAsia="en-GB"/>
        </w:rPr>
        <w:t>FSI reporters.</w:t>
      </w:r>
      <w:r>
        <w:rPr>
          <w:rFonts w:eastAsia="Times New Roman" w:cs="Times New Roman"/>
          <w:color w:val="4A4A4A"/>
          <w:sz w:val="21"/>
          <w:szCs w:val="21"/>
          <w:lang w:eastAsia="en-GB"/>
        </w:rPr>
        <w:t xml:space="preserve"> </w:t>
      </w:r>
      <w:r w:rsidRPr="001A4CE0">
        <w:rPr>
          <w:rFonts w:eastAsia="Times New Roman" w:cs="Times New Roman"/>
          <w:color w:val="4A4A4A"/>
          <w:sz w:val="21"/>
          <w:szCs w:val="21"/>
          <w:lang w:eastAsia="en-GB"/>
        </w:rPr>
        <w:t>All report</w:t>
      </w:r>
      <w:r w:rsidR="0034227D">
        <w:rPr>
          <w:rFonts w:eastAsia="Times New Roman" w:cs="Times New Roman"/>
          <w:color w:val="4A4A4A"/>
          <w:sz w:val="21"/>
          <w:szCs w:val="21"/>
          <w:lang w:eastAsia="en-GB"/>
        </w:rPr>
        <w:t>ers provide</w:t>
      </w:r>
      <w:r w:rsidRPr="001A4CE0">
        <w:rPr>
          <w:rFonts w:eastAsia="Times New Roman" w:cs="Times New Roman"/>
          <w:color w:val="4A4A4A"/>
          <w:sz w:val="21"/>
          <w:szCs w:val="21"/>
          <w:lang w:eastAsia="en-GB"/>
        </w:rPr>
        <w:t xml:space="preserve"> all or most core FSIs and </w:t>
      </w:r>
      <w:r w:rsidR="00816EE0">
        <w:rPr>
          <w:rFonts w:eastAsia="Times New Roman" w:cs="Times New Roman"/>
          <w:color w:val="4A4A4A"/>
          <w:sz w:val="21"/>
          <w:szCs w:val="21"/>
          <w:lang w:eastAsia="en-GB"/>
        </w:rPr>
        <w:t>additional</w:t>
      </w:r>
      <w:r w:rsidRPr="001A4CE0">
        <w:rPr>
          <w:rFonts w:eastAsia="Times New Roman" w:cs="Times New Roman"/>
          <w:color w:val="4A4A4A"/>
          <w:sz w:val="21"/>
          <w:szCs w:val="21"/>
          <w:lang w:eastAsia="en-GB"/>
        </w:rPr>
        <w:t xml:space="preserve"> FSIs that </w:t>
      </w:r>
      <w:r w:rsidR="00816EE0">
        <w:rPr>
          <w:rFonts w:eastAsia="Times New Roman" w:cs="Times New Roman"/>
          <w:color w:val="4A4A4A"/>
          <w:sz w:val="21"/>
          <w:szCs w:val="21"/>
          <w:lang w:eastAsia="en-GB"/>
        </w:rPr>
        <w:t>are useful for</w:t>
      </w:r>
      <w:r w:rsidRPr="001A4CE0">
        <w:rPr>
          <w:rFonts w:eastAsia="Times New Roman" w:cs="Times New Roman"/>
          <w:color w:val="4A4A4A"/>
          <w:sz w:val="21"/>
          <w:szCs w:val="21"/>
          <w:lang w:eastAsia="en-GB"/>
        </w:rPr>
        <w:t xml:space="preserve"> the interpretation of these seven SDG indicators.</w:t>
      </w:r>
    </w:p>
    <w:p w14:paraId="430E5648" w14:textId="77777777" w:rsidR="006A3433" w:rsidRPr="00C019E5" w:rsidRDefault="006A3433" w:rsidP="00A027A2">
      <w:pPr>
        <w:pStyle w:val="MText"/>
        <w:rPr>
          <w:highlight w:val="cyan"/>
        </w:rPr>
      </w:pPr>
    </w:p>
    <w:p w14:paraId="1810CF57" w14:textId="77777777" w:rsidR="006A3433" w:rsidRPr="006A3433" w:rsidRDefault="006A3433" w:rsidP="008D735E">
      <w:pPr>
        <w:pStyle w:val="MText"/>
        <w:rPr>
          <w:b/>
          <w:bCs/>
        </w:rPr>
      </w:pPr>
      <w:r w:rsidRPr="006A3433">
        <w:rPr>
          <w:b/>
          <w:bCs/>
        </w:rPr>
        <w:t>Time series:</w:t>
      </w:r>
    </w:p>
    <w:p w14:paraId="57EF0582" w14:textId="32DFED7A" w:rsidR="006A3433" w:rsidRDefault="006A3433" w:rsidP="008D735E">
      <w:pPr>
        <w:keepNext/>
        <w:keepLines/>
        <w:shd w:val="clear" w:color="auto" w:fill="FFFFFF"/>
        <w:spacing w:after="0"/>
        <w:rPr>
          <w:rFonts w:eastAsia="Times New Roman" w:cs="Times New Roman"/>
          <w:color w:val="4A4A4A"/>
          <w:sz w:val="21"/>
          <w:szCs w:val="21"/>
          <w:lang w:eastAsia="en-GB"/>
        </w:rPr>
      </w:pPr>
      <w:r w:rsidRPr="001A4CE0">
        <w:rPr>
          <w:rFonts w:eastAsia="Times New Roman" w:cs="Times New Roman"/>
          <w:color w:val="4A4A4A"/>
          <w:sz w:val="21"/>
          <w:szCs w:val="21"/>
          <w:lang w:eastAsia="en-GB"/>
        </w:rPr>
        <w:t>Data for most countries are reported on a monthly or quarterly basis</w:t>
      </w:r>
      <w:r w:rsidR="00E55C14">
        <w:rPr>
          <w:rFonts w:eastAsia="Times New Roman" w:cs="Times New Roman"/>
          <w:color w:val="4A4A4A"/>
          <w:sz w:val="21"/>
          <w:szCs w:val="21"/>
          <w:lang w:eastAsia="en-GB"/>
        </w:rPr>
        <w:t xml:space="preserve"> </w:t>
      </w:r>
      <w:r w:rsidR="00E55C14" w:rsidRPr="00E55C14">
        <w:rPr>
          <w:rFonts w:eastAsia="Times New Roman" w:cs="Times New Roman"/>
          <w:color w:val="4A4A4A"/>
          <w:sz w:val="21"/>
          <w:szCs w:val="21"/>
          <w:lang w:eastAsia="en-GB"/>
        </w:rPr>
        <w:t xml:space="preserve">(about </w:t>
      </w:r>
      <w:r w:rsidR="00816EE0">
        <w:rPr>
          <w:rFonts w:eastAsia="Times New Roman" w:cs="Times New Roman"/>
          <w:color w:val="4A4A4A"/>
          <w:sz w:val="21"/>
          <w:szCs w:val="21"/>
          <w:lang w:eastAsia="en-GB"/>
        </w:rPr>
        <w:t>20</w:t>
      </w:r>
      <w:r w:rsidR="00E55C14" w:rsidRPr="00E55C14">
        <w:rPr>
          <w:rFonts w:eastAsia="Times New Roman" w:cs="Times New Roman"/>
          <w:color w:val="4A4A4A"/>
          <w:sz w:val="21"/>
          <w:szCs w:val="21"/>
          <w:lang w:eastAsia="en-GB"/>
        </w:rPr>
        <w:t xml:space="preserve"> percent </w:t>
      </w:r>
      <w:r w:rsidR="00E55C14">
        <w:rPr>
          <w:rFonts w:eastAsia="Times New Roman" w:cs="Times New Roman"/>
          <w:color w:val="4A4A4A"/>
          <w:sz w:val="21"/>
          <w:szCs w:val="21"/>
          <w:lang w:eastAsia="en-GB"/>
        </w:rPr>
        <w:t xml:space="preserve">and </w:t>
      </w:r>
      <w:r w:rsidR="00816EE0">
        <w:rPr>
          <w:rFonts w:eastAsia="Times New Roman" w:cs="Times New Roman"/>
          <w:color w:val="4A4A4A"/>
          <w:sz w:val="21"/>
          <w:szCs w:val="21"/>
          <w:lang w:eastAsia="en-GB"/>
        </w:rPr>
        <w:t>80</w:t>
      </w:r>
      <w:r w:rsidR="00E55C14">
        <w:rPr>
          <w:rFonts w:eastAsia="Times New Roman" w:cs="Times New Roman"/>
          <w:color w:val="4A4A4A"/>
          <w:sz w:val="21"/>
          <w:szCs w:val="21"/>
          <w:lang w:eastAsia="en-GB"/>
        </w:rPr>
        <w:t xml:space="preserve"> percent </w:t>
      </w:r>
      <w:r w:rsidR="00E55C14" w:rsidRPr="00E55C14">
        <w:rPr>
          <w:rFonts w:eastAsia="Times New Roman" w:cs="Times New Roman"/>
          <w:color w:val="4A4A4A"/>
          <w:sz w:val="21"/>
          <w:szCs w:val="21"/>
          <w:lang w:eastAsia="en-GB"/>
        </w:rPr>
        <w:t xml:space="preserve">of total </w:t>
      </w:r>
      <w:r w:rsidR="00E55C14">
        <w:rPr>
          <w:rFonts w:eastAsia="Times New Roman" w:cs="Times New Roman"/>
          <w:color w:val="4A4A4A"/>
          <w:sz w:val="21"/>
          <w:szCs w:val="21"/>
          <w:lang w:eastAsia="en-GB"/>
        </w:rPr>
        <w:t xml:space="preserve">number of </w:t>
      </w:r>
      <w:r w:rsidR="00E55C14" w:rsidRPr="00E55C14">
        <w:rPr>
          <w:rFonts w:eastAsia="Times New Roman" w:cs="Times New Roman"/>
          <w:color w:val="4A4A4A"/>
          <w:sz w:val="21"/>
          <w:szCs w:val="21"/>
          <w:lang w:eastAsia="en-GB"/>
        </w:rPr>
        <w:t>repo</w:t>
      </w:r>
      <w:r w:rsidR="00E55C14">
        <w:rPr>
          <w:rFonts w:eastAsia="Times New Roman" w:cs="Times New Roman"/>
          <w:color w:val="4A4A4A"/>
          <w:sz w:val="21"/>
          <w:szCs w:val="21"/>
          <w:lang w:eastAsia="en-GB"/>
        </w:rPr>
        <w:t>r</w:t>
      </w:r>
      <w:r w:rsidR="00E55C14" w:rsidRPr="00E55C14">
        <w:rPr>
          <w:rFonts w:eastAsia="Times New Roman" w:cs="Times New Roman"/>
          <w:color w:val="4A4A4A"/>
          <w:sz w:val="21"/>
          <w:szCs w:val="21"/>
          <w:lang w:eastAsia="en-GB"/>
        </w:rPr>
        <w:t>tin</w:t>
      </w:r>
      <w:r w:rsidR="00E55C14">
        <w:rPr>
          <w:rFonts w:eastAsia="Times New Roman" w:cs="Times New Roman"/>
          <w:color w:val="4A4A4A"/>
          <w:sz w:val="21"/>
          <w:szCs w:val="21"/>
          <w:lang w:eastAsia="en-GB"/>
        </w:rPr>
        <w:t>g countries, respectively)</w:t>
      </w:r>
      <w:r w:rsidRPr="001A4CE0">
        <w:rPr>
          <w:rFonts w:eastAsia="Times New Roman" w:cs="Times New Roman"/>
          <w:color w:val="4A4A4A"/>
          <w:sz w:val="21"/>
          <w:szCs w:val="21"/>
          <w:lang w:eastAsia="en-GB"/>
        </w:rPr>
        <w:t>; a few countries report data on a semi-annual basis and with a lag of more than a quarter</w:t>
      </w:r>
      <w:r>
        <w:rPr>
          <w:rFonts w:eastAsia="Times New Roman" w:cs="Times New Roman"/>
          <w:color w:val="4A4A4A"/>
          <w:sz w:val="21"/>
          <w:szCs w:val="21"/>
          <w:lang w:eastAsia="en-GB"/>
        </w:rPr>
        <w:t>. Data are available as far back as 2005 for some countries.</w:t>
      </w:r>
    </w:p>
    <w:p w14:paraId="07B34251" w14:textId="77777777" w:rsidR="006A3433" w:rsidRPr="00C019E5" w:rsidRDefault="006A3433" w:rsidP="00D64BA9">
      <w:pPr>
        <w:pStyle w:val="MText"/>
        <w:rPr>
          <w:highlight w:val="cyan"/>
        </w:rPr>
      </w:pPr>
    </w:p>
    <w:p w14:paraId="0303DB19" w14:textId="77777777" w:rsidR="006A3433" w:rsidRPr="006A3433" w:rsidRDefault="006A3433">
      <w:pPr>
        <w:pStyle w:val="MText"/>
        <w:rPr>
          <w:b/>
          <w:bCs/>
        </w:rPr>
      </w:pPr>
      <w:r w:rsidRPr="006A3433">
        <w:rPr>
          <w:b/>
          <w:bCs/>
        </w:rPr>
        <w:t>Disaggregation:</w:t>
      </w:r>
    </w:p>
    <w:p w14:paraId="45F8EE00" w14:textId="77777777" w:rsidR="006A3433" w:rsidRPr="00573631" w:rsidRDefault="006A3433">
      <w:pPr>
        <w:shd w:val="clear" w:color="auto" w:fill="FFFFFF"/>
        <w:spacing w:after="0"/>
        <w:rPr>
          <w:rFonts w:eastAsia="Times New Roman" w:cs="Times New Roman"/>
          <w:color w:val="4A4A4A"/>
          <w:sz w:val="21"/>
          <w:szCs w:val="21"/>
          <w:lang w:eastAsia="en-GB"/>
        </w:rPr>
      </w:pPr>
      <w:r w:rsidRPr="001878A5">
        <w:rPr>
          <w:rFonts w:eastAsia="Times New Roman" w:cs="Times New Roman"/>
          <w:color w:val="4A4A4A"/>
          <w:sz w:val="21"/>
          <w:szCs w:val="21"/>
          <w:lang w:eastAsia="en-GB"/>
        </w:rPr>
        <w:t xml:space="preserve">The FSIs </w:t>
      </w:r>
      <w:r>
        <w:rPr>
          <w:rFonts w:eastAsia="Times New Roman" w:cs="Times New Roman"/>
          <w:color w:val="4A4A4A"/>
          <w:sz w:val="21"/>
          <w:szCs w:val="21"/>
          <w:lang w:eastAsia="en-GB"/>
        </w:rPr>
        <w:t xml:space="preserve">disseminated by the IMF are weighted averages for the </w:t>
      </w:r>
      <w:proofErr w:type="gramStart"/>
      <w:r>
        <w:rPr>
          <w:rFonts w:eastAsia="Times New Roman" w:cs="Times New Roman"/>
          <w:color w:val="4A4A4A"/>
          <w:sz w:val="21"/>
          <w:szCs w:val="21"/>
          <w:lang w:eastAsia="en-GB"/>
        </w:rPr>
        <w:t>sector as a whole</w:t>
      </w:r>
      <w:proofErr w:type="gramEnd"/>
      <w:r>
        <w:rPr>
          <w:rFonts w:eastAsia="Times New Roman" w:cs="Times New Roman"/>
          <w:color w:val="4A4A4A"/>
          <w:sz w:val="21"/>
          <w:szCs w:val="21"/>
          <w:lang w:eastAsia="en-GB"/>
        </w:rPr>
        <w:t xml:space="preserve"> (e.g., deposit takers, other financial corporations, nonfinancial corporations). Data for parent banks, their branches, and relevant subsidiaries are consolidated; if this </w:t>
      </w:r>
      <w:r w:rsidRPr="001878A5">
        <w:rPr>
          <w:rFonts w:eastAsia="Times New Roman" w:cs="Times New Roman"/>
          <w:color w:val="4A4A4A"/>
          <w:sz w:val="21"/>
          <w:szCs w:val="21"/>
          <w:lang w:eastAsia="en-GB"/>
        </w:rPr>
        <w:t>consolidat</w:t>
      </w:r>
      <w:r>
        <w:rPr>
          <w:rFonts w:eastAsia="Times New Roman" w:cs="Times New Roman"/>
          <w:color w:val="4A4A4A"/>
          <w:sz w:val="21"/>
          <w:szCs w:val="21"/>
          <w:lang w:eastAsia="en-GB"/>
        </w:rPr>
        <w:t>ion is not possible or not applicable, an explanation is provided in the metadata. There are no disaggregated breakdowns of the FSIs reported to the IMF.</w:t>
      </w:r>
    </w:p>
    <w:p w14:paraId="69653A65" w14:textId="77777777" w:rsidR="0003293A" w:rsidRPr="00A96255" w:rsidRDefault="0003293A">
      <w:pPr>
        <w:pStyle w:val="MText"/>
      </w:pPr>
    </w:p>
    <w:p w14:paraId="4D0520F7" w14:textId="1C5869C1" w:rsidR="00382CF3" w:rsidRPr="00A96255" w:rsidRDefault="00B31E2C" w:rsidP="00254780">
      <w:pPr>
        <w:pStyle w:val="MHeader"/>
        <w:spacing w:after="100"/>
      </w:pPr>
      <w:r w:rsidRPr="00A96255">
        <w:t xml:space="preserve">6. Comparability / deviation from international standards </w:t>
      </w:r>
      <w:r>
        <w:rPr>
          <w:color w:val="B4B4B4"/>
          <w:sz w:val="20"/>
        </w:rPr>
        <w:t>(COMPARABILITY)</w:t>
      </w:r>
    </w:p>
    <w:p w14:paraId="4A1E61C9" w14:textId="77777777" w:rsidR="004C76FE" w:rsidRPr="004C76FE" w:rsidRDefault="004C76FE" w:rsidP="00A027A2">
      <w:pPr>
        <w:pStyle w:val="MText"/>
        <w:rPr>
          <w:b/>
          <w:bCs/>
        </w:rPr>
      </w:pPr>
      <w:r w:rsidRPr="004C76FE">
        <w:rPr>
          <w:b/>
          <w:bCs/>
        </w:rPr>
        <w:t>Sources of discrepancies:</w:t>
      </w:r>
    </w:p>
    <w:p w14:paraId="0A9A4991" w14:textId="26FC1108" w:rsidR="004C76FE" w:rsidRDefault="004C76FE" w:rsidP="00A027A2">
      <w:pPr>
        <w:shd w:val="clear" w:color="auto" w:fill="FFFFFF"/>
        <w:spacing w:after="0"/>
        <w:rPr>
          <w:rFonts w:eastAsia="Times New Roman" w:cs="Times New Roman"/>
          <w:bCs/>
          <w:color w:val="4A4A4A"/>
          <w:sz w:val="21"/>
          <w:szCs w:val="21"/>
          <w:lang w:eastAsia="en-GB"/>
        </w:rPr>
      </w:pPr>
      <w:r w:rsidRPr="005E650F">
        <w:rPr>
          <w:rFonts w:eastAsia="Times New Roman" w:cs="Times New Roman"/>
          <w:bCs/>
          <w:color w:val="4A4A4A"/>
          <w:sz w:val="21"/>
          <w:szCs w:val="21"/>
          <w:lang w:eastAsia="en-GB"/>
        </w:rPr>
        <w:t xml:space="preserve">Data </w:t>
      </w:r>
      <w:r>
        <w:rPr>
          <w:rFonts w:eastAsia="Times New Roman" w:cs="Times New Roman"/>
          <w:bCs/>
          <w:color w:val="4A4A4A"/>
          <w:sz w:val="21"/>
          <w:szCs w:val="21"/>
          <w:lang w:eastAsia="en-GB"/>
        </w:rPr>
        <w:t xml:space="preserve">calculated by other sources could be different from the FSIs disseminated by the IMF due to the use of different compilation methodology and/or institutional coverage. The FSIs </w:t>
      </w:r>
      <w:r w:rsidRPr="005E650F">
        <w:rPr>
          <w:rFonts w:eastAsia="Times New Roman" w:cs="Times New Roman"/>
          <w:bCs/>
          <w:color w:val="4A4A4A"/>
          <w:sz w:val="21"/>
          <w:szCs w:val="21"/>
          <w:lang w:eastAsia="en-GB"/>
        </w:rPr>
        <w:t>disseminated by the IMF</w:t>
      </w:r>
      <w:r>
        <w:rPr>
          <w:rFonts w:eastAsia="Times New Roman" w:cs="Times New Roman"/>
          <w:bCs/>
          <w:color w:val="4A4A4A"/>
          <w:sz w:val="21"/>
          <w:szCs w:val="21"/>
          <w:lang w:eastAsia="en-GB"/>
        </w:rPr>
        <w:t xml:space="preserve"> are compiled based on the </w:t>
      </w:r>
      <w:r w:rsidR="00BC5F32" w:rsidRPr="00BC5F32">
        <w:rPr>
          <w:rFonts w:eastAsia="Times New Roman" w:cs="Times New Roman"/>
          <w:bCs/>
          <w:i/>
          <w:iCs/>
          <w:color w:val="4A4A4A"/>
          <w:sz w:val="21"/>
          <w:szCs w:val="21"/>
          <w:lang w:eastAsia="en-GB"/>
        </w:rPr>
        <w:t>2019</w:t>
      </w:r>
      <w:r w:rsidR="00BC5F32">
        <w:rPr>
          <w:rFonts w:eastAsia="Times New Roman" w:cs="Times New Roman"/>
          <w:bCs/>
          <w:color w:val="4A4A4A"/>
          <w:sz w:val="21"/>
          <w:szCs w:val="21"/>
          <w:lang w:eastAsia="en-GB"/>
        </w:rPr>
        <w:t xml:space="preserve"> </w:t>
      </w:r>
      <w:r w:rsidRPr="00733E95">
        <w:rPr>
          <w:rFonts w:eastAsia="Times New Roman" w:cs="Times New Roman"/>
          <w:bCs/>
          <w:i/>
          <w:color w:val="4A4A4A"/>
          <w:sz w:val="21"/>
          <w:szCs w:val="21"/>
          <w:lang w:eastAsia="en-GB"/>
        </w:rPr>
        <w:t>FSI</w:t>
      </w:r>
      <w:r w:rsidR="004949AB">
        <w:rPr>
          <w:rFonts w:eastAsia="Times New Roman" w:cs="Times New Roman"/>
          <w:bCs/>
          <w:i/>
          <w:color w:val="4A4A4A"/>
          <w:sz w:val="21"/>
          <w:szCs w:val="21"/>
          <w:lang w:eastAsia="en-GB"/>
        </w:rPr>
        <w:t>s</w:t>
      </w:r>
      <w:r w:rsidRPr="00733E95">
        <w:rPr>
          <w:rFonts w:eastAsia="Times New Roman" w:cs="Times New Roman"/>
          <w:bCs/>
          <w:i/>
          <w:color w:val="4A4A4A"/>
          <w:sz w:val="21"/>
          <w:szCs w:val="21"/>
          <w:lang w:eastAsia="en-GB"/>
        </w:rPr>
        <w:t xml:space="preserve"> Guide</w:t>
      </w:r>
      <w:r>
        <w:rPr>
          <w:rFonts w:eastAsia="Times New Roman" w:cs="Times New Roman"/>
          <w:bCs/>
          <w:color w:val="4A4A4A"/>
          <w:sz w:val="21"/>
          <w:szCs w:val="21"/>
          <w:lang w:eastAsia="en-GB"/>
        </w:rPr>
        <w:t xml:space="preserve">, which provides the guidance on the concepts and definitions, and sources and techniques for the compilation of cross-country comparable data to support national and international surveillance of financial systems. To facilitate identification of possible discrepancies across countries, reporters provide metadata to the IMF that detail departures from recommendations in the </w:t>
      </w:r>
      <w:r w:rsidR="00BC5F32" w:rsidRPr="00BC5F32">
        <w:rPr>
          <w:rFonts w:eastAsia="Times New Roman" w:cs="Times New Roman"/>
          <w:bCs/>
          <w:i/>
          <w:iCs/>
          <w:color w:val="4A4A4A"/>
          <w:sz w:val="21"/>
          <w:szCs w:val="21"/>
          <w:lang w:eastAsia="en-GB"/>
        </w:rPr>
        <w:t>2019</w:t>
      </w:r>
      <w:r w:rsidR="00BC5F32">
        <w:rPr>
          <w:rFonts w:eastAsia="Times New Roman" w:cs="Times New Roman"/>
          <w:bCs/>
          <w:color w:val="4A4A4A"/>
          <w:sz w:val="21"/>
          <w:szCs w:val="21"/>
          <w:lang w:eastAsia="en-GB"/>
        </w:rPr>
        <w:t xml:space="preserve"> </w:t>
      </w:r>
      <w:r w:rsidRPr="00733E95">
        <w:rPr>
          <w:rFonts w:eastAsia="Times New Roman" w:cs="Times New Roman"/>
          <w:bCs/>
          <w:i/>
          <w:color w:val="4A4A4A"/>
          <w:sz w:val="21"/>
          <w:szCs w:val="21"/>
          <w:lang w:eastAsia="en-GB"/>
        </w:rPr>
        <w:t>FSI</w:t>
      </w:r>
      <w:r w:rsidR="004949AB">
        <w:rPr>
          <w:rFonts w:eastAsia="Times New Roman" w:cs="Times New Roman"/>
          <w:bCs/>
          <w:i/>
          <w:color w:val="4A4A4A"/>
          <w:sz w:val="21"/>
          <w:szCs w:val="21"/>
          <w:lang w:eastAsia="en-GB"/>
        </w:rPr>
        <w:t>s</w:t>
      </w:r>
      <w:r w:rsidRPr="00733E95">
        <w:rPr>
          <w:rFonts w:eastAsia="Times New Roman" w:cs="Times New Roman"/>
          <w:bCs/>
          <w:i/>
          <w:color w:val="4A4A4A"/>
          <w:sz w:val="21"/>
          <w:szCs w:val="21"/>
          <w:lang w:eastAsia="en-GB"/>
        </w:rPr>
        <w:t xml:space="preserve"> Guide</w:t>
      </w:r>
      <w:r>
        <w:rPr>
          <w:rFonts w:eastAsia="Times New Roman" w:cs="Times New Roman"/>
          <w:bCs/>
          <w:color w:val="4A4A4A"/>
          <w:sz w:val="21"/>
          <w:szCs w:val="21"/>
          <w:lang w:eastAsia="en-GB"/>
        </w:rPr>
        <w:t>.</w:t>
      </w:r>
    </w:p>
    <w:p w14:paraId="5AB6DD91" w14:textId="77777777" w:rsidR="00F719A8" w:rsidRPr="00A96255" w:rsidRDefault="00F719A8" w:rsidP="00A027A2">
      <w:pPr>
        <w:pStyle w:val="MText"/>
      </w:pPr>
    </w:p>
    <w:p w14:paraId="76DF099C" w14:textId="1D42D6C1" w:rsidR="00382CF3" w:rsidRPr="00A96255" w:rsidRDefault="00576CFA" w:rsidP="00254780">
      <w:pPr>
        <w:pStyle w:val="MHeader"/>
        <w:spacing w:after="100"/>
      </w:pPr>
      <w:r w:rsidRPr="00A96255">
        <w:t xml:space="preserve">7. References and Documentation </w:t>
      </w:r>
      <w:r>
        <w:rPr>
          <w:color w:val="B4B4B4"/>
          <w:sz w:val="20"/>
        </w:rPr>
        <w:t>(OTHER_DOC)</w:t>
      </w:r>
    </w:p>
    <w:p w14:paraId="75FC6C59" w14:textId="74323E90" w:rsidR="00D64BA9" w:rsidRDefault="003616C1" w:rsidP="00A027A2">
      <w:pPr>
        <w:shd w:val="clear" w:color="auto" w:fill="FFFFFF"/>
        <w:spacing w:after="0"/>
        <w:rPr>
          <w:rFonts w:eastAsia="Times New Roman" w:cs="Times New Roman"/>
          <w:bCs/>
          <w:color w:val="4A4A4A"/>
          <w:sz w:val="21"/>
          <w:szCs w:val="21"/>
          <w:lang w:eastAsia="en-GB"/>
        </w:rPr>
      </w:pPr>
      <w:r w:rsidRPr="00573631">
        <w:rPr>
          <w:rFonts w:eastAsia="Times New Roman" w:cs="Times New Roman"/>
          <w:b/>
          <w:bCs/>
          <w:color w:val="4A4A4A"/>
          <w:sz w:val="21"/>
          <w:szCs w:val="21"/>
          <w:lang w:eastAsia="en-GB"/>
        </w:rPr>
        <w:t>URL:</w:t>
      </w:r>
      <w:r w:rsidR="00151D4E">
        <w:rPr>
          <w:rFonts w:cstheme="minorHAnsi"/>
        </w:rPr>
        <w:t xml:space="preserve">[1] </w:t>
      </w:r>
      <w:hyperlink r:id="rId14" w:history="1">
        <w:r w:rsidR="00D64BA9" w:rsidRPr="007913E0">
          <w:rPr>
            <w:rStyle w:val="Hyperlink"/>
            <w:rFonts w:eastAsia="Times New Roman" w:cs="Times New Roman"/>
            <w:bCs/>
            <w:sz w:val="21"/>
            <w:szCs w:val="21"/>
            <w:lang w:eastAsia="en-GB"/>
          </w:rPr>
          <w:t>http://data.imf.org/FSI</w:t>
        </w:r>
      </w:hyperlink>
    </w:p>
    <w:p w14:paraId="13E58399" w14:textId="004C369C" w:rsidR="003616C1" w:rsidRPr="00573631" w:rsidRDefault="00151D4E">
      <w:pPr>
        <w:shd w:val="clear" w:color="auto" w:fill="FFFFFF"/>
        <w:spacing w:after="0"/>
        <w:rPr>
          <w:rFonts w:eastAsia="Times New Roman" w:cs="Times New Roman"/>
          <w:color w:val="4A4A4A"/>
          <w:sz w:val="21"/>
          <w:szCs w:val="21"/>
          <w:lang w:eastAsia="en-GB"/>
        </w:rPr>
      </w:pPr>
      <w:r>
        <w:rPr>
          <w:rFonts w:cstheme="minorHAnsi"/>
        </w:rPr>
        <w:t xml:space="preserve">[2] </w:t>
      </w:r>
      <w:hyperlink r:id="rId15" w:history="1">
        <w:r w:rsidR="003D0A4F" w:rsidRPr="003D0A4F">
          <w:rPr>
            <w:rStyle w:val="Hyperlink"/>
            <w:rFonts w:eastAsia="Times New Roman" w:cs="Times New Roman"/>
            <w:sz w:val="21"/>
            <w:szCs w:val="21"/>
            <w:lang w:eastAsia="en-GB"/>
          </w:rPr>
          <w:t>https://www.imf.org/en/Data/Statistics/FSI-guide</w:t>
        </w:r>
      </w:hyperlink>
      <w:r>
        <w:rPr>
          <w:rFonts w:eastAsia="Times New Roman" w:cs="Times New Roman"/>
          <w:color w:val="4A4A4A"/>
          <w:sz w:val="21"/>
          <w:szCs w:val="21"/>
          <w:lang w:eastAsia="en-GB"/>
        </w:rPr>
        <w:t xml:space="preserve"> (2019 FSI Guide)</w:t>
      </w:r>
    </w:p>
    <w:p w14:paraId="66F63F53" w14:textId="40EF0D29" w:rsidR="003616C1" w:rsidRPr="00573631" w:rsidRDefault="003616C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References:</w:t>
      </w:r>
      <w:r>
        <w:rPr>
          <w:rFonts w:eastAsia="Times New Roman" w:cs="Times New Roman"/>
          <w:b/>
          <w:bCs/>
          <w:color w:val="4A4A4A"/>
          <w:sz w:val="21"/>
          <w:szCs w:val="21"/>
          <w:lang w:eastAsia="en-GB"/>
        </w:rPr>
        <w:t xml:space="preserve"> </w:t>
      </w:r>
    </w:p>
    <w:p w14:paraId="384B0992" w14:textId="36889691" w:rsidR="00186795" w:rsidRDefault="00186795" w:rsidP="00254780">
      <w:pPr>
        <w:pStyle w:val="MText"/>
      </w:pPr>
    </w:p>
    <w:sectPr w:rsidR="00186795">
      <w:head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EE913" w14:textId="77777777" w:rsidR="00D263D8" w:rsidRDefault="00D263D8" w:rsidP="00573C0B">
      <w:pPr>
        <w:spacing w:after="0" w:line="240" w:lineRule="auto"/>
      </w:pPr>
      <w:r>
        <w:separator/>
      </w:r>
    </w:p>
  </w:endnote>
  <w:endnote w:type="continuationSeparator" w:id="0">
    <w:p w14:paraId="4C1243F5" w14:textId="77777777" w:rsidR="00D263D8" w:rsidRDefault="00D263D8" w:rsidP="00573C0B">
      <w:pPr>
        <w:spacing w:after="0" w:line="240" w:lineRule="auto"/>
      </w:pPr>
      <w:r>
        <w:continuationSeparator/>
      </w:r>
    </w:p>
  </w:endnote>
  <w:endnote w:type="continuationNotice" w:id="1">
    <w:p w14:paraId="0B1412DE" w14:textId="77777777" w:rsidR="00D263D8" w:rsidRDefault="00D263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useoSlab-30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C6F55" w14:textId="77777777" w:rsidR="00D263D8" w:rsidRDefault="00D263D8" w:rsidP="00573C0B">
      <w:pPr>
        <w:spacing w:after="0" w:line="240" w:lineRule="auto"/>
      </w:pPr>
      <w:r>
        <w:separator/>
      </w:r>
    </w:p>
  </w:footnote>
  <w:footnote w:type="continuationSeparator" w:id="0">
    <w:p w14:paraId="11471B1B" w14:textId="77777777" w:rsidR="00D263D8" w:rsidRDefault="00D263D8" w:rsidP="00573C0B">
      <w:pPr>
        <w:spacing w:after="0" w:line="240" w:lineRule="auto"/>
      </w:pPr>
      <w:r>
        <w:continuationSeparator/>
      </w:r>
    </w:p>
  </w:footnote>
  <w:footnote w:type="continuationNotice" w:id="1">
    <w:p w14:paraId="24B9F09F" w14:textId="77777777" w:rsidR="00D263D8" w:rsidRDefault="00D263D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691D24C3" w:rsidR="00077F46" w:rsidRPr="00757E8A" w:rsidRDefault="00077F46" w:rsidP="00077F46">
    <w:pPr>
      <w:pStyle w:val="Header"/>
      <w:jc w:val="right"/>
      <w:rPr>
        <w:color w:val="404040" w:themeColor="text1" w:themeTint="BF"/>
        <w:sz w:val="18"/>
        <w:szCs w:val="18"/>
      </w:rPr>
    </w:pPr>
    <w:bookmarkStart w:id="8" w:name="_Hlk506197003"/>
    <w:bookmarkStart w:id="9" w:name="_Hlk506197004"/>
    <w:bookmarkStart w:id="10" w:name="_Hlk506197005"/>
    <w:bookmarkStart w:id="11" w:name="_Hlk516233502"/>
    <w:bookmarkStart w:id="12" w:name="_Hlk516233503"/>
    <w:bookmarkStart w:id="13" w:name="_Hlk516233504"/>
    <w:r w:rsidRPr="00757E8A">
      <w:rPr>
        <w:color w:val="404040" w:themeColor="text1" w:themeTint="BF"/>
        <w:sz w:val="18"/>
        <w:szCs w:val="18"/>
      </w:rPr>
      <w:t>Last updated:</w:t>
    </w:r>
    <w:bookmarkEnd w:id="8"/>
    <w:bookmarkEnd w:id="9"/>
    <w:bookmarkEnd w:id="10"/>
    <w:bookmarkEnd w:id="11"/>
    <w:bookmarkEnd w:id="12"/>
    <w:bookmarkEnd w:id="13"/>
    <w:r w:rsidR="00AF5552">
      <w:rPr>
        <w:color w:val="404040" w:themeColor="text1" w:themeTint="BF"/>
        <w:sz w:val="18"/>
        <w:szCs w:val="18"/>
      </w:rPr>
      <w:t xml:space="preserve"> </w:t>
    </w:r>
    <w:r w:rsidR="00CB4E7F">
      <w:rPr>
        <w:color w:val="404040" w:themeColor="text1" w:themeTint="BF"/>
        <w:sz w:val="18"/>
        <w:szCs w:val="18"/>
      </w:rPr>
      <w:t>2024-09-27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26153031">
    <w:abstractNumId w:val="2"/>
  </w:num>
  <w:num w:numId="2" w16cid:durableId="1993675167">
    <w:abstractNumId w:val="0"/>
  </w:num>
  <w:num w:numId="3" w16cid:durableId="75178337">
    <w:abstractNumId w:val="3"/>
  </w:num>
  <w:num w:numId="4" w16cid:durableId="1666711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forms" w:enforcement="0"/>
  <w:defaultTabStop w:val="720"/>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006F"/>
    <w:rsid w:val="00016D78"/>
    <w:rsid w:val="000173F9"/>
    <w:rsid w:val="00020B46"/>
    <w:rsid w:val="00030C55"/>
    <w:rsid w:val="0003293A"/>
    <w:rsid w:val="000412A0"/>
    <w:rsid w:val="00047DDA"/>
    <w:rsid w:val="0005455A"/>
    <w:rsid w:val="000554FE"/>
    <w:rsid w:val="00056844"/>
    <w:rsid w:val="00071F07"/>
    <w:rsid w:val="00077286"/>
    <w:rsid w:val="0007759D"/>
    <w:rsid w:val="000777AB"/>
    <w:rsid w:val="00077F46"/>
    <w:rsid w:val="00085BAB"/>
    <w:rsid w:val="00090FB1"/>
    <w:rsid w:val="00096186"/>
    <w:rsid w:val="000A72E4"/>
    <w:rsid w:val="000B0E2F"/>
    <w:rsid w:val="000B2430"/>
    <w:rsid w:val="000C112A"/>
    <w:rsid w:val="000D0B30"/>
    <w:rsid w:val="000E21F1"/>
    <w:rsid w:val="000E2A2A"/>
    <w:rsid w:val="000F703E"/>
    <w:rsid w:val="00120E86"/>
    <w:rsid w:val="00125DE9"/>
    <w:rsid w:val="001332E0"/>
    <w:rsid w:val="00134DE7"/>
    <w:rsid w:val="00140038"/>
    <w:rsid w:val="00151D4E"/>
    <w:rsid w:val="0015203C"/>
    <w:rsid w:val="00185354"/>
    <w:rsid w:val="001854DC"/>
    <w:rsid w:val="00186795"/>
    <w:rsid w:val="00194D09"/>
    <w:rsid w:val="0019694F"/>
    <w:rsid w:val="00197D83"/>
    <w:rsid w:val="001A7D5C"/>
    <w:rsid w:val="001B3F8B"/>
    <w:rsid w:val="001B60AA"/>
    <w:rsid w:val="001B63C8"/>
    <w:rsid w:val="001C1972"/>
    <w:rsid w:val="001C421F"/>
    <w:rsid w:val="001C44E7"/>
    <w:rsid w:val="001D360D"/>
    <w:rsid w:val="001D6F28"/>
    <w:rsid w:val="001E68A5"/>
    <w:rsid w:val="0020233C"/>
    <w:rsid w:val="002074B3"/>
    <w:rsid w:val="00242CDD"/>
    <w:rsid w:val="00254780"/>
    <w:rsid w:val="00261A8D"/>
    <w:rsid w:val="0026233D"/>
    <w:rsid w:val="00283C1C"/>
    <w:rsid w:val="00287095"/>
    <w:rsid w:val="00291A00"/>
    <w:rsid w:val="00291A11"/>
    <w:rsid w:val="002955D5"/>
    <w:rsid w:val="002A315C"/>
    <w:rsid w:val="002A3342"/>
    <w:rsid w:val="002A64BA"/>
    <w:rsid w:val="002B4989"/>
    <w:rsid w:val="002C2510"/>
    <w:rsid w:val="002D050D"/>
    <w:rsid w:val="002D714E"/>
    <w:rsid w:val="002E048E"/>
    <w:rsid w:val="002E53C3"/>
    <w:rsid w:val="002F1468"/>
    <w:rsid w:val="002F15A2"/>
    <w:rsid w:val="002F5F0C"/>
    <w:rsid w:val="003026A7"/>
    <w:rsid w:val="003265EB"/>
    <w:rsid w:val="00327331"/>
    <w:rsid w:val="0034227D"/>
    <w:rsid w:val="0034329E"/>
    <w:rsid w:val="00343FAA"/>
    <w:rsid w:val="00347F5E"/>
    <w:rsid w:val="00353C98"/>
    <w:rsid w:val="003616C1"/>
    <w:rsid w:val="00371716"/>
    <w:rsid w:val="00371A20"/>
    <w:rsid w:val="00377D89"/>
    <w:rsid w:val="003821B4"/>
    <w:rsid w:val="00382CF3"/>
    <w:rsid w:val="00387D52"/>
    <w:rsid w:val="00395E81"/>
    <w:rsid w:val="003A7CEA"/>
    <w:rsid w:val="003B65DF"/>
    <w:rsid w:val="003C431D"/>
    <w:rsid w:val="003D0A4F"/>
    <w:rsid w:val="003D21F7"/>
    <w:rsid w:val="003F0BD3"/>
    <w:rsid w:val="003F278A"/>
    <w:rsid w:val="003F7A02"/>
    <w:rsid w:val="004228A4"/>
    <w:rsid w:val="00422EA5"/>
    <w:rsid w:val="00422EFA"/>
    <w:rsid w:val="00423147"/>
    <w:rsid w:val="0042791F"/>
    <w:rsid w:val="004456ED"/>
    <w:rsid w:val="0048045A"/>
    <w:rsid w:val="00481BC8"/>
    <w:rsid w:val="004841B8"/>
    <w:rsid w:val="00486346"/>
    <w:rsid w:val="004929A1"/>
    <w:rsid w:val="004930F2"/>
    <w:rsid w:val="004949AB"/>
    <w:rsid w:val="004A4BC5"/>
    <w:rsid w:val="004AC8EB"/>
    <w:rsid w:val="004B0F1C"/>
    <w:rsid w:val="004B43FC"/>
    <w:rsid w:val="004C0478"/>
    <w:rsid w:val="004C76FE"/>
    <w:rsid w:val="004F21D7"/>
    <w:rsid w:val="004F2EE6"/>
    <w:rsid w:val="004F3F98"/>
    <w:rsid w:val="00502DBA"/>
    <w:rsid w:val="005040C4"/>
    <w:rsid w:val="00507637"/>
    <w:rsid w:val="00507852"/>
    <w:rsid w:val="00514DBF"/>
    <w:rsid w:val="00524C0D"/>
    <w:rsid w:val="0052521B"/>
    <w:rsid w:val="00531BEB"/>
    <w:rsid w:val="00536ECD"/>
    <w:rsid w:val="00550921"/>
    <w:rsid w:val="00563712"/>
    <w:rsid w:val="00573631"/>
    <w:rsid w:val="00573C0B"/>
    <w:rsid w:val="00576CFA"/>
    <w:rsid w:val="0058556D"/>
    <w:rsid w:val="00592AF2"/>
    <w:rsid w:val="005947AD"/>
    <w:rsid w:val="00597748"/>
    <w:rsid w:val="005979E8"/>
    <w:rsid w:val="005B74EC"/>
    <w:rsid w:val="005D0AF4"/>
    <w:rsid w:val="005D6A8D"/>
    <w:rsid w:val="005E23C8"/>
    <w:rsid w:val="005E54BD"/>
    <w:rsid w:val="005F267F"/>
    <w:rsid w:val="005F6CCA"/>
    <w:rsid w:val="006104AF"/>
    <w:rsid w:val="00621893"/>
    <w:rsid w:val="006351E1"/>
    <w:rsid w:val="006447B1"/>
    <w:rsid w:val="0064609C"/>
    <w:rsid w:val="00655E4D"/>
    <w:rsid w:val="00662775"/>
    <w:rsid w:val="006852FC"/>
    <w:rsid w:val="00695AB6"/>
    <w:rsid w:val="006A025E"/>
    <w:rsid w:val="006A3433"/>
    <w:rsid w:val="006B40AB"/>
    <w:rsid w:val="006B5DC5"/>
    <w:rsid w:val="006C4BFD"/>
    <w:rsid w:val="006C7D30"/>
    <w:rsid w:val="006E3C08"/>
    <w:rsid w:val="00700ACF"/>
    <w:rsid w:val="00712487"/>
    <w:rsid w:val="00741970"/>
    <w:rsid w:val="007530CA"/>
    <w:rsid w:val="00756D68"/>
    <w:rsid w:val="007578D9"/>
    <w:rsid w:val="00757E8A"/>
    <w:rsid w:val="00763E43"/>
    <w:rsid w:val="00764EB5"/>
    <w:rsid w:val="00777A95"/>
    <w:rsid w:val="00782416"/>
    <w:rsid w:val="007833E0"/>
    <w:rsid w:val="007B0364"/>
    <w:rsid w:val="007C3604"/>
    <w:rsid w:val="007C61E2"/>
    <w:rsid w:val="007D0981"/>
    <w:rsid w:val="007D1929"/>
    <w:rsid w:val="007E1D9D"/>
    <w:rsid w:val="007E569B"/>
    <w:rsid w:val="007E5BAA"/>
    <w:rsid w:val="007F0D40"/>
    <w:rsid w:val="00803CF1"/>
    <w:rsid w:val="008104BB"/>
    <w:rsid w:val="008118B9"/>
    <w:rsid w:val="00816EE0"/>
    <w:rsid w:val="00822B79"/>
    <w:rsid w:val="008249C5"/>
    <w:rsid w:val="00830755"/>
    <w:rsid w:val="008526F9"/>
    <w:rsid w:val="0085285E"/>
    <w:rsid w:val="00853023"/>
    <w:rsid w:val="0085348C"/>
    <w:rsid w:val="008534D4"/>
    <w:rsid w:val="00872027"/>
    <w:rsid w:val="00881E28"/>
    <w:rsid w:val="00894C4B"/>
    <w:rsid w:val="008A12E3"/>
    <w:rsid w:val="008A42FA"/>
    <w:rsid w:val="008B0AC7"/>
    <w:rsid w:val="008C2335"/>
    <w:rsid w:val="008C470B"/>
    <w:rsid w:val="008C67C1"/>
    <w:rsid w:val="008D1D39"/>
    <w:rsid w:val="008D735E"/>
    <w:rsid w:val="008F07D2"/>
    <w:rsid w:val="00917851"/>
    <w:rsid w:val="00917F65"/>
    <w:rsid w:val="009253F0"/>
    <w:rsid w:val="009311E7"/>
    <w:rsid w:val="00942694"/>
    <w:rsid w:val="00987261"/>
    <w:rsid w:val="009A5983"/>
    <w:rsid w:val="009A7E3A"/>
    <w:rsid w:val="009B1265"/>
    <w:rsid w:val="009B4A15"/>
    <w:rsid w:val="009B5693"/>
    <w:rsid w:val="009C61A2"/>
    <w:rsid w:val="009C78E4"/>
    <w:rsid w:val="009D1FC4"/>
    <w:rsid w:val="009D687E"/>
    <w:rsid w:val="009F425B"/>
    <w:rsid w:val="009F6DE7"/>
    <w:rsid w:val="00A027A2"/>
    <w:rsid w:val="00A10583"/>
    <w:rsid w:val="00A10A58"/>
    <w:rsid w:val="00A32520"/>
    <w:rsid w:val="00A37FCB"/>
    <w:rsid w:val="00A52475"/>
    <w:rsid w:val="00A54863"/>
    <w:rsid w:val="00A61D74"/>
    <w:rsid w:val="00A72590"/>
    <w:rsid w:val="00A8688B"/>
    <w:rsid w:val="00A91163"/>
    <w:rsid w:val="00A9286F"/>
    <w:rsid w:val="00A96255"/>
    <w:rsid w:val="00AB285B"/>
    <w:rsid w:val="00AC60DA"/>
    <w:rsid w:val="00AD28D5"/>
    <w:rsid w:val="00AE0E61"/>
    <w:rsid w:val="00AF304A"/>
    <w:rsid w:val="00AF4C4E"/>
    <w:rsid w:val="00AF5552"/>
    <w:rsid w:val="00AF5CB4"/>
    <w:rsid w:val="00AF5ED1"/>
    <w:rsid w:val="00AF71D6"/>
    <w:rsid w:val="00B0451F"/>
    <w:rsid w:val="00B216EE"/>
    <w:rsid w:val="00B24676"/>
    <w:rsid w:val="00B25BCE"/>
    <w:rsid w:val="00B3175F"/>
    <w:rsid w:val="00B31E2C"/>
    <w:rsid w:val="00B329B0"/>
    <w:rsid w:val="00B37710"/>
    <w:rsid w:val="00B402D8"/>
    <w:rsid w:val="00B4237C"/>
    <w:rsid w:val="00B42F37"/>
    <w:rsid w:val="00B42FE8"/>
    <w:rsid w:val="00B43DAE"/>
    <w:rsid w:val="00B52AFD"/>
    <w:rsid w:val="00B54077"/>
    <w:rsid w:val="00B8087E"/>
    <w:rsid w:val="00B80BD1"/>
    <w:rsid w:val="00BA1E25"/>
    <w:rsid w:val="00BA4A6B"/>
    <w:rsid w:val="00BA70C1"/>
    <w:rsid w:val="00BB125C"/>
    <w:rsid w:val="00BB5AD1"/>
    <w:rsid w:val="00BB646E"/>
    <w:rsid w:val="00BC5F32"/>
    <w:rsid w:val="00BD1BA1"/>
    <w:rsid w:val="00C019E5"/>
    <w:rsid w:val="00C04005"/>
    <w:rsid w:val="00C13216"/>
    <w:rsid w:val="00C26311"/>
    <w:rsid w:val="00C35BC4"/>
    <w:rsid w:val="00C43F5B"/>
    <w:rsid w:val="00C46477"/>
    <w:rsid w:val="00C468C3"/>
    <w:rsid w:val="00CB4371"/>
    <w:rsid w:val="00CB4E7F"/>
    <w:rsid w:val="00CC2317"/>
    <w:rsid w:val="00CC3DBD"/>
    <w:rsid w:val="00CC516D"/>
    <w:rsid w:val="00CC7B88"/>
    <w:rsid w:val="00CD3849"/>
    <w:rsid w:val="00CE4CD8"/>
    <w:rsid w:val="00D20568"/>
    <w:rsid w:val="00D24330"/>
    <w:rsid w:val="00D263D8"/>
    <w:rsid w:val="00D30E2B"/>
    <w:rsid w:val="00D40056"/>
    <w:rsid w:val="00D51E7C"/>
    <w:rsid w:val="00D54F29"/>
    <w:rsid w:val="00D64BA9"/>
    <w:rsid w:val="00D7020C"/>
    <w:rsid w:val="00D70AD9"/>
    <w:rsid w:val="00D72152"/>
    <w:rsid w:val="00D77C00"/>
    <w:rsid w:val="00D93105"/>
    <w:rsid w:val="00D932FF"/>
    <w:rsid w:val="00D94BA5"/>
    <w:rsid w:val="00D9510F"/>
    <w:rsid w:val="00DA615C"/>
    <w:rsid w:val="00DD1BC6"/>
    <w:rsid w:val="00DD4273"/>
    <w:rsid w:val="00DE5DC3"/>
    <w:rsid w:val="00DF4ECA"/>
    <w:rsid w:val="00E00D8A"/>
    <w:rsid w:val="00E1050F"/>
    <w:rsid w:val="00E11604"/>
    <w:rsid w:val="00E11D92"/>
    <w:rsid w:val="00E130A0"/>
    <w:rsid w:val="00E20D61"/>
    <w:rsid w:val="00E210C4"/>
    <w:rsid w:val="00E21FB0"/>
    <w:rsid w:val="00E23DB7"/>
    <w:rsid w:val="00E44150"/>
    <w:rsid w:val="00E46D96"/>
    <w:rsid w:val="00E52CCA"/>
    <w:rsid w:val="00E55C14"/>
    <w:rsid w:val="00E66409"/>
    <w:rsid w:val="00E72A89"/>
    <w:rsid w:val="00E81D5B"/>
    <w:rsid w:val="00E90A59"/>
    <w:rsid w:val="00E976B9"/>
    <w:rsid w:val="00EA05D3"/>
    <w:rsid w:val="00EA6F23"/>
    <w:rsid w:val="00EB19AD"/>
    <w:rsid w:val="00EB2F31"/>
    <w:rsid w:val="00EB6493"/>
    <w:rsid w:val="00EC2915"/>
    <w:rsid w:val="00EC5CB5"/>
    <w:rsid w:val="00ED05A9"/>
    <w:rsid w:val="00ED1BA0"/>
    <w:rsid w:val="00EF625A"/>
    <w:rsid w:val="00EF6F87"/>
    <w:rsid w:val="00F02036"/>
    <w:rsid w:val="00F046CE"/>
    <w:rsid w:val="00F17257"/>
    <w:rsid w:val="00F25B54"/>
    <w:rsid w:val="00F34D24"/>
    <w:rsid w:val="00F4130B"/>
    <w:rsid w:val="00F43157"/>
    <w:rsid w:val="00F556A2"/>
    <w:rsid w:val="00F56A79"/>
    <w:rsid w:val="00F719A8"/>
    <w:rsid w:val="00F85E55"/>
    <w:rsid w:val="00F878B9"/>
    <w:rsid w:val="00FB24E8"/>
    <w:rsid w:val="00FB3B2B"/>
    <w:rsid w:val="00FC18DA"/>
    <w:rsid w:val="00FC2353"/>
    <w:rsid w:val="00FC3917"/>
    <w:rsid w:val="00FC5062"/>
    <w:rsid w:val="00FD60DA"/>
    <w:rsid w:val="00FD7BD0"/>
    <w:rsid w:val="00FE1611"/>
    <w:rsid w:val="00FF07B4"/>
    <w:rsid w:val="00FF3E79"/>
    <w:rsid w:val="464D785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Revision">
    <w:name w:val="Revision"/>
    <w:hidden/>
    <w:uiPriority w:val="99"/>
    <w:semiHidden/>
    <w:rsid w:val="00E20D61"/>
    <w:pPr>
      <w:spacing w:after="0" w:line="240" w:lineRule="auto"/>
    </w:pPr>
  </w:style>
  <w:style w:type="character" w:styleId="FollowedHyperlink">
    <w:name w:val="FollowedHyperlink"/>
    <w:basedOn w:val="DefaultParagraphFont"/>
    <w:uiPriority w:val="99"/>
    <w:semiHidden/>
    <w:unhideWhenUsed/>
    <w:rsid w:val="00AC60DA"/>
    <w:rPr>
      <w:color w:val="800080" w:themeColor="followedHyperlink"/>
      <w:u w:val="single"/>
    </w:rPr>
  </w:style>
  <w:style w:type="character" w:customStyle="1" w:styleId="ui-provider">
    <w:name w:val="ui-provider"/>
    <w:basedOn w:val="DefaultParagraphFont"/>
    <w:rsid w:val="00FC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75158">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7682470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26257691">
      <w:bodyDiv w:val="1"/>
      <w:marLeft w:val="0"/>
      <w:marRight w:val="0"/>
      <w:marTop w:val="0"/>
      <w:marBottom w:val="0"/>
      <w:divBdr>
        <w:top w:val="none" w:sz="0" w:space="0" w:color="auto"/>
        <w:left w:val="none" w:sz="0" w:space="0" w:color="auto"/>
        <w:bottom w:val="none" w:sz="0" w:space="0" w:color="auto"/>
        <w:right w:val="none" w:sz="0" w:space="0" w:color="auto"/>
      </w:divBdr>
    </w:div>
    <w:div w:id="197979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ata.imf.org/FSI"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data.imf.org/FSI"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ata.imf.org/FSI" TargetMode="External"/><Relationship Id="rId5" Type="http://schemas.openxmlformats.org/officeDocument/2006/relationships/numbering" Target="numbering.xml"/><Relationship Id="rId15" Type="http://schemas.openxmlformats.org/officeDocument/2006/relationships/hyperlink" Target="https://www.imf.org/en/Data/Statistics/FSI-guide"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data.imf.org/FSI"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94AFB44F-93CE-46D7-B412-3190BB38BEF7}"/>
      </w:docPartPr>
      <w:docPartBody>
        <w:p w:rsidR="00286FAA" w:rsidRDefault="00031B52">
          <w:r w:rsidRPr="00785E59">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useoSlab-30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B52"/>
    <w:rsid w:val="00031B52"/>
    <w:rsid w:val="0024404C"/>
    <w:rsid w:val="00265A61"/>
    <w:rsid w:val="00286FAA"/>
    <w:rsid w:val="00377D89"/>
    <w:rsid w:val="003C431D"/>
    <w:rsid w:val="00646699"/>
    <w:rsid w:val="006620EF"/>
    <w:rsid w:val="007C441F"/>
    <w:rsid w:val="00C74074"/>
    <w:rsid w:val="00DF4E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6F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13DF12-35C1-407B-AF15-5CBFB76E37CA}">
  <ds:schemaRefs>
    <ds:schemaRef ds:uri="http://schemas.openxmlformats.org/officeDocument/2006/bibliography"/>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2395</Words>
  <Characters>13657</Characters>
  <Application>Microsoft Office Word</Application>
  <DocSecurity>0</DocSecurity>
  <Lines>113</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United Nations</Company>
  <LinksUpToDate>false</LinksUpToDate>
  <CharactersWithSpaces>16020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shibata@un.org</dc:creator>
  <cp:lastModifiedBy>Harumi Shibata Salazar</cp:lastModifiedBy>
  <cp:revision>7</cp:revision>
  <cp:lastPrinted>2016-07-16T14:25:00Z</cp:lastPrinted>
  <dcterms:created xsi:type="dcterms:W3CDTF">2024-08-26T13:45:00Z</dcterms:created>
  <dcterms:modified xsi:type="dcterms:W3CDTF">2024-10-01T16:54:00Z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y fmtid="{D5CDD505-2E9C-101B-9397-08002B2CF9AE}" pid="3" name="MSIP_Label_0c07ed86-5dc5-4593-ad03-a8684b843815_Enabled">
    <vt:lpwstr>true</vt:lpwstr>
  </property>
  <property fmtid="{D5CDD505-2E9C-101B-9397-08002B2CF9AE}" pid="4" name="MSIP_Label_0c07ed86-5dc5-4593-ad03-a8684b843815_SetDate">
    <vt:lpwstr>2024-08-25T14:23:09Z</vt:lpwstr>
  </property>
  <property fmtid="{D5CDD505-2E9C-101B-9397-08002B2CF9AE}" pid="5" name="MSIP_Label_0c07ed86-5dc5-4593-ad03-a8684b843815_Method">
    <vt:lpwstr>Standard</vt:lpwstr>
  </property>
  <property fmtid="{D5CDD505-2E9C-101B-9397-08002B2CF9AE}" pid="6" name="MSIP_Label_0c07ed86-5dc5-4593-ad03-a8684b843815_Name">
    <vt:lpwstr>0c07ed86-5dc5-4593-ad03-a8684b843815</vt:lpwstr>
  </property>
  <property fmtid="{D5CDD505-2E9C-101B-9397-08002B2CF9AE}" pid="7" name="MSIP_Label_0c07ed86-5dc5-4593-ad03-a8684b843815_SiteId">
    <vt:lpwstr>8085fa43-302e-45bd-b171-a6648c3b6be7</vt:lpwstr>
  </property>
  <property fmtid="{D5CDD505-2E9C-101B-9397-08002B2CF9AE}" pid="8" name="MSIP_Label_0c07ed86-5dc5-4593-ad03-a8684b843815_ActionId">
    <vt:lpwstr>98cc37c5-c5f7-45fc-8d9f-bb195c651f36</vt:lpwstr>
  </property>
  <property fmtid="{D5CDD505-2E9C-101B-9397-08002B2CF9AE}" pid="9" name="MSIP_Label_0c07ed86-5dc5-4593-ad03-a8684b843815_ContentBits">
    <vt:lpwstr>0</vt:lpwstr>
  </property>
</Properties>
</file>