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6212" w14:textId="45EA890F" w:rsidR="00D11818" w:rsidRDefault="003D7920" w:rsidP="00223DAC">
      <w:pPr>
        <w:pStyle w:val="Title"/>
      </w:pPr>
      <w:r w:rsidRPr="00223DAC">
        <w:rPr>
          <w:color w:val="1C75BB"/>
        </w:rPr>
        <w:t>SDG</w:t>
      </w:r>
      <w:r w:rsidRPr="00223DAC">
        <w:rPr>
          <w:color w:val="1C75BB"/>
          <w:spacing w:val="-2"/>
        </w:rPr>
        <w:t xml:space="preserve"> </w:t>
      </w:r>
      <w:r w:rsidRPr="00223DAC">
        <w:rPr>
          <w:color w:val="1C75BB"/>
        </w:rPr>
        <w:t>indicator</w:t>
      </w:r>
      <w:r w:rsidRPr="00223DAC">
        <w:rPr>
          <w:color w:val="1C75BB"/>
          <w:spacing w:val="-2"/>
        </w:rPr>
        <w:t xml:space="preserve"> </w:t>
      </w:r>
      <w:r w:rsidRPr="00223DAC">
        <w:rPr>
          <w:color w:val="1C75BB"/>
        </w:rPr>
        <w:t>metadata</w:t>
      </w:r>
    </w:p>
    <w:p w14:paraId="3FB22182" w14:textId="51F0E882" w:rsidR="00D11818" w:rsidRPr="00223DAC" w:rsidRDefault="003D7920" w:rsidP="00223DAC">
      <w:pPr>
        <w:spacing w:before="65"/>
        <w:jc w:val="center"/>
        <w:rPr>
          <w:rFonts w:eastAsiaTheme="minorEastAsia" w:cstheme="minorBidi"/>
          <w:lang w:eastAsia="zh-CN"/>
        </w:rPr>
      </w:pPr>
      <w:r w:rsidRPr="00223DAC">
        <w:rPr>
          <w:b/>
          <w:color w:val="494949"/>
          <w:sz w:val="21"/>
        </w:rPr>
        <w:t>(Harmonized metadata template - format version 1.1)</w:t>
      </w:r>
    </w:p>
    <w:p w14:paraId="1C286B91" w14:textId="77777777" w:rsidR="00933288" w:rsidRPr="00223DAC" w:rsidRDefault="00933288" w:rsidP="00223DAC">
      <w:pPr>
        <w:pStyle w:val="BodyText"/>
        <w:spacing w:before="39" w:line="276" w:lineRule="auto"/>
        <w:ind w:right="130"/>
        <w:rPr>
          <w:color w:val="494949"/>
        </w:rPr>
      </w:pPr>
    </w:p>
    <w:p w14:paraId="7411F395" w14:textId="77777777" w:rsidR="00CE4C2F" w:rsidRPr="00A96255" w:rsidRDefault="00CE4C2F" w:rsidP="00CE4C2F">
      <w:pPr>
        <w:pStyle w:val="MIndHeader2"/>
      </w:pPr>
      <w:r w:rsidRPr="00A96255">
        <w:t xml:space="preserve">0. Indicator information </w:t>
      </w:r>
      <w:r>
        <w:rPr>
          <w:color w:val="B4B4B4"/>
          <w:sz w:val="20"/>
        </w:rPr>
        <w:t>(SDG_INDICATOR_INFO)</w:t>
      </w:r>
    </w:p>
    <w:p w14:paraId="6FBA8D51" w14:textId="77777777" w:rsidR="00CE4C2F" w:rsidRPr="00A96255" w:rsidRDefault="00CE4C2F" w:rsidP="00CE4C2F">
      <w:pPr>
        <w:pStyle w:val="MIndHeader"/>
      </w:pPr>
      <w:r w:rsidRPr="00A96255">
        <w:t xml:space="preserve">0.a. Goal </w:t>
      </w:r>
      <w:r>
        <w:rPr>
          <w:color w:val="B4B4B4"/>
          <w:sz w:val="20"/>
        </w:rPr>
        <w:t>(SDG_GOAL)</w:t>
      </w:r>
    </w:p>
    <w:p w14:paraId="62CC55BC" w14:textId="5B48F530" w:rsidR="00CE4C2F" w:rsidRPr="002773FC" w:rsidRDefault="00F36321" w:rsidP="00223DAC">
      <w:pPr>
        <w:pStyle w:val="MGTHeader"/>
      </w:pPr>
      <w:r w:rsidRPr="002773FC">
        <w:t>Goal 10: Reduce inequality within and among countries</w:t>
      </w:r>
    </w:p>
    <w:p w14:paraId="5401EA22" w14:textId="77777777" w:rsidR="00CE4C2F" w:rsidRPr="00A96255" w:rsidRDefault="00CE4C2F" w:rsidP="00CE4C2F">
      <w:pPr>
        <w:pStyle w:val="MIndHeader"/>
      </w:pPr>
      <w:r w:rsidRPr="00A96255">
        <w:t xml:space="preserve">0.b. Target </w:t>
      </w:r>
      <w:r>
        <w:rPr>
          <w:color w:val="B4B4B4"/>
          <w:sz w:val="20"/>
        </w:rPr>
        <w:t>(SDG_TARGET)</w:t>
      </w:r>
    </w:p>
    <w:p w14:paraId="687FF636" w14:textId="5941F444" w:rsidR="00CE4C2F" w:rsidRPr="00A96255" w:rsidRDefault="00696286" w:rsidP="00CE4C2F">
      <w:pPr>
        <w:pStyle w:val="MGTHeader"/>
      </w:pPr>
      <w:r w:rsidRPr="00696286">
        <w:t>Target 10.6: Ensure enhanced representation and voice for developing countries in decision-making in global international economic and financial institutions in order to deliver more effective, credible, accountable and legitimate institutions</w:t>
      </w:r>
    </w:p>
    <w:p w14:paraId="101569FC" w14:textId="77777777" w:rsidR="00CE4C2F" w:rsidRPr="00A96255" w:rsidRDefault="00CE4C2F" w:rsidP="00CE4C2F">
      <w:pPr>
        <w:pStyle w:val="MIndHeader"/>
      </w:pPr>
      <w:r w:rsidRPr="00A96255">
        <w:t xml:space="preserve">0.c. Indicator </w:t>
      </w:r>
      <w:r>
        <w:rPr>
          <w:color w:val="B4B4B4"/>
          <w:sz w:val="20"/>
        </w:rPr>
        <w:t>(SDG_INDICATOR)</w:t>
      </w:r>
    </w:p>
    <w:p w14:paraId="208F9F66" w14:textId="64181CF0" w:rsidR="00CE4C2F" w:rsidRPr="00223DAC" w:rsidRDefault="001B300C" w:rsidP="00CE4C2F">
      <w:pPr>
        <w:pStyle w:val="MGTHeader"/>
        <w:rPr>
          <w:rFonts w:ascii="Calibri" w:hAnsi="Calibri"/>
        </w:rPr>
      </w:pPr>
      <w:r w:rsidRPr="001B300C">
        <w:t>Indicator 10.6.1: Proportion of members and voting rights of developing countries in international organizations</w:t>
      </w:r>
    </w:p>
    <w:p w14:paraId="40E2BE08" w14:textId="77777777" w:rsidR="00CE4C2F" w:rsidRPr="0010310C" w:rsidRDefault="00CE4C2F" w:rsidP="00CE4C2F">
      <w:pPr>
        <w:pStyle w:val="MIndHeader"/>
        <w:rPr>
          <w:lang w:val="en-US"/>
        </w:rPr>
      </w:pPr>
      <w:r w:rsidRPr="0010310C">
        <w:rPr>
          <w:lang w:val="en-US"/>
        </w:rPr>
        <w:t xml:space="preserve">0.d. Series </w:t>
      </w:r>
      <w:r>
        <w:rPr>
          <w:color w:val="B4B4B4"/>
          <w:sz w:val="20"/>
        </w:rPr>
        <w:t>(SDG_SERIES_DESCR)</w:t>
      </w:r>
    </w:p>
    <w:p w14:paraId="55A118AA" w14:textId="77777777" w:rsidR="00CE4C2F" w:rsidRPr="0010310C" w:rsidRDefault="00CE4C2F" w:rsidP="002773FC">
      <w:pPr>
        <w:pStyle w:val="MGTHeader"/>
        <w:rPr>
          <w:lang w:val="en-US"/>
        </w:rPr>
      </w:pPr>
    </w:p>
    <w:p w14:paraId="203C10D8" w14:textId="77777777" w:rsidR="00CE4C2F" w:rsidRPr="0010310C" w:rsidRDefault="00CE4C2F" w:rsidP="00CE4C2F">
      <w:pPr>
        <w:pStyle w:val="MIndHeader"/>
        <w:rPr>
          <w:lang w:val="en-US"/>
        </w:rPr>
      </w:pPr>
      <w:r w:rsidRPr="0010310C">
        <w:rPr>
          <w:lang w:val="en-US"/>
        </w:rPr>
        <w:t xml:space="preserve">0.e. Metadata update </w:t>
      </w:r>
      <w:r>
        <w:rPr>
          <w:color w:val="B4B4B4"/>
          <w:sz w:val="20"/>
        </w:rPr>
        <w:t>(META_LAST_UPDATE)</w:t>
      </w:r>
    </w:p>
    <w:sdt>
      <w:sdtPr>
        <w:rPr>
          <w:lang w:val="en-US"/>
        </w:rPr>
        <w:id w:val="-573130644"/>
        <w:placeholder>
          <w:docPart w:val="DefaultPlaceholder_-1854013437"/>
        </w:placeholder>
        <w:date w:fullDate="2022-07-07T00:00:00Z">
          <w:dateFormat w:val="yyyy-MM-dd"/>
          <w:lid w:val="en-US"/>
          <w:storeMappedDataAs w:val="dateTime"/>
          <w:calendar w:val="gregorian"/>
        </w:date>
      </w:sdtPr>
      <w:sdtContent>
        <w:p w14:paraId="3B5EF534" w14:textId="7FA4D09C" w:rsidR="00CE4C2F" w:rsidRPr="0010310C" w:rsidRDefault="0010310C" w:rsidP="00CE4C2F">
          <w:pPr>
            <w:pStyle w:val="MGTHeader"/>
            <w:rPr>
              <w:lang w:val="en-US"/>
            </w:rPr>
          </w:pPr>
          <w:r>
            <w:rPr>
              <w:lang w:val="en-US"/>
            </w:rPr>
            <w:t>2022-07-07</w:t>
          </w:r>
        </w:p>
      </w:sdtContent>
    </w:sdt>
    <w:p w14:paraId="44F19159" w14:textId="77777777" w:rsidR="00CE4C2F" w:rsidRDefault="00CE4C2F" w:rsidP="00CE4C2F">
      <w:pPr>
        <w:pStyle w:val="MIndHeader"/>
      </w:pPr>
      <w:r w:rsidRPr="00A96255">
        <w:t xml:space="preserve">0.f. Related indicators </w:t>
      </w:r>
      <w:r>
        <w:rPr>
          <w:color w:val="B4B4B4"/>
          <w:sz w:val="20"/>
        </w:rPr>
        <w:t>(SDG_RELATED_INDICATORS)</w:t>
      </w:r>
    </w:p>
    <w:p w14:paraId="0261EBC9" w14:textId="77777777" w:rsidR="00CE4C2F" w:rsidRDefault="00CE4C2F" w:rsidP="002773FC">
      <w:pPr>
        <w:pStyle w:val="MGTHeader"/>
      </w:pPr>
    </w:p>
    <w:p w14:paraId="019F3971" w14:textId="77777777" w:rsidR="00CE4C2F" w:rsidRPr="00A96255" w:rsidRDefault="00CE4C2F" w:rsidP="00CE4C2F">
      <w:pPr>
        <w:pStyle w:val="MIndHeader"/>
      </w:pPr>
      <w:r w:rsidRPr="00A96255">
        <w:t xml:space="preserve">0.g. </w:t>
      </w:r>
      <w:proofErr w:type="gramStart"/>
      <w:r w:rsidRPr="00A96255">
        <w:t>International</w:t>
      </w:r>
      <w:proofErr w:type="gramEnd"/>
      <w:r w:rsidRPr="00A96255">
        <w:t xml:space="preserve"> organisations(s) responsible for global monitoring </w:t>
      </w:r>
      <w:r>
        <w:rPr>
          <w:color w:val="B4B4B4"/>
          <w:sz w:val="20"/>
        </w:rPr>
        <w:t>(SDG_CUSTODIAN_AGENCIES)</w:t>
      </w:r>
    </w:p>
    <w:p w14:paraId="546B591A" w14:textId="1358FE1F" w:rsidR="00CE4C2F" w:rsidRPr="00A96255" w:rsidRDefault="00CE4C2F" w:rsidP="00CE4C2F">
      <w:pPr>
        <w:pStyle w:val="MGTHeader"/>
        <w:rPr>
          <w:color w:val="4A4A4A"/>
        </w:rPr>
      </w:pPr>
      <w:r>
        <w:t>Financing</w:t>
      </w:r>
      <w:r w:rsidRPr="00223DAC">
        <w:rPr>
          <w:spacing w:val="-4"/>
        </w:rPr>
        <w:t xml:space="preserve"> </w:t>
      </w:r>
      <w:r>
        <w:t>for</w:t>
      </w:r>
      <w:r w:rsidRPr="00223DAC">
        <w:rPr>
          <w:spacing w:val="-1"/>
        </w:rPr>
        <w:t xml:space="preserve"> </w:t>
      </w:r>
      <w:r>
        <w:t>Sustainable</w:t>
      </w:r>
      <w:r w:rsidRPr="00223DAC">
        <w:rPr>
          <w:spacing w:val="-1"/>
        </w:rPr>
        <w:t xml:space="preserve"> </w:t>
      </w:r>
      <w:r>
        <w:t>Development</w:t>
      </w:r>
      <w:r w:rsidRPr="00223DAC">
        <w:rPr>
          <w:spacing w:val="-3"/>
        </w:rPr>
        <w:t xml:space="preserve"> </w:t>
      </w:r>
      <w:r>
        <w:t>Office (FSDO),</w:t>
      </w:r>
      <w:r>
        <w:rPr>
          <w:spacing w:val="-4"/>
        </w:rPr>
        <w:t xml:space="preserve"> United Nations Department of Economic and Social Affairs (UN-</w:t>
      </w:r>
      <w:r>
        <w:t>DESA)</w:t>
      </w:r>
    </w:p>
    <w:p w14:paraId="49889B32" w14:textId="77777777" w:rsidR="00E14906" w:rsidRPr="00223DAC" w:rsidRDefault="00E14906" w:rsidP="00223DAC">
      <w:bookmarkStart w:id="0" w:name="_Toc37932744"/>
      <w:bookmarkStart w:id="1" w:name="_Toc36813072"/>
      <w:bookmarkStart w:id="2" w:name="_Toc36812685"/>
      <w:bookmarkStart w:id="3" w:name="_Toc36812572"/>
      <w:bookmarkStart w:id="4" w:name="_Toc36655609"/>
    </w:p>
    <w:p w14:paraId="371AF285" w14:textId="68DB8BA1" w:rsidR="00E14906" w:rsidRPr="00EA05D3" w:rsidRDefault="00E14906" w:rsidP="00E14906">
      <w:pPr>
        <w:pStyle w:val="MHeader"/>
      </w:pPr>
      <w:r w:rsidRPr="00EA05D3">
        <w:t xml:space="preserve">1. Data reporter </w:t>
      </w:r>
      <w:bookmarkEnd w:id="0"/>
      <w:bookmarkEnd w:id="1"/>
      <w:bookmarkEnd w:id="2"/>
      <w:bookmarkEnd w:id="3"/>
      <w:bookmarkEnd w:id="4"/>
      <w:r>
        <w:rPr>
          <w:color w:val="B4B4B4"/>
          <w:sz w:val="20"/>
        </w:rPr>
        <w:t>(CONTACT)</w:t>
      </w:r>
    </w:p>
    <w:p w14:paraId="1FD6AEF0" w14:textId="77777777" w:rsidR="00E14906" w:rsidRPr="00A96255" w:rsidRDefault="00E14906" w:rsidP="00E14906">
      <w:pPr>
        <w:pStyle w:val="MHeader2"/>
      </w:pPr>
      <w:r w:rsidRPr="00A96255">
        <w:t xml:space="preserve">1.a. Organisation </w:t>
      </w:r>
      <w:r>
        <w:rPr>
          <w:color w:val="B4B4B4"/>
          <w:sz w:val="20"/>
        </w:rPr>
        <w:t>(CONTACT_ORGANISATION)</w:t>
      </w:r>
    </w:p>
    <w:p w14:paraId="0A01DFC5" w14:textId="689579B8" w:rsidR="00E14906" w:rsidRPr="00223DAC" w:rsidRDefault="00E14906" w:rsidP="00223DAC">
      <w:pPr>
        <w:pStyle w:val="BodyText"/>
        <w:spacing w:before="76"/>
        <w:ind w:left="0"/>
        <w:rPr>
          <w:color w:val="494949"/>
        </w:rPr>
      </w:pPr>
      <w:r w:rsidRPr="00223DAC">
        <w:rPr>
          <w:color w:val="333333"/>
        </w:rPr>
        <w:t>Financing</w:t>
      </w:r>
      <w:r w:rsidRPr="00223DAC">
        <w:rPr>
          <w:color w:val="333333"/>
          <w:spacing w:val="-4"/>
        </w:rPr>
        <w:t xml:space="preserve"> </w:t>
      </w:r>
      <w:r w:rsidRPr="00223DAC">
        <w:rPr>
          <w:color w:val="333333"/>
        </w:rPr>
        <w:t>for</w:t>
      </w:r>
      <w:r w:rsidRPr="00223DAC">
        <w:rPr>
          <w:color w:val="333333"/>
          <w:spacing w:val="-1"/>
        </w:rPr>
        <w:t xml:space="preserve"> </w:t>
      </w:r>
      <w:r w:rsidRPr="00223DAC">
        <w:rPr>
          <w:color w:val="333333"/>
        </w:rPr>
        <w:t>Sustainable</w:t>
      </w:r>
      <w:r w:rsidRPr="00223DAC">
        <w:rPr>
          <w:color w:val="333333"/>
          <w:spacing w:val="-1"/>
        </w:rPr>
        <w:t xml:space="preserve"> </w:t>
      </w:r>
      <w:r w:rsidRPr="00223DAC">
        <w:rPr>
          <w:color w:val="333333"/>
        </w:rPr>
        <w:t>Development</w:t>
      </w:r>
      <w:r w:rsidRPr="00223DAC">
        <w:rPr>
          <w:color w:val="333333"/>
          <w:spacing w:val="-3"/>
        </w:rPr>
        <w:t xml:space="preserve"> </w:t>
      </w:r>
      <w:r w:rsidRPr="00223DAC">
        <w:rPr>
          <w:color w:val="333333"/>
        </w:rPr>
        <w:t>Office</w:t>
      </w:r>
      <w:r>
        <w:rPr>
          <w:color w:val="333333"/>
        </w:rPr>
        <w:t xml:space="preserve"> (FSDO),</w:t>
      </w:r>
      <w:r>
        <w:rPr>
          <w:color w:val="333333"/>
          <w:spacing w:val="-4"/>
        </w:rPr>
        <w:t xml:space="preserve"> United Nations Department of Economic and Social Affairs (UN-</w:t>
      </w:r>
      <w:r w:rsidRPr="00223DAC">
        <w:rPr>
          <w:color w:val="333333"/>
        </w:rPr>
        <w:t>DESA</w:t>
      </w:r>
      <w:r>
        <w:rPr>
          <w:color w:val="333333"/>
        </w:rPr>
        <w:t>)</w:t>
      </w:r>
    </w:p>
    <w:p w14:paraId="04F22CFC" w14:textId="77777777" w:rsidR="00E14906" w:rsidRPr="00223DAC" w:rsidRDefault="00E14906" w:rsidP="00223DAC">
      <w:pPr>
        <w:pStyle w:val="BodyText"/>
        <w:spacing w:before="39" w:line="276" w:lineRule="auto"/>
        <w:ind w:left="0" w:right="130"/>
        <w:rPr>
          <w:color w:val="494949"/>
        </w:rPr>
      </w:pPr>
    </w:p>
    <w:p w14:paraId="1789E902" w14:textId="77777777" w:rsidR="00E14906" w:rsidRPr="00A96255" w:rsidRDefault="00E14906" w:rsidP="00E14906">
      <w:pPr>
        <w:pStyle w:val="MHeader"/>
      </w:pPr>
      <w:r w:rsidRPr="00A96255">
        <w:t xml:space="preserve">2. Definition, concepts, and classifications </w:t>
      </w:r>
      <w:r>
        <w:rPr>
          <w:color w:val="B4B4B4"/>
          <w:sz w:val="20"/>
        </w:rPr>
        <w:t>(IND_DEF_CON_CLASS)</w:t>
      </w:r>
    </w:p>
    <w:p w14:paraId="20BCBBE8" w14:textId="77777777" w:rsidR="00E14906" w:rsidRDefault="00E14906" w:rsidP="00E14906">
      <w:pPr>
        <w:pStyle w:val="MHeader2"/>
      </w:pPr>
      <w:r w:rsidRPr="00A96255">
        <w:t xml:space="preserve">2.a. Definition and concepts </w:t>
      </w:r>
      <w:r>
        <w:rPr>
          <w:color w:val="B4B4B4"/>
          <w:sz w:val="20"/>
        </w:rPr>
        <w:t>(STAT_CONC_DEF)</w:t>
      </w:r>
    </w:p>
    <w:p w14:paraId="03818661" w14:textId="77777777" w:rsidR="00E14906" w:rsidRPr="00223DAC" w:rsidRDefault="00E14906" w:rsidP="00223DAC">
      <w:pPr>
        <w:pStyle w:val="Heading3"/>
        <w:ind w:left="0"/>
      </w:pPr>
      <w:r w:rsidRPr="00223DAC">
        <w:rPr>
          <w:color w:val="494949"/>
        </w:rPr>
        <w:t>Definition:</w:t>
      </w:r>
    </w:p>
    <w:p w14:paraId="1B0CFB93" w14:textId="3BFEB52A" w:rsidR="00E14906" w:rsidRPr="00223DAC" w:rsidRDefault="00E14906" w:rsidP="00223DAC">
      <w:pPr>
        <w:pStyle w:val="BodyText"/>
        <w:spacing w:before="39" w:line="276" w:lineRule="auto"/>
        <w:ind w:left="0" w:right="320"/>
        <w:rPr>
          <w:color w:val="494949"/>
        </w:rPr>
      </w:pPr>
      <w:r w:rsidRPr="00223DAC">
        <w:rPr>
          <w:color w:val="494949"/>
        </w:rPr>
        <w:t xml:space="preserve">The </w:t>
      </w:r>
      <w:r>
        <w:rPr>
          <w:color w:val="494949"/>
        </w:rPr>
        <w:t xml:space="preserve">indicator </w:t>
      </w:r>
      <w:r w:rsidRPr="00630CD1">
        <w:rPr>
          <w:i/>
          <w:iCs/>
          <w:color w:val="494949"/>
        </w:rPr>
        <w:t>Proportion</w:t>
      </w:r>
      <w:r w:rsidRPr="00223DAC">
        <w:rPr>
          <w:i/>
          <w:color w:val="494949"/>
        </w:rPr>
        <w:t xml:space="preserve"> of members and voting rights of developing countries in international</w:t>
      </w:r>
      <w:r w:rsidRPr="00223DAC">
        <w:rPr>
          <w:i/>
          <w:color w:val="494949"/>
          <w:spacing w:val="1"/>
        </w:rPr>
        <w:t xml:space="preserve"> </w:t>
      </w:r>
      <w:r w:rsidRPr="00223DAC">
        <w:rPr>
          <w:i/>
          <w:color w:val="494949"/>
        </w:rPr>
        <w:t xml:space="preserve">organizations </w:t>
      </w:r>
      <w:r w:rsidRPr="00223DAC">
        <w:rPr>
          <w:color w:val="494949"/>
        </w:rPr>
        <w:t xml:space="preserve">has two </w:t>
      </w:r>
      <w:r>
        <w:rPr>
          <w:color w:val="494949"/>
        </w:rPr>
        <w:t xml:space="preserve">separate </w:t>
      </w:r>
      <w:r w:rsidRPr="00223DAC">
        <w:rPr>
          <w:color w:val="494949"/>
        </w:rPr>
        <w:t>components</w:t>
      </w:r>
      <w:r>
        <w:rPr>
          <w:color w:val="494949"/>
        </w:rPr>
        <w:t>:</w:t>
      </w:r>
      <w:r w:rsidRPr="00223DAC">
        <w:rPr>
          <w:color w:val="494949"/>
        </w:rPr>
        <w:t xml:space="preserve"> the developing country proportion of voting rights and the</w:t>
      </w:r>
      <w:r w:rsidRPr="00223DAC">
        <w:rPr>
          <w:color w:val="494949"/>
          <w:spacing w:val="1"/>
        </w:rPr>
        <w:t xml:space="preserve"> </w:t>
      </w:r>
      <w:r w:rsidRPr="00223DAC">
        <w:rPr>
          <w:color w:val="494949"/>
        </w:rPr>
        <w:t>developing country proportion of membership in international organisations. In some institutions</w:t>
      </w:r>
      <w:r>
        <w:rPr>
          <w:color w:val="494949"/>
        </w:rPr>
        <w:t>,</w:t>
      </w:r>
      <w:r w:rsidRPr="00223DAC">
        <w:rPr>
          <w:color w:val="494949"/>
        </w:rPr>
        <w:t xml:space="preserve"> these two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components</w:t>
      </w:r>
      <w:r w:rsidRPr="00223DAC">
        <w:rPr>
          <w:color w:val="494949"/>
          <w:spacing w:val="-1"/>
        </w:rPr>
        <w:t xml:space="preserve"> </w:t>
      </w:r>
      <w:r w:rsidRPr="00223DAC">
        <w:rPr>
          <w:color w:val="494949"/>
        </w:rPr>
        <w:t>are</w:t>
      </w:r>
      <w:r w:rsidRPr="00223DAC">
        <w:rPr>
          <w:color w:val="494949"/>
          <w:spacing w:val="1"/>
        </w:rPr>
        <w:t xml:space="preserve"> </w:t>
      </w:r>
      <w:r w:rsidRPr="00223DAC">
        <w:rPr>
          <w:color w:val="494949"/>
        </w:rPr>
        <w:t>identical.</w:t>
      </w:r>
    </w:p>
    <w:p w14:paraId="5C1C030D" w14:textId="74D8C652" w:rsidR="00E14906" w:rsidRPr="00223DAC" w:rsidRDefault="00E14906" w:rsidP="00223DAC">
      <w:pPr>
        <w:pStyle w:val="BodyText"/>
        <w:spacing w:before="39" w:line="276" w:lineRule="auto"/>
        <w:ind w:left="0" w:right="130"/>
        <w:rPr>
          <w:color w:val="494949"/>
        </w:rPr>
      </w:pPr>
    </w:p>
    <w:p w14:paraId="63B446CC" w14:textId="77777777" w:rsidR="00E14906" w:rsidRPr="00223DAC" w:rsidRDefault="00E14906" w:rsidP="00223DAC">
      <w:pPr>
        <w:pStyle w:val="BodyText"/>
        <w:spacing w:line="276" w:lineRule="auto"/>
        <w:ind w:left="0" w:right="272"/>
        <w:rPr>
          <w:color w:val="494949"/>
        </w:rPr>
      </w:pPr>
      <w:r w:rsidRPr="00223DAC">
        <w:rPr>
          <w:color w:val="494949"/>
        </w:rPr>
        <w:t>The indicator is calculated independently for eleven different international institutions: The United</w:t>
      </w:r>
      <w:r w:rsidRPr="00223DAC">
        <w:rPr>
          <w:color w:val="494949"/>
          <w:spacing w:val="1"/>
        </w:rPr>
        <w:t xml:space="preserve"> </w:t>
      </w:r>
      <w:r w:rsidRPr="00223DAC">
        <w:rPr>
          <w:color w:val="494949"/>
        </w:rPr>
        <w:t xml:space="preserve">Nations General Assembly, the United Nations Security Council, the United Nations Economic and </w:t>
      </w:r>
      <w:r w:rsidRPr="00223DAC">
        <w:rPr>
          <w:color w:val="494949"/>
        </w:rPr>
        <w:lastRenderedPageBreak/>
        <w:t>Social</w:t>
      </w:r>
      <w:r w:rsidRPr="00223DAC">
        <w:rPr>
          <w:color w:val="494949"/>
          <w:spacing w:val="-45"/>
        </w:rPr>
        <w:t xml:space="preserve"> </w:t>
      </w:r>
      <w:r w:rsidRPr="00223DAC">
        <w:rPr>
          <w:color w:val="494949"/>
        </w:rPr>
        <w:t>Council, the International Monetary Fund, the International Bank for Reconstruction and Development,</w:t>
      </w:r>
      <w:r w:rsidRPr="00223DAC">
        <w:rPr>
          <w:color w:val="494949"/>
          <w:spacing w:val="1"/>
        </w:rPr>
        <w:t xml:space="preserve"> </w:t>
      </w:r>
      <w:r w:rsidRPr="00223DAC">
        <w:rPr>
          <w:color w:val="494949"/>
        </w:rPr>
        <w:t>the International Finance Corporation, the African Development Bank, the Asian Development Bank, the</w:t>
      </w:r>
      <w:r w:rsidRPr="00223DAC">
        <w:rPr>
          <w:color w:val="494949"/>
          <w:spacing w:val="-45"/>
        </w:rPr>
        <w:t xml:space="preserve"> </w:t>
      </w:r>
      <w:r w:rsidRPr="00223DAC">
        <w:rPr>
          <w:color w:val="494949"/>
        </w:rPr>
        <w:t>Inter-American</w:t>
      </w:r>
      <w:r w:rsidRPr="00223DAC">
        <w:rPr>
          <w:color w:val="494949"/>
          <w:spacing w:val="-4"/>
        </w:rPr>
        <w:t xml:space="preserve"> </w:t>
      </w:r>
      <w:r w:rsidRPr="00223DAC">
        <w:rPr>
          <w:color w:val="494949"/>
        </w:rPr>
        <w:t>Development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Bank, the</w:t>
      </w:r>
      <w:r w:rsidRPr="00223DAC">
        <w:rPr>
          <w:color w:val="494949"/>
          <w:spacing w:val="-4"/>
        </w:rPr>
        <w:t xml:space="preserve"> </w:t>
      </w:r>
      <w:r w:rsidRPr="00223DAC">
        <w:rPr>
          <w:color w:val="494949"/>
        </w:rPr>
        <w:t>World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Trade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Organisation,</w:t>
      </w:r>
      <w:r w:rsidRPr="00223DAC">
        <w:rPr>
          <w:color w:val="494949"/>
          <w:spacing w:val="-1"/>
        </w:rPr>
        <w:t xml:space="preserve"> </w:t>
      </w:r>
      <w:r w:rsidRPr="00223DAC">
        <w:rPr>
          <w:color w:val="494949"/>
        </w:rPr>
        <w:t>and the</w:t>
      </w:r>
      <w:r w:rsidRPr="00223DAC">
        <w:rPr>
          <w:color w:val="494949"/>
          <w:spacing w:val="-1"/>
        </w:rPr>
        <w:t xml:space="preserve"> </w:t>
      </w:r>
      <w:r w:rsidRPr="00223DAC">
        <w:rPr>
          <w:color w:val="494949"/>
        </w:rPr>
        <w:t>Financial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Stability Board.</w:t>
      </w:r>
    </w:p>
    <w:p w14:paraId="160CD921" w14:textId="77777777" w:rsidR="00E14906" w:rsidRPr="00223DAC" w:rsidRDefault="00E14906" w:rsidP="00223DAC">
      <w:pPr>
        <w:pStyle w:val="BodyText"/>
        <w:spacing w:before="39" w:line="276" w:lineRule="auto"/>
        <w:ind w:left="0" w:right="130"/>
        <w:rPr>
          <w:color w:val="494949"/>
        </w:rPr>
      </w:pPr>
    </w:p>
    <w:p w14:paraId="411A86DF" w14:textId="77777777" w:rsidR="00E14906" w:rsidRDefault="00E14906" w:rsidP="00E14906">
      <w:pPr>
        <w:pStyle w:val="Heading3"/>
        <w:spacing w:before="48"/>
        <w:ind w:left="0"/>
      </w:pPr>
      <w:r w:rsidRPr="00223DAC">
        <w:rPr>
          <w:color w:val="494949"/>
        </w:rPr>
        <w:t>Concepts:</w:t>
      </w:r>
    </w:p>
    <w:p w14:paraId="0379C208" w14:textId="0F23B60B" w:rsidR="00E14906" w:rsidRPr="00223DAC" w:rsidRDefault="00E14906" w:rsidP="00223DAC">
      <w:pPr>
        <w:pStyle w:val="BodyText"/>
        <w:spacing w:before="39" w:line="276" w:lineRule="auto"/>
        <w:ind w:left="0" w:right="202"/>
        <w:rPr>
          <w:color w:val="494949"/>
        </w:rPr>
      </w:pPr>
      <w:r w:rsidRPr="00223DAC">
        <w:rPr>
          <w:color w:val="494949"/>
        </w:rPr>
        <w:t>There is no established convention for the designation of "developed" and "developing" countries or</w:t>
      </w:r>
      <w:r w:rsidRPr="00223DAC">
        <w:rPr>
          <w:color w:val="494949"/>
          <w:spacing w:val="1"/>
        </w:rPr>
        <w:t xml:space="preserve"> </w:t>
      </w:r>
      <w:r w:rsidRPr="00223DAC">
        <w:rPr>
          <w:color w:val="494949"/>
        </w:rPr>
        <w:t>areas in the United Nations system. The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aggregation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across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all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institutions</w:t>
      </w:r>
      <w:r w:rsidRPr="00223DAC">
        <w:rPr>
          <w:color w:val="494949"/>
          <w:spacing w:val="-3"/>
        </w:rPr>
        <w:t xml:space="preserve"> </w:t>
      </w:r>
      <w:r w:rsidRPr="00223DAC">
        <w:rPr>
          <w:color w:val="494949"/>
        </w:rPr>
        <w:t>is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currently</w:t>
      </w:r>
      <w:r w:rsidRPr="00223DAC">
        <w:rPr>
          <w:color w:val="494949"/>
          <w:spacing w:val="-5"/>
        </w:rPr>
        <w:t xml:space="preserve"> </w:t>
      </w:r>
      <w:r w:rsidRPr="00223DAC">
        <w:rPr>
          <w:color w:val="494949"/>
        </w:rPr>
        <w:t>done</w:t>
      </w:r>
      <w:r w:rsidRPr="00223DAC">
        <w:rPr>
          <w:color w:val="494949"/>
          <w:spacing w:val="-1"/>
        </w:rPr>
        <w:t xml:space="preserve"> </w:t>
      </w:r>
      <w:r w:rsidRPr="00223DAC">
        <w:rPr>
          <w:color w:val="494949"/>
        </w:rPr>
        <w:t>according</w:t>
      </w:r>
      <w:r w:rsidRPr="00223DAC">
        <w:rPr>
          <w:color w:val="494949"/>
          <w:spacing w:val="-4"/>
        </w:rPr>
        <w:t xml:space="preserve"> </w:t>
      </w:r>
      <w:r w:rsidRPr="00223DAC">
        <w:rPr>
          <w:color w:val="494949"/>
        </w:rPr>
        <w:t>to</w:t>
      </w:r>
      <w:r w:rsidRPr="00223DAC">
        <w:rPr>
          <w:color w:val="494949"/>
          <w:spacing w:val="-3"/>
        </w:rPr>
        <w:t xml:space="preserve"> </w:t>
      </w:r>
      <w:r w:rsidRPr="00223DAC">
        <w:rPr>
          <w:color w:val="494949"/>
        </w:rPr>
        <w:t>the</w:t>
      </w:r>
      <w:r w:rsidRPr="00223DAC">
        <w:rPr>
          <w:color w:val="494949"/>
          <w:spacing w:val="-1"/>
        </w:rPr>
        <w:t xml:space="preserve"> </w:t>
      </w:r>
      <w:r w:rsidRPr="00291D6F">
        <w:rPr>
          <w:color w:val="494949"/>
          <w:spacing w:val="-1"/>
        </w:rPr>
        <w:t>“historical” classification of “Developed regions” and “Developing regions” as of December 2021</w:t>
      </w:r>
      <w:r>
        <w:rPr>
          <w:color w:val="494949"/>
          <w:spacing w:val="-1"/>
        </w:rPr>
        <w:t xml:space="preserve"> in the </w:t>
      </w:r>
      <w:r w:rsidRPr="00223DAC">
        <w:rPr>
          <w:color w:val="494949"/>
        </w:rPr>
        <w:t>United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 xml:space="preserve">Nations </w:t>
      </w:r>
      <w:r>
        <w:rPr>
          <w:color w:val="494949"/>
        </w:rPr>
        <w:t>M49</w:t>
      </w:r>
      <w:r w:rsidRPr="00223DAC">
        <w:rPr>
          <w:color w:val="494949"/>
        </w:rPr>
        <w:t xml:space="preserve"> statistical standard</w:t>
      </w:r>
      <w:r>
        <w:rPr>
          <w:color w:val="494949"/>
        </w:rPr>
        <w:t>. The removal of this classification from the M49 standard at the end of 2021 makes it more urgent</w:t>
      </w:r>
      <w:r w:rsidRPr="00223DAC">
        <w:rPr>
          <w:color w:val="494949"/>
        </w:rPr>
        <w:t xml:space="preserve"> to reach agreement on how to define these terms for the purposes of SDG</w:t>
      </w:r>
      <w:r w:rsidRPr="00223DAC">
        <w:rPr>
          <w:color w:val="494949"/>
          <w:spacing w:val="-45"/>
        </w:rPr>
        <w:t xml:space="preserve"> </w:t>
      </w:r>
      <w:r w:rsidRPr="00223DAC">
        <w:rPr>
          <w:color w:val="494949"/>
        </w:rPr>
        <w:t>monitoring. The designations "developed" and developing" are intended for statistical convenience and</w:t>
      </w:r>
      <w:r w:rsidRPr="00223DAC">
        <w:rPr>
          <w:color w:val="494949"/>
          <w:spacing w:val="1"/>
        </w:rPr>
        <w:t xml:space="preserve"> </w:t>
      </w:r>
      <w:r w:rsidRPr="00223DAC">
        <w:rPr>
          <w:color w:val="494949"/>
        </w:rPr>
        <w:t>do not necessarily express a judgement about the stage reached by a particular country or area in the</w:t>
      </w:r>
      <w:r w:rsidRPr="00223DAC">
        <w:rPr>
          <w:color w:val="494949"/>
          <w:spacing w:val="1"/>
        </w:rPr>
        <w:t xml:space="preserve"> </w:t>
      </w:r>
      <w:r w:rsidRPr="00223DAC">
        <w:rPr>
          <w:color w:val="494949"/>
        </w:rPr>
        <w:t>development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process.</w:t>
      </w:r>
    </w:p>
    <w:p w14:paraId="71154EFF" w14:textId="77777777" w:rsidR="00E14906" w:rsidRPr="00223DAC" w:rsidRDefault="00E14906" w:rsidP="00223DAC">
      <w:pPr>
        <w:pStyle w:val="BodyText"/>
        <w:spacing w:before="39" w:line="276" w:lineRule="auto"/>
        <w:ind w:left="0" w:right="130"/>
        <w:rPr>
          <w:color w:val="494949"/>
        </w:rPr>
      </w:pPr>
    </w:p>
    <w:p w14:paraId="4B139D56" w14:textId="77777777" w:rsidR="00E14906" w:rsidRPr="00A96255" w:rsidRDefault="00E14906" w:rsidP="00E14906">
      <w:pPr>
        <w:pStyle w:val="MHeader2"/>
      </w:pPr>
      <w:r w:rsidRPr="00A96255">
        <w:t xml:space="preserve">2.b. Unit of measure </w:t>
      </w:r>
      <w:r>
        <w:rPr>
          <w:color w:val="B4B4B4"/>
          <w:sz w:val="20"/>
        </w:rPr>
        <w:t>(UNIT_MEASURE)</w:t>
      </w:r>
    </w:p>
    <w:p w14:paraId="4A87BE37" w14:textId="0F145C80" w:rsidR="00E14906" w:rsidRDefault="00E14906" w:rsidP="00E14906">
      <w:pPr>
        <w:pStyle w:val="BodyText"/>
        <w:spacing w:before="76"/>
        <w:ind w:left="0"/>
        <w:rPr>
          <w:color w:val="494949"/>
        </w:rPr>
      </w:pPr>
      <w:r>
        <w:rPr>
          <w:color w:val="494949"/>
        </w:rPr>
        <w:t>Percentage</w:t>
      </w:r>
    </w:p>
    <w:p w14:paraId="549912E1" w14:textId="77777777" w:rsidR="00E14906" w:rsidRPr="00223DAC" w:rsidRDefault="00E14906" w:rsidP="00223DAC">
      <w:pPr>
        <w:pStyle w:val="BodyText"/>
        <w:spacing w:before="39" w:line="276" w:lineRule="auto"/>
        <w:ind w:left="0" w:right="130"/>
        <w:rPr>
          <w:color w:val="494949"/>
        </w:rPr>
      </w:pPr>
    </w:p>
    <w:p w14:paraId="42969CB8" w14:textId="77777777" w:rsidR="00E14906" w:rsidRPr="00A96255" w:rsidRDefault="00E14906" w:rsidP="00E14906">
      <w:pPr>
        <w:pStyle w:val="MHeader2"/>
      </w:pPr>
      <w:r w:rsidRPr="00A96255">
        <w:t xml:space="preserve">2.c. Classifications </w:t>
      </w:r>
      <w:r>
        <w:rPr>
          <w:color w:val="B4B4B4"/>
          <w:sz w:val="20"/>
        </w:rPr>
        <w:t>(CLASS_SYSTEM)</w:t>
      </w:r>
    </w:p>
    <w:p w14:paraId="2707231A" w14:textId="3167F16B" w:rsidR="00E14906" w:rsidRDefault="00E14906" w:rsidP="00E14906">
      <w:pPr>
        <w:pStyle w:val="BodyText"/>
        <w:spacing w:before="77" w:line="276" w:lineRule="auto"/>
        <w:ind w:left="0" w:right="158"/>
        <w:rPr>
          <w:color w:val="494949"/>
        </w:rPr>
      </w:pPr>
      <w:r w:rsidRPr="0068267D">
        <w:rPr>
          <w:color w:val="494949"/>
        </w:rPr>
        <w:t xml:space="preserve">Classification of countries as </w:t>
      </w:r>
      <w:r>
        <w:rPr>
          <w:color w:val="494949"/>
        </w:rPr>
        <w:t>l</w:t>
      </w:r>
      <w:r w:rsidRPr="0068267D">
        <w:rPr>
          <w:color w:val="494949"/>
        </w:rPr>
        <w:t>east developed countries (LDCs)</w:t>
      </w:r>
      <w:r>
        <w:rPr>
          <w:color w:val="494949"/>
        </w:rPr>
        <w:t>, l</w:t>
      </w:r>
      <w:r w:rsidRPr="0068267D">
        <w:rPr>
          <w:color w:val="494949"/>
        </w:rPr>
        <w:t>andlocked developing countries (LLDCs)</w:t>
      </w:r>
      <w:r>
        <w:rPr>
          <w:color w:val="494949"/>
        </w:rPr>
        <w:t>, and s</w:t>
      </w:r>
      <w:r w:rsidRPr="0068267D">
        <w:rPr>
          <w:color w:val="494949"/>
        </w:rPr>
        <w:t>mall island developing States (SIDS)</w:t>
      </w:r>
      <w:r>
        <w:rPr>
          <w:color w:val="494949"/>
        </w:rPr>
        <w:t xml:space="preserve"> according to the United Nations M49 standard. The classification of developing countries and developed countries is based on</w:t>
      </w:r>
      <w:r w:rsidRPr="001621C9">
        <w:rPr>
          <w:rFonts w:asciiTheme="minorHAnsi" w:eastAsiaTheme="minorHAnsi" w:hAnsiTheme="minorHAnsi"/>
          <w:color w:val="494949"/>
          <w:sz w:val="22"/>
          <w:szCs w:val="22"/>
        </w:rPr>
        <w:t xml:space="preserve"> </w:t>
      </w:r>
      <w:r w:rsidRPr="001621C9">
        <w:rPr>
          <w:color w:val="494949"/>
        </w:rPr>
        <w:t>the “historical” classification of “Developed regions” and “Developing regions” as of December 2021</w:t>
      </w:r>
      <w:r w:rsidRPr="00776C81">
        <w:rPr>
          <w:rFonts w:asciiTheme="minorHAnsi" w:eastAsiaTheme="minorHAnsi" w:hAnsiTheme="minorHAnsi"/>
          <w:color w:val="494949"/>
          <w:sz w:val="22"/>
          <w:szCs w:val="22"/>
        </w:rPr>
        <w:t xml:space="preserve"> </w:t>
      </w:r>
      <w:r w:rsidRPr="00776C81">
        <w:rPr>
          <w:color w:val="494949"/>
        </w:rPr>
        <w:t>in the United Nations M49 statistical standard</w:t>
      </w:r>
      <w:r>
        <w:rPr>
          <w:color w:val="494949"/>
        </w:rPr>
        <w:t xml:space="preserve">). </w:t>
      </w:r>
    </w:p>
    <w:p w14:paraId="57DA5145" w14:textId="11E70B62" w:rsidR="00E14906" w:rsidRPr="00223DAC" w:rsidRDefault="00E14906" w:rsidP="00223DAC">
      <w:pPr>
        <w:pStyle w:val="BodyText"/>
        <w:spacing w:before="39" w:line="276" w:lineRule="auto"/>
        <w:ind w:left="0" w:right="130"/>
        <w:rPr>
          <w:color w:val="494949"/>
        </w:rPr>
      </w:pPr>
    </w:p>
    <w:p w14:paraId="7B45FB33" w14:textId="77777777" w:rsidR="00E14906" w:rsidRPr="00F719A8" w:rsidRDefault="00E14906" w:rsidP="00E14906">
      <w:pPr>
        <w:pStyle w:val="MHeader"/>
      </w:pPr>
      <w:r w:rsidRPr="00F719A8">
        <w:t xml:space="preserve">3. Data source type and data collection method </w:t>
      </w:r>
      <w:r>
        <w:rPr>
          <w:color w:val="B4B4B4"/>
          <w:sz w:val="20"/>
        </w:rPr>
        <w:t>(SRC_TYPE_COLL_METHOD)</w:t>
      </w:r>
    </w:p>
    <w:p w14:paraId="46C2CEEF" w14:textId="77777777" w:rsidR="00E14906" w:rsidRPr="00A96255" w:rsidRDefault="00E14906" w:rsidP="00E14906">
      <w:pPr>
        <w:pStyle w:val="MHeader2"/>
      </w:pPr>
      <w:r w:rsidRPr="00A96255">
        <w:t xml:space="preserve">3.a. Data sources </w:t>
      </w:r>
      <w:r>
        <w:rPr>
          <w:color w:val="B4B4B4"/>
          <w:sz w:val="20"/>
        </w:rPr>
        <w:t>(SOURCE_TYPE)</w:t>
      </w:r>
    </w:p>
    <w:p w14:paraId="3A8986F5" w14:textId="77777777" w:rsidR="00E14906" w:rsidRPr="00223DAC" w:rsidRDefault="00E14906" w:rsidP="00223DAC">
      <w:pPr>
        <w:pStyle w:val="Heading3"/>
        <w:ind w:left="0"/>
      </w:pPr>
      <w:r w:rsidRPr="00223DAC">
        <w:rPr>
          <w:color w:val="494949"/>
        </w:rPr>
        <w:t>Description:</w:t>
      </w:r>
    </w:p>
    <w:p w14:paraId="490B4091" w14:textId="77777777" w:rsidR="00E14906" w:rsidRPr="00223DAC" w:rsidRDefault="00E14906" w:rsidP="00223DAC">
      <w:pPr>
        <w:pStyle w:val="BodyText"/>
        <w:spacing w:before="38" w:line="276" w:lineRule="auto"/>
        <w:ind w:left="0" w:right="408"/>
        <w:rPr>
          <w:color w:val="494949"/>
        </w:rPr>
      </w:pPr>
      <w:r w:rsidRPr="00223DAC">
        <w:rPr>
          <w:color w:val="494949"/>
        </w:rPr>
        <w:t>Annual reports, as presented on the website of the institution in question, are used as sources of data.</w:t>
      </w:r>
      <w:r w:rsidRPr="00223DAC">
        <w:rPr>
          <w:color w:val="494949"/>
          <w:spacing w:val="-45"/>
        </w:rPr>
        <w:t xml:space="preserve"> </w:t>
      </w:r>
      <w:r w:rsidRPr="00223DAC">
        <w:rPr>
          <w:color w:val="494949"/>
        </w:rPr>
        <w:t>Sources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of information by institution:</w:t>
      </w:r>
    </w:p>
    <w:p w14:paraId="4FB8D32A" w14:textId="77777777" w:rsidR="00E14906" w:rsidRPr="00223DAC" w:rsidRDefault="00E14906" w:rsidP="00223DAC">
      <w:pPr>
        <w:pStyle w:val="BodyText"/>
        <w:spacing w:before="39" w:line="276" w:lineRule="auto"/>
        <w:ind w:left="0" w:right="130"/>
        <w:rPr>
          <w:color w:val="494949"/>
        </w:rPr>
      </w:pPr>
    </w:p>
    <w:p w14:paraId="44616A7C" w14:textId="0C41FA2F" w:rsidR="00E14906" w:rsidRPr="00223DAC" w:rsidRDefault="00E14906" w:rsidP="00223DAC">
      <w:pPr>
        <w:pStyle w:val="BodyText"/>
        <w:ind w:left="0"/>
      </w:pPr>
      <w:r w:rsidRPr="00223DAC">
        <w:rPr>
          <w:color w:val="494949"/>
          <w:u w:val="single"/>
        </w:rPr>
        <w:t>United</w:t>
      </w:r>
      <w:r w:rsidRPr="00223DAC">
        <w:rPr>
          <w:color w:val="494949"/>
          <w:spacing w:val="-1"/>
          <w:u w:val="single"/>
        </w:rPr>
        <w:t xml:space="preserve"> </w:t>
      </w:r>
      <w:r w:rsidRPr="00223DAC">
        <w:rPr>
          <w:color w:val="494949"/>
          <w:u w:val="single"/>
        </w:rPr>
        <w:t>Nations</w:t>
      </w:r>
      <w:r w:rsidRPr="00223DAC">
        <w:rPr>
          <w:color w:val="494949"/>
          <w:spacing w:val="-3"/>
          <w:u w:val="single"/>
        </w:rPr>
        <w:t xml:space="preserve"> </w:t>
      </w:r>
      <w:r w:rsidRPr="00223DAC">
        <w:rPr>
          <w:color w:val="494949"/>
          <w:u w:val="single"/>
        </w:rPr>
        <w:t>General</w:t>
      </w:r>
      <w:r w:rsidRPr="00223DAC">
        <w:rPr>
          <w:color w:val="494949"/>
          <w:spacing w:val="-2"/>
          <w:u w:val="single"/>
        </w:rPr>
        <w:t xml:space="preserve"> </w:t>
      </w:r>
      <w:r w:rsidRPr="00223DAC">
        <w:rPr>
          <w:color w:val="494949"/>
          <w:u w:val="single"/>
        </w:rPr>
        <w:t>Assembly</w:t>
      </w:r>
      <w:r w:rsidRPr="000454B8">
        <w:rPr>
          <w:color w:val="494949"/>
          <w:u w:val="single"/>
        </w:rPr>
        <w:t xml:space="preserve"> (UNGA):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website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General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Assembly (</w:t>
      </w:r>
      <w:r w:rsidRPr="005F2BAB">
        <w:rPr>
          <w:color w:val="494949"/>
        </w:rPr>
        <w:t>http://www.un.org/en/member-states/index.html</w:t>
      </w:r>
      <w:r>
        <w:rPr>
          <w:color w:val="494949"/>
        </w:rPr>
        <w:t>)</w:t>
      </w:r>
    </w:p>
    <w:p w14:paraId="683EDE87" w14:textId="5626589C" w:rsidR="00E14906" w:rsidRPr="00223DAC" w:rsidRDefault="00E14906" w:rsidP="00223DAC">
      <w:pPr>
        <w:pStyle w:val="BodyText"/>
        <w:spacing w:before="39"/>
        <w:ind w:left="0"/>
      </w:pPr>
      <w:r w:rsidRPr="00223DAC">
        <w:rPr>
          <w:color w:val="494949"/>
          <w:sz w:val="22"/>
          <w:u w:val="single"/>
        </w:rPr>
        <w:t>United</w:t>
      </w:r>
      <w:r w:rsidRPr="00223DAC">
        <w:rPr>
          <w:color w:val="494949"/>
          <w:spacing w:val="-2"/>
          <w:sz w:val="22"/>
          <w:u w:val="single"/>
        </w:rPr>
        <w:t xml:space="preserve"> </w:t>
      </w:r>
      <w:r w:rsidRPr="00223DAC">
        <w:rPr>
          <w:color w:val="494949"/>
          <w:sz w:val="22"/>
          <w:u w:val="single"/>
        </w:rPr>
        <w:t>Nations</w:t>
      </w:r>
      <w:r w:rsidRPr="00223DAC">
        <w:rPr>
          <w:color w:val="494949"/>
          <w:spacing w:val="-2"/>
          <w:sz w:val="22"/>
          <w:u w:val="single"/>
        </w:rPr>
        <w:t xml:space="preserve"> </w:t>
      </w:r>
      <w:r w:rsidRPr="00223DAC">
        <w:rPr>
          <w:color w:val="494949"/>
          <w:sz w:val="22"/>
          <w:u w:val="single"/>
        </w:rPr>
        <w:t>Security</w:t>
      </w:r>
      <w:r w:rsidRPr="00223DAC">
        <w:rPr>
          <w:color w:val="494949"/>
          <w:spacing w:val="-3"/>
          <w:sz w:val="22"/>
          <w:u w:val="single"/>
        </w:rPr>
        <w:t xml:space="preserve"> </w:t>
      </w:r>
      <w:r w:rsidRPr="00223DAC">
        <w:rPr>
          <w:color w:val="494949"/>
          <w:sz w:val="22"/>
          <w:u w:val="single"/>
        </w:rPr>
        <w:t>Council</w:t>
      </w:r>
      <w:r w:rsidRPr="000454B8">
        <w:rPr>
          <w:color w:val="494949"/>
          <w:u w:val="single"/>
        </w:rPr>
        <w:t xml:space="preserve"> (UNSC):</w:t>
      </w:r>
      <w:r>
        <w:rPr>
          <w:color w:val="494949"/>
          <w:spacing w:val="-1"/>
        </w:rPr>
        <w:t xml:space="preserve"> </w:t>
      </w:r>
      <w:r w:rsidRPr="00223DAC">
        <w:rPr>
          <w:color w:val="494949"/>
        </w:rPr>
        <w:t>Report of the</w:t>
      </w:r>
      <w:r w:rsidRPr="00223DAC">
        <w:rPr>
          <w:color w:val="494949"/>
          <w:spacing w:val="-3"/>
        </w:rPr>
        <w:t xml:space="preserve"> </w:t>
      </w:r>
      <w:r w:rsidRPr="00223DAC">
        <w:rPr>
          <w:color w:val="494949"/>
        </w:rPr>
        <w:t>Security</w:t>
      </w:r>
      <w:r w:rsidRPr="00223DAC">
        <w:rPr>
          <w:color w:val="494949"/>
          <w:spacing w:val="-3"/>
        </w:rPr>
        <w:t xml:space="preserve"> </w:t>
      </w:r>
      <w:r w:rsidRPr="00223DAC">
        <w:rPr>
          <w:color w:val="494949"/>
        </w:rPr>
        <w:t>Council</w:t>
      </w:r>
      <w:r w:rsidRPr="00223DAC">
        <w:rPr>
          <w:color w:val="494949"/>
          <w:spacing w:val="-1"/>
        </w:rPr>
        <w:t xml:space="preserve"> for the respective year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(</w:t>
      </w:r>
      <w:r w:rsidRPr="003B002F">
        <w:rPr>
          <w:color w:val="494949"/>
        </w:rPr>
        <w:t>https://www.un.org/securitycouncil/content/sc_annual_reports</w:t>
      </w:r>
      <w:r>
        <w:rPr>
          <w:color w:val="494949"/>
        </w:rPr>
        <w:t>)</w:t>
      </w:r>
    </w:p>
    <w:p w14:paraId="4EEBD149" w14:textId="42737CD6" w:rsidR="00E14906" w:rsidRPr="00223DAC" w:rsidRDefault="00E14906" w:rsidP="00223DAC">
      <w:pPr>
        <w:pStyle w:val="BodyText"/>
        <w:spacing w:before="39" w:line="276" w:lineRule="auto"/>
        <w:ind w:left="0" w:right="146"/>
      </w:pPr>
      <w:r w:rsidRPr="00223DAC">
        <w:rPr>
          <w:color w:val="494949"/>
          <w:sz w:val="22"/>
          <w:u w:val="single"/>
        </w:rPr>
        <w:t>United Nations Economic and Social Council</w:t>
      </w:r>
      <w:r w:rsidRPr="000454B8">
        <w:rPr>
          <w:color w:val="494949"/>
          <w:u w:val="single"/>
        </w:rPr>
        <w:t xml:space="preserve"> (ECOSOC):</w:t>
      </w:r>
      <w:r w:rsidRPr="00FE27E4">
        <w:rPr>
          <w:color w:val="494949"/>
        </w:rPr>
        <w:t xml:space="preserve"> </w:t>
      </w:r>
      <w:r w:rsidRPr="00223DAC">
        <w:rPr>
          <w:color w:val="494949"/>
        </w:rPr>
        <w:t>Report of the Economic and Social Council for the respective</w:t>
      </w:r>
      <w:r w:rsidRPr="00223DAC">
        <w:rPr>
          <w:color w:val="494949"/>
          <w:spacing w:val="-45"/>
        </w:rPr>
        <w:t xml:space="preserve"> </w:t>
      </w:r>
      <w:r w:rsidRPr="00FE27E4">
        <w:rPr>
          <w:color w:val="494949"/>
          <w:spacing w:val="-45"/>
        </w:rPr>
        <w:t xml:space="preserve">    </w:t>
      </w:r>
      <w:r w:rsidRPr="00FE27E4">
        <w:rPr>
          <w:color w:val="494949"/>
        </w:rPr>
        <w:t>year (https://www.un.org/ecoso</w:t>
      </w:r>
      <w:r w:rsidRPr="005F2BAB">
        <w:rPr>
          <w:color w:val="494949"/>
        </w:rPr>
        <w:t>c/en/documents/reports-general-assembly</w:t>
      </w:r>
      <w:r>
        <w:rPr>
          <w:color w:val="494949"/>
        </w:rPr>
        <w:t>)</w:t>
      </w:r>
    </w:p>
    <w:p w14:paraId="47C8BB1B" w14:textId="513155A7" w:rsidR="00E14906" w:rsidRPr="00223DAC" w:rsidRDefault="00E14906" w:rsidP="00223DAC">
      <w:pPr>
        <w:pStyle w:val="BodyText"/>
        <w:spacing w:before="1"/>
        <w:ind w:left="0"/>
      </w:pPr>
      <w:r w:rsidRPr="00223DAC">
        <w:rPr>
          <w:color w:val="494949"/>
          <w:sz w:val="22"/>
          <w:u w:val="single"/>
        </w:rPr>
        <w:t>International</w:t>
      </w:r>
      <w:r w:rsidRPr="00223DAC">
        <w:rPr>
          <w:color w:val="494949"/>
          <w:spacing w:val="-3"/>
          <w:sz w:val="22"/>
          <w:u w:val="single"/>
        </w:rPr>
        <w:t xml:space="preserve"> </w:t>
      </w:r>
      <w:r w:rsidRPr="00223DAC">
        <w:rPr>
          <w:color w:val="494949"/>
          <w:sz w:val="22"/>
          <w:u w:val="single"/>
        </w:rPr>
        <w:t>Monetary</w:t>
      </w:r>
      <w:r w:rsidRPr="00223DAC">
        <w:rPr>
          <w:color w:val="494949"/>
          <w:spacing w:val="-2"/>
          <w:sz w:val="22"/>
          <w:u w:val="single"/>
        </w:rPr>
        <w:t xml:space="preserve"> </w:t>
      </w:r>
      <w:r w:rsidRPr="00223DAC">
        <w:rPr>
          <w:color w:val="494949"/>
          <w:sz w:val="22"/>
          <w:u w:val="single"/>
        </w:rPr>
        <w:t>Fund</w:t>
      </w:r>
      <w:r w:rsidRPr="000454B8">
        <w:rPr>
          <w:color w:val="494949"/>
          <w:u w:val="single"/>
        </w:rPr>
        <w:t xml:space="preserve"> (IMF):</w:t>
      </w:r>
      <w:r>
        <w:rPr>
          <w:color w:val="494949"/>
          <w:spacing w:val="-2"/>
        </w:rPr>
        <w:t xml:space="preserve"> </w:t>
      </w:r>
      <w:r w:rsidRPr="00223DAC">
        <w:rPr>
          <w:color w:val="494949"/>
        </w:rPr>
        <w:t>Annual</w:t>
      </w:r>
      <w:r w:rsidRPr="00223DAC">
        <w:rPr>
          <w:color w:val="494949"/>
          <w:spacing w:val="-5"/>
        </w:rPr>
        <w:t xml:space="preserve"> </w:t>
      </w:r>
      <w:r w:rsidRPr="00223DAC">
        <w:rPr>
          <w:color w:val="494949"/>
        </w:rPr>
        <w:t>Report</w:t>
      </w:r>
      <w:r w:rsidRPr="00223DAC">
        <w:rPr>
          <w:color w:val="494949"/>
          <w:spacing w:val="-3"/>
        </w:rPr>
        <w:t xml:space="preserve"> </w:t>
      </w:r>
      <w:r w:rsidRPr="00223DAC">
        <w:rPr>
          <w:color w:val="494949"/>
        </w:rPr>
        <w:t>for</w:t>
      </w:r>
      <w:r w:rsidRPr="00223DAC">
        <w:rPr>
          <w:color w:val="494949"/>
          <w:spacing w:val="-4"/>
        </w:rPr>
        <w:t xml:space="preserve"> </w:t>
      </w:r>
      <w:r w:rsidRPr="00223DAC">
        <w:rPr>
          <w:color w:val="494949"/>
        </w:rPr>
        <w:t>the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respective</w:t>
      </w:r>
      <w:r w:rsidRPr="00223DAC">
        <w:rPr>
          <w:color w:val="494949"/>
          <w:spacing w:val="-4"/>
        </w:rPr>
        <w:t xml:space="preserve"> </w:t>
      </w:r>
      <w:r w:rsidRPr="00223DAC">
        <w:rPr>
          <w:color w:val="494949"/>
        </w:rPr>
        <w:t>year</w:t>
      </w:r>
      <w:r>
        <w:rPr>
          <w:color w:val="494949"/>
        </w:rPr>
        <w:t xml:space="preserve"> (</w:t>
      </w:r>
      <w:r w:rsidRPr="00285307">
        <w:rPr>
          <w:color w:val="494949"/>
        </w:rPr>
        <w:t>https://www.imf.org/en/Publications/AREB</w:t>
      </w:r>
      <w:r>
        <w:rPr>
          <w:color w:val="494949"/>
        </w:rPr>
        <w:t>)</w:t>
      </w:r>
    </w:p>
    <w:p w14:paraId="7ABECFA0" w14:textId="6E946C30" w:rsidR="00E14906" w:rsidRPr="00223DAC" w:rsidRDefault="00E14906" w:rsidP="00223DAC">
      <w:pPr>
        <w:pStyle w:val="BodyText"/>
        <w:spacing w:before="36"/>
        <w:ind w:left="0"/>
      </w:pPr>
      <w:r w:rsidRPr="00223DAC">
        <w:rPr>
          <w:color w:val="494949"/>
          <w:sz w:val="22"/>
          <w:u w:val="single"/>
        </w:rPr>
        <w:t>International</w:t>
      </w:r>
      <w:r w:rsidRPr="00223DAC">
        <w:rPr>
          <w:color w:val="494949"/>
          <w:spacing w:val="-2"/>
          <w:sz w:val="22"/>
          <w:u w:val="single"/>
        </w:rPr>
        <w:t xml:space="preserve"> </w:t>
      </w:r>
      <w:r w:rsidRPr="00223DAC">
        <w:rPr>
          <w:color w:val="494949"/>
          <w:sz w:val="22"/>
          <w:u w:val="single"/>
        </w:rPr>
        <w:t>Bank</w:t>
      </w:r>
      <w:r w:rsidRPr="00223DAC">
        <w:rPr>
          <w:color w:val="494949"/>
          <w:spacing w:val="-3"/>
          <w:sz w:val="22"/>
          <w:u w:val="single"/>
        </w:rPr>
        <w:t xml:space="preserve"> </w:t>
      </w:r>
      <w:r w:rsidRPr="00223DAC">
        <w:rPr>
          <w:color w:val="494949"/>
          <w:sz w:val="22"/>
          <w:u w:val="single"/>
        </w:rPr>
        <w:t>for</w:t>
      </w:r>
      <w:r w:rsidRPr="00223DAC">
        <w:rPr>
          <w:color w:val="494949"/>
          <w:spacing w:val="-4"/>
          <w:sz w:val="22"/>
          <w:u w:val="single"/>
        </w:rPr>
        <w:t xml:space="preserve"> </w:t>
      </w:r>
      <w:r w:rsidRPr="00223DAC">
        <w:rPr>
          <w:color w:val="494949"/>
          <w:sz w:val="22"/>
          <w:u w:val="single"/>
        </w:rPr>
        <w:t>Reconstruction</w:t>
      </w:r>
      <w:r w:rsidRPr="00223DAC">
        <w:rPr>
          <w:color w:val="494949"/>
          <w:spacing w:val="-1"/>
          <w:sz w:val="22"/>
          <w:u w:val="single"/>
        </w:rPr>
        <w:t xml:space="preserve"> </w:t>
      </w:r>
      <w:r w:rsidRPr="00223DAC">
        <w:rPr>
          <w:color w:val="494949"/>
          <w:sz w:val="22"/>
          <w:u w:val="single"/>
        </w:rPr>
        <w:t>and</w:t>
      </w:r>
      <w:r w:rsidRPr="00223DAC">
        <w:rPr>
          <w:color w:val="494949"/>
          <w:spacing w:val="-2"/>
          <w:sz w:val="22"/>
          <w:u w:val="single"/>
        </w:rPr>
        <w:t xml:space="preserve"> </w:t>
      </w:r>
      <w:r w:rsidRPr="00223DAC">
        <w:rPr>
          <w:color w:val="494949"/>
          <w:sz w:val="22"/>
          <w:u w:val="single"/>
        </w:rPr>
        <w:t>Development</w:t>
      </w:r>
      <w:r w:rsidRPr="000454B8">
        <w:rPr>
          <w:color w:val="494949"/>
          <w:u w:val="single"/>
        </w:rPr>
        <w:t xml:space="preserve"> (IBRD):</w:t>
      </w:r>
      <w:r>
        <w:rPr>
          <w:color w:val="494949"/>
          <w:spacing w:val="-2"/>
        </w:rPr>
        <w:t xml:space="preserve"> 2000: </w:t>
      </w:r>
      <w:r w:rsidRPr="00A2501A">
        <w:rPr>
          <w:color w:val="494949"/>
          <w:spacing w:val="-2"/>
        </w:rPr>
        <w:t>The World Bank Annual Report 2000: Financial Statement and Appendixes to the Annual Report</w:t>
      </w:r>
      <w:r>
        <w:rPr>
          <w:color w:val="494949"/>
          <w:spacing w:val="-2"/>
        </w:rPr>
        <w:t xml:space="preserve">; from 2005: </w:t>
      </w:r>
      <w:r w:rsidRPr="00A2501A">
        <w:rPr>
          <w:color w:val="494949"/>
          <w:spacing w:val="-2"/>
        </w:rPr>
        <w:t xml:space="preserve">International Bank for Reconstruction and Development </w:t>
      </w:r>
      <w:r w:rsidRPr="00223DAC">
        <w:rPr>
          <w:color w:val="494949"/>
          <w:spacing w:val="-2"/>
        </w:rPr>
        <w:t>Management’s Discussion &amp; Analysis and Financial Statements</w:t>
      </w:r>
      <w:r w:rsidRPr="00223DAC" w:rsidDel="00A2501A">
        <w:rPr>
          <w:color w:val="494949"/>
          <w:spacing w:val="-2"/>
        </w:rPr>
        <w:t xml:space="preserve"> </w:t>
      </w:r>
      <w:r w:rsidRPr="00223DAC">
        <w:rPr>
          <w:color w:val="494949"/>
        </w:rPr>
        <w:t>for the</w:t>
      </w:r>
      <w:r w:rsidRPr="00223DAC">
        <w:rPr>
          <w:color w:val="494949"/>
          <w:spacing w:val="-4"/>
        </w:rPr>
        <w:t xml:space="preserve"> </w:t>
      </w:r>
      <w:r w:rsidRPr="00223DAC">
        <w:rPr>
          <w:color w:val="494949"/>
        </w:rPr>
        <w:lastRenderedPageBreak/>
        <w:t>respective</w:t>
      </w:r>
      <w:r w:rsidRPr="00223DAC">
        <w:rPr>
          <w:color w:val="494949"/>
          <w:spacing w:val="-1"/>
        </w:rPr>
        <w:t xml:space="preserve"> </w:t>
      </w:r>
      <w:r w:rsidRPr="00223DAC">
        <w:rPr>
          <w:color w:val="494949"/>
        </w:rPr>
        <w:t>year</w:t>
      </w:r>
      <w:r>
        <w:rPr>
          <w:color w:val="494949"/>
        </w:rPr>
        <w:t xml:space="preserve"> (</w:t>
      </w:r>
      <w:r w:rsidRPr="00285307">
        <w:rPr>
          <w:color w:val="494949"/>
        </w:rPr>
        <w:t>https://www.worldbank.org/en/about/annual-report/world-bank-group-downloads</w:t>
      </w:r>
      <w:r>
        <w:rPr>
          <w:color w:val="494949"/>
        </w:rPr>
        <w:t>)</w:t>
      </w:r>
    </w:p>
    <w:p w14:paraId="05301EA5" w14:textId="70AFF790" w:rsidR="00E14906" w:rsidRPr="00223DAC" w:rsidRDefault="00E14906" w:rsidP="00223DAC">
      <w:pPr>
        <w:pStyle w:val="BodyText"/>
        <w:spacing w:before="39" w:line="276" w:lineRule="auto"/>
        <w:ind w:left="0" w:right="1976"/>
        <w:rPr>
          <w:color w:val="494949"/>
        </w:rPr>
      </w:pPr>
      <w:r w:rsidRPr="00223DAC">
        <w:rPr>
          <w:color w:val="494949"/>
          <w:sz w:val="22"/>
          <w:u w:val="single"/>
        </w:rPr>
        <w:t>International Finance Corporation</w:t>
      </w:r>
      <w:r w:rsidRPr="00766B53">
        <w:rPr>
          <w:color w:val="494949"/>
          <w:u w:val="single"/>
        </w:rPr>
        <w:t xml:space="preserve"> (IFC):</w:t>
      </w:r>
      <w:r w:rsidRPr="00766B53">
        <w:rPr>
          <w:color w:val="494949"/>
        </w:rPr>
        <w:t xml:space="preserve"> IFC </w:t>
      </w:r>
      <w:r w:rsidRPr="00223DAC">
        <w:rPr>
          <w:color w:val="494949"/>
        </w:rPr>
        <w:t>Annual Report (volume 2) for the respective year</w:t>
      </w:r>
      <w:r w:rsidRPr="00766B53">
        <w:rPr>
          <w:color w:val="494949"/>
        </w:rPr>
        <w:t xml:space="preserve"> (</w:t>
      </w:r>
      <w:hyperlink r:id="rId14" w:history="1">
        <w:r w:rsidRPr="00766B53">
          <w:rPr>
            <w:color w:val="494949"/>
          </w:rPr>
          <w:t>https://openknowledge.worldbank.org/handle/10986/2128</w:t>
        </w:r>
      </w:hyperlink>
      <w:r w:rsidRPr="00766B53">
        <w:rPr>
          <w:color w:val="494949"/>
        </w:rPr>
        <w:t xml:space="preserve">) </w:t>
      </w:r>
    </w:p>
    <w:p w14:paraId="22145A9D" w14:textId="1F79063A" w:rsidR="00E14906" w:rsidRPr="00223DAC" w:rsidRDefault="00E14906" w:rsidP="00223DAC">
      <w:pPr>
        <w:pStyle w:val="BodyText"/>
        <w:spacing w:before="39" w:line="276" w:lineRule="auto"/>
        <w:ind w:left="0" w:right="1976"/>
        <w:rPr>
          <w:color w:val="494949"/>
        </w:rPr>
      </w:pPr>
      <w:r w:rsidRPr="00223DAC">
        <w:rPr>
          <w:color w:val="494949"/>
          <w:sz w:val="22"/>
          <w:u w:val="single"/>
        </w:rPr>
        <w:t>African Development Bank</w:t>
      </w:r>
      <w:r w:rsidRPr="00766B53">
        <w:rPr>
          <w:color w:val="494949"/>
          <w:u w:val="single"/>
        </w:rPr>
        <w:t xml:space="preserve"> (AFDB):</w:t>
      </w:r>
      <w:r w:rsidRPr="00766B53">
        <w:rPr>
          <w:color w:val="494949"/>
        </w:rPr>
        <w:t xml:space="preserve"> African Development Bank Group </w:t>
      </w:r>
      <w:r w:rsidRPr="00223DAC">
        <w:rPr>
          <w:color w:val="494949"/>
        </w:rPr>
        <w:t xml:space="preserve">Annual Report for the respective year </w:t>
      </w:r>
      <w:r w:rsidRPr="00766B53">
        <w:rPr>
          <w:color w:val="494949"/>
        </w:rPr>
        <w:t>(https://www.afdb.org/en/documents-publications/annual-report)</w:t>
      </w:r>
    </w:p>
    <w:p w14:paraId="01E4F522" w14:textId="5C01A722" w:rsidR="00E14906" w:rsidRPr="00223DAC" w:rsidRDefault="00E14906" w:rsidP="00223DAC">
      <w:pPr>
        <w:pStyle w:val="BodyText"/>
        <w:spacing w:before="1"/>
        <w:ind w:left="0"/>
        <w:rPr>
          <w:color w:val="494949"/>
        </w:rPr>
      </w:pPr>
      <w:r w:rsidRPr="00223DAC">
        <w:rPr>
          <w:color w:val="494949"/>
          <w:sz w:val="22"/>
          <w:u w:val="single"/>
        </w:rPr>
        <w:t>Asian Development Bank</w:t>
      </w:r>
      <w:r w:rsidRPr="00766B53">
        <w:rPr>
          <w:color w:val="494949"/>
          <w:u w:val="single"/>
        </w:rPr>
        <w:t xml:space="preserve"> (ADB):</w:t>
      </w:r>
      <w:r w:rsidRPr="00766B53">
        <w:rPr>
          <w:color w:val="494949"/>
        </w:rPr>
        <w:t xml:space="preserve"> 2000-2017: </w:t>
      </w:r>
      <w:r w:rsidRPr="00223DAC">
        <w:rPr>
          <w:color w:val="494949"/>
        </w:rPr>
        <w:t>Annual Report for the respective year</w:t>
      </w:r>
      <w:r w:rsidRPr="00766B53">
        <w:rPr>
          <w:color w:val="494949"/>
        </w:rPr>
        <w:t>; from 2018: Financial Report for the respective year (https://www.adb.org/documents/series/adb-annual-reports)</w:t>
      </w:r>
    </w:p>
    <w:p w14:paraId="479CC064" w14:textId="2D47C701" w:rsidR="00E14906" w:rsidRPr="00223DAC" w:rsidRDefault="00E14906" w:rsidP="00223DAC">
      <w:pPr>
        <w:pStyle w:val="BodyText"/>
        <w:spacing w:before="1"/>
        <w:ind w:left="0"/>
        <w:rPr>
          <w:color w:val="494949"/>
        </w:rPr>
      </w:pPr>
      <w:r w:rsidRPr="00223DAC">
        <w:rPr>
          <w:color w:val="494949"/>
          <w:u w:val="single"/>
        </w:rPr>
        <w:t>Inter-American Development Bank</w:t>
      </w:r>
      <w:r w:rsidRPr="00766B53">
        <w:rPr>
          <w:color w:val="494949"/>
          <w:u w:val="single"/>
        </w:rPr>
        <w:t xml:space="preserve"> (IADB):</w:t>
      </w:r>
      <w:r w:rsidRPr="00766B53">
        <w:rPr>
          <w:color w:val="494949"/>
        </w:rPr>
        <w:t xml:space="preserve"> Inter-American Development Bank Annual Report for the respective year (https://www.iadb.org/en/about-us/annual-reports)</w:t>
      </w:r>
      <w:r w:rsidRPr="00223DAC" w:rsidDel="00463C67">
        <w:rPr>
          <w:color w:val="494949"/>
        </w:rPr>
        <w:t xml:space="preserve"> </w:t>
      </w:r>
    </w:p>
    <w:p w14:paraId="638D8828" w14:textId="0FC7FADF" w:rsidR="00E14906" w:rsidRPr="00223DAC" w:rsidRDefault="00E14906" w:rsidP="00223DAC">
      <w:pPr>
        <w:pStyle w:val="BodyText"/>
        <w:spacing w:before="39" w:line="276" w:lineRule="auto"/>
        <w:ind w:left="0" w:right="2875"/>
        <w:rPr>
          <w:color w:val="494949"/>
        </w:rPr>
      </w:pPr>
      <w:r w:rsidRPr="00223DAC">
        <w:rPr>
          <w:color w:val="494949"/>
          <w:sz w:val="22"/>
          <w:u w:val="single"/>
        </w:rPr>
        <w:t>World Trade Organisation</w:t>
      </w:r>
      <w:r w:rsidRPr="00766B53">
        <w:rPr>
          <w:color w:val="494949"/>
          <w:u w:val="single"/>
        </w:rPr>
        <w:t xml:space="preserve"> (</w:t>
      </w:r>
      <w:r w:rsidRPr="00223DAC">
        <w:rPr>
          <w:color w:val="494949"/>
          <w:u w:val="single"/>
        </w:rPr>
        <w:t>WTO</w:t>
      </w:r>
      <w:r w:rsidRPr="00766B53">
        <w:rPr>
          <w:color w:val="494949"/>
          <w:u w:val="single"/>
        </w:rPr>
        <w:t>):</w:t>
      </w:r>
      <w:r w:rsidRPr="00766B53">
        <w:rPr>
          <w:color w:val="494949"/>
        </w:rPr>
        <w:t xml:space="preserve"> WTO Annual Report for the respective year (https://www.wto.org/english/res_e/reser_e/annual_report_e.htm)</w:t>
      </w:r>
    </w:p>
    <w:p w14:paraId="47AD507B" w14:textId="7CE942C9" w:rsidR="00E14906" w:rsidRPr="00223DAC" w:rsidRDefault="00E14906" w:rsidP="00223DAC">
      <w:pPr>
        <w:pStyle w:val="BodyText"/>
        <w:spacing w:line="255" w:lineRule="exact"/>
        <w:ind w:left="0"/>
        <w:rPr>
          <w:color w:val="494949"/>
        </w:rPr>
      </w:pPr>
      <w:r w:rsidRPr="00223DAC">
        <w:rPr>
          <w:color w:val="494949"/>
          <w:sz w:val="22"/>
          <w:u w:val="single"/>
        </w:rPr>
        <w:t>Financial Stability Board</w:t>
      </w:r>
      <w:r w:rsidRPr="00766B53">
        <w:rPr>
          <w:color w:val="494949"/>
          <w:u w:val="single"/>
        </w:rPr>
        <w:t xml:space="preserve"> (FSB):</w:t>
      </w:r>
      <w:r w:rsidRPr="00766B53">
        <w:rPr>
          <w:color w:val="494949"/>
        </w:rPr>
        <w:t xml:space="preserve"> 2010, 2015: charter</w:t>
      </w:r>
      <w:r w:rsidRPr="00223DAC">
        <w:rPr>
          <w:color w:val="494949"/>
        </w:rPr>
        <w:t xml:space="preserve"> of the Financial Stability Board</w:t>
      </w:r>
      <w:r w:rsidRPr="00766B53">
        <w:rPr>
          <w:color w:val="494949"/>
        </w:rPr>
        <w:t>; 2016-2018: Financial Stability Board Financial Report for the respective year; from 2019: Financial Stability Board Financial Statements for the respective year (</w:t>
      </w:r>
      <w:hyperlink r:id="rId15" w:history="1">
        <w:r w:rsidRPr="00627557">
          <w:rPr>
            <w:rStyle w:val="Hyperlink"/>
          </w:rPr>
          <w:t>https://www.fsb.org/publications/</w:t>
        </w:r>
      </w:hyperlink>
      <w:r w:rsidRPr="00766B53">
        <w:rPr>
          <w:color w:val="494949"/>
        </w:rPr>
        <w:t>)</w:t>
      </w:r>
    </w:p>
    <w:p w14:paraId="5EF55260" w14:textId="77777777" w:rsidR="00E14906" w:rsidRPr="00223DAC" w:rsidRDefault="00E14906" w:rsidP="00223DAC">
      <w:pPr>
        <w:pStyle w:val="BodyText"/>
        <w:spacing w:before="39" w:line="276" w:lineRule="auto"/>
        <w:ind w:left="0" w:right="130"/>
        <w:rPr>
          <w:color w:val="494949"/>
        </w:rPr>
      </w:pPr>
    </w:p>
    <w:p w14:paraId="5E3E110D" w14:textId="77777777" w:rsidR="00E14906" w:rsidRPr="00223DAC" w:rsidRDefault="00E14906" w:rsidP="00223DAC">
      <w:pPr>
        <w:pStyle w:val="Heading3"/>
        <w:spacing w:before="0"/>
        <w:ind w:left="0"/>
        <w:rPr>
          <w:b w:val="0"/>
        </w:rPr>
      </w:pPr>
      <w:r w:rsidRPr="00223DAC">
        <w:rPr>
          <w:color w:val="494949"/>
        </w:rPr>
        <w:t>List:</w:t>
      </w:r>
    </w:p>
    <w:p w14:paraId="0E20F598" w14:textId="0D7DBE5E" w:rsidR="00E14906" w:rsidRPr="00223DAC" w:rsidRDefault="00E14906" w:rsidP="00223DAC">
      <w:pPr>
        <w:pStyle w:val="BodyText"/>
        <w:spacing w:before="39"/>
        <w:ind w:left="0"/>
        <w:rPr>
          <w:color w:val="494949"/>
        </w:rPr>
      </w:pPr>
      <w:r>
        <w:rPr>
          <w:color w:val="494949"/>
        </w:rPr>
        <w:t>W</w:t>
      </w:r>
      <w:r w:rsidRPr="008719AB">
        <w:rPr>
          <w:color w:val="494949"/>
        </w:rPr>
        <w:t xml:space="preserve">ebsite of the </w:t>
      </w:r>
      <w:r w:rsidRPr="00223DAC">
        <w:rPr>
          <w:color w:val="494949"/>
          <w:sz w:val="22"/>
        </w:rPr>
        <w:t>General Assembly</w:t>
      </w:r>
      <w:r>
        <w:rPr>
          <w:color w:val="494949"/>
        </w:rPr>
        <w:t>;</w:t>
      </w:r>
      <w:r>
        <w:rPr>
          <w:color w:val="494949"/>
          <w:spacing w:val="-2"/>
        </w:rPr>
        <w:t xml:space="preserve"> </w:t>
      </w:r>
      <w:r w:rsidRPr="00223DAC">
        <w:rPr>
          <w:color w:val="494949"/>
          <w:sz w:val="22"/>
        </w:rPr>
        <w:t>Report of the</w:t>
      </w:r>
      <w:r w:rsidRPr="00223DAC">
        <w:rPr>
          <w:color w:val="494949"/>
          <w:spacing w:val="-3"/>
          <w:sz w:val="22"/>
        </w:rPr>
        <w:t xml:space="preserve"> </w:t>
      </w:r>
      <w:r w:rsidRPr="00223DAC">
        <w:rPr>
          <w:color w:val="494949"/>
          <w:sz w:val="22"/>
        </w:rPr>
        <w:t>Security</w:t>
      </w:r>
      <w:r w:rsidRPr="00223DAC">
        <w:rPr>
          <w:color w:val="494949"/>
          <w:spacing w:val="-3"/>
          <w:sz w:val="22"/>
        </w:rPr>
        <w:t xml:space="preserve"> </w:t>
      </w:r>
      <w:r w:rsidRPr="00223DAC">
        <w:rPr>
          <w:color w:val="494949"/>
          <w:sz w:val="22"/>
        </w:rPr>
        <w:t>Council</w:t>
      </w:r>
      <w:r>
        <w:rPr>
          <w:color w:val="494949"/>
        </w:rPr>
        <w:t xml:space="preserve"> for the respective year;</w:t>
      </w:r>
      <w:r w:rsidRPr="00463C67">
        <w:rPr>
          <w:color w:val="494949"/>
        </w:rPr>
        <w:t xml:space="preserve"> </w:t>
      </w:r>
      <w:r w:rsidRPr="00223DAC">
        <w:rPr>
          <w:color w:val="494949"/>
          <w:sz w:val="22"/>
        </w:rPr>
        <w:t>Report of the Economic and Social Council</w:t>
      </w:r>
      <w:r>
        <w:rPr>
          <w:color w:val="494949"/>
        </w:rPr>
        <w:t xml:space="preserve"> for the respective</w:t>
      </w:r>
      <w:r>
        <w:rPr>
          <w:color w:val="494949"/>
          <w:spacing w:val="-45"/>
        </w:rPr>
        <w:t xml:space="preserve">      </w:t>
      </w:r>
      <w:r>
        <w:rPr>
          <w:color w:val="494949"/>
        </w:rPr>
        <w:t>year; IMF Annual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Report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respective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year; IBRD</w:t>
      </w:r>
      <w:r w:rsidRPr="00223DAC">
        <w:rPr>
          <w:color w:val="494949"/>
          <w:sz w:val="22"/>
        </w:rPr>
        <w:t xml:space="preserve"> Management’s</w:t>
      </w:r>
      <w:r w:rsidRPr="00223DAC">
        <w:rPr>
          <w:color w:val="494949"/>
          <w:spacing w:val="-3"/>
          <w:sz w:val="22"/>
        </w:rPr>
        <w:t xml:space="preserve"> </w:t>
      </w:r>
      <w:r w:rsidRPr="00223DAC">
        <w:rPr>
          <w:color w:val="494949"/>
          <w:sz w:val="22"/>
        </w:rPr>
        <w:t>Discussion</w:t>
      </w:r>
      <w:r w:rsidRPr="00223DAC">
        <w:rPr>
          <w:color w:val="494949"/>
          <w:spacing w:val="-1"/>
          <w:sz w:val="22"/>
        </w:rPr>
        <w:t xml:space="preserve"> </w:t>
      </w:r>
      <w:r w:rsidRPr="00223DAC">
        <w:rPr>
          <w:color w:val="494949"/>
          <w:sz w:val="22"/>
        </w:rPr>
        <w:t>&amp;</w:t>
      </w:r>
      <w:r w:rsidRPr="00223DAC">
        <w:rPr>
          <w:color w:val="494949"/>
          <w:spacing w:val="-5"/>
          <w:sz w:val="22"/>
        </w:rPr>
        <w:t xml:space="preserve"> </w:t>
      </w:r>
      <w:r w:rsidRPr="00223DAC">
        <w:rPr>
          <w:color w:val="494949"/>
          <w:sz w:val="22"/>
        </w:rPr>
        <w:t>Analysis</w:t>
      </w:r>
      <w:r w:rsidRPr="00223DAC">
        <w:rPr>
          <w:color w:val="494949"/>
          <w:spacing w:val="-3"/>
          <w:sz w:val="22"/>
        </w:rPr>
        <w:t xml:space="preserve"> </w:t>
      </w:r>
      <w:r w:rsidRPr="00223DAC">
        <w:rPr>
          <w:color w:val="494949"/>
          <w:sz w:val="22"/>
        </w:rPr>
        <w:t>and</w:t>
      </w:r>
      <w:r w:rsidRPr="00223DAC">
        <w:rPr>
          <w:sz w:val="22"/>
        </w:rPr>
        <w:t xml:space="preserve"> </w:t>
      </w:r>
      <w:r w:rsidRPr="00223DAC">
        <w:rPr>
          <w:color w:val="494949"/>
          <w:sz w:val="22"/>
        </w:rPr>
        <w:t>Financial</w:t>
      </w:r>
      <w:r w:rsidRPr="00223DAC">
        <w:rPr>
          <w:color w:val="494949"/>
          <w:spacing w:val="-2"/>
          <w:sz w:val="22"/>
        </w:rPr>
        <w:t xml:space="preserve"> </w:t>
      </w:r>
      <w:r w:rsidRPr="00223DAC">
        <w:rPr>
          <w:color w:val="494949"/>
          <w:sz w:val="22"/>
        </w:rPr>
        <w:t>Statements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for the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respective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 xml:space="preserve">year; </w:t>
      </w:r>
      <w:r w:rsidRPr="00223DAC">
        <w:rPr>
          <w:color w:val="494949"/>
          <w:sz w:val="22"/>
        </w:rPr>
        <w:t>IFC Annual Report (volume 2</w:t>
      </w:r>
      <w:r>
        <w:rPr>
          <w:color w:val="494949"/>
        </w:rPr>
        <w:t>) for the respective year</w:t>
      </w:r>
      <w:r>
        <w:rPr>
          <w:color w:val="494949"/>
          <w:spacing w:val="-1"/>
        </w:rPr>
        <w:t>; AF</w:t>
      </w:r>
      <w:r w:rsidRPr="00463C67">
        <w:rPr>
          <w:color w:val="494949"/>
          <w:spacing w:val="-1"/>
        </w:rPr>
        <w:t>DB</w:t>
      </w:r>
      <w:r w:rsidRPr="00223DAC">
        <w:rPr>
          <w:color w:val="494949"/>
          <w:spacing w:val="-1"/>
          <w:sz w:val="22"/>
        </w:rPr>
        <w:t xml:space="preserve"> Annual Report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for the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 xml:space="preserve">respective year; AFDB Group </w:t>
      </w:r>
      <w:r w:rsidRPr="00223DAC">
        <w:rPr>
          <w:color w:val="494949"/>
          <w:sz w:val="22"/>
        </w:rPr>
        <w:t>Annual Report</w:t>
      </w:r>
      <w:r>
        <w:rPr>
          <w:color w:val="494949"/>
        </w:rPr>
        <w:t xml:space="preserve"> for the respective year; ADB Financial Report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respective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 xml:space="preserve">year; </w:t>
      </w:r>
      <w:r w:rsidRPr="00223DAC">
        <w:rPr>
          <w:color w:val="494949"/>
          <w:sz w:val="22"/>
        </w:rPr>
        <w:t>IADB Annual Report</w:t>
      </w:r>
      <w:r>
        <w:rPr>
          <w:color w:val="494949"/>
        </w:rPr>
        <w:t xml:space="preserve"> for the respective year; </w:t>
      </w:r>
      <w:r w:rsidRPr="00223DAC">
        <w:rPr>
          <w:color w:val="494949"/>
          <w:sz w:val="22"/>
        </w:rPr>
        <w:t>WTO Annual Report</w:t>
      </w:r>
      <w:r>
        <w:rPr>
          <w:color w:val="494949"/>
        </w:rPr>
        <w:t xml:space="preserve"> for the respective year</w:t>
      </w:r>
      <w:r w:rsidRPr="00223DAC">
        <w:rPr>
          <w:color w:val="494949"/>
        </w:rPr>
        <w:t xml:space="preserve">; FSB </w:t>
      </w:r>
      <w:r>
        <w:rPr>
          <w:color w:val="494949"/>
        </w:rPr>
        <w:t>Financial Statements for the respective year</w:t>
      </w:r>
    </w:p>
    <w:p w14:paraId="217A81D7" w14:textId="77777777" w:rsidR="00E14906" w:rsidRPr="00223DAC" w:rsidRDefault="00E14906" w:rsidP="00223DAC">
      <w:pPr>
        <w:pStyle w:val="BodyText"/>
        <w:spacing w:before="39" w:line="276" w:lineRule="auto"/>
        <w:ind w:left="0" w:right="130"/>
        <w:rPr>
          <w:color w:val="494949"/>
        </w:rPr>
      </w:pPr>
    </w:p>
    <w:p w14:paraId="22AE00AB" w14:textId="77777777" w:rsidR="00E14906" w:rsidRPr="00A96255" w:rsidRDefault="00E14906" w:rsidP="00E14906">
      <w:pPr>
        <w:pStyle w:val="MHeader2"/>
      </w:pPr>
      <w:r w:rsidRPr="00A96255">
        <w:t xml:space="preserve">3.b. Data collection method </w:t>
      </w:r>
      <w:r>
        <w:rPr>
          <w:color w:val="B4B4B4"/>
          <w:sz w:val="20"/>
        </w:rPr>
        <w:t>(COLL_METHOD)</w:t>
      </w:r>
    </w:p>
    <w:p w14:paraId="085C66C8" w14:textId="77777777" w:rsidR="00E14906" w:rsidRPr="00223DAC" w:rsidRDefault="00E14906" w:rsidP="00223DAC">
      <w:pPr>
        <w:pStyle w:val="BodyText"/>
        <w:spacing w:before="48"/>
        <w:ind w:left="0"/>
        <w:rPr>
          <w:color w:val="494949"/>
        </w:rPr>
      </w:pPr>
      <w:r w:rsidRPr="00223DAC">
        <w:rPr>
          <w:color w:val="494949"/>
        </w:rPr>
        <w:t>Desk</w:t>
      </w:r>
      <w:r w:rsidRPr="00223DAC">
        <w:rPr>
          <w:color w:val="494949"/>
          <w:spacing w:val="-1"/>
        </w:rPr>
        <w:t xml:space="preserve"> </w:t>
      </w:r>
      <w:r w:rsidRPr="00223DAC">
        <w:rPr>
          <w:color w:val="494949"/>
        </w:rPr>
        <w:t>review</w:t>
      </w:r>
      <w:r>
        <w:rPr>
          <w:color w:val="494949"/>
        </w:rPr>
        <w:t>, annually, pulling data from the above-mentioned sources</w:t>
      </w:r>
      <w:r w:rsidRPr="00223DAC">
        <w:rPr>
          <w:color w:val="494949"/>
        </w:rPr>
        <w:t>.</w:t>
      </w:r>
    </w:p>
    <w:p w14:paraId="5BDFC525" w14:textId="77777777" w:rsidR="00E14906" w:rsidRPr="00223DAC" w:rsidRDefault="00E14906" w:rsidP="00223DAC">
      <w:pPr>
        <w:pStyle w:val="BodyText"/>
        <w:spacing w:before="39" w:line="276" w:lineRule="auto"/>
        <w:ind w:left="0" w:right="130"/>
        <w:rPr>
          <w:color w:val="494949"/>
        </w:rPr>
      </w:pPr>
    </w:p>
    <w:p w14:paraId="00B59980" w14:textId="77777777" w:rsidR="00E14906" w:rsidRPr="00A96255" w:rsidRDefault="00E14906" w:rsidP="00E14906">
      <w:pPr>
        <w:pStyle w:val="MHeader2"/>
      </w:pPr>
      <w:r w:rsidRPr="00A96255">
        <w:t xml:space="preserve">3.c. Data collection calendar </w:t>
      </w:r>
      <w:r>
        <w:rPr>
          <w:color w:val="B4B4B4"/>
          <w:sz w:val="20"/>
        </w:rPr>
        <w:t>(FREQ_COLL)</w:t>
      </w:r>
    </w:p>
    <w:p w14:paraId="51CE7C12" w14:textId="2BFCD3E6" w:rsidR="00E14906" w:rsidRPr="00BF251D" w:rsidRDefault="00E14906" w:rsidP="00223DAC">
      <w:pPr>
        <w:spacing w:before="73"/>
      </w:pPr>
      <w:bookmarkStart w:id="5" w:name="_Hlk72332444"/>
      <w:r w:rsidRPr="00223DAC">
        <w:rPr>
          <w:color w:val="4A4A4A"/>
        </w:rPr>
        <w:t>Annually</w:t>
      </w:r>
      <w:r w:rsidRPr="00223DAC">
        <w:rPr>
          <w:color w:val="4A4A4A"/>
          <w:spacing w:val="-1"/>
        </w:rPr>
        <w:t xml:space="preserve"> </w:t>
      </w:r>
      <w:r w:rsidRPr="00223DAC">
        <w:rPr>
          <w:color w:val="4A4A4A"/>
        </w:rPr>
        <w:t>in March</w:t>
      </w:r>
      <w:bookmarkEnd w:id="5"/>
    </w:p>
    <w:p w14:paraId="797A9DB2" w14:textId="77777777" w:rsidR="00E14906" w:rsidRPr="00223DAC" w:rsidRDefault="00E14906" w:rsidP="00223DAC">
      <w:pPr>
        <w:pStyle w:val="BodyText"/>
        <w:spacing w:before="39" w:line="276" w:lineRule="auto"/>
        <w:ind w:left="0" w:right="130"/>
        <w:rPr>
          <w:color w:val="494949"/>
        </w:rPr>
      </w:pPr>
    </w:p>
    <w:p w14:paraId="6633F8A2" w14:textId="77777777" w:rsidR="00E14906" w:rsidRPr="00F719A8" w:rsidRDefault="00E14906" w:rsidP="00E14906">
      <w:pPr>
        <w:pStyle w:val="MHeader2"/>
      </w:pPr>
      <w:r w:rsidRPr="00A96255">
        <w:t xml:space="preserve">3.d. Data release calendar </w:t>
      </w:r>
      <w:r>
        <w:rPr>
          <w:color w:val="B4B4B4"/>
          <w:sz w:val="20"/>
        </w:rPr>
        <w:t>(REL_CAL_POLICY)</w:t>
      </w:r>
    </w:p>
    <w:p w14:paraId="72D644FA" w14:textId="11302549" w:rsidR="00E14906" w:rsidRPr="00223DAC" w:rsidRDefault="00E14906" w:rsidP="00223DAC">
      <w:pPr>
        <w:pStyle w:val="BodyText"/>
        <w:spacing w:before="76"/>
        <w:ind w:left="0"/>
        <w:rPr>
          <w:color w:val="494949"/>
        </w:rPr>
      </w:pPr>
      <w:r w:rsidRPr="00223DAC">
        <w:rPr>
          <w:color w:val="494949"/>
          <w:sz w:val="22"/>
        </w:rPr>
        <w:t>United Nations General Assembly:</w:t>
      </w:r>
      <w:r w:rsidRPr="0025737E">
        <w:rPr>
          <w:color w:val="494949"/>
        </w:rPr>
        <w:t xml:space="preserve"> </w:t>
      </w:r>
      <w:r w:rsidRPr="00223DAC">
        <w:rPr>
          <w:color w:val="494949"/>
        </w:rPr>
        <w:t>continuous</w:t>
      </w:r>
    </w:p>
    <w:p w14:paraId="21211AC4" w14:textId="06F38D1B" w:rsidR="00E14906" w:rsidRPr="00223DAC" w:rsidRDefault="00E14906" w:rsidP="00223DAC">
      <w:pPr>
        <w:pStyle w:val="BodyText"/>
        <w:spacing w:before="76"/>
        <w:ind w:left="0"/>
        <w:rPr>
          <w:color w:val="494949"/>
        </w:rPr>
      </w:pPr>
      <w:r w:rsidRPr="00223DAC">
        <w:rPr>
          <w:color w:val="494949"/>
          <w:sz w:val="22"/>
        </w:rPr>
        <w:t>United Nations Security Council:</w:t>
      </w:r>
      <w:r w:rsidRPr="0025737E">
        <w:rPr>
          <w:color w:val="494949"/>
        </w:rPr>
        <w:t xml:space="preserve"> </w:t>
      </w:r>
      <w:r w:rsidRPr="00223DAC">
        <w:rPr>
          <w:color w:val="494949"/>
        </w:rPr>
        <w:t>annually in September</w:t>
      </w:r>
    </w:p>
    <w:p w14:paraId="0E0C9312" w14:textId="77777777" w:rsidR="00E14906" w:rsidRPr="00223DAC" w:rsidRDefault="00E14906" w:rsidP="00223DAC">
      <w:pPr>
        <w:pStyle w:val="BodyText"/>
        <w:spacing w:before="76"/>
        <w:ind w:left="0"/>
        <w:rPr>
          <w:color w:val="494949"/>
        </w:rPr>
      </w:pPr>
      <w:r w:rsidRPr="00223DAC">
        <w:rPr>
          <w:color w:val="494949"/>
        </w:rPr>
        <w:t xml:space="preserve">United Nations Economic and Social Council: </w:t>
      </w:r>
      <w:r w:rsidRPr="00FE27E4">
        <w:rPr>
          <w:color w:val="494949"/>
        </w:rPr>
        <w:t xml:space="preserve">annually in </w:t>
      </w:r>
      <w:r>
        <w:rPr>
          <w:color w:val="494949"/>
        </w:rPr>
        <w:t xml:space="preserve">August </w:t>
      </w:r>
    </w:p>
    <w:p w14:paraId="1372C00E" w14:textId="77777777" w:rsidR="00E14906" w:rsidRPr="00223DAC" w:rsidRDefault="00E14906" w:rsidP="00223DAC">
      <w:pPr>
        <w:pStyle w:val="BodyText"/>
        <w:spacing w:before="76"/>
        <w:ind w:left="0"/>
        <w:rPr>
          <w:color w:val="494949"/>
        </w:rPr>
      </w:pPr>
      <w:r w:rsidRPr="00223DAC">
        <w:rPr>
          <w:color w:val="494949"/>
        </w:rPr>
        <w:t xml:space="preserve">International Monetary Fund: </w:t>
      </w:r>
      <w:r>
        <w:rPr>
          <w:color w:val="494949"/>
        </w:rPr>
        <w:t>annually</w:t>
      </w:r>
      <w:r w:rsidRPr="0025737E">
        <w:rPr>
          <w:color w:val="494949"/>
        </w:rPr>
        <w:t xml:space="preserve"> </w:t>
      </w:r>
      <w:r>
        <w:rPr>
          <w:color w:val="494949"/>
        </w:rPr>
        <w:t>in</w:t>
      </w:r>
      <w:r w:rsidRPr="0025737E">
        <w:rPr>
          <w:color w:val="494949"/>
        </w:rPr>
        <w:t xml:space="preserve"> </w:t>
      </w:r>
      <w:r>
        <w:rPr>
          <w:color w:val="494949"/>
        </w:rPr>
        <w:t>October</w:t>
      </w:r>
    </w:p>
    <w:p w14:paraId="343E9A80" w14:textId="45322B28" w:rsidR="00E14906" w:rsidRPr="00223DAC" w:rsidRDefault="00E14906" w:rsidP="00223DAC">
      <w:pPr>
        <w:pStyle w:val="BodyText"/>
        <w:spacing w:before="76"/>
        <w:ind w:left="0"/>
        <w:rPr>
          <w:color w:val="494949"/>
        </w:rPr>
      </w:pPr>
      <w:r w:rsidRPr="00223DAC">
        <w:rPr>
          <w:color w:val="494949"/>
          <w:sz w:val="22"/>
        </w:rPr>
        <w:t xml:space="preserve">International Bank for Reconstruction and Development: </w:t>
      </w:r>
      <w:r w:rsidRPr="00223DAC">
        <w:rPr>
          <w:color w:val="494949"/>
        </w:rPr>
        <w:t xml:space="preserve">annually in September </w:t>
      </w:r>
    </w:p>
    <w:p w14:paraId="60B9E9EE" w14:textId="78553C92" w:rsidR="00E14906" w:rsidRPr="00223DAC" w:rsidRDefault="00E14906" w:rsidP="00223DAC">
      <w:pPr>
        <w:pStyle w:val="BodyText"/>
        <w:spacing w:before="76"/>
        <w:ind w:left="0"/>
        <w:rPr>
          <w:color w:val="494949"/>
        </w:rPr>
      </w:pPr>
      <w:r w:rsidRPr="00223DAC">
        <w:rPr>
          <w:color w:val="494949"/>
          <w:sz w:val="22"/>
        </w:rPr>
        <w:t xml:space="preserve">International Finance Corporation: </w:t>
      </w:r>
      <w:r w:rsidRPr="00223DAC">
        <w:rPr>
          <w:color w:val="494949"/>
        </w:rPr>
        <w:t>annually in September</w:t>
      </w:r>
    </w:p>
    <w:p w14:paraId="57502999" w14:textId="77777777" w:rsidR="00E14906" w:rsidRPr="00223DAC" w:rsidRDefault="00E14906" w:rsidP="00223DAC">
      <w:pPr>
        <w:pStyle w:val="BodyText"/>
        <w:spacing w:before="76"/>
        <w:ind w:left="0"/>
        <w:rPr>
          <w:color w:val="494949"/>
        </w:rPr>
      </w:pPr>
      <w:r w:rsidRPr="00223DAC">
        <w:rPr>
          <w:color w:val="494949"/>
        </w:rPr>
        <w:t xml:space="preserve">African Development Bank: </w:t>
      </w:r>
      <w:r>
        <w:rPr>
          <w:color w:val="494949"/>
        </w:rPr>
        <w:t>annually in June</w:t>
      </w:r>
    </w:p>
    <w:p w14:paraId="3958C021" w14:textId="0450DF0A" w:rsidR="00E14906" w:rsidRPr="00223DAC" w:rsidRDefault="00E14906" w:rsidP="00223DAC">
      <w:pPr>
        <w:pStyle w:val="BodyText"/>
        <w:spacing w:before="76"/>
        <w:ind w:left="0"/>
        <w:rPr>
          <w:color w:val="494949"/>
        </w:rPr>
      </w:pPr>
      <w:r w:rsidRPr="00223DAC">
        <w:rPr>
          <w:color w:val="494949"/>
          <w:sz w:val="22"/>
        </w:rPr>
        <w:t xml:space="preserve">Asian Development Bank: </w:t>
      </w:r>
      <w:r w:rsidRPr="00223DAC">
        <w:rPr>
          <w:color w:val="494949"/>
        </w:rPr>
        <w:t>annually in April</w:t>
      </w:r>
    </w:p>
    <w:p w14:paraId="1CCF7AE5" w14:textId="6E0C2114" w:rsidR="00E14906" w:rsidRPr="00223DAC" w:rsidRDefault="00E14906" w:rsidP="00223DAC">
      <w:pPr>
        <w:pStyle w:val="BodyText"/>
        <w:spacing w:before="76"/>
        <w:ind w:left="0"/>
        <w:rPr>
          <w:color w:val="494949"/>
        </w:rPr>
      </w:pPr>
      <w:r w:rsidRPr="00223DAC">
        <w:rPr>
          <w:color w:val="494949"/>
          <w:sz w:val="22"/>
        </w:rPr>
        <w:t xml:space="preserve">Inter-American Development Bank: </w:t>
      </w:r>
      <w:r w:rsidRPr="00223DAC">
        <w:rPr>
          <w:color w:val="494949"/>
        </w:rPr>
        <w:t xml:space="preserve">annually in </w:t>
      </w:r>
      <w:r>
        <w:rPr>
          <w:color w:val="494949"/>
        </w:rPr>
        <w:t>March</w:t>
      </w:r>
    </w:p>
    <w:p w14:paraId="5EAA72EA" w14:textId="77777777" w:rsidR="00E14906" w:rsidRPr="00223DAC" w:rsidRDefault="00E14906" w:rsidP="00223DAC">
      <w:pPr>
        <w:pStyle w:val="BodyText"/>
        <w:spacing w:before="76"/>
        <w:ind w:left="0"/>
        <w:rPr>
          <w:color w:val="494949"/>
        </w:rPr>
      </w:pPr>
      <w:r w:rsidRPr="00223DAC">
        <w:rPr>
          <w:color w:val="494949"/>
        </w:rPr>
        <w:t xml:space="preserve">World Trade Organisation: </w:t>
      </w:r>
      <w:r>
        <w:rPr>
          <w:color w:val="494949"/>
        </w:rPr>
        <w:t>annually</w:t>
      </w:r>
      <w:r w:rsidRPr="0025737E">
        <w:rPr>
          <w:color w:val="494949"/>
        </w:rPr>
        <w:t xml:space="preserve"> </w:t>
      </w:r>
      <w:r>
        <w:rPr>
          <w:color w:val="494949"/>
        </w:rPr>
        <w:t>in</w:t>
      </w:r>
      <w:r w:rsidRPr="0025737E">
        <w:rPr>
          <w:color w:val="494949"/>
        </w:rPr>
        <w:t xml:space="preserve"> </w:t>
      </w:r>
      <w:r>
        <w:rPr>
          <w:color w:val="494949"/>
        </w:rPr>
        <w:t>May</w:t>
      </w:r>
      <w:r w:rsidRPr="0025737E">
        <w:rPr>
          <w:color w:val="494949"/>
        </w:rPr>
        <w:t xml:space="preserve"> </w:t>
      </w:r>
    </w:p>
    <w:p w14:paraId="4C075F09" w14:textId="723CEA0B" w:rsidR="00E14906" w:rsidRPr="00223DAC" w:rsidRDefault="00E14906" w:rsidP="00223DAC">
      <w:pPr>
        <w:pStyle w:val="BodyText"/>
        <w:spacing w:before="76"/>
        <w:ind w:left="0"/>
        <w:rPr>
          <w:color w:val="494949"/>
        </w:rPr>
      </w:pPr>
      <w:r w:rsidRPr="00223DAC">
        <w:rPr>
          <w:color w:val="494949"/>
          <w:sz w:val="22"/>
        </w:rPr>
        <w:t xml:space="preserve">Financial Stability Board: </w:t>
      </w:r>
      <w:r w:rsidRPr="00223DAC">
        <w:rPr>
          <w:color w:val="494949"/>
        </w:rPr>
        <w:t xml:space="preserve">annually in </w:t>
      </w:r>
      <w:r>
        <w:rPr>
          <w:color w:val="494949"/>
        </w:rPr>
        <w:t>August</w:t>
      </w:r>
    </w:p>
    <w:p w14:paraId="51D5C8EA" w14:textId="77777777" w:rsidR="00E14906" w:rsidRPr="00223DAC" w:rsidRDefault="00E14906" w:rsidP="00223DAC">
      <w:pPr>
        <w:pStyle w:val="BodyText"/>
        <w:spacing w:before="39" w:line="276" w:lineRule="auto"/>
        <w:ind w:left="0" w:right="130"/>
        <w:rPr>
          <w:color w:val="494949"/>
        </w:rPr>
      </w:pPr>
    </w:p>
    <w:p w14:paraId="1189A163" w14:textId="03ED1B68" w:rsidR="00E14906" w:rsidRPr="00223DAC" w:rsidRDefault="00E14906" w:rsidP="00223DAC">
      <w:pPr>
        <w:pStyle w:val="BodyText"/>
        <w:spacing w:line="276" w:lineRule="auto"/>
        <w:ind w:left="0" w:right="30"/>
        <w:rPr>
          <w:color w:val="494949"/>
        </w:rPr>
      </w:pPr>
      <w:r>
        <w:rPr>
          <w:color w:val="494949"/>
        </w:rPr>
        <w:t xml:space="preserve">Next release: </w:t>
      </w:r>
      <w:r w:rsidRPr="00223DAC">
        <w:rPr>
          <w:color w:val="494949"/>
        </w:rPr>
        <w:t>UNGA continuous</w:t>
      </w:r>
      <w:r>
        <w:rPr>
          <w:color w:val="494949"/>
        </w:rPr>
        <w:t>;</w:t>
      </w:r>
      <w:r w:rsidRPr="00223DAC">
        <w:rPr>
          <w:color w:val="494949"/>
        </w:rPr>
        <w:t xml:space="preserve"> UNSC September </w:t>
      </w:r>
      <w:r>
        <w:rPr>
          <w:color w:val="494949"/>
        </w:rPr>
        <w:t>2022;</w:t>
      </w:r>
      <w:r w:rsidRPr="00223DAC">
        <w:rPr>
          <w:color w:val="494949"/>
        </w:rPr>
        <w:t xml:space="preserve"> ECOSOC</w:t>
      </w:r>
      <w:r w:rsidRPr="00FE27E4">
        <w:rPr>
          <w:color w:val="494949"/>
        </w:rPr>
        <w:t xml:space="preserve"> </w:t>
      </w:r>
      <w:r>
        <w:rPr>
          <w:color w:val="494949"/>
        </w:rPr>
        <w:t>August</w:t>
      </w:r>
      <w:r w:rsidRPr="00FE27E4">
        <w:rPr>
          <w:color w:val="494949"/>
        </w:rPr>
        <w:t xml:space="preserve"> 2022</w:t>
      </w:r>
      <w:r>
        <w:rPr>
          <w:color w:val="494949"/>
        </w:rPr>
        <w:t>;</w:t>
      </w:r>
      <w:r w:rsidRPr="00223DAC">
        <w:rPr>
          <w:color w:val="494949"/>
        </w:rPr>
        <w:t xml:space="preserve"> IMF October </w:t>
      </w:r>
      <w:r>
        <w:rPr>
          <w:color w:val="494949"/>
        </w:rPr>
        <w:t>2022;</w:t>
      </w:r>
      <w:r w:rsidRPr="00223DAC">
        <w:rPr>
          <w:color w:val="494949"/>
        </w:rPr>
        <w:t xml:space="preserve"> IBRD September </w:t>
      </w:r>
      <w:r>
        <w:rPr>
          <w:color w:val="494949"/>
        </w:rPr>
        <w:t>2022;</w:t>
      </w:r>
      <w:r w:rsidRPr="00223DAC">
        <w:rPr>
          <w:color w:val="494949"/>
        </w:rPr>
        <w:t xml:space="preserve"> IFC September </w:t>
      </w:r>
      <w:r>
        <w:rPr>
          <w:color w:val="494949"/>
        </w:rPr>
        <w:t>2022; AFDB June 2022;</w:t>
      </w:r>
      <w:r w:rsidRPr="00223DAC">
        <w:rPr>
          <w:color w:val="494949"/>
        </w:rPr>
        <w:t xml:space="preserve"> ADB April </w:t>
      </w:r>
      <w:r>
        <w:rPr>
          <w:color w:val="494949"/>
        </w:rPr>
        <w:t>2022;</w:t>
      </w:r>
      <w:r w:rsidRPr="00223DAC">
        <w:rPr>
          <w:color w:val="494949"/>
        </w:rPr>
        <w:t xml:space="preserve"> IADB</w:t>
      </w:r>
      <w:r>
        <w:rPr>
          <w:color w:val="494949"/>
        </w:rPr>
        <w:t xml:space="preserve"> March 2022;</w:t>
      </w:r>
      <w:r w:rsidRPr="00223DAC">
        <w:rPr>
          <w:color w:val="494949"/>
        </w:rPr>
        <w:t xml:space="preserve"> WTO May </w:t>
      </w:r>
      <w:r>
        <w:rPr>
          <w:color w:val="494949"/>
        </w:rPr>
        <w:t>2022;</w:t>
      </w:r>
      <w:r w:rsidRPr="00223DAC">
        <w:rPr>
          <w:color w:val="494949"/>
        </w:rPr>
        <w:t xml:space="preserve"> FSB</w:t>
      </w:r>
      <w:r>
        <w:rPr>
          <w:color w:val="494949"/>
        </w:rPr>
        <w:t xml:space="preserve"> August 2022.</w:t>
      </w:r>
    </w:p>
    <w:p w14:paraId="6801076A" w14:textId="77777777" w:rsidR="00E14906" w:rsidRPr="00223DAC" w:rsidRDefault="00E14906" w:rsidP="00223DAC">
      <w:pPr>
        <w:pStyle w:val="BodyText"/>
        <w:spacing w:before="39" w:line="276" w:lineRule="auto"/>
        <w:ind w:left="0" w:right="130"/>
        <w:rPr>
          <w:color w:val="494949"/>
        </w:rPr>
      </w:pPr>
    </w:p>
    <w:p w14:paraId="5D46692C" w14:textId="77777777" w:rsidR="00E14906" w:rsidRPr="00A96255" w:rsidRDefault="00E14906" w:rsidP="00E14906">
      <w:pPr>
        <w:pStyle w:val="MHeader2"/>
      </w:pPr>
      <w:r w:rsidRPr="00A96255">
        <w:t xml:space="preserve">3.e. Data providers </w:t>
      </w:r>
      <w:r>
        <w:rPr>
          <w:color w:val="B4B4B4"/>
          <w:sz w:val="20"/>
        </w:rPr>
        <w:t>(DATA_SOURCE)</w:t>
      </w:r>
    </w:p>
    <w:p w14:paraId="713DB671" w14:textId="77777777" w:rsidR="00E14906" w:rsidRPr="00223DAC" w:rsidRDefault="00E14906" w:rsidP="00223DAC">
      <w:pPr>
        <w:pStyle w:val="Heading3"/>
        <w:ind w:left="0"/>
      </w:pPr>
      <w:r w:rsidRPr="00223DAC">
        <w:rPr>
          <w:color w:val="494949"/>
        </w:rPr>
        <w:t>Name:</w:t>
      </w:r>
    </w:p>
    <w:p w14:paraId="678CF7BF" w14:textId="77777777" w:rsidR="00E14906" w:rsidRPr="00223DAC" w:rsidRDefault="00E14906" w:rsidP="00223DAC">
      <w:pPr>
        <w:pStyle w:val="BodyText"/>
        <w:spacing w:before="39"/>
        <w:ind w:left="0"/>
        <w:rPr>
          <w:color w:val="494949"/>
        </w:rPr>
      </w:pPr>
      <w:r w:rsidRPr="00223DAC">
        <w:rPr>
          <w:color w:val="494949"/>
        </w:rPr>
        <w:t>UNGA,</w:t>
      </w:r>
      <w:r w:rsidRPr="00223DAC">
        <w:rPr>
          <w:color w:val="494949"/>
          <w:spacing w:val="-1"/>
        </w:rPr>
        <w:t xml:space="preserve"> </w:t>
      </w:r>
      <w:r w:rsidRPr="00223DAC">
        <w:rPr>
          <w:color w:val="494949"/>
        </w:rPr>
        <w:t>UNSC,</w:t>
      </w:r>
      <w:r w:rsidRPr="00223DAC">
        <w:rPr>
          <w:color w:val="494949"/>
          <w:spacing w:val="-1"/>
        </w:rPr>
        <w:t xml:space="preserve"> </w:t>
      </w:r>
      <w:r w:rsidRPr="00223DAC">
        <w:rPr>
          <w:color w:val="494949"/>
        </w:rPr>
        <w:t>ECOSOC,</w:t>
      </w:r>
      <w:r w:rsidRPr="00223DAC">
        <w:rPr>
          <w:color w:val="494949"/>
          <w:spacing w:val="-1"/>
        </w:rPr>
        <w:t xml:space="preserve"> </w:t>
      </w:r>
      <w:r w:rsidRPr="00223DAC">
        <w:rPr>
          <w:color w:val="494949"/>
        </w:rPr>
        <w:t>IMF,</w:t>
      </w:r>
      <w:r w:rsidRPr="00223DAC">
        <w:rPr>
          <w:color w:val="494949"/>
          <w:spacing w:val="-3"/>
        </w:rPr>
        <w:t xml:space="preserve"> </w:t>
      </w:r>
      <w:r w:rsidRPr="00223DAC">
        <w:rPr>
          <w:color w:val="494949"/>
        </w:rPr>
        <w:t>IBRD, IFC,</w:t>
      </w:r>
      <w:r w:rsidRPr="00223DAC">
        <w:rPr>
          <w:color w:val="494949"/>
          <w:spacing w:val="-1"/>
        </w:rPr>
        <w:t xml:space="preserve"> </w:t>
      </w:r>
      <w:r w:rsidRPr="00223DAC">
        <w:rPr>
          <w:color w:val="494949"/>
        </w:rPr>
        <w:t>AfDB,</w:t>
      </w:r>
      <w:r w:rsidRPr="00223DAC">
        <w:rPr>
          <w:color w:val="494949"/>
          <w:spacing w:val="-3"/>
        </w:rPr>
        <w:t xml:space="preserve"> </w:t>
      </w:r>
      <w:r w:rsidRPr="00223DAC">
        <w:rPr>
          <w:color w:val="494949"/>
        </w:rPr>
        <w:t>ADB,</w:t>
      </w:r>
      <w:r w:rsidRPr="00223DAC">
        <w:rPr>
          <w:color w:val="494949"/>
          <w:spacing w:val="-1"/>
        </w:rPr>
        <w:t xml:space="preserve"> </w:t>
      </w:r>
      <w:r w:rsidRPr="00223DAC">
        <w:rPr>
          <w:color w:val="494949"/>
        </w:rPr>
        <w:t>IADB,</w:t>
      </w:r>
      <w:r w:rsidRPr="00223DAC">
        <w:rPr>
          <w:color w:val="494949"/>
          <w:spacing w:val="-3"/>
        </w:rPr>
        <w:t xml:space="preserve"> </w:t>
      </w:r>
      <w:r w:rsidRPr="00223DAC">
        <w:rPr>
          <w:color w:val="494949"/>
        </w:rPr>
        <w:t>WTO, FSB</w:t>
      </w:r>
    </w:p>
    <w:p w14:paraId="26094D67" w14:textId="77777777" w:rsidR="00E14906" w:rsidRPr="00223DAC" w:rsidRDefault="00E14906" w:rsidP="00223DAC">
      <w:pPr>
        <w:pStyle w:val="BodyText"/>
        <w:spacing w:before="39" w:line="276" w:lineRule="auto"/>
        <w:ind w:left="0" w:right="130"/>
        <w:rPr>
          <w:color w:val="494949"/>
        </w:rPr>
      </w:pPr>
    </w:p>
    <w:p w14:paraId="544E5BAD" w14:textId="77777777" w:rsidR="00E14906" w:rsidRPr="00223DAC" w:rsidRDefault="00E14906" w:rsidP="00223DAC">
      <w:pPr>
        <w:pStyle w:val="Heading3"/>
        <w:spacing w:before="0"/>
        <w:ind w:left="0"/>
      </w:pPr>
      <w:r w:rsidRPr="00223DAC">
        <w:rPr>
          <w:color w:val="494949"/>
        </w:rPr>
        <w:t>Description:</w:t>
      </w:r>
    </w:p>
    <w:p w14:paraId="5D1FD4DC" w14:textId="3A4120B9" w:rsidR="00E14906" w:rsidRPr="00223DAC" w:rsidRDefault="00E14906" w:rsidP="00223DAC">
      <w:pPr>
        <w:pStyle w:val="BodyText"/>
        <w:spacing w:before="39" w:line="276" w:lineRule="auto"/>
        <w:ind w:left="0" w:right="202"/>
        <w:rPr>
          <w:color w:val="494949"/>
        </w:rPr>
      </w:pPr>
      <w:r w:rsidRPr="00223DAC">
        <w:rPr>
          <w:color w:val="494949"/>
        </w:rPr>
        <w:t>The United Nations General Assembly, the United Nations Security Council, the United Nations Economic</w:t>
      </w:r>
      <w:r w:rsidRPr="00223DAC">
        <w:rPr>
          <w:color w:val="494949"/>
          <w:spacing w:val="-45"/>
        </w:rPr>
        <w:t xml:space="preserve"> </w:t>
      </w:r>
      <w:r w:rsidRPr="00223DAC">
        <w:rPr>
          <w:color w:val="494949"/>
        </w:rPr>
        <w:t>and Social Council, the International Monetary Fund, the International Bank for Reconstruction and</w:t>
      </w:r>
      <w:r w:rsidRPr="00223DAC">
        <w:rPr>
          <w:color w:val="494949"/>
          <w:spacing w:val="1"/>
        </w:rPr>
        <w:t xml:space="preserve"> </w:t>
      </w:r>
      <w:r w:rsidRPr="00223DAC">
        <w:rPr>
          <w:color w:val="494949"/>
        </w:rPr>
        <w:t>Development, the International Finance Corporation, the African Development Bank, the Asian</w:t>
      </w:r>
      <w:r w:rsidRPr="00223DAC">
        <w:rPr>
          <w:color w:val="494949"/>
          <w:spacing w:val="1"/>
        </w:rPr>
        <w:t xml:space="preserve"> </w:t>
      </w:r>
      <w:r w:rsidRPr="00223DAC">
        <w:rPr>
          <w:color w:val="494949"/>
        </w:rPr>
        <w:t>Development Bank, the Inter-American Development Bank, the World Trade Organisation, and the</w:t>
      </w:r>
      <w:r w:rsidRPr="00223DAC">
        <w:rPr>
          <w:color w:val="494949"/>
          <w:spacing w:val="1"/>
        </w:rPr>
        <w:t xml:space="preserve"> </w:t>
      </w:r>
      <w:r w:rsidRPr="00223DAC">
        <w:rPr>
          <w:color w:val="494949"/>
        </w:rPr>
        <w:t>Financial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Stability Board</w:t>
      </w:r>
    </w:p>
    <w:p w14:paraId="2935F409" w14:textId="77777777" w:rsidR="00E14906" w:rsidRPr="00223DAC" w:rsidRDefault="00E14906" w:rsidP="00223DAC">
      <w:pPr>
        <w:pStyle w:val="BodyText"/>
        <w:spacing w:before="39" w:line="276" w:lineRule="auto"/>
        <w:ind w:left="0" w:right="130"/>
        <w:rPr>
          <w:color w:val="494949"/>
        </w:rPr>
      </w:pPr>
    </w:p>
    <w:p w14:paraId="428675CF" w14:textId="77777777" w:rsidR="00E14906" w:rsidRPr="00A96255" w:rsidRDefault="00E14906" w:rsidP="00E14906">
      <w:pPr>
        <w:pStyle w:val="MHeader2"/>
      </w:pPr>
      <w:r w:rsidRPr="00A96255">
        <w:t xml:space="preserve">3.f. Data compilers </w:t>
      </w:r>
      <w:r>
        <w:rPr>
          <w:color w:val="B4B4B4"/>
          <w:sz w:val="20"/>
        </w:rPr>
        <w:t>(COMPILING_ORG)</w:t>
      </w:r>
    </w:p>
    <w:p w14:paraId="3B625254" w14:textId="77777777" w:rsidR="00E14906" w:rsidRPr="00223DAC" w:rsidRDefault="00E14906" w:rsidP="00223DAC">
      <w:pPr>
        <w:pStyle w:val="Heading3"/>
        <w:ind w:left="0"/>
      </w:pPr>
      <w:r w:rsidRPr="00223DAC">
        <w:rPr>
          <w:color w:val="494949"/>
        </w:rPr>
        <w:t>Name:</w:t>
      </w:r>
    </w:p>
    <w:p w14:paraId="45FD28F9" w14:textId="6F913F08" w:rsidR="00E14906" w:rsidRPr="00223DAC" w:rsidRDefault="00E14906" w:rsidP="00223DAC">
      <w:pPr>
        <w:pStyle w:val="BodyText"/>
        <w:spacing w:before="39"/>
        <w:ind w:left="0"/>
        <w:rPr>
          <w:color w:val="494949"/>
        </w:rPr>
      </w:pPr>
      <w:r>
        <w:rPr>
          <w:color w:val="494949"/>
        </w:rPr>
        <w:t>FSDO</w:t>
      </w:r>
      <w:r w:rsidRPr="00223DAC">
        <w:rPr>
          <w:color w:val="494949"/>
        </w:rPr>
        <w:t>/UN-DESA</w:t>
      </w:r>
    </w:p>
    <w:p w14:paraId="1C19A4BD" w14:textId="77777777" w:rsidR="00E14906" w:rsidRPr="00223DAC" w:rsidRDefault="00E14906" w:rsidP="00223DAC">
      <w:pPr>
        <w:pStyle w:val="BodyText"/>
        <w:spacing w:before="39"/>
        <w:ind w:left="0"/>
      </w:pPr>
    </w:p>
    <w:p w14:paraId="698EC855" w14:textId="77777777" w:rsidR="00E14906" w:rsidRPr="00223DAC" w:rsidRDefault="00E14906" w:rsidP="00223DAC">
      <w:pPr>
        <w:pStyle w:val="Heading3"/>
        <w:spacing w:before="0"/>
        <w:ind w:left="0"/>
      </w:pPr>
      <w:r w:rsidRPr="00223DAC">
        <w:rPr>
          <w:color w:val="494949"/>
        </w:rPr>
        <w:t>Description:</w:t>
      </w:r>
    </w:p>
    <w:p w14:paraId="25A86263" w14:textId="77777777" w:rsidR="00E14906" w:rsidRPr="00223DAC" w:rsidRDefault="00E14906" w:rsidP="00223DAC">
      <w:pPr>
        <w:pStyle w:val="BodyText"/>
        <w:spacing w:before="39" w:line="276" w:lineRule="auto"/>
        <w:ind w:left="0" w:right="130"/>
        <w:rPr>
          <w:color w:val="494949"/>
        </w:rPr>
      </w:pPr>
      <w:r w:rsidRPr="00223DAC">
        <w:rPr>
          <w:color w:val="494949"/>
        </w:rPr>
        <w:t xml:space="preserve">The data is </w:t>
      </w:r>
      <w:proofErr w:type="gramStart"/>
      <w:r w:rsidRPr="00223DAC">
        <w:rPr>
          <w:color w:val="494949"/>
        </w:rPr>
        <w:t>compiled</w:t>
      </w:r>
      <w:proofErr w:type="gramEnd"/>
      <w:r w:rsidRPr="00223DAC">
        <w:rPr>
          <w:color w:val="494949"/>
        </w:rPr>
        <w:t xml:space="preserve"> and the proportions calculated by the Financing for Sustainable Development Office,</w:t>
      </w:r>
      <w:r w:rsidRPr="00223DAC">
        <w:rPr>
          <w:color w:val="494949"/>
          <w:spacing w:val="-45"/>
        </w:rPr>
        <w:t xml:space="preserve"> </w:t>
      </w:r>
      <w:r w:rsidRPr="00223DAC">
        <w:rPr>
          <w:color w:val="494949"/>
        </w:rPr>
        <w:t>United</w:t>
      </w:r>
      <w:r w:rsidRPr="00223DAC">
        <w:rPr>
          <w:color w:val="494949"/>
          <w:spacing w:val="-1"/>
        </w:rPr>
        <w:t xml:space="preserve"> </w:t>
      </w:r>
      <w:r w:rsidRPr="00223DAC">
        <w:rPr>
          <w:color w:val="494949"/>
        </w:rPr>
        <w:t>Nations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Department</w:t>
      </w:r>
      <w:r w:rsidRPr="00223DAC">
        <w:rPr>
          <w:color w:val="494949"/>
          <w:spacing w:val="-4"/>
        </w:rPr>
        <w:t xml:space="preserve"> </w:t>
      </w:r>
      <w:r w:rsidRPr="00223DAC">
        <w:rPr>
          <w:color w:val="494949"/>
        </w:rPr>
        <w:t>of Economic</w:t>
      </w:r>
      <w:r w:rsidRPr="00223DAC">
        <w:rPr>
          <w:color w:val="494949"/>
          <w:spacing w:val="-1"/>
        </w:rPr>
        <w:t xml:space="preserve"> </w:t>
      </w:r>
      <w:r w:rsidRPr="00223DAC">
        <w:rPr>
          <w:color w:val="494949"/>
        </w:rPr>
        <w:t>and</w:t>
      </w:r>
      <w:r w:rsidRPr="00223DAC">
        <w:rPr>
          <w:color w:val="494949"/>
          <w:spacing w:val="-1"/>
        </w:rPr>
        <w:t xml:space="preserve"> </w:t>
      </w:r>
      <w:r w:rsidRPr="00223DAC">
        <w:rPr>
          <w:color w:val="494949"/>
        </w:rPr>
        <w:t>Social</w:t>
      </w:r>
      <w:r w:rsidRPr="00223DAC">
        <w:rPr>
          <w:color w:val="494949"/>
          <w:spacing w:val="-1"/>
        </w:rPr>
        <w:t xml:space="preserve"> </w:t>
      </w:r>
      <w:r w:rsidRPr="00223DAC">
        <w:rPr>
          <w:color w:val="494949"/>
        </w:rPr>
        <w:t>Affairs.</w:t>
      </w:r>
    </w:p>
    <w:p w14:paraId="47D32CF5" w14:textId="77777777" w:rsidR="00E14906" w:rsidRPr="00223DAC" w:rsidRDefault="00E14906" w:rsidP="00223DAC">
      <w:pPr>
        <w:pStyle w:val="BodyText"/>
        <w:spacing w:before="39" w:line="276" w:lineRule="auto"/>
        <w:ind w:left="0" w:right="130"/>
        <w:rPr>
          <w:color w:val="494949"/>
        </w:rPr>
      </w:pPr>
    </w:p>
    <w:p w14:paraId="55FBFE8F" w14:textId="77777777" w:rsidR="00E14906" w:rsidRPr="00A96255" w:rsidRDefault="00E14906" w:rsidP="00E14906">
      <w:pPr>
        <w:pStyle w:val="MHeader2"/>
      </w:pPr>
      <w:r w:rsidRPr="00A96255">
        <w:t xml:space="preserve">3.g. Institutional mandate </w:t>
      </w:r>
      <w:r>
        <w:rPr>
          <w:color w:val="B4B4B4"/>
          <w:sz w:val="20"/>
        </w:rPr>
        <w:t>(INST_MANDATE)</w:t>
      </w:r>
    </w:p>
    <w:p w14:paraId="3F618CE4" w14:textId="3930CC7B" w:rsidR="00E14906" w:rsidRDefault="00E14906" w:rsidP="00E14906">
      <w:pPr>
        <w:pStyle w:val="MText"/>
        <w:spacing w:before="77"/>
        <w:ind w:right="274"/>
      </w:pPr>
      <w:r w:rsidRPr="0035067A">
        <w:rPr>
          <w:rFonts w:ascii="Calibri" w:eastAsia="Calibri" w:hAnsi="Calibri" w:cs="Calibri"/>
          <w:color w:val="494949"/>
          <w:lang w:eastAsia="en-US"/>
        </w:rPr>
        <w:t>At its second meeting in October 2015, the Inter-</w:t>
      </w:r>
      <w:proofErr w:type="gramStart"/>
      <w:r w:rsidRPr="0035067A">
        <w:rPr>
          <w:rFonts w:ascii="Calibri" w:eastAsia="Calibri" w:hAnsi="Calibri" w:cs="Calibri"/>
          <w:color w:val="494949"/>
          <w:lang w:eastAsia="en-US"/>
        </w:rPr>
        <w:t>agency</w:t>
      </w:r>
      <w:proofErr w:type="gramEnd"/>
      <w:r w:rsidRPr="0035067A">
        <w:rPr>
          <w:rFonts w:ascii="Calibri" w:eastAsia="Calibri" w:hAnsi="Calibri" w:cs="Calibri"/>
          <w:color w:val="494949"/>
          <w:lang w:eastAsia="en-US"/>
        </w:rPr>
        <w:t xml:space="preserve"> and Expert Group on SDG Indicators (IAEG-SDG)</w:t>
      </w:r>
      <w:r>
        <w:t xml:space="preserve"> agreed to a draft indicator and to UN-DESA being designated as the compiling entity. The Statistical Commission, at its 47</w:t>
      </w:r>
      <w:r w:rsidRPr="00DA6C9B">
        <w:rPr>
          <w:vertAlign w:val="superscript"/>
        </w:rPr>
        <w:t>th</w:t>
      </w:r>
      <w:r>
        <w:t xml:space="preserve"> session in March 2016, approved the report of the IAEG-SDG containing the proposed set of indicators. </w:t>
      </w:r>
    </w:p>
    <w:p w14:paraId="1C66D19C" w14:textId="77777777" w:rsidR="00E14906" w:rsidRPr="00A96255" w:rsidRDefault="00E14906" w:rsidP="00E14906">
      <w:pPr>
        <w:pStyle w:val="MText"/>
      </w:pPr>
    </w:p>
    <w:p w14:paraId="7C89DEFC" w14:textId="77777777" w:rsidR="00E14906" w:rsidRPr="00A96255" w:rsidRDefault="00E14906" w:rsidP="00E14906">
      <w:pPr>
        <w:pStyle w:val="MHeader"/>
      </w:pPr>
      <w:r w:rsidRPr="00A96255">
        <w:t xml:space="preserve">4. Other methodological considerations </w:t>
      </w:r>
      <w:r>
        <w:rPr>
          <w:color w:val="B4B4B4"/>
          <w:sz w:val="20"/>
        </w:rPr>
        <w:t>(OTHER_METHOD)</w:t>
      </w:r>
    </w:p>
    <w:p w14:paraId="503C73F0" w14:textId="77777777" w:rsidR="00E14906" w:rsidRPr="00A96255" w:rsidRDefault="00E14906" w:rsidP="00E14906">
      <w:pPr>
        <w:pStyle w:val="MHeader2"/>
      </w:pPr>
      <w:r w:rsidRPr="00A96255">
        <w:t xml:space="preserve">4.a. Rationale </w:t>
      </w:r>
      <w:r>
        <w:rPr>
          <w:color w:val="B4B4B4"/>
          <w:sz w:val="20"/>
        </w:rPr>
        <w:t>(RATIONALE)</w:t>
      </w:r>
    </w:p>
    <w:p w14:paraId="3A38AAE9" w14:textId="5F7BABF3" w:rsidR="00E14906" w:rsidRPr="00223DAC" w:rsidRDefault="00E14906" w:rsidP="00223DAC">
      <w:pPr>
        <w:pStyle w:val="BodyText"/>
        <w:spacing w:before="76" w:line="276" w:lineRule="auto"/>
        <w:ind w:left="0" w:right="280"/>
        <w:rPr>
          <w:color w:val="494949"/>
        </w:rPr>
      </w:pPr>
      <w:r w:rsidRPr="00223DAC">
        <w:rPr>
          <w:color w:val="494949"/>
        </w:rPr>
        <w:t xml:space="preserve">The </w:t>
      </w:r>
      <w:r>
        <w:rPr>
          <w:color w:val="494949"/>
        </w:rPr>
        <w:t>UN</w:t>
      </w:r>
      <w:r w:rsidRPr="00223DAC">
        <w:rPr>
          <w:color w:val="494949"/>
        </w:rPr>
        <w:t xml:space="preserve"> is based on a principle of sovereign equality of all its Member States (Article 2, UN Charter). This</w:t>
      </w:r>
      <w:r w:rsidRPr="00223DAC">
        <w:rPr>
          <w:color w:val="494949"/>
          <w:spacing w:val="-45"/>
        </w:rPr>
        <w:t xml:space="preserve"> </w:t>
      </w:r>
      <w:r w:rsidRPr="00223DAC">
        <w:rPr>
          <w:color w:val="494949"/>
        </w:rPr>
        <w:t>indicator aims to measure the degree to which States enjoy equal representation in international</w:t>
      </w:r>
      <w:r w:rsidRPr="00223DAC">
        <w:rPr>
          <w:color w:val="494949"/>
          <w:spacing w:val="1"/>
        </w:rPr>
        <w:t xml:space="preserve"> </w:t>
      </w:r>
      <w:r w:rsidRPr="00223DAC">
        <w:rPr>
          <w:color w:val="494949"/>
        </w:rPr>
        <w:t>organizations.</w:t>
      </w:r>
    </w:p>
    <w:p w14:paraId="2B0175A0" w14:textId="77777777" w:rsidR="00E14906" w:rsidRDefault="00E14906" w:rsidP="00223DAC">
      <w:pPr>
        <w:pStyle w:val="BodyText"/>
        <w:spacing w:before="76" w:line="276" w:lineRule="auto"/>
        <w:ind w:left="0" w:right="280"/>
      </w:pPr>
    </w:p>
    <w:p w14:paraId="10F19ED6" w14:textId="77777777" w:rsidR="00E14906" w:rsidRPr="00A96255" w:rsidRDefault="00E14906" w:rsidP="00E14906">
      <w:pPr>
        <w:pStyle w:val="MHeader2"/>
      </w:pPr>
      <w:r w:rsidRPr="00A96255">
        <w:t xml:space="preserve">4.b. Comment and limitations </w:t>
      </w:r>
      <w:r>
        <w:rPr>
          <w:color w:val="B4B4B4"/>
          <w:sz w:val="20"/>
        </w:rPr>
        <w:t>(REC_USE_LIM)</w:t>
      </w:r>
    </w:p>
    <w:p w14:paraId="20673E67" w14:textId="77777777" w:rsidR="00E14906" w:rsidRPr="00223DAC" w:rsidRDefault="00E14906" w:rsidP="00223DAC">
      <w:pPr>
        <w:pStyle w:val="BodyText"/>
        <w:spacing w:before="76" w:line="276" w:lineRule="auto"/>
        <w:ind w:left="0" w:right="140"/>
        <w:rPr>
          <w:color w:val="494949"/>
        </w:rPr>
      </w:pPr>
      <w:r w:rsidRPr="00223DAC">
        <w:rPr>
          <w:color w:val="494949"/>
        </w:rPr>
        <w:t>Cross institutional comparisons need to pay attention to the different membership of the institutions.</w:t>
      </w:r>
      <w:r w:rsidRPr="00223DAC">
        <w:rPr>
          <w:color w:val="494949"/>
          <w:spacing w:val="1"/>
        </w:rPr>
        <w:t xml:space="preserve"> </w:t>
      </w:r>
      <w:r w:rsidRPr="00223DAC">
        <w:rPr>
          <w:color w:val="494949"/>
        </w:rPr>
        <w:t>Voting rights and membership in their institutions are agreed by the Member States themselves. As a</w:t>
      </w:r>
      <w:r w:rsidRPr="00223DAC">
        <w:rPr>
          <w:color w:val="494949"/>
          <w:spacing w:val="1"/>
        </w:rPr>
        <w:t xml:space="preserve"> </w:t>
      </w:r>
      <w:r w:rsidRPr="00223DAC">
        <w:rPr>
          <w:color w:val="494949"/>
        </w:rPr>
        <w:t>structural indicator, there will be only small changes over time to reflect agreement on new States joining</w:t>
      </w:r>
      <w:r w:rsidRPr="00223DAC">
        <w:rPr>
          <w:color w:val="494949"/>
          <w:spacing w:val="-45"/>
        </w:rPr>
        <w:t xml:space="preserve"> </w:t>
      </w:r>
      <w:r w:rsidRPr="00223DAC">
        <w:rPr>
          <w:color w:val="494949"/>
        </w:rPr>
        <w:t>as</w:t>
      </w:r>
      <w:r w:rsidRPr="00223DAC">
        <w:rPr>
          <w:color w:val="494949"/>
          <w:spacing w:val="-4"/>
        </w:rPr>
        <w:t xml:space="preserve"> </w:t>
      </w:r>
      <w:r w:rsidRPr="00223DAC">
        <w:rPr>
          <w:color w:val="494949"/>
        </w:rPr>
        <w:t>Members,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suspension</w:t>
      </w:r>
      <w:r w:rsidRPr="00223DAC">
        <w:rPr>
          <w:color w:val="494949"/>
          <w:spacing w:val="-1"/>
        </w:rPr>
        <w:t xml:space="preserve"> </w:t>
      </w:r>
      <w:r w:rsidRPr="00223DAC">
        <w:rPr>
          <w:color w:val="494949"/>
        </w:rPr>
        <w:t>of</w:t>
      </w:r>
      <w:r w:rsidRPr="00223DAC">
        <w:rPr>
          <w:color w:val="494949"/>
          <w:spacing w:val="-4"/>
        </w:rPr>
        <w:t xml:space="preserve"> </w:t>
      </w:r>
      <w:r w:rsidRPr="00223DAC">
        <w:rPr>
          <w:color w:val="494949"/>
        </w:rPr>
        <w:t>voting</w:t>
      </w:r>
      <w:r w:rsidRPr="00223DAC">
        <w:rPr>
          <w:color w:val="494949"/>
          <w:spacing w:val="-3"/>
        </w:rPr>
        <w:t xml:space="preserve"> </w:t>
      </w:r>
      <w:r w:rsidRPr="00223DAC">
        <w:rPr>
          <w:color w:val="494949"/>
        </w:rPr>
        <w:t>rights,</w:t>
      </w:r>
      <w:r w:rsidRPr="00223DAC">
        <w:rPr>
          <w:color w:val="494949"/>
          <w:spacing w:val="-1"/>
        </w:rPr>
        <w:t xml:space="preserve"> </w:t>
      </w:r>
      <w:r w:rsidRPr="00223DAC">
        <w:rPr>
          <w:color w:val="494949"/>
        </w:rPr>
        <w:t>membership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withdrawal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and</w:t>
      </w:r>
      <w:r w:rsidRPr="00223DAC">
        <w:rPr>
          <w:color w:val="494949"/>
          <w:spacing w:val="-3"/>
        </w:rPr>
        <w:t xml:space="preserve"> </w:t>
      </w:r>
      <w:r w:rsidRPr="00223DAC">
        <w:rPr>
          <w:color w:val="494949"/>
        </w:rPr>
        <w:t>negotiated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voting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rights</w:t>
      </w:r>
      <w:r w:rsidRPr="00223DAC">
        <w:rPr>
          <w:color w:val="494949"/>
          <w:spacing w:val="-3"/>
        </w:rPr>
        <w:t xml:space="preserve"> </w:t>
      </w:r>
      <w:r w:rsidRPr="00223DAC">
        <w:rPr>
          <w:color w:val="494949"/>
        </w:rPr>
        <w:t>changes.</w:t>
      </w:r>
      <w:r>
        <w:rPr>
          <w:color w:val="494949"/>
        </w:rPr>
        <w:t xml:space="preserve"> The indicator is not intended for use at country-level or for cross-country comparisons.</w:t>
      </w:r>
    </w:p>
    <w:p w14:paraId="33D1B3E9" w14:textId="77777777" w:rsidR="00E14906" w:rsidRDefault="00E14906" w:rsidP="00223DAC">
      <w:pPr>
        <w:pStyle w:val="BodyText"/>
        <w:spacing w:before="76" w:line="276" w:lineRule="auto"/>
        <w:ind w:left="0" w:right="140"/>
      </w:pPr>
    </w:p>
    <w:p w14:paraId="1D6D079B" w14:textId="77777777" w:rsidR="00E14906" w:rsidRPr="00A96255" w:rsidRDefault="00E14906" w:rsidP="00E14906">
      <w:pPr>
        <w:pStyle w:val="MHeader2"/>
      </w:pPr>
      <w:r w:rsidRPr="00A96255">
        <w:t xml:space="preserve">4.c. Method of computation </w:t>
      </w:r>
      <w:r>
        <w:rPr>
          <w:color w:val="B4B4B4"/>
          <w:sz w:val="20"/>
        </w:rPr>
        <w:t>(DATA_COMP)</w:t>
      </w:r>
    </w:p>
    <w:p w14:paraId="7AC97DE0" w14:textId="19F08BDF" w:rsidR="00E14906" w:rsidRPr="00223DAC" w:rsidRDefault="00E14906" w:rsidP="00223DAC">
      <w:pPr>
        <w:pStyle w:val="BodyText"/>
        <w:spacing w:before="76" w:line="276" w:lineRule="auto"/>
        <w:ind w:left="0" w:right="493"/>
        <w:rPr>
          <w:color w:val="494949"/>
        </w:rPr>
      </w:pPr>
      <w:r w:rsidRPr="00223DAC">
        <w:rPr>
          <w:color w:val="494949"/>
        </w:rPr>
        <w:t xml:space="preserve">The computation uses each </w:t>
      </w:r>
      <w:proofErr w:type="gramStart"/>
      <w:r w:rsidRPr="00223DAC">
        <w:rPr>
          <w:color w:val="494949"/>
        </w:rPr>
        <w:t>institutions’</w:t>
      </w:r>
      <w:proofErr w:type="gramEnd"/>
      <w:r w:rsidRPr="00223DAC">
        <w:rPr>
          <w:color w:val="494949"/>
        </w:rPr>
        <w:t xml:space="preserve"> own published membership and voting rights data from their</w:t>
      </w:r>
      <w:r w:rsidRPr="00223DAC">
        <w:rPr>
          <w:color w:val="494949"/>
          <w:spacing w:val="-45"/>
        </w:rPr>
        <w:t xml:space="preserve"> </w:t>
      </w:r>
      <w:r w:rsidRPr="00223DAC">
        <w:rPr>
          <w:color w:val="494949"/>
        </w:rPr>
        <w:t xml:space="preserve">respective annual reports. The </w:t>
      </w:r>
      <w:r w:rsidRPr="00D724BC">
        <w:rPr>
          <w:color w:val="494949"/>
        </w:rPr>
        <w:t>ratio</w:t>
      </w:r>
      <w:r w:rsidRPr="00223DAC">
        <w:rPr>
          <w:color w:val="494949"/>
        </w:rPr>
        <w:t xml:space="preserve"> of voting rights is computed as the number of voting </w:t>
      </w:r>
      <w:proofErr w:type="gramStart"/>
      <w:r w:rsidRPr="00223DAC">
        <w:rPr>
          <w:color w:val="494949"/>
        </w:rPr>
        <w:t xml:space="preserve">rights </w:t>
      </w:r>
      <w:r w:rsidRPr="00D724BC">
        <w:rPr>
          <w:color w:val="494949"/>
          <w:spacing w:val="-45"/>
        </w:rPr>
        <w:t xml:space="preserve"> </w:t>
      </w:r>
      <w:r w:rsidRPr="00223DAC">
        <w:rPr>
          <w:color w:val="494949"/>
        </w:rPr>
        <w:t>allocated</w:t>
      </w:r>
      <w:proofErr w:type="gramEnd"/>
      <w:r w:rsidRPr="00223DAC">
        <w:rPr>
          <w:color w:val="494949"/>
        </w:rPr>
        <w:t xml:space="preserve"> to developing countries</w:t>
      </w:r>
      <w:r w:rsidRPr="00D724BC">
        <w:rPr>
          <w:color w:val="494949"/>
        </w:rPr>
        <w:t xml:space="preserve"> (as classified by the “historical” classification of “Developed regions” and “Developing regions” as of December 2021 in the United Nations M49 statistical standard),</w:t>
      </w:r>
      <w:r w:rsidRPr="00223DAC">
        <w:rPr>
          <w:color w:val="494949"/>
        </w:rPr>
        <w:t xml:space="preserve"> divided by the total number of voting rights. The </w:t>
      </w:r>
      <w:r w:rsidRPr="00D724BC">
        <w:rPr>
          <w:color w:val="494949"/>
        </w:rPr>
        <w:t>ratio</w:t>
      </w:r>
      <w:r w:rsidRPr="00223DAC">
        <w:rPr>
          <w:color w:val="494949"/>
        </w:rPr>
        <w:t xml:space="preserve"> of</w:t>
      </w:r>
      <w:r w:rsidRPr="00223DAC">
        <w:rPr>
          <w:color w:val="494949"/>
          <w:spacing w:val="1"/>
        </w:rPr>
        <w:t xml:space="preserve"> </w:t>
      </w:r>
      <w:r w:rsidRPr="00223DAC">
        <w:rPr>
          <w:color w:val="494949"/>
        </w:rPr>
        <w:t>membership is calculated by taking the number of developing country members</w:t>
      </w:r>
      <w:r w:rsidRPr="00D724BC">
        <w:rPr>
          <w:color w:val="494949"/>
        </w:rPr>
        <w:t xml:space="preserve"> (using the same classification),</w:t>
      </w:r>
      <w:r w:rsidRPr="00223DAC">
        <w:rPr>
          <w:color w:val="494949"/>
        </w:rPr>
        <w:t xml:space="preserve"> divided by the total</w:t>
      </w:r>
      <w:r w:rsidRPr="00223DAC">
        <w:rPr>
          <w:color w:val="494949"/>
          <w:spacing w:val="1"/>
        </w:rPr>
        <w:t xml:space="preserve"> </w:t>
      </w:r>
      <w:r w:rsidRPr="00223DAC">
        <w:rPr>
          <w:color w:val="494949"/>
        </w:rPr>
        <w:t>number</w:t>
      </w:r>
      <w:r w:rsidRPr="00223DAC">
        <w:rPr>
          <w:color w:val="494949"/>
          <w:spacing w:val="-1"/>
        </w:rPr>
        <w:t xml:space="preserve"> </w:t>
      </w:r>
      <w:r w:rsidRPr="00223DAC">
        <w:rPr>
          <w:color w:val="494949"/>
        </w:rPr>
        <w:t>of</w:t>
      </w:r>
      <w:r w:rsidRPr="00223DAC">
        <w:rPr>
          <w:color w:val="494949"/>
          <w:spacing w:val="-3"/>
        </w:rPr>
        <w:t xml:space="preserve"> </w:t>
      </w:r>
      <w:r w:rsidRPr="00223DAC">
        <w:rPr>
          <w:color w:val="494949"/>
        </w:rPr>
        <w:t>members</w:t>
      </w:r>
      <w:r w:rsidRPr="00D724BC">
        <w:rPr>
          <w:color w:val="494949"/>
        </w:rPr>
        <w:t>. Both ratios are expressed as percentages</w:t>
      </w:r>
      <w:r w:rsidRPr="00223DAC">
        <w:rPr>
          <w:color w:val="494949"/>
        </w:rPr>
        <w:t>.</w:t>
      </w:r>
    </w:p>
    <w:p w14:paraId="1EEEFFE6" w14:textId="77777777" w:rsidR="00E14906" w:rsidRPr="00D724BC" w:rsidRDefault="00E14906" w:rsidP="00223DAC">
      <w:pPr>
        <w:pStyle w:val="BodyText"/>
        <w:spacing w:before="76" w:line="276" w:lineRule="auto"/>
        <w:ind w:left="0" w:right="493"/>
      </w:pPr>
    </w:p>
    <w:p w14:paraId="7C6FAD0D" w14:textId="77777777" w:rsidR="00E14906" w:rsidRPr="00A96255" w:rsidRDefault="00E14906" w:rsidP="00E14906">
      <w:pPr>
        <w:pStyle w:val="MHeader2"/>
      </w:pPr>
      <w:r w:rsidRPr="00A96255">
        <w:t xml:space="preserve">4.d. Validation </w:t>
      </w:r>
      <w:r>
        <w:rPr>
          <w:color w:val="B4B4B4"/>
          <w:sz w:val="20"/>
        </w:rPr>
        <w:t>(DATA_VALIDATION)</w:t>
      </w:r>
    </w:p>
    <w:p w14:paraId="634ED2AB" w14:textId="77777777" w:rsidR="00E14906" w:rsidRDefault="00E14906" w:rsidP="00E14906">
      <w:pPr>
        <w:pStyle w:val="BodyText"/>
        <w:spacing w:before="76"/>
        <w:ind w:left="0"/>
        <w:rPr>
          <w:color w:val="494949"/>
        </w:rPr>
      </w:pPr>
      <w:r>
        <w:rPr>
          <w:color w:val="494949"/>
        </w:rPr>
        <w:t>Not applicable</w:t>
      </w:r>
    </w:p>
    <w:p w14:paraId="61F4C934" w14:textId="77777777" w:rsidR="00E14906" w:rsidRDefault="00E14906" w:rsidP="00223DAC">
      <w:pPr>
        <w:pStyle w:val="BodyText"/>
        <w:spacing w:before="76"/>
        <w:ind w:left="0"/>
      </w:pPr>
    </w:p>
    <w:p w14:paraId="1D79FB5F" w14:textId="77777777" w:rsidR="00E14906" w:rsidRPr="00A96255" w:rsidRDefault="00E14906" w:rsidP="00E14906">
      <w:pPr>
        <w:pStyle w:val="MHeader2"/>
      </w:pPr>
      <w:r w:rsidRPr="00A96255">
        <w:t xml:space="preserve">4.e. Adjustments </w:t>
      </w:r>
      <w:r>
        <w:rPr>
          <w:color w:val="B4B4B4"/>
          <w:sz w:val="20"/>
        </w:rPr>
        <w:t>(ADJUSTMENT)</w:t>
      </w:r>
    </w:p>
    <w:p w14:paraId="6BAD2D99" w14:textId="77777777" w:rsidR="00E14906" w:rsidRDefault="00E14906" w:rsidP="00E14906">
      <w:pPr>
        <w:pStyle w:val="BodyText"/>
        <w:spacing w:before="76"/>
        <w:ind w:left="0"/>
        <w:rPr>
          <w:color w:val="494949"/>
        </w:rPr>
      </w:pPr>
      <w:r>
        <w:rPr>
          <w:color w:val="494949"/>
        </w:rPr>
        <w:t>Not applicable</w:t>
      </w:r>
    </w:p>
    <w:p w14:paraId="6DBB285C" w14:textId="77777777" w:rsidR="00E14906" w:rsidRDefault="00E14906" w:rsidP="00223DAC">
      <w:pPr>
        <w:pStyle w:val="BodyText"/>
        <w:spacing w:before="76"/>
        <w:ind w:left="0"/>
      </w:pPr>
    </w:p>
    <w:p w14:paraId="1A6F7607" w14:textId="77777777" w:rsidR="00E14906" w:rsidRPr="00A96255" w:rsidRDefault="00E14906" w:rsidP="00E14906">
      <w:pPr>
        <w:pStyle w:val="MHeader2"/>
      </w:pPr>
      <w:r w:rsidRPr="00A96255">
        <w:t xml:space="preserve">4.f. Treatment of missing values (i) at country level and (ii) at regional level </w:t>
      </w:r>
      <w:r>
        <w:rPr>
          <w:color w:val="B4B4B4"/>
          <w:sz w:val="20"/>
        </w:rPr>
        <w:t>(IMPUTATION)</w:t>
      </w:r>
    </w:p>
    <w:p w14:paraId="410FBCF7" w14:textId="77777777" w:rsidR="00E14906" w:rsidRPr="00672DED" w:rsidRDefault="00E14906" w:rsidP="00E14906">
      <w:pPr>
        <w:pStyle w:val="MText"/>
        <w:shd w:val="clear" w:color="auto" w:fill="auto"/>
        <w:rPr>
          <w:b/>
        </w:rPr>
      </w:pPr>
      <w:r w:rsidRPr="00672DED">
        <w:rPr>
          <w:b/>
        </w:rPr>
        <w:t>•</w:t>
      </w:r>
      <w:r w:rsidRPr="00672DED">
        <w:rPr>
          <w:b/>
        </w:rPr>
        <w:tab/>
        <w:t>At country level</w:t>
      </w:r>
    </w:p>
    <w:p w14:paraId="13D12214" w14:textId="2D4E0296" w:rsidR="00E14906" w:rsidRDefault="00E14906" w:rsidP="00E14906">
      <w:pPr>
        <w:pStyle w:val="BodyText"/>
        <w:spacing w:before="76"/>
        <w:ind w:left="0"/>
        <w:rPr>
          <w:color w:val="494949"/>
        </w:rPr>
      </w:pPr>
      <w:r w:rsidRPr="00F66C85">
        <w:rPr>
          <w:color w:val="494949"/>
        </w:rPr>
        <w:t xml:space="preserve">Countries which are not a member of the specific international organisation/body will not have a figure for the </w:t>
      </w:r>
      <w:r>
        <w:rPr>
          <w:color w:val="494949"/>
        </w:rPr>
        <w:t xml:space="preserve">related </w:t>
      </w:r>
      <w:r w:rsidRPr="00F66C85">
        <w:rPr>
          <w:color w:val="494949"/>
        </w:rPr>
        <w:t>sub-indicator. These are intentionally left blank.</w:t>
      </w:r>
    </w:p>
    <w:p w14:paraId="591524A4" w14:textId="77777777" w:rsidR="00E14906" w:rsidRPr="00672DED" w:rsidRDefault="00E14906" w:rsidP="00E14906">
      <w:pPr>
        <w:pStyle w:val="MText"/>
        <w:rPr>
          <w:b/>
        </w:rPr>
      </w:pPr>
      <w:r w:rsidRPr="00672DED">
        <w:rPr>
          <w:b/>
        </w:rPr>
        <w:t>•</w:t>
      </w:r>
      <w:r w:rsidRPr="00672DED">
        <w:rPr>
          <w:b/>
        </w:rPr>
        <w:tab/>
        <w:t>At regional and global levels</w:t>
      </w:r>
    </w:p>
    <w:p w14:paraId="1B2B9D71" w14:textId="77777777" w:rsidR="00E14906" w:rsidRDefault="00E14906" w:rsidP="00223DAC">
      <w:pPr>
        <w:pStyle w:val="BodyText"/>
        <w:spacing w:before="76"/>
        <w:ind w:left="0"/>
      </w:pPr>
    </w:p>
    <w:p w14:paraId="0A3CDBFF" w14:textId="77777777" w:rsidR="00E14906" w:rsidRPr="00A96255" w:rsidRDefault="00E14906" w:rsidP="00E14906">
      <w:pPr>
        <w:pStyle w:val="MHeader2"/>
      </w:pPr>
      <w:r w:rsidRPr="00A96255">
        <w:t xml:space="preserve">4.g. </w:t>
      </w:r>
      <w:proofErr w:type="gramStart"/>
      <w:r w:rsidRPr="00A96255">
        <w:t>Regional</w:t>
      </w:r>
      <w:proofErr w:type="gramEnd"/>
      <w:r w:rsidRPr="00A96255">
        <w:t xml:space="preserve"> aggregations </w:t>
      </w:r>
      <w:r>
        <w:rPr>
          <w:color w:val="B4B4B4"/>
          <w:sz w:val="20"/>
        </w:rPr>
        <w:t>(REG_AGG)</w:t>
      </w:r>
    </w:p>
    <w:p w14:paraId="5BD08699" w14:textId="77777777" w:rsidR="00E14906" w:rsidRPr="00223DAC" w:rsidRDefault="00E14906" w:rsidP="00223DAC">
      <w:pPr>
        <w:pStyle w:val="BodyText"/>
        <w:spacing w:before="76"/>
        <w:ind w:left="0"/>
        <w:rPr>
          <w:color w:val="494949"/>
        </w:rPr>
      </w:pPr>
      <w:bookmarkStart w:id="6" w:name="_Hlk72332666"/>
      <w:r w:rsidRPr="00223DAC">
        <w:rPr>
          <w:color w:val="494949"/>
        </w:rPr>
        <w:t>Aggregations</w:t>
      </w:r>
      <w:r w:rsidRPr="00223DAC">
        <w:rPr>
          <w:color w:val="494949"/>
          <w:spacing w:val="-3"/>
        </w:rPr>
        <w:t xml:space="preserve"> </w:t>
      </w:r>
      <w:r w:rsidRPr="00223DAC">
        <w:rPr>
          <w:color w:val="494949"/>
        </w:rPr>
        <w:t>are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additive,</w:t>
      </w:r>
      <w:r w:rsidRPr="00223DAC">
        <w:rPr>
          <w:color w:val="494949"/>
          <w:spacing w:val="-3"/>
        </w:rPr>
        <w:t xml:space="preserve"> </w:t>
      </w:r>
      <w:r w:rsidRPr="00223DAC">
        <w:rPr>
          <w:color w:val="494949"/>
        </w:rPr>
        <w:t>with no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weighting.</w:t>
      </w:r>
      <w:bookmarkEnd w:id="6"/>
    </w:p>
    <w:p w14:paraId="69C887ED" w14:textId="77777777" w:rsidR="00E14906" w:rsidRDefault="00E14906" w:rsidP="00223DAC">
      <w:pPr>
        <w:pStyle w:val="BodyText"/>
        <w:spacing w:before="76"/>
        <w:ind w:left="0"/>
      </w:pPr>
    </w:p>
    <w:p w14:paraId="006DA5AB" w14:textId="77777777" w:rsidR="00E14906" w:rsidRPr="00A96255" w:rsidRDefault="00E14906" w:rsidP="00E14906">
      <w:pPr>
        <w:pStyle w:val="MHeader2"/>
      </w:pPr>
      <w:r w:rsidRPr="00A96255">
        <w:t xml:space="preserve">4.h. Methods and guidance available to countries for the compilation of the data at the national level </w:t>
      </w:r>
      <w:r>
        <w:rPr>
          <w:color w:val="B4B4B4"/>
          <w:sz w:val="20"/>
        </w:rPr>
        <w:t>(DOC_METHOD)</w:t>
      </w:r>
    </w:p>
    <w:p w14:paraId="097948CC" w14:textId="77777777" w:rsidR="00E14906" w:rsidRDefault="00E14906" w:rsidP="00E14906">
      <w:pPr>
        <w:pStyle w:val="BodyText"/>
        <w:spacing w:before="76"/>
        <w:ind w:left="0"/>
        <w:rPr>
          <w:color w:val="494949"/>
        </w:rPr>
      </w:pPr>
      <w:r>
        <w:rPr>
          <w:color w:val="494949"/>
        </w:rPr>
        <w:t>Not applicable</w:t>
      </w:r>
    </w:p>
    <w:p w14:paraId="0CEA6C04" w14:textId="77777777" w:rsidR="00E14906" w:rsidRDefault="00E14906" w:rsidP="00223DAC">
      <w:pPr>
        <w:pStyle w:val="BodyText"/>
        <w:spacing w:before="76"/>
        <w:ind w:left="0"/>
      </w:pPr>
    </w:p>
    <w:p w14:paraId="33A8E218" w14:textId="77777777" w:rsidR="00E14906" w:rsidRPr="00A96255" w:rsidRDefault="00E14906" w:rsidP="00E14906">
      <w:pPr>
        <w:pStyle w:val="MHeader2"/>
      </w:pPr>
      <w:r w:rsidRPr="00A96255">
        <w:t xml:space="preserve">4.i. Quality management </w:t>
      </w:r>
      <w:r>
        <w:rPr>
          <w:color w:val="B4B4B4"/>
          <w:sz w:val="20"/>
        </w:rPr>
        <w:t>(QUALITY_MGMNT)</w:t>
      </w:r>
    </w:p>
    <w:p w14:paraId="70F6797C" w14:textId="706C6415" w:rsidR="00E14906" w:rsidRPr="00223DAC" w:rsidRDefault="00E14906" w:rsidP="00223DAC">
      <w:pPr>
        <w:pStyle w:val="BodyText"/>
        <w:spacing w:before="76"/>
        <w:ind w:left="0"/>
        <w:rPr>
          <w:color w:val="494949"/>
        </w:rPr>
      </w:pPr>
      <w:bookmarkStart w:id="7" w:name="_Hlk72332696"/>
      <w:r w:rsidRPr="00223DAC">
        <w:rPr>
          <w:color w:val="494949"/>
        </w:rPr>
        <w:t>Internal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review</w:t>
      </w:r>
      <w:bookmarkEnd w:id="7"/>
      <w:r>
        <w:rPr>
          <w:color w:val="494949"/>
        </w:rPr>
        <w:t xml:space="preserve"> undertaken by data compiler, FSDO/UN-DESA</w:t>
      </w:r>
    </w:p>
    <w:p w14:paraId="3A9F8C89" w14:textId="77777777" w:rsidR="00E14906" w:rsidRPr="00223DAC" w:rsidRDefault="00E14906" w:rsidP="00223DAC">
      <w:pPr>
        <w:pStyle w:val="BodyText"/>
        <w:spacing w:before="76"/>
        <w:ind w:left="0"/>
        <w:rPr>
          <w:color w:val="494949"/>
        </w:rPr>
      </w:pPr>
    </w:p>
    <w:p w14:paraId="6DC7B1FA" w14:textId="77777777" w:rsidR="00E14906" w:rsidRPr="00A96255" w:rsidRDefault="00E14906" w:rsidP="00E14906">
      <w:pPr>
        <w:pStyle w:val="MHeader2"/>
      </w:pPr>
      <w:r w:rsidRPr="00A96255">
        <w:t xml:space="preserve">4.j Quality assurance </w:t>
      </w:r>
      <w:r>
        <w:rPr>
          <w:color w:val="B4B4B4"/>
          <w:sz w:val="20"/>
        </w:rPr>
        <w:t>(QUALITY_ASSURE)</w:t>
      </w:r>
    </w:p>
    <w:p w14:paraId="2103BDCE" w14:textId="77777777" w:rsidR="00E14906" w:rsidRPr="00223DAC" w:rsidRDefault="00E14906" w:rsidP="00223DAC">
      <w:pPr>
        <w:pStyle w:val="BodyText"/>
        <w:spacing w:before="36"/>
        <w:ind w:left="0"/>
        <w:rPr>
          <w:color w:val="494949"/>
        </w:rPr>
      </w:pPr>
    </w:p>
    <w:p w14:paraId="27278EA9" w14:textId="77777777" w:rsidR="00E14906" w:rsidRPr="00A96255" w:rsidRDefault="00E14906" w:rsidP="00E14906">
      <w:pPr>
        <w:pStyle w:val="MHeader2"/>
      </w:pPr>
      <w:r w:rsidRPr="00A96255">
        <w:t xml:space="preserve">4.k Quality assessment </w:t>
      </w:r>
      <w:r>
        <w:rPr>
          <w:color w:val="B4B4B4"/>
          <w:sz w:val="20"/>
        </w:rPr>
        <w:t>(QUALITY_ASSMNT)</w:t>
      </w:r>
    </w:p>
    <w:p w14:paraId="3398BEE4" w14:textId="77777777" w:rsidR="00E14906" w:rsidRPr="00223DAC" w:rsidRDefault="00E14906" w:rsidP="00223DAC">
      <w:pPr>
        <w:pStyle w:val="BodyText"/>
        <w:spacing w:before="36"/>
        <w:ind w:left="0"/>
        <w:rPr>
          <w:color w:val="494949"/>
        </w:rPr>
      </w:pPr>
    </w:p>
    <w:p w14:paraId="05DFEDF9" w14:textId="77777777" w:rsidR="00E14906" w:rsidRDefault="00E14906" w:rsidP="00223DAC">
      <w:pPr>
        <w:pStyle w:val="BodyText"/>
        <w:spacing w:before="36"/>
        <w:ind w:left="0"/>
      </w:pPr>
    </w:p>
    <w:p w14:paraId="2BD9C003" w14:textId="77777777" w:rsidR="00E14906" w:rsidRPr="00E7335B" w:rsidRDefault="00E14906" w:rsidP="00E14906">
      <w:pPr>
        <w:pStyle w:val="MHeader"/>
        <w:spacing w:after="100"/>
      </w:pPr>
      <w:r w:rsidRPr="00A96255">
        <w:t xml:space="preserve">5. Data availability and disaggregation </w:t>
      </w:r>
      <w:r>
        <w:rPr>
          <w:color w:val="B4B4B4"/>
          <w:sz w:val="20"/>
        </w:rPr>
        <w:t>(COVERAGE)</w:t>
      </w:r>
    </w:p>
    <w:p w14:paraId="5BA80B6E" w14:textId="77777777" w:rsidR="00E14906" w:rsidRPr="00003395" w:rsidRDefault="00E14906" w:rsidP="00223DAC">
      <w:pPr>
        <w:pStyle w:val="BodyText"/>
        <w:spacing w:before="76"/>
        <w:ind w:left="0"/>
        <w:rPr>
          <w:b/>
          <w:bCs/>
        </w:rPr>
      </w:pPr>
      <w:r w:rsidRPr="00223DAC">
        <w:rPr>
          <w:b/>
          <w:color w:val="494949"/>
        </w:rPr>
        <w:lastRenderedPageBreak/>
        <w:t>Data</w:t>
      </w:r>
      <w:r w:rsidRPr="00223DAC">
        <w:rPr>
          <w:b/>
          <w:color w:val="494949"/>
          <w:spacing w:val="-2"/>
        </w:rPr>
        <w:t xml:space="preserve"> </w:t>
      </w:r>
      <w:r w:rsidRPr="00223DAC">
        <w:rPr>
          <w:b/>
          <w:color w:val="494949"/>
        </w:rPr>
        <w:t>availability:</w:t>
      </w:r>
    </w:p>
    <w:p w14:paraId="58CB5AB8" w14:textId="77777777" w:rsidR="00E14906" w:rsidRPr="00223DAC" w:rsidRDefault="00E14906" w:rsidP="00223DAC">
      <w:pPr>
        <w:pStyle w:val="BodyText"/>
        <w:spacing w:before="36"/>
        <w:ind w:left="0"/>
        <w:rPr>
          <w:color w:val="494949"/>
        </w:rPr>
      </w:pPr>
      <w:r w:rsidRPr="00223DAC">
        <w:rPr>
          <w:color w:val="494949"/>
        </w:rPr>
        <w:t>Available</w:t>
      </w:r>
      <w:r w:rsidRPr="00223DAC">
        <w:rPr>
          <w:color w:val="494949"/>
          <w:spacing w:val="-4"/>
        </w:rPr>
        <w:t xml:space="preserve"> </w:t>
      </w:r>
      <w:r w:rsidRPr="00223DAC">
        <w:rPr>
          <w:color w:val="494949"/>
        </w:rPr>
        <w:t>for</w:t>
      </w:r>
      <w:r w:rsidRPr="00223DAC">
        <w:rPr>
          <w:color w:val="494949"/>
          <w:spacing w:val="-1"/>
        </w:rPr>
        <w:t xml:space="preserve"> </w:t>
      </w:r>
      <w:r w:rsidRPr="00223DAC">
        <w:rPr>
          <w:color w:val="494949"/>
        </w:rPr>
        <w:t>all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countries.</w:t>
      </w:r>
    </w:p>
    <w:p w14:paraId="0C6423EE" w14:textId="77777777" w:rsidR="00E14906" w:rsidRPr="00223DAC" w:rsidRDefault="00E14906" w:rsidP="00223DAC">
      <w:pPr>
        <w:pStyle w:val="BodyText"/>
        <w:spacing w:before="36"/>
        <w:ind w:left="0"/>
      </w:pPr>
    </w:p>
    <w:p w14:paraId="71E9CB9F" w14:textId="77777777" w:rsidR="00E14906" w:rsidRPr="00003395" w:rsidRDefault="00E14906" w:rsidP="00223DAC">
      <w:pPr>
        <w:pStyle w:val="BodyText"/>
        <w:ind w:left="0"/>
        <w:rPr>
          <w:b/>
          <w:bCs/>
        </w:rPr>
      </w:pPr>
      <w:r w:rsidRPr="00223DAC">
        <w:rPr>
          <w:b/>
          <w:color w:val="494949"/>
        </w:rPr>
        <w:t>Time</w:t>
      </w:r>
      <w:r w:rsidRPr="00223DAC">
        <w:rPr>
          <w:b/>
          <w:color w:val="494949"/>
          <w:spacing w:val="-3"/>
        </w:rPr>
        <w:t xml:space="preserve"> </w:t>
      </w:r>
      <w:r w:rsidRPr="00223DAC">
        <w:rPr>
          <w:b/>
          <w:color w:val="494949"/>
        </w:rPr>
        <w:t>series:</w:t>
      </w:r>
    </w:p>
    <w:p w14:paraId="31357B4A" w14:textId="77777777" w:rsidR="00E14906" w:rsidRPr="00223DAC" w:rsidRDefault="00E14906" w:rsidP="00223DAC">
      <w:pPr>
        <w:pStyle w:val="BodyText"/>
        <w:spacing w:before="40"/>
        <w:ind w:left="0"/>
        <w:rPr>
          <w:color w:val="494949"/>
        </w:rPr>
      </w:pPr>
      <w:r w:rsidRPr="00223DAC">
        <w:rPr>
          <w:color w:val="494949"/>
        </w:rPr>
        <w:t>2000,</w:t>
      </w:r>
      <w:r w:rsidRPr="00223DAC">
        <w:rPr>
          <w:color w:val="494949"/>
          <w:spacing w:val="-3"/>
        </w:rPr>
        <w:t xml:space="preserve"> </w:t>
      </w:r>
      <w:r w:rsidRPr="00223DAC">
        <w:rPr>
          <w:color w:val="494949"/>
        </w:rPr>
        <w:t>2005,</w:t>
      </w:r>
      <w:r w:rsidRPr="00223DAC">
        <w:rPr>
          <w:color w:val="494949"/>
          <w:spacing w:val="-3"/>
        </w:rPr>
        <w:t xml:space="preserve"> </w:t>
      </w:r>
      <w:r w:rsidRPr="00223DAC">
        <w:rPr>
          <w:color w:val="494949"/>
        </w:rPr>
        <w:t>2010,</w:t>
      </w:r>
      <w:r w:rsidRPr="00223DAC">
        <w:rPr>
          <w:color w:val="494949"/>
          <w:spacing w:val="-3"/>
        </w:rPr>
        <w:t xml:space="preserve"> </w:t>
      </w:r>
      <w:r w:rsidRPr="00223DAC">
        <w:rPr>
          <w:color w:val="494949"/>
        </w:rPr>
        <w:t>2015,</w:t>
      </w:r>
      <w:r w:rsidRPr="00223DAC">
        <w:rPr>
          <w:color w:val="494949"/>
          <w:spacing w:val="-1"/>
        </w:rPr>
        <w:t xml:space="preserve"> </w:t>
      </w:r>
      <w:r w:rsidRPr="00223DAC">
        <w:rPr>
          <w:color w:val="494949"/>
        </w:rPr>
        <w:t>and</w:t>
      </w:r>
      <w:r w:rsidRPr="00223DAC">
        <w:rPr>
          <w:color w:val="494949"/>
          <w:spacing w:val="-5"/>
        </w:rPr>
        <w:t xml:space="preserve"> </w:t>
      </w:r>
      <w:r w:rsidRPr="00223DAC">
        <w:rPr>
          <w:color w:val="494949"/>
        </w:rPr>
        <w:t>annually</w:t>
      </w:r>
      <w:r w:rsidRPr="00223DAC">
        <w:rPr>
          <w:color w:val="494949"/>
          <w:spacing w:val="-1"/>
        </w:rPr>
        <w:t xml:space="preserve"> </w:t>
      </w:r>
      <w:r w:rsidRPr="00223DAC">
        <w:rPr>
          <w:color w:val="494949"/>
        </w:rPr>
        <w:t>thereafter</w:t>
      </w:r>
    </w:p>
    <w:p w14:paraId="6BC78858" w14:textId="77777777" w:rsidR="00E14906" w:rsidRPr="00223DAC" w:rsidRDefault="00E14906" w:rsidP="00223DAC">
      <w:pPr>
        <w:pStyle w:val="BodyText"/>
        <w:spacing w:before="40"/>
        <w:ind w:left="0"/>
      </w:pPr>
    </w:p>
    <w:p w14:paraId="38B27C64" w14:textId="77777777" w:rsidR="00E14906" w:rsidRPr="00003395" w:rsidRDefault="00E14906" w:rsidP="00223DAC">
      <w:pPr>
        <w:pStyle w:val="BodyText"/>
        <w:ind w:left="0"/>
        <w:rPr>
          <w:b/>
          <w:bCs/>
        </w:rPr>
      </w:pPr>
      <w:r w:rsidRPr="00223DAC">
        <w:rPr>
          <w:b/>
          <w:color w:val="494949"/>
        </w:rPr>
        <w:t>Disaggregation:</w:t>
      </w:r>
    </w:p>
    <w:p w14:paraId="325AE2B1" w14:textId="77777777" w:rsidR="00E14906" w:rsidRPr="00223DAC" w:rsidRDefault="00E14906" w:rsidP="00223DAC">
      <w:pPr>
        <w:pStyle w:val="BodyText"/>
        <w:spacing w:before="37"/>
        <w:ind w:left="0"/>
        <w:rPr>
          <w:color w:val="494949"/>
        </w:rPr>
      </w:pPr>
      <w:r w:rsidRPr="00223DAC">
        <w:rPr>
          <w:color w:val="494949"/>
        </w:rPr>
        <w:t>Data</w:t>
      </w:r>
      <w:r w:rsidRPr="00223DAC">
        <w:rPr>
          <w:color w:val="494949"/>
          <w:spacing w:val="-3"/>
        </w:rPr>
        <w:t xml:space="preserve"> </w:t>
      </w:r>
      <w:r w:rsidRPr="00223DAC">
        <w:rPr>
          <w:color w:val="494949"/>
        </w:rPr>
        <w:t>is</w:t>
      </w:r>
      <w:r w:rsidRPr="00223DAC">
        <w:rPr>
          <w:color w:val="494949"/>
          <w:spacing w:val="-4"/>
        </w:rPr>
        <w:t xml:space="preserve"> </w:t>
      </w:r>
      <w:r w:rsidRPr="00223DAC">
        <w:rPr>
          <w:color w:val="494949"/>
        </w:rPr>
        <w:t>calculated</w:t>
      </w:r>
      <w:r w:rsidRPr="00223DAC">
        <w:rPr>
          <w:color w:val="494949"/>
          <w:spacing w:val="-3"/>
        </w:rPr>
        <w:t xml:space="preserve"> </w:t>
      </w:r>
      <w:r w:rsidRPr="00223DAC">
        <w:rPr>
          <w:color w:val="494949"/>
        </w:rPr>
        <w:t>and</w:t>
      </w:r>
      <w:r w:rsidRPr="00223DAC">
        <w:rPr>
          <w:color w:val="494949"/>
          <w:spacing w:val="-3"/>
        </w:rPr>
        <w:t xml:space="preserve"> </w:t>
      </w:r>
      <w:r w:rsidRPr="00223DAC">
        <w:rPr>
          <w:color w:val="494949"/>
        </w:rPr>
        <w:t>presented</w:t>
      </w:r>
      <w:r w:rsidRPr="00223DAC">
        <w:rPr>
          <w:color w:val="494949"/>
          <w:spacing w:val="-3"/>
        </w:rPr>
        <w:t xml:space="preserve"> </w:t>
      </w:r>
      <w:r w:rsidRPr="00223DAC">
        <w:rPr>
          <w:color w:val="494949"/>
        </w:rPr>
        <w:t>separately</w:t>
      </w:r>
      <w:r w:rsidRPr="00223DAC">
        <w:rPr>
          <w:color w:val="494949"/>
          <w:spacing w:val="-2"/>
        </w:rPr>
        <w:t xml:space="preserve"> </w:t>
      </w:r>
      <w:r w:rsidRPr="00223DAC">
        <w:rPr>
          <w:color w:val="494949"/>
        </w:rPr>
        <w:t>for</w:t>
      </w:r>
      <w:r w:rsidRPr="00223DAC">
        <w:rPr>
          <w:color w:val="494949"/>
          <w:spacing w:val="-3"/>
        </w:rPr>
        <w:t xml:space="preserve"> </w:t>
      </w:r>
      <w:r w:rsidRPr="00223DAC">
        <w:rPr>
          <w:color w:val="494949"/>
        </w:rPr>
        <w:t>each</w:t>
      </w:r>
      <w:r w:rsidRPr="00223DAC">
        <w:rPr>
          <w:color w:val="494949"/>
          <w:spacing w:val="-6"/>
        </w:rPr>
        <w:t xml:space="preserve"> </w:t>
      </w:r>
      <w:r w:rsidRPr="00223DAC">
        <w:rPr>
          <w:color w:val="494949"/>
        </w:rPr>
        <w:t>international</w:t>
      </w:r>
      <w:r w:rsidRPr="00223DAC">
        <w:rPr>
          <w:color w:val="494949"/>
          <w:spacing w:val="-3"/>
        </w:rPr>
        <w:t xml:space="preserve"> </w:t>
      </w:r>
      <w:r w:rsidRPr="00223DAC">
        <w:rPr>
          <w:color w:val="494949"/>
        </w:rPr>
        <w:t>organization.</w:t>
      </w:r>
    </w:p>
    <w:p w14:paraId="63B77C63" w14:textId="77777777" w:rsidR="00E14906" w:rsidRDefault="00E14906" w:rsidP="00223DAC">
      <w:pPr>
        <w:pStyle w:val="BodyText"/>
        <w:spacing w:before="37"/>
        <w:ind w:left="0"/>
      </w:pPr>
    </w:p>
    <w:p w14:paraId="112BC4E0" w14:textId="77777777" w:rsidR="00E14906" w:rsidRDefault="00E14906" w:rsidP="00E14906">
      <w:pPr>
        <w:pStyle w:val="BodyText"/>
        <w:spacing w:before="37"/>
        <w:ind w:left="0"/>
      </w:pPr>
    </w:p>
    <w:p w14:paraId="5ECC2462" w14:textId="77777777" w:rsidR="00E14906" w:rsidRDefault="00E14906" w:rsidP="00E14906">
      <w:pPr>
        <w:pStyle w:val="MHeader"/>
        <w:spacing w:after="100"/>
      </w:pPr>
      <w:r w:rsidRPr="00A96255">
        <w:t xml:space="preserve">6. Comparability / deviation from international standards </w:t>
      </w:r>
      <w:r>
        <w:rPr>
          <w:color w:val="B4B4B4"/>
          <w:sz w:val="20"/>
        </w:rPr>
        <w:t>(COMPARABILITY)</w:t>
      </w:r>
    </w:p>
    <w:p w14:paraId="589CBF28" w14:textId="77777777" w:rsidR="00E14906" w:rsidRDefault="00E14906" w:rsidP="00E14906">
      <w:pPr>
        <w:pStyle w:val="BodyText"/>
        <w:spacing w:before="76"/>
        <w:ind w:left="0"/>
        <w:rPr>
          <w:color w:val="494949"/>
        </w:rPr>
      </w:pPr>
      <w:r>
        <w:rPr>
          <w:color w:val="494949"/>
        </w:rPr>
        <w:t>Not applicable</w:t>
      </w:r>
    </w:p>
    <w:p w14:paraId="105E4F87" w14:textId="77777777" w:rsidR="00E14906" w:rsidRDefault="00E14906" w:rsidP="00E14906">
      <w:pPr>
        <w:pStyle w:val="BodyText"/>
        <w:spacing w:before="76"/>
        <w:ind w:left="0"/>
      </w:pPr>
    </w:p>
    <w:p w14:paraId="0D1DBA66" w14:textId="77777777" w:rsidR="00E14906" w:rsidRDefault="00E14906" w:rsidP="00223DAC">
      <w:pPr>
        <w:pStyle w:val="BodyText"/>
        <w:spacing w:before="76"/>
        <w:ind w:left="0"/>
      </w:pPr>
    </w:p>
    <w:p w14:paraId="4538FDC9" w14:textId="77777777" w:rsidR="00E14906" w:rsidRPr="00A96255" w:rsidRDefault="00E14906" w:rsidP="00E14906">
      <w:pPr>
        <w:pStyle w:val="MHeader"/>
        <w:spacing w:after="100"/>
      </w:pPr>
      <w:r w:rsidRPr="00A96255">
        <w:t xml:space="preserve">7. References and Documentation </w:t>
      </w:r>
      <w:r>
        <w:rPr>
          <w:color w:val="B4B4B4"/>
          <w:sz w:val="20"/>
        </w:rPr>
        <w:t>(OTHER_DOC)</w:t>
      </w:r>
    </w:p>
    <w:p w14:paraId="366CEE13" w14:textId="77777777" w:rsidR="00E14906" w:rsidRPr="00223DAC" w:rsidRDefault="00E14906" w:rsidP="00223DAC">
      <w:pPr>
        <w:pStyle w:val="Heading3"/>
        <w:ind w:left="0"/>
        <w:rPr>
          <w:color w:val="494949"/>
        </w:rPr>
      </w:pPr>
      <w:r w:rsidRPr="00223DAC">
        <w:rPr>
          <w:color w:val="494949"/>
        </w:rPr>
        <w:t>URL:</w:t>
      </w:r>
    </w:p>
    <w:p w14:paraId="7A0ABAC8" w14:textId="77777777" w:rsidR="00E14906" w:rsidRDefault="006955ED" w:rsidP="00E14906">
      <w:pPr>
        <w:pStyle w:val="BodyText"/>
        <w:ind w:left="0"/>
        <w:rPr>
          <w:color w:val="0000FF"/>
          <w:u w:val="single" w:color="0000FF"/>
        </w:rPr>
      </w:pPr>
      <w:hyperlink r:id="rId16">
        <w:r w:rsidR="00E14906">
          <w:rPr>
            <w:color w:val="0000FF"/>
            <w:u w:val="single" w:color="0000FF"/>
          </w:rPr>
          <w:t>https://www.un.org/development/desa/en/</w:t>
        </w:r>
      </w:hyperlink>
    </w:p>
    <w:p w14:paraId="08AC95F4" w14:textId="77777777" w:rsidR="00E14906" w:rsidRDefault="00E14906" w:rsidP="00E14906">
      <w:pPr>
        <w:pStyle w:val="BodyText"/>
        <w:ind w:left="0"/>
        <w:rPr>
          <w:color w:val="0000FF"/>
          <w:u w:val="single" w:color="0000FF"/>
        </w:rPr>
      </w:pPr>
    </w:p>
    <w:p w14:paraId="60015887" w14:textId="77777777" w:rsidR="00E14906" w:rsidRDefault="00E14906" w:rsidP="00E14906">
      <w:pPr>
        <w:pStyle w:val="Heading3"/>
        <w:ind w:left="0"/>
        <w:rPr>
          <w:color w:val="494949"/>
        </w:rPr>
      </w:pPr>
      <w:r w:rsidRPr="00697BF3">
        <w:rPr>
          <w:color w:val="494949"/>
        </w:rPr>
        <w:t>Data Sources:</w:t>
      </w:r>
    </w:p>
    <w:p w14:paraId="2EAE174C" w14:textId="77777777" w:rsidR="00E14906" w:rsidRDefault="00E14906" w:rsidP="00E14906">
      <w:pPr>
        <w:pStyle w:val="BodyText"/>
        <w:ind w:left="0"/>
      </w:pPr>
      <w:r w:rsidRPr="000454B8">
        <w:rPr>
          <w:color w:val="494949"/>
          <w:u w:val="single"/>
        </w:rPr>
        <w:t>United</w:t>
      </w:r>
      <w:r w:rsidRPr="000454B8">
        <w:rPr>
          <w:color w:val="494949"/>
          <w:spacing w:val="-1"/>
          <w:u w:val="single"/>
        </w:rPr>
        <w:t xml:space="preserve"> </w:t>
      </w:r>
      <w:r w:rsidRPr="000454B8">
        <w:rPr>
          <w:color w:val="494949"/>
          <w:u w:val="single"/>
        </w:rPr>
        <w:t>Nations</w:t>
      </w:r>
      <w:r w:rsidRPr="000454B8">
        <w:rPr>
          <w:color w:val="494949"/>
          <w:spacing w:val="-3"/>
          <w:u w:val="single"/>
        </w:rPr>
        <w:t xml:space="preserve"> </w:t>
      </w:r>
      <w:r w:rsidRPr="000454B8">
        <w:rPr>
          <w:color w:val="494949"/>
          <w:u w:val="single"/>
        </w:rPr>
        <w:t>General</w:t>
      </w:r>
      <w:r w:rsidRPr="000454B8">
        <w:rPr>
          <w:color w:val="494949"/>
          <w:spacing w:val="-2"/>
          <w:u w:val="single"/>
        </w:rPr>
        <w:t xml:space="preserve"> </w:t>
      </w:r>
      <w:r w:rsidRPr="000454B8">
        <w:rPr>
          <w:color w:val="494949"/>
          <w:u w:val="single"/>
        </w:rPr>
        <w:t>Assembly (UNGA):</w:t>
      </w:r>
      <w:r>
        <w:rPr>
          <w:color w:val="494949"/>
          <w:spacing w:val="-2"/>
        </w:rPr>
        <w:t xml:space="preserve"> </w:t>
      </w:r>
      <w:r w:rsidRPr="005F2BAB">
        <w:rPr>
          <w:color w:val="494949"/>
        </w:rPr>
        <w:t>http://www.un.org/en/member-states/index.html</w:t>
      </w:r>
    </w:p>
    <w:p w14:paraId="67C099CC" w14:textId="77777777" w:rsidR="00E14906" w:rsidRDefault="00E14906" w:rsidP="00E14906">
      <w:pPr>
        <w:pStyle w:val="BodyText"/>
        <w:spacing w:before="39"/>
        <w:ind w:left="0"/>
      </w:pPr>
      <w:r w:rsidRPr="000454B8">
        <w:rPr>
          <w:color w:val="494949"/>
          <w:u w:val="single"/>
        </w:rPr>
        <w:t>United</w:t>
      </w:r>
      <w:r w:rsidRPr="000454B8">
        <w:rPr>
          <w:color w:val="494949"/>
          <w:spacing w:val="-2"/>
          <w:u w:val="single"/>
        </w:rPr>
        <w:t xml:space="preserve"> </w:t>
      </w:r>
      <w:r w:rsidRPr="000454B8">
        <w:rPr>
          <w:color w:val="494949"/>
          <w:u w:val="single"/>
        </w:rPr>
        <w:t>Nations</w:t>
      </w:r>
      <w:r w:rsidRPr="000454B8">
        <w:rPr>
          <w:color w:val="494949"/>
          <w:spacing w:val="-2"/>
          <w:u w:val="single"/>
        </w:rPr>
        <w:t xml:space="preserve"> </w:t>
      </w:r>
      <w:r w:rsidRPr="000454B8">
        <w:rPr>
          <w:color w:val="494949"/>
          <w:u w:val="single"/>
        </w:rPr>
        <w:t>Security</w:t>
      </w:r>
      <w:r w:rsidRPr="000454B8">
        <w:rPr>
          <w:color w:val="494949"/>
          <w:spacing w:val="-3"/>
          <w:u w:val="single"/>
        </w:rPr>
        <w:t xml:space="preserve"> </w:t>
      </w:r>
      <w:r w:rsidRPr="000454B8">
        <w:rPr>
          <w:color w:val="494949"/>
          <w:u w:val="single"/>
        </w:rPr>
        <w:t>Council (UNSC):</w:t>
      </w:r>
      <w:r>
        <w:rPr>
          <w:color w:val="494949"/>
          <w:spacing w:val="-1"/>
        </w:rPr>
        <w:t xml:space="preserve"> </w:t>
      </w:r>
      <w:r w:rsidRPr="003B002F">
        <w:rPr>
          <w:color w:val="494949"/>
        </w:rPr>
        <w:t>https://www.un.org/securitycouncil/content/sc_annual_reports</w:t>
      </w:r>
    </w:p>
    <w:p w14:paraId="62D9031F" w14:textId="77777777" w:rsidR="00E14906" w:rsidRDefault="00E14906" w:rsidP="00E14906">
      <w:pPr>
        <w:pStyle w:val="BodyText"/>
        <w:spacing w:before="39" w:line="276" w:lineRule="auto"/>
        <w:ind w:left="0" w:right="146"/>
      </w:pPr>
      <w:r w:rsidRPr="000454B8">
        <w:rPr>
          <w:color w:val="494949"/>
          <w:u w:val="single"/>
        </w:rPr>
        <w:t>United Nations Economic and Social Council (ECOSOC):</w:t>
      </w:r>
      <w:r w:rsidRPr="00FE27E4">
        <w:rPr>
          <w:color w:val="494949"/>
        </w:rPr>
        <w:t xml:space="preserve"> https://www.un.org/ecoso</w:t>
      </w:r>
      <w:r w:rsidRPr="005F2BAB">
        <w:rPr>
          <w:color w:val="494949"/>
        </w:rPr>
        <w:t>c/en/documents/reports-general-assembly</w:t>
      </w:r>
    </w:p>
    <w:p w14:paraId="3A599833" w14:textId="77777777" w:rsidR="00E14906" w:rsidRDefault="00E14906" w:rsidP="00E14906">
      <w:pPr>
        <w:pStyle w:val="BodyText"/>
        <w:spacing w:before="1"/>
        <w:ind w:left="0"/>
      </w:pPr>
      <w:r w:rsidRPr="000454B8">
        <w:rPr>
          <w:color w:val="494949"/>
          <w:u w:val="single"/>
        </w:rPr>
        <w:t>International</w:t>
      </w:r>
      <w:r w:rsidRPr="000454B8">
        <w:rPr>
          <w:color w:val="494949"/>
          <w:spacing w:val="-3"/>
          <w:u w:val="single"/>
        </w:rPr>
        <w:t xml:space="preserve"> </w:t>
      </w:r>
      <w:r w:rsidRPr="000454B8">
        <w:rPr>
          <w:color w:val="494949"/>
          <w:u w:val="single"/>
        </w:rPr>
        <w:t>Monetary</w:t>
      </w:r>
      <w:r w:rsidRPr="000454B8">
        <w:rPr>
          <w:color w:val="494949"/>
          <w:spacing w:val="-2"/>
          <w:u w:val="single"/>
        </w:rPr>
        <w:t xml:space="preserve"> </w:t>
      </w:r>
      <w:r w:rsidRPr="000454B8">
        <w:rPr>
          <w:color w:val="494949"/>
          <w:u w:val="single"/>
        </w:rPr>
        <w:t>Fund (IMF):</w:t>
      </w:r>
      <w:r>
        <w:rPr>
          <w:color w:val="494949"/>
          <w:spacing w:val="-2"/>
        </w:rPr>
        <w:t xml:space="preserve"> </w:t>
      </w:r>
      <w:r w:rsidRPr="00285307">
        <w:rPr>
          <w:color w:val="494949"/>
        </w:rPr>
        <w:t>https://www.imf.org/en/Publications/AREB</w:t>
      </w:r>
    </w:p>
    <w:p w14:paraId="1A30B180" w14:textId="77777777" w:rsidR="00E14906" w:rsidRDefault="00E14906" w:rsidP="00E14906">
      <w:pPr>
        <w:pStyle w:val="BodyText"/>
        <w:spacing w:before="36"/>
        <w:ind w:left="0"/>
      </w:pPr>
      <w:r w:rsidRPr="000454B8">
        <w:rPr>
          <w:color w:val="494949"/>
          <w:u w:val="single"/>
        </w:rPr>
        <w:t>International</w:t>
      </w:r>
      <w:r w:rsidRPr="000454B8">
        <w:rPr>
          <w:color w:val="494949"/>
          <w:spacing w:val="-2"/>
          <w:u w:val="single"/>
        </w:rPr>
        <w:t xml:space="preserve"> </w:t>
      </w:r>
      <w:r w:rsidRPr="000454B8">
        <w:rPr>
          <w:color w:val="494949"/>
          <w:u w:val="single"/>
        </w:rPr>
        <w:t>Bank</w:t>
      </w:r>
      <w:r w:rsidRPr="000454B8">
        <w:rPr>
          <w:color w:val="494949"/>
          <w:spacing w:val="-3"/>
          <w:u w:val="single"/>
        </w:rPr>
        <w:t xml:space="preserve"> </w:t>
      </w:r>
      <w:r w:rsidRPr="000454B8">
        <w:rPr>
          <w:color w:val="494949"/>
          <w:u w:val="single"/>
        </w:rPr>
        <w:t>for</w:t>
      </w:r>
      <w:r w:rsidRPr="000454B8">
        <w:rPr>
          <w:color w:val="494949"/>
          <w:spacing w:val="-4"/>
          <w:u w:val="single"/>
        </w:rPr>
        <w:t xml:space="preserve"> </w:t>
      </w:r>
      <w:r w:rsidRPr="000454B8">
        <w:rPr>
          <w:color w:val="494949"/>
          <w:u w:val="single"/>
        </w:rPr>
        <w:t>Reconstruction</w:t>
      </w:r>
      <w:r w:rsidRPr="000454B8">
        <w:rPr>
          <w:color w:val="494949"/>
          <w:spacing w:val="-1"/>
          <w:u w:val="single"/>
        </w:rPr>
        <w:t xml:space="preserve"> </w:t>
      </w:r>
      <w:r w:rsidRPr="000454B8">
        <w:rPr>
          <w:color w:val="494949"/>
          <w:u w:val="single"/>
        </w:rPr>
        <w:t>and</w:t>
      </w:r>
      <w:r w:rsidRPr="000454B8">
        <w:rPr>
          <w:color w:val="494949"/>
          <w:spacing w:val="-2"/>
          <w:u w:val="single"/>
        </w:rPr>
        <w:t xml:space="preserve"> </w:t>
      </w:r>
      <w:r w:rsidRPr="000454B8">
        <w:rPr>
          <w:color w:val="494949"/>
          <w:u w:val="single"/>
        </w:rPr>
        <w:t>Development (IBRD):</w:t>
      </w:r>
      <w:r>
        <w:rPr>
          <w:color w:val="494949"/>
          <w:spacing w:val="-2"/>
        </w:rPr>
        <w:t xml:space="preserve"> </w:t>
      </w:r>
      <w:r w:rsidRPr="00285307">
        <w:rPr>
          <w:color w:val="494949"/>
        </w:rPr>
        <w:t>https://www.worldbank.org/en/about/annual-report/world-bank-group-downloads</w:t>
      </w:r>
    </w:p>
    <w:p w14:paraId="59162E3A" w14:textId="77777777" w:rsidR="00E14906" w:rsidRPr="00766B53" w:rsidRDefault="00E14906" w:rsidP="00E14906">
      <w:pPr>
        <w:pStyle w:val="BodyText"/>
        <w:spacing w:before="39" w:line="276" w:lineRule="auto"/>
        <w:ind w:left="0" w:right="1976"/>
        <w:rPr>
          <w:color w:val="494949"/>
        </w:rPr>
      </w:pPr>
      <w:r w:rsidRPr="00766B53">
        <w:rPr>
          <w:color w:val="494949"/>
          <w:u w:val="single"/>
        </w:rPr>
        <w:t>International Finance Corporation (IFC):</w:t>
      </w:r>
      <w:r w:rsidRPr="00766B53">
        <w:rPr>
          <w:color w:val="494949"/>
        </w:rPr>
        <w:t xml:space="preserve"> </w:t>
      </w:r>
      <w:hyperlink r:id="rId17" w:history="1">
        <w:r w:rsidRPr="00766B53">
          <w:rPr>
            <w:color w:val="494949"/>
          </w:rPr>
          <w:t>https://openknowledge.worldbank.org/handle/10986/2128</w:t>
        </w:r>
      </w:hyperlink>
      <w:r w:rsidRPr="00766B53">
        <w:rPr>
          <w:color w:val="494949"/>
        </w:rPr>
        <w:t xml:space="preserve"> </w:t>
      </w:r>
    </w:p>
    <w:p w14:paraId="42F83FC9" w14:textId="77777777" w:rsidR="00E14906" w:rsidRPr="00766B53" w:rsidRDefault="00E14906" w:rsidP="00E14906">
      <w:pPr>
        <w:pStyle w:val="BodyText"/>
        <w:spacing w:before="39" w:line="276" w:lineRule="auto"/>
        <w:ind w:left="0" w:right="1976"/>
        <w:rPr>
          <w:color w:val="494949"/>
        </w:rPr>
      </w:pPr>
      <w:r w:rsidRPr="00766B53">
        <w:rPr>
          <w:color w:val="494949"/>
          <w:u w:val="single"/>
        </w:rPr>
        <w:t>African Development Bank (AFDB):</w:t>
      </w:r>
      <w:r w:rsidRPr="00766B53">
        <w:rPr>
          <w:color w:val="494949"/>
        </w:rPr>
        <w:t xml:space="preserve"> https://www.afdb.org/en/documents-publications/annual-report</w:t>
      </w:r>
    </w:p>
    <w:p w14:paraId="48B3DE42" w14:textId="77777777" w:rsidR="00E14906" w:rsidRPr="00766B53" w:rsidRDefault="00E14906" w:rsidP="00E14906">
      <w:pPr>
        <w:pStyle w:val="BodyText"/>
        <w:spacing w:before="1"/>
        <w:ind w:left="0"/>
        <w:rPr>
          <w:color w:val="494949"/>
        </w:rPr>
      </w:pPr>
      <w:r w:rsidRPr="00766B53">
        <w:rPr>
          <w:color w:val="494949"/>
          <w:u w:val="single"/>
        </w:rPr>
        <w:t>Asian Development Bank (ADB):</w:t>
      </w:r>
      <w:r w:rsidRPr="00766B53">
        <w:rPr>
          <w:color w:val="494949"/>
        </w:rPr>
        <w:t xml:space="preserve"> https://www.adb.org/documents/series/adb-annual-reports</w:t>
      </w:r>
    </w:p>
    <w:p w14:paraId="37625475" w14:textId="77777777" w:rsidR="00E14906" w:rsidRPr="00766B53" w:rsidRDefault="00E14906" w:rsidP="00E14906">
      <w:pPr>
        <w:pStyle w:val="BodyText"/>
        <w:spacing w:before="1"/>
        <w:ind w:left="0"/>
        <w:rPr>
          <w:color w:val="494949"/>
        </w:rPr>
      </w:pPr>
      <w:r w:rsidRPr="00766B53">
        <w:rPr>
          <w:color w:val="494949"/>
          <w:u w:val="single"/>
        </w:rPr>
        <w:t>Inter-American Development Bank (IADB):</w:t>
      </w:r>
      <w:r w:rsidRPr="00766B53">
        <w:rPr>
          <w:color w:val="494949"/>
        </w:rPr>
        <w:t xml:space="preserve"> https://www.iadb.org/en/about-us/annual-reports</w:t>
      </w:r>
      <w:r w:rsidRPr="00766B53" w:rsidDel="00463C67">
        <w:rPr>
          <w:color w:val="494949"/>
        </w:rPr>
        <w:t xml:space="preserve"> </w:t>
      </w:r>
    </w:p>
    <w:p w14:paraId="524ED51C" w14:textId="77777777" w:rsidR="00E14906" w:rsidRPr="00766B53" w:rsidRDefault="00E14906" w:rsidP="00E14906">
      <w:pPr>
        <w:pStyle w:val="BodyText"/>
        <w:spacing w:before="39" w:line="276" w:lineRule="auto"/>
        <w:ind w:left="0" w:right="2875"/>
        <w:rPr>
          <w:color w:val="494949"/>
        </w:rPr>
      </w:pPr>
      <w:r w:rsidRPr="00766B53">
        <w:rPr>
          <w:color w:val="494949"/>
          <w:u w:val="single"/>
        </w:rPr>
        <w:t>World Trade Organisation (WTO):</w:t>
      </w:r>
      <w:r w:rsidRPr="00766B53">
        <w:rPr>
          <w:color w:val="494949"/>
        </w:rPr>
        <w:t xml:space="preserve"> https://www.wto.org/english/res_e/reser_e/annual_report_e.htm</w:t>
      </w:r>
    </w:p>
    <w:p w14:paraId="35526D63" w14:textId="77777777" w:rsidR="00E14906" w:rsidRPr="00766B53" w:rsidRDefault="00E14906" w:rsidP="00E14906">
      <w:pPr>
        <w:pStyle w:val="BodyText"/>
        <w:spacing w:line="255" w:lineRule="exact"/>
        <w:ind w:left="0"/>
        <w:rPr>
          <w:color w:val="494949"/>
        </w:rPr>
      </w:pPr>
      <w:r w:rsidRPr="00766B53">
        <w:rPr>
          <w:color w:val="494949"/>
          <w:u w:val="single"/>
        </w:rPr>
        <w:t>Financial Stability Board (FSB):</w:t>
      </w:r>
      <w:r w:rsidRPr="00766B53">
        <w:rPr>
          <w:color w:val="494949"/>
        </w:rPr>
        <w:t xml:space="preserve"> https://www.fsb.org/publications/</w:t>
      </w:r>
    </w:p>
    <w:p w14:paraId="363B3D1E" w14:textId="77777777" w:rsidR="00E14906" w:rsidRPr="00E14906" w:rsidRDefault="00E14906" w:rsidP="00E14906">
      <w:pPr>
        <w:pStyle w:val="Heading3"/>
        <w:ind w:left="0"/>
        <w:rPr>
          <w:b w:val="0"/>
          <w:bCs w:val="0"/>
          <w:color w:val="494949"/>
        </w:rPr>
      </w:pPr>
    </w:p>
    <w:p w14:paraId="22C1679F" w14:textId="77777777" w:rsidR="00697BF3" w:rsidRPr="00223DAC" w:rsidRDefault="00697BF3" w:rsidP="00223DAC">
      <w:pPr>
        <w:pStyle w:val="Heading3"/>
        <w:rPr>
          <w:color w:val="494949"/>
        </w:rPr>
      </w:pPr>
    </w:p>
    <w:sectPr w:rsidR="00697BF3" w:rsidRPr="00223DAC" w:rsidSect="00223DAC">
      <w:headerReference w:type="default" r:id="rId18"/>
      <w:footerReference w:type="default" r:id="rId19"/>
      <w:pgSz w:w="11906" w:h="16838"/>
      <w:pgMar w:top="1440" w:right="1440" w:bottom="1440" w:left="1440" w:header="738" w:footer="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2D908" w14:textId="77777777" w:rsidR="006955ED" w:rsidRDefault="006955ED" w:rsidP="002773FC">
      <w:r>
        <w:separator/>
      </w:r>
    </w:p>
  </w:endnote>
  <w:endnote w:type="continuationSeparator" w:id="0">
    <w:p w14:paraId="2452C871" w14:textId="77777777" w:rsidR="006955ED" w:rsidRDefault="006955ED" w:rsidP="002773FC">
      <w:r>
        <w:continuationSeparator/>
      </w:r>
    </w:p>
  </w:endnote>
  <w:endnote w:type="continuationNotice" w:id="1">
    <w:p w14:paraId="3ACDB2B5" w14:textId="77777777" w:rsidR="006955ED" w:rsidRDefault="006955ED" w:rsidP="002773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0BA0" w14:textId="77777777" w:rsidR="002773FC" w:rsidRDefault="002773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2BDC8" w14:textId="77777777" w:rsidR="006955ED" w:rsidRDefault="006955ED" w:rsidP="002773FC">
      <w:r>
        <w:separator/>
      </w:r>
    </w:p>
  </w:footnote>
  <w:footnote w:type="continuationSeparator" w:id="0">
    <w:p w14:paraId="43C2BFC1" w14:textId="77777777" w:rsidR="006955ED" w:rsidRDefault="006955ED" w:rsidP="002773FC">
      <w:r>
        <w:continuationSeparator/>
      </w:r>
    </w:p>
  </w:footnote>
  <w:footnote w:type="continuationNotice" w:id="1">
    <w:p w14:paraId="2B38CB47" w14:textId="77777777" w:rsidR="006955ED" w:rsidRDefault="006955ED" w:rsidP="002773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DA436" w14:textId="2ACAC543" w:rsidR="000B3FBD" w:rsidRDefault="000B3FBD" w:rsidP="000B3FBD">
    <w:pPr>
      <w:pStyle w:val="Header"/>
      <w:jc w:val="right"/>
      <w:rPr>
        <w:color w:val="404040" w:themeColor="text1" w:themeTint="BF"/>
        <w:sz w:val="18"/>
        <w:szCs w:val="18"/>
      </w:rPr>
    </w:pPr>
    <w:bookmarkStart w:id="8" w:name="_Hlk506197003"/>
    <w:bookmarkStart w:id="9" w:name="_Hlk506197004"/>
    <w:bookmarkStart w:id="10" w:name="_Hlk506197005"/>
    <w:bookmarkStart w:id="11" w:name="_Hlk516233502"/>
    <w:bookmarkStart w:id="12" w:name="_Hlk516233503"/>
    <w:bookmarkStart w:id="13" w:name="_Hlk516233504"/>
    <w:r w:rsidRPr="00757E8A">
      <w:rPr>
        <w:color w:val="404040" w:themeColor="text1" w:themeTint="BF"/>
        <w:sz w:val="18"/>
        <w:szCs w:val="18"/>
      </w:rPr>
      <w:t>Last updated:</w:t>
    </w:r>
    <w:bookmarkEnd w:id="8"/>
    <w:bookmarkEnd w:id="9"/>
    <w:bookmarkEnd w:id="10"/>
    <w:bookmarkEnd w:id="11"/>
    <w:bookmarkEnd w:id="12"/>
    <w:bookmarkEnd w:id="13"/>
    <w:r>
      <w:rPr>
        <w:color w:val="404040" w:themeColor="text1" w:themeTint="BF"/>
        <w:sz w:val="18"/>
        <w:szCs w:val="18"/>
      </w:rPr>
      <w:t xml:space="preserve"> </w:t>
    </w:r>
    <w:r w:rsidR="00DE0165">
      <w:rPr>
        <w:color w:val="404040" w:themeColor="text1" w:themeTint="BF"/>
        <w:sz w:val="18"/>
        <w:szCs w:val="18"/>
      </w:rPr>
      <w:t>2022-07-07</w:t>
    </w:r>
  </w:p>
  <w:p w14:paraId="62C82A10" w14:textId="644C8F5D" w:rsidR="00D11818" w:rsidRPr="00223DAC" w:rsidRDefault="00D11818" w:rsidP="00223DAC">
    <w:pPr>
      <w:pStyle w:val="BodyText"/>
      <w:spacing w:line="12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904"/>
    <w:multiLevelType w:val="hybridMultilevel"/>
    <w:tmpl w:val="91026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93CEE"/>
    <w:multiLevelType w:val="hybridMultilevel"/>
    <w:tmpl w:val="4C8C0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F2411"/>
    <w:multiLevelType w:val="multilevel"/>
    <w:tmpl w:val="AC084824"/>
    <w:lvl w:ilvl="0">
      <w:numFmt w:val="decimal"/>
      <w:lvlText w:val="%1."/>
      <w:lvlJc w:val="left"/>
      <w:pPr>
        <w:tabs>
          <w:tab w:val="num" w:pos="0"/>
        </w:tabs>
        <w:ind w:left="343" w:hanging="315"/>
      </w:pPr>
      <w:rPr>
        <w:rFonts w:ascii="Calibri" w:eastAsia="Calibri" w:hAnsi="Calibri" w:cs="Calibri"/>
        <w:color w:val="1C75BB"/>
        <w:spacing w:val="-1"/>
        <w:w w:val="99"/>
        <w:sz w:val="32"/>
        <w:szCs w:val="32"/>
        <w:lang w:eastAsia="en-US" w:bidi="ar-SA"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472" w:hanging="444"/>
      </w:pPr>
      <w:rPr>
        <w:rFonts w:ascii="Calibri" w:eastAsia="Calibri" w:hAnsi="Calibri" w:cs="Calibri"/>
        <w:color w:val="1C75BB"/>
        <w:w w:val="99"/>
        <w:sz w:val="26"/>
        <w:szCs w:val="26"/>
        <w:lang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436" w:hanging="444"/>
      </w:pPr>
      <w:rPr>
        <w:rFonts w:ascii="Symbol" w:hAnsi="Symbol" w:cs="Symbol" w:hint="default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392" w:hanging="444"/>
      </w:pPr>
      <w:rPr>
        <w:rFonts w:ascii="Symbol" w:hAnsi="Symbol" w:cs="Symbol" w:hint="default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348" w:hanging="444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304" w:hanging="444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261" w:hanging="444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217" w:hanging="444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173" w:hanging="444"/>
      </w:pPr>
      <w:rPr>
        <w:rFonts w:ascii="Symbol" w:hAnsi="Symbol" w:cs="Symbol" w:hint="default"/>
        <w:lang w:eastAsia="en-US" w:bidi="ar-SA"/>
      </w:rPr>
    </w:lvl>
  </w:abstractNum>
  <w:abstractNum w:abstractNumId="3" w15:restartNumberingAfterBreak="0">
    <w:nsid w:val="545344F4"/>
    <w:multiLevelType w:val="multilevel"/>
    <w:tmpl w:val="2AF8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C0DDE"/>
    <w:multiLevelType w:val="multilevel"/>
    <w:tmpl w:val="4E4077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9532FB5"/>
    <w:multiLevelType w:val="hybridMultilevel"/>
    <w:tmpl w:val="F014C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7220B"/>
    <w:multiLevelType w:val="multilevel"/>
    <w:tmpl w:val="6C58E630"/>
    <w:lvl w:ilvl="0">
      <w:start w:val="1"/>
      <w:numFmt w:val="decimal"/>
      <w:lvlText w:val="%1."/>
      <w:lvlJc w:val="left"/>
      <w:pPr>
        <w:tabs>
          <w:tab w:val="num" w:pos="0"/>
        </w:tabs>
        <w:ind w:left="454" w:hanging="315"/>
      </w:pPr>
      <w:rPr>
        <w:rFonts w:ascii="Calibri" w:eastAsia="Calibri" w:hAnsi="Calibri" w:cs="Calibri"/>
        <w:color w:val="1C75BB"/>
        <w:spacing w:val="-1"/>
        <w:w w:val="99"/>
        <w:sz w:val="32"/>
        <w:szCs w:val="32"/>
        <w:lang w:eastAsia="en-US" w:bidi="ar-SA"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585" w:hanging="445"/>
      </w:pPr>
      <w:rPr>
        <w:rFonts w:ascii="Calibri" w:eastAsia="Calibri" w:hAnsi="Calibri" w:cs="Calibri"/>
        <w:color w:val="1C75BB"/>
        <w:w w:val="99"/>
        <w:sz w:val="26"/>
        <w:szCs w:val="26"/>
        <w:lang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549" w:hanging="445"/>
      </w:pPr>
      <w:rPr>
        <w:rFonts w:ascii="Symbol" w:hAnsi="Symbol" w:cs="Symbol" w:hint="default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519" w:hanging="445"/>
      </w:pPr>
      <w:rPr>
        <w:rFonts w:ascii="Symbol" w:hAnsi="Symbol" w:cs="Symbol" w:hint="default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488" w:hanging="445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458" w:hanging="445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428" w:hanging="445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397" w:hanging="445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367" w:hanging="445"/>
      </w:pPr>
      <w:rPr>
        <w:rFonts w:ascii="Symbol" w:hAnsi="Symbol" w:cs="Symbol" w:hint="default"/>
        <w:lang w:eastAsia="en-US" w:bidi="ar-SA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18"/>
    <w:rsid w:val="00003395"/>
    <w:rsid w:val="000070BA"/>
    <w:rsid w:val="000173F9"/>
    <w:rsid w:val="00034DF7"/>
    <w:rsid w:val="000412A0"/>
    <w:rsid w:val="000454B8"/>
    <w:rsid w:val="00047DDA"/>
    <w:rsid w:val="0005455A"/>
    <w:rsid w:val="00055A01"/>
    <w:rsid w:val="0006788B"/>
    <w:rsid w:val="00071F07"/>
    <w:rsid w:val="0007759D"/>
    <w:rsid w:val="000777AB"/>
    <w:rsid w:val="00077F46"/>
    <w:rsid w:val="00090FB1"/>
    <w:rsid w:val="00093132"/>
    <w:rsid w:val="00096186"/>
    <w:rsid w:val="000A72E4"/>
    <w:rsid w:val="000B0E2F"/>
    <w:rsid w:val="000B2430"/>
    <w:rsid w:val="000B3FBD"/>
    <w:rsid w:val="000B44E5"/>
    <w:rsid w:val="000D0B30"/>
    <w:rsid w:val="000D5656"/>
    <w:rsid w:val="000D68DD"/>
    <w:rsid w:val="000E21F1"/>
    <w:rsid w:val="000E28EC"/>
    <w:rsid w:val="000F703E"/>
    <w:rsid w:val="0010310C"/>
    <w:rsid w:val="00106C5C"/>
    <w:rsid w:val="00120E86"/>
    <w:rsid w:val="00122E6F"/>
    <w:rsid w:val="00125DE9"/>
    <w:rsid w:val="001332E0"/>
    <w:rsid w:val="00134DE7"/>
    <w:rsid w:val="001418B8"/>
    <w:rsid w:val="00141C2D"/>
    <w:rsid w:val="001570DC"/>
    <w:rsid w:val="00160508"/>
    <w:rsid w:val="001621C9"/>
    <w:rsid w:val="00175B2A"/>
    <w:rsid w:val="00185354"/>
    <w:rsid w:val="001854DC"/>
    <w:rsid w:val="00186795"/>
    <w:rsid w:val="00194D09"/>
    <w:rsid w:val="001A4012"/>
    <w:rsid w:val="001A492D"/>
    <w:rsid w:val="001A7D5C"/>
    <w:rsid w:val="001B300C"/>
    <w:rsid w:val="001B38EA"/>
    <w:rsid w:val="001B60AA"/>
    <w:rsid w:val="001B63C8"/>
    <w:rsid w:val="001C1972"/>
    <w:rsid w:val="001C421F"/>
    <w:rsid w:val="001C6648"/>
    <w:rsid w:val="001D10D3"/>
    <w:rsid w:val="001D360D"/>
    <w:rsid w:val="001E3C49"/>
    <w:rsid w:val="001E6316"/>
    <w:rsid w:val="001E7BF9"/>
    <w:rsid w:val="001F3177"/>
    <w:rsid w:val="001F70E3"/>
    <w:rsid w:val="002045F5"/>
    <w:rsid w:val="00206BFE"/>
    <w:rsid w:val="00207B06"/>
    <w:rsid w:val="00222095"/>
    <w:rsid w:val="00223DAC"/>
    <w:rsid w:val="002240AF"/>
    <w:rsid w:val="00227B1F"/>
    <w:rsid w:val="00230233"/>
    <w:rsid w:val="00232565"/>
    <w:rsid w:val="00242E2E"/>
    <w:rsid w:val="00243D89"/>
    <w:rsid w:val="0024770E"/>
    <w:rsid w:val="00251B57"/>
    <w:rsid w:val="0025504B"/>
    <w:rsid w:val="0025737E"/>
    <w:rsid w:val="00261A8D"/>
    <w:rsid w:val="002773FC"/>
    <w:rsid w:val="00283C1C"/>
    <w:rsid w:val="00283CB0"/>
    <w:rsid w:val="00285307"/>
    <w:rsid w:val="00290D7A"/>
    <w:rsid w:val="0029125A"/>
    <w:rsid w:val="00291A00"/>
    <w:rsid w:val="00291A11"/>
    <w:rsid w:val="00291D6F"/>
    <w:rsid w:val="002A315C"/>
    <w:rsid w:val="002A3342"/>
    <w:rsid w:val="002A64BA"/>
    <w:rsid w:val="002B4989"/>
    <w:rsid w:val="002B762B"/>
    <w:rsid w:val="002C2510"/>
    <w:rsid w:val="002D714E"/>
    <w:rsid w:val="002E53C3"/>
    <w:rsid w:val="002E5D95"/>
    <w:rsid w:val="002E7F52"/>
    <w:rsid w:val="002F1468"/>
    <w:rsid w:val="002F5F0C"/>
    <w:rsid w:val="00311E07"/>
    <w:rsid w:val="00317685"/>
    <w:rsid w:val="003265EB"/>
    <w:rsid w:val="003312D4"/>
    <w:rsid w:val="00336BAB"/>
    <w:rsid w:val="0034329E"/>
    <w:rsid w:val="00343FAA"/>
    <w:rsid w:val="00344937"/>
    <w:rsid w:val="00347F5E"/>
    <w:rsid w:val="00351768"/>
    <w:rsid w:val="003521E9"/>
    <w:rsid w:val="00353C98"/>
    <w:rsid w:val="003544B9"/>
    <w:rsid w:val="003671F1"/>
    <w:rsid w:val="00371A20"/>
    <w:rsid w:val="00377885"/>
    <w:rsid w:val="003821B4"/>
    <w:rsid w:val="0038224E"/>
    <w:rsid w:val="00382CF3"/>
    <w:rsid w:val="003832E7"/>
    <w:rsid w:val="00387D52"/>
    <w:rsid w:val="003A7CEA"/>
    <w:rsid w:val="003B002F"/>
    <w:rsid w:val="003B3CD7"/>
    <w:rsid w:val="003D7920"/>
    <w:rsid w:val="003F0BD3"/>
    <w:rsid w:val="003F278A"/>
    <w:rsid w:val="003F7A02"/>
    <w:rsid w:val="00401195"/>
    <w:rsid w:val="00404176"/>
    <w:rsid w:val="004228EC"/>
    <w:rsid w:val="00422EA5"/>
    <w:rsid w:val="00422EFA"/>
    <w:rsid w:val="0042791F"/>
    <w:rsid w:val="0043400D"/>
    <w:rsid w:val="00442E8A"/>
    <w:rsid w:val="004456ED"/>
    <w:rsid w:val="004456F7"/>
    <w:rsid w:val="00446F8C"/>
    <w:rsid w:val="00463C67"/>
    <w:rsid w:val="0048045A"/>
    <w:rsid w:val="004841B8"/>
    <w:rsid w:val="004841FB"/>
    <w:rsid w:val="00484E1D"/>
    <w:rsid w:val="004930F2"/>
    <w:rsid w:val="004A3D7D"/>
    <w:rsid w:val="004B0F1C"/>
    <w:rsid w:val="004B100D"/>
    <w:rsid w:val="004C6676"/>
    <w:rsid w:val="004D0D8C"/>
    <w:rsid w:val="004E1E3A"/>
    <w:rsid w:val="004E4A71"/>
    <w:rsid w:val="004F2EE6"/>
    <w:rsid w:val="0050264E"/>
    <w:rsid w:val="00502DBA"/>
    <w:rsid w:val="005040C4"/>
    <w:rsid w:val="00507637"/>
    <w:rsid w:val="00507852"/>
    <w:rsid w:val="00514DBF"/>
    <w:rsid w:val="00530842"/>
    <w:rsid w:val="00530F18"/>
    <w:rsid w:val="005366E2"/>
    <w:rsid w:val="00545146"/>
    <w:rsid w:val="005462A9"/>
    <w:rsid w:val="00550921"/>
    <w:rsid w:val="00563712"/>
    <w:rsid w:val="005660DE"/>
    <w:rsid w:val="00573631"/>
    <w:rsid w:val="00573C0B"/>
    <w:rsid w:val="00576CFA"/>
    <w:rsid w:val="0058556D"/>
    <w:rsid w:val="00587818"/>
    <w:rsid w:val="00592AF2"/>
    <w:rsid w:val="005947AD"/>
    <w:rsid w:val="00597748"/>
    <w:rsid w:val="00597963"/>
    <w:rsid w:val="005979E8"/>
    <w:rsid w:val="005C7630"/>
    <w:rsid w:val="005D0AF4"/>
    <w:rsid w:val="005E09ED"/>
    <w:rsid w:val="005E2FC6"/>
    <w:rsid w:val="005E54BD"/>
    <w:rsid w:val="005F2BAB"/>
    <w:rsid w:val="005F6BBE"/>
    <w:rsid w:val="005F6CCA"/>
    <w:rsid w:val="00610333"/>
    <w:rsid w:val="006104AF"/>
    <w:rsid w:val="00621893"/>
    <w:rsid w:val="00630CD1"/>
    <w:rsid w:val="00630CD5"/>
    <w:rsid w:val="006316F5"/>
    <w:rsid w:val="006327D3"/>
    <w:rsid w:val="006351E1"/>
    <w:rsid w:val="00635CA4"/>
    <w:rsid w:val="0063736F"/>
    <w:rsid w:val="0064244A"/>
    <w:rsid w:val="006447B1"/>
    <w:rsid w:val="00650F2A"/>
    <w:rsid w:val="00654E1C"/>
    <w:rsid w:val="006611E8"/>
    <w:rsid w:val="00662775"/>
    <w:rsid w:val="006669DB"/>
    <w:rsid w:val="00671BEB"/>
    <w:rsid w:val="0068267D"/>
    <w:rsid w:val="006852FC"/>
    <w:rsid w:val="006938F4"/>
    <w:rsid w:val="006955ED"/>
    <w:rsid w:val="00696286"/>
    <w:rsid w:val="006972FF"/>
    <w:rsid w:val="00697BF3"/>
    <w:rsid w:val="006A3459"/>
    <w:rsid w:val="006B2DC9"/>
    <w:rsid w:val="006B40AB"/>
    <w:rsid w:val="006B55AA"/>
    <w:rsid w:val="006B5DC5"/>
    <w:rsid w:val="006C3288"/>
    <w:rsid w:val="006C4BFD"/>
    <w:rsid w:val="006C7BEC"/>
    <w:rsid w:val="006C7D30"/>
    <w:rsid w:val="006D383E"/>
    <w:rsid w:val="006E3C08"/>
    <w:rsid w:val="00700ACF"/>
    <w:rsid w:val="00712487"/>
    <w:rsid w:val="00713E71"/>
    <w:rsid w:val="00716E1F"/>
    <w:rsid w:val="00731888"/>
    <w:rsid w:val="007405E7"/>
    <w:rsid w:val="007407C3"/>
    <w:rsid w:val="00747DAD"/>
    <w:rsid w:val="007530CA"/>
    <w:rsid w:val="007548DE"/>
    <w:rsid w:val="00756D68"/>
    <w:rsid w:val="007578D9"/>
    <w:rsid w:val="00757E8A"/>
    <w:rsid w:val="007629C7"/>
    <w:rsid w:val="00763E43"/>
    <w:rsid w:val="00764EB5"/>
    <w:rsid w:val="00766B53"/>
    <w:rsid w:val="007734C8"/>
    <w:rsid w:val="007737B0"/>
    <w:rsid w:val="00773BDC"/>
    <w:rsid w:val="00776C81"/>
    <w:rsid w:val="00777A95"/>
    <w:rsid w:val="00782416"/>
    <w:rsid w:val="007866F7"/>
    <w:rsid w:val="007921F4"/>
    <w:rsid w:val="007A374B"/>
    <w:rsid w:val="007B0364"/>
    <w:rsid w:val="007B1939"/>
    <w:rsid w:val="007B3267"/>
    <w:rsid w:val="007B4212"/>
    <w:rsid w:val="007C20F0"/>
    <w:rsid w:val="007C5666"/>
    <w:rsid w:val="007C67A9"/>
    <w:rsid w:val="007C7BB6"/>
    <w:rsid w:val="007D0981"/>
    <w:rsid w:val="007D1929"/>
    <w:rsid w:val="007D2F16"/>
    <w:rsid w:val="007F388C"/>
    <w:rsid w:val="007F6CED"/>
    <w:rsid w:val="00803CF1"/>
    <w:rsid w:val="008104BB"/>
    <w:rsid w:val="008179FD"/>
    <w:rsid w:val="008240A4"/>
    <w:rsid w:val="008249C5"/>
    <w:rsid w:val="00824EE4"/>
    <w:rsid w:val="008368E6"/>
    <w:rsid w:val="008526F9"/>
    <w:rsid w:val="0085285E"/>
    <w:rsid w:val="00853023"/>
    <w:rsid w:val="008534D4"/>
    <w:rsid w:val="008719AB"/>
    <w:rsid w:val="00881C60"/>
    <w:rsid w:val="00881E28"/>
    <w:rsid w:val="00883CFA"/>
    <w:rsid w:val="00886B2D"/>
    <w:rsid w:val="00887151"/>
    <w:rsid w:val="00890002"/>
    <w:rsid w:val="00890C0E"/>
    <w:rsid w:val="00893FB2"/>
    <w:rsid w:val="00894C4B"/>
    <w:rsid w:val="008A12E3"/>
    <w:rsid w:val="008A2DBC"/>
    <w:rsid w:val="008A42FA"/>
    <w:rsid w:val="008A4FA2"/>
    <w:rsid w:val="008B0AC7"/>
    <w:rsid w:val="008C2335"/>
    <w:rsid w:val="008C67C1"/>
    <w:rsid w:val="008D181B"/>
    <w:rsid w:val="008D1D39"/>
    <w:rsid w:val="008E77B9"/>
    <w:rsid w:val="008F07D2"/>
    <w:rsid w:val="00902998"/>
    <w:rsid w:val="00917851"/>
    <w:rsid w:val="00917F65"/>
    <w:rsid w:val="009311E7"/>
    <w:rsid w:val="00933288"/>
    <w:rsid w:val="00940173"/>
    <w:rsid w:val="00942694"/>
    <w:rsid w:val="0094293A"/>
    <w:rsid w:val="00950766"/>
    <w:rsid w:val="00972AA8"/>
    <w:rsid w:val="00981B03"/>
    <w:rsid w:val="009A5E66"/>
    <w:rsid w:val="009A7E3A"/>
    <w:rsid w:val="009B06D2"/>
    <w:rsid w:val="009B1265"/>
    <w:rsid w:val="009B4A15"/>
    <w:rsid w:val="009B5693"/>
    <w:rsid w:val="009C35FB"/>
    <w:rsid w:val="009C61A2"/>
    <w:rsid w:val="009C78E4"/>
    <w:rsid w:val="009D03D8"/>
    <w:rsid w:val="009D5A74"/>
    <w:rsid w:val="009D687E"/>
    <w:rsid w:val="009F5016"/>
    <w:rsid w:val="009F6DE7"/>
    <w:rsid w:val="00A10583"/>
    <w:rsid w:val="00A1090A"/>
    <w:rsid w:val="00A14214"/>
    <w:rsid w:val="00A14989"/>
    <w:rsid w:val="00A2501A"/>
    <w:rsid w:val="00A25CFD"/>
    <w:rsid w:val="00A37FCB"/>
    <w:rsid w:val="00A54863"/>
    <w:rsid w:val="00A61D74"/>
    <w:rsid w:val="00A7109E"/>
    <w:rsid w:val="00A81B6D"/>
    <w:rsid w:val="00A84940"/>
    <w:rsid w:val="00A8688B"/>
    <w:rsid w:val="00A91163"/>
    <w:rsid w:val="00A9286F"/>
    <w:rsid w:val="00A95062"/>
    <w:rsid w:val="00A96255"/>
    <w:rsid w:val="00AA0E45"/>
    <w:rsid w:val="00AA4AB2"/>
    <w:rsid w:val="00AA6032"/>
    <w:rsid w:val="00AB285B"/>
    <w:rsid w:val="00AD0BD2"/>
    <w:rsid w:val="00AD69D2"/>
    <w:rsid w:val="00AF5552"/>
    <w:rsid w:val="00AF599B"/>
    <w:rsid w:val="00AF5A56"/>
    <w:rsid w:val="00AF5CB4"/>
    <w:rsid w:val="00AF5ED1"/>
    <w:rsid w:val="00AF71D6"/>
    <w:rsid w:val="00B17990"/>
    <w:rsid w:val="00B216EE"/>
    <w:rsid w:val="00B3175F"/>
    <w:rsid w:val="00B31E2C"/>
    <w:rsid w:val="00B329B0"/>
    <w:rsid w:val="00B339BB"/>
    <w:rsid w:val="00B33D71"/>
    <w:rsid w:val="00B402D8"/>
    <w:rsid w:val="00B4237C"/>
    <w:rsid w:val="00B42FE8"/>
    <w:rsid w:val="00B47EA9"/>
    <w:rsid w:val="00B52AFD"/>
    <w:rsid w:val="00B54077"/>
    <w:rsid w:val="00B6625D"/>
    <w:rsid w:val="00B71382"/>
    <w:rsid w:val="00B77CD7"/>
    <w:rsid w:val="00B807B2"/>
    <w:rsid w:val="00B8087E"/>
    <w:rsid w:val="00B926D7"/>
    <w:rsid w:val="00BA15CA"/>
    <w:rsid w:val="00BB646E"/>
    <w:rsid w:val="00BC0501"/>
    <w:rsid w:val="00BD1BA1"/>
    <w:rsid w:val="00BD6B08"/>
    <w:rsid w:val="00BE6FE5"/>
    <w:rsid w:val="00BF251D"/>
    <w:rsid w:val="00BF38E1"/>
    <w:rsid w:val="00BF4E10"/>
    <w:rsid w:val="00BF4FFB"/>
    <w:rsid w:val="00C019E5"/>
    <w:rsid w:val="00C35BC4"/>
    <w:rsid w:val="00C35C73"/>
    <w:rsid w:val="00C43F5B"/>
    <w:rsid w:val="00C50D47"/>
    <w:rsid w:val="00C51E3F"/>
    <w:rsid w:val="00C855ED"/>
    <w:rsid w:val="00C926DE"/>
    <w:rsid w:val="00CA033F"/>
    <w:rsid w:val="00CB4371"/>
    <w:rsid w:val="00CB74B7"/>
    <w:rsid w:val="00CC516D"/>
    <w:rsid w:val="00CC5628"/>
    <w:rsid w:val="00CD2CF1"/>
    <w:rsid w:val="00CD6D6D"/>
    <w:rsid w:val="00CE22E0"/>
    <w:rsid w:val="00CE4C2F"/>
    <w:rsid w:val="00CF3FD0"/>
    <w:rsid w:val="00D03B56"/>
    <w:rsid w:val="00D077FF"/>
    <w:rsid w:val="00D11257"/>
    <w:rsid w:val="00D11818"/>
    <w:rsid w:val="00D24330"/>
    <w:rsid w:val="00D2515D"/>
    <w:rsid w:val="00D27CE7"/>
    <w:rsid w:val="00D40056"/>
    <w:rsid w:val="00D51E7C"/>
    <w:rsid w:val="00D52E00"/>
    <w:rsid w:val="00D54F29"/>
    <w:rsid w:val="00D7020C"/>
    <w:rsid w:val="00D7081F"/>
    <w:rsid w:val="00D70AD9"/>
    <w:rsid w:val="00D72152"/>
    <w:rsid w:val="00D724BC"/>
    <w:rsid w:val="00D93CFA"/>
    <w:rsid w:val="00D94BA5"/>
    <w:rsid w:val="00D9510F"/>
    <w:rsid w:val="00D95E34"/>
    <w:rsid w:val="00DA615C"/>
    <w:rsid w:val="00DA6C9B"/>
    <w:rsid w:val="00DC0AC3"/>
    <w:rsid w:val="00DC4DEA"/>
    <w:rsid w:val="00DC4F94"/>
    <w:rsid w:val="00DC6538"/>
    <w:rsid w:val="00DD1BC6"/>
    <w:rsid w:val="00DE0165"/>
    <w:rsid w:val="00DE4D2E"/>
    <w:rsid w:val="00DE5DC3"/>
    <w:rsid w:val="00DF05C1"/>
    <w:rsid w:val="00E00D8A"/>
    <w:rsid w:val="00E1050F"/>
    <w:rsid w:val="00E11604"/>
    <w:rsid w:val="00E11D92"/>
    <w:rsid w:val="00E130A0"/>
    <w:rsid w:val="00E14906"/>
    <w:rsid w:val="00E210C4"/>
    <w:rsid w:val="00E2284C"/>
    <w:rsid w:val="00E23DB7"/>
    <w:rsid w:val="00E27E3C"/>
    <w:rsid w:val="00E37BB7"/>
    <w:rsid w:val="00E46D96"/>
    <w:rsid w:val="00E52CCA"/>
    <w:rsid w:val="00E5345B"/>
    <w:rsid w:val="00E566DE"/>
    <w:rsid w:val="00E5730E"/>
    <w:rsid w:val="00E66409"/>
    <w:rsid w:val="00E668A2"/>
    <w:rsid w:val="00E67052"/>
    <w:rsid w:val="00E72198"/>
    <w:rsid w:val="00E72C26"/>
    <w:rsid w:val="00E756CA"/>
    <w:rsid w:val="00E76BD6"/>
    <w:rsid w:val="00E81D5B"/>
    <w:rsid w:val="00E976B9"/>
    <w:rsid w:val="00EA05D3"/>
    <w:rsid w:val="00EB19AD"/>
    <w:rsid w:val="00EB2F31"/>
    <w:rsid w:val="00EB6493"/>
    <w:rsid w:val="00EC2915"/>
    <w:rsid w:val="00EC36F6"/>
    <w:rsid w:val="00ED05A9"/>
    <w:rsid w:val="00ED1BA0"/>
    <w:rsid w:val="00ED2123"/>
    <w:rsid w:val="00ED7F20"/>
    <w:rsid w:val="00F0024F"/>
    <w:rsid w:val="00F145B0"/>
    <w:rsid w:val="00F149E0"/>
    <w:rsid w:val="00F17257"/>
    <w:rsid w:val="00F17947"/>
    <w:rsid w:val="00F255A2"/>
    <w:rsid w:val="00F34D24"/>
    <w:rsid w:val="00F36321"/>
    <w:rsid w:val="00F4130B"/>
    <w:rsid w:val="00F5566D"/>
    <w:rsid w:val="00F556A2"/>
    <w:rsid w:val="00F57BB9"/>
    <w:rsid w:val="00F66C85"/>
    <w:rsid w:val="00F719A8"/>
    <w:rsid w:val="00F7759D"/>
    <w:rsid w:val="00F8031C"/>
    <w:rsid w:val="00F833EF"/>
    <w:rsid w:val="00F85E4F"/>
    <w:rsid w:val="00F85E73"/>
    <w:rsid w:val="00F878B9"/>
    <w:rsid w:val="00F921E3"/>
    <w:rsid w:val="00FA5F7C"/>
    <w:rsid w:val="00FB24E8"/>
    <w:rsid w:val="00FB3B2B"/>
    <w:rsid w:val="00FC18DA"/>
    <w:rsid w:val="00FC3917"/>
    <w:rsid w:val="00FC5C32"/>
    <w:rsid w:val="00FC5C76"/>
    <w:rsid w:val="00FC7C54"/>
    <w:rsid w:val="00FD60DA"/>
    <w:rsid w:val="00FE0A1D"/>
    <w:rsid w:val="00FE0E93"/>
    <w:rsid w:val="00FE27E4"/>
    <w:rsid w:val="00FF07B4"/>
    <w:rsid w:val="00FF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A310D"/>
  <w15:docId w15:val="{2895115A-2F1C-4A78-8CBF-C9ECFE83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3FC"/>
    <w:pPr>
      <w:widowControl w:val="0"/>
    </w:pPr>
    <w:rPr>
      <w:rFonts w:cs="Calibri"/>
    </w:rPr>
  </w:style>
  <w:style w:type="paragraph" w:styleId="Heading1">
    <w:name w:val="heading 1"/>
    <w:basedOn w:val="Normal"/>
    <w:link w:val="Heading1Char"/>
    <w:uiPriority w:val="9"/>
    <w:qFormat/>
    <w:rsid w:val="002773FC"/>
    <w:pPr>
      <w:spacing w:before="35"/>
      <w:ind w:left="454" w:hanging="315"/>
      <w:outlineLvl w:val="0"/>
    </w:pPr>
    <w:rPr>
      <w:rFonts w:ascii="Calibri" w:eastAsia="Calibri" w:hAnsi="Calibri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 w:hanging="457"/>
      <w:outlineLvl w:val="1"/>
    </w:pPr>
    <w:rPr>
      <w:rFonts w:ascii="Calibri" w:eastAsia="Calibri" w:hAnsi="Calibri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76"/>
      <w:ind w:left="140"/>
      <w:outlineLvl w:val="2"/>
    </w:pPr>
    <w:rPr>
      <w:rFonts w:ascii="Calibri" w:eastAsia="Calibri" w:hAnsi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Numeracinderenglones">
    <w:name w:val="Numeración de renglones"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>
      <w:ind w:left="140"/>
    </w:pPr>
    <w:rPr>
      <w:rFonts w:ascii="Calibri" w:eastAsia="Calibri" w:hAnsi="Calibri"/>
      <w:sz w:val="21"/>
      <w:szCs w:val="21"/>
    </w:rPr>
  </w:style>
  <w:style w:type="paragraph" w:styleId="List">
    <w:name w:val="List"/>
    <w:basedOn w:val="BodyText"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ascii="Arial" w:hAnsi="Arial" w:cs="Lohit Devanagari"/>
    </w:rPr>
  </w:style>
  <w:style w:type="paragraph" w:styleId="Title">
    <w:name w:val="Title"/>
    <w:basedOn w:val="Normal"/>
    <w:uiPriority w:val="10"/>
    <w:qFormat/>
    <w:pPr>
      <w:spacing w:before="50"/>
      <w:ind w:left="2298" w:right="2296"/>
      <w:jc w:val="center"/>
    </w:pPr>
    <w:rPr>
      <w:rFonts w:ascii="Calibri" w:eastAsia="Calibri" w:hAnsi="Calibri"/>
      <w:sz w:val="36"/>
      <w:szCs w:val="36"/>
    </w:rPr>
  </w:style>
  <w:style w:type="paragraph" w:styleId="ListParagraph">
    <w:name w:val="List Paragraph"/>
    <w:basedOn w:val="Normal"/>
    <w:uiPriority w:val="34"/>
    <w:qFormat/>
    <w:rsid w:val="002773FC"/>
    <w:pPr>
      <w:ind w:left="454" w:hanging="315"/>
    </w:pPr>
    <w:rPr>
      <w:rFonts w:ascii="Calibri" w:eastAsia="Calibri" w:hAnsi="Calibri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Cabeceraypie"/>
    <w:link w:val="HeaderChar"/>
    <w:uiPriority w:val="99"/>
    <w:rsid w:val="002773FC"/>
  </w:style>
  <w:style w:type="paragraph" w:styleId="CommentText">
    <w:name w:val="annotation text"/>
    <w:basedOn w:val="Normal"/>
    <w:link w:val="CommentTextChar"/>
    <w:uiPriority w:val="99"/>
    <w:semiHidden/>
    <w:unhideWhenUsed/>
    <w:rsid w:val="002773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3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5E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5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5E7"/>
    <w:rPr>
      <w:rFonts w:cs="Calibri"/>
      <w:b/>
      <w:bCs/>
      <w:sz w:val="20"/>
      <w:szCs w:val="20"/>
    </w:rPr>
  </w:style>
  <w:style w:type="paragraph" w:styleId="NoSpacing">
    <w:name w:val="No Spacing"/>
    <w:uiPriority w:val="1"/>
    <w:qFormat/>
    <w:rsid w:val="003521E9"/>
    <w:pPr>
      <w:widowControl w:val="0"/>
    </w:pPr>
    <w:rPr>
      <w:rFonts w:cs="Calibri"/>
    </w:rPr>
  </w:style>
  <w:style w:type="paragraph" w:styleId="Footer">
    <w:name w:val="footer"/>
    <w:basedOn w:val="Normal"/>
    <w:link w:val="FooterChar"/>
    <w:uiPriority w:val="99"/>
    <w:unhideWhenUsed/>
    <w:rsid w:val="002773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E3A"/>
    <w:rPr>
      <w:rFonts w:cs="Calibri"/>
    </w:rPr>
  </w:style>
  <w:style w:type="paragraph" w:styleId="Revision">
    <w:name w:val="Revision"/>
    <w:hidden/>
    <w:uiPriority w:val="99"/>
    <w:semiHidden/>
    <w:rsid w:val="009C35FB"/>
    <w:pPr>
      <w:suppressAutoHyphens w:val="0"/>
    </w:pPr>
    <w:rPr>
      <w:rFonts w:cs="Calibri"/>
    </w:rPr>
  </w:style>
  <w:style w:type="paragraph" w:customStyle="1" w:styleId="MGTHeader">
    <w:name w:val="M.G+T.Header"/>
    <w:basedOn w:val="Normal"/>
    <w:link w:val="MGTHeaderChar"/>
    <w:qFormat/>
    <w:rsid w:val="002773FC"/>
    <w:pPr>
      <w:widowControl/>
      <w:shd w:val="clear" w:color="auto" w:fill="F5F5F5"/>
      <w:suppressAutoHyphens w:val="0"/>
      <w:spacing w:after="100"/>
      <w:outlineLvl w:val="4"/>
    </w:pPr>
    <w:rPr>
      <w:rFonts w:eastAsia="Times New Roman" w:cs="Times New Roman"/>
      <w:color w:val="333333"/>
      <w:sz w:val="21"/>
      <w:szCs w:val="21"/>
      <w:lang w:eastAsia="en-GB"/>
    </w:rPr>
  </w:style>
  <w:style w:type="character" w:customStyle="1" w:styleId="MGTHeaderChar">
    <w:name w:val="M.G+T.Header Char"/>
    <w:basedOn w:val="DefaultParagraphFont"/>
    <w:link w:val="MGTHeader"/>
    <w:rsid w:val="00630CD1"/>
    <w:rPr>
      <w:rFonts w:eastAsia="Times New Roman" w:cs="Times New Roman"/>
      <w:color w:val="333333"/>
      <w:sz w:val="21"/>
      <w:szCs w:val="21"/>
      <w:shd w:val="clear" w:color="auto" w:fill="F5F5F5"/>
      <w:lang w:eastAsia="en-GB"/>
    </w:rPr>
  </w:style>
  <w:style w:type="paragraph" w:customStyle="1" w:styleId="MText">
    <w:name w:val="M.Text"/>
    <w:basedOn w:val="Normal"/>
    <w:link w:val="MTextChar"/>
    <w:qFormat/>
    <w:rsid w:val="002773FC"/>
    <w:pPr>
      <w:widowControl/>
      <w:shd w:val="clear" w:color="auto" w:fill="FFFFFF"/>
      <w:suppressAutoHyphens w:val="0"/>
      <w:spacing w:line="276" w:lineRule="auto"/>
    </w:pPr>
    <w:rPr>
      <w:rFonts w:eastAsia="Times New Roman" w:cs="Times New Roman"/>
      <w:color w:val="4A4A4A"/>
      <w:sz w:val="21"/>
      <w:szCs w:val="21"/>
      <w:lang w:eastAsia="en-GB"/>
    </w:rPr>
  </w:style>
  <w:style w:type="character" w:customStyle="1" w:styleId="MTextChar">
    <w:name w:val="M.Text Char"/>
    <w:basedOn w:val="DefaultParagraphFont"/>
    <w:link w:val="MText"/>
    <w:rsid w:val="007D2F16"/>
    <w:rPr>
      <w:rFonts w:eastAsia="Times New Roman" w:cs="Times New Roman"/>
      <w:color w:val="4A4A4A"/>
      <w:sz w:val="21"/>
      <w:szCs w:val="21"/>
      <w:shd w:val="clear" w:color="auto" w:fill="FFFFFF"/>
      <w:lang w:eastAsia="en-GB"/>
    </w:rPr>
  </w:style>
  <w:style w:type="paragraph" w:customStyle="1" w:styleId="MHeader2">
    <w:name w:val="M.Header2"/>
    <w:basedOn w:val="Normal"/>
    <w:link w:val="MHeader2Char"/>
    <w:qFormat/>
    <w:rsid w:val="002773FC"/>
    <w:pPr>
      <w:widowControl/>
      <w:pBdr>
        <w:bottom w:val="single" w:sz="12" w:space="4" w:color="DDDDDD"/>
      </w:pBdr>
      <w:shd w:val="clear" w:color="auto" w:fill="FFFFFF"/>
      <w:suppressAutoHyphens w:val="0"/>
      <w:spacing w:after="100"/>
      <w:outlineLvl w:val="2"/>
    </w:pPr>
    <w:rPr>
      <w:rFonts w:eastAsia="Times New Roman" w:cs="Times New Roman"/>
      <w:color w:val="1C75BC"/>
      <w:sz w:val="26"/>
      <w:szCs w:val="36"/>
      <w:lang w:eastAsia="en-GB"/>
    </w:rPr>
  </w:style>
  <w:style w:type="character" w:customStyle="1" w:styleId="MHeader2Char">
    <w:name w:val="M.Header2 Char"/>
    <w:basedOn w:val="DefaultParagraphFont"/>
    <w:link w:val="MHeader2"/>
    <w:rsid w:val="008E77B9"/>
    <w:rPr>
      <w:rFonts w:eastAsia="Times New Roman" w:cs="Times New Roman"/>
      <w:color w:val="1C75BC"/>
      <w:sz w:val="26"/>
      <w:szCs w:val="36"/>
      <w:shd w:val="clear" w:color="auto" w:fill="FFFFFF"/>
      <w:lang w:eastAsia="en-GB"/>
    </w:rPr>
  </w:style>
  <w:style w:type="character" w:styleId="Hyperlink">
    <w:name w:val="Hyperlink"/>
    <w:basedOn w:val="DefaultParagraphFont"/>
    <w:uiPriority w:val="99"/>
    <w:unhideWhenUsed/>
    <w:rsid w:val="008E77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3F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C7BB6"/>
    <w:rPr>
      <w:rFonts w:ascii="Calibri" w:eastAsia="Calibri" w:hAnsi="Calibri" w:cs="Calibri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B3FBD"/>
    <w:rPr>
      <w:rFonts w:cs="Calibri"/>
    </w:rPr>
  </w:style>
  <w:style w:type="paragraph" w:customStyle="1" w:styleId="MIndHeader">
    <w:name w:val="M.Ind.Header"/>
    <w:basedOn w:val="Normal"/>
    <w:link w:val="MIndHeaderChar"/>
    <w:qFormat/>
    <w:rsid w:val="002773FC"/>
    <w:pPr>
      <w:widowControl/>
      <w:shd w:val="clear" w:color="auto" w:fill="F5F5F5"/>
      <w:suppressAutoHyphens w:val="0"/>
      <w:spacing w:after="100"/>
      <w:outlineLvl w:val="1"/>
    </w:pPr>
    <w:rPr>
      <w:rFonts w:eastAsia="Times New Roman" w:cs="Times New Roman"/>
      <w:color w:val="1C75BC"/>
      <w:sz w:val="26"/>
      <w:lang w:eastAsia="en-GB"/>
    </w:rPr>
  </w:style>
  <w:style w:type="character" w:customStyle="1" w:styleId="MIndHeaderChar">
    <w:name w:val="M.Ind.Header Char"/>
    <w:basedOn w:val="DefaultParagraphFont"/>
    <w:link w:val="MIndHeader"/>
    <w:rsid w:val="00CE4C2F"/>
    <w:rPr>
      <w:rFonts w:eastAsia="Times New Roman" w:cs="Times New Roman"/>
      <w:color w:val="1C75BC"/>
      <w:sz w:val="26"/>
      <w:shd w:val="clear" w:color="auto" w:fill="F5F5F5"/>
      <w:lang w:eastAsia="en-GB"/>
    </w:rPr>
  </w:style>
  <w:style w:type="paragraph" w:customStyle="1" w:styleId="MIndHeader2">
    <w:name w:val="M.Ind.Header2"/>
    <w:basedOn w:val="MIndHeader"/>
    <w:link w:val="MIndHeader2Char"/>
    <w:qFormat/>
    <w:rsid w:val="00CE4C2F"/>
    <w:rPr>
      <w:sz w:val="32"/>
    </w:rPr>
  </w:style>
  <w:style w:type="character" w:customStyle="1" w:styleId="MIndHeader2Char">
    <w:name w:val="M.Ind.Header2 Char"/>
    <w:basedOn w:val="MIndHeaderChar"/>
    <w:link w:val="MIndHeader2"/>
    <w:rsid w:val="00CE4C2F"/>
    <w:rPr>
      <w:rFonts w:eastAsia="Times New Roman" w:cs="Times New Roman"/>
      <w:color w:val="1C75BC"/>
      <w:sz w:val="32"/>
      <w:shd w:val="clear" w:color="auto" w:fill="F5F5F5"/>
      <w:lang w:eastAsia="en-GB"/>
    </w:rPr>
  </w:style>
  <w:style w:type="paragraph" w:customStyle="1" w:styleId="MHeader">
    <w:name w:val="M.Header"/>
    <w:basedOn w:val="Normal"/>
    <w:link w:val="MHeaderChar"/>
    <w:qFormat/>
    <w:rsid w:val="002773FC"/>
    <w:pPr>
      <w:widowControl/>
      <w:pBdr>
        <w:bottom w:val="single" w:sz="12" w:space="4" w:color="DDDDDD"/>
      </w:pBdr>
      <w:shd w:val="clear" w:color="auto" w:fill="FFFFFF"/>
      <w:suppressAutoHyphens w:val="0"/>
      <w:spacing w:line="276" w:lineRule="auto"/>
      <w:outlineLvl w:val="2"/>
    </w:pPr>
    <w:rPr>
      <w:rFonts w:eastAsia="Times New Roman" w:cs="Times New Roman"/>
      <w:color w:val="1C75BC"/>
      <w:sz w:val="32"/>
      <w:szCs w:val="36"/>
      <w:lang w:eastAsia="en-GB"/>
    </w:rPr>
  </w:style>
  <w:style w:type="character" w:customStyle="1" w:styleId="MHeaderChar">
    <w:name w:val="M.Header Char"/>
    <w:basedOn w:val="DefaultParagraphFont"/>
    <w:link w:val="MHeader"/>
    <w:rsid w:val="00E14906"/>
    <w:rPr>
      <w:rFonts w:eastAsia="Times New Roman" w:cs="Times New Roman"/>
      <w:color w:val="1C75BC"/>
      <w:sz w:val="32"/>
      <w:szCs w:val="36"/>
      <w:shd w:val="clear" w:color="auto" w:fill="FFFFFF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773FC"/>
    <w:rPr>
      <w:rFonts w:ascii="Calibri" w:eastAsia="Calibri" w:hAnsi="Calibri" w:cs="Calibri"/>
      <w:sz w:val="32"/>
      <w:szCs w:val="32"/>
    </w:rPr>
  </w:style>
  <w:style w:type="paragraph" w:customStyle="1" w:styleId="MSubHeader">
    <w:name w:val="M.Sub.Header"/>
    <w:basedOn w:val="Normal"/>
    <w:link w:val="MSubHeaderChar"/>
    <w:qFormat/>
    <w:rsid w:val="002773FC"/>
    <w:pPr>
      <w:widowControl/>
      <w:shd w:val="clear" w:color="auto" w:fill="FFFFFF"/>
      <w:suppressAutoHyphens w:val="0"/>
      <w:spacing w:line="276" w:lineRule="auto"/>
    </w:pPr>
    <w:rPr>
      <w:rFonts w:eastAsia="Times New Roman" w:cs="Times New Roman"/>
      <w:b/>
      <w:bCs/>
      <w:color w:val="4A4A4A"/>
      <w:sz w:val="21"/>
      <w:szCs w:val="21"/>
      <w:lang w:eastAsia="en-GB"/>
    </w:rPr>
  </w:style>
  <w:style w:type="character" w:customStyle="1" w:styleId="MSubHeaderChar">
    <w:name w:val="M.Sub.Header Char"/>
    <w:basedOn w:val="DefaultParagraphFont"/>
    <w:link w:val="MSubHeader"/>
    <w:rsid w:val="002773FC"/>
    <w:rPr>
      <w:rFonts w:eastAsia="Times New Roman" w:cs="Times New Roman"/>
      <w:b/>
      <w:bCs/>
      <w:color w:val="4A4A4A"/>
      <w:sz w:val="21"/>
      <w:szCs w:val="21"/>
      <w:shd w:val="clear" w:color="auto" w:fill="FFFFFF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2773FC"/>
    <w:rPr>
      <w:color w:val="808080"/>
    </w:rPr>
  </w:style>
  <w:style w:type="table" w:styleId="TableGrid">
    <w:name w:val="Table Grid"/>
    <w:basedOn w:val="TableNormal"/>
    <w:uiPriority w:val="59"/>
    <w:rsid w:val="002773FC"/>
    <w:pPr>
      <w:suppressAutoHyphens w:val="0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73FC"/>
    <w:pPr>
      <w:widowControl/>
      <w:suppressAutoHyphens w:val="0"/>
    </w:pPr>
    <w:rPr>
      <w:rFonts w:cstheme="minorBidi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73FC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yperlink" Target="https://openknowledge.worldbank.org/handle/10986/212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.org/development/desa/e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fsb.org/publications/" TargetMode="External"/><Relationship Id="rId10" Type="http://schemas.openxmlformats.org/officeDocument/2006/relationships/settings" Target="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openknowledge.worldbank.org/handle/10986/2128" TargetMode="External"/><Relationship Id="rId22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032A8-CBE6-4482-9413-A38019C02ACE}"/>
      </w:docPartPr>
      <w:docPartBody>
        <w:p w:rsidR="00000000" w:rsidRDefault="00FB134D">
          <w:r w:rsidRPr="00F8505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4D"/>
    <w:rsid w:val="004D3E5E"/>
    <w:rsid w:val="00FB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3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7F21911161940AE65962A8E75FD0D" ma:contentTypeVersion="13" ma:contentTypeDescription="Create a new document." ma:contentTypeScope="" ma:versionID="54927095fba6da4b52aeabac7d48d121">
  <xsd:schema xmlns:xsd="http://www.w3.org/2001/XMLSchema" xmlns:xs="http://www.w3.org/2001/XMLSchema" xmlns:p="http://schemas.microsoft.com/office/2006/metadata/properties" xmlns:ns3="d114b01d-ae01-4749-b845-9d88e7ef5c0e" xmlns:ns4="f2d2d782-0088-4826-96df-71eba56e6d2e" targetNamespace="http://schemas.microsoft.com/office/2006/metadata/properties" ma:root="true" ma:fieldsID="f1b768a7440a8c3395834a71ccb7a817" ns3:_="" ns4:_="">
    <xsd:import namespace="d114b01d-ae01-4749-b845-9d88e7ef5c0e"/>
    <xsd:import namespace="f2d2d782-0088-4826-96df-71eba56e6d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4b01d-ae01-4749-b845-9d88e7ef5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2d782-0088-4826-96df-71eba56e6d2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1FA24D40735C4697754DDAD8746459" ma:contentTypeVersion="8" ma:contentTypeDescription="Crear nuevo documento." ma:contentTypeScope="" ma:versionID="02c79a7a56af7037bc82f7a9c142887b">
  <xsd:schema xmlns:xsd="http://www.w3.org/2001/XMLSchema" xmlns:xs="http://www.w3.org/2001/XMLSchema" xmlns:p="http://schemas.microsoft.com/office/2006/metadata/properties" xmlns:ns2="7f2b7c80-0f2d-4f77-964f-8aeab417169f" xmlns:ns3="2a0920cc-17e2-4fde-a745-a5fd8e25cdb2" targetNamespace="http://schemas.microsoft.com/office/2006/metadata/properties" ma:root="true" ma:fieldsID="2c852a3375393369e7465ed9c24c423d" ns2:_="" ns3:_="">
    <xsd:import namespace="7f2b7c80-0f2d-4f77-964f-8aeab417169f"/>
    <xsd:import namespace="2a0920cc-17e2-4fde-a745-a5fd8e25c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b7c80-0f2d-4f77-964f-8aeab4171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920cc-17e2-4fde-a745-a5fd8e25cd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11DFB8-C9C4-4C6D-81F7-AC6611D232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597A22-7BCB-4E17-AD05-698BA4F6D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199C5C-1DB7-4D74-8F55-92909FA659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AC4ED1-E00B-49BF-9B11-FE546BFCEB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94E3E28-AA33-41F9-8761-47F8137C2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4b01d-ae01-4749-b845-9d88e7ef5c0e"/>
    <ds:schemaRef ds:uri="f2d2d782-0088-4826-96df-71eba56e6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A41597E2-36A1-4F03-9734-5BC6BE2D7E64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20F771F2-8C16-48E0-8CFC-EFC98DFF8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2b7c80-0f2d-4f77-964f-8aeab417169f"/>
    <ds:schemaRef ds:uri="2a0920cc-17e2-4fde-a745-a5fd8e25c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1874</Words>
  <Characters>10688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StatCan</Company>
  <LinksUpToDate>false</LinksUpToDate>
  <CharactersWithSpaces>12537</CharactersWithSpaces>
  <SharedDoc>false</SharedDoc>
  <HLinks>
    <vt:vector size="24" baseType="variant">
      <vt:variant>
        <vt:i4>6750308</vt:i4>
      </vt:variant>
      <vt:variant>
        <vt:i4>9</vt:i4>
      </vt:variant>
      <vt:variant>
        <vt:i4>0</vt:i4>
      </vt:variant>
      <vt:variant>
        <vt:i4>5</vt:i4>
      </vt:variant>
      <vt:variant>
        <vt:lpwstr>https://www.un.org/development/desa/en/</vt:lpwstr>
      </vt:variant>
      <vt:variant>
        <vt:lpwstr/>
      </vt:variant>
      <vt:variant>
        <vt:i4>5898363</vt:i4>
      </vt:variant>
      <vt:variant>
        <vt:i4>6</vt:i4>
      </vt:variant>
      <vt:variant>
        <vt:i4>0</vt:i4>
      </vt:variant>
      <vt:variant>
        <vt:i4>5</vt:i4>
      </vt:variant>
      <vt:variant>
        <vt:lpwstr>mailto:spiegel@un.org</vt:lpwstr>
      </vt:variant>
      <vt:variant>
        <vt:lpwstr/>
      </vt:variant>
      <vt:variant>
        <vt:i4>4391032</vt:i4>
      </vt:variant>
      <vt:variant>
        <vt:i4>3</vt:i4>
      </vt:variant>
      <vt:variant>
        <vt:i4>0</vt:i4>
      </vt:variant>
      <vt:variant>
        <vt:i4>5</vt:i4>
      </vt:variant>
      <vt:variant>
        <vt:lpwstr>mailto:kaldewei@un.org</vt:lpwstr>
      </vt:variant>
      <vt:variant>
        <vt:lpwstr/>
      </vt:variant>
      <vt:variant>
        <vt:i4>2359325</vt:i4>
      </vt:variant>
      <vt:variant>
        <vt:i4>0</vt:i4>
      </vt:variant>
      <vt:variant>
        <vt:i4>0</vt:i4>
      </vt:variant>
      <vt:variant>
        <vt:i4>5</vt:i4>
      </vt:variant>
      <vt:variant>
        <vt:lpwstr>mailto:chowla@un.org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Harumi Shibata Salazar</cp:lastModifiedBy>
  <cp:revision>5</cp:revision>
  <dcterms:created xsi:type="dcterms:W3CDTF">2022-07-06T15:16:00Z</dcterms:created>
  <dcterms:modified xsi:type="dcterms:W3CDTF">2022-12-20T21:54:00Z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2021-10-16T00:00:00Z</vt:filetime>
  </property>
  <property fmtid="{D5CDD505-2E9C-101B-9397-08002B2CF9AE}" pid="5" name="ContentTypeId">
    <vt:lpwstr>0x010100AF1FA24D40735C4697754DDAD8746459</vt:lpwstr>
  </property>
</Properties>
</file>