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7252"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7DAEB676"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329AC4AE" w14:textId="77777777" w:rsidR="006C4BFD" w:rsidRPr="00A96255" w:rsidRDefault="006C4BFD" w:rsidP="006C4BFD">
      <w:pPr>
        <w:spacing w:after="0"/>
        <w:rPr>
          <w:rFonts w:eastAsia="Times New Roman" w:cs="Times New Roman"/>
          <w:b/>
          <w:bCs/>
          <w:color w:val="4A4A4A"/>
          <w:sz w:val="21"/>
          <w:szCs w:val="21"/>
          <w:lang w:eastAsia="en-GB"/>
        </w:rPr>
      </w:pPr>
    </w:p>
    <w:p w14:paraId="76780BC4" w14:textId="77777777" w:rsidR="00B31E2C" w:rsidRPr="00A96255" w:rsidRDefault="00B31E2C" w:rsidP="00EA05D3">
      <w:pPr>
        <w:pStyle w:val="MIndHeader2"/>
      </w:pPr>
      <w:r w:rsidRPr="00A96255">
        <w:t xml:space="preserve">0. Indicator information </w:t>
      </w:r>
      <w:r>
        <w:rPr>
          <w:color w:val="B4B4B4"/>
          <w:sz w:val="20"/>
        </w:rPr>
        <w:t>(SDG_INDICATOR_INFO)</w:t>
      </w:r>
    </w:p>
    <w:p w14:paraId="7668661F" w14:textId="77777777" w:rsidR="00D24330" w:rsidRPr="00A96255" w:rsidRDefault="00D24330" w:rsidP="00EA05D3">
      <w:pPr>
        <w:pStyle w:val="MIndHeader"/>
      </w:pPr>
      <w:r>
        <w:t xml:space="preserve">0.a. Goal </w:t>
      </w:r>
      <w:r>
        <w:rPr>
          <w:color w:val="B4B4B4"/>
          <w:sz w:val="20"/>
        </w:rPr>
        <w:t>(SDG_GOAL)</w:t>
      </w:r>
    </w:p>
    <w:p w14:paraId="1E22A049" w14:textId="77777777" w:rsidR="73785C2A" w:rsidRDefault="73785C2A" w:rsidP="00F97314">
      <w:pPr>
        <w:pStyle w:val="MGTHeader"/>
        <w:rPr>
          <w:rFonts w:eastAsia="Calibri"/>
        </w:rPr>
      </w:pPr>
      <w:r w:rsidRPr="767A93C0">
        <w:rPr>
          <w:rFonts w:eastAsia="Calibri"/>
        </w:rPr>
        <w:t>Goal 11: Make cities and human settlements inclusive, safe, resilient and sustainable</w:t>
      </w:r>
    </w:p>
    <w:p w14:paraId="316BCF16" w14:textId="77777777" w:rsidR="00D24330" w:rsidRPr="00A96255" w:rsidRDefault="00D24330" w:rsidP="00D24330">
      <w:pPr>
        <w:pStyle w:val="MIndHeader"/>
      </w:pPr>
      <w:r w:rsidRPr="00A96255">
        <w:t xml:space="preserve">0.b. Target </w:t>
      </w:r>
      <w:r>
        <w:rPr>
          <w:color w:val="B4B4B4"/>
          <w:sz w:val="20"/>
        </w:rPr>
        <w:t>(SDG_TARGET)</w:t>
      </w:r>
    </w:p>
    <w:p w14:paraId="0FF44C2C" w14:textId="77777777" w:rsidR="00505B2B" w:rsidRPr="00505B2B" w:rsidRDefault="00505B2B" w:rsidP="00505B2B">
      <w:pPr>
        <w:shd w:val="clear" w:color="auto" w:fill="F5F5F5"/>
        <w:spacing w:after="0"/>
        <w:outlineLvl w:val="4"/>
        <w:rPr>
          <w:rFonts w:ascii="Times New Roman" w:eastAsia="Times New Roman" w:hAnsi="Times New Roman" w:cs="Times New Roman"/>
          <w:color w:val="333333"/>
          <w:sz w:val="21"/>
          <w:szCs w:val="21"/>
          <w:lang w:eastAsia="en-GB"/>
        </w:rPr>
      </w:pPr>
      <w:r w:rsidRPr="00505B2B">
        <w:rPr>
          <w:rFonts w:ascii="Times New Roman" w:eastAsia="Times New Roman" w:hAnsi="Times New Roman" w:cs="Times New Roman"/>
          <w:color w:val="333333"/>
          <w:sz w:val="21"/>
          <w:szCs w:val="21"/>
          <w:lang w:eastAsia="en-GB"/>
        </w:rPr>
        <w:t>Target 11.4: Strengthen efforts to protect and safeguard the world’s cultural and natural heritage</w:t>
      </w:r>
    </w:p>
    <w:p w14:paraId="2A1AEAE9" w14:textId="77777777" w:rsidR="00D24330" w:rsidRPr="00A96255" w:rsidRDefault="00D24330" w:rsidP="00D24330">
      <w:pPr>
        <w:pStyle w:val="MIndHeader"/>
      </w:pPr>
      <w:r w:rsidRPr="00A96255">
        <w:t xml:space="preserve">0.c. Indicator </w:t>
      </w:r>
      <w:r>
        <w:rPr>
          <w:color w:val="B4B4B4"/>
          <w:sz w:val="20"/>
        </w:rPr>
        <w:t>(SDG_INDICATOR)</w:t>
      </w:r>
    </w:p>
    <w:p w14:paraId="65B2A597" w14:textId="77777777" w:rsidR="00505B2B" w:rsidRDefault="00505B2B" w:rsidP="00D24330">
      <w:pPr>
        <w:pStyle w:val="MIndHeader"/>
        <w:rPr>
          <w:color w:val="333333"/>
          <w:sz w:val="21"/>
          <w:szCs w:val="21"/>
        </w:rPr>
      </w:pPr>
      <w:r w:rsidRPr="00505B2B">
        <w:rPr>
          <w:color w:val="333333"/>
          <w:sz w:val="21"/>
          <w:szCs w:val="21"/>
        </w:rPr>
        <w:t>Indicator 11.4.1: Total per capita expenditure on the preservation, protection and conservation of all cultural and natural heritage, by source of funding (public, private), type of heritage (cultural, natural) and level of government (national, regional, and local/municipal)</w:t>
      </w:r>
    </w:p>
    <w:p w14:paraId="11876D7F" w14:textId="77777777" w:rsidR="00D24330" w:rsidRPr="00A96255" w:rsidRDefault="00D24330" w:rsidP="00D24330">
      <w:pPr>
        <w:pStyle w:val="MIndHeader"/>
      </w:pPr>
      <w:r w:rsidRPr="00A96255">
        <w:t xml:space="preserve">0.d. Series </w:t>
      </w:r>
      <w:r>
        <w:rPr>
          <w:color w:val="B4B4B4"/>
          <w:sz w:val="20"/>
        </w:rPr>
        <w:t>(SDG_SERIES_DESCR)</w:t>
      </w:r>
    </w:p>
    <w:p w14:paraId="06BA2923" w14:textId="77777777" w:rsidR="006E648C" w:rsidRDefault="006E648C" w:rsidP="006E648C">
      <w:pPr>
        <w:pStyle w:val="MGTHeader"/>
      </w:pPr>
      <w:r>
        <w:t>GB_XPD_CUL_PBPV - Total expenditure per capita spent on cultural heritage, public and private [11.4.1]</w:t>
      </w:r>
    </w:p>
    <w:p w14:paraId="2EC8D3E5" w14:textId="77777777" w:rsidR="006E648C" w:rsidRDefault="006E648C" w:rsidP="006E648C">
      <w:pPr>
        <w:pStyle w:val="MGTHeader"/>
      </w:pPr>
      <w:r>
        <w:t>GB_XPD_CULNAT_PB - Total expenditure per capita spent on cultural and natural heritage, public [11.4.1]</w:t>
      </w:r>
    </w:p>
    <w:p w14:paraId="6975CA29" w14:textId="77777777" w:rsidR="006E648C" w:rsidRDefault="006E648C" w:rsidP="006E648C">
      <w:pPr>
        <w:pStyle w:val="MGTHeader"/>
      </w:pPr>
      <w:r>
        <w:t>GB_XPD_CULNAT_PBPV - Total expenditure per capita spent on cultural and natural heritage, public and private [11.4.1]</w:t>
      </w:r>
    </w:p>
    <w:p w14:paraId="66D97C28" w14:textId="77777777" w:rsidR="006E648C" w:rsidRDefault="006E648C" w:rsidP="006E648C">
      <w:pPr>
        <w:pStyle w:val="MGTHeader"/>
      </w:pPr>
      <w:r>
        <w:t>GB_XPD_CULNAT_PV - Total expenditure per capita spent on cultural and natural heritage, private [11.4.1]</w:t>
      </w:r>
    </w:p>
    <w:p w14:paraId="0E8A61C9" w14:textId="407CEEA3" w:rsidR="00180142" w:rsidRDefault="006E648C" w:rsidP="006E648C">
      <w:pPr>
        <w:pStyle w:val="MGTHeader"/>
      </w:pPr>
      <w:r>
        <w:t>GB_XPD_NAT_PBPV - Total expenditure per capita spent on natural heritage, public and private [11.4.1]</w:t>
      </w:r>
    </w:p>
    <w:p w14:paraId="54F814F4" w14:textId="77777777" w:rsidR="00CD25D7" w:rsidRDefault="00CD25D7" w:rsidP="00CD25D7">
      <w:pPr>
        <w:pStyle w:val="MGTHeader"/>
      </w:pPr>
      <w:r>
        <w:t>GB_XPD_CUL_PB - Total expenditure per capita spent on cultural heritage, public [11.4.1]</w:t>
      </w:r>
    </w:p>
    <w:p w14:paraId="4C48BA18" w14:textId="77777777" w:rsidR="00CD25D7" w:rsidRDefault="00CD25D7" w:rsidP="00CD25D7">
      <w:pPr>
        <w:pStyle w:val="MGTHeader"/>
      </w:pPr>
      <w:r>
        <w:t>GB_XPD_CUL_PV - Total expenditure per capita spent on cultural heritage, private [11.4.1]</w:t>
      </w:r>
    </w:p>
    <w:p w14:paraId="1D180250" w14:textId="77777777" w:rsidR="00CD25D7" w:rsidRDefault="00CD25D7" w:rsidP="00CD25D7">
      <w:pPr>
        <w:pStyle w:val="MGTHeader"/>
      </w:pPr>
      <w:r>
        <w:t>GB_XPD_NAT_PB - Total expenditure per capita spent on natural heritage, public [11.4.1]</w:t>
      </w:r>
    </w:p>
    <w:p w14:paraId="026FB48F" w14:textId="77777777" w:rsidR="00FF3BEF" w:rsidRDefault="00CD25D7" w:rsidP="00FF3BEF">
      <w:pPr>
        <w:pStyle w:val="MGTHeader"/>
      </w:pPr>
      <w:r>
        <w:t>GB_XPD_NAT_PV - Total expenditure per capita spent on natural heritage, private [11.4.1]</w:t>
      </w:r>
    </w:p>
    <w:p w14:paraId="3E127302" w14:textId="7E223C49" w:rsidR="00D24330" w:rsidRPr="00A96255" w:rsidRDefault="00D24330" w:rsidP="00D24330">
      <w:pPr>
        <w:pStyle w:val="MIndHeader"/>
      </w:pPr>
      <w:r w:rsidRPr="00A96255">
        <w:t xml:space="preserve">0.e. Metadata update </w:t>
      </w:r>
      <w:r>
        <w:rPr>
          <w:color w:val="B4B4B4"/>
          <w:sz w:val="20"/>
        </w:rPr>
        <w:t>(META_LAST_UPDATE)</w:t>
      </w:r>
    </w:p>
    <w:sdt>
      <w:sdtPr>
        <w:id w:val="863569957"/>
        <w:placeholder>
          <w:docPart w:val="DefaultPlaceholder_-1854013437"/>
        </w:placeholder>
        <w:date w:fullDate="2023-12-15T00:00:00Z">
          <w:dateFormat w:val="yyyy-MM-dd"/>
          <w:lid w:val="en-US"/>
          <w:storeMappedDataAs w:val="dateTime"/>
          <w:calendar w:val="gregorian"/>
        </w:date>
      </w:sdtPr>
      <w:sdtEndPr/>
      <w:sdtContent>
        <w:p w14:paraId="64D2EAF1" w14:textId="3CFC891F" w:rsidR="00D24330" w:rsidRPr="00A96255" w:rsidRDefault="006E648C" w:rsidP="00D24330">
          <w:pPr>
            <w:pStyle w:val="MGTHeader"/>
          </w:pPr>
          <w:r>
            <w:rPr>
              <w:lang w:val="en-US"/>
            </w:rPr>
            <w:t>2023-12-15</w:t>
          </w:r>
        </w:p>
      </w:sdtContent>
    </w:sdt>
    <w:p w14:paraId="0A8C09E1" w14:textId="77777777" w:rsidR="00D24330" w:rsidRPr="00A96255" w:rsidRDefault="00D24330" w:rsidP="00D24330">
      <w:pPr>
        <w:pStyle w:val="MIndHeader"/>
      </w:pPr>
      <w:r w:rsidRPr="00A96255">
        <w:t xml:space="preserve">0.f. Related indicators </w:t>
      </w:r>
      <w:r>
        <w:rPr>
          <w:color w:val="B4B4B4"/>
          <w:sz w:val="20"/>
        </w:rPr>
        <w:t>(SDG_RELATED_INDICATORS)</w:t>
      </w:r>
    </w:p>
    <w:p w14:paraId="3963A68D" w14:textId="77777777" w:rsidR="009B7E69" w:rsidRDefault="00D03C5A" w:rsidP="00D87235">
      <w:pPr>
        <w:pStyle w:val="MGTHeader"/>
      </w:pPr>
      <w:r>
        <w:t>8.3.1, 11.3.2</w:t>
      </w:r>
    </w:p>
    <w:p w14:paraId="74EBA4EF"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F236375" w14:textId="6A0B7781" w:rsidR="00505B2B" w:rsidRPr="00505B2B" w:rsidRDefault="00505B2B" w:rsidP="00D87235">
      <w:pPr>
        <w:pStyle w:val="MGTHeader"/>
      </w:pPr>
      <w:r w:rsidRPr="00505B2B">
        <w:t>UNESCO Institute for Statistics</w:t>
      </w:r>
      <w:r w:rsidR="00D4167F" w:rsidRPr="004E2E7B">
        <w:rPr>
          <w:rFonts w:cstheme="minorHAnsi"/>
        </w:rPr>
        <w:t xml:space="preserve"> (</w:t>
      </w:r>
      <w:r w:rsidR="00D4167F" w:rsidRPr="008E6FBC">
        <w:rPr>
          <w:rFonts w:cstheme="minorHAnsi"/>
        </w:rPr>
        <w:t>UIS</w:t>
      </w:r>
      <w:r w:rsidR="00D4167F" w:rsidRPr="004E2E7B">
        <w:rPr>
          <w:rFonts w:cstheme="minorHAnsi"/>
        </w:rPr>
        <w:t>)</w:t>
      </w:r>
    </w:p>
    <w:p w14:paraId="5BAB3214"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51AD1A68" w14:textId="77777777"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78DAEC42" w14:textId="77777777" w:rsidR="00576CFA" w:rsidRPr="00A96255" w:rsidRDefault="00576CFA" w:rsidP="00F719A8">
      <w:pPr>
        <w:pStyle w:val="MHeader2"/>
      </w:pPr>
      <w:r w:rsidRPr="00A96255">
        <w:t xml:space="preserve">1.a. Organisation </w:t>
      </w:r>
      <w:r>
        <w:rPr>
          <w:color w:val="B4B4B4"/>
          <w:sz w:val="20"/>
        </w:rPr>
        <w:t>(CONTACT_ORGANISATION)</w:t>
      </w:r>
    </w:p>
    <w:p w14:paraId="6DF1D22F" w14:textId="6655A94E" w:rsidR="00F719A8" w:rsidRPr="007D301D" w:rsidRDefault="00D4167F" w:rsidP="007D301D">
      <w:pPr>
        <w:pStyle w:val="MText"/>
      </w:pPr>
      <w:r w:rsidRPr="007D301D">
        <w:t>UNESCO Institute for Statistics</w:t>
      </w:r>
      <w:r w:rsidRPr="004E2E7B">
        <w:rPr>
          <w:rFonts w:cstheme="minorHAnsi"/>
        </w:rPr>
        <w:t xml:space="preserve"> (</w:t>
      </w:r>
      <w:r w:rsidRPr="008E6FBC">
        <w:rPr>
          <w:rFonts w:cstheme="minorHAnsi"/>
        </w:rPr>
        <w:t>UIS</w:t>
      </w:r>
      <w:r w:rsidRPr="004E2E7B">
        <w:rPr>
          <w:rFonts w:cstheme="minorHAnsi"/>
        </w:rPr>
        <w:t>)</w:t>
      </w:r>
    </w:p>
    <w:p w14:paraId="7119587F" w14:textId="77777777" w:rsidR="00E465DD" w:rsidRDefault="00E465DD" w:rsidP="00576CFA">
      <w:pPr>
        <w:pStyle w:val="MText"/>
      </w:pPr>
    </w:p>
    <w:p w14:paraId="7464FC71"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61356213" w14:textId="77777777" w:rsidR="008B0AC7" w:rsidRPr="00A96255" w:rsidRDefault="008B0AC7" w:rsidP="00F719A8">
      <w:pPr>
        <w:pStyle w:val="MHeader2"/>
      </w:pPr>
      <w:r w:rsidRPr="00A96255">
        <w:t xml:space="preserve">2.a. Definition and concepts </w:t>
      </w:r>
      <w:r>
        <w:rPr>
          <w:color w:val="B4B4B4"/>
          <w:sz w:val="20"/>
        </w:rPr>
        <w:t>(STAT_CONC_DEF)</w:t>
      </w:r>
    </w:p>
    <w:p w14:paraId="580069D0" w14:textId="77777777" w:rsidR="00505B2B" w:rsidRDefault="00505B2B" w:rsidP="767A93C0">
      <w:pPr>
        <w:shd w:val="clear" w:color="auto" w:fill="FFFFFF" w:themeFill="background1"/>
        <w:spacing w:after="0"/>
        <w:jc w:val="both"/>
        <w:rPr>
          <w:rFonts w:ascii="Calibri" w:eastAsia="SimSun" w:hAnsi="Calibri" w:cs="Calibri"/>
          <w:color w:val="4A4A4A"/>
          <w:sz w:val="21"/>
          <w:szCs w:val="21"/>
        </w:rPr>
      </w:pPr>
      <w:r w:rsidRPr="767A93C0">
        <w:rPr>
          <w:rFonts w:ascii="Calibri" w:eastAsia="Times New Roman" w:hAnsi="Calibri" w:cs="Calibri"/>
          <w:b/>
          <w:bCs/>
          <w:color w:val="4A4A4A"/>
          <w:sz w:val="21"/>
          <w:szCs w:val="21"/>
          <w:lang w:eastAsia="en-GB"/>
        </w:rPr>
        <w:lastRenderedPageBreak/>
        <w:t>Definition</w:t>
      </w:r>
      <w:r>
        <w:br/>
      </w:r>
      <w:r w:rsidRPr="767A93C0">
        <w:rPr>
          <w:rFonts w:ascii="Calibri" w:eastAsia="SimSun" w:hAnsi="Calibri" w:cs="Calibri"/>
          <w:color w:val="4A4A4A"/>
          <w:sz w:val="21"/>
          <w:szCs w:val="21"/>
        </w:rPr>
        <w:t xml:space="preserve">Total funding from government (central, regional, local), private sources (household, corporate &amp; sponsorship and international sources) in the preservation, protection and conservation of cultural and/or natural heritage for a given year per capita. The results should be express in Purchasing Power Parities (PPP) in constant $. </w:t>
      </w:r>
    </w:p>
    <w:p w14:paraId="22E83485" w14:textId="77777777" w:rsidR="00033901" w:rsidRDefault="00033901" w:rsidP="767A93C0">
      <w:pPr>
        <w:shd w:val="clear" w:color="auto" w:fill="FFFFFF" w:themeFill="background1"/>
        <w:spacing w:after="0"/>
        <w:jc w:val="both"/>
        <w:rPr>
          <w:rFonts w:ascii="Calibri" w:eastAsia="SimSun" w:hAnsi="Calibri" w:cs="Calibri"/>
          <w:color w:val="4A4A4A"/>
          <w:sz w:val="21"/>
          <w:szCs w:val="21"/>
        </w:rPr>
      </w:pPr>
    </w:p>
    <w:p w14:paraId="413391A2" w14:textId="77777777" w:rsidR="00033901" w:rsidRPr="00505B2B" w:rsidRDefault="00033901" w:rsidP="767A93C0">
      <w:pPr>
        <w:shd w:val="clear" w:color="auto" w:fill="FFFFFF" w:themeFill="background1"/>
        <w:spacing w:after="0"/>
        <w:jc w:val="both"/>
        <w:rPr>
          <w:rFonts w:ascii="Calibri" w:eastAsia="SimSun" w:hAnsi="Calibri" w:cs="Calibri"/>
          <w:color w:val="4A4A4A"/>
          <w:sz w:val="21"/>
          <w:szCs w:val="21"/>
        </w:rPr>
      </w:pPr>
      <w:r w:rsidRPr="00033901">
        <w:rPr>
          <w:rFonts w:ascii="Calibri" w:eastAsia="SimSun" w:hAnsi="Calibri" w:cs="Calibri"/>
          <w:color w:val="4A4A4A"/>
          <w:sz w:val="21"/>
          <w:szCs w:val="21"/>
        </w:rPr>
        <w:t>Purchasing Power Parities (PPPs) are the rates of currency conversion that try to equalise the purchasing power of different currencies, by eliminating the differences in price levels between countries. The basket of goods and services priced is a sample of all those that are part of final expenditures: final consumption of households and government, fixed capital formation, and net exports. This indicator is measured in terms of national currency per USD dollar. (OECD)</w:t>
      </w:r>
    </w:p>
    <w:p w14:paraId="7266B9FB" w14:textId="77777777" w:rsidR="00505B2B" w:rsidRPr="00D87235" w:rsidRDefault="00505B2B" w:rsidP="00505B2B">
      <w:pPr>
        <w:spacing w:after="0" w:line="240" w:lineRule="auto"/>
        <w:rPr>
          <w:rFonts w:ascii="Calibri" w:eastAsia="SimSun" w:hAnsi="Calibri" w:cs="Arial"/>
          <w:b/>
          <w:color w:val="4A4A4A"/>
          <w:sz w:val="21"/>
        </w:rPr>
      </w:pPr>
    </w:p>
    <w:p w14:paraId="69F9D2FC" w14:textId="77777777" w:rsidR="00505B2B" w:rsidRPr="00D87235" w:rsidRDefault="00505B2B" w:rsidP="00505B2B">
      <w:pPr>
        <w:spacing w:after="0" w:line="240" w:lineRule="auto"/>
        <w:rPr>
          <w:rFonts w:ascii="Calibri" w:eastAsia="Times New Roman" w:hAnsi="Calibri" w:cs="Calibri"/>
          <w:b/>
          <w:bCs/>
          <w:color w:val="4A4A4A"/>
          <w:sz w:val="21"/>
          <w:szCs w:val="21"/>
          <w:lang w:eastAsia="en-GB"/>
        </w:rPr>
      </w:pPr>
      <w:r w:rsidRPr="00D87235">
        <w:rPr>
          <w:rFonts w:ascii="Calibri" w:eastAsia="Times New Roman" w:hAnsi="Calibri" w:cs="Calibri"/>
          <w:b/>
          <w:bCs/>
          <w:color w:val="4A4A4A"/>
          <w:sz w:val="21"/>
          <w:szCs w:val="21"/>
          <w:lang w:eastAsia="en-GB"/>
        </w:rPr>
        <w:t>Concepts</w:t>
      </w:r>
    </w:p>
    <w:p w14:paraId="301FF0AE" w14:textId="77777777" w:rsidR="00505B2B" w:rsidRPr="00D87235" w:rsidRDefault="00505B2B" w:rsidP="00505B2B">
      <w:pPr>
        <w:spacing w:after="120" w:line="240" w:lineRule="auto"/>
        <w:jc w:val="both"/>
        <w:rPr>
          <w:rFonts w:ascii="Calibri" w:eastAsia="SimSun" w:hAnsi="Calibri" w:cs="Calibri"/>
          <w:color w:val="4A4A4A"/>
          <w:sz w:val="21"/>
          <w:szCs w:val="21"/>
        </w:rPr>
      </w:pPr>
      <w:r w:rsidRPr="00D87235">
        <w:rPr>
          <w:rFonts w:ascii="Calibri" w:eastAsia="SimSun" w:hAnsi="Calibri" w:cs="Calibri"/>
          <w:b/>
          <w:bCs/>
          <w:color w:val="4A4A4A"/>
          <w:sz w:val="21"/>
          <w:szCs w:val="21"/>
        </w:rPr>
        <w:t>Cultural heritage:</w:t>
      </w:r>
      <w:r w:rsidRPr="00D87235">
        <w:rPr>
          <w:rFonts w:ascii="Calibri" w:eastAsia="SimSun" w:hAnsi="Calibri" w:cs="Calibri"/>
          <w:color w:val="4A4A4A"/>
          <w:sz w:val="21"/>
          <w:szCs w:val="21"/>
        </w:rPr>
        <w:t xml:space="preserve"> includes artefacts, monuments, a group of buildings and sites, museums that have a diversity of values including symbolic, historic, artistic, aesthetic, ethnological or anthropological, scientific and social significance. It includes tangible heritage (movable, immobile and underwater), intangible heritage (ICH) embedded into cultural, and natural heritage artefacts, sites or monuments. The definition excludes ICH related to other cultural domains such as festivals, celebration etc. It covers industrial heritage and cave paintings.</w:t>
      </w:r>
      <w:r w:rsidRPr="00D87235">
        <w:rPr>
          <w:rFonts w:ascii="Calibri" w:eastAsia="SimSun" w:hAnsi="Calibri" w:cs="Arial"/>
          <w:color w:val="4A4A4A"/>
        </w:rPr>
        <w:t xml:space="preserve"> </w:t>
      </w:r>
      <w:r w:rsidRPr="00D87235">
        <w:rPr>
          <w:rFonts w:ascii="Calibri" w:eastAsia="SimSun" w:hAnsi="Calibri" w:cs="Calibri"/>
          <w:color w:val="4A4A4A"/>
          <w:sz w:val="21"/>
          <w:szCs w:val="21"/>
        </w:rPr>
        <w:t>Mixed heritage that refer to sites containing elements of both natural and cultural significance are including in cultural heritage.</w:t>
      </w:r>
    </w:p>
    <w:p w14:paraId="54610299" w14:textId="77777777" w:rsidR="00505B2B" w:rsidRPr="00D87235" w:rsidRDefault="00505B2B" w:rsidP="00505B2B">
      <w:pPr>
        <w:spacing w:before="100" w:beforeAutospacing="1" w:after="120" w:line="240" w:lineRule="auto"/>
        <w:jc w:val="both"/>
        <w:rPr>
          <w:rFonts w:ascii="Calibri" w:eastAsia="SimSun" w:hAnsi="Calibri" w:cs="Calibri"/>
          <w:color w:val="4A4A4A"/>
          <w:sz w:val="21"/>
          <w:szCs w:val="21"/>
        </w:rPr>
      </w:pPr>
      <w:r w:rsidRPr="00D87235">
        <w:rPr>
          <w:rFonts w:ascii="Calibri" w:eastAsia="SimSun" w:hAnsi="Calibri" w:cs="Calibri"/>
          <w:b/>
          <w:bCs/>
          <w:color w:val="4A4A4A"/>
          <w:sz w:val="21"/>
          <w:szCs w:val="21"/>
        </w:rPr>
        <w:t>Natural heritage</w:t>
      </w:r>
      <w:r w:rsidRPr="00D87235">
        <w:rPr>
          <w:rFonts w:ascii="Calibri" w:eastAsia="SimSun" w:hAnsi="Calibri" w:cs="Calibri"/>
          <w:color w:val="4A4A4A"/>
          <w:sz w:val="21"/>
          <w:szCs w:val="21"/>
        </w:rPr>
        <w:t>: refers to natural features, geological and physiographical formations and delineated areas that constitute the habitat of threatened species of animals and plants and natural sites of value from the point of view of science, conservation or natural beauty. It includes private and publically protected natural areas, zoos, aquaria and botanical gardens, natural habitat, marine ecosystems, sanctuaries and reservoirs.</w:t>
      </w:r>
    </w:p>
    <w:p w14:paraId="28AD9B0C" w14:textId="77777777" w:rsidR="00505B2B" w:rsidRPr="00D87235" w:rsidRDefault="00505B2B" w:rsidP="00505B2B">
      <w:pPr>
        <w:spacing w:before="100" w:beforeAutospacing="1" w:after="120" w:line="240" w:lineRule="auto"/>
        <w:jc w:val="both"/>
        <w:rPr>
          <w:rFonts w:ascii="Calibri" w:eastAsia="SimSun" w:hAnsi="Calibri" w:cs="Calibri"/>
          <w:color w:val="4A4A4A"/>
          <w:sz w:val="21"/>
          <w:szCs w:val="21"/>
        </w:rPr>
      </w:pPr>
      <w:r w:rsidRPr="00D87235">
        <w:rPr>
          <w:rFonts w:ascii="Calibri" w:eastAsia="SimSun" w:hAnsi="Calibri" w:cs="Calibri"/>
          <w:b/>
          <w:bCs/>
          <w:color w:val="4A4A4A"/>
          <w:sz w:val="21"/>
          <w:szCs w:val="21"/>
        </w:rPr>
        <w:t>Conservation</w:t>
      </w:r>
      <w:r w:rsidRPr="00D87235">
        <w:rPr>
          <w:rFonts w:ascii="Calibri" w:eastAsia="SimSun" w:hAnsi="Calibri" w:cs="Calibri"/>
          <w:color w:val="4A4A4A"/>
          <w:sz w:val="21"/>
          <w:szCs w:val="21"/>
        </w:rPr>
        <w:t xml:space="preserve"> </w:t>
      </w:r>
      <w:r w:rsidRPr="00D87235">
        <w:rPr>
          <w:rFonts w:ascii="Calibri" w:eastAsia="SimSun" w:hAnsi="Calibri" w:cs="Calibri"/>
          <w:b/>
          <w:color w:val="4A4A4A"/>
          <w:sz w:val="21"/>
          <w:szCs w:val="21"/>
        </w:rPr>
        <w:t>of cultural heritage</w:t>
      </w:r>
      <w:r w:rsidRPr="00D87235">
        <w:rPr>
          <w:rFonts w:ascii="Calibri" w:eastAsia="SimSun" w:hAnsi="Calibri" w:cs="Calibri"/>
          <w:color w:val="4A4A4A"/>
          <w:sz w:val="21"/>
          <w:szCs w:val="21"/>
        </w:rPr>
        <w:t xml:space="preserve"> refers to the measures taken to extend the life of cultural heritage while strengthening transmission of its significant heritage messages and values. In the domain of cultural property, the aim of conservation is to maintain the physical and cultural characteristics of the object to ensure that its value is not diminished and that it will outlive our limited time span.</w:t>
      </w:r>
    </w:p>
    <w:p w14:paraId="2721F1AE" w14:textId="77777777" w:rsidR="00505B2B" w:rsidRPr="00D87235" w:rsidRDefault="00505B2B" w:rsidP="00505B2B">
      <w:pPr>
        <w:spacing w:before="100" w:beforeAutospacing="1" w:after="120" w:line="240" w:lineRule="auto"/>
        <w:jc w:val="both"/>
        <w:rPr>
          <w:rFonts w:ascii="Calibri" w:eastAsia="SimSun" w:hAnsi="Calibri" w:cs="Calibri"/>
          <w:color w:val="4A4A4A"/>
          <w:sz w:val="21"/>
          <w:szCs w:val="21"/>
        </w:rPr>
      </w:pPr>
      <w:r w:rsidRPr="00D87235">
        <w:rPr>
          <w:rFonts w:ascii="Calibri" w:eastAsia="SimSun" w:hAnsi="Calibri" w:cs="Calibri"/>
          <w:b/>
          <w:color w:val="4A4A4A"/>
          <w:sz w:val="21"/>
          <w:szCs w:val="21"/>
        </w:rPr>
        <w:t>Conservation of natural heritage</w:t>
      </w:r>
      <w:r w:rsidRPr="00D87235">
        <w:rPr>
          <w:rFonts w:ascii="Calibri" w:eastAsia="SimSun" w:hAnsi="Calibri" w:cs="Calibri"/>
          <w:color w:val="4A4A4A"/>
          <w:sz w:val="21"/>
          <w:szCs w:val="21"/>
        </w:rPr>
        <w:t xml:space="preserve"> refers to the protection, care, management and maintenance of ecosystems, habitats, wildlife species and populations, within or outside of their natural environments, in order to safeguard the natural conditions for their long-term permanence.</w:t>
      </w:r>
    </w:p>
    <w:p w14:paraId="5C415D47" w14:textId="77777777" w:rsidR="00505B2B" w:rsidRPr="00D87235" w:rsidRDefault="00505B2B" w:rsidP="00505B2B">
      <w:pPr>
        <w:spacing w:before="100" w:beforeAutospacing="1" w:after="120" w:line="240" w:lineRule="auto"/>
        <w:jc w:val="both"/>
        <w:rPr>
          <w:rFonts w:ascii="Calibri" w:eastAsia="SimSun" w:hAnsi="Calibri" w:cs="Calibri"/>
          <w:color w:val="4A4A4A"/>
          <w:sz w:val="21"/>
          <w:szCs w:val="21"/>
        </w:rPr>
      </w:pPr>
      <w:r w:rsidRPr="00D87235">
        <w:rPr>
          <w:rFonts w:ascii="Calibri" w:eastAsia="SimSun" w:hAnsi="Calibri" w:cs="Calibri"/>
          <w:bCs/>
          <w:color w:val="4A4A4A"/>
          <w:sz w:val="21"/>
          <w:szCs w:val="21"/>
        </w:rPr>
        <w:t>The aim of</w:t>
      </w:r>
      <w:r w:rsidRPr="00D87235">
        <w:rPr>
          <w:rFonts w:ascii="Calibri" w:eastAsia="SimSun" w:hAnsi="Calibri" w:cs="Calibri"/>
          <w:b/>
          <w:bCs/>
          <w:color w:val="4A4A4A"/>
          <w:sz w:val="21"/>
          <w:szCs w:val="21"/>
        </w:rPr>
        <w:t xml:space="preserve"> Preservation </w:t>
      </w:r>
      <w:r w:rsidRPr="00D87235">
        <w:rPr>
          <w:rFonts w:ascii="Calibri" w:eastAsia="SimSun" w:hAnsi="Calibri" w:cs="Calibri"/>
          <w:bCs/>
          <w:color w:val="4A4A4A"/>
          <w:sz w:val="21"/>
          <w:szCs w:val="21"/>
        </w:rPr>
        <w:t>is to obviate damage liable to be caused by environmental or accidental factors, which pose a threat in the immediate surroundings of the object to be conserved. Accordingly, preventive methods and measures are not usually applied directly but are designed to control the microclimatic conditions of the environment with the aim of eradicating harmful agents or elements, which may have a temporary or permanent influence on the deterioration of the object</w:t>
      </w:r>
      <w:r w:rsidRPr="00D87235">
        <w:rPr>
          <w:rFonts w:ascii="Calibri" w:eastAsia="SimSun" w:hAnsi="Calibri" w:cs="Calibri"/>
          <w:color w:val="4A4A4A"/>
          <w:sz w:val="21"/>
          <w:szCs w:val="21"/>
        </w:rPr>
        <w:t>.</w:t>
      </w:r>
    </w:p>
    <w:p w14:paraId="52A4480E" w14:textId="77777777" w:rsidR="00505B2B" w:rsidRPr="00D87235" w:rsidRDefault="00505B2B" w:rsidP="00505B2B">
      <w:pPr>
        <w:spacing w:before="100" w:beforeAutospacing="1" w:after="120" w:line="240" w:lineRule="auto"/>
        <w:jc w:val="both"/>
        <w:rPr>
          <w:rFonts w:ascii="Calibri" w:eastAsia="SimSun" w:hAnsi="Calibri" w:cs="Calibri"/>
          <w:color w:val="4A4A4A"/>
          <w:sz w:val="21"/>
          <w:szCs w:val="21"/>
        </w:rPr>
      </w:pPr>
      <w:r w:rsidRPr="00D87235">
        <w:rPr>
          <w:rFonts w:ascii="Calibri" w:eastAsia="SimSun" w:hAnsi="Calibri" w:cs="Calibri"/>
          <w:b/>
          <w:bCs/>
          <w:color w:val="4A4A4A"/>
          <w:sz w:val="21"/>
          <w:szCs w:val="21"/>
        </w:rPr>
        <w:t>Protection</w:t>
      </w:r>
      <w:r w:rsidRPr="00D87235">
        <w:rPr>
          <w:rFonts w:ascii="Calibri" w:eastAsia="SimSun" w:hAnsi="Calibri" w:cs="Calibri"/>
          <w:color w:val="4A4A4A"/>
          <w:sz w:val="21"/>
          <w:szCs w:val="21"/>
        </w:rPr>
        <w:t>: is the act or process of applying measures designed to affect the physical condition of a property by defending or guarding it from deterioration, loss or attack, or to cover or shield the property from danger or injury. In the case of buildings and structures, such treatment is generally of a temporary nature and anticipates future historic preservation treatment; in the case of archaeological sites, the protective measure may be temporary or permanent.</w:t>
      </w:r>
    </w:p>
    <w:p w14:paraId="036D2412" w14:textId="77777777" w:rsidR="00505B2B" w:rsidRPr="00D87235" w:rsidRDefault="00505B2B" w:rsidP="00505B2B">
      <w:pPr>
        <w:spacing w:before="100" w:beforeAutospacing="1" w:after="100" w:afterAutospacing="1" w:line="240" w:lineRule="auto"/>
        <w:jc w:val="both"/>
        <w:rPr>
          <w:rFonts w:ascii="Calibri" w:eastAsia="SimSun" w:hAnsi="Calibri" w:cs="Calibri"/>
          <w:color w:val="4A4A4A"/>
          <w:sz w:val="21"/>
          <w:szCs w:val="21"/>
        </w:rPr>
      </w:pPr>
      <w:r w:rsidRPr="00D87235">
        <w:rPr>
          <w:rFonts w:ascii="Calibri" w:eastAsia="SimSun" w:hAnsi="Calibri" w:cs="Calibri"/>
          <w:b/>
          <w:bCs/>
          <w:color w:val="4A4A4A"/>
          <w:sz w:val="21"/>
          <w:szCs w:val="21"/>
        </w:rPr>
        <w:t>Public expenditure</w:t>
      </w:r>
      <w:r w:rsidRPr="00D87235">
        <w:rPr>
          <w:rFonts w:ascii="Calibri" w:eastAsia="SimSun" w:hAnsi="Calibri" w:cs="Calibri"/>
          <w:color w:val="4A4A4A"/>
          <w:sz w:val="21"/>
          <w:szCs w:val="21"/>
        </w:rPr>
        <w:t xml:space="preserve"> refers to spending on heritage incurred by public funds.  Public funds are state, regional and local government bodies (Adapted from OECD glossary). Expenditure that is not directly related to cultural and natural heritage is, in principle, not included. Public expenditure in the preservation, </w:t>
      </w:r>
      <w:r w:rsidRPr="00D87235">
        <w:rPr>
          <w:rFonts w:ascii="Calibri" w:eastAsia="SimSun" w:hAnsi="Calibri" w:cs="Calibri"/>
          <w:color w:val="4A4A4A"/>
          <w:sz w:val="21"/>
          <w:szCs w:val="21"/>
        </w:rPr>
        <w:lastRenderedPageBreak/>
        <w:t>protection and conservation of national cultural and/or natural heritage covers direct expenditure (including subsides), transfers and indirect public expenditures including tax incentives.</w:t>
      </w:r>
    </w:p>
    <w:p w14:paraId="0D0D77FF" w14:textId="77777777" w:rsidR="00505B2B" w:rsidRPr="00D87235" w:rsidRDefault="00505B2B" w:rsidP="00505B2B">
      <w:pPr>
        <w:autoSpaceDE w:val="0"/>
        <w:autoSpaceDN w:val="0"/>
        <w:adjustRightInd w:val="0"/>
        <w:spacing w:after="0" w:line="240" w:lineRule="auto"/>
        <w:jc w:val="both"/>
        <w:rPr>
          <w:rFonts w:ascii="Calibri" w:eastAsia="SimSun" w:hAnsi="Calibri" w:cs="Calibri"/>
          <w:bCs/>
          <w:color w:val="4A4A4A"/>
          <w:sz w:val="21"/>
          <w:szCs w:val="21"/>
        </w:rPr>
      </w:pPr>
      <w:r w:rsidRPr="00D87235">
        <w:rPr>
          <w:rFonts w:ascii="Calibri" w:eastAsia="SimSun" w:hAnsi="Calibri" w:cs="Calibri"/>
          <w:b/>
          <w:bCs/>
          <w:color w:val="4A4A4A"/>
          <w:sz w:val="21"/>
          <w:szCs w:val="21"/>
        </w:rPr>
        <w:t>Direct public expenditure</w:t>
      </w:r>
      <w:r w:rsidRPr="00D87235">
        <w:rPr>
          <w:rFonts w:ascii="Calibri" w:eastAsia="SimSun" w:hAnsi="Calibri" w:cs="Calibri"/>
          <w:bCs/>
          <w:color w:val="4A4A4A"/>
          <w:sz w:val="21"/>
          <w:szCs w:val="21"/>
        </w:rPr>
        <w:t xml:space="preserve"> includes subsidies, grants and awards. Direct expenditure comprises generally spent on personnel, goods and services, capital investment and other heritage activities. </w:t>
      </w:r>
    </w:p>
    <w:p w14:paraId="58C1209E" w14:textId="77777777" w:rsidR="00505B2B" w:rsidRPr="00D87235" w:rsidRDefault="00505B2B" w:rsidP="00505B2B">
      <w:pPr>
        <w:autoSpaceDE w:val="0"/>
        <w:autoSpaceDN w:val="0"/>
        <w:adjustRightInd w:val="0"/>
        <w:spacing w:after="0" w:line="240" w:lineRule="auto"/>
        <w:jc w:val="both"/>
        <w:rPr>
          <w:rFonts w:ascii="Calibri" w:eastAsia="SimSun" w:hAnsi="Calibri" w:cs="Calibri"/>
          <w:bCs/>
          <w:color w:val="4A4A4A"/>
          <w:sz w:val="21"/>
          <w:szCs w:val="21"/>
        </w:rPr>
      </w:pPr>
    </w:p>
    <w:p w14:paraId="040D22F8" w14:textId="77777777" w:rsidR="00505B2B" w:rsidRPr="00D87235" w:rsidRDefault="00505B2B" w:rsidP="00505B2B">
      <w:pPr>
        <w:autoSpaceDE w:val="0"/>
        <w:autoSpaceDN w:val="0"/>
        <w:adjustRightInd w:val="0"/>
        <w:spacing w:after="0" w:line="240" w:lineRule="auto"/>
        <w:jc w:val="both"/>
        <w:rPr>
          <w:rFonts w:ascii="Calibri" w:eastAsia="SimSun" w:hAnsi="Calibri" w:cs="Calibri"/>
          <w:bCs/>
          <w:color w:val="4A4A4A"/>
          <w:sz w:val="21"/>
          <w:szCs w:val="21"/>
        </w:rPr>
      </w:pPr>
      <w:r w:rsidRPr="00D87235">
        <w:rPr>
          <w:rFonts w:ascii="Calibri" w:eastAsia="SimSun" w:hAnsi="Calibri" w:cs="Calibri"/>
          <w:b/>
          <w:bCs/>
          <w:color w:val="4A4A4A"/>
          <w:sz w:val="21"/>
          <w:szCs w:val="21"/>
        </w:rPr>
        <w:t xml:space="preserve">A Transfer </w:t>
      </w:r>
      <w:r w:rsidRPr="00D87235">
        <w:rPr>
          <w:rFonts w:ascii="Calibri" w:eastAsia="SimSun" w:hAnsi="Calibri" w:cs="Calibri"/>
          <w:bCs/>
          <w:color w:val="4A4A4A"/>
          <w:sz w:val="21"/>
          <w:szCs w:val="21"/>
        </w:rPr>
        <w:t xml:space="preserve">is a transaction in which one institutional unit provides a good, service, or asset to another unit without receiving from the latter any good, service, or asset in return as a direct counterpart (IMF, 2014). </w:t>
      </w:r>
    </w:p>
    <w:p w14:paraId="07034835" w14:textId="77777777" w:rsidR="00505B2B" w:rsidRPr="00D87235" w:rsidRDefault="00505B2B" w:rsidP="00505B2B">
      <w:pPr>
        <w:autoSpaceDE w:val="0"/>
        <w:autoSpaceDN w:val="0"/>
        <w:adjustRightInd w:val="0"/>
        <w:spacing w:after="0" w:line="240" w:lineRule="auto"/>
        <w:jc w:val="both"/>
        <w:rPr>
          <w:rFonts w:ascii="Calibri" w:eastAsia="SimSun" w:hAnsi="Calibri" w:cs="Calibri"/>
          <w:bCs/>
          <w:color w:val="4A4A4A"/>
          <w:sz w:val="21"/>
          <w:szCs w:val="21"/>
        </w:rPr>
      </w:pPr>
    </w:p>
    <w:p w14:paraId="23F5D101" w14:textId="77777777" w:rsidR="00505B2B" w:rsidRPr="00D87235" w:rsidRDefault="00505B2B" w:rsidP="00505B2B">
      <w:pPr>
        <w:autoSpaceDE w:val="0"/>
        <w:autoSpaceDN w:val="0"/>
        <w:adjustRightInd w:val="0"/>
        <w:spacing w:after="0" w:line="240" w:lineRule="auto"/>
        <w:jc w:val="both"/>
        <w:rPr>
          <w:rFonts w:ascii="Calibri" w:eastAsia="SimSun" w:hAnsi="Calibri" w:cs="Calibri"/>
          <w:bCs/>
          <w:color w:val="4A4A4A"/>
          <w:sz w:val="21"/>
          <w:szCs w:val="21"/>
        </w:rPr>
      </w:pPr>
      <w:r w:rsidRPr="00D87235">
        <w:rPr>
          <w:rFonts w:ascii="Calibri" w:eastAsia="SimSun" w:hAnsi="Calibri" w:cs="Calibri"/>
          <w:b/>
          <w:bCs/>
          <w:color w:val="4A4A4A"/>
          <w:sz w:val="21"/>
          <w:szCs w:val="21"/>
        </w:rPr>
        <w:t xml:space="preserve">Net Intergovernmental transfers </w:t>
      </w:r>
      <w:r w:rsidRPr="00D87235">
        <w:rPr>
          <w:rFonts w:ascii="Calibri" w:eastAsia="SimSun" w:hAnsi="Calibri" w:cs="Calibri"/>
          <w:bCs/>
          <w:color w:val="4A4A4A"/>
          <w:sz w:val="21"/>
          <w:szCs w:val="21"/>
        </w:rPr>
        <w:t>are net transfers of funds designated for heritage activities from one level of government to another.</w:t>
      </w:r>
    </w:p>
    <w:p w14:paraId="285FCC3C" w14:textId="77777777" w:rsidR="00505B2B" w:rsidRPr="00D87235" w:rsidRDefault="00505B2B" w:rsidP="00505B2B">
      <w:pPr>
        <w:autoSpaceDE w:val="0"/>
        <w:autoSpaceDN w:val="0"/>
        <w:adjustRightInd w:val="0"/>
        <w:spacing w:after="0" w:line="240" w:lineRule="auto"/>
        <w:jc w:val="both"/>
        <w:rPr>
          <w:rFonts w:ascii="Calibri" w:eastAsia="SimSun" w:hAnsi="Calibri" w:cs="Calibri"/>
          <w:b/>
          <w:bCs/>
          <w:color w:val="4A4A4A"/>
          <w:sz w:val="21"/>
          <w:szCs w:val="21"/>
        </w:rPr>
      </w:pPr>
    </w:p>
    <w:p w14:paraId="7E2AEE76" w14:textId="77777777" w:rsidR="00505B2B" w:rsidRPr="00D87235" w:rsidRDefault="00505B2B" w:rsidP="00505B2B">
      <w:pPr>
        <w:autoSpaceDE w:val="0"/>
        <w:autoSpaceDN w:val="0"/>
        <w:adjustRightInd w:val="0"/>
        <w:spacing w:after="0" w:line="240" w:lineRule="auto"/>
        <w:jc w:val="both"/>
        <w:rPr>
          <w:rFonts w:ascii="Calibri" w:eastAsia="SimSun" w:hAnsi="Calibri" w:cs="Calibri"/>
          <w:b/>
          <w:bCs/>
          <w:color w:val="4A4A4A"/>
          <w:sz w:val="21"/>
          <w:szCs w:val="21"/>
        </w:rPr>
      </w:pPr>
      <w:r w:rsidRPr="00D87235">
        <w:rPr>
          <w:rFonts w:ascii="Calibri" w:eastAsia="SimSun" w:hAnsi="Calibri" w:cs="Calibri"/>
          <w:b/>
          <w:bCs/>
          <w:color w:val="4A4A4A"/>
          <w:sz w:val="21"/>
          <w:szCs w:val="21"/>
        </w:rPr>
        <w:t>Indirect public expenditures</w:t>
      </w:r>
      <w:r w:rsidRPr="00D87235">
        <w:rPr>
          <w:rFonts w:ascii="Calibri" w:eastAsia="SimSun" w:hAnsi="Calibri" w:cs="Calibri"/>
          <w:bCs/>
          <w:color w:val="4A4A4A"/>
          <w:sz w:val="21"/>
          <w:szCs w:val="21"/>
        </w:rPr>
        <w:t xml:space="preserve"> include tax incentives– reduction of taxable income that arises due to several of heritage expenses incurred by a taxpayer</w:t>
      </w:r>
      <w:r w:rsidRPr="00D87235">
        <w:rPr>
          <w:rFonts w:ascii="Calibri" w:eastAsia="SimSun" w:hAnsi="Calibri" w:cs="Calibri"/>
          <w:b/>
          <w:bCs/>
          <w:color w:val="4A4A4A"/>
          <w:sz w:val="21"/>
          <w:szCs w:val="21"/>
        </w:rPr>
        <w:t>.</w:t>
      </w:r>
    </w:p>
    <w:p w14:paraId="500B2ECF" w14:textId="77777777" w:rsidR="00505B2B" w:rsidRPr="00D87235" w:rsidRDefault="00505B2B" w:rsidP="00505B2B">
      <w:pPr>
        <w:autoSpaceDE w:val="0"/>
        <w:autoSpaceDN w:val="0"/>
        <w:adjustRightInd w:val="0"/>
        <w:spacing w:after="0" w:line="240" w:lineRule="auto"/>
        <w:rPr>
          <w:rFonts w:ascii="Calibri" w:eastAsia="SimSun" w:hAnsi="Calibri" w:cs="Calibri"/>
          <w:b/>
          <w:bCs/>
          <w:color w:val="4A4A4A"/>
          <w:sz w:val="21"/>
          <w:szCs w:val="21"/>
        </w:rPr>
      </w:pPr>
    </w:p>
    <w:p w14:paraId="580FA479" w14:textId="77777777" w:rsidR="00505B2B" w:rsidRPr="00D87235" w:rsidRDefault="00505B2B" w:rsidP="00505B2B">
      <w:pPr>
        <w:autoSpaceDE w:val="0"/>
        <w:autoSpaceDN w:val="0"/>
        <w:adjustRightInd w:val="0"/>
        <w:spacing w:after="0" w:line="240" w:lineRule="auto"/>
        <w:jc w:val="both"/>
        <w:rPr>
          <w:rFonts w:ascii="Calibri" w:eastAsia="SimSun" w:hAnsi="Calibri" w:cs="Calibri"/>
          <w:bCs/>
          <w:color w:val="4A4A4A"/>
          <w:sz w:val="21"/>
          <w:szCs w:val="21"/>
        </w:rPr>
      </w:pPr>
      <w:r w:rsidRPr="00D87235">
        <w:rPr>
          <w:rFonts w:ascii="Calibri" w:eastAsia="SimSun" w:hAnsi="Calibri" w:cs="Calibri"/>
          <w:b/>
          <w:bCs/>
          <w:color w:val="4A4A4A"/>
          <w:sz w:val="21"/>
          <w:szCs w:val="21"/>
        </w:rPr>
        <w:t xml:space="preserve">National/Federal level </w:t>
      </w:r>
      <w:r w:rsidRPr="00D87235">
        <w:rPr>
          <w:rFonts w:ascii="Calibri" w:eastAsia="SimSun" w:hAnsi="Calibri" w:cs="Calibri"/>
          <w:bCs/>
          <w:color w:val="4A4A4A"/>
          <w:sz w:val="21"/>
          <w:szCs w:val="21"/>
        </w:rPr>
        <w:t>consists of the institutional units of central government and non-market institutions controlled by central government. Central government expends their authority over the entire territory of country. It is responsible for providing heritage services for the benefit of the community as a whole, but also it may make transfers to other institutional units, as well levels of government.</w:t>
      </w:r>
    </w:p>
    <w:p w14:paraId="6B2597A9" w14:textId="77777777" w:rsidR="00505B2B" w:rsidRPr="00D87235" w:rsidRDefault="00505B2B" w:rsidP="00505B2B">
      <w:pPr>
        <w:autoSpaceDE w:val="0"/>
        <w:autoSpaceDN w:val="0"/>
        <w:adjustRightInd w:val="0"/>
        <w:spacing w:after="0" w:line="240" w:lineRule="auto"/>
        <w:rPr>
          <w:rFonts w:ascii="Calibri" w:eastAsia="SimSun" w:hAnsi="Calibri" w:cs="Calibri"/>
          <w:b/>
          <w:bCs/>
          <w:color w:val="4A4A4A"/>
          <w:sz w:val="21"/>
          <w:szCs w:val="21"/>
        </w:rPr>
      </w:pPr>
    </w:p>
    <w:p w14:paraId="1C382934" w14:textId="77777777" w:rsidR="00505B2B" w:rsidRPr="00D87235" w:rsidRDefault="00505B2B" w:rsidP="00505B2B">
      <w:pPr>
        <w:autoSpaceDE w:val="0"/>
        <w:autoSpaceDN w:val="0"/>
        <w:adjustRightInd w:val="0"/>
        <w:spacing w:after="0" w:line="240" w:lineRule="auto"/>
        <w:jc w:val="both"/>
        <w:rPr>
          <w:rFonts w:ascii="Calibri" w:eastAsia="SimSun" w:hAnsi="Calibri" w:cs="Calibri"/>
          <w:bCs/>
          <w:color w:val="4A4A4A"/>
          <w:sz w:val="21"/>
          <w:szCs w:val="21"/>
        </w:rPr>
      </w:pPr>
      <w:r w:rsidRPr="00D87235">
        <w:rPr>
          <w:rFonts w:ascii="Calibri" w:eastAsia="SimSun" w:hAnsi="Calibri" w:cs="Calibri"/>
          <w:b/>
          <w:bCs/>
          <w:color w:val="4A4A4A"/>
          <w:sz w:val="21"/>
          <w:szCs w:val="21"/>
        </w:rPr>
        <w:t xml:space="preserve">Regional/State/Provincial level </w:t>
      </w:r>
      <w:r w:rsidRPr="00D87235">
        <w:rPr>
          <w:rFonts w:ascii="Calibri" w:eastAsia="SimSun" w:hAnsi="Calibri" w:cs="Calibri"/>
          <w:bCs/>
          <w:color w:val="4A4A4A"/>
          <w:sz w:val="21"/>
          <w:szCs w:val="21"/>
        </w:rPr>
        <w:t>is a subdivision of government, which shares political, fiscal and economic power with central government. In federal government, regional level is represented by state government. In unitary states, regional government is known as a provincial government. This level of government consists of institutional units, which have some of the functions of government at a level below of that of central government and above the local level. A regional government usually has the fiscal authority to raise taxes within its territory and has the ability to spend at least some of its income according to its own policies, and appoint or elect its own officers.</w:t>
      </w:r>
    </w:p>
    <w:p w14:paraId="31917EA4" w14:textId="77777777" w:rsidR="00505B2B" w:rsidRPr="00D87235" w:rsidRDefault="00505B2B" w:rsidP="00505B2B">
      <w:pPr>
        <w:autoSpaceDE w:val="0"/>
        <w:autoSpaceDN w:val="0"/>
        <w:adjustRightInd w:val="0"/>
        <w:spacing w:after="0" w:line="240" w:lineRule="auto"/>
        <w:jc w:val="both"/>
        <w:rPr>
          <w:rFonts w:ascii="Calibri" w:eastAsia="SimSun" w:hAnsi="Calibri" w:cs="Calibri"/>
          <w:bCs/>
          <w:color w:val="4A4A4A"/>
          <w:sz w:val="21"/>
          <w:szCs w:val="21"/>
        </w:rPr>
      </w:pPr>
    </w:p>
    <w:p w14:paraId="35B42FBF" w14:textId="77777777" w:rsidR="00505B2B" w:rsidRPr="00D87235" w:rsidRDefault="00505B2B" w:rsidP="00505B2B">
      <w:pPr>
        <w:autoSpaceDE w:val="0"/>
        <w:autoSpaceDN w:val="0"/>
        <w:adjustRightInd w:val="0"/>
        <w:spacing w:after="0" w:line="240" w:lineRule="auto"/>
        <w:rPr>
          <w:rFonts w:ascii="Calibri" w:eastAsia="SimSun" w:hAnsi="Calibri" w:cs="Calibri"/>
          <w:bCs/>
          <w:color w:val="4A4A4A"/>
          <w:sz w:val="21"/>
          <w:szCs w:val="21"/>
        </w:rPr>
      </w:pPr>
      <w:r w:rsidRPr="00D87235">
        <w:rPr>
          <w:rFonts w:ascii="Calibri" w:eastAsia="SimSun" w:hAnsi="Calibri" w:cs="Calibri"/>
          <w:bCs/>
          <w:color w:val="4A4A4A"/>
          <w:sz w:val="21"/>
          <w:szCs w:val="21"/>
        </w:rPr>
        <w:t>If a regional unit is fully dependent on funds from the central government and a central government determines those funds, expenditures on regional level should be treated as a part of central government for statistical purposes.</w:t>
      </w:r>
    </w:p>
    <w:p w14:paraId="5C9887E1" w14:textId="77777777" w:rsidR="00505B2B" w:rsidRPr="00D87235" w:rsidRDefault="00505B2B" w:rsidP="00505B2B">
      <w:pPr>
        <w:autoSpaceDE w:val="0"/>
        <w:autoSpaceDN w:val="0"/>
        <w:adjustRightInd w:val="0"/>
        <w:spacing w:after="0" w:line="240" w:lineRule="auto"/>
        <w:rPr>
          <w:rFonts w:ascii="Calibri" w:eastAsia="SimSun" w:hAnsi="Calibri" w:cs="Calibri"/>
          <w:b/>
          <w:bCs/>
          <w:color w:val="4A4A4A"/>
          <w:sz w:val="21"/>
          <w:szCs w:val="21"/>
        </w:rPr>
      </w:pPr>
    </w:p>
    <w:p w14:paraId="62A1A63E" w14:textId="77777777" w:rsidR="00505B2B" w:rsidRPr="00D87235" w:rsidRDefault="00505B2B" w:rsidP="00505B2B">
      <w:pPr>
        <w:autoSpaceDE w:val="0"/>
        <w:autoSpaceDN w:val="0"/>
        <w:adjustRightInd w:val="0"/>
        <w:spacing w:after="0" w:line="240" w:lineRule="auto"/>
        <w:jc w:val="both"/>
        <w:rPr>
          <w:rFonts w:ascii="Calibri" w:eastAsia="SimSun" w:hAnsi="Calibri" w:cs="Calibri"/>
          <w:b/>
          <w:bCs/>
          <w:color w:val="4A4A4A"/>
          <w:sz w:val="21"/>
          <w:szCs w:val="21"/>
        </w:rPr>
      </w:pPr>
      <w:r w:rsidRPr="00D87235">
        <w:rPr>
          <w:rFonts w:ascii="Calibri" w:eastAsia="SimSun" w:hAnsi="Calibri" w:cs="Calibri"/>
          <w:b/>
          <w:bCs/>
          <w:color w:val="4A4A4A"/>
          <w:sz w:val="21"/>
          <w:szCs w:val="21"/>
        </w:rPr>
        <w:t xml:space="preserve">Local/municipal level </w:t>
      </w:r>
      <w:r w:rsidRPr="00D87235">
        <w:rPr>
          <w:rFonts w:ascii="Calibri" w:eastAsia="SimSun" w:hAnsi="Calibri" w:cs="Calibri"/>
          <w:bCs/>
          <w:color w:val="4A4A4A"/>
          <w:sz w:val="21"/>
          <w:szCs w:val="21"/>
        </w:rPr>
        <w:t>is a public administration that exists at the lowest administration level within government state such as municipality of district. Local level refers to local government units, which consist of local government institutional units and nonmarket institutions controlled by local level. A local government often has the fiscal authority to raise taxes within its territory and should have the ability to spend at least some of its income according to its own policies, and appoint or elect its own officers.</w:t>
      </w:r>
    </w:p>
    <w:p w14:paraId="6E737AC0" w14:textId="77777777" w:rsidR="00505B2B" w:rsidRPr="00D87235" w:rsidRDefault="00505B2B" w:rsidP="00505B2B">
      <w:pPr>
        <w:autoSpaceDE w:val="0"/>
        <w:autoSpaceDN w:val="0"/>
        <w:adjustRightInd w:val="0"/>
        <w:spacing w:after="0" w:line="240" w:lineRule="auto"/>
        <w:rPr>
          <w:rFonts w:ascii="Calibri" w:eastAsia="SimSun" w:hAnsi="Calibri" w:cs="Calibri"/>
          <w:b/>
          <w:bCs/>
          <w:color w:val="4A4A4A"/>
          <w:sz w:val="21"/>
          <w:szCs w:val="21"/>
        </w:rPr>
      </w:pPr>
    </w:p>
    <w:p w14:paraId="5F391CF9" w14:textId="77777777" w:rsidR="00505B2B" w:rsidRPr="00D87235" w:rsidRDefault="00505B2B" w:rsidP="00505B2B">
      <w:pPr>
        <w:jc w:val="both"/>
        <w:rPr>
          <w:rFonts w:ascii="Calibri" w:eastAsia="SimSun" w:hAnsi="Calibri" w:cs="Calibri"/>
          <w:bCs/>
          <w:color w:val="4A4A4A"/>
          <w:sz w:val="21"/>
          <w:szCs w:val="21"/>
        </w:rPr>
      </w:pPr>
      <w:r w:rsidRPr="00D87235">
        <w:rPr>
          <w:rFonts w:ascii="Calibri" w:eastAsia="SimSun" w:hAnsi="Calibri" w:cs="Calibri"/>
          <w:b/>
          <w:bCs/>
          <w:color w:val="4A4A4A"/>
          <w:sz w:val="21"/>
          <w:szCs w:val="21"/>
        </w:rPr>
        <w:t xml:space="preserve">Total Public expenditure on heritage </w:t>
      </w:r>
      <w:r w:rsidRPr="00D87235">
        <w:rPr>
          <w:rFonts w:ascii="Calibri" w:eastAsia="SimSun" w:hAnsi="Calibri" w:cs="Calibri"/>
          <w:bCs/>
          <w:color w:val="4A4A4A"/>
          <w:sz w:val="21"/>
          <w:szCs w:val="21"/>
        </w:rPr>
        <w:t xml:space="preserve">is consolidated expenditure on heritage made by national/federal, regional/States/Provincial and local governments. </w:t>
      </w:r>
    </w:p>
    <w:p w14:paraId="2D1954CD"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r w:rsidRPr="00D87235">
        <w:rPr>
          <w:rFonts w:ascii="Calibri" w:eastAsia="SimSun" w:hAnsi="Calibri" w:cs="Calibri"/>
          <w:b/>
          <w:bCs/>
          <w:color w:val="4A4A4A"/>
          <w:sz w:val="21"/>
          <w:szCs w:val="21"/>
        </w:rPr>
        <w:t xml:space="preserve">Private heritage expenditure </w:t>
      </w:r>
      <w:r w:rsidRPr="00D87235">
        <w:rPr>
          <w:rFonts w:ascii="Calibri" w:eastAsia="SimSun" w:hAnsi="Calibri" w:cs="Calibri"/>
          <w:bCs/>
          <w:color w:val="4A4A4A"/>
          <w:sz w:val="21"/>
          <w:szCs w:val="21"/>
        </w:rPr>
        <w:t>refers to privately funded preservation, protection and conservation of national cultural and/or natural heritage and includes, but is not limited to: donations in kind, private non-profit sector and sponsorship. Private funding includes donations by individual and legal entities, donations by bilateral and multilateral funds such as Official Development Aid (ODA), income from admissions/selling services and goods to individual and legal entities and corporate sponsorship.</w:t>
      </w:r>
    </w:p>
    <w:p w14:paraId="3FD6F5DE" w14:textId="77777777" w:rsidR="00505B2B" w:rsidRPr="00D87235" w:rsidRDefault="00505B2B" w:rsidP="00505B2B">
      <w:pPr>
        <w:autoSpaceDE w:val="0"/>
        <w:autoSpaceDN w:val="0"/>
        <w:adjustRightInd w:val="0"/>
        <w:spacing w:after="0" w:line="240" w:lineRule="auto"/>
        <w:rPr>
          <w:rFonts w:ascii="Calibri" w:eastAsia="SimSun" w:hAnsi="Calibri" w:cs="Calibri"/>
          <w:b/>
          <w:color w:val="4A4A4A"/>
          <w:sz w:val="21"/>
          <w:szCs w:val="21"/>
        </w:rPr>
      </w:pPr>
    </w:p>
    <w:p w14:paraId="34A324BC"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color w:val="4A4A4A"/>
          <w:sz w:val="21"/>
          <w:szCs w:val="21"/>
        </w:rPr>
      </w:pPr>
      <w:r w:rsidRPr="00D87235">
        <w:rPr>
          <w:rFonts w:ascii="Calibri" w:eastAsia="SimSun" w:hAnsi="Calibri" w:cs="Calibri"/>
          <w:b/>
          <w:color w:val="4A4A4A"/>
          <w:sz w:val="21"/>
          <w:szCs w:val="21"/>
        </w:rPr>
        <w:t>Donation</w:t>
      </w:r>
      <w:r w:rsidRPr="00D87235">
        <w:rPr>
          <w:rFonts w:ascii="Calibri" w:eastAsia="SimSun" w:hAnsi="Calibri" w:cs="Calibri"/>
          <w:color w:val="4A4A4A"/>
          <w:sz w:val="21"/>
          <w:szCs w:val="21"/>
        </w:rPr>
        <w:t xml:space="preserve"> refers to cash and gifts-in-kind given by a physical or legal entity. Donations can be in the form of cash and in kind donations. Cash donations refer to the gift in money, payment checks or other monetary equivalents. Gifts-in-kind donations refer to donations in goods, services or other things such as supplies. Donations can be conditional or unconditional. Conditional donations are limited by the conditions imposed by the donor. Unconditional donations refer to the gift, which has no concrete purpose, given to organization/institution in order to help them in realization of their mission.</w:t>
      </w:r>
    </w:p>
    <w:p w14:paraId="71C50707" w14:textId="77777777" w:rsidR="00505B2B" w:rsidRPr="00D87235" w:rsidRDefault="00505B2B" w:rsidP="00505B2B">
      <w:pPr>
        <w:autoSpaceDE w:val="0"/>
        <w:autoSpaceDN w:val="0"/>
        <w:adjustRightInd w:val="0"/>
        <w:spacing w:after="0" w:line="240" w:lineRule="auto"/>
        <w:rPr>
          <w:rFonts w:ascii="Calibri" w:eastAsia="SimSun" w:hAnsi="Calibri" w:cs="Calibri"/>
          <w:b/>
          <w:color w:val="4A4A4A"/>
          <w:sz w:val="21"/>
          <w:szCs w:val="21"/>
        </w:rPr>
      </w:pPr>
    </w:p>
    <w:p w14:paraId="2EAB835E"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color w:val="4A4A4A"/>
          <w:sz w:val="21"/>
          <w:szCs w:val="21"/>
        </w:rPr>
      </w:pPr>
      <w:r w:rsidRPr="00D87235">
        <w:rPr>
          <w:rFonts w:ascii="Calibri" w:eastAsia="SimSun" w:hAnsi="Calibri" w:cs="Calibri"/>
          <w:b/>
          <w:color w:val="4A4A4A"/>
          <w:sz w:val="21"/>
          <w:szCs w:val="21"/>
        </w:rPr>
        <w:t>Donations by individuals</w:t>
      </w:r>
      <w:r w:rsidRPr="00D87235">
        <w:rPr>
          <w:rFonts w:ascii="Calibri" w:eastAsia="SimSun" w:hAnsi="Calibri" w:cs="Calibri"/>
          <w:color w:val="4A4A4A"/>
          <w:sz w:val="21"/>
          <w:szCs w:val="21"/>
        </w:rPr>
        <w:t xml:space="preserve"> refer to cash and in kind donation given by individual or physical person. </w:t>
      </w:r>
    </w:p>
    <w:p w14:paraId="04DB6F50"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p>
    <w:p w14:paraId="714A1272"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color w:val="4A4A4A"/>
          <w:sz w:val="21"/>
          <w:szCs w:val="21"/>
        </w:rPr>
      </w:pPr>
      <w:r w:rsidRPr="00D87235">
        <w:rPr>
          <w:rFonts w:ascii="Calibri" w:eastAsia="SimSun" w:hAnsi="Calibri" w:cs="Calibri"/>
          <w:b/>
          <w:color w:val="4A4A4A"/>
          <w:sz w:val="21"/>
          <w:szCs w:val="21"/>
        </w:rPr>
        <w:t xml:space="preserve">Donations by legal entity </w:t>
      </w:r>
      <w:r w:rsidRPr="00D87235">
        <w:rPr>
          <w:rFonts w:ascii="Calibri" w:eastAsia="SimSun" w:hAnsi="Calibri" w:cs="Calibri"/>
          <w:color w:val="4A4A4A"/>
          <w:sz w:val="21"/>
          <w:szCs w:val="21"/>
        </w:rPr>
        <w:t xml:space="preserve">(corporation, enterprises) refer to any cash or in kind contributions given as a gift by legal entity – corporation, enterprises etc. This kind of donation is also known as a corporate philanthropy charitable giving to any organization/institution. </w:t>
      </w:r>
    </w:p>
    <w:p w14:paraId="41B29D12"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color w:val="4A4A4A"/>
          <w:sz w:val="21"/>
          <w:szCs w:val="21"/>
        </w:rPr>
      </w:pPr>
    </w:p>
    <w:p w14:paraId="7C40868A"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color w:val="4A4A4A"/>
          <w:sz w:val="21"/>
          <w:szCs w:val="21"/>
        </w:rPr>
      </w:pPr>
      <w:r w:rsidRPr="00D87235">
        <w:rPr>
          <w:rFonts w:ascii="Calibri" w:eastAsia="SimSun" w:hAnsi="Calibri" w:cs="Calibri"/>
          <w:b/>
          <w:color w:val="4A4A4A"/>
          <w:sz w:val="21"/>
          <w:szCs w:val="21"/>
        </w:rPr>
        <w:t>Corporate sponsorships</w:t>
      </w:r>
      <w:r w:rsidRPr="00D87235">
        <w:rPr>
          <w:rFonts w:ascii="Calibri" w:eastAsia="SimSun" w:hAnsi="Calibri" w:cs="Calibri"/>
          <w:color w:val="4A4A4A"/>
          <w:sz w:val="21"/>
          <w:szCs w:val="21"/>
        </w:rPr>
        <w:t xml:space="preserve"> refer to financial or in kind contribution by business sector in exchange for benefits in the form of advertising, reputation, promotion etc. Corporate sponsorships represent some kind of marketing in which corporation pays to programme/project/event in exchange for some marketing benefits. </w:t>
      </w:r>
    </w:p>
    <w:p w14:paraId="52765584"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b/>
          <w:color w:val="4A4A4A"/>
          <w:sz w:val="21"/>
          <w:szCs w:val="21"/>
        </w:rPr>
      </w:pPr>
    </w:p>
    <w:p w14:paraId="20BB8CAF"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color w:val="4A4A4A"/>
          <w:sz w:val="21"/>
          <w:szCs w:val="21"/>
        </w:rPr>
      </w:pPr>
      <w:r w:rsidRPr="00D87235">
        <w:rPr>
          <w:rFonts w:ascii="Calibri" w:eastAsia="SimSun" w:hAnsi="Calibri" w:cs="Calibri"/>
          <w:b/>
          <w:color w:val="4A4A4A"/>
          <w:sz w:val="21"/>
          <w:szCs w:val="21"/>
        </w:rPr>
        <w:t xml:space="preserve">Income from admissions/membership fees/ selling services and goods </w:t>
      </w:r>
      <w:r w:rsidRPr="00D87235">
        <w:rPr>
          <w:rFonts w:ascii="Calibri" w:eastAsia="SimSun" w:hAnsi="Calibri" w:cs="Calibri"/>
          <w:color w:val="4A4A4A"/>
          <w:sz w:val="21"/>
          <w:szCs w:val="21"/>
        </w:rPr>
        <w:t xml:space="preserve">refers to amount of money received by entree sales to households / membership fees or selling services and goods to households or legal entities. </w:t>
      </w:r>
    </w:p>
    <w:p w14:paraId="5610E659"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color w:val="4A4A4A"/>
          <w:sz w:val="21"/>
          <w:szCs w:val="21"/>
        </w:rPr>
      </w:pPr>
    </w:p>
    <w:p w14:paraId="6161B6D4"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color w:val="4A4A4A"/>
          <w:sz w:val="21"/>
          <w:szCs w:val="21"/>
        </w:rPr>
      </w:pPr>
      <w:r w:rsidRPr="00D87235">
        <w:rPr>
          <w:rFonts w:ascii="Calibri" w:eastAsia="SimSun" w:hAnsi="Calibri" w:cs="Calibri"/>
          <w:b/>
          <w:color w:val="4A4A4A"/>
          <w:sz w:val="21"/>
          <w:szCs w:val="21"/>
        </w:rPr>
        <w:t xml:space="preserve">Official Development </w:t>
      </w:r>
      <w:r w:rsidRPr="00D87235">
        <w:rPr>
          <w:rFonts w:ascii="Calibri" w:eastAsia="SimSun" w:hAnsi="Calibri" w:cs="Arial"/>
          <w:color w:val="4A4A4A"/>
          <w:sz w:val="21"/>
        </w:rPr>
        <w:t>Aid</w:t>
      </w:r>
      <w:r w:rsidRPr="00D87235">
        <w:rPr>
          <w:rFonts w:ascii="Calibri" w:eastAsia="SimSun" w:hAnsi="Calibri" w:cs="Calibri"/>
          <w:color w:val="4A4A4A"/>
          <w:sz w:val="21"/>
          <w:szCs w:val="21"/>
        </w:rPr>
        <w:t xml:space="preserve"> refers to the flows of official financing administered with the promotion of the economic development and welfare of developing countries as the main objective, and which are concessional in character with a grant element of at least 25 percent (using a fixed 10 percent rate of discount). By convention, ODA flows comprise contributions of donor government agencies, at all levels, to developing countries (“bilateral ODA”) and to multilateral institutions. ODA receipts comprise disbursements by bilateral donors and multilateral institutions. Lending by export credit agencies—with the pure purpose of export promotion is excluded. (OECD).</w:t>
      </w:r>
    </w:p>
    <w:p w14:paraId="7CAFBC54" w14:textId="77777777" w:rsidR="00505B2B" w:rsidRPr="00D87235" w:rsidRDefault="00505B2B" w:rsidP="00505B2B">
      <w:pPr>
        <w:autoSpaceDE w:val="0"/>
        <w:autoSpaceDN w:val="0"/>
        <w:adjustRightInd w:val="0"/>
        <w:spacing w:after="0" w:line="240" w:lineRule="auto"/>
        <w:rPr>
          <w:rFonts w:ascii="Calibri" w:eastAsia="SimSun" w:hAnsi="Calibri" w:cs="Calibri"/>
          <w:b/>
          <w:color w:val="4A4A4A"/>
          <w:sz w:val="21"/>
          <w:szCs w:val="21"/>
        </w:rPr>
      </w:pPr>
    </w:p>
    <w:p w14:paraId="7CD8D022" w14:textId="77777777" w:rsidR="00505B2B" w:rsidRPr="00D87235" w:rsidRDefault="00505B2B" w:rsidP="00505B2B">
      <w:pPr>
        <w:autoSpaceDE w:val="0"/>
        <w:autoSpaceDN w:val="0"/>
        <w:adjustRightInd w:val="0"/>
        <w:spacing w:after="0" w:line="240" w:lineRule="auto"/>
        <w:ind w:left="720"/>
        <w:jc w:val="both"/>
        <w:rPr>
          <w:rFonts w:ascii="Calibri" w:eastAsia="SimSun" w:hAnsi="Calibri" w:cs="Calibri"/>
          <w:color w:val="4A4A4A"/>
          <w:sz w:val="21"/>
          <w:szCs w:val="21"/>
        </w:rPr>
      </w:pPr>
      <w:r w:rsidRPr="00D87235">
        <w:rPr>
          <w:rFonts w:ascii="Calibri" w:eastAsia="SimSun" w:hAnsi="Calibri" w:cs="Calibri"/>
          <w:b/>
          <w:color w:val="4A4A4A"/>
          <w:sz w:val="21"/>
          <w:szCs w:val="21"/>
        </w:rPr>
        <w:t>Donations by bilateral and multilateral</w:t>
      </w:r>
      <w:r w:rsidRPr="00D87235">
        <w:rPr>
          <w:rFonts w:ascii="Calibri" w:eastAsia="SimSun" w:hAnsi="Calibri" w:cs="Calibri"/>
          <w:color w:val="4A4A4A"/>
          <w:sz w:val="21"/>
          <w:szCs w:val="21"/>
        </w:rPr>
        <w:t xml:space="preserve"> sources refer to any cash and in kind contribution given to another organization as a gift by bilateral party (foreign states) or multilateral party (international body, organization, etc.). It can be in the form of development assistance or official development assistance or private international/foreign donation. Private bilateral/multilateral donation is financial aid given by private foundation from one foreign country or private foundations from several foreign countries. </w:t>
      </w:r>
    </w:p>
    <w:p w14:paraId="24B59EAA" w14:textId="77777777" w:rsidR="00505B2B" w:rsidRPr="00D87235" w:rsidRDefault="00505B2B" w:rsidP="00505B2B">
      <w:pPr>
        <w:autoSpaceDE w:val="0"/>
        <w:autoSpaceDN w:val="0"/>
        <w:adjustRightInd w:val="0"/>
        <w:spacing w:after="0" w:line="240" w:lineRule="auto"/>
        <w:rPr>
          <w:rFonts w:ascii="Calibri" w:eastAsia="SimSun" w:hAnsi="Calibri" w:cs="Calibri"/>
          <w:b/>
          <w:color w:val="4A4A4A"/>
          <w:sz w:val="21"/>
          <w:szCs w:val="21"/>
        </w:rPr>
      </w:pPr>
    </w:p>
    <w:p w14:paraId="6694B267" w14:textId="7F4D0AF8" w:rsidR="00505B2B" w:rsidRPr="00D87235" w:rsidRDefault="00505B2B" w:rsidP="00505B2B">
      <w:pPr>
        <w:autoSpaceDE w:val="0"/>
        <w:autoSpaceDN w:val="0"/>
        <w:adjustRightInd w:val="0"/>
        <w:spacing w:after="0" w:line="240" w:lineRule="auto"/>
        <w:jc w:val="both"/>
        <w:rPr>
          <w:rFonts w:ascii="Calibri" w:eastAsia="SimSun" w:hAnsi="Calibri" w:cs="Calibri"/>
          <w:b/>
          <w:color w:val="4A4A4A"/>
          <w:sz w:val="21"/>
          <w:szCs w:val="21"/>
        </w:rPr>
      </w:pPr>
      <w:r w:rsidRPr="00D87235">
        <w:rPr>
          <w:rFonts w:ascii="Calibri" w:eastAsia="SimSun" w:hAnsi="Calibri" w:cs="Calibri"/>
          <w:b/>
          <w:color w:val="4A4A4A"/>
          <w:sz w:val="21"/>
          <w:szCs w:val="21"/>
        </w:rPr>
        <w:t xml:space="preserve">Total heritage expenditure </w:t>
      </w:r>
      <w:r w:rsidRPr="00D87235">
        <w:rPr>
          <w:rFonts w:ascii="Calibri" w:eastAsia="SimSun" w:hAnsi="Calibri" w:cs="Calibri"/>
          <w:color w:val="4A4A4A"/>
          <w:sz w:val="21"/>
          <w:szCs w:val="21"/>
        </w:rPr>
        <w:t xml:space="preserve">refers to private and public spending on conservation, protection and preservation of heritage. Total expenditure comprises public and private expenditure for natural and cultural heritage. Using the </w:t>
      </w:r>
      <w:r w:rsidR="00D4167F" w:rsidRPr="00D4167F">
        <w:rPr>
          <w:rFonts w:ascii="Calibri" w:eastAsia="SimSun" w:hAnsi="Calibri" w:cs="Calibri"/>
          <w:color w:val="4A4A4A"/>
          <w:sz w:val="21"/>
          <w:szCs w:val="21"/>
        </w:rPr>
        <w:t>International Standard Industrial Classification of all Economic Activities Revision 4 (ISIC Rev. 4)</w:t>
      </w:r>
      <w:r w:rsidRPr="00D87235">
        <w:rPr>
          <w:rFonts w:ascii="Calibri" w:eastAsia="SimSun" w:hAnsi="Calibri" w:cs="Calibri"/>
          <w:color w:val="4A4A4A"/>
          <w:sz w:val="21"/>
          <w:szCs w:val="21"/>
        </w:rPr>
        <w:t xml:space="preserve"> classification, total heritage expenditure covers expenditures (public and private) for library and archives activities, museum activities and operation of historical sites and buildings as well resources invested in botanical and zoological gardens and nature reserve activities.</w:t>
      </w:r>
      <w:r w:rsidRPr="00D87235">
        <w:rPr>
          <w:rFonts w:ascii="Calibri" w:eastAsia="SimSun" w:hAnsi="Calibri" w:cs="Calibri"/>
          <w:b/>
          <w:color w:val="4A4A4A"/>
          <w:sz w:val="21"/>
          <w:szCs w:val="21"/>
        </w:rPr>
        <w:t xml:space="preserve">  </w:t>
      </w:r>
    </w:p>
    <w:p w14:paraId="718D00AB" w14:textId="77777777" w:rsidR="00505B2B" w:rsidRPr="00D87235" w:rsidRDefault="00505B2B" w:rsidP="00505B2B">
      <w:pPr>
        <w:autoSpaceDE w:val="0"/>
        <w:autoSpaceDN w:val="0"/>
        <w:adjustRightInd w:val="0"/>
        <w:spacing w:after="0" w:line="240" w:lineRule="auto"/>
        <w:rPr>
          <w:rFonts w:ascii="Calibri" w:eastAsia="SimSun" w:hAnsi="Calibri" w:cs="Calibri"/>
          <w:b/>
          <w:color w:val="4A4A4A"/>
          <w:sz w:val="21"/>
          <w:szCs w:val="21"/>
        </w:rPr>
      </w:pPr>
    </w:p>
    <w:p w14:paraId="495F8580" w14:textId="77777777" w:rsidR="008B0AC7" w:rsidRPr="00A96255" w:rsidRDefault="00576CFA" w:rsidP="00F719A8">
      <w:pPr>
        <w:pStyle w:val="MHeader2"/>
      </w:pPr>
      <w:r w:rsidRPr="00A96255">
        <w:t xml:space="preserve">2.b. Unit of measure </w:t>
      </w:r>
      <w:r>
        <w:rPr>
          <w:color w:val="B4B4B4"/>
          <w:sz w:val="20"/>
        </w:rPr>
        <w:t>(UNIT_MEASURE)</w:t>
      </w:r>
    </w:p>
    <w:p w14:paraId="70915032" w14:textId="04C74163" w:rsidR="00204425" w:rsidRDefault="00033901" w:rsidP="00204425">
      <w:pPr>
        <w:pStyle w:val="MText"/>
      </w:pPr>
      <w:r w:rsidRPr="00033901">
        <w:t>PPP, constant 2017 United States dollars</w:t>
      </w:r>
    </w:p>
    <w:p w14:paraId="11BE800F" w14:textId="77777777" w:rsidR="00227E1F" w:rsidRPr="00A96255" w:rsidRDefault="00227E1F" w:rsidP="00576CFA">
      <w:pPr>
        <w:pStyle w:val="MText"/>
      </w:pPr>
    </w:p>
    <w:p w14:paraId="54437685" w14:textId="77777777" w:rsidR="00DA615C" w:rsidRPr="00A96255" w:rsidRDefault="008B0AC7" w:rsidP="00F719A8">
      <w:pPr>
        <w:pStyle w:val="MHeader2"/>
      </w:pPr>
      <w:r w:rsidRPr="00A96255">
        <w:t xml:space="preserve">2.c. Classifications </w:t>
      </w:r>
      <w:r>
        <w:rPr>
          <w:color w:val="B4B4B4"/>
          <w:sz w:val="20"/>
        </w:rPr>
        <w:t>(CLASS_SYSTEM)</w:t>
      </w:r>
    </w:p>
    <w:p w14:paraId="3B26B990" w14:textId="6B24162E" w:rsidR="00204425" w:rsidRDefault="00033901" w:rsidP="00204425">
      <w:pPr>
        <w:pStyle w:val="MText"/>
      </w:pPr>
      <w:r w:rsidRPr="009F0304">
        <w:rPr>
          <w:rFonts w:cstheme="minorHAnsi"/>
        </w:rPr>
        <w:t>Classification of the Functions of Government (COFOG)</w:t>
      </w:r>
      <w:r w:rsidR="00204425">
        <w:t xml:space="preserve"> defined according to the breakdown proposed in the International Monetary Fund (IMF) Manual Government Finance Statistics (GFS), available at:</w:t>
      </w:r>
    </w:p>
    <w:p w14:paraId="57A99CB5" w14:textId="77777777" w:rsidR="00204425" w:rsidRDefault="00FF3BEF" w:rsidP="00204425">
      <w:pPr>
        <w:pStyle w:val="MText"/>
      </w:pPr>
      <w:hyperlink r:id="rId11" w:history="1">
        <w:r w:rsidR="00204425" w:rsidRPr="001B39C1">
          <w:rPr>
            <w:rStyle w:val="Hyperlink"/>
          </w:rPr>
          <w:t>http://www.imf.org/external/Pubs/FT/GFS/Manual/2014/gfsfinal.pdf</w:t>
        </w:r>
      </w:hyperlink>
      <w:r w:rsidR="00204425">
        <w:t>.</w:t>
      </w:r>
    </w:p>
    <w:p w14:paraId="20EDABF7" w14:textId="77777777" w:rsidR="00204425" w:rsidRDefault="00204425" w:rsidP="00204425">
      <w:pPr>
        <w:pStyle w:val="MText"/>
        <w:rPr>
          <w:highlight w:val="yellow"/>
        </w:rPr>
      </w:pPr>
    </w:p>
    <w:p w14:paraId="58EADEE6" w14:textId="77777777" w:rsidR="00204425" w:rsidRDefault="00204425" w:rsidP="00204425">
      <w:pPr>
        <w:pStyle w:val="MText"/>
      </w:pPr>
      <w:r>
        <w:t xml:space="preserve">2009 UNESCO Framework for cultural statistics </w:t>
      </w:r>
    </w:p>
    <w:p w14:paraId="4575F1ED" w14:textId="77777777" w:rsidR="00204425" w:rsidRDefault="00FF3BEF" w:rsidP="00204425">
      <w:pPr>
        <w:pStyle w:val="MText"/>
      </w:pPr>
      <w:hyperlink r:id="rId12" w:history="1">
        <w:r w:rsidR="00204425" w:rsidRPr="001B39C1">
          <w:rPr>
            <w:rStyle w:val="Hyperlink"/>
          </w:rPr>
          <w:t>http://uis.unesco.org/sites/default/files/documents/unesco-framework-for-cultural-statistics-2009-en_0.pdf</w:t>
        </w:r>
      </w:hyperlink>
    </w:p>
    <w:p w14:paraId="58CED8CE" w14:textId="77777777" w:rsidR="00204425" w:rsidRDefault="00204425" w:rsidP="00204425">
      <w:pPr>
        <w:pStyle w:val="MText"/>
      </w:pPr>
    </w:p>
    <w:p w14:paraId="12602A29" w14:textId="77777777" w:rsidR="00204425" w:rsidRDefault="00204425" w:rsidP="00204425">
      <w:pPr>
        <w:shd w:val="clear" w:color="auto" w:fill="FFFFFF"/>
        <w:spacing w:after="0"/>
        <w:contextualSpacing/>
        <w:rPr>
          <w:rFonts w:cstheme="minorHAnsi"/>
          <w:sz w:val="21"/>
          <w:szCs w:val="21"/>
        </w:rPr>
      </w:pPr>
      <w:r w:rsidRPr="00520EDD">
        <w:rPr>
          <w:rFonts w:cstheme="minorHAnsi"/>
          <w:sz w:val="21"/>
          <w:szCs w:val="21"/>
        </w:rPr>
        <w:lastRenderedPageBreak/>
        <w:t xml:space="preserve">International Standard Industrial Classification of all Economic Activities Revision 4 (ISIC Rev. 4). </w:t>
      </w:r>
      <w:hyperlink r:id="rId13" w:history="1">
        <w:r w:rsidRPr="00520EDD">
          <w:rPr>
            <w:rStyle w:val="Hyperlink"/>
            <w:rFonts w:cstheme="minorHAnsi"/>
            <w:sz w:val="21"/>
            <w:szCs w:val="21"/>
          </w:rPr>
          <w:t>https://unstats.un.org/unsd/publication/seriesm/seriesm_4rev4e.pdf</w:t>
        </w:r>
      </w:hyperlink>
      <w:r w:rsidRPr="00520EDD">
        <w:rPr>
          <w:rFonts w:cstheme="minorHAnsi"/>
          <w:sz w:val="21"/>
          <w:szCs w:val="21"/>
        </w:rPr>
        <w:t xml:space="preserve">   </w:t>
      </w:r>
    </w:p>
    <w:p w14:paraId="0E3E19C6" w14:textId="77777777" w:rsidR="00E465DD" w:rsidRDefault="00E465DD" w:rsidP="00204425">
      <w:pPr>
        <w:pStyle w:val="MText"/>
      </w:pPr>
    </w:p>
    <w:p w14:paraId="7F6F8137" w14:textId="77777777" w:rsidR="00F719A8" w:rsidRPr="00A96255" w:rsidRDefault="00F719A8" w:rsidP="00576CFA">
      <w:pPr>
        <w:pStyle w:val="MText"/>
      </w:pPr>
    </w:p>
    <w:p w14:paraId="73BD1556"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37E875E9" w14:textId="77777777" w:rsidR="008B0AC7" w:rsidRPr="00A96255" w:rsidRDefault="008B0AC7" w:rsidP="00F719A8">
      <w:pPr>
        <w:pStyle w:val="MHeader2"/>
      </w:pPr>
      <w:r w:rsidRPr="00A96255">
        <w:t xml:space="preserve">3.a. Data sources </w:t>
      </w:r>
      <w:r>
        <w:rPr>
          <w:color w:val="B4B4B4"/>
          <w:sz w:val="20"/>
        </w:rPr>
        <w:t>(SOURCE_TYPE)</w:t>
      </w:r>
    </w:p>
    <w:p w14:paraId="6C00343F" w14:textId="77777777" w:rsidR="00505B2B" w:rsidRPr="00D87235" w:rsidRDefault="00505B2B" w:rsidP="00505B2B">
      <w:pPr>
        <w:spacing w:after="0" w:line="240" w:lineRule="auto"/>
        <w:jc w:val="both"/>
        <w:rPr>
          <w:rFonts w:eastAsia="Times New Roman" w:cstheme="minorHAnsi"/>
          <w:bCs/>
          <w:color w:val="4A4A4A"/>
          <w:sz w:val="21"/>
          <w:szCs w:val="21"/>
          <w:u w:val="single"/>
          <w:lang w:eastAsia="en-GB"/>
        </w:rPr>
      </w:pPr>
      <w:r w:rsidRPr="00D87235">
        <w:rPr>
          <w:rFonts w:eastAsia="Times New Roman" w:cstheme="minorHAnsi"/>
          <w:bCs/>
          <w:color w:val="4A4A4A"/>
          <w:sz w:val="21"/>
          <w:szCs w:val="21"/>
          <w:u w:val="single"/>
          <w:lang w:eastAsia="en-GB"/>
        </w:rPr>
        <w:t>For public expenditure:</w:t>
      </w:r>
    </w:p>
    <w:p w14:paraId="5EE15576" w14:textId="77777777" w:rsidR="00505B2B" w:rsidRPr="00D87235" w:rsidRDefault="00505B2B" w:rsidP="00505B2B">
      <w:pPr>
        <w:autoSpaceDE w:val="0"/>
        <w:autoSpaceDN w:val="0"/>
        <w:adjustRightInd w:val="0"/>
        <w:spacing w:after="0" w:line="240" w:lineRule="auto"/>
        <w:jc w:val="both"/>
        <w:rPr>
          <w:rFonts w:cstheme="minorHAnsi"/>
          <w:color w:val="4A4A4A"/>
          <w:sz w:val="21"/>
          <w:szCs w:val="21"/>
        </w:rPr>
      </w:pPr>
      <w:r w:rsidRPr="00D87235">
        <w:rPr>
          <w:rFonts w:cstheme="minorHAnsi"/>
          <w:color w:val="4A4A4A"/>
          <w:sz w:val="21"/>
          <w:szCs w:val="21"/>
        </w:rPr>
        <w:t>At national level, ministries of finance, and/or ministries of culture, environment financial management systems are the source of government expenditure on culture. Data on expenditure by lower levels of government can be centralized or collected directly from local authorities.</w:t>
      </w:r>
    </w:p>
    <w:p w14:paraId="05988462" w14:textId="77777777" w:rsidR="00505B2B" w:rsidRPr="00D87235" w:rsidRDefault="00505B2B" w:rsidP="00505B2B">
      <w:pPr>
        <w:autoSpaceDE w:val="0"/>
        <w:autoSpaceDN w:val="0"/>
        <w:adjustRightInd w:val="0"/>
        <w:spacing w:after="0" w:line="240" w:lineRule="auto"/>
        <w:jc w:val="both"/>
        <w:rPr>
          <w:rFonts w:cstheme="minorHAnsi"/>
          <w:color w:val="4A4A4A"/>
          <w:sz w:val="21"/>
          <w:szCs w:val="21"/>
        </w:rPr>
      </w:pPr>
    </w:p>
    <w:p w14:paraId="471B6863" w14:textId="77777777" w:rsidR="00505B2B" w:rsidRDefault="00505B2B" w:rsidP="00505B2B">
      <w:pPr>
        <w:spacing w:after="0" w:line="240" w:lineRule="auto"/>
        <w:jc w:val="both"/>
        <w:rPr>
          <w:rFonts w:eastAsia="Times New Roman" w:cstheme="minorHAnsi"/>
          <w:bCs/>
          <w:color w:val="4A4A4A"/>
          <w:sz w:val="21"/>
          <w:szCs w:val="21"/>
          <w:lang w:eastAsia="en-GB"/>
        </w:rPr>
      </w:pPr>
      <w:r w:rsidRPr="00D87235">
        <w:rPr>
          <w:rFonts w:eastAsia="Times New Roman" w:cstheme="minorHAnsi"/>
          <w:bCs/>
          <w:color w:val="4A4A4A"/>
          <w:sz w:val="21"/>
          <w:szCs w:val="21"/>
          <w:lang w:eastAsia="en-GB"/>
        </w:rPr>
        <w:t>Household expenditure on culture is collected through general consumption expenditure surveys or dedicated cultural participation and consumption surveys.</w:t>
      </w:r>
    </w:p>
    <w:p w14:paraId="01806E11" w14:textId="77777777" w:rsidR="00904FAD" w:rsidRPr="00D87235" w:rsidRDefault="00904FAD" w:rsidP="00505B2B">
      <w:pPr>
        <w:spacing w:after="0" w:line="240" w:lineRule="auto"/>
        <w:jc w:val="both"/>
        <w:rPr>
          <w:rFonts w:eastAsia="Times New Roman" w:cstheme="minorHAnsi"/>
          <w:bCs/>
          <w:color w:val="4A4A4A"/>
          <w:sz w:val="21"/>
          <w:szCs w:val="21"/>
          <w:lang w:eastAsia="en-GB"/>
        </w:rPr>
      </w:pPr>
    </w:p>
    <w:p w14:paraId="370B3C52" w14:textId="77777777" w:rsidR="00505B2B" w:rsidRPr="00D87235" w:rsidRDefault="00505B2B" w:rsidP="00505B2B">
      <w:pPr>
        <w:spacing w:after="0"/>
        <w:jc w:val="both"/>
        <w:rPr>
          <w:color w:val="4A4A4A"/>
          <w:sz w:val="21"/>
          <w:u w:val="single"/>
        </w:rPr>
      </w:pPr>
      <w:r w:rsidRPr="00D87235">
        <w:rPr>
          <w:color w:val="4A4A4A"/>
          <w:sz w:val="21"/>
          <w:u w:val="single"/>
        </w:rPr>
        <w:t>For private expenditure:</w:t>
      </w:r>
    </w:p>
    <w:p w14:paraId="4515EDD5" w14:textId="77777777" w:rsidR="00505B2B" w:rsidRPr="00D87235" w:rsidRDefault="00505B2B" w:rsidP="00505B2B">
      <w:pPr>
        <w:autoSpaceDE w:val="0"/>
        <w:autoSpaceDN w:val="0"/>
        <w:adjustRightInd w:val="0"/>
        <w:spacing w:after="0" w:line="240" w:lineRule="auto"/>
        <w:jc w:val="both"/>
        <w:rPr>
          <w:rFonts w:eastAsia="Times New Roman" w:cstheme="minorHAnsi"/>
          <w:bCs/>
          <w:color w:val="4A4A4A"/>
          <w:sz w:val="21"/>
          <w:szCs w:val="21"/>
          <w:lang w:eastAsia="en-GB"/>
        </w:rPr>
      </w:pPr>
      <w:r w:rsidRPr="00D87235">
        <w:rPr>
          <w:rFonts w:cstheme="minorHAnsi"/>
          <w:color w:val="4A4A4A"/>
          <w:sz w:val="21"/>
          <w:szCs w:val="21"/>
        </w:rPr>
        <w:t>Data on other private sources of funding for heritage such (e.g. corporate sponsorship and philanthropy; private donations) are rarely collected systematically and would often require additional surveys proceeded by significant analytical, preparatory and advocacy work.</w:t>
      </w:r>
    </w:p>
    <w:p w14:paraId="7551D3BA" w14:textId="77777777" w:rsidR="00505B2B" w:rsidRPr="00D87235" w:rsidRDefault="00505B2B" w:rsidP="00505B2B">
      <w:pPr>
        <w:autoSpaceDE w:val="0"/>
        <w:autoSpaceDN w:val="0"/>
        <w:adjustRightInd w:val="0"/>
        <w:spacing w:after="0" w:line="240" w:lineRule="auto"/>
        <w:jc w:val="both"/>
        <w:rPr>
          <w:rFonts w:cstheme="minorHAnsi"/>
          <w:color w:val="4A4A4A"/>
          <w:sz w:val="21"/>
          <w:szCs w:val="21"/>
        </w:rPr>
      </w:pPr>
    </w:p>
    <w:p w14:paraId="5F346E1F" w14:textId="77777777" w:rsidR="00505B2B" w:rsidRPr="00D87235" w:rsidRDefault="00505B2B" w:rsidP="00505B2B">
      <w:pPr>
        <w:autoSpaceDE w:val="0"/>
        <w:autoSpaceDN w:val="0"/>
        <w:adjustRightInd w:val="0"/>
        <w:spacing w:after="0" w:line="240" w:lineRule="auto"/>
        <w:jc w:val="both"/>
        <w:rPr>
          <w:rFonts w:eastAsia="Times New Roman" w:cstheme="minorHAnsi"/>
          <w:bCs/>
          <w:color w:val="4A4A4A"/>
          <w:sz w:val="20"/>
          <w:szCs w:val="20"/>
          <w:lang w:eastAsia="en-GB"/>
        </w:rPr>
      </w:pPr>
      <w:r w:rsidRPr="00D87235">
        <w:rPr>
          <w:rFonts w:cstheme="minorHAnsi"/>
          <w:color w:val="4A4A4A"/>
          <w:sz w:val="21"/>
          <w:szCs w:val="21"/>
        </w:rPr>
        <w:t>International sources may be available through governmental financial systems when they are recorded on-budget, and off-budget international funding may sometimes be available through governmental aid management systems, although rarely with the disaggregation needed (ex. For heritage only). Data sources for international funding, such as the Official Development Aid data from the OECD-DAC database may be used as a complement, but often present problems of compatibility with other sources, such as government records</w:t>
      </w:r>
      <w:r w:rsidRPr="00D87235">
        <w:rPr>
          <w:rFonts w:cstheme="minorHAnsi"/>
          <w:color w:val="4A4A4A"/>
          <w:sz w:val="20"/>
          <w:szCs w:val="20"/>
        </w:rPr>
        <w:t>.</w:t>
      </w:r>
      <w:r w:rsidRPr="00D87235">
        <w:rPr>
          <w:rFonts w:eastAsia="Times New Roman" w:cstheme="minorHAnsi"/>
          <w:bCs/>
          <w:color w:val="4A4A4A"/>
          <w:sz w:val="20"/>
          <w:szCs w:val="20"/>
          <w:lang w:eastAsia="en-GB"/>
        </w:rPr>
        <w:t xml:space="preserve"> </w:t>
      </w:r>
    </w:p>
    <w:p w14:paraId="7971764C" w14:textId="77777777" w:rsidR="00505B2B" w:rsidRPr="00D87235" w:rsidRDefault="00505B2B" w:rsidP="00505B2B">
      <w:pPr>
        <w:autoSpaceDE w:val="0"/>
        <w:autoSpaceDN w:val="0"/>
        <w:adjustRightInd w:val="0"/>
        <w:spacing w:after="0" w:line="240" w:lineRule="auto"/>
        <w:rPr>
          <w:rFonts w:eastAsia="Times New Roman" w:cstheme="minorHAnsi"/>
          <w:b/>
          <w:bCs/>
          <w:color w:val="4A4A4A"/>
          <w:sz w:val="21"/>
          <w:szCs w:val="21"/>
          <w:lang w:eastAsia="en-GB"/>
        </w:rPr>
      </w:pPr>
    </w:p>
    <w:p w14:paraId="10D4360D" w14:textId="77777777" w:rsidR="00EC2915" w:rsidRDefault="006F0730" w:rsidP="00576CFA">
      <w:pPr>
        <w:pStyle w:val="MText"/>
      </w:pPr>
      <w:r>
        <w:t xml:space="preserve">The UIS produces the indicator based on the </w:t>
      </w:r>
      <w:r w:rsidRPr="006F0730">
        <w:t>population estimates produced by the UN Population Division</w:t>
      </w:r>
      <w:r>
        <w:t>.</w:t>
      </w:r>
    </w:p>
    <w:p w14:paraId="382A4EB0" w14:textId="77777777" w:rsidR="006F0730" w:rsidRPr="00D87235" w:rsidRDefault="006F0730" w:rsidP="00576CFA">
      <w:pPr>
        <w:pStyle w:val="MText"/>
      </w:pPr>
    </w:p>
    <w:p w14:paraId="4A199818" w14:textId="77777777" w:rsidR="008B0AC7" w:rsidRPr="00A96255" w:rsidRDefault="00576CFA" w:rsidP="00F719A8">
      <w:pPr>
        <w:pStyle w:val="MHeader2"/>
      </w:pPr>
      <w:r w:rsidRPr="00A96255">
        <w:t xml:space="preserve">3.b. Data collection method </w:t>
      </w:r>
      <w:r>
        <w:rPr>
          <w:color w:val="B4B4B4"/>
          <w:sz w:val="20"/>
        </w:rPr>
        <w:t>(COLL_METHOD)</w:t>
      </w:r>
    </w:p>
    <w:p w14:paraId="52ECA89C" w14:textId="77777777" w:rsidR="009128D5" w:rsidRPr="00D87235" w:rsidRDefault="009128D5" w:rsidP="009128D5">
      <w:pPr>
        <w:autoSpaceDE w:val="0"/>
        <w:autoSpaceDN w:val="0"/>
        <w:adjustRightInd w:val="0"/>
        <w:spacing w:after="0" w:line="240" w:lineRule="auto"/>
        <w:rPr>
          <w:rFonts w:cstheme="minorHAnsi"/>
          <w:color w:val="4A4A4A"/>
          <w:sz w:val="21"/>
          <w:szCs w:val="21"/>
        </w:rPr>
      </w:pPr>
      <w:r w:rsidRPr="00D87235">
        <w:rPr>
          <w:rFonts w:cstheme="minorHAnsi"/>
          <w:color w:val="4A4A4A"/>
          <w:sz w:val="21"/>
          <w:szCs w:val="21"/>
        </w:rPr>
        <w:t>The first global data collection cycle was launched in June 2020 and will thereafter occur on an annual basis.</w:t>
      </w:r>
    </w:p>
    <w:p w14:paraId="5C0D44FB" w14:textId="77777777" w:rsidR="00576CFA" w:rsidRPr="00D87235" w:rsidRDefault="00576CFA" w:rsidP="00576CFA">
      <w:pPr>
        <w:pStyle w:val="MText"/>
      </w:pPr>
      <w:r w:rsidRPr="00D87235">
        <w:tab/>
      </w:r>
    </w:p>
    <w:p w14:paraId="041C48FF" w14:textId="77777777" w:rsidR="00E46D96" w:rsidRPr="00A96255" w:rsidRDefault="00E46D96" w:rsidP="00F719A8">
      <w:pPr>
        <w:pStyle w:val="MHeader2"/>
      </w:pPr>
      <w:r w:rsidRPr="00A96255">
        <w:t xml:space="preserve">3.c. Data collection calendar </w:t>
      </w:r>
      <w:r>
        <w:rPr>
          <w:color w:val="B4B4B4"/>
          <w:sz w:val="20"/>
        </w:rPr>
        <w:t>(FREQ_COLL)</w:t>
      </w:r>
    </w:p>
    <w:p w14:paraId="613536D9" w14:textId="20C22430" w:rsidR="009128D5" w:rsidRPr="009128D5" w:rsidRDefault="002F4DC1" w:rsidP="009128D5">
      <w:pPr>
        <w:shd w:val="clear" w:color="auto" w:fill="FFFFFF"/>
        <w:tabs>
          <w:tab w:val="left" w:pos="1320"/>
        </w:tabs>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 Yearly data collection:</w:t>
      </w:r>
      <w:r w:rsidR="00746DCE">
        <w:rPr>
          <w:rFonts w:eastAsia="Times New Roman" w:cstheme="minorHAnsi"/>
          <w:color w:val="4A4A4A"/>
          <w:sz w:val="21"/>
          <w:szCs w:val="21"/>
          <w:lang w:eastAsia="en-GB"/>
        </w:rPr>
        <w:t xml:space="preserve"> launch in Q3 of each year</w:t>
      </w:r>
    </w:p>
    <w:p w14:paraId="518613D3" w14:textId="77777777" w:rsidR="00E46D96" w:rsidRPr="00F719A8" w:rsidRDefault="00E46D96" w:rsidP="00F719A8">
      <w:pPr>
        <w:pStyle w:val="MHeader2"/>
      </w:pPr>
      <w:r w:rsidRPr="00A96255">
        <w:t xml:space="preserve">3.d. Data release calendar </w:t>
      </w:r>
      <w:r>
        <w:rPr>
          <w:color w:val="B4B4B4"/>
          <w:sz w:val="20"/>
        </w:rPr>
        <w:t>(REL_CAL_POLICY)</w:t>
      </w:r>
    </w:p>
    <w:p w14:paraId="1FB35C32" w14:textId="4DE23F14" w:rsidR="009128D5" w:rsidRPr="009128D5" w:rsidRDefault="002F4DC1" w:rsidP="009128D5">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 Annual data release (March)</w:t>
      </w:r>
      <w:r w:rsidR="009128D5" w:rsidRPr="009128D5">
        <w:rPr>
          <w:rFonts w:eastAsia="Times New Roman" w:cstheme="minorHAnsi"/>
          <w:color w:val="4A4A4A"/>
          <w:sz w:val="21"/>
          <w:szCs w:val="21"/>
          <w:lang w:eastAsia="en-GB"/>
        </w:rPr>
        <w:t xml:space="preserve">. </w:t>
      </w:r>
    </w:p>
    <w:p w14:paraId="3EE4BC23" w14:textId="77777777" w:rsidR="00EC2915" w:rsidRPr="00A96255" w:rsidRDefault="00EC2915" w:rsidP="00576CFA">
      <w:pPr>
        <w:pStyle w:val="MText"/>
      </w:pPr>
    </w:p>
    <w:p w14:paraId="6812599D" w14:textId="77777777" w:rsidR="00E46D96" w:rsidRPr="00A96255" w:rsidRDefault="00E46D96" w:rsidP="00F719A8">
      <w:pPr>
        <w:pStyle w:val="MHeader2"/>
      </w:pPr>
      <w:r w:rsidRPr="00A96255">
        <w:t xml:space="preserve">3.e. Data providers </w:t>
      </w:r>
      <w:r>
        <w:rPr>
          <w:color w:val="B4B4B4"/>
          <w:sz w:val="20"/>
        </w:rPr>
        <w:t>(DATA_SOURCE)</w:t>
      </w:r>
    </w:p>
    <w:p w14:paraId="2304C024" w14:textId="77777777" w:rsidR="009128D5" w:rsidRPr="009128D5" w:rsidRDefault="009128D5" w:rsidP="009128D5">
      <w:pPr>
        <w:shd w:val="clear" w:color="auto" w:fill="FFFFFF"/>
        <w:spacing w:after="0"/>
        <w:rPr>
          <w:rFonts w:eastAsia="Times New Roman" w:cstheme="minorHAnsi"/>
          <w:color w:val="4A4A4A"/>
          <w:sz w:val="21"/>
          <w:szCs w:val="21"/>
          <w:lang w:eastAsia="en-GB"/>
        </w:rPr>
      </w:pPr>
      <w:r w:rsidRPr="009128D5">
        <w:rPr>
          <w:rFonts w:eastAsia="Times New Roman" w:cstheme="minorHAnsi"/>
          <w:color w:val="4A4A4A"/>
          <w:sz w:val="21"/>
          <w:szCs w:val="21"/>
          <w:lang w:eastAsia="en-GB"/>
        </w:rPr>
        <w:t>National Statistical Offices: Focal point</w:t>
      </w:r>
    </w:p>
    <w:p w14:paraId="084BF255" w14:textId="77777777" w:rsidR="00EC2915" w:rsidRPr="00A96255" w:rsidRDefault="00EC2915" w:rsidP="00576CFA">
      <w:pPr>
        <w:pStyle w:val="MText"/>
      </w:pPr>
    </w:p>
    <w:p w14:paraId="649C64C5" w14:textId="77777777" w:rsidR="00E46D96" w:rsidRPr="00A96255" w:rsidRDefault="00E46D96" w:rsidP="00F719A8">
      <w:pPr>
        <w:pStyle w:val="MHeader2"/>
      </w:pPr>
      <w:r w:rsidRPr="00A96255">
        <w:t xml:space="preserve">3.f. Data compilers </w:t>
      </w:r>
      <w:r>
        <w:rPr>
          <w:color w:val="B4B4B4"/>
          <w:sz w:val="20"/>
        </w:rPr>
        <w:t>(COMPILING_ORG)</w:t>
      </w:r>
    </w:p>
    <w:p w14:paraId="5ED2B4C1" w14:textId="77777777" w:rsidR="009128D5" w:rsidRPr="009128D5" w:rsidRDefault="009128D5" w:rsidP="009128D5">
      <w:pPr>
        <w:shd w:val="clear" w:color="auto" w:fill="FFFFFF"/>
        <w:spacing w:after="0"/>
        <w:rPr>
          <w:rFonts w:eastAsia="Times New Roman" w:cstheme="minorHAnsi"/>
          <w:color w:val="4A4A4A"/>
          <w:sz w:val="21"/>
          <w:szCs w:val="21"/>
          <w:lang w:eastAsia="en-GB"/>
        </w:rPr>
      </w:pPr>
      <w:r w:rsidRPr="009128D5">
        <w:rPr>
          <w:rFonts w:eastAsia="Times New Roman" w:cstheme="minorHAnsi"/>
          <w:color w:val="4A4A4A"/>
          <w:sz w:val="21"/>
          <w:szCs w:val="21"/>
          <w:lang w:eastAsia="en-GB"/>
        </w:rPr>
        <w:t>UNESCO Institute for Statistics</w:t>
      </w:r>
    </w:p>
    <w:p w14:paraId="546D2C20" w14:textId="77777777" w:rsidR="00EC2915" w:rsidRPr="00A96255" w:rsidRDefault="00EC2915" w:rsidP="00576CFA">
      <w:pPr>
        <w:pStyle w:val="MText"/>
      </w:pPr>
    </w:p>
    <w:p w14:paraId="7B42A38F" w14:textId="77777777" w:rsidR="00E46D96" w:rsidRPr="00A96255" w:rsidRDefault="00E46D96" w:rsidP="00F719A8">
      <w:pPr>
        <w:pStyle w:val="MHeader2"/>
      </w:pPr>
      <w:r w:rsidRPr="00A96255">
        <w:lastRenderedPageBreak/>
        <w:t xml:space="preserve">3.g. Institutional mandate </w:t>
      </w:r>
      <w:r>
        <w:rPr>
          <w:color w:val="B4B4B4"/>
          <w:sz w:val="20"/>
        </w:rPr>
        <w:t>(INST_MANDATE)</w:t>
      </w:r>
    </w:p>
    <w:p w14:paraId="4689A048" w14:textId="77777777" w:rsidR="009B15CF" w:rsidRPr="001A69DA" w:rsidRDefault="009B15CF" w:rsidP="009B15CF">
      <w:pPr>
        <w:pBdr>
          <w:top w:val="nil"/>
          <w:left w:val="nil"/>
          <w:bottom w:val="nil"/>
          <w:right w:val="nil"/>
          <w:between w:val="nil"/>
        </w:pBdr>
        <w:shd w:val="clear" w:color="auto" w:fill="FFFFFF"/>
        <w:spacing w:after="0"/>
        <w:rPr>
          <w:rFonts w:eastAsia="Times New Roman" w:cs="Times New Roman"/>
          <w:color w:val="4A4A4A"/>
          <w:sz w:val="21"/>
          <w:szCs w:val="21"/>
          <w:lang w:eastAsia="en-GB"/>
        </w:rPr>
      </w:pPr>
      <w:r w:rsidRPr="001A69DA">
        <w:rPr>
          <w:rFonts w:eastAsia="Times New Roman" w:cs="Times New Roman"/>
          <w:color w:val="4A4A4A"/>
          <w:sz w:val="21"/>
          <w:szCs w:val="21"/>
          <w:lang w:eastAsia="en-GB"/>
        </w:rPr>
        <w:t>The UNESCO Institute for Statistics (UIS) is the statistical branch of the United Nations Educational, Scientific and Cultural Organization (UNESCO). The Institute produces internationally comparable data and methodologies in the fields of education, science, culture and communication for countries at all stages of development.</w:t>
      </w:r>
    </w:p>
    <w:p w14:paraId="28D6C366" w14:textId="77777777" w:rsidR="00E465DD" w:rsidRDefault="00E465DD" w:rsidP="00576CFA">
      <w:pPr>
        <w:pStyle w:val="MText"/>
      </w:pPr>
    </w:p>
    <w:p w14:paraId="5212E058" w14:textId="77777777" w:rsidR="00B31E2C" w:rsidRPr="00A96255" w:rsidRDefault="00B31E2C" w:rsidP="00AF5ED1">
      <w:pPr>
        <w:pStyle w:val="MHeader"/>
      </w:pPr>
      <w:r w:rsidRPr="00A96255">
        <w:t xml:space="preserve">4. Other methodological considerations </w:t>
      </w:r>
      <w:r>
        <w:rPr>
          <w:color w:val="B4B4B4"/>
          <w:sz w:val="20"/>
        </w:rPr>
        <w:t>(OTHER_METHOD)</w:t>
      </w:r>
    </w:p>
    <w:p w14:paraId="393563F7" w14:textId="77777777" w:rsidR="00AF5ED1" w:rsidRPr="00A96255" w:rsidRDefault="00576CFA" w:rsidP="00F719A8">
      <w:pPr>
        <w:pStyle w:val="MHeader2"/>
      </w:pPr>
      <w:r w:rsidRPr="00A96255">
        <w:t xml:space="preserve">4.a. Rationale </w:t>
      </w:r>
      <w:r>
        <w:rPr>
          <w:color w:val="B4B4B4"/>
          <w:sz w:val="20"/>
        </w:rPr>
        <w:t>(RATIONALE)</w:t>
      </w:r>
    </w:p>
    <w:p w14:paraId="5048C5F5" w14:textId="77777777" w:rsidR="00505B2B" w:rsidRPr="00D87235" w:rsidRDefault="00505B2B" w:rsidP="00505B2B">
      <w:pPr>
        <w:spacing w:after="0" w:line="240" w:lineRule="auto"/>
        <w:rPr>
          <w:rFonts w:ascii="Calibri" w:eastAsia="SimSun" w:hAnsi="Calibri" w:cs="Calibri"/>
          <w:color w:val="4A4A4A"/>
          <w:sz w:val="21"/>
          <w:szCs w:val="21"/>
        </w:rPr>
      </w:pPr>
      <w:r w:rsidRPr="00D87235">
        <w:rPr>
          <w:rFonts w:ascii="Calibri" w:eastAsia="SimSun" w:hAnsi="Calibri" w:cs="Calibri"/>
          <w:color w:val="4A4A4A"/>
          <w:sz w:val="21"/>
          <w:szCs w:val="21"/>
        </w:rPr>
        <w:t>This indicator measures the per capita expenditure (public and private) in the preservation, protection and conservation of cultural and/or natural heritage over time. To monitor change over time of national efforts for the protection and safeguard of cultural and/or natural heritage.</w:t>
      </w:r>
    </w:p>
    <w:p w14:paraId="12DF2FEF"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p>
    <w:p w14:paraId="173E94D5"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r w:rsidRPr="00D87235">
        <w:rPr>
          <w:rFonts w:ascii="Calibri" w:eastAsia="SimSun" w:hAnsi="Calibri" w:cs="Calibri"/>
          <w:color w:val="4A4A4A"/>
          <w:sz w:val="21"/>
          <w:szCs w:val="21"/>
        </w:rPr>
        <w:t>This indicator illustrates how financial efforts/actions made by public authorities, both at the local, national and international levels, alone or in partnership with civil society organizations (CSO) and the private sector, to protect and safeguard the world’s cultural and natural heritage has a direct impact in making cities and human settlements more sustainable. This means that cultural resources and assets are safeguarded to keep attracting/to attract people (inhabitants, workers, tourists, etc.) and financial investments, to ultimately enhance the total amount of expenditure. This indicator is a proxy to measure the target. </w:t>
      </w:r>
    </w:p>
    <w:p w14:paraId="56E05AE9" w14:textId="77777777" w:rsidR="00505B2B" w:rsidRPr="00D87235" w:rsidRDefault="00505B2B" w:rsidP="00505B2B">
      <w:pPr>
        <w:autoSpaceDE w:val="0"/>
        <w:autoSpaceDN w:val="0"/>
        <w:adjustRightInd w:val="0"/>
        <w:spacing w:after="0" w:line="240" w:lineRule="auto"/>
        <w:rPr>
          <w:rFonts w:ascii="Calibri" w:eastAsia="SimSun" w:hAnsi="Calibri" w:cs="Calibri"/>
          <w:color w:val="4A4A4A"/>
          <w:sz w:val="21"/>
          <w:szCs w:val="21"/>
        </w:rPr>
      </w:pPr>
    </w:p>
    <w:p w14:paraId="780C8AF0"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r w:rsidRPr="00D87235">
        <w:rPr>
          <w:rFonts w:ascii="Calibri" w:eastAsia="SimSun" w:hAnsi="Calibri" w:cs="Calibri"/>
          <w:color w:val="4A4A4A"/>
          <w:sz w:val="21"/>
          <w:szCs w:val="21"/>
        </w:rPr>
        <w:t>This indicator would allow insight into whether or not countries are strengthening their efforts into safeguarding their cultural and natural heritage. It will help to identify areas that require more attention for policy purposes.</w:t>
      </w:r>
    </w:p>
    <w:p w14:paraId="143B016A" w14:textId="77777777" w:rsidR="00505B2B" w:rsidRPr="00D87235" w:rsidRDefault="00505B2B" w:rsidP="00505B2B">
      <w:pPr>
        <w:autoSpaceDE w:val="0"/>
        <w:autoSpaceDN w:val="0"/>
        <w:adjustRightInd w:val="0"/>
        <w:spacing w:after="0" w:line="240" w:lineRule="auto"/>
        <w:jc w:val="both"/>
        <w:rPr>
          <w:rFonts w:ascii="Calibri" w:eastAsia="SimSun" w:hAnsi="Calibri" w:cs="Arial"/>
          <w:color w:val="4A4A4A"/>
          <w:sz w:val="21"/>
        </w:rPr>
      </w:pPr>
    </w:p>
    <w:p w14:paraId="36B20C76"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r w:rsidRPr="00D87235">
        <w:rPr>
          <w:rFonts w:ascii="Calibri" w:eastAsia="SimSun" w:hAnsi="Calibri" w:cs="Calibri"/>
          <w:color w:val="4A4A4A"/>
          <w:sz w:val="21"/>
          <w:szCs w:val="21"/>
        </w:rPr>
        <w:t>Expressing the indicator in PPP$ allows for comparison between countries and using constant values when looking at time-series is necessary to evaluate how real (eliminating the effects of inflation) resources evolve over time.</w:t>
      </w:r>
    </w:p>
    <w:p w14:paraId="6794D33F" w14:textId="77777777" w:rsidR="00576CFA" w:rsidRPr="00D87235" w:rsidRDefault="00576CFA" w:rsidP="00576CFA">
      <w:pPr>
        <w:pStyle w:val="MText"/>
      </w:pPr>
    </w:p>
    <w:p w14:paraId="5379038F" w14:textId="77777777" w:rsidR="00E1050F" w:rsidRPr="00A96255" w:rsidRDefault="00E1050F" w:rsidP="00F719A8">
      <w:pPr>
        <w:pStyle w:val="MHeader2"/>
      </w:pPr>
      <w:r w:rsidRPr="00A96255">
        <w:t xml:space="preserve">4.b. Comment and limitations </w:t>
      </w:r>
      <w:r>
        <w:rPr>
          <w:color w:val="B4B4B4"/>
          <w:sz w:val="20"/>
        </w:rPr>
        <w:t>(REC_USE_LIM)</w:t>
      </w:r>
    </w:p>
    <w:p w14:paraId="648A5F76" w14:textId="77777777" w:rsidR="00505B2B" w:rsidRPr="00D87235" w:rsidRDefault="00505B2B" w:rsidP="00505B2B">
      <w:pPr>
        <w:autoSpaceDE w:val="0"/>
        <w:autoSpaceDN w:val="0"/>
        <w:adjustRightInd w:val="0"/>
        <w:spacing w:after="0" w:line="240" w:lineRule="auto"/>
        <w:ind w:left="360" w:hanging="360"/>
        <w:jc w:val="both"/>
        <w:rPr>
          <w:rFonts w:ascii="Calibri" w:eastAsia="SimSun" w:hAnsi="Calibri" w:cs="Calibri"/>
          <w:color w:val="4A4A4A"/>
          <w:sz w:val="21"/>
          <w:szCs w:val="21"/>
        </w:rPr>
      </w:pPr>
      <w:r w:rsidRPr="00D87235">
        <w:rPr>
          <w:rFonts w:ascii="Calibri" w:eastAsia="SimSun" w:hAnsi="Calibri" w:cs="Calibri"/>
          <w:color w:val="4A4A4A"/>
          <w:sz w:val="21"/>
          <w:szCs w:val="21"/>
        </w:rPr>
        <w:t xml:space="preserve">1) </w:t>
      </w:r>
      <w:r w:rsidRPr="00D87235">
        <w:rPr>
          <w:rFonts w:ascii="Calibri" w:eastAsia="SimSun" w:hAnsi="Calibri" w:cs="Calibri"/>
          <w:color w:val="4A4A4A"/>
          <w:sz w:val="21"/>
          <w:szCs w:val="21"/>
        </w:rPr>
        <w:tab/>
        <w:t>In general, the availability of public expenditure data for heritage varies between countries.</w:t>
      </w:r>
    </w:p>
    <w:p w14:paraId="2B7D1BE4"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p>
    <w:p w14:paraId="79A3D47D" w14:textId="77777777" w:rsidR="00505B2B" w:rsidRPr="00D87235" w:rsidRDefault="00505B2B" w:rsidP="00505B2B">
      <w:pPr>
        <w:autoSpaceDE w:val="0"/>
        <w:autoSpaceDN w:val="0"/>
        <w:adjustRightInd w:val="0"/>
        <w:spacing w:after="0" w:line="240" w:lineRule="auto"/>
        <w:ind w:left="360" w:hanging="360"/>
        <w:jc w:val="both"/>
        <w:rPr>
          <w:rFonts w:ascii="Calibri" w:eastAsia="SimSun" w:hAnsi="Calibri" w:cs="Calibri"/>
          <w:color w:val="4A4A4A"/>
          <w:sz w:val="21"/>
          <w:szCs w:val="21"/>
        </w:rPr>
      </w:pPr>
      <w:r w:rsidRPr="00D87235">
        <w:rPr>
          <w:rFonts w:ascii="Calibri" w:eastAsia="SimSun" w:hAnsi="Calibri" w:cs="Calibri"/>
          <w:color w:val="4A4A4A"/>
          <w:sz w:val="21"/>
          <w:szCs w:val="21"/>
        </w:rPr>
        <w:t xml:space="preserve">2) </w:t>
      </w:r>
      <w:r w:rsidRPr="00D87235">
        <w:rPr>
          <w:rFonts w:ascii="Calibri" w:eastAsia="SimSun" w:hAnsi="Calibri" w:cs="Calibri"/>
          <w:color w:val="4A4A4A"/>
          <w:sz w:val="21"/>
          <w:szCs w:val="21"/>
        </w:rPr>
        <w:tab/>
        <w:t xml:space="preserve">In general, the availability of private expenditure data for heritage is significantly lower so that it will take several years, capacity building, and financial investment in order to increase coverage to an acceptable level. </w:t>
      </w:r>
    </w:p>
    <w:p w14:paraId="1D1BB75F" w14:textId="77777777" w:rsidR="00505B2B" w:rsidRPr="00D87235" w:rsidRDefault="00505B2B" w:rsidP="00505B2B">
      <w:pPr>
        <w:autoSpaceDE w:val="0"/>
        <w:autoSpaceDN w:val="0"/>
        <w:adjustRightInd w:val="0"/>
        <w:spacing w:after="0" w:line="240" w:lineRule="auto"/>
        <w:ind w:left="360" w:hanging="360"/>
        <w:jc w:val="both"/>
        <w:rPr>
          <w:rFonts w:ascii="Calibri" w:eastAsia="SimSun" w:hAnsi="Calibri" w:cs="Calibri"/>
          <w:color w:val="4A4A4A"/>
          <w:sz w:val="21"/>
          <w:szCs w:val="21"/>
        </w:rPr>
      </w:pPr>
    </w:p>
    <w:p w14:paraId="4B568A02"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r w:rsidRPr="00D87235">
        <w:rPr>
          <w:rFonts w:ascii="Calibri" w:eastAsia="SimSun" w:hAnsi="Calibri" w:cs="Calibri"/>
          <w:color w:val="4A4A4A"/>
          <w:sz w:val="21"/>
          <w:szCs w:val="21"/>
        </w:rPr>
        <w:t>This indicator comprises public and private monetary investments in heritage. It does not measure non-monetary factors such as national regulations or national/local policies for the preservation, protection and conservation of national cultural and/or natural heritage including World Heritage. These policies could take the form of fiscal incentives such as tax benefits for donations or sponsorships.</w:t>
      </w:r>
    </w:p>
    <w:p w14:paraId="51F9480A" w14:textId="77777777" w:rsidR="00505B2B" w:rsidRPr="00D87235" w:rsidRDefault="00505B2B" w:rsidP="00505B2B">
      <w:pPr>
        <w:autoSpaceDE w:val="0"/>
        <w:autoSpaceDN w:val="0"/>
        <w:adjustRightInd w:val="0"/>
        <w:spacing w:after="0" w:line="240" w:lineRule="auto"/>
        <w:rPr>
          <w:rFonts w:ascii="Calibri" w:eastAsia="SimSun" w:hAnsi="Calibri" w:cs="Calibri"/>
          <w:color w:val="4A4A4A"/>
          <w:sz w:val="21"/>
          <w:szCs w:val="21"/>
        </w:rPr>
      </w:pPr>
    </w:p>
    <w:p w14:paraId="634D9540"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r w:rsidRPr="00D87235">
        <w:rPr>
          <w:rFonts w:ascii="Calibri" w:eastAsia="SimSun" w:hAnsi="Calibri" w:cs="Calibri"/>
          <w:color w:val="4A4A4A"/>
          <w:sz w:val="21"/>
          <w:szCs w:val="21"/>
        </w:rPr>
        <w:t>International definitions and concepts that will support the harmonization of the data and indicators for cultural and natural heritage will be defined according to the 2009 UNESCO Framework for cultural statistics.</w:t>
      </w:r>
    </w:p>
    <w:p w14:paraId="3263AE7D" w14:textId="77777777" w:rsidR="00505B2B" w:rsidRPr="00D87235" w:rsidRDefault="00505B2B" w:rsidP="00505B2B">
      <w:pPr>
        <w:autoSpaceDE w:val="0"/>
        <w:autoSpaceDN w:val="0"/>
        <w:adjustRightInd w:val="0"/>
        <w:spacing w:after="0" w:line="240" w:lineRule="auto"/>
        <w:rPr>
          <w:rFonts w:ascii="Calibri" w:eastAsia="SimSun" w:hAnsi="Calibri" w:cs="Calibri"/>
          <w:color w:val="4A4A4A"/>
          <w:sz w:val="21"/>
          <w:szCs w:val="21"/>
        </w:rPr>
      </w:pPr>
    </w:p>
    <w:p w14:paraId="3529BD04" w14:textId="77777777" w:rsidR="00505B2B" w:rsidRPr="00D87235" w:rsidRDefault="00505B2B" w:rsidP="00505B2B">
      <w:pPr>
        <w:autoSpaceDE w:val="0"/>
        <w:autoSpaceDN w:val="0"/>
        <w:adjustRightInd w:val="0"/>
        <w:spacing w:after="0" w:line="240" w:lineRule="auto"/>
        <w:rPr>
          <w:rFonts w:ascii="Calibri" w:eastAsia="SimSun" w:hAnsi="Calibri" w:cs="Calibri"/>
          <w:color w:val="4A4A4A"/>
          <w:sz w:val="21"/>
          <w:szCs w:val="21"/>
        </w:rPr>
      </w:pPr>
      <w:r w:rsidRPr="00D87235">
        <w:rPr>
          <w:rFonts w:ascii="Calibri" w:eastAsia="SimSun" w:hAnsi="Calibri" w:cs="Calibri"/>
          <w:color w:val="4A4A4A"/>
          <w:sz w:val="21"/>
          <w:szCs w:val="21"/>
        </w:rPr>
        <w:t xml:space="preserve">The use of existing international classifications such as the Classification of the Function of the Government (COFOG) could be used. </w:t>
      </w:r>
    </w:p>
    <w:p w14:paraId="1D45007F" w14:textId="77777777" w:rsidR="00EC2915" w:rsidRPr="00D87235" w:rsidRDefault="00EC2915" w:rsidP="00576CFA">
      <w:pPr>
        <w:pStyle w:val="MText"/>
      </w:pPr>
    </w:p>
    <w:p w14:paraId="7B30CAE5" w14:textId="77777777" w:rsidR="00E1050F" w:rsidRPr="00A96255" w:rsidRDefault="00E1050F" w:rsidP="00F719A8">
      <w:pPr>
        <w:pStyle w:val="MHeader2"/>
      </w:pPr>
      <w:r w:rsidRPr="00A96255">
        <w:t xml:space="preserve">4.c. Method of computation </w:t>
      </w:r>
      <w:r>
        <w:rPr>
          <w:color w:val="B4B4B4"/>
          <w:sz w:val="20"/>
        </w:rPr>
        <w:t>(DATA_COMP)</w:t>
      </w:r>
    </w:p>
    <w:p w14:paraId="19E4AD54"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1"/>
          <w:szCs w:val="21"/>
        </w:rPr>
      </w:pPr>
      <w:r w:rsidRPr="00D87235">
        <w:rPr>
          <w:rFonts w:ascii="Calibri" w:eastAsia="SimSun" w:hAnsi="Calibri" w:cs="Calibri"/>
          <w:color w:val="4A4A4A"/>
          <w:sz w:val="21"/>
          <w:szCs w:val="21"/>
        </w:rPr>
        <w:lastRenderedPageBreak/>
        <w:t>The indicator is calculated by dividing total public funding in heritage (i.e. including transfers paid but excluding transfers received) from government (central, regional, local) and the total of private funding from households, other private sources such as donations, sponsorships or international sources in a given year by the number of inhabitants and by the PPP$ conversion factor.</w:t>
      </w:r>
    </w:p>
    <w:p w14:paraId="74DA25FC" w14:textId="77777777" w:rsidR="00505B2B" w:rsidRPr="00D87235" w:rsidRDefault="00505B2B" w:rsidP="00505B2B">
      <w:pPr>
        <w:autoSpaceDE w:val="0"/>
        <w:autoSpaceDN w:val="0"/>
        <w:adjustRightInd w:val="0"/>
        <w:spacing w:after="0" w:line="240" w:lineRule="auto"/>
        <w:rPr>
          <w:rFonts w:ascii="Calibri" w:eastAsia="SimSun" w:hAnsi="Calibri" w:cs="Calibri"/>
          <w:color w:val="4A4A4A"/>
          <w:sz w:val="21"/>
          <w:szCs w:val="21"/>
        </w:rPr>
      </w:pPr>
    </w:p>
    <w:p w14:paraId="6FF036C5" w14:textId="77777777" w:rsidR="00505B2B" w:rsidRPr="00D87235" w:rsidRDefault="00505B2B" w:rsidP="00505B2B">
      <w:pPr>
        <w:autoSpaceDE w:val="0"/>
        <w:autoSpaceDN w:val="0"/>
        <w:adjustRightInd w:val="0"/>
        <w:spacing w:after="0" w:line="240" w:lineRule="auto"/>
        <w:rPr>
          <w:rFonts w:ascii="Calibri" w:eastAsia="SimSun" w:hAnsi="Calibri" w:cs="Calibri"/>
          <w:color w:val="4A4A4A"/>
          <w:sz w:val="21"/>
          <w:szCs w:val="21"/>
        </w:rPr>
      </w:pPr>
      <w:proofErr w:type="spellStart"/>
      <w:r w:rsidRPr="00D87235">
        <w:rPr>
          <w:rFonts w:ascii="Calibri" w:eastAsia="SimSun" w:hAnsi="Calibri" w:cs="Calibri"/>
          <w:color w:val="4A4A4A"/>
          <w:sz w:val="21"/>
          <w:szCs w:val="21"/>
        </w:rPr>
        <w:t>HCExp</w:t>
      </w:r>
      <w:proofErr w:type="spellEnd"/>
      <w:r w:rsidRPr="00D87235">
        <w:rPr>
          <w:rFonts w:ascii="Calibri" w:eastAsia="SimSun" w:hAnsi="Calibri" w:cs="Calibri"/>
          <w:color w:val="4A4A4A"/>
          <w:sz w:val="21"/>
          <w:szCs w:val="21"/>
        </w:rPr>
        <w:t xml:space="preserve"> per capita   </w:t>
      </w:r>
      <m:oMath>
        <m:d>
          <m:dPr>
            <m:ctrlPr>
              <w:rPr>
                <w:rFonts w:ascii="Cambria Math" w:eastAsia="SimSun" w:hAnsi="Cambria Math" w:cs="Calibri"/>
                <w:i/>
                <w:color w:val="4A4A4A"/>
                <w:sz w:val="21"/>
                <w:szCs w:val="21"/>
              </w:rPr>
            </m:ctrlPr>
          </m:dPr>
          <m:e>
            <m:f>
              <m:fPr>
                <m:ctrlPr>
                  <w:rPr>
                    <w:rFonts w:ascii="Cambria Math" w:eastAsia="SimSun" w:hAnsi="Cambria Math" w:cs="Calibri"/>
                    <w:i/>
                    <w:color w:val="4A4A4A"/>
                    <w:sz w:val="21"/>
                    <w:szCs w:val="21"/>
                  </w:rPr>
                </m:ctrlPr>
              </m:fPr>
              <m:num>
                <m:nary>
                  <m:naryPr>
                    <m:chr m:val="∑"/>
                    <m:limLoc m:val="undOvr"/>
                    <m:subHide m:val="1"/>
                    <m:supHide m:val="1"/>
                    <m:ctrlPr>
                      <w:rPr>
                        <w:rFonts w:ascii="Cambria Math" w:eastAsia="SimSun" w:hAnsi="Cambria Math" w:cs="Calibri"/>
                        <w:i/>
                        <w:color w:val="4A4A4A"/>
                        <w:sz w:val="21"/>
                        <w:szCs w:val="21"/>
                      </w:rPr>
                    </m:ctrlPr>
                  </m:naryPr>
                  <m:sub/>
                  <m:sup/>
                  <m:e>
                    <m:sSub>
                      <m:sSubPr>
                        <m:ctrlPr>
                          <w:rPr>
                            <w:rFonts w:ascii="Cambria Math" w:eastAsia="SimSun" w:hAnsi="Cambria Math" w:cs="Calibri"/>
                            <w:i/>
                            <w:color w:val="4A4A4A"/>
                            <w:sz w:val="21"/>
                            <w:szCs w:val="21"/>
                          </w:rPr>
                        </m:ctrlPr>
                      </m:sSubPr>
                      <m:e>
                        <m:r>
                          <w:rPr>
                            <w:rFonts w:ascii="Cambria Math" w:eastAsia="SimSun" w:hAnsi="Cambria Math" w:cs="Calibri"/>
                            <w:color w:val="4A4A4A"/>
                            <w:sz w:val="21"/>
                            <w:szCs w:val="21"/>
                          </w:rPr>
                          <m:t>Exp</m:t>
                        </m:r>
                      </m:e>
                      <m:sub>
                        <m:r>
                          <w:rPr>
                            <w:rFonts w:ascii="Cambria Math" w:eastAsia="SimSun" w:hAnsi="Cambria Math" w:cs="Calibri"/>
                            <w:color w:val="4A4A4A"/>
                            <w:sz w:val="21"/>
                            <w:szCs w:val="21"/>
                          </w:rPr>
                          <m:t>pu</m:t>
                        </m:r>
                      </m:sub>
                    </m:sSub>
                    <m:r>
                      <w:rPr>
                        <w:rFonts w:ascii="Cambria Math" w:eastAsia="SimSun" w:hAnsi="Cambria Math" w:cs="Calibri"/>
                        <w:color w:val="4A4A4A"/>
                        <w:sz w:val="21"/>
                        <w:szCs w:val="21"/>
                      </w:rPr>
                      <m:t>+</m:t>
                    </m:r>
                    <m:sSub>
                      <m:sSubPr>
                        <m:ctrlPr>
                          <w:rPr>
                            <w:rFonts w:ascii="Cambria Math" w:eastAsia="SimSun" w:hAnsi="Cambria Math" w:cs="Calibri"/>
                            <w:i/>
                            <w:color w:val="4A4A4A"/>
                            <w:sz w:val="21"/>
                            <w:szCs w:val="21"/>
                          </w:rPr>
                        </m:ctrlPr>
                      </m:sSubPr>
                      <m:e>
                        <m:r>
                          <w:rPr>
                            <w:rFonts w:ascii="Cambria Math" w:eastAsia="SimSun" w:hAnsi="Cambria Math" w:cs="Calibri"/>
                            <w:color w:val="4A4A4A"/>
                            <w:sz w:val="21"/>
                            <w:szCs w:val="21"/>
                          </w:rPr>
                          <m:t>Exp</m:t>
                        </m:r>
                      </m:e>
                      <m:sub>
                        <m:r>
                          <w:rPr>
                            <w:rFonts w:ascii="Cambria Math" w:eastAsia="SimSun" w:hAnsi="Cambria Math" w:cs="Calibri"/>
                            <w:color w:val="4A4A4A"/>
                            <w:sz w:val="21"/>
                            <w:szCs w:val="21"/>
                          </w:rPr>
                          <m:t>pr</m:t>
                        </m:r>
                      </m:sub>
                    </m:sSub>
                  </m:e>
                </m:nary>
              </m:num>
              <m:den>
                <m:r>
                  <w:rPr>
                    <w:rFonts w:ascii="Cambria Math" w:eastAsia="SimSun" w:hAnsi="Cambria Math" w:cs="Calibri"/>
                    <w:color w:val="4A4A4A"/>
                    <w:sz w:val="21"/>
                    <w:szCs w:val="21"/>
                  </w:rPr>
                  <m:t>Population</m:t>
                </m:r>
              </m:den>
            </m:f>
          </m:e>
        </m:d>
        <m:r>
          <w:rPr>
            <w:rFonts w:ascii="Cambria Math" w:eastAsia="SimSun" w:hAnsi="Cambria Math" w:cs="Calibri"/>
            <w:color w:val="4A4A4A"/>
            <w:sz w:val="21"/>
            <w:szCs w:val="21"/>
          </w:rPr>
          <m:t>/PPPf</m:t>
        </m:r>
      </m:oMath>
      <w:r w:rsidRPr="00D87235">
        <w:rPr>
          <w:rFonts w:ascii="Calibri" w:eastAsia="SimSun" w:hAnsi="Calibri" w:cs="Calibri"/>
          <w:color w:val="4A4A4A"/>
          <w:sz w:val="21"/>
          <w:szCs w:val="21"/>
        </w:rPr>
        <w:t xml:space="preserve"> </w:t>
      </w:r>
    </w:p>
    <w:p w14:paraId="6D721814" w14:textId="77777777" w:rsidR="00505B2B" w:rsidRPr="00D87235" w:rsidRDefault="00505B2B" w:rsidP="00505B2B">
      <w:pPr>
        <w:autoSpaceDE w:val="0"/>
        <w:autoSpaceDN w:val="0"/>
        <w:adjustRightInd w:val="0"/>
        <w:spacing w:after="0" w:line="240" w:lineRule="auto"/>
        <w:rPr>
          <w:rFonts w:ascii="Calibri" w:eastAsia="SimSun" w:hAnsi="Calibri" w:cs="Calibri"/>
          <w:color w:val="4A4A4A"/>
          <w:sz w:val="21"/>
          <w:szCs w:val="21"/>
        </w:rPr>
      </w:pPr>
    </w:p>
    <w:p w14:paraId="4D12A27D" w14:textId="77777777" w:rsidR="00AD0A63" w:rsidRDefault="00AD0A63" w:rsidP="00505B2B">
      <w:pPr>
        <w:autoSpaceDE w:val="0"/>
        <w:autoSpaceDN w:val="0"/>
        <w:adjustRightInd w:val="0"/>
        <w:spacing w:after="0" w:line="240" w:lineRule="auto"/>
        <w:rPr>
          <w:rFonts w:ascii="Calibri" w:eastAsia="SimSun" w:hAnsi="Calibri" w:cs="Calibri"/>
          <w:color w:val="4A4A4A"/>
          <w:sz w:val="21"/>
          <w:szCs w:val="21"/>
        </w:rPr>
      </w:pPr>
      <w:r>
        <w:rPr>
          <w:rFonts w:ascii="Calibri" w:eastAsia="SimSun" w:hAnsi="Calibri" w:cs="Calibri"/>
          <w:color w:val="4A4A4A"/>
          <w:sz w:val="21"/>
          <w:szCs w:val="21"/>
        </w:rPr>
        <w:t>Where:</w:t>
      </w:r>
    </w:p>
    <w:p w14:paraId="5EF06C8D" w14:textId="77777777" w:rsidR="00505B2B" w:rsidRPr="00D87235" w:rsidRDefault="00505B2B" w:rsidP="00505B2B">
      <w:pPr>
        <w:autoSpaceDE w:val="0"/>
        <w:autoSpaceDN w:val="0"/>
        <w:adjustRightInd w:val="0"/>
        <w:spacing w:after="0" w:line="240" w:lineRule="auto"/>
        <w:rPr>
          <w:rFonts w:ascii="Calibri" w:eastAsia="SimSun" w:hAnsi="Calibri" w:cs="Calibri"/>
          <w:color w:val="4A4A4A"/>
          <w:sz w:val="21"/>
          <w:szCs w:val="21"/>
        </w:rPr>
      </w:pPr>
      <w:proofErr w:type="spellStart"/>
      <w:r w:rsidRPr="00D87235">
        <w:rPr>
          <w:rFonts w:ascii="Calibri" w:eastAsia="SimSun" w:hAnsi="Calibri" w:cs="Calibri"/>
          <w:color w:val="4A4A4A"/>
          <w:sz w:val="21"/>
          <w:szCs w:val="21"/>
        </w:rPr>
        <w:t>HCExp</w:t>
      </w:r>
      <w:proofErr w:type="spellEnd"/>
      <w:r w:rsidRPr="00D87235">
        <w:rPr>
          <w:rFonts w:ascii="Calibri" w:eastAsia="SimSun" w:hAnsi="Calibri" w:cs="Calibri"/>
          <w:color w:val="4A4A4A"/>
          <w:sz w:val="21"/>
          <w:szCs w:val="21"/>
        </w:rPr>
        <w:t xml:space="preserve"> per capita = Expenditure per inhabitant in heritage in constant PPP$</w:t>
      </w:r>
    </w:p>
    <w:p w14:paraId="48814094" w14:textId="77777777" w:rsidR="00505B2B" w:rsidRPr="00D87235" w:rsidRDefault="00505B2B" w:rsidP="00505B2B">
      <w:pPr>
        <w:spacing w:before="100" w:beforeAutospacing="1" w:after="100" w:afterAutospacing="1" w:line="240" w:lineRule="auto"/>
        <w:rPr>
          <w:rFonts w:ascii="Calibri" w:eastAsia="SimSun" w:hAnsi="Calibri" w:cs="Calibri"/>
          <w:color w:val="4A4A4A"/>
          <w:sz w:val="21"/>
          <w:szCs w:val="21"/>
        </w:rPr>
      </w:pPr>
      <w:r w:rsidRPr="00D87235">
        <w:rPr>
          <w:rFonts w:ascii="Calibri" w:eastAsia="SimSun" w:hAnsi="Calibri" w:cs="Calibri"/>
          <w:color w:val="4A4A4A"/>
          <w:sz w:val="21"/>
          <w:szCs w:val="21"/>
        </w:rPr>
        <w:t>HC Exp = Expenditure on Preservation, Protection and Conservation of all cultural and/or natural heritage</w:t>
      </w:r>
    </w:p>
    <w:p w14:paraId="21974210" w14:textId="77777777" w:rsidR="00505B2B" w:rsidRPr="00D87235" w:rsidRDefault="00505B2B" w:rsidP="00505B2B">
      <w:pPr>
        <w:spacing w:before="100" w:beforeAutospacing="1" w:after="100" w:afterAutospacing="1" w:line="240" w:lineRule="auto"/>
        <w:ind w:left="846" w:hanging="846"/>
        <w:rPr>
          <w:rFonts w:ascii="Calibri" w:eastAsia="SimSun" w:hAnsi="Calibri" w:cs="Calibri"/>
          <w:color w:val="4A4A4A"/>
          <w:sz w:val="21"/>
          <w:szCs w:val="21"/>
        </w:rPr>
      </w:pPr>
      <w:proofErr w:type="spellStart"/>
      <w:r w:rsidRPr="00D87235">
        <w:rPr>
          <w:rFonts w:ascii="Calibri" w:eastAsia="SimSun" w:hAnsi="Calibri" w:cs="Calibri"/>
          <w:i/>
          <w:color w:val="4A4A4A"/>
          <w:sz w:val="21"/>
          <w:szCs w:val="21"/>
        </w:rPr>
        <w:t>Exp</w:t>
      </w:r>
      <w:r w:rsidRPr="00D87235">
        <w:rPr>
          <w:rFonts w:ascii="Calibri" w:eastAsia="SimSun" w:hAnsi="Calibri" w:cs="Calibri"/>
          <w:i/>
          <w:color w:val="4A4A4A"/>
          <w:sz w:val="21"/>
          <w:szCs w:val="21"/>
          <w:vertAlign w:val="subscript"/>
        </w:rPr>
        <w:t>pu</w:t>
      </w:r>
      <w:proofErr w:type="spellEnd"/>
      <w:r w:rsidRPr="00D87235">
        <w:rPr>
          <w:rFonts w:ascii="Calibri" w:eastAsia="SimSun" w:hAnsi="Calibri" w:cs="Calibri"/>
          <w:color w:val="4A4A4A"/>
          <w:sz w:val="21"/>
          <w:szCs w:val="21"/>
        </w:rPr>
        <w:t>= Sum of public expenditure by all levels of government on the preservation, protection and conservation of cultural and/or natural heritage</w:t>
      </w:r>
    </w:p>
    <w:p w14:paraId="42CE208D" w14:textId="77777777" w:rsidR="00505B2B" w:rsidRDefault="00505B2B" w:rsidP="00505B2B">
      <w:pPr>
        <w:autoSpaceDE w:val="0"/>
        <w:autoSpaceDN w:val="0"/>
        <w:adjustRightInd w:val="0"/>
        <w:spacing w:after="0" w:line="240" w:lineRule="auto"/>
        <w:rPr>
          <w:rFonts w:ascii="Calibri" w:eastAsia="SimSun" w:hAnsi="Calibri" w:cs="Calibri"/>
          <w:color w:val="4A4A4A"/>
          <w:sz w:val="21"/>
          <w:szCs w:val="21"/>
        </w:rPr>
      </w:pPr>
      <w:proofErr w:type="spellStart"/>
      <w:r w:rsidRPr="00D87235">
        <w:rPr>
          <w:rFonts w:ascii="Calibri" w:eastAsia="SimSun" w:hAnsi="Calibri" w:cs="Calibri"/>
          <w:i/>
          <w:color w:val="4A4A4A"/>
          <w:sz w:val="21"/>
          <w:szCs w:val="21"/>
        </w:rPr>
        <w:t>Exp</w:t>
      </w:r>
      <w:r w:rsidRPr="00D87235">
        <w:rPr>
          <w:rFonts w:ascii="Calibri" w:eastAsia="SimSun" w:hAnsi="Calibri" w:cs="Calibri"/>
          <w:i/>
          <w:color w:val="4A4A4A"/>
          <w:sz w:val="21"/>
          <w:szCs w:val="21"/>
          <w:vertAlign w:val="subscript"/>
        </w:rPr>
        <w:t>pr</w:t>
      </w:r>
      <w:proofErr w:type="spellEnd"/>
      <w:r w:rsidRPr="00D87235">
        <w:rPr>
          <w:rFonts w:ascii="Calibri" w:eastAsia="SimSun" w:hAnsi="Calibri" w:cs="Calibri"/>
          <w:color w:val="4A4A4A"/>
          <w:sz w:val="21"/>
          <w:szCs w:val="21"/>
        </w:rPr>
        <w:t xml:space="preserve"> = Sum of all types of private expenditure on the preservation, protection and conservation of cultural and/or natural heritage</w:t>
      </w:r>
    </w:p>
    <w:p w14:paraId="78C398A9" w14:textId="77777777" w:rsidR="00904FAD" w:rsidRPr="00D87235" w:rsidRDefault="00904FAD" w:rsidP="00505B2B">
      <w:pPr>
        <w:autoSpaceDE w:val="0"/>
        <w:autoSpaceDN w:val="0"/>
        <w:adjustRightInd w:val="0"/>
        <w:spacing w:after="0" w:line="240" w:lineRule="auto"/>
        <w:rPr>
          <w:rFonts w:ascii="Calibri" w:eastAsia="SimSun" w:hAnsi="Calibri" w:cs="Calibri"/>
          <w:color w:val="4A4A4A"/>
          <w:sz w:val="21"/>
          <w:szCs w:val="21"/>
        </w:rPr>
      </w:pPr>
    </w:p>
    <w:p w14:paraId="02C48AA0" w14:textId="77777777" w:rsidR="00505B2B" w:rsidRPr="00D87235" w:rsidRDefault="00505B2B" w:rsidP="00873266">
      <w:pPr>
        <w:spacing w:after="0" w:line="240" w:lineRule="auto"/>
        <w:rPr>
          <w:rFonts w:ascii="Calibri" w:eastAsia="SimSun" w:hAnsi="Calibri" w:cs="Calibri"/>
          <w:color w:val="4A4A4A"/>
          <w:sz w:val="21"/>
          <w:szCs w:val="21"/>
        </w:rPr>
      </w:pPr>
      <w:proofErr w:type="spellStart"/>
      <w:r w:rsidRPr="00D87235">
        <w:rPr>
          <w:rFonts w:ascii="Calibri" w:eastAsia="SimSun" w:hAnsi="Calibri" w:cs="Calibri"/>
          <w:color w:val="4A4A4A"/>
          <w:sz w:val="21"/>
          <w:szCs w:val="21"/>
        </w:rPr>
        <w:t>PPPf</w:t>
      </w:r>
      <w:proofErr w:type="spellEnd"/>
      <w:r w:rsidRPr="00D87235">
        <w:rPr>
          <w:rFonts w:ascii="Calibri" w:eastAsia="SimSun" w:hAnsi="Calibri" w:cs="Calibri"/>
          <w:color w:val="4A4A4A"/>
          <w:sz w:val="21"/>
          <w:szCs w:val="21"/>
        </w:rPr>
        <w:t xml:space="preserve">: Purchase Power Parity = PPP Constant $ conversion factor </w:t>
      </w:r>
    </w:p>
    <w:p w14:paraId="4906E016" w14:textId="77777777" w:rsidR="00576CFA" w:rsidRPr="00D87235" w:rsidRDefault="00576CFA" w:rsidP="00576CFA">
      <w:pPr>
        <w:pStyle w:val="MText"/>
      </w:pPr>
    </w:p>
    <w:p w14:paraId="27CF7C2B" w14:textId="77777777" w:rsidR="00E1050F" w:rsidRPr="00A96255" w:rsidRDefault="00576CFA" w:rsidP="00F719A8">
      <w:pPr>
        <w:pStyle w:val="MHeader2"/>
      </w:pPr>
      <w:r w:rsidRPr="00A96255">
        <w:t xml:space="preserve">4.d. Validation </w:t>
      </w:r>
      <w:r>
        <w:rPr>
          <w:color w:val="B4B4B4"/>
          <w:sz w:val="20"/>
        </w:rPr>
        <w:t>(DATA_VALIDATION)</w:t>
      </w:r>
    </w:p>
    <w:p w14:paraId="5DDB55BC" w14:textId="77777777" w:rsidR="00EC2915" w:rsidRDefault="00D446C1" w:rsidP="00576CFA">
      <w:pPr>
        <w:pStyle w:val="MText"/>
      </w:pPr>
      <w:r>
        <w:t>For each</w:t>
      </w:r>
      <w:r w:rsidRPr="00D446C1">
        <w:t xml:space="preserve"> questionnaire received from countries, UIS execute</w:t>
      </w:r>
      <w:r>
        <w:t>s</w:t>
      </w:r>
      <w:r w:rsidRPr="00D446C1">
        <w:t xml:space="preserve"> a series of quality checks and send back a data </w:t>
      </w:r>
      <w:r w:rsidR="00E76382">
        <w:t xml:space="preserve">processing </w:t>
      </w:r>
      <w:r w:rsidRPr="00D446C1">
        <w:t xml:space="preserve">report </w:t>
      </w:r>
      <w:r w:rsidR="00E76382" w:rsidRPr="00E76382">
        <w:t xml:space="preserve">identifying problematic issues/inconsistent data to countries for </w:t>
      </w:r>
      <w:r w:rsidR="00E76382">
        <w:t>their feedback on corrections.</w:t>
      </w:r>
    </w:p>
    <w:p w14:paraId="4274FE84" w14:textId="77777777" w:rsidR="00904FAD" w:rsidRDefault="00904FAD" w:rsidP="00576CFA">
      <w:pPr>
        <w:pStyle w:val="MText"/>
      </w:pPr>
    </w:p>
    <w:p w14:paraId="1D54D30A" w14:textId="77777777" w:rsidR="00E1050F" w:rsidRPr="00A96255" w:rsidRDefault="00E1050F" w:rsidP="00F719A8">
      <w:pPr>
        <w:pStyle w:val="MHeader2"/>
      </w:pPr>
      <w:r w:rsidRPr="00A96255">
        <w:t xml:space="preserve">4.e. Adjustments </w:t>
      </w:r>
      <w:r>
        <w:rPr>
          <w:color w:val="B4B4B4"/>
          <w:sz w:val="20"/>
        </w:rPr>
        <w:t>(ADJUSTMENT)</w:t>
      </w:r>
    </w:p>
    <w:p w14:paraId="5A30EC3D" w14:textId="77777777" w:rsidR="00D446C1" w:rsidRPr="00D446C1" w:rsidRDefault="00D446C1" w:rsidP="00576CFA">
      <w:pPr>
        <w:pStyle w:val="MText"/>
      </w:pPr>
      <w:r w:rsidRPr="00D446C1">
        <w:t xml:space="preserve">To inform of any discrepancy between standard classification and national practice, adequate metadata and footnote are created to </w:t>
      </w:r>
      <w:r w:rsidR="004C3855">
        <w:t>adequately document the results</w:t>
      </w:r>
      <w:r w:rsidRPr="00D446C1">
        <w:t>.</w:t>
      </w:r>
    </w:p>
    <w:p w14:paraId="21E3D68D" w14:textId="77777777" w:rsidR="00EC2915" w:rsidRPr="00A96255" w:rsidRDefault="00EC2915" w:rsidP="00576CFA">
      <w:pPr>
        <w:pStyle w:val="MText"/>
      </w:pPr>
    </w:p>
    <w:p w14:paraId="3CAA9266" w14:textId="77777777"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76BF2F37" w14:textId="77777777" w:rsidR="00505B2B" w:rsidRPr="00873266" w:rsidRDefault="00505B2B" w:rsidP="00505B2B">
      <w:pPr>
        <w:numPr>
          <w:ilvl w:val="0"/>
          <w:numId w:val="5"/>
        </w:numPr>
        <w:shd w:val="clear" w:color="auto" w:fill="FFFFFF"/>
        <w:spacing w:after="0" w:line="240" w:lineRule="auto"/>
        <w:ind w:left="495"/>
        <w:outlineLvl w:val="4"/>
        <w:rPr>
          <w:rFonts w:ascii="Calibri" w:eastAsia="Times New Roman" w:hAnsi="Calibri" w:cs="Calibri"/>
          <w:b/>
          <w:bCs/>
          <w:color w:val="1C75BC"/>
          <w:sz w:val="21"/>
          <w:szCs w:val="21"/>
          <w:lang w:eastAsia="en-GB"/>
        </w:rPr>
      </w:pPr>
      <w:r w:rsidRPr="00873266">
        <w:rPr>
          <w:rFonts w:ascii="Calibri" w:eastAsia="Times New Roman" w:hAnsi="Calibri" w:cs="Calibri"/>
          <w:b/>
          <w:bCs/>
          <w:color w:val="1C75BC"/>
          <w:sz w:val="21"/>
          <w:szCs w:val="21"/>
          <w:lang w:eastAsia="en-GB"/>
        </w:rPr>
        <w:t>At country level</w:t>
      </w:r>
    </w:p>
    <w:p w14:paraId="1F833ADB" w14:textId="77777777" w:rsidR="00505B2B" w:rsidRPr="00D87235" w:rsidRDefault="00505B2B" w:rsidP="00505B2B">
      <w:pPr>
        <w:autoSpaceDE w:val="0"/>
        <w:autoSpaceDN w:val="0"/>
        <w:adjustRightInd w:val="0"/>
        <w:spacing w:after="0" w:line="240" w:lineRule="auto"/>
        <w:ind w:firstLine="495"/>
        <w:rPr>
          <w:rFonts w:ascii="Calibri" w:eastAsia="SimSun" w:hAnsi="Calibri" w:cs="Calibri"/>
          <w:color w:val="4A4A4A"/>
          <w:sz w:val="23"/>
          <w:szCs w:val="23"/>
        </w:rPr>
      </w:pPr>
      <w:r w:rsidRPr="00D87235">
        <w:rPr>
          <w:rFonts w:ascii="Calibri" w:eastAsia="SimSun" w:hAnsi="Calibri" w:cs="Calibri"/>
          <w:color w:val="4A4A4A"/>
          <w:sz w:val="21"/>
          <w:szCs w:val="21"/>
        </w:rPr>
        <w:t>Missing data will not be estimated by the UIS.</w:t>
      </w:r>
    </w:p>
    <w:p w14:paraId="0875B05D" w14:textId="77777777" w:rsidR="00505B2B" w:rsidRPr="00505B2B" w:rsidRDefault="00505B2B" w:rsidP="00505B2B">
      <w:pPr>
        <w:autoSpaceDE w:val="0"/>
        <w:autoSpaceDN w:val="0"/>
        <w:adjustRightInd w:val="0"/>
        <w:spacing w:after="0" w:line="240" w:lineRule="auto"/>
        <w:rPr>
          <w:rFonts w:ascii="Calibri" w:eastAsia="SimSun" w:hAnsi="Calibri" w:cs="Calibri"/>
          <w:color w:val="000000"/>
          <w:sz w:val="23"/>
          <w:szCs w:val="23"/>
        </w:rPr>
      </w:pPr>
    </w:p>
    <w:p w14:paraId="25FB9A3B" w14:textId="77777777" w:rsidR="00505B2B" w:rsidRPr="00873266" w:rsidRDefault="00505B2B" w:rsidP="00505B2B">
      <w:pPr>
        <w:numPr>
          <w:ilvl w:val="0"/>
          <w:numId w:val="5"/>
        </w:numPr>
        <w:shd w:val="clear" w:color="auto" w:fill="FFFFFF"/>
        <w:spacing w:after="0" w:line="240" w:lineRule="auto"/>
        <w:ind w:left="495"/>
        <w:outlineLvl w:val="4"/>
        <w:rPr>
          <w:rFonts w:ascii="Calibri" w:eastAsia="Times New Roman" w:hAnsi="Calibri" w:cs="Calibri"/>
          <w:b/>
          <w:bCs/>
          <w:color w:val="1C75BC"/>
          <w:sz w:val="21"/>
          <w:szCs w:val="21"/>
          <w:lang w:eastAsia="en-GB"/>
        </w:rPr>
      </w:pPr>
      <w:r w:rsidRPr="00873266">
        <w:rPr>
          <w:rFonts w:ascii="Calibri" w:eastAsia="Times New Roman" w:hAnsi="Calibri" w:cs="Calibri"/>
          <w:b/>
          <w:bCs/>
          <w:color w:val="1C75BC"/>
          <w:sz w:val="21"/>
          <w:szCs w:val="21"/>
          <w:lang w:eastAsia="en-GB"/>
        </w:rPr>
        <w:t>At regional and global levels</w:t>
      </w:r>
    </w:p>
    <w:p w14:paraId="405896FC" w14:textId="77777777" w:rsidR="0096250E" w:rsidRPr="00D87235" w:rsidRDefault="0096250E" w:rsidP="0096250E">
      <w:pPr>
        <w:autoSpaceDE w:val="0"/>
        <w:autoSpaceDN w:val="0"/>
        <w:adjustRightInd w:val="0"/>
        <w:spacing w:after="0" w:line="240" w:lineRule="auto"/>
        <w:ind w:firstLine="495"/>
        <w:rPr>
          <w:rFonts w:ascii="Calibri" w:eastAsia="SimSun" w:hAnsi="Calibri" w:cs="Calibri"/>
          <w:color w:val="4A4A4A"/>
          <w:sz w:val="23"/>
          <w:szCs w:val="23"/>
        </w:rPr>
      </w:pPr>
      <w:r w:rsidRPr="00D87235">
        <w:rPr>
          <w:rFonts w:ascii="Calibri" w:eastAsia="SimSun" w:hAnsi="Calibri" w:cs="Calibri"/>
          <w:color w:val="4A4A4A"/>
          <w:sz w:val="21"/>
          <w:szCs w:val="21"/>
        </w:rPr>
        <w:t>Missing data will not be estimated by the UIS.</w:t>
      </w:r>
    </w:p>
    <w:p w14:paraId="21A51B50" w14:textId="77777777" w:rsidR="00EC2915" w:rsidRPr="00A96255" w:rsidRDefault="00EC2915" w:rsidP="00576CFA">
      <w:pPr>
        <w:pStyle w:val="MText"/>
      </w:pPr>
    </w:p>
    <w:p w14:paraId="561596C4" w14:textId="77777777" w:rsidR="00E1050F" w:rsidRPr="00A96255" w:rsidRDefault="00E1050F" w:rsidP="00F719A8">
      <w:pPr>
        <w:pStyle w:val="MHeader2"/>
      </w:pPr>
      <w:r w:rsidRPr="00A96255">
        <w:t xml:space="preserve">4.g. Regional aggregations </w:t>
      </w:r>
      <w:r>
        <w:rPr>
          <w:color w:val="B4B4B4"/>
          <w:sz w:val="20"/>
        </w:rPr>
        <w:t>(REG_AGG)</w:t>
      </w:r>
    </w:p>
    <w:p w14:paraId="1545BAB7" w14:textId="77777777" w:rsidR="00505B2B" w:rsidRPr="00D87235" w:rsidRDefault="00505B2B" w:rsidP="00505B2B">
      <w:pPr>
        <w:autoSpaceDE w:val="0"/>
        <w:autoSpaceDN w:val="0"/>
        <w:adjustRightInd w:val="0"/>
        <w:spacing w:after="0" w:line="240" w:lineRule="auto"/>
        <w:rPr>
          <w:rFonts w:ascii="Calibri" w:eastAsia="Times New Roman" w:hAnsi="Calibri" w:cs="Calibri"/>
          <w:b/>
          <w:bCs/>
          <w:color w:val="4A4A4A"/>
          <w:sz w:val="21"/>
          <w:szCs w:val="21"/>
          <w:lang w:eastAsia="en-GB"/>
        </w:rPr>
      </w:pPr>
      <w:r w:rsidRPr="00D87235">
        <w:rPr>
          <w:rFonts w:ascii="Calibri" w:eastAsia="SimSun" w:hAnsi="Calibri" w:cs="Calibri"/>
          <w:color w:val="4A4A4A"/>
          <w:sz w:val="21"/>
          <w:szCs w:val="21"/>
        </w:rPr>
        <w:t>To be determined.</w:t>
      </w:r>
      <w:r w:rsidR="0096250E">
        <w:rPr>
          <w:rFonts w:ascii="Calibri" w:eastAsia="SimSun" w:hAnsi="Calibri" w:cs="Calibri"/>
          <w:color w:val="4A4A4A"/>
          <w:sz w:val="21"/>
          <w:szCs w:val="21"/>
        </w:rPr>
        <w:t xml:space="preserve"> </w:t>
      </w:r>
    </w:p>
    <w:p w14:paraId="2F18CC55" w14:textId="77777777" w:rsidR="00EC2915" w:rsidRPr="00A96255" w:rsidRDefault="00EC2915" w:rsidP="00576CFA">
      <w:pPr>
        <w:pStyle w:val="MText"/>
      </w:pPr>
    </w:p>
    <w:p w14:paraId="6563A827"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B36C0C0" w14:textId="77777777" w:rsidR="00505B2B" w:rsidRPr="00D87235" w:rsidRDefault="00505B2B" w:rsidP="00505B2B">
      <w:pPr>
        <w:autoSpaceDE w:val="0"/>
        <w:autoSpaceDN w:val="0"/>
        <w:adjustRightInd w:val="0"/>
        <w:spacing w:after="0" w:line="240" w:lineRule="auto"/>
        <w:rPr>
          <w:rFonts w:eastAsia="Times New Roman" w:cstheme="minorHAnsi"/>
          <w:b/>
          <w:bCs/>
          <w:color w:val="4A4A4A"/>
          <w:sz w:val="21"/>
          <w:szCs w:val="21"/>
          <w:lang w:eastAsia="en-GB"/>
        </w:rPr>
      </w:pPr>
      <w:r w:rsidRPr="00D87235">
        <w:rPr>
          <w:rFonts w:eastAsia="Times New Roman" w:cstheme="minorHAnsi"/>
          <w:b/>
          <w:bCs/>
          <w:color w:val="4A4A4A"/>
          <w:sz w:val="21"/>
          <w:szCs w:val="21"/>
          <w:lang w:eastAsia="en-GB"/>
        </w:rPr>
        <w:t>Methods and guidance available to countries for the compilation of the data at the national level</w:t>
      </w:r>
    </w:p>
    <w:p w14:paraId="3E8D64C2" w14:textId="77777777" w:rsidR="00505B2B" w:rsidRPr="00D87235" w:rsidRDefault="00505B2B" w:rsidP="00505B2B">
      <w:pPr>
        <w:shd w:val="clear" w:color="auto" w:fill="FFFFFF"/>
        <w:spacing w:after="0"/>
        <w:contextualSpacing/>
        <w:rPr>
          <w:rFonts w:eastAsia="Times New Roman" w:cstheme="minorHAnsi"/>
          <w:color w:val="4A4A4A"/>
          <w:sz w:val="21"/>
          <w:szCs w:val="21"/>
          <w:lang w:eastAsia="en-GB"/>
        </w:rPr>
      </w:pPr>
      <w:r w:rsidRPr="00D87235">
        <w:rPr>
          <w:rFonts w:eastAsia="Times New Roman" w:cstheme="minorHAnsi"/>
          <w:color w:val="4A4A4A"/>
          <w:sz w:val="21"/>
          <w:szCs w:val="21"/>
          <w:lang w:eastAsia="en-GB"/>
        </w:rPr>
        <w:t>Total public expenditure on heritage is calculated in either of two ways:</w:t>
      </w:r>
    </w:p>
    <w:p w14:paraId="515F4C9A" w14:textId="77777777" w:rsidR="00505B2B" w:rsidRPr="00D87235" w:rsidRDefault="00505B2B" w:rsidP="00505B2B">
      <w:pPr>
        <w:shd w:val="clear" w:color="auto" w:fill="FFFFFF"/>
        <w:spacing w:after="0"/>
        <w:ind w:left="360"/>
        <w:contextualSpacing/>
        <w:rPr>
          <w:rFonts w:eastAsia="Times New Roman" w:cstheme="minorHAnsi"/>
          <w:color w:val="4A4A4A"/>
          <w:sz w:val="21"/>
          <w:szCs w:val="21"/>
          <w:lang w:eastAsia="en-GB"/>
        </w:rPr>
      </w:pPr>
    </w:p>
    <w:p w14:paraId="500A9FE3" w14:textId="77777777" w:rsidR="00505B2B" w:rsidRPr="00C1557B" w:rsidRDefault="00505B2B" w:rsidP="00C1557B">
      <w:pPr>
        <w:pStyle w:val="ListParagraph"/>
        <w:numPr>
          <w:ilvl w:val="0"/>
          <w:numId w:val="7"/>
        </w:numPr>
        <w:shd w:val="clear" w:color="auto" w:fill="FFFFFF"/>
        <w:spacing w:after="0"/>
        <w:rPr>
          <w:rFonts w:eastAsia="Times New Roman" w:cstheme="minorHAnsi"/>
          <w:color w:val="4A4A4A"/>
          <w:sz w:val="21"/>
          <w:szCs w:val="21"/>
          <w:lang w:eastAsia="en-GB"/>
        </w:rPr>
      </w:pPr>
      <w:r w:rsidRPr="00C1557B">
        <w:rPr>
          <w:rFonts w:eastAsia="Times New Roman" w:cstheme="minorHAnsi"/>
          <w:color w:val="4A4A4A"/>
          <w:sz w:val="21"/>
          <w:szCs w:val="21"/>
          <w:lang w:eastAsia="en-GB"/>
        </w:rPr>
        <w:lastRenderedPageBreak/>
        <w:t>With sector data from financial reports from heritage institutions, business registers, structural business statistics or survey heritage institutions. Heritage is defined by ISIC Rev. 4 codes (or equivalent at national/regional level) as presented in Table 1 below.</w:t>
      </w:r>
    </w:p>
    <w:p w14:paraId="42A4AF8A" w14:textId="77777777" w:rsidR="00505B2B" w:rsidRPr="00D87235" w:rsidRDefault="00505B2B" w:rsidP="00505B2B">
      <w:pPr>
        <w:shd w:val="clear" w:color="auto" w:fill="FFFFFF"/>
        <w:spacing w:after="0"/>
        <w:ind w:left="142"/>
        <w:contextualSpacing/>
        <w:rPr>
          <w:rFonts w:eastAsia="Times New Roman" w:cstheme="minorHAnsi"/>
          <w:color w:val="4A4A4A"/>
          <w:sz w:val="21"/>
          <w:szCs w:val="21"/>
          <w:lang w:eastAsia="en-GB"/>
        </w:rPr>
      </w:pPr>
    </w:p>
    <w:p w14:paraId="42EF2670" w14:textId="77777777" w:rsidR="00E465DD" w:rsidRPr="00D87235" w:rsidRDefault="00505B2B">
      <w:pPr>
        <w:shd w:val="clear" w:color="auto" w:fill="FFFFFF"/>
        <w:spacing w:after="0"/>
        <w:ind w:left="142"/>
        <w:contextualSpacing/>
        <w:rPr>
          <w:rFonts w:eastAsia="Times New Roman" w:cstheme="minorHAnsi"/>
          <w:color w:val="4A4A4A"/>
          <w:sz w:val="21"/>
          <w:szCs w:val="21"/>
          <w:lang w:eastAsia="en-GB"/>
        </w:rPr>
      </w:pPr>
      <w:r w:rsidRPr="00D87235">
        <w:rPr>
          <w:rFonts w:eastAsia="Times New Roman" w:cstheme="minorHAnsi"/>
          <w:color w:val="4A4A4A"/>
          <w:sz w:val="21"/>
          <w:szCs w:val="21"/>
          <w:lang w:eastAsia="en-GB"/>
        </w:rPr>
        <w:t>Table 1: Cultural and Natural Heritage Activities by ISIC Rev. 4</w:t>
      </w:r>
    </w:p>
    <w:tbl>
      <w:tblPr>
        <w:tblW w:w="9689" w:type="dxa"/>
        <w:tblInd w:w="85" w:type="dxa"/>
        <w:tblLook w:val="04A0" w:firstRow="1" w:lastRow="0" w:firstColumn="1" w:lastColumn="0" w:noHBand="0" w:noVBand="1"/>
      </w:tblPr>
      <w:tblGrid>
        <w:gridCol w:w="2191"/>
        <w:gridCol w:w="1949"/>
        <w:gridCol w:w="5549"/>
      </w:tblGrid>
      <w:tr w:rsidR="00D87235" w:rsidRPr="00D87235" w14:paraId="2329FA2F" w14:textId="77777777" w:rsidTr="00D57E7B">
        <w:trPr>
          <w:trHeight w:val="594"/>
        </w:trPr>
        <w:tc>
          <w:tcPr>
            <w:tcW w:w="2191" w:type="dxa"/>
            <w:tcBorders>
              <w:top w:val="single" w:sz="4" w:space="0" w:color="auto"/>
              <w:left w:val="single" w:sz="4" w:space="0" w:color="auto"/>
              <w:bottom w:val="single" w:sz="4" w:space="0" w:color="auto"/>
              <w:right w:val="single" w:sz="4" w:space="0" w:color="auto"/>
            </w:tcBorders>
            <w:shd w:val="clear" w:color="000000" w:fill="D8D8D8"/>
            <w:vAlign w:val="center"/>
            <w:hideMark/>
          </w:tcPr>
          <w:p w14:paraId="6BA26057" w14:textId="77777777" w:rsidR="00505B2B" w:rsidRPr="00D87235" w:rsidRDefault="00505B2B" w:rsidP="00505B2B">
            <w:pPr>
              <w:spacing w:after="0" w:line="240" w:lineRule="auto"/>
              <w:jc w:val="center"/>
              <w:rPr>
                <w:rFonts w:eastAsia="Times New Roman" w:cstheme="minorHAnsi"/>
                <w:color w:val="4A4A4A"/>
                <w:sz w:val="20"/>
                <w:szCs w:val="20"/>
              </w:rPr>
            </w:pPr>
            <w:r w:rsidRPr="00D87235">
              <w:rPr>
                <w:rFonts w:eastAsia="Times New Roman" w:cstheme="minorHAnsi"/>
                <w:color w:val="4A4A4A"/>
                <w:sz w:val="20"/>
                <w:szCs w:val="20"/>
              </w:rPr>
              <w:t>Type of Heritage</w:t>
            </w:r>
          </w:p>
        </w:tc>
        <w:tc>
          <w:tcPr>
            <w:tcW w:w="1949" w:type="dxa"/>
            <w:tcBorders>
              <w:top w:val="single" w:sz="4" w:space="0" w:color="auto"/>
              <w:left w:val="nil"/>
              <w:bottom w:val="nil"/>
              <w:right w:val="single" w:sz="4" w:space="0" w:color="auto"/>
            </w:tcBorders>
            <w:shd w:val="clear" w:color="000000" w:fill="D8D8D8"/>
            <w:vAlign w:val="center"/>
            <w:hideMark/>
          </w:tcPr>
          <w:p w14:paraId="4F56D8A6" w14:textId="77777777" w:rsidR="00505B2B" w:rsidRPr="00D87235" w:rsidRDefault="00505B2B" w:rsidP="00505B2B">
            <w:pPr>
              <w:spacing w:after="0" w:line="240" w:lineRule="auto"/>
              <w:jc w:val="center"/>
              <w:rPr>
                <w:rFonts w:eastAsia="Times New Roman" w:cstheme="minorHAnsi"/>
                <w:color w:val="4A4A4A"/>
                <w:sz w:val="20"/>
                <w:szCs w:val="20"/>
              </w:rPr>
            </w:pPr>
            <w:r w:rsidRPr="00D87235">
              <w:rPr>
                <w:rFonts w:eastAsia="Times New Roman" w:cstheme="minorHAnsi"/>
                <w:color w:val="4A4A4A"/>
                <w:sz w:val="20"/>
                <w:szCs w:val="20"/>
              </w:rPr>
              <w:t>ISIC Rev. 4 codes</w:t>
            </w:r>
          </w:p>
        </w:tc>
        <w:tc>
          <w:tcPr>
            <w:tcW w:w="5549" w:type="dxa"/>
            <w:tcBorders>
              <w:top w:val="single" w:sz="4" w:space="0" w:color="auto"/>
              <w:left w:val="nil"/>
              <w:bottom w:val="nil"/>
              <w:right w:val="single" w:sz="4" w:space="0" w:color="auto"/>
            </w:tcBorders>
            <w:shd w:val="clear" w:color="000000" w:fill="D8D8D8"/>
            <w:vAlign w:val="center"/>
            <w:hideMark/>
          </w:tcPr>
          <w:p w14:paraId="51C239A3" w14:textId="77777777" w:rsidR="00505B2B" w:rsidRPr="00D87235" w:rsidRDefault="00505B2B" w:rsidP="00505B2B">
            <w:pPr>
              <w:spacing w:after="0" w:line="240" w:lineRule="auto"/>
              <w:jc w:val="center"/>
              <w:rPr>
                <w:rFonts w:eastAsia="Times New Roman" w:cstheme="minorHAnsi"/>
                <w:color w:val="4A4A4A"/>
                <w:sz w:val="20"/>
                <w:szCs w:val="20"/>
              </w:rPr>
            </w:pPr>
            <w:r w:rsidRPr="00D87235">
              <w:rPr>
                <w:rFonts w:eastAsia="Times New Roman" w:cstheme="minorHAnsi"/>
                <w:color w:val="4A4A4A"/>
                <w:sz w:val="20"/>
                <w:szCs w:val="20"/>
              </w:rPr>
              <w:t>Type of activities</w:t>
            </w:r>
          </w:p>
        </w:tc>
      </w:tr>
      <w:tr w:rsidR="00D87235" w:rsidRPr="00D87235" w14:paraId="6D0FAFE7" w14:textId="77777777" w:rsidTr="00D57E7B">
        <w:trPr>
          <w:trHeight w:val="297"/>
        </w:trPr>
        <w:tc>
          <w:tcPr>
            <w:tcW w:w="2191" w:type="dxa"/>
            <w:vMerge w:val="restart"/>
            <w:tcBorders>
              <w:left w:val="single" w:sz="4" w:space="0" w:color="auto"/>
              <w:bottom w:val="single" w:sz="4" w:space="0" w:color="auto"/>
              <w:right w:val="single" w:sz="4" w:space="0" w:color="auto"/>
            </w:tcBorders>
            <w:shd w:val="clear" w:color="000000" w:fill="D9D9D9"/>
            <w:vAlign w:val="center"/>
            <w:hideMark/>
          </w:tcPr>
          <w:p w14:paraId="1C6F99FE" w14:textId="77777777" w:rsidR="00505B2B" w:rsidRPr="00D87235" w:rsidRDefault="00505B2B" w:rsidP="00505B2B">
            <w:pPr>
              <w:spacing w:after="0" w:line="240" w:lineRule="auto"/>
              <w:jc w:val="center"/>
              <w:rPr>
                <w:rFonts w:eastAsia="Times New Roman" w:cstheme="minorHAnsi"/>
                <w:color w:val="4A4A4A"/>
                <w:sz w:val="20"/>
                <w:szCs w:val="20"/>
              </w:rPr>
            </w:pPr>
            <w:r w:rsidRPr="00D87235">
              <w:rPr>
                <w:rFonts w:eastAsia="Times New Roman" w:cstheme="minorHAnsi"/>
                <w:color w:val="4A4A4A"/>
                <w:sz w:val="20"/>
                <w:szCs w:val="20"/>
              </w:rPr>
              <w:t>Cultural Heritage</w:t>
            </w:r>
          </w:p>
        </w:tc>
        <w:tc>
          <w:tcPr>
            <w:tcW w:w="1949" w:type="dxa"/>
            <w:tcBorders>
              <w:top w:val="single" w:sz="4" w:space="0" w:color="auto"/>
              <w:left w:val="nil"/>
              <w:bottom w:val="nil"/>
              <w:right w:val="single" w:sz="4" w:space="0" w:color="auto"/>
            </w:tcBorders>
            <w:shd w:val="clear" w:color="000000" w:fill="FFFFFF"/>
            <w:vAlign w:val="center"/>
            <w:hideMark/>
          </w:tcPr>
          <w:p w14:paraId="0073729B" w14:textId="77777777" w:rsidR="00505B2B" w:rsidRPr="00D87235" w:rsidRDefault="00505B2B" w:rsidP="00505B2B">
            <w:pPr>
              <w:spacing w:after="0" w:line="240" w:lineRule="auto"/>
              <w:jc w:val="center"/>
              <w:rPr>
                <w:rFonts w:eastAsia="Times New Roman" w:cstheme="minorHAnsi"/>
                <w:color w:val="4A4A4A"/>
                <w:sz w:val="20"/>
                <w:szCs w:val="20"/>
              </w:rPr>
            </w:pPr>
            <w:r w:rsidRPr="00D87235">
              <w:rPr>
                <w:rFonts w:eastAsia="Times New Roman" w:cstheme="minorHAnsi"/>
                <w:color w:val="4A4A4A"/>
                <w:sz w:val="20"/>
                <w:szCs w:val="20"/>
              </w:rPr>
              <w:t>9101</w:t>
            </w:r>
          </w:p>
        </w:tc>
        <w:tc>
          <w:tcPr>
            <w:tcW w:w="5549" w:type="dxa"/>
            <w:tcBorders>
              <w:top w:val="single" w:sz="4" w:space="0" w:color="auto"/>
              <w:left w:val="nil"/>
              <w:bottom w:val="nil"/>
              <w:right w:val="single" w:sz="4" w:space="0" w:color="auto"/>
            </w:tcBorders>
            <w:shd w:val="clear" w:color="000000" w:fill="FFFFFF"/>
            <w:vAlign w:val="center"/>
            <w:hideMark/>
          </w:tcPr>
          <w:p w14:paraId="680042CD" w14:textId="77777777" w:rsidR="00505B2B" w:rsidRPr="00D87235" w:rsidRDefault="00505B2B" w:rsidP="00505B2B">
            <w:pPr>
              <w:spacing w:after="0" w:line="240" w:lineRule="auto"/>
              <w:rPr>
                <w:rFonts w:eastAsia="Times New Roman" w:cstheme="minorHAnsi"/>
                <w:color w:val="4A4A4A"/>
                <w:sz w:val="20"/>
                <w:szCs w:val="20"/>
              </w:rPr>
            </w:pPr>
            <w:r w:rsidRPr="00D87235">
              <w:rPr>
                <w:rFonts w:eastAsia="Times New Roman" w:cstheme="minorHAnsi"/>
                <w:color w:val="4A4A4A"/>
                <w:sz w:val="20"/>
                <w:szCs w:val="20"/>
              </w:rPr>
              <w:t xml:space="preserve">Library and Archives activities  </w:t>
            </w:r>
          </w:p>
        </w:tc>
      </w:tr>
      <w:tr w:rsidR="00D87235" w:rsidRPr="00D87235" w14:paraId="3F126B17" w14:textId="77777777" w:rsidTr="00D57E7B">
        <w:trPr>
          <w:trHeight w:val="297"/>
        </w:trPr>
        <w:tc>
          <w:tcPr>
            <w:tcW w:w="2191" w:type="dxa"/>
            <w:vMerge/>
            <w:tcBorders>
              <w:left w:val="single" w:sz="4" w:space="0" w:color="auto"/>
              <w:bottom w:val="single" w:sz="4" w:space="0" w:color="auto"/>
              <w:right w:val="single" w:sz="4" w:space="0" w:color="auto"/>
            </w:tcBorders>
            <w:shd w:val="clear" w:color="000000" w:fill="D9D9D9"/>
            <w:vAlign w:val="center"/>
            <w:hideMark/>
          </w:tcPr>
          <w:p w14:paraId="0DDC18C6" w14:textId="77777777" w:rsidR="00505B2B" w:rsidRPr="00D87235" w:rsidRDefault="00505B2B" w:rsidP="00505B2B">
            <w:pPr>
              <w:spacing w:after="0" w:line="240" w:lineRule="auto"/>
              <w:jc w:val="center"/>
              <w:rPr>
                <w:rFonts w:eastAsia="Times New Roman" w:cstheme="minorHAnsi"/>
                <w:color w:val="4A4A4A"/>
                <w:sz w:val="20"/>
                <w:szCs w:val="20"/>
              </w:rPr>
            </w:pPr>
          </w:p>
        </w:tc>
        <w:tc>
          <w:tcPr>
            <w:tcW w:w="1949" w:type="dxa"/>
            <w:tcBorders>
              <w:top w:val="nil"/>
              <w:left w:val="nil"/>
              <w:bottom w:val="nil"/>
              <w:right w:val="single" w:sz="4" w:space="0" w:color="auto"/>
            </w:tcBorders>
            <w:shd w:val="clear" w:color="000000" w:fill="FFFFFF"/>
            <w:vAlign w:val="center"/>
            <w:hideMark/>
          </w:tcPr>
          <w:p w14:paraId="4FAF0E1D" w14:textId="77777777" w:rsidR="00505B2B" w:rsidRPr="00D87235" w:rsidRDefault="00505B2B" w:rsidP="00505B2B">
            <w:pPr>
              <w:spacing w:after="0" w:line="240" w:lineRule="auto"/>
              <w:jc w:val="center"/>
              <w:rPr>
                <w:rFonts w:eastAsia="Times New Roman" w:cstheme="minorHAnsi"/>
                <w:color w:val="4A4A4A"/>
                <w:sz w:val="20"/>
                <w:szCs w:val="20"/>
              </w:rPr>
            </w:pPr>
            <w:r w:rsidRPr="00D87235">
              <w:rPr>
                <w:rFonts w:eastAsia="Times New Roman" w:cstheme="minorHAnsi"/>
                <w:color w:val="4A4A4A"/>
                <w:sz w:val="20"/>
                <w:szCs w:val="20"/>
              </w:rPr>
              <w:t>9102</w:t>
            </w:r>
          </w:p>
        </w:tc>
        <w:tc>
          <w:tcPr>
            <w:tcW w:w="5549" w:type="dxa"/>
            <w:tcBorders>
              <w:top w:val="nil"/>
              <w:left w:val="nil"/>
              <w:bottom w:val="nil"/>
              <w:right w:val="single" w:sz="4" w:space="0" w:color="auto"/>
            </w:tcBorders>
            <w:shd w:val="clear" w:color="000000" w:fill="FFFFFF"/>
            <w:vAlign w:val="center"/>
            <w:hideMark/>
          </w:tcPr>
          <w:p w14:paraId="09BD527E" w14:textId="77777777" w:rsidR="00505B2B" w:rsidRPr="00D87235" w:rsidRDefault="00505B2B" w:rsidP="00505B2B">
            <w:pPr>
              <w:spacing w:after="0" w:line="240" w:lineRule="auto"/>
              <w:rPr>
                <w:rFonts w:eastAsia="Times New Roman" w:cstheme="minorHAnsi"/>
                <w:color w:val="4A4A4A"/>
                <w:sz w:val="20"/>
                <w:szCs w:val="20"/>
              </w:rPr>
            </w:pPr>
            <w:r w:rsidRPr="00D87235">
              <w:rPr>
                <w:rFonts w:eastAsia="Times New Roman" w:cstheme="minorHAnsi"/>
                <w:color w:val="4A4A4A"/>
                <w:sz w:val="20"/>
                <w:szCs w:val="20"/>
              </w:rPr>
              <w:t>Museums activities and operation of historical sites and buildings</w:t>
            </w:r>
          </w:p>
        </w:tc>
      </w:tr>
      <w:tr w:rsidR="00D87235" w:rsidRPr="00D87235" w14:paraId="21EBBE40" w14:textId="77777777" w:rsidTr="00D57E7B">
        <w:trPr>
          <w:trHeight w:val="475"/>
        </w:trPr>
        <w:tc>
          <w:tcPr>
            <w:tcW w:w="219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0A3177D" w14:textId="77777777" w:rsidR="00505B2B" w:rsidRPr="00D87235" w:rsidRDefault="00505B2B" w:rsidP="00505B2B">
            <w:pPr>
              <w:spacing w:after="0" w:line="240" w:lineRule="auto"/>
              <w:jc w:val="center"/>
              <w:rPr>
                <w:rFonts w:eastAsia="Times New Roman" w:cstheme="minorHAnsi"/>
                <w:color w:val="4A4A4A"/>
                <w:sz w:val="20"/>
                <w:szCs w:val="20"/>
              </w:rPr>
            </w:pPr>
            <w:r w:rsidRPr="00D87235">
              <w:rPr>
                <w:rFonts w:eastAsia="Times New Roman" w:cstheme="minorHAnsi"/>
                <w:color w:val="4A4A4A"/>
                <w:sz w:val="20"/>
                <w:szCs w:val="20"/>
              </w:rPr>
              <w:t>Natural Heritage</w:t>
            </w:r>
          </w:p>
        </w:tc>
        <w:tc>
          <w:tcPr>
            <w:tcW w:w="1949" w:type="dxa"/>
            <w:tcBorders>
              <w:top w:val="single" w:sz="4" w:space="0" w:color="auto"/>
              <w:left w:val="nil"/>
              <w:bottom w:val="single" w:sz="4" w:space="0" w:color="auto"/>
              <w:right w:val="single" w:sz="4" w:space="0" w:color="auto"/>
            </w:tcBorders>
            <w:shd w:val="clear" w:color="000000" w:fill="FFFFFF"/>
            <w:vAlign w:val="center"/>
            <w:hideMark/>
          </w:tcPr>
          <w:p w14:paraId="4BC8F0D9" w14:textId="77777777" w:rsidR="00505B2B" w:rsidRPr="00D87235" w:rsidRDefault="00505B2B" w:rsidP="00505B2B">
            <w:pPr>
              <w:spacing w:after="0" w:line="240" w:lineRule="auto"/>
              <w:jc w:val="center"/>
              <w:rPr>
                <w:rFonts w:eastAsia="Times New Roman" w:cstheme="minorHAnsi"/>
                <w:color w:val="4A4A4A"/>
                <w:sz w:val="20"/>
                <w:szCs w:val="20"/>
                <w:highlight w:val="yellow"/>
              </w:rPr>
            </w:pPr>
            <w:r w:rsidRPr="00D87235">
              <w:rPr>
                <w:rFonts w:eastAsia="Times New Roman" w:cstheme="minorHAnsi"/>
                <w:color w:val="4A4A4A"/>
                <w:sz w:val="20"/>
                <w:szCs w:val="20"/>
              </w:rPr>
              <w:t>9103</w:t>
            </w:r>
          </w:p>
        </w:tc>
        <w:tc>
          <w:tcPr>
            <w:tcW w:w="5549" w:type="dxa"/>
            <w:tcBorders>
              <w:top w:val="single" w:sz="4" w:space="0" w:color="auto"/>
              <w:left w:val="nil"/>
              <w:bottom w:val="single" w:sz="4" w:space="0" w:color="auto"/>
              <w:right w:val="single" w:sz="4" w:space="0" w:color="auto"/>
            </w:tcBorders>
            <w:shd w:val="clear" w:color="000000" w:fill="FFFFFF"/>
            <w:vAlign w:val="center"/>
            <w:hideMark/>
          </w:tcPr>
          <w:p w14:paraId="76CC97E2" w14:textId="77777777" w:rsidR="00505B2B" w:rsidRPr="00D87235" w:rsidRDefault="00505B2B" w:rsidP="00505B2B">
            <w:pPr>
              <w:spacing w:after="0" w:line="240" w:lineRule="auto"/>
              <w:rPr>
                <w:rFonts w:eastAsia="Times New Roman" w:cstheme="minorHAnsi"/>
                <w:color w:val="4A4A4A"/>
                <w:sz w:val="20"/>
                <w:szCs w:val="20"/>
              </w:rPr>
            </w:pPr>
            <w:r w:rsidRPr="00D87235">
              <w:rPr>
                <w:rFonts w:eastAsia="Times New Roman" w:cstheme="minorHAnsi"/>
                <w:color w:val="4A4A4A"/>
                <w:sz w:val="20"/>
                <w:szCs w:val="20"/>
              </w:rPr>
              <w:t xml:space="preserve">Botanical and zoological gardens and nature reserves activities </w:t>
            </w:r>
          </w:p>
        </w:tc>
      </w:tr>
    </w:tbl>
    <w:p w14:paraId="6BEE6E8B" w14:textId="77777777" w:rsidR="00505B2B" w:rsidRPr="00D87235" w:rsidRDefault="00505B2B" w:rsidP="00505B2B">
      <w:pPr>
        <w:shd w:val="clear" w:color="auto" w:fill="FFFFFF"/>
        <w:spacing w:after="0"/>
        <w:ind w:left="360"/>
        <w:contextualSpacing/>
        <w:rPr>
          <w:rFonts w:eastAsia="Times New Roman" w:cstheme="minorHAnsi"/>
          <w:color w:val="4A4A4A"/>
          <w:sz w:val="21"/>
          <w:szCs w:val="21"/>
          <w:lang w:eastAsia="en-GB"/>
        </w:rPr>
      </w:pPr>
    </w:p>
    <w:p w14:paraId="3513CDC5" w14:textId="77777777" w:rsidR="00505B2B" w:rsidRPr="00D87235" w:rsidRDefault="00505B2B" w:rsidP="00505B2B">
      <w:pPr>
        <w:shd w:val="clear" w:color="auto" w:fill="FFFFFF"/>
        <w:spacing w:after="0"/>
        <w:ind w:left="360"/>
        <w:contextualSpacing/>
        <w:rPr>
          <w:rFonts w:eastAsia="Times New Roman" w:cstheme="minorHAnsi"/>
          <w:color w:val="4A4A4A"/>
          <w:sz w:val="21"/>
          <w:szCs w:val="21"/>
          <w:lang w:eastAsia="en-GB"/>
        </w:rPr>
      </w:pPr>
    </w:p>
    <w:p w14:paraId="53C9E165" w14:textId="77777777" w:rsidR="00505B2B" w:rsidRPr="00D87235" w:rsidRDefault="00505B2B" w:rsidP="00C1557B">
      <w:pPr>
        <w:pStyle w:val="ListParagraph"/>
        <w:numPr>
          <w:ilvl w:val="0"/>
          <w:numId w:val="7"/>
        </w:numPr>
        <w:shd w:val="clear" w:color="auto" w:fill="FFFFFF"/>
        <w:spacing w:after="0"/>
        <w:rPr>
          <w:rFonts w:eastAsia="Times New Roman" w:cstheme="minorHAnsi"/>
          <w:color w:val="4A4A4A"/>
          <w:sz w:val="21"/>
          <w:szCs w:val="21"/>
          <w:lang w:eastAsia="en-GB"/>
        </w:rPr>
      </w:pPr>
      <w:r w:rsidRPr="00D87235">
        <w:rPr>
          <w:rFonts w:eastAsia="Times New Roman" w:cstheme="minorHAnsi"/>
          <w:color w:val="4A4A4A"/>
          <w:sz w:val="21"/>
          <w:szCs w:val="21"/>
          <w:lang w:eastAsia="en-GB"/>
        </w:rPr>
        <w:t>Alternatively, by using government expenditure data by function from the Ministry of Finance or equivalent, database of government finance statistics. Heritage expenditure is calculated from government expenditure by function using the Classification of the Functions of Government (COFOG).</w:t>
      </w:r>
    </w:p>
    <w:p w14:paraId="02D8CFF0" w14:textId="77777777" w:rsidR="00505B2B" w:rsidRPr="00D87235" w:rsidRDefault="00505B2B" w:rsidP="00505B2B">
      <w:pPr>
        <w:shd w:val="clear" w:color="auto" w:fill="FFFFFF"/>
        <w:spacing w:after="0"/>
        <w:ind w:left="720"/>
        <w:contextualSpacing/>
        <w:rPr>
          <w:rFonts w:eastAsia="Times New Roman" w:cstheme="minorHAnsi"/>
          <w:color w:val="4A4A4A"/>
          <w:sz w:val="21"/>
          <w:szCs w:val="21"/>
          <w:lang w:eastAsia="en-GB"/>
        </w:rPr>
      </w:pPr>
    </w:p>
    <w:p w14:paraId="52ADE169" w14:textId="77777777" w:rsidR="00505B2B" w:rsidRPr="00D87235" w:rsidRDefault="00505B2B" w:rsidP="00C1557B">
      <w:pPr>
        <w:pStyle w:val="ListParagraph"/>
        <w:numPr>
          <w:ilvl w:val="1"/>
          <w:numId w:val="7"/>
        </w:numPr>
        <w:shd w:val="clear" w:color="auto" w:fill="FFFFFF"/>
        <w:spacing w:after="0"/>
        <w:rPr>
          <w:rFonts w:eastAsia="Times New Roman" w:cstheme="minorHAnsi"/>
          <w:color w:val="4A4A4A"/>
          <w:sz w:val="21"/>
          <w:szCs w:val="21"/>
          <w:lang w:eastAsia="en-GB"/>
        </w:rPr>
      </w:pPr>
      <w:r w:rsidRPr="00D87235">
        <w:rPr>
          <w:rFonts w:eastAsia="Times New Roman" w:cstheme="minorHAnsi"/>
          <w:color w:val="4A4A4A"/>
          <w:sz w:val="21"/>
          <w:szCs w:val="21"/>
          <w:lang w:eastAsia="en-GB"/>
        </w:rPr>
        <w:t xml:space="preserve">The methodology to measure public heritage expenditure can be estimated based on four-digit codes of the COFOG classification </w:t>
      </w:r>
    </w:p>
    <w:p w14:paraId="73AD4DF6" w14:textId="77777777" w:rsidR="00505B2B" w:rsidRPr="00C1557B" w:rsidRDefault="00505B2B" w:rsidP="00C1557B">
      <w:pPr>
        <w:shd w:val="clear" w:color="auto" w:fill="FFFFFF"/>
        <w:spacing w:after="0"/>
        <w:rPr>
          <w:rFonts w:eastAsia="Times New Roman" w:cstheme="minorHAnsi"/>
          <w:color w:val="4A4A4A"/>
          <w:sz w:val="21"/>
          <w:szCs w:val="21"/>
          <w:lang w:eastAsia="en-GB"/>
        </w:rPr>
      </w:pPr>
    </w:p>
    <w:p w14:paraId="5A94DEE3" w14:textId="77777777" w:rsidR="00505B2B" w:rsidRPr="00D87235" w:rsidRDefault="00505B2B" w:rsidP="00C1557B">
      <w:pPr>
        <w:pStyle w:val="ListParagraph"/>
        <w:numPr>
          <w:ilvl w:val="1"/>
          <w:numId w:val="7"/>
        </w:numPr>
        <w:shd w:val="clear" w:color="auto" w:fill="FFFFFF"/>
        <w:spacing w:after="0"/>
        <w:rPr>
          <w:rFonts w:eastAsia="Times New Roman" w:cstheme="minorHAnsi"/>
          <w:color w:val="4A4A4A"/>
          <w:sz w:val="21"/>
          <w:szCs w:val="21"/>
          <w:lang w:eastAsia="en-GB"/>
        </w:rPr>
      </w:pPr>
      <w:r w:rsidRPr="00D87235">
        <w:rPr>
          <w:rFonts w:eastAsia="Times New Roman" w:cstheme="minorHAnsi"/>
          <w:color w:val="4A4A4A"/>
          <w:sz w:val="21"/>
          <w:szCs w:val="21"/>
          <w:lang w:eastAsia="en-GB"/>
        </w:rPr>
        <w:t>The majority of cultural and natural heritage expenditure is estimated from the Cultural Services (IS) code 7082. Heritage expenditure refers to:</w:t>
      </w:r>
    </w:p>
    <w:p w14:paraId="1C378282" w14:textId="77777777" w:rsidR="00505B2B" w:rsidRPr="00C1557B" w:rsidRDefault="00505B2B" w:rsidP="00C1557B">
      <w:pPr>
        <w:shd w:val="clear" w:color="auto" w:fill="FFFFFF"/>
        <w:spacing w:after="0"/>
        <w:rPr>
          <w:rFonts w:eastAsia="Times New Roman" w:cstheme="minorHAnsi"/>
          <w:color w:val="4A4A4A"/>
          <w:sz w:val="21"/>
          <w:szCs w:val="21"/>
          <w:lang w:eastAsia="en-GB"/>
        </w:rPr>
      </w:pPr>
      <w:r w:rsidRPr="00C1557B">
        <w:rPr>
          <w:rFonts w:eastAsia="Times New Roman" w:cstheme="minorHAnsi"/>
          <w:color w:val="4A4A4A"/>
          <w:sz w:val="21"/>
          <w:szCs w:val="21"/>
          <w:lang w:eastAsia="en-GB"/>
        </w:rPr>
        <w:t xml:space="preserve"> </w:t>
      </w:r>
    </w:p>
    <w:p w14:paraId="1896791D" w14:textId="77777777" w:rsidR="00505B2B" w:rsidRPr="00D87235" w:rsidRDefault="00505B2B" w:rsidP="00C1557B">
      <w:pPr>
        <w:pStyle w:val="ListParagraph"/>
        <w:numPr>
          <w:ilvl w:val="2"/>
          <w:numId w:val="7"/>
        </w:numPr>
        <w:shd w:val="clear" w:color="auto" w:fill="FFFFFF"/>
        <w:spacing w:after="0"/>
        <w:rPr>
          <w:rFonts w:eastAsia="Times New Roman" w:cstheme="minorHAnsi"/>
          <w:color w:val="4A4A4A"/>
          <w:sz w:val="21"/>
          <w:szCs w:val="21"/>
          <w:lang w:eastAsia="en-GB"/>
        </w:rPr>
      </w:pPr>
      <w:r w:rsidRPr="00D87235">
        <w:rPr>
          <w:rFonts w:eastAsia="Times New Roman" w:cstheme="minorHAnsi"/>
          <w:color w:val="4A4A4A"/>
          <w:sz w:val="21"/>
          <w:szCs w:val="21"/>
          <w:lang w:eastAsia="en-GB"/>
        </w:rPr>
        <w:t>The provision of cultural heritage services; administration of cultural heritage affairs; supervision and regulation of cultural heritage facilities;</w:t>
      </w:r>
    </w:p>
    <w:p w14:paraId="5FB116BD" w14:textId="77777777" w:rsidR="00505B2B" w:rsidRPr="00C1557B" w:rsidRDefault="00505B2B" w:rsidP="00C1557B">
      <w:pPr>
        <w:shd w:val="clear" w:color="auto" w:fill="FFFFFF"/>
        <w:spacing w:after="0"/>
        <w:rPr>
          <w:rFonts w:eastAsia="Times New Roman" w:cstheme="minorHAnsi"/>
          <w:color w:val="4A4A4A"/>
          <w:sz w:val="21"/>
          <w:szCs w:val="21"/>
          <w:lang w:eastAsia="en-GB"/>
        </w:rPr>
      </w:pPr>
    </w:p>
    <w:p w14:paraId="27C23C42" w14:textId="77777777" w:rsidR="00505B2B" w:rsidRPr="00D87235" w:rsidRDefault="00505B2B" w:rsidP="00C1557B">
      <w:pPr>
        <w:pStyle w:val="ListParagraph"/>
        <w:numPr>
          <w:ilvl w:val="2"/>
          <w:numId w:val="7"/>
        </w:numPr>
        <w:shd w:val="clear" w:color="auto" w:fill="FFFFFF"/>
        <w:spacing w:after="0"/>
        <w:rPr>
          <w:rFonts w:eastAsia="Times New Roman" w:cstheme="minorHAnsi"/>
          <w:color w:val="4A4A4A"/>
          <w:sz w:val="21"/>
          <w:szCs w:val="21"/>
          <w:lang w:eastAsia="en-GB"/>
        </w:rPr>
      </w:pPr>
      <w:r w:rsidRPr="00777ED5">
        <w:rPr>
          <w:rFonts w:eastAsia="Times New Roman" w:cstheme="minorHAnsi"/>
          <w:color w:val="4A4A4A"/>
          <w:sz w:val="21"/>
          <w:szCs w:val="21"/>
          <w:lang w:eastAsia="en-GB"/>
        </w:rPr>
        <w:t>The operation or support of facilities for cultural pursuits (libraries, museums, monuments, historic houses and sites, zoological and botanical gardens, aquaria, arboreta, etc.); production</w:t>
      </w:r>
      <w:r w:rsidR="00777ED5">
        <w:rPr>
          <w:rFonts w:eastAsia="Times New Roman" w:cstheme="minorHAnsi"/>
          <w:color w:val="4A4A4A"/>
          <w:sz w:val="21"/>
          <w:szCs w:val="21"/>
          <w:lang w:eastAsia="en-GB"/>
        </w:rPr>
        <w:t xml:space="preserve"> </w:t>
      </w:r>
      <w:r w:rsidR="00777ED5">
        <w:rPr>
          <w:rFonts w:eastAsia="Times New Roman" w:cstheme="minorHAnsi"/>
          <w:color w:val="4A4A4A"/>
          <w:sz w:val="21"/>
          <w:szCs w:val="21"/>
          <w:lang w:eastAsia="en-GB"/>
        </w:rPr>
        <w:br/>
      </w:r>
      <w:r w:rsidR="00777ED5">
        <w:rPr>
          <w:rFonts w:eastAsia="Times New Roman" w:cstheme="minorHAnsi"/>
          <w:color w:val="4A4A4A"/>
          <w:sz w:val="21"/>
          <w:szCs w:val="21"/>
          <w:lang w:eastAsia="en-GB"/>
        </w:rPr>
        <w:br/>
      </w:r>
      <w:r w:rsidRPr="00D87235">
        <w:rPr>
          <w:rFonts w:eastAsia="Times New Roman" w:cstheme="minorHAnsi"/>
          <w:color w:val="4A4A4A"/>
          <w:sz w:val="21"/>
          <w:szCs w:val="21"/>
          <w:lang w:eastAsia="en-GB"/>
        </w:rPr>
        <w:t>Natural heritage also includes the Protection of biodiversity and landscape (CS) code 7054 defined as:</w:t>
      </w:r>
    </w:p>
    <w:p w14:paraId="618E8385" w14:textId="77777777" w:rsidR="00505B2B" w:rsidRPr="00D87235" w:rsidRDefault="00505B2B" w:rsidP="00505B2B">
      <w:pPr>
        <w:shd w:val="clear" w:color="auto" w:fill="FFFFFF"/>
        <w:spacing w:after="0"/>
        <w:ind w:left="1080"/>
        <w:contextualSpacing/>
        <w:rPr>
          <w:rFonts w:eastAsia="Times New Roman" w:cstheme="minorHAnsi"/>
          <w:color w:val="4A4A4A"/>
          <w:sz w:val="21"/>
          <w:szCs w:val="21"/>
          <w:lang w:eastAsia="en-GB"/>
        </w:rPr>
      </w:pPr>
    </w:p>
    <w:p w14:paraId="33587376" w14:textId="77777777" w:rsidR="00505B2B" w:rsidRPr="00D87235" w:rsidRDefault="00505B2B" w:rsidP="00C1557B">
      <w:pPr>
        <w:pStyle w:val="ListParagraph"/>
        <w:numPr>
          <w:ilvl w:val="2"/>
          <w:numId w:val="7"/>
        </w:numPr>
        <w:shd w:val="clear" w:color="auto" w:fill="FFFFFF"/>
        <w:spacing w:after="0"/>
        <w:rPr>
          <w:rFonts w:eastAsia="Times New Roman" w:cstheme="minorHAnsi"/>
          <w:color w:val="4A4A4A"/>
          <w:sz w:val="21"/>
          <w:szCs w:val="21"/>
          <w:lang w:eastAsia="en-GB"/>
        </w:rPr>
      </w:pPr>
      <w:r w:rsidRPr="00D87235">
        <w:rPr>
          <w:rFonts w:eastAsia="Times New Roman" w:cstheme="minorHAnsi"/>
          <w:color w:val="4A4A4A"/>
          <w:sz w:val="21"/>
          <w:szCs w:val="21"/>
          <w:lang w:eastAsia="en-GB"/>
        </w:rPr>
        <w:t>The administration, supervision, inspection, operation or support of activities relating to the protection of biodiversity and landscape;</w:t>
      </w:r>
    </w:p>
    <w:p w14:paraId="63525027" w14:textId="77777777" w:rsidR="00505B2B" w:rsidRPr="00D87235" w:rsidRDefault="00505B2B" w:rsidP="00505B2B">
      <w:pPr>
        <w:shd w:val="clear" w:color="auto" w:fill="FFFFFF"/>
        <w:spacing w:after="0"/>
        <w:ind w:left="2268" w:hanging="468"/>
        <w:contextualSpacing/>
        <w:rPr>
          <w:rFonts w:eastAsia="Times New Roman" w:cstheme="minorHAnsi"/>
          <w:color w:val="4A4A4A"/>
          <w:sz w:val="21"/>
          <w:szCs w:val="21"/>
          <w:lang w:eastAsia="en-GB"/>
        </w:rPr>
      </w:pPr>
    </w:p>
    <w:p w14:paraId="67D9E3A6" w14:textId="77777777" w:rsidR="00505B2B" w:rsidRPr="00D87235" w:rsidRDefault="00505B2B" w:rsidP="00C1557B">
      <w:pPr>
        <w:pStyle w:val="ListParagraph"/>
        <w:numPr>
          <w:ilvl w:val="2"/>
          <w:numId w:val="7"/>
        </w:numPr>
        <w:shd w:val="clear" w:color="auto" w:fill="FFFFFF"/>
        <w:spacing w:after="0"/>
        <w:rPr>
          <w:rFonts w:eastAsia="Times New Roman" w:cstheme="minorHAnsi"/>
          <w:color w:val="4A4A4A"/>
          <w:sz w:val="21"/>
          <w:szCs w:val="21"/>
          <w:lang w:eastAsia="en-GB"/>
        </w:rPr>
      </w:pPr>
      <w:r w:rsidRPr="00D87235">
        <w:rPr>
          <w:rFonts w:eastAsia="Times New Roman" w:cstheme="minorHAnsi"/>
          <w:color w:val="4A4A4A"/>
          <w:sz w:val="21"/>
          <w:szCs w:val="21"/>
          <w:lang w:eastAsia="en-GB"/>
        </w:rPr>
        <w:t>Grants, loans or subsidies to support activities relating to the protection of biodiversity and landscape.</w:t>
      </w:r>
    </w:p>
    <w:p w14:paraId="2CFF3E55" w14:textId="77777777" w:rsidR="00505B2B" w:rsidRPr="00D87235" w:rsidRDefault="00505B2B" w:rsidP="00D87235">
      <w:pPr>
        <w:shd w:val="clear" w:color="auto" w:fill="FFFFFF"/>
        <w:spacing w:after="0"/>
        <w:contextualSpacing/>
        <w:rPr>
          <w:color w:val="4A4A4A"/>
          <w:sz w:val="21"/>
        </w:rPr>
      </w:pPr>
    </w:p>
    <w:p w14:paraId="5707135A" w14:textId="77777777" w:rsidR="00505B2B" w:rsidRPr="00505B2B" w:rsidRDefault="00505B2B" w:rsidP="00505B2B">
      <w:pPr>
        <w:numPr>
          <w:ilvl w:val="0"/>
          <w:numId w:val="1"/>
        </w:numPr>
        <w:shd w:val="clear" w:color="auto" w:fill="FFFFFF"/>
        <w:spacing w:after="0" w:line="240" w:lineRule="auto"/>
        <w:ind w:left="495"/>
        <w:outlineLvl w:val="4"/>
        <w:rPr>
          <w:rFonts w:eastAsia="Times New Roman" w:cstheme="minorHAnsi"/>
          <w:color w:val="1C75BC"/>
          <w:sz w:val="21"/>
          <w:szCs w:val="21"/>
          <w:lang w:eastAsia="en-GB"/>
        </w:rPr>
      </w:pPr>
      <w:r w:rsidRPr="00505B2B">
        <w:rPr>
          <w:rFonts w:eastAsia="Times New Roman" w:cstheme="minorHAnsi"/>
          <w:color w:val="1C75BC"/>
          <w:sz w:val="21"/>
          <w:szCs w:val="21"/>
          <w:lang w:eastAsia="en-GB"/>
        </w:rPr>
        <w:t>International recommendations</w:t>
      </w:r>
    </w:p>
    <w:p w14:paraId="457E40AE" w14:textId="77777777" w:rsidR="00505B2B" w:rsidRPr="00505B2B" w:rsidRDefault="00505B2B" w:rsidP="00505B2B">
      <w:pPr>
        <w:shd w:val="clear" w:color="auto" w:fill="FFFFFF"/>
        <w:spacing w:after="0" w:line="240" w:lineRule="auto"/>
        <w:ind w:left="495"/>
        <w:outlineLvl w:val="4"/>
        <w:rPr>
          <w:rFonts w:eastAsia="Times New Roman" w:cstheme="minorHAnsi"/>
          <w:color w:val="1C75BC"/>
          <w:sz w:val="21"/>
          <w:szCs w:val="21"/>
          <w:lang w:eastAsia="en-GB"/>
        </w:rPr>
      </w:pPr>
    </w:p>
    <w:p w14:paraId="17843D03" w14:textId="77777777" w:rsidR="00505B2B" w:rsidRPr="00D87235" w:rsidRDefault="00505B2B" w:rsidP="00505B2B">
      <w:pPr>
        <w:numPr>
          <w:ilvl w:val="1"/>
          <w:numId w:val="3"/>
        </w:numPr>
        <w:shd w:val="clear" w:color="auto" w:fill="FFFFFF"/>
        <w:spacing w:after="0"/>
        <w:contextualSpacing/>
        <w:rPr>
          <w:rFonts w:eastAsia="Times New Roman" w:cstheme="minorHAnsi"/>
          <w:color w:val="4A4A4A"/>
          <w:sz w:val="21"/>
          <w:szCs w:val="21"/>
          <w:lang w:eastAsia="en-GB"/>
        </w:rPr>
      </w:pPr>
      <w:r w:rsidRPr="00D87235">
        <w:rPr>
          <w:rFonts w:eastAsia="Times New Roman" w:cstheme="minorHAnsi"/>
          <w:color w:val="4A4A4A"/>
          <w:sz w:val="21"/>
          <w:szCs w:val="21"/>
          <w:lang w:eastAsia="en-GB"/>
        </w:rPr>
        <w:t>COFOG classification defined according to the breakdown proposed in the International Monetary Fund (IMF) Manual Government Finance Statistics (GFS), available at:</w:t>
      </w:r>
    </w:p>
    <w:p w14:paraId="472561D9" w14:textId="14C55364" w:rsidR="00505B2B" w:rsidRPr="00D87235" w:rsidRDefault="00505B2B" w:rsidP="00505B2B">
      <w:pPr>
        <w:shd w:val="clear" w:color="auto" w:fill="FFFFFF"/>
        <w:spacing w:after="0"/>
        <w:ind w:left="360"/>
        <w:contextualSpacing/>
        <w:rPr>
          <w:rFonts w:eastAsia="Times New Roman" w:cstheme="minorHAnsi"/>
          <w:color w:val="4A4A4A"/>
          <w:sz w:val="21"/>
          <w:szCs w:val="21"/>
          <w:lang w:eastAsia="en-GB"/>
        </w:rPr>
      </w:pPr>
      <w:r w:rsidRPr="00D87235">
        <w:rPr>
          <w:rFonts w:eastAsia="Times New Roman" w:cstheme="minorHAnsi"/>
          <w:color w:val="4A4A4A"/>
          <w:sz w:val="21"/>
          <w:szCs w:val="21"/>
          <w:lang w:eastAsia="en-GB"/>
        </w:rPr>
        <w:tab/>
        <w:t xml:space="preserve"> </w:t>
      </w:r>
      <w:r w:rsidRPr="00D87235">
        <w:rPr>
          <w:rFonts w:eastAsia="Times New Roman" w:cstheme="minorHAnsi"/>
          <w:color w:val="4A4A4A"/>
          <w:sz w:val="21"/>
          <w:szCs w:val="21"/>
          <w:lang w:eastAsia="en-GB"/>
        </w:rPr>
        <w:tab/>
      </w:r>
      <w:hyperlink r:id="rId14" w:history="1">
        <w:r w:rsidR="00AD0A63" w:rsidRPr="003672BE">
          <w:rPr>
            <w:rStyle w:val="Hyperlink"/>
            <w:rFonts w:eastAsia="Times New Roman" w:cstheme="minorHAnsi"/>
            <w:sz w:val="21"/>
            <w:szCs w:val="21"/>
            <w:lang w:eastAsia="en-GB"/>
          </w:rPr>
          <w:t>http://www.imf.org/external/Pubs/FT/GFS/Manual/2014/gfsfinal.pdf</w:t>
        </w:r>
      </w:hyperlink>
      <w:r w:rsidRPr="00D87235">
        <w:rPr>
          <w:rFonts w:eastAsia="Times New Roman" w:cstheme="minorHAnsi"/>
          <w:color w:val="4A4A4A"/>
          <w:sz w:val="21"/>
          <w:szCs w:val="21"/>
          <w:lang w:eastAsia="en-GB"/>
        </w:rPr>
        <w:t>.</w:t>
      </w:r>
      <w:r w:rsidR="00AD0A63">
        <w:rPr>
          <w:rFonts w:eastAsia="Times New Roman" w:cstheme="minorHAnsi"/>
          <w:color w:val="4A4A4A"/>
          <w:sz w:val="21"/>
          <w:szCs w:val="21"/>
          <w:lang w:eastAsia="en-GB"/>
        </w:rPr>
        <w:t xml:space="preserve"> </w:t>
      </w:r>
      <w:r w:rsidRPr="00D87235">
        <w:rPr>
          <w:rFonts w:eastAsia="Times New Roman" w:cstheme="minorHAnsi"/>
          <w:color w:val="4A4A4A"/>
          <w:sz w:val="21"/>
          <w:szCs w:val="21"/>
          <w:lang w:eastAsia="en-GB"/>
        </w:rPr>
        <w:t xml:space="preserve">  </w:t>
      </w:r>
    </w:p>
    <w:p w14:paraId="00279FCC" w14:textId="77777777" w:rsidR="00505B2B" w:rsidRPr="00D87235" w:rsidRDefault="00505B2B" w:rsidP="00505B2B">
      <w:pPr>
        <w:autoSpaceDE w:val="0"/>
        <w:autoSpaceDN w:val="0"/>
        <w:adjustRightInd w:val="0"/>
        <w:spacing w:after="0" w:line="240" w:lineRule="auto"/>
        <w:rPr>
          <w:rFonts w:eastAsia="Times New Roman" w:cstheme="minorHAnsi"/>
          <w:b/>
          <w:bCs/>
          <w:color w:val="4A4A4A"/>
          <w:sz w:val="21"/>
          <w:szCs w:val="21"/>
          <w:lang w:eastAsia="en-GB"/>
        </w:rPr>
      </w:pPr>
    </w:p>
    <w:p w14:paraId="0B2A000C" w14:textId="77777777" w:rsidR="00505B2B" w:rsidRPr="00D87235" w:rsidRDefault="00505B2B" w:rsidP="00505B2B">
      <w:pPr>
        <w:numPr>
          <w:ilvl w:val="1"/>
          <w:numId w:val="3"/>
        </w:numPr>
        <w:shd w:val="clear" w:color="auto" w:fill="FFFFFF"/>
        <w:spacing w:after="0"/>
        <w:contextualSpacing/>
        <w:rPr>
          <w:rFonts w:cstheme="minorHAnsi"/>
          <w:color w:val="4A4A4A"/>
          <w:sz w:val="21"/>
          <w:szCs w:val="21"/>
        </w:rPr>
      </w:pPr>
      <w:r w:rsidRPr="00D87235">
        <w:rPr>
          <w:rFonts w:cstheme="minorHAnsi"/>
          <w:color w:val="4A4A4A"/>
          <w:sz w:val="21"/>
          <w:szCs w:val="21"/>
        </w:rPr>
        <w:t xml:space="preserve">2009 UNESCO Framework for cultural statistics </w:t>
      </w:r>
    </w:p>
    <w:p w14:paraId="655082E8" w14:textId="77777777" w:rsidR="00505B2B" w:rsidRPr="00505B2B" w:rsidRDefault="00505B2B" w:rsidP="00505B2B">
      <w:pPr>
        <w:shd w:val="clear" w:color="auto" w:fill="FFFFFF"/>
        <w:spacing w:before="100" w:beforeAutospacing="1" w:after="0" w:line="240" w:lineRule="auto"/>
        <w:ind w:left="1440" w:hanging="1440"/>
        <w:contextualSpacing/>
        <w:rPr>
          <w:rFonts w:cstheme="minorHAnsi"/>
          <w:sz w:val="21"/>
          <w:szCs w:val="21"/>
        </w:rPr>
      </w:pPr>
      <w:r w:rsidRPr="00505B2B">
        <w:rPr>
          <w:rFonts w:cstheme="minorHAnsi"/>
          <w:color w:val="0000FF"/>
          <w:sz w:val="21"/>
          <w:szCs w:val="21"/>
        </w:rPr>
        <w:lastRenderedPageBreak/>
        <w:tab/>
      </w:r>
      <w:hyperlink r:id="rId15" w:history="1">
        <w:r w:rsidRPr="00505B2B">
          <w:rPr>
            <w:rFonts w:cstheme="minorHAnsi"/>
            <w:color w:val="0000FF"/>
            <w:sz w:val="21"/>
            <w:szCs w:val="21"/>
            <w:u w:val="single"/>
          </w:rPr>
          <w:t>http://uis.unesco.org/sites/default/files/documents/unesco-framework-for-cultural-statistics-2009-en_0.pdf</w:t>
        </w:r>
      </w:hyperlink>
    </w:p>
    <w:p w14:paraId="5CBAEF7D" w14:textId="77777777" w:rsidR="00505B2B" w:rsidRPr="00505B2B" w:rsidRDefault="00505B2B" w:rsidP="00505B2B">
      <w:pPr>
        <w:shd w:val="clear" w:color="auto" w:fill="FFFFFF"/>
        <w:spacing w:before="100" w:beforeAutospacing="1" w:after="0" w:line="240" w:lineRule="auto"/>
        <w:ind w:left="57" w:firstLine="1023"/>
        <w:contextualSpacing/>
        <w:rPr>
          <w:rFonts w:cstheme="minorHAnsi"/>
          <w:sz w:val="21"/>
          <w:szCs w:val="21"/>
        </w:rPr>
      </w:pPr>
    </w:p>
    <w:p w14:paraId="0A826A93" w14:textId="77777777" w:rsidR="00505B2B" w:rsidRPr="00D87235" w:rsidRDefault="00505B2B" w:rsidP="00505B2B">
      <w:pPr>
        <w:shd w:val="clear" w:color="auto" w:fill="FFFFFF"/>
        <w:spacing w:before="100" w:beforeAutospacing="1" w:after="0" w:line="240" w:lineRule="auto"/>
        <w:ind w:left="1440"/>
        <w:contextualSpacing/>
        <w:rPr>
          <w:rFonts w:cstheme="minorHAnsi"/>
          <w:color w:val="4A4A4A"/>
          <w:sz w:val="21"/>
          <w:szCs w:val="21"/>
        </w:rPr>
      </w:pPr>
      <w:r w:rsidRPr="00D87235">
        <w:rPr>
          <w:rFonts w:cstheme="minorHAnsi"/>
          <w:color w:val="4A4A4A"/>
          <w:sz w:val="21"/>
          <w:szCs w:val="21"/>
        </w:rPr>
        <w:t>Available in eight languages (Arabic, Chinese, English, French, Mongolian, Russian, Spanish and Vietnamese)</w:t>
      </w:r>
    </w:p>
    <w:p w14:paraId="483F4CEA" w14:textId="77777777" w:rsidR="00505B2B" w:rsidRPr="00D87235" w:rsidRDefault="00505B2B" w:rsidP="00505B2B">
      <w:pPr>
        <w:shd w:val="clear" w:color="auto" w:fill="FFFFFF"/>
        <w:spacing w:before="100" w:beforeAutospacing="1" w:after="0" w:line="240" w:lineRule="auto"/>
        <w:ind w:left="57" w:firstLine="1023"/>
        <w:contextualSpacing/>
        <w:rPr>
          <w:rFonts w:cstheme="minorHAnsi"/>
          <w:color w:val="4A4A4A"/>
          <w:sz w:val="21"/>
          <w:szCs w:val="21"/>
        </w:rPr>
      </w:pPr>
    </w:p>
    <w:p w14:paraId="3F7679BC" w14:textId="77777777" w:rsidR="00505B2B" w:rsidRPr="00505B2B" w:rsidRDefault="00505B2B" w:rsidP="00505B2B">
      <w:pPr>
        <w:numPr>
          <w:ilvl w:val="1"/>
          <w:numId w:val="3"/>
        </w:numPr>
        <w:shd w:val="clear" w:color="auto" w:fill="FFFFFF"/>
        <w:spacing w:after="0"/>
        <w:contextualSpacing/>
        <w:rPr>
          <w:rFonts w:cstheme="minorHAnsi"/>
          <w:sz w:val="21"/>
          <w:szCs w:val="21"/>
        </w:rPr>
      </w:pPr>
      <w:r w:rsidRPr="00D87235">
        <w:rPr>
          <w:rFonts w:cstheme="minorHAnsi"/>
          <w:color w:val="4A4A4A"/>
          <w:sz w:val="21"/>
          <w:szCs w:val="21"/>
        </w:rPr>
        <w:t xml:space="preserve">International Standard Industrial Classification of all Economic Activities Revision 4 (ISIC Rev. 4). </w:t>
      </w:r>
      <w:hyperlink r:id="rId16" w:history="1">
        <w:r w:rsidRPr="00505B2B">
          <w:rPr>
            <w:rFonts w:cstheme="minorHAnsi"/>
            <w:color w:val="0000FF"/>
            <w:sz w:val="21"/>
            <w:szCs w:val="21"/>
            <w:u w:val="single"/>
          </w:rPr>
          <w:t>https://unstats.un.org/unsd/publication/seriesm/seriesm_4rev4e.pdf</w:t>
        </w:r>
      </w:hyperlink>
      <w:r w:rsidRPr="00505B2B">
        <w:rPr>
          <w:rFonts w:cstheme="minorHAnsi"/>
          <w:sz w:val="21"/>
          <w:szCs w:val="21"/>
        </w:rPr>
        <w:t xml:space="preserve">   </w:t>
      </w:r>
    </w:p>
    <w:p w14:paraId="3F28FB23" w14:textId="77777777" w:rsidR="00505B2B" w:rsidRPr="00505B2B" w:rsidRDefault="00505B2B" w:rsidP="00505B2B">
      <w:pPr>
        <w:shd w:val="clear" w:color="auto" w:fill="FFFFFF"/>
        <w:spacing w:after="0"/>
        <w:ind w:left="360"/>
        <w:contextualSpacing/>
        <w:rPr>
          <w:rFonts w:cstheme="minorHAnsi"/>
          <w:sz w:val="21"/>
          <w:szCs w:val="21"/>
        </w:rPr>
      </w:pPr>
    </w:p>
    <w:p w14:paraId="22373F64" w14:textId="77777777" w:rsidR="00505B2B" w:rsidRPr="00D87235" w:rsidRDefault="00505B2B" w:rsidP="00505B2B">
      <w:pPr>
        <w:numPr>
          <w:ilvl w:val="1"/>
          <w:numId w:val="3"/>
        </w:numPr>
        <w:shd w:val="clear" w:color="auto" w:fill="FFFFFF"/>
        <w:spacing w:after="0"/>
        <w:contextualSpacing/>
        <w:rPr>
          <w:rFonts w:cstheme="minorHAnsi"/>
          <w:color w:val="4A4A4A"/>
          <w:sz w:val="21"/>
          <w:szCs w:val="21"/>
        </w:rPr>
      </w:pPr>
      <w:r w:rsidRPr="00D87235">
        <w:rPr>
          <w:rFonts w:cstheme="minorHAnsi"/>
          <w:color w:val="4A4A4A"/>
          <w:sz w:val="21"/>
          <w:szCs w:val="21"/>
        </w:rPr>
        <w:t>Recommendation concerning the International Standardization of Statistics on the Public Financing of Cultural Activities, UNESCO 1980</w:t>
      </w:r>
    </w:p>
    <w:p w14:paraId="3C87925B" w14:textId="77777777" w:rsidR="00505B2B" w:rsidRPr="00505B2B" w:rsidRDefault="00FF3BEF" w:rsidP="00505B2B">
      <w:pPr>
        <w:ind w:left="1440"/>
        <w:contextualSpacing/>
        <w:rPr>
          <w:lang w:val="en-US"/>
        </w:rPr>
      </w:pPr>
      <w:hyperlink r:id="rId17" w:anchor="targetText=1.,in%20education%20and%20science%20statistics)." w:history="1">
        <w:r w:rsidR="00505B2B" w:rsidRPr="00505B2B">
          <w:rPr>
            <w:color w:val="0000FF"/>
            <w:u w:val="single"/>
            <w:lang w:val="en-US"/>
          </w:rPr>
          <w:t>http://portal.unesco.org/en/ev.php-URL_ID=13140&amp;URL_DO=DO_TOPIC&amp;URL_SECTION=201.html#targetText=1.,in%20education%20and%20science%20statistics).</w:t>
        </w:r>
      </w:hyperlink>
    </w:p>
    <w:p w14:paraId="38067B49" w14:textId="77777777" w:rsidR="00505B2B" w:rsidRPr="00D87235" w:rsidRDefault="00505B2B" w:rsidP="00505B2B">
      <w:pPr>
        <w:numPr>
          <w:ilvl w:val="1"/>
          <w:numId w:val="3"/>
        </w:numPr>
        <w:shd w:val="clear" w:color="auto" w:fill="FFFFFF"/>
        <w:spacing w:after="0"/>
        <w:contextualSpacing/>
        <w:rPr>
          <w:rFonts w:cstheme="minorHAnsi"/>
          <w:color w:val="4A4A4A"/>
          <w:sz w:val="21"/>
          <w:szCs w:val="21"/>
        </w:rPr>
      </w:pPr>
      <w:r w:rsidRPr="00D87235">
        <w:rPr>
          <w:rFonts w:cstheme="minorHAnsi"/>
          <w:color w:val="4A4A4A"/>
          <w:sz w:val="21"/>
          <w:szCs w:val="21"/>
        </w:rPr>
        <w:t>What is Official Development Aid?, OECD , April 2019</w:t>
      </w:r>
    </w:p>
    <w:p w14:paraId="6BB46B45" w14:textId="77777777" w:rsidR="00505B2B" w:rsidRPr="00505B2B" w:rsidRDefault="00505B2B" w:rsidP="00505B2B">
      <w:pPr>
        <w:shd w:val="clear" w:color="auto" w:fill="FFFFFF"/>
        <w:spacing w:after="0"/>
        <w:contextualSpacing/>
        <w:rPr>
          <w:rFonts w:ascii="Times New Roman" w:hAnsi="Times New Roman" w:cs="Times New Roman"/>
          <w:b/>
          <w:sz w:val="20"/>
          <w:szCs w:val="20"/>
        </w:rPr>
      </w:pPr>
      <w:r w:rsidRPr="00505B2B">
        <w:rPr>
          <w:rFonts w:ascii="Times New Roman" w:hAnsi="Times New Roman" w:cs="Times New Roman"/>
          <w:b/>
          <w:sz w:val="20"/>
          <w:szCs w:val="20"/>
        </w:rPr>
        <w:tab/>
      </w:r>
      <w:r w:rsidRPr="00505B2B">
        <w:rPr>
          <w:rFonts w:ascii="Times New Roman" w:hAnsi="Times New Roman" w:cs="Times New Roman"/>
          <w:b/>
          <w:sz w:val="20"/>
          <w:szCs w:val="20"/>
        </w:rPr>
        <w:tab/>
      </w:r>
      <w:hyperlink r:id="rId18" w:history="1">
        <w:r w:rsidRPr="00505B2B">
          <w:rPr>
            <w:color w:val="0000FF"/>
            <w:u w:val="single"/>
            <w:lang w:val="en-US"/>
          </w:rPr>
          <w:t>http://www.oecd.org/dac/stats/What-is-ODA.pdf</w:t>
        </w:r>
      </w:hyperlink>
    </w:p>
    <w:p w14:paraId="03842869" w14:textId="77777777" w:rsidR="00EC2915" w:rsidRPr="00A96255" w:rsidRDefault="00EC2915" w:rsidP="00576CFA">
      <w:pPr>
        <w:pStyle w:val="MText"/>
      </w:pPr>
    </w:p>
    <w:p w14:paraId="000EFED1" w14:textId="77777777" w:rsidR="00E1050F" w:rsidRPr="00A96255" w:rsidRDefault="00576CFA" w:rsidP="00F719A8">
      <w:pPr>
        <w:pStyle w:val="MHeader2"/>
      </w:pPr>
      <w:r w:rsidRPr="00A96255">
        <w:t xml:space="preserve">4.i. Quality management </w:t>
      </w:r>
      <w:r>
        <w:rPr>
          <w:color w:val="B4B4B4"/>
          <w:sz w:val="20"/>
        </w:rPr>
        <w:t>(QUALITY_MGMNT)</w:t>
      </w:r>
    </w:p>
    <w:p w14:paraId="5A525404" w14:textId="77777777" w:rsidR="00EC2915" w:rsidRDefault="00E76382" w:rsidP="00576CFA">
      <w:pPr>
        <w:pStyle w:val="MText"/>
      </w:pPr>
      <w:r>
        <w:t>The UIS maintains a set of data processing guidelines/standards as well as data processing tools to facilitate processing of data and ensure the quality of data.</w:t>
      </w:r>
    </w:p>
    <w:p w14:paraId="236E1139" w14:textId="77777777" w:rsidR="00E40C5B" w:rsidRPr="00A96255" w:rsidRDefault="00E40C5B" w:rsidP="00576CFA">
      <w:pPr>
        <w:pStyle w:val="MText"/>
      </w:pPr>
    </w:p>
    <w:p w14:paraId="50976ACF" w14:textId="77777777" w:rsidR="00E1050F" w:rsidRPr="00A96255" w:rsidRDefault="00E1050F" w:rsidP="00F719A8">
      <w:pPr>
        <w:pStyle w:val="MHeader2"/>
      </w:pPr>
      <w:r w:rsidRPr="00A96255">
        <w:t xml:space="preserve">4.j Quality assurance </w:t>
      </w:r>
      <w:r>
        <w:rPr>
          <w:color w:val="B4B4B4"/>
          <w:sz w:val="20"/>
        </w:rPr>
        <w:t>(QUALITY_ASSURE)</w:t>
      </w:r>
    </w:p>
    <w:p w14:paraId="5BE95C64" w14:textId="77777777" w:rsidR="00505B2B" w:rsidRDefault="00505B2B" w:rsidP="00505B2B">
      <w:pPr>
        <w:keepNext/>
        <w:pBdr>
          <w:bottom w:val="single" w:sz="12" w:space="4" w:color="DDDDDD"/>
        </w:pBdr>
        <w:shd w:val="clear" w:color="auto" w:fill="FFFFFF"/>
        <w:spacing w:after="0"/>
        <w:outlineLvl w:val="2"/>
        <w:rPr>
          <w:rFonts w:cstheme="minorHAnsi"/>
          <w:color w:val="4A4A4A"/>
          <w:sz w:val="21"/>
          <w:szCs w:val="21"/>
        </w:rPr>
      </w:pPr>
      <w:r w:rsidRPr="00D87235">
        <w:rPr>
          <w:rFonts w:cstheme="minorHAnsi"/>
          <w:color w:val="4A4A4A"/>
          <w:sz w:val="21"/>
          <w:szCs w:val="21"/>
        </w:rPr>
        <w:t>All data collected will be reviewed by UIS for accuracy and quality.</w:t>
      </w:r>
    </w:p>
    <w:p w14:paraId="228A5653" w14:textId="77777777" w:rsidR="0096250E" w:rsidRPr="00204425" w:rsidRDefault="0096250E" w:rsidP="0096250E">
      <w:pPr>
        <w:keepNext/>
        <w:pBdr>
          <w:bottom w:val="single" w:sz="12" w:space="4" w:color="DDDDDD"/>
        </w:pBdr>
        <w:shd w:val="clear" w:color="auto" w:fill="FFFFFF"/>
        <w:spacing w:after="0"/>
        <w:outlineLvl w:val="2"/>
        <w:rPr>
          <w:rFonts w:cstheme="minorHAnsi"/>
          <w:i/>
          <w:color w:val="4A4A4A"/>
          <w:sz w:val="21"/>
          <w:szCs w:val="21"/>
        </w:rPr>
      </w:pPr>
    </w:p>
    <w:p w14:paraId="301E7A81" w14:textId="77777777" w:rsidR="00E40C5B" w:rsidRPr="004C3855" w:rsidRDefault="00E40C5B" w:rsidP="00E40C5B">
      <w:pPr>
        <w:keepNext/>
        <w:pBdr>
          <w:bottom w:val="single" w:sz="12" w:space="4" w:color="DDDDDD"/>
        </w:pBdr>
        <w:shd w:val="clear" w:color="auto" w:fill="FFFFFF"/>
        <w:spacing w:after="0"/>
        <w:outlineLvl w:val="2"/>
        <w:rPr>
          <w:rFonts w:cstheme="minorHAnsi"/>
          <w:color w:val="4A4A4A"/>
          <w:sz w:val="21"/>
          <w:szCs w:val="21"/>
        </w:rPr>
      </w:pPr>
      <w:r w:rsidRPr="004C3855">
        <w:rPr>
          <w:rFonts w:cstheme="minorHAnsi"/>
          <w:color w:val="4A4A4A"/>
          <w:sz w:val="21"/>
          <w:szCs w:val="21"/>
        </w:rPr>
        <w:t xml:space="preserve">The process for quality assurance includes review of survey documentation, </w:t>
      </w:r>
      <w:r w:rsidR="00E76382" w:rsidRPr="00E76382">
        <w:rPr>
          <w:rFonts w:cstheme="minorHAnsi"/>
          <w:color w:val="4A4A4A"/>
          <w:sz w:val="21"/>
          <w:szCs w:val="21"/>
        </w:rPr>
        <w:t>making sure compliance with international standards</w:t>
      </w:r>
      <w:r w:rsidR="00E76382">
        <w:rPr>
          <w:rFonts w:cstheme="minorHAnsi"/>
          <w:color w:val="4A4A4A"/>
          <w:sz w:val="21"/>
          <w:szCs w:val="21"/>
        </w:rPr>
        <w:t xml:space="preserve"> (for example the 2009 UNESCO FCS, COFOG, ISIC), </w:t>
      </w:r>
      <w:r w:rsidRPr="004C3855">
        <w:rPr>
          <w:rFonts w:cstheme="minorHAnsi"/>
          <w:color w:val="4A4A4A"/>
          <w:sz w:val="21"/>
          <w:szCs w:val="21"/>
        </w:rPr>
        <w:t xml:space="preserve">calculation of measures of reliability, </w:t>
      </w:r>
      <w:r w:rsidR="00E76382" w:rsidRPr="00E76382">
        <w:rPr>
          <w:rFonts w:cstheme="minorHAnsi"/>
          <w:color w:val="4A4A4A"/>
          <w:sz w:val="21"/>
          <w:szCs w:val="21"/>
        </w:rPr>
        <w:t xml:space="preserve">and examining the consistency and coherence within the data set as well as with the time series of data and the resulting indicators </w:t>
      </w:r>
      <w:r w:rsidRPr="004C3855">
        <w:rPr>
          <w:rFonts w:cstheme="minorHAnsi"/>
          <w:color w:val="4A4A4A"/>
          <w:sz w:val="21"/>
          <w:szCs w:val="21"/>
        </w:rPr>
        <w:t>examination of consistency of indicator values derived from different sources and, if necessary, consultation with data providers.</w:t>
      </w:r>
    </w:p>
    <w:p w14:paraId="1C4E843A" w14:textId="77777777" w:rsidR="00E40C5B" w:rsidRDefault="00E40C5B" w:rsidP="0096250E">
      <w:pPr>
        <w:keepNext/>
        <w:pBdr>
          <w:bottom w:val="single" w:sz="12" w:space="4" w:color="DDDDDD"/>
        </w:pBdr>
        <w:shd w:val="clear" w:color="auto" w:fill="FFFFFF"/>
        <w:spacing w:after="0"/>
        <w:outlineLvl w:val="2"/>
        <w:rPr>
          <w:rFonts w:cstheme="minorHAnsi"/>
          <w:color w:val="4A4A4A"/>
          <w:sz w:val="21"/>
          <w:szCs w:val="21"/>
        </w:rPr>
      </w:pPr>
    </w:p>
    <w:p w14:paraId="0B3364FD" w14:textId="77777777" w:rsidR="0096250E" w:rsidRPr="004C3855" w:rsidRDefault="0096250E" w:rsidP="0096250E">
      <w:pPr>
        <w:keepNext/>
        <w:pBdr>
          <w:bottom w:val="single" w:sz="12" w:space="4" w:color="DDDDDD"/>
        </w:pBdr>
        <w:shd w:val="clear" w:color="auto" w:fill="FFFFFF"/>
        <w:spacing w:after="0"/>
        <w:outlineLvl w:val="2"/>
        <w:rPr>
          <w:rFonts w:cstheme="minorHAnsi"/>
          <w:color w:val="4A4A4A"/>
          <w:sz w:val="21"/>
          <w:szCs w:val="21"/>
        </w:rPr>
      </w:pPr>
      <w:r w:rsidRPr="004C3855">
        <w:rPr>
          <w:rFonts w:cstheme="minorHAnsi"/>
          <w:color w:val="4A4A4A"/>
          <w:sz w:val="21"/>
          <w:szCs w:val="21"/>
        </w:rPr>
        <w:t xml:space="preserve">Before its annual data release and addition to the global SDG Indicators Database, the UNESCO Institute for Statistics submits all indicator values and notes on methodology to </w:t>
      </w:r>
      <w:r w:rsidR="00FE03D7">
        <w:rPr>
          <w:rFonts w:cstheme="minorHAnsi"/>
          <w:color w:val="4A4A4A"/>
          <w:sz w:val="21"/>
          <w:szCs w:val="21"/>
        </w:rPr>
        <w:t xml:space="preserve">SDG focal points, </w:t>
      </w:r>
      <w:r w:rsidRPr="004C3855">
        <w:rPr>
          <w:rFonts w:cstheme="minorHAnsi"/>
          <w:color w:val="4A4A4A"/>
          <w:sz w:val="21"/>
          <w:szCs w:val="21"/>
        </w:rPr>
        <w:t xml:space="preserve">National Statistical Offices, Ministries of culture or other relevant agencies in individual countries for their review and </w:t>
      </w:r>
      <w:r w:rsidR="00E76382">
        <w:rPr>
          <w:rFonts w:cstheme="minorHAnsi"/>
          <w:color w:val="4A4A4A"/>
          <w:sz w:val="21"/>
          <w:szCs w:val="21"/>
        </w:rPr>
        <w:t>validation</w:t>
      </w:r>
      <w:r w:rsidRPr="004C3855">
        <w:rPr>
          <w:rFonts w:cstheme="minorHAnsi"/>
          <w:color w:val="4A4A4A"/>
          <w:sz w:val="21"/>
          <w:szCs w:val="21"/>
        </w:rPr>
        <w:t>.</w:t>
      </w:r>
    </w:p>
    <w:p w14:paraId="4DB5EF10" w14:textId="77777777" w:rsidR="00904FAD" w:rsidRDefault="00904FAD" w:rsidP="00F719A8">
      <w:pPr>
        <w:pStyle w:val="MHeader2"/>
      </w:pPr>
    </w:p>
    <w:p w14:paraId="57A118A5" w14:textId="77777777" w:rsidR="00E1050F" w:rsidRPr="00A96255" w:rsidRDefault="00576CFA" w:rsidP="00F719A8">
      <w:pPr>
        <w:pStyle w:val="MHeader2"/>
      </w:pPr>
      <w:r w:rsidRPr="00A96255">
        <w:t xml:space="preserve">4.k Quality assessment </w:t>
      </w:r>
      <w:r>
        <w:rPr>
          <w:color w:val="B4B4B4"/>
          <w:sz w:val="20"/>
        </w:rPr>
        <w:t>(QUALITY_ASSMNT)</w:t>
      </w:r>
    </w:p>
    <w:p w14:paraId="5A3B57FE" w14:textId="77777777" w:rsidR="001A1909" w:rsidRPr="00E76382" w:rsidRDefault="001A1909" w:rsidP="00576CFA">
      <w:pPr>
        <w:pStyle w:val="MText"/>
      </w:pPr>
      <w:r w:rsidRPr="00E76382">
        <w:t xml:space="preserve">The data should comply with </w:t>
      </w:r>
      <w:r w:rsidR="00E76382" w:rsidRPr="00E76382">
        <w:t xml:space="preserve">the definitions and guidelines provided </w:t>
      </w:r>
      <w:r w:rsidRPr="00E76382">
        <w:t xml:space="preserve">international and </w:t>
      </w:r>
      <w:r w:rsidR="00E76382" w:rsidRPr="00E76382">
        <w:t>comprehensive</w:t>
      </w:r>
      <w:r w:rsidRPr="00E76382">
        <w:t xml:space="preserve"> coverage </w:t>
      </w:r>
      <w:r w:rsidR="00E76382">
        <w:t xml:space="preserve">of </w:t>
      </w:r>
      <w:r w:rsidRPr="00E76382">
        <w:t>public and private</w:t>
      </w:r>
      <w:r w:rsidR="00E76382">
        <w:t xml:space="preserve"> expenditure on cultural and natural heritage</w:t>
      </w:r>
      <w:r w:rsidRPr="00E76382">
        <w:t xml:space="preserve"> </w:t>
      </w:r>
    </w:p>
    <w:p w14:paraId="31AB9440" w14:textId="77777777" w:rsidR="001A1909" w:rsidRDefault="001A1909" w:rsidP="001A1909">
      <w:pPr>
        <w:pStyle w:val="MText"/>
      </w:pPr>
      <w:r w:rsidRPr="00F53E48">
        <w:t xml:space="preserve">Criteria for quality assessment include: data sources must include proper documentation; data values </w:t>
      </w:r>
      <w:r>
        <w:t xml:space="preserve">shall be </w:t>
      </w:r>
      <w:r w:rsidR="00E76382">
        <w:t>nationally</w:t>
      </w:r>
      <w:r>
        <w:t xml:space="preserve"> representative </w:t>
      </w:r>
      <w:r w:rsidRPr="00F53E48">
        <w:t>and, if not, should be footnoted; data are plausible and based on trends and consistency with previously published/reported values for the indicator.</w:t>
      </w:r>
    </w:p>
    <w:p w14:paraId="1E632116" w14:textId="77777777" w:rsidR="00904FAD" w:rsidRDefault="00904FAD" w:rsidP="000412A0">
      <w:pPr>
        <w:pStyle w:val="MHeader"/>
        <w:spacing w:after="100"/>
      </w:pPr>
    </w:p>
    <w:p w14:paraId="5BF9078E" w14:textId="77777777" w:rsidR="00E1050F" w:rsidRPr="00A96255" w:rsidRDefault="00576CFA" w:rsidP="000412A0">
      <w:pPr>
        <w:pStyle w:val="MHeader"/>
        <w:spacing w:after="100"/>
      </w:pPr>
      <w:r w:rsidRPr="00A96255">
        <w:t xml:space="preserve">5. Data availability and disaggregation </w:t>
      </w:r>
      <w:r>
        <w:rPr>
          <w:color w:val="B4B4B4"/>
          <w:sz w:val="20"/>
        </w:rPr>
        <w:t>(COVERAGE)</w:t>
      </w:r>
    </w:p>
    <w:p w14:paraId="7BA3C61F" w14:textId="77777777" w:rsidR="00576CFA" w:rsidRPr="00873266" w:rsidRDefault="00D51E7C" w:rsidP="00576CFA">
      <w:pPr>
        <w:pStyle w:val="MText"/>
        <w:rPr>
          <w:b/>
          <w:bCs/>
        </w:rPr>
      </w:pPr>
      <w:r w:rsidRPr="00873266">
        <w:rPr>
          <w:b/>
          <w:bCs/>
        </w:rPr>
        <w:lastRenderedPageBreak/>
        <w:t>Data availability:</w:t>
      </w:r>
    </w:p>
    <w:p w14:paraId="54F496E9" w14:textId="77777777" w:rsidR="00204425" w:rsidRDefault="0096250E" w:rsidP="009128D5">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For the first data collection on SDG 11.4.1 in 2020, 50 countries representing 24% of all countries worldwide completed the UIS questionnaire. Due to lack of available data, </w:t>
      </w:r>
      <w:r w:rsidR="004C3855">
        <w:rPr>
          <w:rFonts w:eastAsia="Times New Roman" w:cstheme="minorHAnsi"/>
          <w:color w:val="4A4A4A"/>
          <w:sz w:val="21"/>
          <w:szCs w:val="21"/>
          <w:lang w:eastAsia="en-GB"/>
        </w:rPr>
        <w:t>less than 30 were</w:t>
      </w:r>
      <w:r>
        <w:rPr>
          <w:rFonts w:eastAsia="Times New Roman" w:cstheme="minorHAnsi"/>
          <w:color w:val="4A4A4A"/>
          <w:sz w:val="21"/>
          <w:szCs w:val="21"/>
          <w:lang w:eastAsia="en-GB"/>
        </w:rPr>
        <w:t xml:space="preserve"> able to calculate the indicator fully or partially.</w:t>
      </w:r>
    </w:p>
    <w:p w14:paraId="464E4807" w14:textId="77777777" w:rsidR="00570DD9" w:rsidRDefault="00570DD9" w:rsidP="004C3855">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The availability of private expenditure on heritage is limited.</w:t>
      </w:r>
    </w:p>
    <w:p w14:paraId="442E1726" w14:textId="77777777" w:rsidR="00570DD9" w:rsidRDefault="00570DD9" w:rsidP="004C3855">
      <w:pPr>
        <w:shd w:val="clear" w:color="auto" w:fill="FFFFFF"/>
        <w:spacing w:after="0"/>
        <w:jc w:val="both"/>
        <w:rPr>
          <w:rFonts w:eastAsia="Times New Roman" w:cstheme="minorHAnsi"/>
          <w:color w:val="4A4A4A"/>
          <w:sz w:val="21"/>
          <w:szCs w:val="21"/>
          <w:lang w:eastAsia="en-GB"/>
        </w:rPr>
      </w:pPr>
    </w:p>
    <w:p w14:paraId="373AE825" w14:textId="77777777" w:rsidR="00570DD9" w:rsidRDefault="004C3855" w:rsidP="004C3855">
      <w:pPr>
        <w:pStyle w:val="MText"/>
        <w:jc w:val="both"/>
      </w:pPr>
      <w:r>
        <w:t>If further disaggregation is not available at national level, t</w:t>
      </w:r>
      <w:r w:rsidR="00570DD9" w:rsidRPr="00204425">
        <w:t xml:space="preserve">he </w:t>
      </w:r>
      <w:r w:rsidR="00570DD9">
        <w:t xml:space="preserve">identification of cultural and natural heritage using the COFOG classification </w:t>
      </w:r>
      <w:r>
        <w:t xml:space="preserve">in public Finance statistics </w:t>
      </w:r>
      <w:r w:rsidR="00570DD9" w:rsidRPr="00204425">
        <w:t>is not always straightforward</w:t>
      </w:r>
      <w:r>
        <w:t>.</w:t>
      </w:r>
      <w:r w:rsidR="00570DD9">
        <w:t xml:space="preserve"> This explains why some countries were not able to report the relevant data to calculate SDG 11.4.1.</w:t>
      </w:r>
    </w:p>
    <w:p w14:paraId="69E89706" w14:textId="77777777" w:rsidR="00D51E7C" w:rsidRPr="00D87235" w:rsidRDefault="00D51E7C" w:rsidP="00576CFA">
      <w:pPr>
        <w:pStyle w:val="MText"/>
        <w:rPr>
          <w:highlight w:val="cyan"/>
        </w:rPr>
      </w:pPr>
    </w:p>
    <w:p w14:paraId="1AF6BB3E" w14:textId="77777777" w:rsidR="00D51E7C" w:rsidRPr="00873266" w:rsidRDefault="00D51E7C" w:rsidP="00576CFA">
      <w:pPr>
        <w:pStyle w:val="MText"/>
        <w:rPr>
          <w:b/>
          <w:bCs/>
        </w:rPr>
      </w:pPr>
      <w:r w:rsidRPr="00873266">
        <w:rPr>
          <w:b/>
          <w:bCs/>
        </w:rPr>
        <w:t>Time series:</w:t>
      </w:r>
    </w:p>
    <w:p w14:paraId="0679E8E2" w14:textId="77777777" w:rsidR="009128D5" w:rsidRPr="00873266" w:rsidRDefault="009128D5" w:rsidP="00873266">
      <w:pPr>
        <w:pStyle w:val="MText"/>
        <w:jc w:val="both"/>
      </w:pPr>
      <w:r w:rsidRPr="00873266">
        <w:t>Annual data collection as of 2020.</w:t>
      </w:r>
    </w:p>
    <w:p w14:paraId="0DE7D1CA" w14:textId="77777777" w:rsidR="009128D5" w:rsidRPr="00873266" w:rsidRDefault="009128D5" w:rsidP="00873266">
      <w:pPr>
        <w:pStyle w:val="MText"/>
        <w:jc w:val="both"/>
      </w:pPr>
    </w:p>
    <w:p w14:paraId="1167E1E4" w14:textId="77777777" w:rsidR="00D51E7C" w:rsidRPr="00873266" w:rsidRDefault="00D51E7C" w:rsidP="00576CFA">
      <w:pPr>
        <w:pStyle w:val="MText"/>
        <w:rPr>
          <w:b/>
          <w:bCs/>
        </w:rPr>
      </w:pPr>
      <w:r w:rsidRPr="00873266">
        <w:rPr>
          <w:b/>
          <w:bCs/>
        </w:rPr>
        <w:t>Disaggregation:</w:t>
      </w:r>
    </w:p>
    <w:p w14:paraId="5951A172" w14:textId="77777777" w:rsidR="00505B2B" w:rsidRPr="00D87235" w:rsidRDefault="00505B2B" w:rsidP="00873266">
      <w:pPr>
        <w:spacing w:after="0" w:line="240" w:lineRule="auto"/>
        <w:rPr>
          <w:rFonts w:ascii="Calibri" w:eastAsia="SimSun" w:hAnsi="Calibri" w:cs="Arial"/>
          <w:color w:val="4A4A4A"/>
          <w:sz w:val="21"/>
        </w:rPr>
      </w:pPr>
      <w:r w:rsidRPr="00D87235">
        <w:rPr>
          <w:rFonts w:ascii="Calibri" w:eastAsia="SimSun" w:hAnsi="Calibri" w:cs="Calibri"/>
          <w:color w:val="4A4A4A"/>
          <w:sz w:val="21"/>
          <w:szCs w:val="21"/>
          <w:lang w:eastAsia="en-US"/>
        </w:rPr>
        <w:t xml:space="preserve">Disaggregated by source of funding (public, private) </w:t>
      </w:r>
      <w:r w:rsidRPr="00D87235">
        <w:rPr>
          <w:rFonts w:ascii="Calibri" w:eastAsia="SimSun" w:hAnsi="Calibri" w:cs="Calibri"/>
          <w:color w:val="4A4A4A"/>
          <w:sz w:val="21"/>
          <w:szCs w:val="21"/>
          <w:lang w:eastAsia="en-US"/>
        </w:rPr>
        <w:br/>
        <w:t>Disaggregated</w:t>
      </w:r>
      <w:r w:rsidRPr="00D87235">
        <w:rPr>
          <w:rFonts w:ascii="Calibri" w:eastAsia="SimSun" w:hAnsi="Calibri" w:cs="Arial"/>
          <w:color w:val="4A4A4A"/>
          <w:sz w:val="21"/>
        </w:rPr>
        <w:t xml:space="preserve"> by type of heritage (cultural, natural</w:t>
      </w:r>
      <w:r w:rsidRPr="00D87235">
        <w:rPr>
          <w:rFonts w:ascii="Calibri" w:eastAsia="SimSun" w:hAnsi="Calibri" w:cs="Calibri"/>
          <w:color w:val="4A4A4A"/>
          <w:sz w:val="21"/>
          <w:szCs w:val="21"/>
          <w:lang w:eastAsia="en-US"/>
        </w:rPr>
        <w:t>)</w:t>
      </w:r>
      <w:r w:rsidRPr="00D87235">
        <w:rPr>
          <w:rFonts w:ascii="Calibri" w:eastAsia="SimSun" w:hAnsi="Calibri" w:cs="Calibri"/>
          <w:color w:val="4A4A4A"/>
          <w:sz w:val="21"/>
          <w:szCs w:val="21"/>
          <w:lang w:eastAsia="en-US"/>
        </w:rPr>
        <w:br/>
        <w:t>Disaggregated</w:t>
      </w:r>
      <w:r w:rsidRPr="00D87235">
        <w:rPr>
          <w:rFonts w:ascii="Calibri" w:eastAsia="SimSun" w:hAnsi="Calibri" w:cs="Arial"/>
          <w:color w:val="4A4A4A"/>
          <w:sz w:val="21"/>
        </w:rPr>
        <w:t xml:space="preserve"> by type of </w:t>
      </w:r>
      <w:r w:rsidRPr="00D87235">
        <w:rPr>
          <w:rFonts w:ascii="Calibri" w:eastAsia="SimSun" w:hAnsi="Calibri" w:cs="Calibri"/>
          <w:color w:val="4A4A4A"/>
          <w:sz w:val="21"/>
          <w:szCs w:val="21"/>
          <w:lang w:eastAsia="en-US"/>
        </w:rPr>
        <w:t>level of government (national, regional and local/municipal)</w:t>
      </w:r>
    </w:p>
    <w:p w14:paraId="2BAB8668" w14:textId="77777777" w:rsidR="00505B2B" w:rsidRPr="00D87235" w:rsidRDefault="00505B2B" w:rsidP="00505B2B">
      <w:pPr>
        <w:autoSpaceDE w:val="0"/>
        <w:autoSpaceDN w:val="0"/>
        <w:adjustRightInd w:val="0"/>
        <w:spacing w:after="0" w:line="240" w:lineRule="auto"/>
        <w:jc w:val="both"/>
        <w:rPr>
          <w:rFonts w:ascii="Calibri" w:eastAsia="SimSun" w:hAnsi="Calibri" w:cs="Arial"/>
          <w:color w:val="4A4A4A"/>
          <w:sz w:val="21"/>
        </w:rPr>
      </w:pPr>
      <w:r w:rsidRPr="00D87235">
        <w:rPr>
          <w:rFonts w:ascii="Calibri" w:eastAsia="SimSun" w:hAnsi="Calibri" w:cs="Arial"/>
          <w:color w:val="4A4A4A"/>
          <w:sz w:val="21"/>
        </w:rPr>
        <w:t>Quantifiable derivatives (1). Comparison of the relative expenditures in heritage with GDP per capita of countries, which will provide a complementary measure of a nation’s capacities and levels of development.</w:t>
      </w:r>
    </w:p>
    <w:p w14:paraId="6E4FFE26" w14:textId="77777777" w:rsidR="00505B2B" w:rsidRPr="00D87235" w:rsidRDefault="00505B2B" w:rsidP="00505B2B">
      <w:pPr>
        <w:autoSpaceDE w:val="0"/>
        <w:autoSpaceDN w:val="0"/>
        <w:adjustRightInd w:val="0"/>
        <w:spacing w:after="0" w:line="240" w:lineRule="auto"/>
        <w:jc w:val="both"/>
        <w:rPr>
          <w:rFonts w:ascii="Calibri" w:eastAsia="SimSun" w:hAnsi="Calibri" w:cs="Calibri"/>
          <w:color w:val="4A4A4A"/>
          <w:sz w:val="23"/>
          <w:szCs w:val="23"/>
        </w:rPr>
      </w:pPr>
    </w:p>
    <w:p w14:paraId="0DD5E4C1" w14:textId="77777777" w:rsidR="00D51E7C" w:rsidRPr="00A96255" w:rsidRDefault="00D51E7C" w:rsidP="00576CFA">
      <w:pPr>
        <w:pStyle w:val="MText"/>
      </w:pPr>
    </w:p>
    <w:p w14:paraId="61B577C9" w14:textId="7777777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9C1324A" w14:textId="77777777" w:rsidR="00D51E7C" w:rsidRPr="00873266" w:rsidRDefault="00D51E7C" w:rsidP="00576CFA">
      <w:pPr>
        <w:pStyle w:val="MText"/>
        <w:rPr>
          <w:b/>
          <w:bCs/>
        </w:rPr>
      </w:pPr>
      <w:r w:rsidRPr="00873266">
        <w:rPr>
          <w:b/>
          <w:bCs/>
        </w:rPr>
        <w:t>Sources of discrepancies:</w:t>
      </w:r>
    </w:p>
    <w:p w14:paraId="53B2F34F" w14:textId="77777777" w:rsidR="00570DD9" w:rsidRPr="00EC6804" w:rsidRDefault="00570DD9" w:rsidP="00570DD9">
      <w:pPr>
        <w:shd w:val="clear" w:color="auto" w:fill="FFFFFF"/>
        <w:spacing w:after="0"/>
        <w:contextualSpacing/>
        <w:rPr>
          <w:rFonts w:eastAsia="Times New Roman" w:cs="Times New Roman"/>
          <w:color w:val="4A4A4A"/>
          <w:sz w:val="21"/>
          <w:szCs w:val="21"/>
          <w:lang w:eastAsia="en-GB"/>
        </w:rPr>
      </w:pPr>
    </w:p>
    <w:p w14:paraId="132D00E8" w14:textId="77777777" w:rsidR="00570DD9" w:rsidRPr="00EC6804" w:rsidRDefault="00570DD9" w:rsidP="00570DD9">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There are no differences in the underlying data. Difference may occur due to the use of difference data for </w:t>
      </w:r>
      <w:r>
        <w:rPr>
          <w:rFonts w:eastAsia="Times New Roman" w:cs="Times New Roman"/>
          <w:color w:val="4A4A4A"/>
          <w:sz w:val="21"/>
          <w:szCs w:val="21"/>
          <w:lang w:eastAsia="en-GB"/>
        </w:rPr>
        <w:t>population data</w:t>
      </w:r>
      <w:r w:rsidRPr="00EC6804">
        <w:rPr>
          <w:rFonts w:eastAsia="Times New Roman" w:cs="Times New Roman"/>
          <w:color w:val="4A4A4A"/>
          <w:sz w:val="21"/>
          <w:szCs w:val="21"/>
          <w:lang w:eastAsia="en-GB"/>
        </w:rPr>
        <w:t xml:space="preserve"> used to calculate indicators.</w:t>
      </w:r>
    </w:p>
    <w:p w14:paraId="40888AA4" w14:textId="77777777" w:rsidR="00570DD9" w:rsidRPr="00A96255" w:rsidRDefault="00570DD9" w:rsidP="00576CFA">
      <w:pPr>
        <w:pStyle w:val="MText"/>
      </w:pPr>
    </w:p>
    <w:p w14:paraId="513B7E8F" w14:textId="77777777" w:rsidR="00382CF3" w:rsidRPr="00A96255" w:rsidRDefault="00576CFA" w:rsidP="000412A0">
      <w:pPr>
        <w:pStyle w:val="MHeader"/>
        <w:spacing w:after="100"/>
      </w:pPr>
      <w:r w:rsidRPr="00A96255">
        <w:t xml:space="preserve">7. References and Documentation </w:t>
      </w:r>
      <w:r>
        <w:rPr>
          <w:color w:val="B4B4B4"/>
          <w:sz w:val="20"/>
        </w:rPr>
        <w:t>(OTHER_DOC)</w:t>
      </w:r>
    </w:p>
    <w:p w14:paraId="72730AA3" w14:textId="77777777" w:rsidR="009128D5" w:rsidRPr="009128D5" w:rsidRDefault="00FF3BEF" w:rsidP="009128D5">
      <w:pPr>
        <w:shd w:val="clear" w:color="auto" w:fill="FFFFFF"/>
        <w:spacing w:after="0"/>
        <w:rPr>
          <w:rFonts w:eastAsia="Times New Roman" w:cstheme="minorHAnsi"/>
          <w:color w:val="4A4A4A"/>
          <w:sz w:val="21"/>
          <w:szCs w:val="21"/>
          <w:lang w:eastAsia="en-GB"/>
        </w:rPr>
      </w:pPr>
      <w:hyperlink r:id="rId19" w:history="1">
        <w:r w:rsidR="009128D5" w:rsidRPr="009128D5">
          <w:rPr>
            <w:color w:val="0000FF"/>
            <w:u w:val="single"/>
          </w:rPr>
          <w:t>http://uis.unesco.org/en/topic/sustainable-development-goal-11-4</w:t>
        </w:r>
      </w:hyperlink>
    </w:p>
    <w:p w14:paraId="426C157D" w14:textId="77777777" w:rsidR="009128D5" w:rsidRPr="009128D5" w:rsidRDefault="009128D5" w:rsidP="009128D5">
      <w:pPr>
        <w:shd w:val="clear" w:color="auto" w:fill="FFFFFF"/>
        <w:spacing w:after="0"/>
        <w:rPr>
          <w:rFonts w:eastAsia="Times New Roman" w:cstheme="minorHAnsi"/>
          <w:b/>
          <w:bCs/>
          <w:color w:val="4A4A4A"/>
          <w:sz w:val="21"/>
          <w:szCs w:val="21"/>
          <w:lang w:eastAsia="en-GB"/>
        </w:rPr>
      </w:pPr>
    </w:p>
    <w:p w14:paraId="47812311" w14:textId="77777777" w:rsidR="009128D5" w:rsidRPr="00D87235" w:rsidRDefault="009128D5" w:rsidP="009128D5">
      <w:pPr>
        <w:shd w:val="clear" w:color="auto" w:fill="FFFFFF"/>
        <w:spacing w:after="0"/>
        <w:rPr>
          <w:rFonts w:eastAsia="Times New Roman" w:cstheme="minorHAnsi"/>
          <w:color w:val="4A4A4A"/>
          <w:sz w:val="21"/>
          <w:szCs w:val="21"/>
          <w:lang w:eastAsia="en-GB"/>
        </w:rPr>
      </w:pPr>
      <w:r w:rsidRPr="00D87235">
        <w:rPr>
          <w:rFonts w:eastAsia="Times New Roman" w:cstheme="minorHAnsi"/>
          <w:b/>
          <w:bCs/>
          <w:color w:val="4A4A4A"/>
          <w:sz w:val="21"/>
          <w:szCs w:val="21"/>
          <w:lang w:eastAsia="en-GB"/>
        </w:rPr>
        <w:t>References:</w:t>
      </w:r>
    </w:p>
    <w:p w14:paraId="402B2808" w14:textId="77777777" w:rsidR="009128D5" w:rsidRPr="009128D5" w:rsidRDefault="009128D5" w:rsidP="009128D5">
      <w:pPr>
        <w:numPr>
          <w:ilvl w:val="0"/>
          <w:numId w:val="6"/>
        </w:numPr>
        <w:spacing w:after="0" w:line="240" w:lineRule="auto"/>
        <w:ind w:left="714" w:hanging="357"/>
        <w:contextualSpacing/>
        <w:rPr>
          <w:rFonts w:cstheme="minorHAnsi"/>
          <w:sz w:val="21"/>
          <w:szCs w:val="21"/>
          <w:u w:val="single"/>
        </w:rPr>
      </w:pPr>
      <w:r w:rsidRPr="00D87235">
        <w:rPr>
          <w:rFonts w:cstheme="minorHAnsi"/>
          <w:color w:val="4A4A4A"/>
          <w:sz w:val="21"/>
          <w:szCs w:val="21"/>
          <w:lang w:eastAsia="en-US"/>
        </w:rPr>
        <w:t>2009 UNESCO Framework for cultural statistics:</w:t>
      </w:r>
      <w:r w:rsidRPr="00D87235">
        <w:rPr>
          <w:rFonts w:cstheme="minorHAnsi"/>
          <w:color w:val="4A4A4A"/>
          <w:sz w:val="21"/>
          <w:szCs w:val="21"/>
          <w:lang w:eastAsia="en-US"/>
        </w:rPr>
        <w:br/>
      </w:r>
      <w:hyperlink r:id="rId20" w:history="1">
        <w:r w:rsidRPr="009128D5">
          <w:rPr>
            <w:color w:val="0000FF"/>
            <w:u w:val="single"/>
            <w:lang w:val="en-US"/>
          </w:rPr>
          <w:t>http://uis.unesco.org/sites/default/files/documents/unesco-framework-for-cultural-statistics-2009-en_0.pdf</w:t>
        </w:r>
      </w:hyperlink>
    </w:p>
    <w:p w14:paraId="52AB811D" w14:textId="77777777" w:rsidR="009128D5" w:rsidRPr="009128D5" w:rsidRDefault="009128D5" w:rsidP="009128D5">
      <w:pPr>
        <w:spacing w:after="0" w:line="240" w:lineRule="auto"/>
        <w:rPr>
          <w:rFonts w:cstheme="minorHAnsi"/>
          <w:sz w:val="21"/>
          <w:szCs w:val="21"/>
          <w:lang w:eastAsia="en-US"/>
        </w:rPr>
      </w:pPr>
    </w:p>
    <w:p w14:paraId="188516F2" w14:textId="77777777" w:rsidR="009128D5" w:rsidRPr="00D87235" w:rsidRDefault="009128D5" w:rsidP="009128D5">
      <w:pPr>
        <w:numPr>
          <w:ilvl w:val="0"/>
          <w:numId w:val="6"/>
        </w:numPr>
        <w:spacing w:after="0" w:line="240" w:lineRule="auto"/>
        <w:contextualSpacing/>
        <w:rPr>
          <w:rFonts w:cstheme="minorHAnsi"/>
          <w:color w:val="4A4A4A"/>
          <w:sz w:val="21"/>
          <w:szCs w:val="21"/>
          <w:lang w:eastAsia="en-US"/>
        </w:rPr>
      </w:pPr>
      <w:r w:rsidRPr="00D87235">
        <w:rPr>
          <w:rFonts w:cstheme="minorHAnsi"/>
          <w:color w:val="4A4A4A"/>
          <w:sz w:val="21"/>
          <w:szCs w:val="21"/>
          <w:lang w:eastAsia="en-US"/>
        </w:rPr>
        <w:t xml:space="preserve">Public (government) expenditure on culture, </w:t>
      </w:r>
      <w:r w:rsidRPr="00D87235">
        <w:rPr>
          <w:rFonts w:cstheme="minorHAnsi"/>
          <w:i/>
          <w:color w:val="4A4A4A"/>
          <w:sz w:val="21"/>
          <w:szCs w:val="21"/>
          <w:lang w:eastAsia="en-US"/>
        </w:rPr>
        <w:t>Guide to Eurostat culture statistics, Eurostat 2018</w:t>
      </w:r>
    </w:p>
    <w:p w14:paraId="44CDFA7C" w14:textId="77777777" w:rsidR="009128D5" w:rsidRPr="009128D5" w:rsidRDefault="00FF3BEF" w:rsidP="009128D5">
      <w:pPr>
        <w:spacing w:after="0" w:line="240" w:lineRule="auto"/>
        <w:ind w:left="720"/>
        <w:rPr>
          <w:rFonts w:cstheme="minorHAnsi"/>
          <w:sz w:val="21"/>
          <w:szCs w:val="21"/>
          <w:lang w:eastAsia="en-US"/>
        </w:rPr>
      </w:pPr>
      <w:hyperlink r:id="rId21" w:history="1">
        <w:r w:rsidR="009128D5" w:rsidRPr="009128D5">
          <w:rPr>
            <w:color w:val="0000FF"/>
            <w:u w:val="single"/>
            <w:lang w:val="en-US"/>
          </w:rPr>
          <w:t>https://ec.europa.eu/eurostat/documents/3859598/9433072/KS-GQ-18-011-EN-N.pdf/72981708-edb7-4007-a298-8b5d9d5a61b5</w:t>
        </w:r>
      </w:hyperlink>
    </w:p>
    <w:p w14:paraId="2D0F4635" w14:textId="77777777" w:rsidR="009128D5" w:rsidRPr="009128D5" w:rsidRDefault="009128D5" w:rsidP="009128D5">
      <w:pPr>
        <w:ind w:left="720"/>
        <w:contextualSpacing/>
        <w:rPr>
          <w:rFonts w:cstheme="minorHAnsi"/>
          <w:sz w:val="21"/>
          <w:szCs w:val="21"/>
          <w:lang w:eastAsia="en-US"/>
        </w:rPr>
      </w:pPr>
    </w:p>
    <w:p w14:paraId="3E052CF4" w14:textId="77777777" w:rsidR="009128D5" w:rsidRPr="00D87235" w:rsidRDefault="009128D5" w:rsidP="009128D5">
      <w:pPr>
        <w:numPr>
          <w:ilvl w:val="0"/>
          <w:numId w:val="6"/>
        </w:numPr>
        <w:spacing w:after="0" w:line="240" w:lineRule="auto"/>
        <w:contextualSpacing/>
        <w:rPr>
          <w:rFonts w:cstheme="minorHAnsi"/>
          <w:color w:val="4A4A4A"/>
          <w:sz w:val="21"/>
          <w:szCs w:val="21"/>
          <w:lang w:eastAsia="en-US"/>
        </w:rPr>
      </w:pPr>
      <w:r w:rsidRPr="00D87235">
        <w:rPr>
          <w:rFonts w:cstheme="minorHAnsi"/>
          <w:color w:val="4A4A4A"/>
          <w:sz w:val="21"/>
          <w:szCs w:val="21"/>
          <w:lang w:eastAsia="en-US"/>
        </w:rPr>
        <w:t>Manual on sources and methods for the compilation of COFOG statistics, Eurostat, 2011.</w:t>
      </w:r>
    </w:p>
    <w:p w14:paraId="679A7457" w14:textId="77777777" w:rsidR="009128D5" w:rsidRPr="00D87235" w:rsidRDefault="00FF3BEF" w:rsidP="009128D5">
      <w:pPr>
        <w:spacing w:after="0" w:line="240" w:lineRule="auto"/>
        <w:ind w:left="360" w:firstLine="354"/>
        <w:rPr>
          <w:rFonts w:cstheme="minorHAnsi"/>
          <w:color w:val="4A4A4A"/>
          <w:sz w:val="21"/>
          <w:szCs w:val="21"/>
          <w:lang w:eastAsia="en-US"/>
        </w:rPr>
      </w:pPr>
      <w:hyperlink r:id="rId22" w:history="1">
        <w:r w:rsidR="00AD0A63" w:rsidRPr="003672BE">
          <w:rPr>
            <w:rStyle w:val="Hyperlink"/>
            <w:rFonts w:cstheme="minorHAnsi"/>
            <w:sz w:val="21"/>
            <w:szCs w:val="21"/>
            <w:lang w:eastAsia="en-US"/>
          </w:rPr>
          <w:t>https://ec.europa.eu/eurostat/web/products-manuals-and-guidelines/-/KS-RA-11-013</w:t>
        </w:r>
      </w:hyperlink>
      <w:r w:rsidR="00AD0A63">
        <w:rPr>
          <w:rFonts w:cstheme="minorHAnsi"/>
          <w:color w:val="4A4A4A"/>
          <w:sz w:val="21"/>
          <w:szCs w:val="21"/>
          <w:lang w:eastAsia="en-US"/>
        </w:rPr>
        <w:t xml:space="preserve"> </w:t>
      </w:r>
    </w:p>
    <w:p w14:paraId="2B6E166F" w14:textId="77777777" w:rsidR="009128D5" w:rsidRPr="00D87235" w:rsidRDefault="009128D5" w:rsidP="009128D5">
      <w:pPr>
        <w:ind w:left="720"/>
        <w:contextualSpacing/>
        <w:rPr>
          <w:rFonts w:cstheme="minorHAnsi"/>
          <w:color w:val="4A4A4A"/>
          <w:sz w:val="21"/>
          <w:szCs w:val="21"/>
          <w:lang w:eastAsia="en-US"/>
        </w:rPr>
      </w:pPr>
    </w:p>
    <w:p w14:paraId="395F5839" w14:textId="77777777" w:rsidR="009128D5" w:rsidRPr="00D87235" w:rsidRDefault="009128D5" w:rsidP="009128D5">
      <w:pPr>
        <w:numPr>
          <w:ilvl w:val="0"/>
          <w:numId w:val="6"/>
        </w:numPr>
        <w:spacing w:after="0" w:line="240" w:lineRule="auto"/>
        <w:contextualSpacing/>
        <w:rPr>
          <w:rFonts w:cstheme="minorHAnsi"/>
          <w:color w:val="4A4A4A"/>
          <w:sz w:val="21"/>
          <w:szCs w:val="21"/>
          <w:lang w:eastAsia="en-US"/>
        </w:rPr>
      </w:pPr>
      <w:r w:rsidRPr="00D87235">
        <w:rPr>
          <w:rFonts w:cstheme="minorHAnsi"/>
          <w:color w:val="4A4A4A"/>
          <w:sz w:val="21"/>
          <w:szCs w:val="21"/>
          <w:lang w:eastAsia="en-US"/>
        </w:rPr>
        <w:t xml:space="preserve"> Government expenditure on recreation, culture and religion, Eurostat, 2019</w:t>
      </w:r>
    </w:p>
    <w:p w14:paraId="19C84984" w14:textId="77777777" w:rsidR="009128D5" w:rsidRPr="009128D5" w:rsidRDefault="00FF3BEF" w:rsidP="009128D5">
      <w:pPr>
        <w:spacing w:after="0" w:line="240" w:lineRule="auto"/>
        <w:ind w:left="714"/>
        <w:rPr>
          <w:rFonts w:cstheme="minorHAnsi"/>
          <w:sz w:val="21"/>
          <w:szCs w:val="21"/>
          <w:lang w:eastAsia="en-US"/>
        </w:rPr>
      </w:pPr>
      <w:hyperlink r:id="rId23" w:history="1">
        <w:r w:rsidR="009128D5" w:rsidRPr="009128D5">
          <w:rPr>
            <w:color w:val="0000FF"/>
            <w:u w:val="single"/>
            <w:lang w:val="en-US"/>
          </w:rPr>
          <w:t>https://ec.europa.eu/eurostat/statistics-explained/index.php/Government_expenditure_on_recreation,_culture_and_religion</w:t>
        </w:r>
      </w:hyperlink>
    </w:p>
    <w:p w14:paraId="33B91962" w14:textId="77777777" w:rsidR="009128D5" w:rsidRPr="009128D5" w:rsidRDefault="009128D5" w:rsidP="009128D5">
      <w:pPr>
        <w:spacing w:after="0" w:line="240" w:lineRule="auto"/>
        <w:ind w:left="360"/>
        <w:rPr>
          <w:rFonts w:cstheme="minorHAnsi"/>
          <w:sz w:val="21"/>
          <w:szCs w:val="21"/>
          <w:lang w:eastAsia="en-US"/>
        </w:rPr>
      </w:pPr>
    </w:p>
    <w:p w14:paraId="5F0F8291" w14:textId="77777777" w:rsidR="009128D5" w:rsidRPr="00D87235" w:rsidRDefault="009128D5" w:rsidP="009128D5">
      <w:pPr>
        <w:numPr>
          <w:ilvl w:val="0"/>
          <w:numId w:val="6"/>
        </w:numPr>
        <w:spacing w:after="0" w:line="240" w:lineRule="auto"/>
        <w:ind w:left="714" w:hanging="357"/>
        <w:contextualSpacing/>
        <w:rPr>
          <w:rFonts w:cstheme="minorHAnsi"/>
          <w:color w:val="4A4A4A"/>
          <w:sz w:val="21"/>
          <w:szCs w:val="21"/>
          <w:lang w:eastAsia="en-US"/>
        </w:rPr>
      </w:pPr>
      <w:r w:rsidRPr="00D87235">
        <w:rPr>
          <w:rFonts w:cstheme="minorHAnsi"/>
          <w:color w:val="4A4A4A"/>
          <w:sz w:val="21"/>
          <w:szCs w:val="21"/>
          <w:lang w:eastAsia="en-US"/>
        </w:rPr>
        <w:lastRenderedPageBreak/>
        <w:t>Statistics Sweden: Public and private expenditure on culture</w:t>
      </w:r>
    </w:p>
    <w:p w14:paraId="7110D6D4" w14:textId="77777777" w:rsidR="009128D5" w:rsidRPr="009128D5" w:rsidRDefault="00FF3BEF" w:rsidP="009128D5">
      <w:pPr>
        <w:spacing w:after="0" w:line="240" w:lineRule="auto"/>
        <w:ind w:left="714"/>
        <w:rPr>
          <w:rFonts w:cstheme="minorHAnsi"/>
          <w:sz w:val="21"/>
          <w:szCs w:val="21"/>
          <w:u w:val="single"/>
        </w:rPr>
      </w:pPr>
      <w:hyperlink r:id="rId24" w:history="1">
        <w:r w:rsidR="009128D5" w:rsidRPr="009128D5">
          <w:rPr>
            <w:color w:val="0000FF"/>
            <w:u w:val="single"/>
          </w:rPr>
          <w:t>https://www.scb.se/en/finding-statistics/statistics-by-subject-area/culture-and-leisure/cultural-expenditure/public-and-private-expenditure-on-culture/</w:t>
        </w:r>
      </w:hyperlink>
    </w:p>
    <w:p w14:paraId="2E0E8145" w14:textId="77777777" w:rsidR="009128D5" w:rsidRPr="009128D5" w:rsidRDefault="009128D5" w:rsidP="009128D5">
      <w:pPr>
        <w:spacing w:after="0" w:line="240" w:lineRule="auto"/>
        <w:ind w:left="357"/>
        <w:rPr>
          <w:rFonts w:cstheme="minorHAnsi"/>
          <w:sz w:val="21"/>
          <w:szCs w:val="21"/>
          <w:u w:val="single"/>
        </w:rPr>
      </w:pPr>
    </w:p>
    <w:p w14:paraId="7D821073" w14:textId="77777777" w:rsidR="009128D5" w:rsidRPr="009128D5" w:rsidRDefault="009128D5" w:rsidP="009128D5">
      <w:pPr>
        <w:numPr>
          <w:ilvl w:val="0"/>
          <w:numId w:val="6"/>
        </w:numPr>
        <w:spacing w:after="0" w:line="240" w:lineRule="auto"/>
        <w:ind w:left="714" w:hanging="357"/>
        <w:contextualSpacing/>
        <w:rPr>
          <w:rFonts w:cstheme="minorHAnsi"/>
          <w:sz w:val="21"/>
          <w:szCs w:val="21"/>
          <w:u w:val="single"/>
          <w:lang w:val="fr-CA"/>
        </w:rPr>
      </w:pPr>
      <w:r w:rsidRPr="00D87235">
        <w:rPr>
          <w:rFonts w:cstheme="minorHAnsi"/>
          <w:color w:val="4A4A4A"/>
          <w:sz w:val="21"/>
          <w:szCs w:val="21"/>
          <w:lang w:val="fr-CA" w:eastAsia="en-US"/>
        </w:rPr>
        <w:t xml:space="preserve">Département des études, de la prospective et des statistiques « Local and </w:t>
      </w:r>
      <w:proofErr w:type="spellStart"/>
      <w:r w:rsidRPr="00D87235">
        <w:rPr>
          <w:rFonts w:cstheme="minorHAnsi"/>
          <w:color w:val="4A4A4A"/>
          <w:sz w:val="21"/>
          <w:szCs w:val="21"/>
          <w:lang w:val="fr-CA" w:eastAsia="en-US"/>
        </w:rPr>
        <w:t>regional</w:t>
      </w:r>
      <w:proofErr w:type="spellEnd"/>
      <w:r w:rsidRPr="00D87235">
        <w:rPr>
          <w:rFonts w:cstheme="minorHAnsi"/>
          <w:color w:val="4A4A4A"/>
          <w:sz w:val="21"/>
          <w:szCs w:val="21"/>
          <w:lang w:val="fr-CA" w:eastAsia="en-US"/>
        </w:rPr>
        <w:t xml:space="preserve"> </w:t>
      </w:r>
      <w:proofErr w:type="spellStart"/>
      <w:r w:rsidRPr="00D87235">
        <w:rPr>
          <w:rFonts w:cstheme="minorHAnsi"/>
          <w:color w:val="4A4A4A"/>
          <w:sz w:val="21"/>
          <w:szCs w:val="21"/>
          <w:lang w:val="fr-CA" w:eastAsia="en-US"/>
        </w:rPr>
        <w:t>authority</w:t>
      </w:r>
      <w:proofErr w:type="spellEnd"/>
      <w:r w:rsidRPr="00D87235">
        <w:rPr>
          <w:rFonts w:cstheme="minorHAnsi"/>
          <w:color w:val="4A4A4A"/>
          <w:sz w:val="21"/>
          <w:szCs w:val="21"/>
          <w:lang w:val="fr-CA" w:eastAsia="en-US"/>
        </w:rPr>
        <w:t xml:space="preserve"> cultural</w:t>
      </w:r>
      <w:r w:rsidR="008C677A">
        <w:rPr>
          <w:rFonts w:cstheme="minorHAnsi"/>
          <w:color w:val="4A4A4A"/>
          <w:sz w:val="21"/>
          <w:szCs w:val="21"/>
          <w:lang w:val="fr-CA" w:eastAsia="en-US"/>
        </w:rPr>
        <w:t xml:space="preserve"> </w:t>
      </w:r>
      <w:proofErr w:type="spellStart"/>
      <w:r w:rsidRPr="00D87235">
        <w:rPr>
          <w:rFonts w:cstheme="minorHAnsi"/>
          <w:color w:val="4A4A4A"/>
          <w:sz w:val="21"/>
          <w:szCs w:val="21"/>
          <w:lang w:val="fr-CA" w:eastAsia="en-US"/>
        </w:rPr>
        <w:t>expenditure</w:t>
      </w:r>
      <w:proofErr w:type="spellEnd"/>
      <w:r w:rsidRPr="00D87235">
        <w:rPr>
          <w:rFonts w:cstheme="minorHAnsi"/>
          <w:color w:val="4A4A4A"/>
          <w:sz w:val="21"/>
          <w:szCs w:val="21"/>
          <w:lang w:val="fr-CA" w:eastAsia="en-US"/>
        </w:rPr>
        <w:t xml:space="preserve"> </w:t>
      </w:r>
      <w:proofErr w:type="spellStart"/>
      <w:r w:rsidRPr="00D87235">
        <w:rPr>
          <w:rFonts w:cstheme="minorHAnsi"/>
          <w:color w:val="4A4A4A"/>
          <w:sz w:val="21"/>
          <w:szCs w:val="21"/>
          <w:lang w:val="fr-CA" w:eastAsia="en-US"/>
        </w:rPr>
        <w:t>in</w:t>
      </w:r>
      <w:proofErr w:type="spellEnd"/>
      <w:r w:rsidRPr="00D87235">
        <w:rPr>
          <w:rFonts w:cstheme="minorHAnsi"/>
          <w:color w:val="4A4A4A"/>
          <w:sz w:val="21"/>
          <w:szCs w:val="21"/>
          <w:lang w:val="fr-CA" w:eastAsia="en-US"/>
        </w:rPr>
        <w:t xml:space="preserve"> 2010, Culture et chiffres, 2014-3 France. </w:t>
      </w:r>
      <w:r w:rsidR="00FF3BEF">
        <w:fldChar w:fldCharType="begin"/>
      </w:r>
      <w:r w:rsidR="00FF3BEF" w:rsidRPr="00FF3BEF">
        <w:rPr>
          <w:lang w:val="fr-FR"/>
        </w:rPr>
        <w:instrText>HYPERLINK "http://www.culturecommunication.gouv.fr/Etudes-et-statistiques"</w:instrText>
      </w:r>
      <w:r w:rsidR="00FF3BEF">
        <w:fldChar w:fldCharType="separate"/>
      </w:r>
      <w:r w:rsidR="00D7569B" w:rsidRPr="00045664">
        <w:rPr>
          <w:rStyle w:val="Hyperlink"/>
          <w:rFonts w:cstheme="minorHAnsi"/>
          <w:sz w:val="21"/>
          <w:szCs w:val="21"/>
          <w:lang w:val="fr-CA" w:eastAsia="en-US"/>
        </w:rPr>
        <w:t>http://www.culturecommunication.gouv.fr/Etudes-et-statistiques</w:t>
      </w:r>
      <w:r w:rsidR="00FF3BEF">
        <w:rPr>
          <w:rStyle w:val="Hyperlink"/>
          <w:rFonts w:cstheme="minorHAnsi"/>
          <w:sz w:val="21"/>
          <w:szCs w:val="21"/>
          <w:lang w:val="fr-CA" w:eastAsia="en-US"/>
        </w:rPr>
        <w:fldChar w:fldCharType="end"/>
      </w:r>
    </w:p>
    <w:p w14:paraId="01BE0A8F" w14:textId="77777777" w:rsidR="009128D5" w:rsidRPr="009128D5" w:rsidRDefault="009128D5" w:rsidP="009128D5">
      <w:pPr>
        <w:spacing w:after="0" w:line="240" w:lineRule="auto"/>
        <w:ind w:left="357"/>
        <w:rPr>
          <w:rFonts w:cstheme="minorHAnsi"/>
          <w:sz w:val="21"/>
          <w:szCs w:val="21"/>
          <w:u w:val="single"/>
          <w:lang w:val="fr-CA"/>
        </w:rPr>
      </w:pPr>
    </w:p>
    <w:p w14:paraId="72A7D04F" w14:textId="77777777" w:rsidR="009128D5" w:rsidRPr="00D87235" w:rsidRDefault="009128D5" w:rsidP="009128D5">
      <w:pPr>
        <w:numPr>
          <w:ilvl w:val="0"/>
          <w:numId w:val="6"/>
        </w:numPr>
        <w:spacing w:after="0" w:line="240" w:lineRule="auto"/>
        <w:ind w:left="714" w:hanging="357"/>
        <w:contextualSpacing/>
        <w:rPr>
          <w:rFonts w:cstheme="minorHAnsi"/>
          <w:color w:val="4A4A4A"/>
          <w:sz w:val="21"/>
          <w:szCs w:val="21"/>
          <w:u w:val="single"/>
        </w:rPr>
      </w:pPr>
      <w:r w:rsidRPr="00D87235">
        <w:rPr>
          <w:rFonts w:cstheme="minorHAnsi"/>
          <w:color w:val="4A4A4A"/>
          <w:sz w:val="21"/>
          <w:szCs w:val="21"/>
          <w:lang w:eastAsia="en-US"/>
        </w:rPr>
        <w:t xml:space="preserve">Erasmus University Rotterdam, </w:t>
      </w:r>
      <w:proofErr w:type="spellStart"/>
      <w:r w:rsidRPr="00D87235">
        <w:rPr>
          <w:rFonts w:cstheme="minorHAnsi"/>
          <w:color w:val="4A4A4A"/>
          <w:sz w:val="21"/>
          <w:szCs w:val="21"/>
          <w:lang w:eastAsia="en-US"/>
        </w:rPr>
        <w:t>Boekmanstichting</w:t>
      </w:r>
      <w:proofErr w:type="spellEnd"/>
      <w:r w:rsidRPr="00D87235">
        <w:rPr>
          <w:rFonts w:cstheme="minorHAnsi"/>
          <w:color w:val="4A4A4A"/>
          <w:sz w:val="21"/>
          <w:szCs w:val="21"/>
          <w:lang w:eastAsia="en-US"/>
        </w:rPr>
        <w:t>, Public and private financing of the arts and culture:  their interrelations and measurement, ROUNDTABLE October 5-6, 2007, Amsterdam, the Netherlands</w:t>
      </w:r>
    </w:p>
    <w:p w14:paraId="2AEF6808" w14:textId="77777777" w:rsidR="009128D5" w:rsidRPr="00D87235" w:rsidRDefault="009128D5" w:rsidP="009128D5">
      <w:pPr>
        <w:spacing w:before="100" w:beforeAutospacing="1" w:after="100" w:afterAutospacing="1" w:line="240" w:lineRule="auto"/>
        <w:ind w:left="720"/>
        <w:contextualSpacing/>
        <w:rPr>
          <w:rFonts w:cstheme="minorHAnsi"/>
          <w:color w:val="4A4A4A"/>
          <w:sz w:val="21"/>
          <w:szCs w:val="21"/>
          <w:u w:val="single"/>
        </w:rPr>
      </w:pPr>
    </w:p>
    <w:p w14:paraId="3D76B2BA" w14:textId="77777777" w:rsidR="009128D5" w:rsidRPr="00D87235" w:rsidRDefault="009128D5" w:rsidP="009128D5">
      <w:pPr>
        <w:numPr>
          <w:ilvl w:val="0"/>
          <w:numId w:val="6"/>
        </w:numPr>
        <w:spacing w:after="0" w:line="240" w:lineRule="auto"/>
        <w:ind w:left="714" w:hanging="357"/>
        <w:contextualSpacing/>
        <w:rPr>
          <w:rFonts w:cstheme="minorHAnsi"/>
          <w:color w:val="4A4A4A"/>
          <w:sz w:val="21"/>
          <w:szCs w:val="21"/>
          <w:u w:val="single"/>
        </w:rPr>
      </w:pPr>
      <w:r w:rsidRPr="00D87235">
        <w:rPr>
          <w:rFonts w:cstheme="minorHAnsi"/>
          <w:color w:val="4A4A4A"/>
          <w:sz w:val="21"/>
          <w:szCs w:val="21"/>
          <w:lang w:eastAsia="en-US"/>
        </w:rPr>
        <w:t>European Parliament, Financing the Arts and Culture in the EU, 2006</w:t>
      </w:r>
      <w:r w:rsidRPr="00D87235">
        <w:rPr>
          <w:rFonts w:cstheme="minorHAnsi"/>
          <w:color w:val="4A4A4A"/>
          <w:sz w:val="21"/>
          <w:szCs w:val="21"/>
          <w:lang w:eastAsia="en-US"/>
        </w:rPr>
        <w:br/>
      </w:r>
      <w:hyperlink r:id="rId25" w:history="1">
        <w:r w:rsidRPr="00D87235">
          <w:rPr>
            <w:rFonts w:cstheme="minorHAnsi"/>
            <w:color w:val="4A4A4A"/>
            <w:sz w:val="21"/>
            <w:szCs w:val="21"/>
            <w:u w:val="single"/>
          </w:rPr>
          <w:t>http://www.culturalpolicies.net/web/files/134/en/Financing_the_Arts_and_Culture_in_the_EU.pdf</w:t>
        </w:r>
      </w:hyperlink>
      <w:r w:rsidRPr="00D87235">
        <w:rPr>
          <w:rFonts w:cstheme="minorHAnsi"/>
          <w:color w:val="4A4A4A"/>
          <w:sz w:val="21"/>
          <w:szCs w:val="21"/>
          <w:u w:val="single"/>
        </w:rPr>
        <w:br/>
      </w:r>
    </w:p>
    <w:p w14:paraId="0DB36FC7" w14:textId="77777777" w:rsidR="009128D5" w:rsidRPr="00D87235" w:rsidRDefault="009128D5" w:rsidP="009128D5">
      <w:pPr>
        <w:numPr>
          <w:ilvl w:val="0"/>
          <w:numId w:val="6"/>
        </w:numPr>
        <w:spacing w:after="0" w:line="240" w:lineRule="auto"/>
        <w:ind w:left="714" w:hanging="357"/>
        <w:contextualSpacing/>
        <w:rPr>
          <w:rFonts w:cstheme="minorHAnsi"/>
          <w:color w:val="4A4A4A"/>
          <w:sz w:val="21"/>
          <w:szCs w:val="21"/>
          <w:u w:val="single"/>
        </w:rPr>
      </w:pPr>
      <w:r w:rsidRPr="00D87235">
        <w:rPr>
          <w:rFonts w:cstheme="minorHAnsi"/>
          <w:color w:val="4A4A4A"/>
          <w:sz w:val="21"/>
          <w:szCs w:val="21"/>
          <w:lang w:eastAsia="en-US"/>
        </w:rPr>
        <w:t xml:space="preserve">Canada: Government expenditures on culture, by function and level of government, 2009/2010 </w:t>
      </w:r>
      <w:hyperlink r:id="rId26" w:history="1">
        <w:r w:rsidRPr="00D87235">
          <w:rPr>
            <w:rFonts w:cstheme="minorHAnsi"/>
            <w:color w:val="4A4A4A"/>
            <w:sz w:val="21"/>
            <w:szCs w:val="21"/>
            <w:u w:val="single"/>
          </w:rPr>
          <w:t>http://www.statcan.gc.ca/pub/87f0001x/2012001/t012-eng.htm</w:t>
        </w:r>
      </w:hyperlink>
      <w:r w:rsidRPr="00D87235">
        <w:rPr>
          <w:rFonts w:cstheme="minorHAnsi"/>
          <w:color w:val="4A4A4A"/>
          <w:sz w:val="21"/>
          <w:szCs w:val="21"/>
          <w:u w:val="single"/>
        </w:rPr>
        <w:br/>
      </w:r>
    </w:p>
    <w:p w14:paraId="37D3CF7A" w14:textId="77777777" w:rsidR="009128D5" w:rsidRPr="00D87235" w:rsidRDefault="009128D5" w:rsidP="009128D5">
      <w:pPr>
        <w:numPr>
          <w:ilvl w:val="0"/>
          <w:numId w:val="6"/>
        </w:numPr>
        <w:spacing w:after="0" w:line="240" w:lineRule="auto"/>
        <w:ind w:left="714" w:hanging="357"/>
        <w:contextualSpacing/>
        <w:rPr>
          <w:rFonts w:cstheme="minorHAnsi"/>
          <w:color w:val="4A4A4A"/>
          <w:sz w:val="21"/>
          <w:szCs w:val="21"/>
          <w:u w:val="single"/>
        </w:rPr>
      </w:pPr>
      <w:r w:rsidRPr="00D87235">
        <w:rPr>
          <w:rFonts w:cstheme="minorHAnsi"/>
          <w:color w:val="4A4A4A"/>
          <w:sz w:val="21"/>
          <w:szCs w:val="21"/>
          <w:lang w:eastAsia="en-US"/>
        </w:rPr>
        <w:t xml:space="preserve">Canada: Federal government capital grants, contributions and transfers for culture, by function and province or territory, 2009/2010 </w:t>
      </w:r>
      <w:r w:rsidRPr="00D87235">
        <w:rPr>
          <w:rFonts w:cstheme="minorHAnsi"/>
          <w:color w:val="4A4A4A"/>
          <w:sz w:val="21"/>
          <w:szCs w:val="21"/>
          <w:lang w:eastAsia="en-US"/>
        </w:rPr>
        <w:br/>
      </w:r>
      <w:hyperlink r:id="rId27" w:history="1">
        <w:r w:rsidRPr="00D87235">
          <w:rPr>
            <w:rFonts w:cstheme="minorHAnsi"/>
            <w:color w:val="4A4A4A"/>
            <w:sz w:val="21"/>
            <w:szCs w:val="21"/>
            <w:u w:val="single"/>
          </w:rPr>
          <w:t>http://www.statcan.gc.ca/pub/87f0001x/2012001/t004-eng.htm</w:t>
        </w:r>
      </w:hyperlink>
      <w:r w:rsidRPr="00D87235">
        <w:rPr>
          <w:rFonts w:cstheme="minorHAnsi"/>
          <w:color w:val="4A4A4A"/>
          <w:sz w:val="21"/>
          <w:szCs w:val="21"/>
          <w:u w:val="single"/>
        </w:rPr>
        <w:br/>
      </w:r>
    </w:p>
    <w:p w14:paraId="53CB5F46" w14:textId="77777777" w:rsidR="009128D5" w:rsidRPr="00D87235" w:rsidRDefault="009128D5" w:rsidP="009128D5">
      <w:pPr>
        <w:numPr>
          <w:ilvl w:val="0"/>
          <w:numId w:val="6"/>
        </w:numPr>
        <w:spacing w:after="0" w:line="240" w:lineRule="auto"/>
        <w:ind w:left="714" w:hanging="357"/>
        <w:contextualSpacing/>
        <w:rPr>
          <w:rFonts w:cstheme="minorHAnsi"/>
          <w:color w:val="4A4A4A"/>
          <w:sz w:val="21"/>
          <w:szCs w:val="21"/>
          <w:u w:val="single"/>
        </w:rPr>
      </w:pPr>
      <w:r w:rsidRPr="00D87235">
        <w:rPr>
          <w:rFonts w:cstheme="minorHAnsi"/>
          <w:color w:val="4A4A4A"/>
          <w:sz w:val="21"/>
          <w:szCs w:val="21"/>
          <w:lang w:eastAsia="en-US"/>
        </w:rPr>
        <w:t xml:space="preserve">Council of Europe, </w:t>
      </w:r>
      <w:proofErr w:type="spellStart"/>
      <w:r w:rsidRPr="00D87235">
        <w:rPr>
          <w:rFonts w:cstheme="minorHAnsi"/>
          <w:color w:val="4A4A4A"/>
          <w:sz w:val="21"/>
          <w:szCs w:val="21"/>
          <w:lang w:eastAsia="en-US"/>
        </w:rPr>
        <w:t>Ericarts</w:t>
      </w:r>
      <w:proofErr w:type="spellEnd"/>
      <w:r w:rsidRPr="00D87235">
        <w:rPr>
          <w:rFonts w:cstheme="minorHAnsi"/>
          <w:color w:val="4A4A4A"/>
          <w:sz w:val="21"/>
          <w:szCs w:val="21"/>
          <w:lang w:eastAsia="en-US"/>
        </w:rPr>
        <w:t xml:space="preserve">. Monitoring Public Cultural Expenditure in Selected European </w:t>
      </w:r>
      <w:r w:rsidRPr="00D87235">
        <w:rPr>
          <w:rFonts w:cstheme="minorHAnsi"/>
          <w:color w:val="4A4A4A"/>
          <w:sz w:val="21"/>
          <w:szCs w:val="21"/>
          <w:lang w:eastAsia="en-US"/>
        </w:rPr>
        <w:tab/>
        <w:t xml:space="preserve">Countries 2000-2013. (8) </w:t>
      </w:r>
      <w:r w:rsidRPr="00D87235">
        <w:rPr>
          <w:rFonts w:cstheme="minorHAnsi"/>
          <w:color w:val="4A4A4A"/>
          <w:sz w:val="21"/>
          <w:szCs w:val="21"/>
          <w:lang w:eastAsia="en-US"/>
        </w:rPr>
        <w:br/>
      </w:r>
      <w:hyperlink r:id="rId28" w:history="1">
        <w:r w:rsidRPr="00D87235">
          <w:rPr>
            <w:rFonts w:cstheme="minorHAnsi"/>
            <w:color w:val="4A4A4A"/>
            <w:sz w:val="21"/>
            <w:szCs w:val="21"/>
            <w:u w:val="single"/>
          </w:rPr>
          <w:t>http://www.culturalpolicies.net/web/statistics-funding.php?aid=232&amp;cid=80</w:t>
        </w:r>
      </w:hyperlink>
      <w:r w:rsidRPr="00D87235">
        <w:rPr>
          <w:rFonts w:cstheme="minorHAnsi"/>
          <w:color w:val="4A4A4A"/>
          <w:sz w:val="21"/>
          <w:szCs w:val="21"/>
          <w:u w:val="single"/>
        </w:rPr>
        <w:br/>
      </w:r>
    </w:p>
    <w:p w14:paraId="3C12E61C" w14:textId="77777777" w:rsidR="00186795" w:rsidRDefault="009128D5" w:rsidP="007D301D">
      <w:pPr>
        <w:numPr>
          <w:ilvl w:val="0"/>
          <w:numId w:val="6"/>
        </w:numPr>
        <w:spacing w:after="0" w:line="240" w:lineRule="auto"/>
        <w:ind w:left="714" w:hanging="357"/>
        <w:contextualSpacing/>
      </w:pPr>
      <w:r w:rsidRPr="00D87235">
        <w:rPr>
          <w:rFonts w:cstheme="minorHAnsi"/>
          <w:color w:val="4A4A4A"/>
          <w:sz w:val="21"/>
          <w:szCs w:val="21"/>
          <w:lang w:eastAsia="en-US"/>
        </w:rPr>
        <w:t>Germany: Public expenditure on culture (Protection and preservation of historical monuments)</w:t>
      </w:r>
      <w:r w:rsidRPr="00D87235">
        <w:rPr>
          <w:rFonts w:cstheme="minorHAnsi"/>
          <w:color w:val="4A4A4A"/>
          <w:sz w:val="21"/>
          <w:szCs w:val="21"/>
          <w:lang w:eastAsia="en-US"/>
        </w:rPr>
        <w:br/>
      </w:r>
      <w:hyperlink r:id="rId29" w:history="1">
        <w:r w:rsidRPr="009128D5">
          <w:rPr>
            <w:rFonts w:cstheme="minorHAnsi"/>
            <w:color w:val="0000FF"/>
            <w:sz w:val="21"/>
            <w:szCs w:val="21"/>
            <w:u w:val="single"/>
            <w:lang w:eastAsia="en-US"/>
          </w:rPr>
          <w:t>https://www.destatis.de/EN/FactsFigures/SocietyState/EducationResearchCulture/EducationalCulturalFinance/Tables/ExpenditurePublicBugetsArtsCulture.html</w:t>
        </w:r>
      </w:hyperlink>
    </w:p>
    <w:sectPr w:rsidR="00186795">
      <w:head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0B8D4" w14:textId="77777777" w:rsidR="00427173" w:rsidRDefault="00427173" w:rsidP="00573C0B">
      <w:pPr>
        <w:spacing w:after="0" w:line="240" w:lineRule="auto"/>
      </w:pPr>
      <w:r>
        <w:separator/>
      </w:r>
    </w:p>
  </w:endnote>
  <w:endnote w:type="continuationSeparator" w:id="0">
    <w:p w14:paraId="3E0DFFDE" w14:textId="77777777" w:rsidR="00427173" w:rsidRDefault="00427173" w:rsidP="00573C0B">
      <w:pPr>
        <w:spacing w:after="0" w:line="240" w:lineRule="auto"/>
      </w:pPr>
      <w:r>
        <w:continuationSeparator/>
      </w:r>
    </w:p>
  </w:endnote>
  <w:endnote w:type="continuationNotice" w:id="1">
    <w:p w14:paraId="2183965F" w14:textId="77777777" w:rsidR="00427173" w:rsidRDefault="004271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93D2" w14:textId="77777777" w:rsidR="00427173" w:rsidRDefault="00427173" w:rsidP="00573C0B">
      <w:pPr>
        <w:spacing w:after="0" w:line="240" w:lineRule="auto"/>
      </w:pPr>
      <w:r>
        <w:separator/>
      </w:r>
    </w:p>
  </w:footnote>
  <w:footnote w:type="continuationSeparator" w:id="0">
    <w:p w14:paraId="1EF5BB65" w14:textId="77777777" w:rsidR="00427173" w:rsidRDefault="00427173" w:rsidP="00573C0B">
      <w:pPr>
        <w:spacing w:after="0" w:line="240" w:lineRule="auto"/>
      </w:pPr>
      <w:r>
        <w:continuationSeparator/>
      </w:r>
    </w:p>
  </w:footnote>
  <w:footnote w:type="continuationNotice" w:id="1">
    <w:p w14:paraId="5759F89E" w14:textId="77777777" w:rsidR="00427173" w:rsidRDefault="004271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5E0" w14:textId="23BF335E"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22B0E">
      <w:rPr>
        <w:color w:val="404040" w:themeColor="text1" w:themeTint="BF"/>
        <w:sz w:val="18"/>
        <w:szCs w:val="18"/>
      </w:rPr>
      <w:t>2023</w:t>
    </w:r>
    <w:r w:rsidR="009B5292">
      <w:rPr>
        <w:color w:val="404040" w:themeColor="text1" w:themeTint="BF"/>
        <w:sz w:val="18"/>
        <w:szCs w:val="18"/>
      </w:rPr>
      <w:t>-</w:t>
    </w:r>
    <w:r w:rsidR="006E648C">
      <w:rPr>
        <w:color w:val="404040" w:themeColor="text1" w:themeTint="BF"/>
        <w:sz w:val="18"/>
        <w:szCs w:val="18"/>
      </w:rPr>
      <w:t>12</w:t>
    </w:r>
    <w:r w:rsidR="00312C9F">
      <w:rPr>
        <w:color w:val="404040" w:themeColor="text1" w:themeTint="BF"/>
        <w:sz w:val="18"/>
        <w:szCs w:val="18"/>
      </w:rPr>
      <w:t>-</w:t>
    </w:r>
    <w:r w:rsidR="006E648C">
      <w:rPr>
        <w:color w:val="404040" w:themeColor="text1" w:themeTint="BF"/>
        <w:sz w:val="18"/>
        <w:szCs w:val="18"/>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7323E"/>
    <w:multiLevelType w:val="hybridMultilevel"/>
    <w:tmpl w:val="757A4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F3658"/>
    <w:multiLevelType w:val="hybridMultilevel"/>
    <w:tmpl w:val="9D30CF2A"/>
    <w:lvl w:ilvl="0" w:tplc="C33C5D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8755572">
    <w:abstractNumId w:val="3"/>
  </w:num>
  <w:num w:numId="2" w16cid:durableId="1504466954">
    <w:abstractNumId w:val="0"/>
  </w:num>
  <w:num w:numId="3" w16cid:durableId="25445891">
    <w:abstractNumId w:val="5"/>
  </w:num>
  <w:num w:numId="4" w16cid:durableId="1102266743">
    <w:abstractNumId w:val="1"/>
  </w:num>
  <w:num w:numId="5" w16cid:durableId="251283362">
    <w:abstractNumId w:val="3"/>
  </w:num>
  <w:num w:numId="6" w16cid:durableId="475614048">
    <w:abstractNumId w:val="4"/>
  </w:num>
  <w:num w:numId="7" w16cid:durableId="195679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fr-CA" w:vendorID="64" w:dllVersion="0" w:nlCheck="1" w:checkStyle="0"/>
  <w:activeWritingStyle w:appName="MSWord" w:lang="en-GB" w:vendorID="64" w:dllVersion="6" w:nlCheck="1" w:checkStyle="1"/>
  <w:activeWritingStyle w:appName="MSWord" w:lang="en-US" w:vendorID="64" w:dllVersion="6" w:nlCheck="1" w:checkStyle="1"/>
  <w:activeWritingStyle w:appName="MSWord" w:lang="fr-CA" w:vendorID="64" w:dllVersion="6"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12C3"/>
    <w:rsid w:val="000173F9"/>
    <w:rsid w:val="00033901"/>
    <w:rsid w:val="000412A0"/>
    <w:rsid w:val="00044F3C"/>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0142"/>
    <w:rsid w:val="00185354"/>
    <w:rsid w:val="001854DC"/>
    <w:rsid w:val="00186795"/>
    <w:rsid w:val="00194D09"/>
    <w:rsid w:val="001A1909"/>
    <w:rsid w:val="001A7D5C"/>
    <w:rsid w:val="001B60AA"/>
    <w:rsid w:val="001B63C8"/>
    <w:rsid w:val="001C1972"/>
    <w:rsid w:val="001C421F"/>
    <w:rsid w:val="001D360D"/>
    <w:rsid w:val="001E4CFD"/>
    <w:rsid w:val="00204425"/>
    <w:rsid w:val="00227E1F"/>
    <w:rsid w:val="00261A8D"/>
    <w:rsid w:val="00283C1C"/>
    <w:rsid w:val="00291A00"/>
    <w:rsid w:val="00291A11"/>
    <w:rsid w:val="002A315C"/>
    <w:rsid w:val="002A3342"/>
    <w:rsid w:val="002A64BA"/>
    <w:rsid w:val="002B4989"/>
    <w:rsid w:val="002B5122"/>
    <w:rsid w:val="002C2510"/>
    <w:rsid w:val="002D5460"/>
    <w:rsid w:val="002D714E"/>
    <w:rsid w:val="002E53C3"/>
    <w:rsid w:val="002F1468"/>
    <w:rsid w:val="002F4DC1"/>
    <w:rsid w:val="002F5F0C"/>
    <w:rsid w:val="00312C9F"/>
    <w:rsid w:val="003265EB"/>
    <w:rsid w:val="00326B96"/>
    <w:rsid w:val="0034329E"/>
    <w:rsid w:val="00343FAA"/>
    <w:rsid w:val="00347F5E"/>
    <w:rsid w:val="00353C98"/>
    <w:rsid w:val="00371A20"/>
    <w:rsid w:val="003821B4"/>
    <w:rsid w:val="00382CF3"/>
    <w:rsid w:val="00387D52"/>
    <w:rsid w:val="003A7CEA"/>
    <w:rsid w:val="003B3367"/>
    <w:rsid w:val="003F0BD3"/>
    <w:rsid w:val="003F278A"/>
    <w:rsid w:val="003F7A02"/>
    <w:rsid w:val="00422EA5"/>
    <w:rsid w:val="00422EFA"/>
    <w:rsid w:val="00427173"/>
    <w:rsid w:val="0042791F"/>
    <w:rsid w:val="004456ED"/>
    <w:rsid w:val="00450E27"/>
    <w:rsid w:val="0048045A"/>
    <w:rsid w:val="004841B8"/>
    <w:rsid w:val="004930F2"/>
    <w:rsid w:val="004A1B1E"/>
    <w:rsid w:val="004B0F1C"/>
    <w:rsid w:val="004C3855"/>
    <w:rsid w:val="004D217A"/>
    <w:rsid w:val="004F2EE6"/>
    <w:rsid w:val="00502DBA"/>
    <w:rsid w:val="005040C4"/>
    <w:rsid w:val="00505B2B"/>
    <w:rsid w:val="00507637"/>
    <w:rsid w:val="00507852"/>
    <w:rsid w:val="00514DBF"/>
    <w:rsid w:val="00550921"/>
    <w:rsid w:val="00563712"/>
    <w:rsid w:val="00570DD9"/>
    <w:rsid w:val="00573631"/>
    <w:rsid w:val="00573C0B"/>
    <w:rsid w:val="00575D0A"/>
    <w:rsid w:val="005768D7"/>
    <w:rsid w:val="00576CFA"/>
    <w:rsid w:val="0058556D"/>
    <w:rsid w:val="00592AF2"/>
    <w:rsid w:val="005947AD"/>
    <w:rsid w:val="00597748"/>
    <w:rsid w:val="005979E8"/>
    <w:rsid w:val="005D0AF4"/>
    <w:rsid w:val="005D48F4"/>
    <w:rsid w:val="005E54BD"/>
    <w:rsid w:val="005F6CCA"/>
    <w:rsid w:val="00604AFE"/>
    <w:rsid w:val="006104AF"/>
    <w:rsid w:val="00621893"/>
    <w:rsid w:val="006351E1"/>
    <w:rsid w:val="006447B1"/>
    <w:rsid w:val="006468A2"/>
    <w:rsid w:val="00662775"/>
    <w:rsid w:val="006852FC"/>
    <w:rsid w:val="006B40AB"/>
    <w:rsid w:val="006B5DC5"/>
    <w:rsid w:val="006C4BFD"/>
    <w:rsid w:val="006C7D30"/>
    <w:rsid w:val="006E3C08"/>
    <w:rsid w:val="006E648C"/>
    <w:rsid w:val="006F0730"/>
    <w:rsid w:val="006F7940"/>
    <w:rsid w:val="00700ACF"/>
    <w:rsid w:val="00712487"/>
    <w:rsid w:val="00746DCE"/>
    <w:rsid w:val="007530CA"/>
    <w:rsid w:val="00756D68"/>
    <w:rsid w:val="007578D9"/>
    <w:rsid w:val="00757E8A"/>
    <w:rsid w:val="00763E43"/>
    <w:rsid w:val="00764EB5"/>
    <w:rsid w:val="00777A95"/>
    <w:rsid w:val="00777ED5"/>
    <w:rsid w:val="00782416"/>
    <w:rsid w:val="007B0364"/>
    <w:rsid w:val="007D0981"/>
    <w:rsid w:val="007D1929"/>
    <w:rsid w:val="007D301D"/>
    <w:rsid w:val="00803CF1"/>
    <w:rsid w:val="008104BB"/>
    <w:rsid w:val="008249C5"/>
    <w:rsid w:val="008526F9"/>
    <w:rsid w:val="0085285E"/>
    <w:rsid w:val="00853023"/>
    <w:rsid w:val="008534D4"/>
    <w:rsid w:val="00865434"/>
    <w:rsid w:val="00873266"/>
    <w:rsid w:val="00881E28"/>
    <w:rsid w:val="00894C4B"/>
    <w:rsid w:val="008A12E3"/>
    <w:rsid w:val="008A3081"/>
    <w:rsid w:val="008A42FA"/>
    <w:rsid w:val="008B0AC7"/>
    <w:rsid w:val="008C2335"/>
    <w:rsid w:val="008C677A"/>
    <w:rsid w:val="008C67C1"/>
    <w:rsid w:val="008D1D39"/>
    <w:rsid w:val="008F07D2"/>
    <w:rsid w:val="00904FAD"/>
    <w:rsid w:val="00910291"/>
    <w:rsid w:val="009128D5"/>
    <w:rsid w:val="00917851"/>
    <w:rsid w:val="00917F65"/>
    <w:rsid w:val="009311E7"/>
    <w:rsid w:val="00942694"/>
    <w:rsid w:val="00947027"/>
    <w:rsid w:val="0096250E"/>
    <w:rsid w:val="009A7E3A"/>
    <w:rsid w:val="009B1265"/>
    <w:rsid w:val="009B15CF"/>
    <w:rsid w:val="009B4A15"/>
    <w:rsid w:val="009B5292"/>
    <w:rsid w:val="009B5693"/>
    <w:rsid w:val="009B7E69"/>
    <w:rsid w:val="009C61A2"/>
    <w:rsid w:val="009C78E4"/>
    <w:rsid w:val="009D687E"/>
    <w:rsid w:val="009F6DE7"/>
    <w:rsid w:val="00A030F1"/>
    <w:rsid w:val="00A10583"/>
    <w:rsid w:val="00A250EA"/>
    <w:rsid w:val="00A37FCB"/>
    <w:rsid w:val="00A54863"/>
    <w:rsid w:val="00A61D74"/>
    <w:rsid w:val="00A74328"/>
    <w:rsid w:val="00A8688B"/>
    <w:rsid w:val="00A86ACB"/>
    <w:rsid w:val="00A91163"/>
    <w:rsid w:val="00A9286F"/>
    <w:rsid w:val="00A96255"/>
    <w:rsid w:val="00AA448C"/>
    <w:rsid w:val="00AB285B"/>
    <w:rsid w:val="00AD0A63"/>
    <w:rsid w:val="00AF5552"/>
    <w:rsid w:val="00AF5CB4"/>
    <w:rsid w:val="00AF5ED1"/>
    <w:rsid w:val="00AF71D6"/>
    <w:rsid w:val="00B216EE"/>
    <w:rsid w:val="00B22B0E"/>
    <w:rsid w:val="00B241A1"/>
    <w:rsid w:val="00B3175F"/>
    <w:rsid w:val="00B31E2C"/>
    <w:rsid w:val="00B329B0"/>
    <w:rsid w:val="00B402D8"/>
    <w:rsid w:val="00B4237C"/>
    <w:rsid w:val="00B42FE8"/>
    <w:rsid w:val="00B52AFD"/>
    <w:rsid w:val="00B54077"/>
    <w:rsid w:val="00B8087E"/>
    <w:rsid w:val="00B85C3D"/>
    <w:rsid w:val="00BB646E"/>
    <w:rsid w:val="00BD1332"/>
    <w:rsid w:val="00BD1BA1"/>
    <w:rsid w:val="00BD2B2D"/>
    <w:rsid w:val="00BF2108"/>
    <w:rsid w:val="00C019E5"/>
    <w:rsid w:val="00C1557B"/>
    <w:rsid w:val="00C3315F"/>
    <w:rsid w:val="00C35BC4"/>
    <w:rsid w:val="00C43F5B"/>
    <w:rsid w:val="00C46282"/>
    <w:rsid w:val="00CB4371"/>
    <w:rsid w:val="00CC516D"/>
    <w:rsid w:val="00CD25D7"/>
    <w:rsid w:val="00D03C5A"/>
    <w:rsid w:val="00D24330"/>
    <w:rsid w:val="00D40056"/>
    <w:rsid w:val="00D4167F"/>
    <w:rsid w:val="00D446C1"/>
    <w:rsid w:val="00D51E7C"/>
    <w:rsid w:val="00D54F29"/>
    <w:rsid w:val="00D7020C"/>
    <w:rsid w:val="00D70AD9"/>
    <w:rsid w:val="00D72152"/>
    <w:rsid w:val="00D7569B"/>
    <w:rsid w:val="00D87235"/>
    <w:rsid w:val="00D94BA5"/>
    <w:rsid w:val="00D9510F"/>
    <w:rsid w:val="00DA615C"/>
    <w:rsid w:val="00DD1BC6"/>
    <w:rsid w:val="00DD5F4B"/>
    <w:rsid w:val="00DE5DC3"/>
    <w:rsid w:val="00E00D8A"/>
    <w:rsid w:val="00E1050F"/>
    <w:rsid w:val="00E1132A"/>
    <w:rsid w:val="00E11604"/>
    <w:rsid w:val="00E11D92"/>
    <w:rsid w:val="00E130A0"/>
    <w:rsid w:val="00E210C4"/>
    <w:rsid w:val="00E23DB7"/>
    <w:rsid w:val="00E40C5B"/>
    <w:rsid w:val="00E465DD"/>
    <w:rsid w:val="00E46D96"/>
    <w:rsid w:val="00E52CCA"/>
    <w:rsid w:val="00E66409"/>
    <w:rsid w:val="00E76382"/>
    <w:rsid w:val="00E81D5B"/>
    <w:rsid w:val="00E976B9"/>
    <w:rsid w:val="00EA05D3"/>
    <w:rsid w:val="00EB19AD"/>
    <w:rsid w:val="00EB2F31"/>
    <w:rsid w:val="00EB6493"/>
    <w:rsid w:val="00EC2915"/>
    <w:rsid w:val="00EC6462"/>
    <w:rsid w:val="00ED05A9"/>
    <w:rsid w:val="00ED1BA0"/>
    <w:rsid w:val="00ED53A8"/>
    <w:rsid w:val="00EF277D"/>
    <w:rsid w:val="00F14E14"/>
    <w:rsid w:val="00F17257"/>
    <w:rsid w:val="00F34D24"/>
    <w:rsid w:val="00F4130B"/>
    <w:rsid w:val="00F556A2"/>
    <w:rsid w:val="00F719A8"/>
    <w:rsid w:val="00F878B9"/>
    <w:rsid w:val="00F97314"/>
    <w:rsid w:val="00FB24E8"/>
    <w:rsid w:val="00FB3B2B"/>
    <w:rsid w:val="00FC18DA"/>
    <w:rsid w:val="00FC3917"/>
    <w:rsid w:val="00FD60DA"/>
    <w:rsid w:val="00FE03D7"/>
    <w:rsid w:val="00FF07B4"/>
    <w:rsid w:val="00FF2F8B"/>
    <w:rsid w:val="00FF3BEF"/>
    <w:rsid w:val="73785C2A"/>
    <w:rsid w:val="767A93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9381A"/>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2">
    <w:name w:val="Unresolved Mention2"/>
    <w:basedOn w:val="DefaultParagraphFont"/>
    <w:uiPriority w:val="99"/>
    <w:semiHidden/>
    <w:unhideWhenUsed/>
    <w:rsid w:val="00D7569B"/>
    <w:rPr>
      <w:color w:val="605E5C"/>
      <w:shd w:val="clear" w:color="auto" w:fill="E1DFDD"/>
    </w:rPr>
  </w:style>
  <w:style w:type="paragraph" w:styleId="Revision">
    <w:name w:val="Revision"/>
    <w:hidden/>
    <w:uiPriority w:val="99"/>
    <w:semiHidden/>
    <w:rsid w:val="003B3367"/>
    <w:pPr>
      <w:spacing w:after="0" w:line="240" w:lineRule="auto"/>
    </w:pPr>
  </w:style>
  <w:style w:type="character" w:styleId="UnresolvedMention">
    <w:name w:val="Unresolved Mention"/>
    <w:basedOn w:val="DefaultParagraphFont"/>
    <w:uiPriority w:val="99"/>
    <w:semiHidden/>
    <w:unhideWhenUsed/>
    <w:rsid w:val="00B22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379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35710110">
      <w:bodyDiv w:val="1"/>
      <w:marLeft w:val="0"/>
      <w:marRight w:val="0"/>
      <w:marTop w:val="0"/>
      <w:marBottom w:val="0"/>
      <w:divBdr>
        <w:top w:val="none" w:sz="0" w:space="0" w:color="auto"/>
        <w:left w:val="none" w:sz="0" w:space="0" w:color="auto"/>
        <w:bottom w:val="none" w:sz="0" w:space="0" w:color="auto"/>
        <w:right w:val="none" w:sz="0" w:space="0" w:color="auto"/>
      </w:divBdr>
    </w:div>
    <w:div w:id="1583487753">
      <w:bodyDiv w:val="1"/>
      <w:marLeft w:val="0"/>
      <w:marRight w:val="0"/>
      <w:marTop w:val="0"/>
      <w:marBottom w:val="0"/>
      <w:divBdr>
        <w:top w:val="none" w:sz="0" w:space="0" w:color="auto"/>
        <w:left w:val="none" w:sz="0" w:space="0" w:color="auto"/>
        <w:bottom w:val="none" w:sz="0" w:space="0" w:color="auto"/>
        <w:right w:val="none" w:sz="0" w:space="0" w:color="auto"/>
      </w:divBdr>
    </w:div>
    <w:div w:id="1655452527">
      <w:bodyDiv w:val="1"/>
      <w:marLeft w:val="0"/>
      <w:marRight w:val="0"/>
      <w:marTop w:val="0"/>
      <w:marBottom w:val="0"/>
      <w:divBdr>
        <w:top w:val="none" w:sz="0" w:space="0" w:color="auto"/>
        <w:left w:val="none" w:sz="0" w:space="0" w:color="auto"/>
        <w:bottom w:val="none" w:sz="0" w:space="0" w:color="auto"/>
        <w:right w:val="none" w:sz="0" w:space="0" w:color="auto"/>
      </w:divBdr>
    </w:div>
    <w:div w:id="1748334365">
      <w:bodyDiv w:val="1"/>
      <w:marLeft w:val="0"/>
      <w:marRight w:val="0"/>
      <w:marTop w:val="0"/>
      <w:marBottom w:val="0"/>
      <w:divBdr>
        <w:top w:val="none" w:sz="0" w:space="0" w:color="auto"/>
        <w:left w:val="none" w:sz="0" w:space="0" w:color="auto"/>
        <w:bottom w:val="none" w:sz="0" w:space="0" w:color="auto"/>
        <w:right w:val="none" w:sz="0" w:space="0" w:color="auto"/>
      </w:divBdr>
    </w:div>
    <w:div w:id="1951928982">
      <w:bodyDiv w:val="1"/>
      <w:marLeft w:val="0"/>
      <w:marRight w:val="0"/>
      <w:marTop w:val="0"/>
      <w:marBottom w:val="0"/>
      <w:divBdr>
        <w:top w:val="none" w:sz="0" w:space="0" w:color="auto"/>
        <w:left w:val="none" w:sz="0" w:space="0" w:color="auto"/>
        <w:bottom w:val="none" w:sz="0" w:space="0" w:color="auto"/>
        <w:right w:val="none" w:sz="0" w:space="0" w:color="auto"/>
      </w:divBdr>
    </w:div>
    <w:div w:id="2066761363">
      <w:bodyDiv w:val="1"/>
      <w:marLeft w:val="0"/>
      <w:marRight w:val="0"/>
      <w:marTop w:val="0"/>
      <w:marBottom w:val="0"/>
      <w:divBdr>
        <w:top w:val="none" w:sz="0" w:space="0" w:color="auto"/>
        <w:left w:val="none" w:sz="0" w:space="0" w:color="auto"/>
        <w:bottom w:val="none" w:sz="0" w:space="0" w:color="auto"/>
        <w:right w:val="none" w:sz="0" w:space="0" w:color="auto"/>
      </w:divBdr>
    </w:div>
    <w:div w:id="212992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publication/seriesm/seriesm_4rev4e.pdf" TargetMode="External"/><Relationship Id="rId18" Type="http://schemas.openxmlformats.org/officeDocument/2006/relationships/hyperlink" Target="http://www.oecd.org/dac/stats/What-is-ODA.pdf" TargetMode="External"/><Relationship Id="rId26" Type="http://schemas.openxmlformats.org/officeDocument/2006/relationships/hyperlink" Target="http://www.statcan.gc.ca/pub/87f0001x/2012001/t012-eng.htm" TargetMode="External"/><Relationship Id="rId3" Type="http://schemas.openxmlformats.org/officeDocument/2006/relationships/customXml" Target="../customXml/item3.xml"/><Relationship Id="rId21" Type="http://schemas.openxmlformats.org/officeDocument/2006/relationships/hyperlink" Target="https://ec.europa.eu/eurostat/documents/3859598/9433072/KS-GQ-18-011-EN-N.pdf/72981708-edb7-4007-a298-8b5d9d5a61b5" TargetMode="External"/><Relationship Id="rId7" Type="http://schemas.openxmlformats.org/officeDocument/2006/relationships/settings" Target="settings.xml"/><Relationship Id="rId12" Type="http://schemas.openxmlformats.org/officeDocument/2006/relationships/hyperlink" Target="http://uis.unesco.org/sites/default/files/documents/unesco-framework-for-cultural-statistics-2009-en_0.pdf" TargetMode="External"/><Relationship Id="rId17" Type="http://schemas.openxmlformats.org/officeDocument/2006/relationships/hyperlink" Target="http://portal.unesco.org/en/ev.php-URL_ID=13140&amp;URL_DO=DO_TOPIC&amp;URL_SECTION=201.html" TargetMode="External"/><Relationship Id="rId25" Type="http://schemas.openxmlformats.org/officeDocument/2006/relationships/hyperlink" Target="http://www.culturalpolicies.net/web/files/134/en/Financing_the_Arts_and_Culture_in_the_EU.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nstats.un.org/unsd/publication/seriesm/seriesm_4rev4e.pdf" TargetMode="External"/><Relationship Id="rId20" Type="http://schemas.openxmlformats.org/officeDocument/2006/relationships/hyperlink" Target="http://uis.unesco.org/sites/default/files/documents/unesco-framework-for-cultural-statistics-2009-en_0.pdf" TargetMode="External"/><Relationship Id="rId29" Type="http://schemas.openxmlformats.org/officeDocument/2006/relationships/hyperlink" Target="https://www.destatis.de/EN/FactsFigures/SocietyState/EducationResearchCulture/EducationalCulturalFinance/Tables/ExpenditurePublicBugetsArtsCultur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mf.org/external/Pubs/FT/GFS/Manual/2014/gfsfinal.pdf" TargetMode="External"/><Relationship Id="rId24" Type="http://schemas.openxmlformats.org/officeDocument/2006/relationships/hyperlink" Target="https://www.scb.se/en/finding-statistics/statistics-by-subject-area/culture-and-leisure/cultural-expenditure/public-and-private-expenditure-on-culture/"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uis.unesco.org/sites/default/files/documents/unesco-framework-for-cultural-statistics-2009-en_0.pdf" TargetMode="External"/><Relationship Id="rId23" Type="http://schemas.openxmlformats.org/officeDocument/2006/relationships/hyperlink" Target="https://ec.europa.eu/eurostat/statistics-explained/index.php/Government_expenditure_on_recreation,_culture_and_religion" TargetMode="External"/><Relationship Id="rId28" Type="http://schemas.openxmlformats.org/officeDocument/2006/relationships/hyperlink" Target="http://www.culturalpolicies.net/web/statistics-funding.php?aid=232&amp;cid=80" TargetMode="External"/><Relationship Id="rId10" Type="http://schemas.openxmlformats.org/officeDocument/2006/relationships/endnotes" Target="endnotes.xml"/><Relationship Id="rId19" Type="http://schemas.openxmlformats.org/officeDocument/2006/relationships/hyperlink" Target="http://uis.unesco.org/en/topic/sustainable-development-goal-11-4"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mf.org/external/Pubs/FT/GFS/Manual/2014/gfsfinal.pdf" TargetMode="External"/><Relationship Id="rId22" Type="http://schemas.openxmlformats.org/officeDocument/2006/relationships/hyperlink" Target="https://ec.europa.eu/eurostat/web/products-manuals-and-guidelines/-/KS-RA-11-013" TargetMode="External"/><Relationship Id="rId27" Type="http://schemas.openxmlformats.org/officeDocument/2006/relationships/hyperlink" Target="http://www.statcan.gc.ca/pub/87f0001x/2012001/t004-eng.htm" TargetMode="External"/><Relationship Id="rId30" Type="http://schemas.openxmlformats.org/officeDocument/2006/relationships/header" Target="head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B91C4BD-772A-43F3-8E8E-DDCC85D33FC2}"/>
      </w:docPartPr>
      <w:docPartBody>
        <w:p w:rsidR="004A3906" w:rsidRDefault="003B5ACB">
          <w:r w:rsidRPr="0069778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CB"/>
    <w:rsid w:val="00223069"/>
    <w:rsid w:val="002B54A0"/>
    <w:rsid w:val="0037797B"/>
    <w:rsid w:val="003B5ACB"/>
    <w:rsid w:val="004A3906"/>
    <w:rsid w:val="004C5F09"/>
    <w:rsid w:val="007119DB"/>
    <w:rsid w:val="00762C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A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49448-DC71-4733-B393-BA1832809FE2}">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4624</Words>
  <Characters>26359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deloumeaux</dc:creator>
  <cp:lastModifiedBy>Harumi Shibata Salazar</cp:lastModifiedBy>
  <cp:revision>9</cp:revision>
  <cp:lastPrinted>2016-07-16T14:25:00Z</cp:lastPrinted>
  <dcterms:created xsi:type="dcterms:W3CDTF">2023-02-20T21:12:00Z</dcterms:created>
  <dcterms:modified xsi:type="dcterms:W3CDTF">2023-12-15T15:45:00Z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