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27BA6" w14:textId="77777777" w:rsidR="006C4BFD" w:rsidRPr="002608C3" w:rsidRDefault="006C4BFD" w:rsidP="00390222">
      <w:pPr>
        <w:spacing w:after="0"/>
        <w:jc w:val="center"/>
        <w:rPr>
          <w:rFonts w:cs="Calibri"/>
        </w:rPr>
      </w:pPr>
      <w:r w:rsidRPr="00244018">
        <w:rPr>
          <w:rFonts w:eastAsia="Times New Roman" w:cstheme="minorHAnsi"/>
          <w:color w:val="1C75BC"/>
          <w:sz w:val="36"/>
          <w:szCs w:val="36"/>
          <w:lang w:eastAsia="en-GB"/>
        </w:rPr>
        <w:t>SDG indicator metadata</w:t>
      </w:r>
    </w:p>
    <w:p w14:paraId="129054E9" w14:textId="42C34110" w:rsidR="006C4BFD" w:rsidRPr="009F18F1" w:rsidRDefault="002C2510">
      <w:pPr>
        <w:spacing w:after="0"/>
        <w:jc w:val="center"/>
        <w:rPr>
          <w:rFonts w:eastAsia="Times New Roman" w:cstheme="minorHAnsi"/>
          <w:b/>
          <w:bCs/>
          <w:color w:val="4A4A4A"/>
          <w:sz w:val="21"/>
          <w:szCs w:val="21"/>
          <w:lang w:eastAsia="en-GB"/>
        </w:rPr>
      </w:pPr>
      <w:r w:rsidRPr="009F18F1">
        <w:rPr>
          <w:rFonts w:eastAsia="Times New Roman" w:cstheme="minorHAnsi"/>
          <w:b/>
          <w:bCs/>
          <w:color w:val="4A4A4A"/>
          <w:sz w:val="21"/>
          <w:szCs w:val="21"/>
          <w:lang w:eastAsia="en-GB"/>
        </w:rPr>
        <w:t xml:space="preserve">(Harmonized </w:t>
      </w:r>
      <w:r w:rsidR="00942694" w:rsidRPr="009F18F1">
        <w:rPr>
          <w:rFonts w:eastAsia="Times New Roman" w:cstheme="minorHAnsi"/>
          <w:b/>
          <w:bCs/>
          <w:color w:val="4A4A4A"/>
          <w:sz w:val="21"/>
          <w:szCs w:val="21"/>
          <w:lang w:eastAsia="en-GB"/>
        </w:rPr>
        <w:t xml:space="preserve">metadata </w:t>
      </w:r>
      <w:r w:rsidRPr="009F18F1">
        <w:rPr>
          <w:rFonts w:eastAsia="Times New Roman" w:cstheme="minorHAnsi"/>
          <w:b/>
          <w:bCs/>
          <w:color w:val="4A4A4A"/>
          <w:sz w:val="21"/>
          <w:szCs w:val="21"/>
          <w:lang w:eastAsia="en-GB"/>
        </w:rPr>
        <w:t>template - format version 1.</w:t>
      </w:r>
      <w:r w:rsidR="00D5186D">
        <w:rPr>
          <w:rFonts w:eastAsia="Times New Roman" w:cstheme="minorHAnsi"/>
          <w:b/>
          <w:bCs/>
          <w:color w:val="4A4A4A"/>
          <w:sz w:val="21"/>
          <w:szCs w:val="21"/>
          <w:lang w:eastAsia="en-GB"/>
        </w:rPr>
        <w:t>1</w:t>
      </w:r>
      <w:r w:rsidRPr="009F18F1">
        <w:rPr>
          <w:rFonts w:eastAsia="Times New Roman" w:cstheme="minorHAnsi"/>
          <w:b/>
          <w:bCs/>
          <w:color w:val="4A4A4A"/>
          <w:sz w:val="21"/>
          <w:szCs w:val="21"/>
          <w:lang w:eastAsia="en-GB"/>
        </w:rPr>
        <w:t>)</w:t>
      </w:r>
    </w:p>
    <w:p w14:paraId="773F63CF" w14:textId="77777777" w:rsidR="006C4BFD" w:rsidRPr="002608C3" w:rsidRDefault="006C4BFD">
      <w:pPr>
        <w:spacing w:after="0"/>
        <w:rPr>
          <w:rFonts w:eastAsia="Times New Roman" w:cs="Times New Roman"/>
          <w:b/>
          <w:bCs/>
          <w:color w:val="4A4A4A"/>
          <w:sz w:val="21"/>
          <w:szCs w:val="21"/>
          <w:lang w:eastAsia="en-GB"/>
        </w:rPr>
      </w:pPr>
    </w:p>
    <w:p w14:paraId="6AEAC6DA" w14:textId="6F3D99F6" w:rsidR="00B31E2C" w:rsidRPr="009F18F1" w:rsidRDefault="00B31E2C" w:rsidP="002608C3">
      <w:pPr>
        <w:pStyle w:val="MIndHeader2"/>
        <w:rPr>
          <w:rFonts w:cstheme="minorHAnsi"/>
        </w:rPr>
      </w:pPr>
      <w:r w:rsidRPr="009F18F1">
        <w:rPr>
          <w:rFonts w:cstheme="minorHAnsi"/>
        </w:rPr>
        <w:t>0. Indicator information</w:t>
      </w:r>
      <w:r w:rsidR="00AF11F6" w:rsidRPr="00A96255">
        <w:t xml:space="preserve"> </w:t>
      </w:r>
      <w:r w:rsidR="00AF11F6">
        <w:rPr>
          <w:color w:val="B4B4B4"/>
          <w:sz w:val="20"/>
        </w:rPr>
        <w:t>(SDG_INDICATOR_INFO)</w:t>
      </w:r>
    </w:p>
    <w:p w14:paraId="043ED752" w14:textId="00255C63" w:rsidR="00D24330" w:rsidRPr="009F18F1" w:rsidRDefault="00D24330" w:rsidP="002608C3">
      <w:pPr>
        <w:pStyle w:val="MIndHeader"/>
        <w:rPr>
          <w:rFonts w:cstheme="minorHAnsi"/>
        </w:rPr>
      </w:pPr>
      <w:r w:rsidRPr="009F18F1">
        <w:rPr>
          <w:rFonts w:cstheme="minorHAnsi"/>
        </w:rPr>
        <w:t>0.a. Goal</w:t>
      </w:r>
      <w:r w:rsidR="00BE5F36" w:rsidRPr="00A96255">
        <w:t xml:space="preserve"> </w:t>
      </w:r>
      <w:r w:rsidR="00BE5F36">
        <w:rPr>
          <w:color w:val="B4B4B4"/>
          <w:sz w:val="20"/>
        </w:rPr>
        <w:t>(SDG_GOAL)</w:t>
      </w:r>
    </w:p>
    <w:p w14:paraId="649A822A" w14:textId="73C8320A" w:rsidR="0042466C" w:rsidRPr="002608C3" w:rsidRDefault="0042466C" w:rsidP="002608C3">
      <w:pPr>
        <w:pStyle w:val="MGTHeader"/>
        <w:rPr>
          <w:rStyle w:val="eop"/>
          <w:color w:val="1C75BC"/>
          <w:sz w:val="26"/>
          <w:szCs w:val="22"/>
        </w:rPr>
      </w:pPr>
      <w:r w:rsidRPr="009F18F1">
        <w:rPr>
          <w:rStyle w:val="normaltextrun"/>
          <w:rFonts w:cstheme="minorHAnsi"/>
        </w:rPr>
        <w:t>Goal</w:t>
      </w:r>
      <w:r w:rsidR="00AD032B" w:rsidRPr="009F18F1">
        <w:rPr>
          <w:rStyle w:val="normaltextrun"/>
          <w:rFonts w:cstheme="minorHAnsi"/>
        </w:rPr>
        <w:t xml:space="preserve"> </w:t>
      </w:r>
      <w:r w:rsidRPr="009F18F1">
        <w:rPr>
          <w:rStyle w:val="normaltextrun"/>
          <w:rFonts w:cstheme="minorHAnsi"/>
        </w:rPr>
        <w:t xml:space="preserve">11: Make cities </w:t>
      </w:r>
      <w:r w:rsidR="00120A84" w:rsidRPr="009F18F1">
        <w:rPr>
          <w:rStyle w:val="normaltextrun"/>
          <w:rFonts w:cstheme="minorHAnsi"/>
        </w:rPr>
        <w:t xml:space="preserve">and human settlements </w:t>
      </w:r>
      <w:r w:rsidRPr="009F18F1">
        <w:rPr>
          <w:rStyle w:val="normaltextrun"/>
          <w:rFonts w:cstheme="minorHAnsi"/>
        </w:rPr>
        <w:t>inclusive, safe, resilient and sustainable</w:t>
      </w:r>
    </w:p>
    <w:p w14:paraId="084142D2" w14:textId="51FC4CAC" w:rsidR="00D24330" w:rsidRPr="009F18F1" w:rsidRDefault="00D24330" w:rsidP="002608C3">
      <w:pPr>
        <w:pStyle w:val="MIndHeader"/>
        <w:rPr>
          <w:rFonts w:cstheme="minorHAnsi"/>
        </w:rPr>
      </w:pPr>
      <w:r w:rsidRPr="009F18F1">
        <w:rPr>
          <w:rFonts w:cstheme="minorHAnsi"/>
        </w:rPr>
        <w:t>0.b. Target</w:t>
      </w:r>
      <w:r w:rsidR="000E27D5" w:rsidRPr="00A96255">
        <w:t xml:space="preserve"> </w:t>
      </w:r>
      <w:r w:rsidR="000E27D5">
        <w:rPr>
          <w:color w:val="B4B4B4"/>
          <w:sz w:val="20"/>
        </w:rPr>
        <w:t>(SDG_TARGET)</w:t>
      </w:r>
    </w:p>
    <w:p w14:paraId="0460D782" w14:textId="1B1314DE" w:rsidR="0042466C" w:rsidRPr="002608C3" w:rsidRDefault="0042466C" w:rsidP="002608C3">
      <w:pPr>
        <w:pStyle w:val="MGTHeader"/>
        <w:rPr>
          <w:rStyle w:val="eop"/>
          <w:color w:val="1C75BC"/>
          <w:sz w:val="26"/>
          <w:szCs w:val="22"/>
        </w:rPr>
      </w:pPr>
      <w:r w:rsidRPr="009F18F1">
        <w:rPr>
          <w:rStyle w:val="normaltextrun"/>
          <w:rFonts w:cstheme="minorHAnsi"/>
        </w:rPr>
        <w:t>Target 11.a: Support positive economic, social and environmental links between urban, peri-urban and rural areas by strengthening national and regional development planning</w:t>
      </w:r>
    </w:p>
    <w:p w14:paraId="3E67E7E0" w14:textId="4886F5D3" w:rsidR="00D24330" w:rsidRPr="009F18F1" w:rsidRDefault="00D24330" w:rsidP="002608C3">
      <w:pPr>
        <w:pStyle w:val="MIndHeader"/>
        <w:rPr>
          <w:rFonts w:cstheme="minorHAnsi"/>
        </w:rPr>
      </w:pPr>
      <w:r w:rsidRPr="009F18F1">
        <w:rPr>
          <w:rFonts w:cstheme="minorHAnsi"/>
        </w:rPr>
        <w:t>0.c. Indicator</w:t>
      </w:r>
      <w:r w:rsidR="00A61ADA" w:rsidRPr="00A96255">
        <w:t xml:space="preserve"> </w:t>
      </w:r>
      <w:r w:rsidR="00A61ADA">
        <w:rPr>
          <w:color w:val="B4B4B4"/>
          <w:sz w:val="20"/>
        </w:rPr>
        <w:t>(SDG_INDICATOR)</w:t>
      </w:r>
    </w:p>
    <w:p w14:paraId="1BC3685E" w14:textId="56D853DA" w:rsidR="0042466C" w:rsidRPr="009F18F1" w:rsidRDefault="0042466C" w:rsidP="002608C3">
      <w:pPr>
        <w:pStyle w:val="MIndHeader"/>
        <w:rPr>
          <w:rFonts w:cstheme="minorHAnsi"/>
          <w:color w:val="333333"/>
          <w:sz w:val="21"/>
          <w:szCs w:val="21"/>
        </w:rPr>
      </w:pPr>
      <w:r w:rsidRPr="009F18F1">
        <w:rPr>
          <w:rFonts w:cstheme="minorHAnsi"/>
          <w:color w:val="333333"/>
          <w:sz w:val="21"/>
          <w:szCs w:val="21"/>
        </w:rPr>
        <w:t>Indicator 11.a.1: Number of countries that have national urban policies or regional development plans that (a) respond to population dynamics</w:t>
      </w:r>
      <w:r w:rsidR="00001134" w:rsidRPr="009F18F1">
        <w:rPr>
          <w:rFonts w:cstheme="minorHAnsi"/>
          <w:color w:val="333333"/>
          <w:sz w:val="21"/>
          <w:szCs w:val="21"/>
        </w:rPr>
        <w:t>;</w:t>
      </w:r>
      <w:r w:rsidRPr="009F18F1">
        <w:rPr>
          <w:rFonts w:cstheme="minorHAnsi"/>
          <w:color w:val="333333"/>
          <w:sz w:val="21"/>
          <w:szCs w:val="21"/>
        </w:rPr>
        <w:t xml:space="preserve"> (b) ensure balanced territorial development</w:t>
      </w:r>
      <w:r w:rsidR="00001134" w:rsidRPr="009F18F1">
        <w:rPr>
          <w:rFonts w:cstheme="minorHAnsi"/>
          <w:color w:val="333333"/>
          <w:sz w:val="21"/>
          <w:szCs w:val="21"/>
        </w:rPr>
        <w:t>; and</w:t>
      </w:r>
      <w:r w:rsidRPr="009F18F1">
        <w:rPr>
          <w:rFonts w:cstheme="minorHAnsi"/>
          <w:color w:val="333333"/>
          <w:sz w:val="21"/>
          <w:szCs w:val="21"/>
        </w:rPr>
        <w:t xml:space="preserve"> (c) increase local fiscal space</w:t>
      </w:r>
    </w:p>
    <w:p w14:paraId="37E5E4F6" w14:textId="13A884F3" w:rsidR="00D24330" w:rsidRPr="00554984" w:rsidRDefault="00D24330" w:rsidP="002608C3">
      <w:pPr>
        <w:pStyle w:val="MIndHeader"/>
        <w:rPr>
          <w:rFonts w:cstheme="minorHAnsi"/>
          <w:lang w:val="en-US"/>
        </w:rPr>
      </w:pPr>
      <w:r w:rsidRPr="00554984">
        <w:rPr>
          <w:rFonts w:cstheme="minorHAnsi"/>
          <w:lang w:val="en-US"/>
        </w:rPr>
        <w:t>0.d. Series</w:t>
      </w:r>
      <w:r w:rsidR="006E6E46" w:rsidRPr="00FE5B25">
        <w:rPr>
          <w:lang w:val="en-US"/>
        </w:rPr>
        <w:t xml:space="preserve"> </w:t>
      </w:r>
      <w:r w:rsidR="006E6E46">
        <w:rPr>
          <w:color w:val="B4B4B4"/>
          <w:sz w:val="20"/>
        </w:rPr>
        <w:t>(SDG_SERIES_DESCR)</w:t>
      </w:r>
    </w:p>
    <w:p w14:paraId="524E4EEF" w14:textId="515F8FDE" w:rsidR="00646036" w:rsidRPr="00554984" w:rsidRDefault="002222C1" w:rsidP="002608C3">
      <w:pPr>
        <w:pStyle w:val="MIndHeader"/>
        <w:rPr>
          <w:rFonts w:cstheme="minorHAnsi"/>
          <w:color w:val="333333"/>
          <w:sz w:val="21"/>
          <w:szCs w:val="21"/>
        </w:rPr>
      </w:pPr>
      <w:r w:rsidRPr="00554984">
        <w:rPr>
          <w:rFonts w:cstheme="minorHAnsi"/>
          <w:color w:val="333333"/>
          <w:sz w:val="21"/>
          <w:szCs w:val="21"/>
        </w:rPr>
        <w:t>SD_CPA_UPRDP - Countries that have national urban policies or regional development plans that respond to population dynamics; ensure balanced territorial development; and increase local fiscal space (1 = YES; 0 = NO) [11.a.1]</w:t>
      </w:r>
    </w:p>
    <w:p w14:paraId="157DACE7" w14:textId="6825C9A8" w:rsidR="00D24330" w:rsidRPr="00554984" w:rsidRDefault="00D24330" w:rsidP="002608C3">
      <w:pPr>
        <w:pStyle w:val="MIndHeader"/>
        <w:rPr>
          <w:rFonts w:cstheme="minorHAnsi"/>
          <w:lang w:val="en-US"/>
        </w:rPr>
      </w:pPr>
      <w:r w:rsidRPr="00554984">
        <w:rPr>
          <w:rFonts w:cstheme="minorHAnsi"/>
          <w:lang w:val="en-US"/>
        </w:rPr>
        <w:t>0.e. Metadata update</w:t>
      </w:r>
      <w:r w:rsidR="00BB4363" w:rsidRPr="00FE5B25">
        <w:rPr>
          <w:lang w:val="en-US"/>
        </w:rPr>
        <w:t xml:space="preserve"> </w:t>
      </w:r>
      <w:r w:rsidR="00BB4363">
        <w:rPr>
          <w:color w:val="B4B4B4"/>
          <w:sz w:val="20"/>
        </w:rPr>
        <w:t>(META_LAST_UPDATE)</w:t>
      </w:r>
    </w:p>
    <w:sdt>
      <w:sdtPr>
        <w:rPr>
          <w:rFonts w:cstheme="minorHAnsi"/>
          <w:lang w:val="en-US"/>
        </w:rPr>
        <w:id w:val="249562581"/>
        <w:placeholder>
          <w:docPart w:val="DefaultPlaceholder_-1854013437"/>
        </w:placeholder>
        <w:date w:fullDate="2025-04-23T00:00:00Z">
          <w:dateFormat w:val="yyyy-MM-dd"/>
          <w:lid w:val="en-US"/>
          <w:storeMappedDataAs w:val="dateTime"/>
          <w:calendar w:val="gregorian"/>
        </w:date>
      </w:sdtPr>
      <w:sdtEndPr/>
      <w:sdtContent>
        <w:p w14:paraId="03424B60" w14:textId="2B8105CF" w:rsidR="00D24330" w:rsidRPr="00554984" w:rsidRDefault="008C4B51" w:rsidP="002608C3">
          <w:pPr>
            <w:pStyle w:val="MGTHeader"/>
            <w:rPr>
              <w:rFonts w:cstheme="minorHAnsi"/>
              <w:lang w:val="en-US"/>
            </w:rPr>
          </w:pPr>
          <w:r w:rsidRPr="00554984">
            <w:rPr>
              <w:rFonts w:cstheme="minorHAnsi"/>
              <w:lang w:val="en-US"/>
            </w:rPr>
            <w:t>2025-04-23</w:t>
          </w:r>
        </w:p>
      </w:sdtContent>
    </w:sdt>
    <w:p w14:paraId="415C9FF1" w14:textId="74CDCB46" w:rsidR="00D24330" w:rsidRPr="009F18F1" w:rsidRDefault="00D24330" w:rsidP="002608C3">
      <w:pPr>
        <w:pStyle w:val="MIndHeader"/>
        <w:rPr>
          <w:rFonts w:cstheme="minorHAnsi"/>
        </w:rPr>
      </w:pPr>
      <w:r w:rsidRPr="009F18F1">
        <w:rPr>
          <w:rFonts w:cstheme="minorHAnsi"/>
        </w:rPr>
        <w:t>0.f. Related indicators</w:t>
      </w:r>
      <w:r w:rsidR="00560BCC" w:rsidRPr="00A96255">
        <w:t xml:space="preserve"> </w:t>
      </w:r>
      <w:r w:rsidR="00560BCC">
        <w:rPr>
          <w:color w:val="B4B4B4"/>
          <w:sz w:val="20"/>
        </w:rPr>
        <w:t>(SDG_RELATED_INDICATORS)</w:t>
      </w:r>
    </w:p>
    <w:p w14:paraId="1CF7860C" w14:textId="2EFA7115" w:rsidR="00464035" w:rsidRDefault="00464035" w:rsidP="002608C3">
      <w:pPr>
        <w:pStyle w:val="MGTHeader"/>
        <w:rPr>
          <w:rFonts w:cstheme="minorHAnsi"/>
          <w:lang w:val="en-US"/>
        </w:rPr>
      </w:pPr>
      <w:r w:rsidRPr="009F18F1">
        <w:rPr>
          <w:rFonts w:cstheme="minorHAnsi"/>
          <w:lang w:val="en-US"/>
        </w:rPr>
        <w:t>This Indicator is related to several Goals and Targets, particularly the following:</w:t>
      </w:r>
    </w:p>
    <w:p w14:paraId="3465934B" w14:textId="745DA6E3" w:rsidR="00E04067" w:rsidRPr="00554984" w:rsidRDefault="008D2607" w:rsidP="00554984">
      <w:pPr>
        <w:pStyle w:val="MIndHeader"/>
        <w:rPr>
          <w:rFonts w:cstheme="minorHAnsi"/>
        </w:rPr>
      </w:pPr>
      <w:r w:rsidRPr="00554984">
        <w:rPr>
          <w:rFonts w:cstheme="minorHAnsi"/>
          <w:color w:val="333333"/>
          <w:sz w:val="21"/>
          <w:szCs w:val="21"/>
        </w:rPr>
        <w:t>1</w:t>
      </w:r>
      <w:r w:rsidR="007D0043" w:rsidRPr="00554984">
        <w:rPr>
          <w:rFonts w:cstheme="minorHAnsi"/>
          <w:color w:val="333333"/>
          <w:sz w:val="21"/>
          <w:szCs w:val="21"/>
        </w:rPr>
        <w:t>.4.2</w:t>
      </w:r>
      <w:r w:rsidR="00646036" w:rsidRPr="00554984">
        <w:rPr>
          <w:rFonts w:cstheme="minorHAnsi"/>
          <w:color w:val="333333"/>
          <w:sz w:val="21"/>
          <w:szCs w:val="21"/>
        </w:rPr>
        <w:t xml:space="preserve">, </w:t>
      </w:r>
      <w:r w:rsidR="007D0043" w:rsidRPr="00554984">
        <w:rPr>
          <w:rFonts w:cstheme="minorHAnsi"/>
          <w:color w:val="333333"/>
          <w:sz w:val="21"/>
          <w:szCs w:val="21"/>
        </w:rPr>
        <w:t>1.5.1</w:t>
      </w:r>
      <w:r w:rsidR="00646036" w:rsidRPr="00554984">
        <w:rPr>
          <w:rFonts w:cstheme="minorHAnsi"/>
          <w:color w:val="333333"/>
          <w:sz w:val="21"/>
          <w:szCs w:val="21"/>
        </w:rPr>
        <w:t xml:space="preserve">, </w:t>
      </w:r>
      <w:r w:rsidR="007D0043" w:rsidRPr="00554984">
        <w:rPr>
          <w:rFonts w:cstheme="minorHAnsi"/>
          <w:color w:val="333333"/>
          <w:sz w:val="21"/>
          <w:szCs w:val="21"/>
        </w:rPr>
        <w:t>2.3.1</w:t>
      </w:r>
      <w:r w:rsidR="009A629E" w:rsidRPr="00554984">
        <w:rPr>
          <w:rFonts w:cstheme="minorHAnsi"/>
          <w:color w:val="333333"/>
          <w:sz w:val="21"/>
          <w:szCs w:val="21"/>
        </w:rPr>
        <w:t xml:space="preserve">, </w:t>
      </w:r>
      <w:r w:rsidR="007D0043" w:rsidRPr="00554984">
        <w:rPr>
          <w:rFonts w:cstheme="minorHAnsi"/>
          <w:color w:val="333333"/>
          <w:sz w:val="21"/>
          <w:szCs w:val="21"/>
        </w:rPr>
        <w:t>2</w:t>
      </w:r>
      <w:r w:rsidR="009A629E" w:rsidRPr="00554984">
        <w:rPr>
          <w:rFonts w:cstheme="minorHAnsi"/>
          <w:color w:val="333333"/>
          <w:sz w:val="21"/>
          <w:szCs w:val="21"/>
        </w:rPr>
        <w:t>.</w:t>
      </w:r>
      <w:r w:rsidR="007D0043" w:rsidRPr="00554984">
        <w:rPr>
          <w:rFonts w:cstheme="minorHAnsi"/>
          <w:color w:val="333333"/>
          <w:sz w:val="21"/>
          <w:szCs w:val="21"/>
        </w:rPr>
        <w:t>c.1</w:t>
      </w:r>
      <w:r w:rsidR="009A629E" w:rsidRPr="00554984">
        <w:rPr>
          <w:rFonts w:cstheme="minorHAnsi"/>
          <w:color w:val="333333"/>
          <w:sz w:val="21"/>
          <w:szCs w:val="21"/>
        </w:rPr>
        <w:t xml:space="preserve">, </w:t>
      </w:r>
      <w:r w:rsidR="0049583B" w:rsidRPr="00554984">
        <w:rPr>
          <w:rFonts w:cstheme="minorHAnsi"/>
          <w:color w:val="333333"/>
          <w:sz w:val="21"/>
          <w:szCs w:val="21"/>
        </w:rPr>
        <w:t>5.2.1</w:t>
      </w:r>
      <w:r w:rsidR="009A629E" w:rsidRPr="00554984">
        <w:rPr>
          <w:rFonts w:cstheme="minorHAnsi"/>
          <w:color w:val="333333"/>
          <w:sz w:val="21"/>
          <w:szCs w:val="21"/>
        </w:rPr>
        <w:t xml:space="preserve">, </w:t>
      </w:r>
      <w:r w:rsidR="0049583B" w:rsidRPr="00554984">
        <w:rPr>
          <w:rFonts w:cstheme="minorHAnsi"/>
          <w:color w:val="333333"/>
          <w:sz w:val="21"/>
          <w:szCs w:val="21"/>
        </w:rPr>
        <w:t>5a.1</w:t>
      </w:r>
      <w:r w:rsidR="009A629E" w:rsidRPr="00554984">
        <w:rPr>
          <w:rFonts w:cstheme="minorHAnsi"/>
          <w:color w:val="333333"/>
          <w:sz w:val="21"/>
          <w:szCs w:val="21"/>
        </w:rPr>
        <w:t xml:space="preserve">, </w:t>
      </w:r>
      <w:r w:rsidR="0049583B" w:rsidRPr="00554984">
        <w:rPr>
          <w:rFonts w:cstheme="minorHAnsi"/>
          <w:color w:val="333333"/>
          <w:sz w:val="21"/>
          <w:szCs w:val="21"/>
        </w:rPr>
        <w:t>6.1.1</w:t>
      </w:r>
      <w:r w:rsidR="009A629E" w:rsidRPr="00554984">
        <w:rPr>
          <w:rFonts w:cstheme="minorHAnsi"/>
          <w:color w:val="333333"/>
          <w:sz w:val="21"/>
          <w:szCs w:val="21"/>
        </w:rPr>
        <w:t xml:space="preserve">, </w:t>
      </w:r>
      <w:r w:rsidR="0049583B" w:rsidRPr="00554984">
        <w:rPr>
          <w:rFonts w:cstheme="minorHAnsi"/>
          <w:color w:val="333333"/>
          <w:sz w:val="21"/>
          <w:szCs w:val="21"/>
        </w:rPr>
        <w:t>6.2.1</w:t>
      </w:r>
      <w:r w:rsidR="009A629E" w:rsidRPr="00554984">
        <w:rPr>
          <w:rFonts w:cstheme="minorHAnsi"/>
          <w:color w:val="333333"/>
          <w:sz w:val="21"/>
          <w:szCs w:val="21"/>
        </w:rPr>
        <w:t xml:space="preserve">, </w:t>
      </w:r>
      <w:r w:rsidR="0049583B" w:rsidRPr="00554984">
        <w:rPr>
          <w:rFonts w:cstheme="minorHAnsi"/>
          <w:color w:val="333333"/>
          <w:sz w:val="21"/>
          <w:szCs w:val="21"/>
        </w:rPr>
        <w:t>7.2.1</w:t>
      </w:r>
      <w:r w:rsidR="009A629E" w:rsidRPr="00554984">
        <w:rPr>
          <w:rFonts w:cstheme="minorHAnsi"/>
          <w:color w:val="333333"/>
          <w:sz w:val="21"/>
          <w:szCs w:val="21"/>
        </w:rPr>
        <w:t xml:space="preserve">, </w:t>
      </w:r>
      <w:r w:rsidR="0049583B" w:rsidRPr="00554984">
        <w:rPr>
          <w:rFonts w:cstheme="minorHAnsi"/>
          <w:color w:val="333333"/>
          <w:sz w:val="21"/>
          <w:szCs w:val="21"/>
        </w:rPr>
        <w:t>7.3.1</w:t>
      </w:r>
      <w:r w:rsidR="009A629E" w:rsidRPr="00554984">
        <w:rPr>
          <w:rFonts w:cstheme="minorHAnsi"/>
          <w:color w:val="333333"/>
          <w:sz w:val="21"/>
          <w:szCs w:val="21"/>
        </w:rPr>
        <w:t xml:space="preserve">, </w:t>
      </w:r>
      <w:r w:rsidR="0049583B" w:rsidRPr="00554984">
        <w:rPr>
          <w:rFonts w:cstheme="minorHAnsi"/>
          <w:color w:val="333333"/>
          <w:sz w:val="21"/>
          <w:szCs w:val="21"/>
        </w:rPr>
        <w:t>8.3.1</w:t>
      </w:r>
      <w:r w:rsidR="009A629E" w:rsidRPr="00554984">
        <w:rPr>
          <w:rFonts w:cstheme="minorHAnsi"/>
          <w:color w:val="333333"/>
          <w:sz w:val="21"/>
          <w:szCs w:val="21"/>
        </w:rPr>
        <w:t xml:space="preserve">, </w:t>
      </w:r>
      <w:r w:rsidR="0049583B" w:rsidRPr="00554984">
        <w:rPr>
          <w:rFonts w:cstheme="minorHAnsi"/>
          <w:color w:val="333333"/>
          <w:sz w:val="21"/>
          <w:szCs w:val="21"/>
        </w:rPr>
        <w:t>8.5.1</w:t>
      </w:r>
      <w:r w:rsidR="009A629E" w:rsidRPr="00554984">
        <w:rPr>
          <w:rFonts w:cstheme="minorHAnsi"/>
          <w:color w:val="333333"/>
          <w:sz w:val="21"/>
          <w:szCs w:val="21"/>
        </w:rPr>
        <w:t xml:space="preserve">, </w:t>
      </w:r>
      <w:r w:rsidR="0049583B" w:rsidRPr="00554984">
        <w:rPr>
          <w:rFonts w:cstheme="minorHAnsi"/>
          <w:color w:val="333333"/>
          <w:sz w:val="21"/>
          <w:szCs w:val="21"/>
        </w:rPr>
        <w:t>8.6.1</w:t>
      </w:r>
      <w:r w:rsidR="009A629E" w:rsidRPr="00554984">
        <w:rPr>
          <w:rFonts w:cstheme="minorHAnsi"/>
          <w:color w:val="333333"/>
          <w:sz w:val="21"/>
          <w:szCs w:val="21"/>
        </w:rPr>
        <w:t xml:space="preserve">, </w:t>
      </w:r>
      <w:r w:rsidR="0049583B" w:rsidRPr="00554984">
        <w:rPr>
          <w:rFonts w:cstheme="minorHAnsi"/>
          <w:color w:val="333333"/>
          <w:sz w:val="21"/>
          <w:szCs w:val="21"/>
        </w:rPr>
        <w:t>9.1.1</w:t>
      </w:r>
      <w:r w:rsidR="009A629E" w:rsidRPr="00554984">
        <w:rPr>
          <w:rFonts w:cstheme="minorHAnsi"/>
          <w:color w:val="333333"/>
          <w:sz w:val="21"/>
          <w:szCs w:val="21"/>
        </w:rPr>
        <w:t xml:space="preserve">, </w:t>
      </w:r>
      <w:r w:rsidR="0049583B" w:rsidRPr="00554984">
        <w:rPr>
          <w:rFonts w:cstheme="minorHAnsi"/>
          <w:color w:val="333333"/>
          <w:sz w:val="21"/>
          <w:szCs w:val="21"/>
        </w:rPr>
        <w:t>9</w:t>
      </w:r>
      <w:r w:rsidR="00DA78DC" w:rsidRPr="00554984">
        <w:rPr>
          <w:rFonts w:cstheme="minorHAnsi"/>
          <w:color w:val="333333"/>
          <w:sz w:val="21"/>
          <w:szCs w:val="21"/>
        </w:rPr>
        <w:t>.4.1</w:t>
      </w:r>
      <w:r w:rsidR="009A629E" w:rsidRPr="00554984">
        <w:rPr>
          <w:rFonts w:cstheme="minorHAnsi"/>
          <w:color w:val="333333"/>
          <w:sz w:val="21"/>
          <w:szCs w:val="21"/>
        </w:rPr>
        <w:t xml:space="preserve">, </w:t>
      </w:r>
      <w:r w:rsidR="00DA78DC" w:rsidRPr="00554984">
        <w:rPr>
          <w:rFonts w:cstheme="minorHAnsi"/>
          <w:color w:val="333333"/>
          <w:sz w:val="21"/>
          <w:szCs w:val="21"/>
        </w:rPr>
        <w:t>9a.1</w:t>
      </w:r>
      <w:r w:rsidR="009A629E" w:rsidRPr="00554984">
        <w:rPr>
          <w:rFonts w:cstheme="minorHAnsi"/>
          <w:color w:val="333333"/>
          <w:sz w:val="21"/>
          <w:szCs w:val="21"/>
        </w:rPr>
        <w:t xml:space="preserve">, </w:t>
      </w:r>
      <w:r w:rsidR="00DA78DC" w:rsidRPr="00554984">
        <w:rPr>
          <w:rFonts w:cstheme="minorHAnsi"/>
          <w:color w:val="333333"/>
          <w:sz w:val="21"/>
          <w:szCs w:val="21"/>
        </w:rPr>
        <w:t>10.4.1</w:t>
      </w:r>
      <w:r w:rsidR="009A629E" w:rsidRPr="00554984">
        <w:rPr>
          <w:rFonts w:cstheme="minorHAnsi"/>
          <w:color w:val="333333"/>
          <w:sz w:val="21"/>
          <w:szCs w:val="21"/>
        </w:rPr>
        <w:t xml:space="preserve">, </w:t>
      </w:r>
      <w:r w:rsidR="00DA78DC" w:rsidRPr="00554984">
        <w:rPr>
          <w:rFonts w:cstheme="minorHAnsi"/>
          <w:color w:val="333333"/>
          <w:sz w:val="21"/>
          <w:szCs w:val="21"/>
        </w:rPr>
        <w:t>12.5.1</w:t>
      </w:r>
      <w:r w:rsidR="009A629E" w:rsidRPr="00554984">
        <w:rPr>
          <w:rFonts w:cstheme="minorHAnsi"/>
          <w:color w:val="333333"/>
          <w:sz w:val="21"/>
          <w:szCs w:val="21"/>
        </w:rPr>
        <w:t xml:space="preserve">, </w:t>
      </w:r>
      <w:r w:rsidR="00DA78DC" w:rsidRPr="00554984">
        <w:rPr>
          <w:rFonts w:cstheme="minorHAnsi"/>
          <w:color w:val="333333"/>
          <w:sz w:val="21"/>
          <w:szCs w:val="21"/>
        </w:rPr>
        <w:t>13.1.1</w:t>
      </w:r>
      <w:r w:rsidR="009A629E" w:rsidRPr="00554984">
        <w:rPr>
          <w:rFonts w:cstheme="minorHAnsi"/>
          <w:color w:val="333333"/>
          <w:sz w:val="21"/>
          <w:szCs w:val="21"/>
        </w:rPr>
        <w:t xml:space="preserve">, </w:t>
      </w:r>
      <w:r w:rsidR="00DA78DC" w:rsidRPr="00554984">
        <w:rPr>
          <w:rFonts w:cstheme="minorHAnsi"/>
          <w:color w:val="333333"/>
          <w:sz w:val="21"/>
          <w:szCs w:val="21"/>
        </w:rPr>
        <w:t>13b.1</w:t>
      </w:r>
      <w:r w:rsidR="009A629E" w:rsidRPr="00554984">
        <w:rPr>
          <w:rFonts w:cstheme="minorHAnsi"/>
          <w:color w:val="333333"/>
          <w:sz w:val="21"/>
          <w:szCs w:val="21"/>
        </w:rPr>
        <w:t xml:space="preserve">, </w:t>
      </w:r>
      <w:r w:rsidR="00DA78DC" w:rsidRPr="00554984">
        <w:rPr>
          <w:rFonts w:cstheme="minorHAnsi"/>
          <w:color w:val="333333"/>
          <w:sz w:val="21"/>
          <w:szCs w:val="21"/>
        </w:rPr>
        <w:t>15.9.1</w:t>
      </w:r>
      <w:r w:rsidR="009A629E" w:rsidRPr="00554984">
        <w:rPr>
          <w:rFonts w:cstheme="minorHAnsi"/>
          <w:color w:val="333333"/>
          <w:sz w:val="21"/>
          <w:szCs w:val="21"/>
        </w:rPr>
        <w:t xml:space="preserve">, </w:t>
      </w:r>
      <w:r w:rsidR="00DA78DC" w:rsidRPr="00554984">
        <w:rPr>
          <w:rFonts w:cstheme="minorHAnsi"/>
          <w:color w:val="333333"/>
          <w:sz w:val="21"/>
          <w:szCs w:val="21"/>
        </w:rPr>
        <w:t>16.7.1</w:t>
      </w:r>
      <w:r w:rsidR="009A629E" w:rsidRPr="00554984">
        <w:rPr>
          <w:rFonts w:cstheme="minorHAnsi"/>
          <w:color w:val="333333"/>
          <w:sz w:val="21"/>
          <w:szCs w:val="21"/>
        </w:rPr>
        <w:t xml:space="preserve">, </w:t>
      </w:r>
      <w:r w:rsidR="00DA78DC" w:rsidRPr="00554984">
        <w:rPr>
          <w:rFonts w:cstheme="minorHAnsi"/>
          <w:color w:val="333333"/>
          <w:sz w:val="21"/>
          <w:szCs w:val="21"/>
        </w:rPr>
        <w:t>16a.1</w:t>
      </w:r>
      <w:r w:rsidR="009A629E" w:rsidRPr="00554984">
        <w:rPr>
          <w:rFonts w:cstheme="minorHAnsi"/>
          <w:color w:val="333333"/>
          <w:sz w:val="21"/>
          <w:szCs w:val="21"/>
        </w:rPr>
        <w:t xml:space="preserve">, </w:t>
      </w:r>
      <w:r w:rsidR="00DA78DC" w:rsidRPr="00554984">
        <w:rPr>
          <w:rFonts w:cstheme="minorHAnsi"/>
          <w:color w:val="333333"/>
          <w:sz w:val="21"/>
          <w:szCs w:val="21"/>
        </w:rPr>
        <w:t>16b.1</w:t>
      </w:r>
      <w:r w:rsidR="009A629E" w:rsidRPr="00554984">
        <w:rPr>
          <w:rFonts w:cstheme="minorHAnsi"/>
          <w:color w:val="333333"/>
          <w:sz w:val="21"/>
          <w:szCs w:val="21"/>
        </w:rPr>
        <w:t xml:space="preserve">, </w:t>
      </w:r>
      <w:r w:rsidR="00E04067" w:rsidRPr="00554984">
        <w:rPr>
          <w:rFonts w:cstheme="minorHAnsi"/>
          <w:color w:val="333333"/>
          <w:sz w:val="21"/>
          <w:szCs w:val="21"/>
        </w:rPr>
        <w:t>17.14</w:t>
      </w:r>
      <w:r w:rsidR="00132B4B" w:rsidRPr="00554984">
        <w:rPr>
          <w:rFonts w:cstheme="minorHAnsi"/>
          <w:color w:val="333333"/>
          <w:sz w:val="21"/>
          <w:szCs w:val="21"/>
        </w:rPr>
        <w:t>.1</w:t>
      </w:r>
      <w:r w:rsidR="009A629E" w:rsidRPr="00554984">
        <w:rPr>
          <w:rFonts w:cstheme="minorHAnsi"/>
          <w:color w:val="333333"/>
          <w:sz w:val="21"/>
          <w:szCs w:val="21"/>
        </w:rPr>
        <w:t xml:space="preserve">, </w:t>
      </w:r>
      <w:r w:rsidR="00E04067" w:rsidRPr="00554984">
        <w:rPr>
          <w:rFonts w:cstheme="minorHAnsi"/>
          <w:color w:val="333333"/>
          <w:sz w:val="21"/>
          <w:szCs w:val="21"/>
        </w:rPr>
        <w:t>17.17</w:t>
      </w:r>
      <w:r w:rsidR="00132B4B" w:rsidRPr="00554984">
        <w:rPr>
          <w:rFonts w:cstheme="minorHAnsi"/>
          <w:color w:val="333333"/>
          <w:sz w:val="21"/>
          <w:szCs w:val="21"/>
        </w:rPr>
        <w:t>.1</w:t>
      </w:r>
    </w:p>
    <w:p w14:paraId="077BC49E" w14:textId="61B334BF" w:rsidR="00D24330" w:rsidRPr="009F18F1" w:rsidRDefault="00D24330" w:rsidP="002608C3">
      <w:pPr>
        <w:pStyle w:val="MIndHeader"/>
        <w:rPr>
          <w:rFonts w:cstheme="minorHAnsi"/>
        </w:rPr>
      </w:pPr>
      <w:r w:rsidRPr="009F18F1">
        <w:rPr>
          <w:rFonts w:cstheme="minorHAnsi"/>
        </w:rPr>
        <w:t>0.g. International organisations(s) responsible for global monitoring</w:t>
      </w:r>
      <w:r w:rsidR="00D608D2" w:rsidRPr="00A96255">
        <w:t xml:space="preserve"> </w:t>
      </w:r>
      <w:r w:rsidR="00D608D2">
        <w:rPr>
          <w:color w:val="B4B4B4"/>
          <w:sz w:val="20"/>
        </w:rPr>
        <w:t>(SDG_CUSTODIAN_AGENCIES)</w:t>
      </w:r>
    </w:p>
    <w:p w14:paraId="7565A959" w14:textId="359331CF" w:rsidR="0042466C" w:rsidRPr="00554984" w:rsidRDefault="00217DD2" w:rsidP="002608C3">
      <w:pPr>
        <w:pStyle w:val="MGTHeader"/>
        <w:rPr>
          <w:rFonts w:cstheme="minorHAnsi"/>
          <w:lang w:val="en-US"/>
        </w:rPr>
      </w:pPr>
      <w:r w:rsidRPr="002608C3">
        <w:t>United Nations Human Settlements Programme (</w:t>
      </w:r>
      <w:r w:rsidR="0042466C" w:rsidRPr="00554984">
        <w:rPr>
          <w:rFonts w:cstheme="minorHAnsi"/>
          <w:lang w:val="en-US"/>
        </w:rPr>
        <w:t>UN-Habitat</w:t>
      </w:r>
      <w:r w:rsidRPr="00554984">
        <w:rPr>
          <w:rFonts w:cstheme="minorHAnsi"/>
          <w:lang w:val="en-US"/>
        </w:rPr>
        <w:t>)</w:t>
      </w:r>
    </w:p>
    <w:p w14:paraId="6AEAAF7C" w14:textId="74775F9F" w:rsidR="00217DD2" w:rsidRPr="00554984" w:rsidRDefault="00217DD2" w:rsidP="002608C3">
      <w:pPr>
        <w:pStyle w:val="MGTHeader"/>
        <w:rPr>
          <w:rFonts w:cstheme="minorHAnsi"/>
          <w:lang w:val="en-US"/>
        </w:rPr>
      </w:pPr>
      <w:r w:rsidRPr="00554984">
        <w:rPr>
          <w:rFonts w:cstheme="minorHAnsi"/>
          <w:lang w:val="en-US"/>
        </w:rPr>
        <w:t>United Nations Population Fund (UNFPA)</w:t>
      </w:r>
    </w:p>
    <w:p w14:paraId="1598B372" w14:textId="77777777" w:rsidR="0042466C" w:rsidRPr="00554984" w:rsidRDefault="0042466C">
      <w:pPr>
        <w:shd w:val="clear" w:color="auto" w:fill="FFFFFF"/>
        <w:spacing w:after="0"/>
        <w:rPr>
          <w:rFonts w:cstheme="minorHAnsi"/>
          <w:color w:val="4A4A4A"/>
          <w:sz w:val="21"/>
          <w:lang w:val="en-US"/>
        </w:rPr>
      </w:pPr>
    </w:p>
    <w:p w14:paraId="12E0D73A" w14:textId="1210D734" w:rsidR="00B31E2C" w:rsidRPr="00554984" w:rsidRDefault="00B31E2C">
      <w:pPr>
        <w:pStyle w:val="MHeader"/>
        <w:rPr>
          <w:rFonts w:cstheme="minorHAnsi"/>
          <w:lang w:val="en-US"/>
        </w:rPr>
      </w:pPr>
      <w:bookmarkStart w:id="0" w:name="_Toc37932744"/>
      <w:bookmarkStart w:id="1" w:name="_Toc36813072"/>
      <w:bookmarkStart w:id="2" w:name="_Toc36812685"/>
      <w:bookmarkStart w:id="3" w:name="_Toc36812572"/>
      <w:bookmarkStart w:id="4" w:name="_Toc36655609"/>
      <w:r w:rsidRPr="00554984">
        <w:rPr>
          <w:rFonts w:cstheme="minorHAnsi"/>
          <w:lang w:val="en-US"/>
        </w:rPr>
        <w:t>1. Data reporter</w:t>
      </w:r>
      <w:bookmarkEnd w:id="0"/>
      <w:bookmarkEnd w:id="1"/>
      <w:bookmarkEnd w:id="2"/>
      <w:bookmarkEnd w:id="3"/>
      <w:bookmarkEnd w:id="4"/>
      <w:r w:rsidR="00036948" w:rsidRPr="00554984">
        <w:rPr>
          <w:lang w:val="en-US"/>
        </w:rPr>
        <w:t xml:space="preserve"> </w:t>
      </w:r>
      <w:r w:rsidR="00036948" w:rsidRPr="00554984">
        <w:rPr>
          <w:color w:val="B4B4B4"/>
          <w:sz w:val="20"/>
          <w:lang w:val="en-US"/>
        </w:rPr>
        <w:t>(CONTACT)</w:t>
      </w:r>
    </w:p>
    <w:p w14:paraId="0BD77982" w14:textId="5EE14729" w:rsidR="00576CFA" w:rsidRPr="00554984" w:rsidRDefault="00576CFA" w:rsidP="002608C3">
      <w:pPr>
        <w:pStyle w:val="MHeader2"/>
        <w:rPr>
          <w:rFonts w:cstheme="minorHAnsi"/>
          <w:lang w:val="en-US"/>
        </w:rPr>
      </w:pPr>
      <w:r w:rsidRPr="00554984">
        <w:rPr>
          <w:rFonts w:cstheme="minorHAnsi"/>
          <w:lang w:val="en-US"/>
        </w:rPr>
        <w:t>1.a. Organisation</w:t>
      </w:r>
      <w:r w:rsidR="002F4D2C" w:rsidRPr="00554984">
        <w:rPr>
          <w:lang w:val="en-US"/>
        </w:rPr>
        <w:t xml:space="preserve"> </w:t>
      </w:r>
      <w:r w:rsidR="002F4D2C" w:rsidRPr="00554984">
        <w:rPr>
          <w:color w:val="B4B4B4"/>
          <w:sz w:val="20"/>
          <w:lang w:val="en-US"/>
        </w:rPr>
        <w:t>(CONTACT_ORGANISATION)</w:t>
      </w:r>
    </w:p>
    <w:p w14:paraId="3990AC79" w14:textId="6A262DFC" w:rsidR="0042466C" w:rsidRPr="00554984" w:rsidRDefault="00217DD2">
      <w:pPr>
        <w:pStyle w:val="MText"/>
        <w:rPr>
          <w:rFonts w:cstheme="minorHAnsi"/>
          <w:lang w:val="en-US"/>
        </w:rPr>
      </w:pPr>
      <w:r w:rsidRPr="002608C3">
        <w:t>United Nations Human Settlements Programme (</w:t>
      </w:r>
      <w:r w:rsidR="0042466C" w:rsidRPr="00554984">
        <w:rPr>
          <w:rFonts w:cstheme="minorHAnsi"/>
          <w:lang w:val="en-US"/>
        </w:rPr>
        <w:t>UN-Habitat</w:t>
      </w:r>
      <w:r w:rsidRPr="00554984">
        <w:rPr>
          <w:rFonts w:cstheme="minorHAnsi"/>
          <w:lang w:val="en-US"/>
        </w:rPr>
        <w:t>)</w:t>
      </w:r>
    </w:p>
    <w:p w14:paraId="6E829FD0" w14:textId="7E42EDAA" w:rsidR="00F719A8" w:rsidRPr="00554984" w:rsidRDefault="00217DD2">
      <w:pPr>
        <w:pStyle w:val="MText"/>
        <w:rPr>
          <w:rFonts w:cstheme="minorHAnsi"/>
          <w:lang w:val="en-US"/>
        </w:rPr>
      </w:pPr>
      <w:r w:rsidRPr="00554984">
        <w:rPr>
          <w:rFonts w:cstheme="minorHAnsi"/>
          <w:color w:val="333333"/>
          <w:lang w:val="en-US"/>
        </w:rPr>
        <w:t>United Nations Population Fund</w:t>
      </w:r>
      <w:r w:rsidRPr="00554984">
        <w:rPr>
          <w:rFonts w:cstheme="minorHAnsi"/>
          <w:lang w:val="en-US"/>
        </w:rPr>
        <w:t xml:space="preserve"> (</w:t>
      </w:r>
      <w:r w:rsidR="0042466C" w:rsidRPr="00554984">
        <w:rPr>
          <w:rFonts w:cstheme="minorHAnsi"/>
          <w:lang w:val="en-US"/>
        </w:rPr>
        <w:t>UNFPA</w:t>
      </w:r>
      <w:r w:rsidRPr="00554984">
        <w:rPr>
          <w:rFonts w:cstheme="minorHAnsi"/>
          <w:lang w:val="en-US"/>
        </w:rPr>
        <w:t>)</w:t>
      </w:r>
    </w:p>
    <w:p w14:paraId="41E4FD30" w14:textId="77777777" w:rsidR="000934D7" w:rsidRPr="00554984" w:rsidRDefault="000934D7">
      <w:pPr>
        <w:pStyle w:val="MText"/>
        <w:rPr>
          <w:rFonts w:cstheme="minorHAnsi"/>
          <w:lang w:val="en-US"/>
        </w:rPr>
      </w:pPr>
    </w:p>
    <w:p w14:paraId="14915AC8" w14:textId="57C727A6" w:rsidR="00B31E2C" w:rsidRPr="00554984" w:rsidRDefault="00B31E2C">
      <w:pPr>
        <w:pStyle w:val="MHeader"/>
        <w:rPr>
          <w:rFonts w:cstheme="minorHAnsi"/>
          <w:lang w:val="en-US"/>
        </w:rPr>
      </w:pPr>
      <w:r w:rsidRPr="00554984">
        <w:rPr>
          <w:rFonts w:cstheme="minorHAnsi"/>
          <w:lang w:val="en-US"/>
        </w:rPr>
        <w:t>2. Definition, concepts, and classifications</w:t>
      </w:r>
      <w:r w:rsidR="00F04B6B" w:rsidRPr="00FE5B25">
        <w:rPr>
          <w:lang w:val="en-US"/>
        </w:rPr>
        <w:t xml:space="preserve"> </w:t>
      </w:r>
      <w:r w:rsidR="00F04B6B">
        <w:rPr>
          <w:color w:val="B4B4B4"/>
          <w:sz w:val="20"/>
        </w:rPr>
        <w:t>(IND_DEF_CON_CLASS)</w:t>
      </w:r>
    </w:p>
    <w:p w14:paraId="2AC373EA" w14:textId="64F1A445" w:rsidR="008B0AC7" w:rsidRPr="009F18F1" w:rsidRDefault="008B0AC7" w:rsidP="002608C3">
      <w:pPr>
        <w:pStyle w:val="MHeader2"/>
        <w:rPr>
          <w:rFonts w:cstheme="minorHAnsi"/>
        </w:rPr>
      </w:pPr>
      <w:r w:rsidRPr="009F18F1">
        <w:rPr>
          <w:rFonts w:cstheme="minorHAnsi"/>
        </w:rPr>
        <w:t>2.a. Definition and concepts</w:t>
      </w:r>
      <w:r w:rsidR="002F71F2" w:rsidRPr="00A96255">
        <w:t xml:space="preserve"> </w:t>
      </w:r>
      <w:r w:rsidR="002F71F2">
        <w:rPr>
          <w:color w:val="B4B4B4"/>
          <w:sz w:val="20"/>
        </w:rPr>
        <w:t>(STAT_CONC_DEF)</w:t>
      </w:r>
    </w:p>
    <w:p w14:paraId="72DF9BAB" w14:textId="77777777" w:rsidR="0042466C" w:rsidRPr="002608C3" w:rsidRDefault="0042466C" w:rsidP="002608C3">
      <w:pPr>
        <w:shd w:val="clear" w:color="auto" w:fill="FFFFFF"/>
        <w:spacing w:after="0" w:line="240" w:lineRule="auto"/>
        <w:rPr>
          <w:rFonts w:ascii="Calibri" w:eastAsia="Times New Roman" w:hAnsi="Calibri" w:cs="Calibri"/>
          <w:color w:val="4A4A4A"/>
          <w:sz w:val="21"/>
          <w:szCs w:val="21"/>
          <w:lang w:val="en-US" w:eastAsia="en-US"/>
        </w:rPr>
      </w:pPr>
      <w:r w:rsidRPr="002608C3">
        <w:rPr>
          <w:rFonts w:ascii="Calibri" w:eastAsia="Times New Roman" w:hAnsi="Calibri" w:cs="Calibri"/>
          <w:b/>
          <w:color w:val="4A4A4A"/>
          <w:sz w:val="21"/>
          <w:szCs w:val="21"/>
          <w:lang w:val="en-US" w:eastAsia="en-US"/>
        </w:rPr>
        <w:t>Definition:</w:t>
      </w:r>
    </w:p>
    <w:p w14:paraId="0DFF48E6" w14:textId="10CD3597" w:rsidR="0042466C" w:rsidRPr="002608C3" w:rsidRDefault="0042466C" w:rsidP="002608C3">
      <w:pPr>
        <w:spacing w:after="0" w:line="240" w:lineRule="auto"/>
        <w:rPr>
          <w:rFonts w:ascii="Calibri" w:hAnsi="Calibri"/>
          <w:color w:val="4A4A4A"/>
          <w:sz w:val="21"/>
          <w:lang w:val="en-US"/>
        </w:rPr>
      </w:pPr>
      <w:r w:rsidRPr="002608C3">
        <w:rPr>
          <w:rFonts w:ascii="Calibri" w:hAnsi="Calibri"/>
          <w:bCs/>
          <w:i/>
          <w:color w:val="4A4A4A"/>
          <w:sz w:val="21"/>
          <w:lang w:val="en-US"/>
        </w:rPr>
        <w:t>National Urban Policies and regional development plans:</w:t>
      </w:r>
      <w:r w:rsidR="009F18F1" w:rsidRPr="002608C3">
        <w:rPr>
          <w:rFonts w:cstheme="minorHAnsi"/>
          <w:bCs/>
          <w:i/>
          <w:color w:val="4A4A4A"/>
          <w:sz w:val="21"/>
          <w:lang w:val="en-US"/>
        </w:rPr>
        <w:t xml:space="preserve"> </w:t>
      </w:r>
      <w:r w:rsidRPr="002608C3">
        <w:rPr>
          <w:rFonts w:ascii="Calibri" w:hAnsi="Calibri"/>
          <w:color w:val="4A4A4A"/>
          <w:sz w:val="21"/>
          <w:lang w:val="en-US"/>
        </w:rPr>
        <w:t xml:space="preserve">A National Urban Policy (NUP) is defined as a coherent set of decisions or principle of actions derived through a deliberate government led process of coordinating and rallying various actors for a common vision and goal that will promote more </w:t>
      </w:r>
      <w:r w:rsidRPr="002608C3">
        <w:rPr>
          <w:rFonts w:ascii="Calibri" w:hAnsi="Calibri"/>
          <w:color w:val="4A4A4A"/>
          <w:sz w:val="21"/>
          <w:lang w:val="en-US"/>
        </w:rPr>
        <w:lastRenderedPageBreak/>
        <w:t>transformative, productive, inclusive, and resilient urban development for the long term</w:t>
      </w:r>
      <w:r w:rsidR="00316E09" w:rsidRPr="002608C3">
        <w:rPr>
          <w:rFonts w:ascii="Calibri" w:hAnsi="Calibri"/>
          <w:color w:val="4A4A4A"/>
          <w:sz w:val="21"/>
          <w:lang w:val="en-US"/>
        </w:rPr>
        <w:t>.</w:t>
      </w:r>
      <w:r w:rsidRPr="002608C3">
        <w:rPr>
          <w:rFonts w:ascii="Calibri" w:hAnsi="Calibri"/>
          <w:color w:val="4A4A4A"/>
          <w:sz w:val="21"/>
          <w:vertAlign w:val="superscript"/>
          <w:lang w:val="en-US"/>
        </w:rPr>
        <w:footnoteReference w:id="2"/>
      </w:r>
      <w:r w:rsidR="009F18F1" w:rsidRPr="009F18F1">
        <w:rPr>
          <w:rFonts w:cstheme="minorHAnsi"/>
          <w:color w:val="4A4A4A"/>
          <w:sz w:val="21"/>
          <w:lang w:val="en-US"/>
        </w:rPr>
        <w:t xml:space="preserve"> </w:t>
      </w:r>
      <w:r w:rsidRPr="002608C3">
        <w:rPr>
          <w:rFonts w:ascii="Calibri" w:hAnsi="Calibri"/>
          <w:color w:val="4A4A4A"/>
          <w:sz w:val="21"/>
          <w:lang w:val="en-US"/>
        </w:rPr>
        <w:t xml:space="preserve">This standard definition is extended and adapted to country contexts and may include, where applicable terms such as National Urban </w:t>
      </w:r>
      <w:r w:rsidRPr="002608C3">
        <w:rPr>
          <w:rFonts w:ascii="Calibri" w:hAnsi="Calibri"/>
          <w:i/>
          <w:color w:val="4A4A4A"/>
          <w:sz w:val="21"/>
          <w:lang w:val="en-US"/>
        </w:rPr>
        <w:t>Plan</w:t>
      </w:r>
      <w:r w:rsidRPr="002608C3">
        <w:rPr>
          <w:rFonts w:ascii="Calibri" w:hAnsi="Calibri"/>
          <w:color w:val="4A4A4A"/>
          <w:sz w:val="21"/>
          <w:lang w:val="en-US"/>
        </w:rPr>
        <w:t xml:space="preserve">, </w:t>
      </w:r>
      <w:r w:rsidRPr="002608C3">
        <w:rPr>
          <w:rFonts w:ascii="Calibri" w:hAnsi="Calibri"/>
          <w:i/>
          <w:color w:val="4A4A4A"/>
          <w:sz w:val="21"/>
          <w:lang w:val="en-US"/>
        </w:rPr>
        <w:t>Framework</w:t>
      </w:r>
      <w:r w:rsidRPr="002608C3">
        <w:rPr>
          <w:rFonts w:ascii="Calibri" w:hAnsi="Calibri"/>
          <w:color w:val="4A4A4A"/>
          <w:sz w:val="21"/>
          <w:lang w:val="en-US"/>
        </w:rPr>
        <w:t xml:space="preserve">, or </w:t>
      </w:r>
      <w:r w:rsidRPr="002608C3">
        <w:rPr>
          <w:rFonts w:ascii="Calibri" w:hAnsi="Calibri"/>
          <w:i/>
          <w:color w:val="4A4A4A"/>
          <w:sz w:val="21"/>
          <w:lang w:val="en-US"/>
        </w:rPr>
        <w:t>Strategy</w:t>
      </w:r>
      <w:r w:rsidRPr="002608C3">
        <w:rPr>
          <w:rFonts w:ascii="Calibri" w:hAnsi="Calibri"/>
          <w:color w:val="4A4A4A"/>
          <w:sz w:val="21"/>
          <w:lang w:val="en-US"/>
        </w:rPr>
        <w:t xml:space="preserve"> as long as they are aligned with the above qualifiers.</w:t>
      </w:r>
      <w:r w:rsidR="009F18F1">
        <w:rPr>
          <w:rFonts w:cstheme="minorHAnsi"/>
          <w:color w:val="4A4A4A"/>
          <w:sz w:val="21"/>
          <w:lang w:val="en-US"/>
        </w:rPr>
        <w:t xml:space="preserve"> </w:t>
      </w:r>
      <w:r w:rsidRPr="002608C3">
        <w:rPr>
          <w:rFonts w:ascii="Calibri" w:hAnsi="Calibri"/>
          <w:color w:val="4A4A4A"/>
          <w:sz w:val="21"/>
          <w:lang w:val="en-US"/>
        </w:rPr>
        <w:t xml:space="preserve">Similarly, regional development plans </w:t>
      </w:r>
      <w:r w:rsidR="00410F04" w:rsidRPr="002608C3">
        <w:rPr>
          <w:rFonts w:ascii="Calibri" w:hAnsi="Calibri"/>
          <w:color w:val="4A4A4A"/>
          <w:sz w:val="21"/>
          <w:lang w:val="en-US"/>
        </w:rPr>
        <w:t xml:space="preserve">(RDPs) </w:t>
      </w:r>
      <w:r w:rsidRPr="002608C3">
        <w:rPr>
          <w:rFonts w:ascii="Calibri" w:hAnsi="Calibri"/>
          <w:color w:val="4A4A4A"/>
          <w:sz w:val="21"/>
          <w:lang w:val="en-US"/>
        </w:rPr>
        <w:t>follow the same definition, only applied at the subnational level.</w:t>
      </w:r>
    </w:p>
    <w:p w14:paraId="159C5A74" w14:textId="77777777" w:rsidR="0042466C" w:rsidRPr="002608C3" w:rsidRDefault="0042466C" w:rsidP="002608C3">
      <w:pPr>
        <w:shd w:val="clear" w:color="auto" w:fill="FFFFFF"/>
        <w:spacing w:after="0" w:line="240" w:lineRule="auto"/>
        <w:rPr>
          <w:rFonts w:ascii="Calibri" w:eastAsia="Times New Roman" w:hAnsi="Calibri" w:cs="Calibri"/>
          <w:color w:val="4A4A4A"/>
          <w:sz w:val="21"/>
          <w:szCs w:val="21"/>
          <w:lang w:val="en-US" w:eastAsia="en-US"/>
        </w:rPr>
      </w:pPr>
    </w:p>
    <w:p w14:paraId="7A8411A0" w14:textId="3C80384C" w:rsidR="0042466C" w:rsidRPr="002608C3" w:rsidRDefault="0042466C" w:rsidP="002608C3">
      <w:pPr>
        <w:spacing w:after="0" w:line="240" w:lineRule="auto"/>
        <w:rPr>
          <w:rFonts w:ascii="Calibri" w:hAnsi="Calibri"/>
          <w:color w:val="4A4A4A"/>
          <w:sz w:val="21"/>
          <w:lang w:val="en-US"/>
        </w:rPr>
      </w:pPr>
      <w:r w:rsidRPr="002608C3">
        <w:rPr>
          <w:rFonts w:ascii="Calibri" w:hAnsi="Calibri"/>
          <w:bCs/>
          <w:i/>
          <w:color w:val="4A4A4A"/>
          <w:sz w:val="21"/>
          <w:lang w:val="en-US"/>
        </w:rPr>
        <w:t>NUP that responds to population dynamics:</w:t>
      </w:r>
      <w:r w:rsidR="009F18F1">
        <w:rPr>
          <w:rFonts w:cstheme="minorHAnsi"/>
          <w:color w:val="4A4A4A"/>
          <w:sz w:val="21"/>
          <w:lang w:val="en-US"/>
        </w:rPr>
        <w:t xml:space="preserve"> </w:t>
      </w:r>
      <w:r w:rsidRPr="002608C3">
        <w:rPr>
          <w:rFonts w:ascii="Calibri" w:hAnsi="Calibri"/>
          <w:color w:val="4A4A4A"/>
          <w:sz w:val="21"/>
          <w:lang w:val="en-US"/>
        </w:rPr>
        <w:t>This first qualifier examines to what extent the NUP addresses issues to do with population composition, trends and projections in achieving development goals and targets.</w:t>
      </w:r>
    </w:p>
    <w:p w14:paraId="37A51B44" w14:textId="1DFC7D06"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i/>
          <w:color w:val="4A4A4A"/>
          <w:sz w:val="21"/>
          <w:lang w:val="en-US"/>
        </w:rPr>
        <w:t xml:space="preserve">Population composition </w:t>
      </w:r>
      <w:r w:rsidRPr="002608C3">
        <w:rPr>
          <w:rFonts w:ascii="Calibri" w:hAnsi="Calibri"/>
          <w:color w:val="4A4A4A"/>
          <w:sz w:val="21"/>
          <w:lang w:val="en-US"/>
        </w:rPr>
        <w:t>includes size, geographic distribution and density, household size and composition, mobility and migration, age and sex distribution and disaggregation, as specified in SDG target 17.18</w:t>
      </w:r>
    </w:p>
    <w:p w14:paraId="5413C828" w14:textId="2D9DF2D0"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i/>
          <w:color w:val="4A4A4A"/>
          <w:sz w:val="21"/>
          <w:lang w:val="en-US"/>
        </w:rPr>
        <w:t xml:space="preserve">Trends </w:t>
      </w:r>
      <w:r w:rsidRPr="002608C3">
        <w:rPr>
          <w:rFonts w:ascii="Calibri" w:hAnsi="Calibri"/>
          <w:color w:val="4A4A4A"/>
          <w:sz w:val="21"/>
          <w:lang w:val="en-US"/>
        </w:rPr>
        <w:t>are changes in composition of the population over time</w:t>
      </w:r>
    </w:p>
    <w:p w14:paraId="15F2992D" w14:textId="77777777"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i/>
          <w:color w:val="4A4A4A"/>
          <w:sz w:val="21"/>
          <w:lang w:val="en-US"/>
        </w:rPr>
        <w:t xml:space="preserve">Projections </w:t>
      </w:r>
      <w:r w:rsidRPr="002608C3">
        <w:rPr>
          <w:rFonts w:ascii="Calibri" w:hAnsi="Calibri"/>
          <w:color w:val="4A4A4A"/>
          <w:sz w:val="21"/>
          <w:lang w:val="en-US"/>
        </w:rPr>
        <w:t>are expected changes over time that the NUP needs to ensure that they are well addressed.</w:t>
      </w:r>
    </w:p>
    <w:p w14:paraId="16EB0361" w14:textId="77777777" w:rsidR="0042466C" w:rsidRPr="002608C3" w:rsidRDefault="0042466C" w:rsidP="002608C3">
      <w:pPr>
        <w:spacing w:after="0" w:line="240" w:lineRule="auto"/>
        <w:rPr>
          <w:rFonts w:ascii="Calibri" w:hAnsi="Calibri"/>
          <w:color w:val="4A4A4A"/>
          <w:sz w:val="21"/>
          <w:lang w:val="en-US"/>
        </w:rPr>
      </w:pPr>
    </w:p>
    <w:p w14:paraId="50ED6446" w14:textId="1F78DCD2"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Key questions for the assessment:</w:t>
      </w:r>
    </w:p>
    <w:p w14:paraId="3E2CA892" w14:textId="6289AE66"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To what extent are quality and timely data on urban and rural population composition, trends and projections available for use in the development, implementation and monitoring of NUP or RDPs?</w:t>
      </w:r>
    </w:p>
    <w:p w14:paraId="524BCC65" w14:textId="56F46F25"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To what extent do the strategies/interventions of the NUP and/or RDPs refer to population composition, trends and projections over the timeframe of the plan?</w:t>
      </w:r>
    </w:p>
    <w:p w14:paraId="40ED12FC" w14:textId="77777777" w:rsidR="0042466C" w:rsidRPr="002608C3" w:rsidRDefault="0042466C" w:rsidP="002608C3">
      <w:pPr>
        <w:spacing w:after="0" w:line="240" w:lineRule="auto"/>
        <w:ind w:left="360"/>
        <w:rPr>
          <w:rFonts w:ascii="Calibri" w:hAnsi="Calibri"/>
          <w:color w:val="4A4A4A"/>
          <w:sz w:val="21"/>
          <w:lang w:val="en-US"/>
        </w:rPr>
      </w:pPr>
    </w:p>
    <w:p w14:paraId="70369BBE" w14:textId="2E8E54E4" w:rsidR="0042466C" w:rsidRPr="002608C3" w:rsidRDefault="00E7470E" w:rsidP="002608C3">
      <w:pPr>
        <w:spacing w:after="0" w:line="240" w:lineRule="auto"/>
        <w:rPr>
          <w:rFonts w:ascii="Calibri" w:hAnsi="Calibri"/>
          <w:color w:val="4A4A4A"/>
          <w:sz w:val="21"/>
          <w:lang w:val="en-US"/>
        </w:rPr>
      </w:pPr>
      <w:r w:rsidRPr="002608C3">
        <w:rPr>
          <w:rFonts w:ascii="Calibri" w:hAnsi="Calibri"/>
          <w:bCs/>
          <w:i/>
          <w:color w:val="4A4A4A"/>
          <w:sz w:val="21"/>
          <w:lang w:val="en-US"/>
        </w:rPr>
        <w:t>NUP that e</w:t>
      </w:r>
      <w:r w:rsidR="0042466C" w:rsidRPr="002608C3">
        <w:rPr>
          <w:rFonts w:ascii="Calibri" w:hAnsi="Calibri"/>
          <w:bCs/>
          <w:i/>
          <w:color w:val="4A4A4A"/>
          <w:sz w:val="21"/>
          <w:lang w:val="en-US"/>
        </w:rPr>
        <w:t>nsure</w:t>
      </w:r>
      <w:r w:rsidRPr="002608C3">
        <w:rPr>
          <w:rFonts w:ascii="Calibri" w:hAnsi="Calibri"/>
          <w:bCs/>
          <w:i/>
          <w:color w:val="4A4A4A"/>
          <w:sz w:val="21"/>
          <w:lang w:val="en-US"/>
        </w:rPr>
        <w:t>s</w:t>
      </w:r>
      <w:r w:rsidR="0042466C" w:rsidRPr="002608C3">
        <w:rPr>
          <w:rFonts w:ascii="Calibri" w:hAnsi="Calibri"/>
          <w:bCs/>
          <w:i/>
          <w:color w:val="4A4A4A"/>
          <w:sz w:val="21"/>
          <w:lang w:val="en-US"/>
        </w:rPr>
        <w:t xml:space="preserve"> balanced territorial development:</w:t>
      </w:r>
      <w:r w:rsidR="009F18F1">
        <w:rPr>
          <w:rFonts w:cstheme="minorHAnsi"/>
          <w:color w:val="4A4A4A"/>
          <w:sz w:val="21"/>
          <w:lang w:val="en-US"/>
        </w:rPr>
        <w:t xml:space="preserve"> </w:t>
      </w:r>
      <w:r w:rsidR="0042466C" w:rsidRPr="002608C3">
        <w:rPr>
          <w:rFonts w:ascii="Calibri" w:hAnsi="Calibri"/>
          <w:color w:val="4A4A4A"/>
          <w:sz w:val="21"/>
          <w:lang w:val="en-US"/>
        </w:rPr>
        <w:t>This second qualifier entails the promotion of a spatially coherent territory that includes a balanced system of human settlements including cities and towns and including urban corridors; that addresses social, economic, environmental and spatial disparities particularly considering the urban-rural continuum.</w:t>
      </w:r>
    </w:p>
    <w:p w14:paraId="7A01C740" w14:textId="77777777" w:rsidR="0042466C" w:rsidRPr="002608C3" w:rsidRDefault="0042466C" w:rsidP="002608C3">
      <w:pPr>
        <w:spacing w:after="0" w:line="240" w:lineRule="auto"/>
        <w:rPr>
          <w:rFonts w:ascii="Calibri" w:hAnsi="Calibri"/>
          <w:color w:val="4A4A4A"/>
          <w:sz w:val="21"/>
          <w:lang w:val="en-US"/>
        </w:rPr>
      </w:pPr>
    </w:p>
    <w:p w14:paraId="3145CC93" w14:textId="255B7018"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Key questions for the assessment:</w:t>
      </w:r>
    </w:p>
    <w:p w14:paraId="5DC5F3A6" w14:textId="42F66E00"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 xml:space="preserve">To what extent does the </w:t>
      </w:r>
      <w:r w:rsidR="00410F04" w:rsidRPr="002608C3">
        <w:rPr>
          <w:rFonts w:ascii="Calibri" w:hAnsi="Calibri"/>
          <w:color w:val="4A4A4A"/>
          <w:sz w:val="21"/>
          <w:lang w:val="en-US"/>
        </w:rPr>
        <w:t>NUP</w:t>
      </w:r>
      <w:r w:rsidRPr="002608C3">
        <w:rPr>
          <w:rFonts w:ascii="Calibri" w:hAnsi="Calibri"/>
          <w:color w:val="4A4A4A"/>
          <w:sz w:val="21"/>
          <w:lang w:val="en-US"/>
        </w:rPr>
        <w:t xml:space="preserve"> consider the need for balanced development of the territory as a whole including the differentiated yet equivalent development of all types of settlements including villages, cities and towns, including urban corridors?</w:t>
      </w:r>
    </w:p>
    <w:p w14:paraId="0E2115C1" w14:textId="02E6BC70"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To what extent are the linkages – social, economic, environmental and spatial – between urban, peri-urban and rural areas consider</w:t>
      </w:r>
      <w:r w:rsidR="00586ED8">
        <w:rPr>
          <w:rFonts w:cstheme="minorHAnsi"/>
          <w:color w:val="4A4A4A"/>
          <w:sz w:val="21"/>
          <w:lang w:val="en-US"/>
        </w:rPr>
        <w:t>ed</w:t>
      </w:r>
      <w:r w:rsidRPr="002608C3">
        <w:rPr>
          <w:rFonts w:ascii="Calibri" w:hAnsi="Calibri"/>
          <w:color w:val="4A4A4A"/>
          <w:sz w:val="21"/>
          <w:lang w:val="en-US"/>
        </w:rPr>
        <w:t xml:space="preserve"> with the ultimate goal of strengthening the urban-rural continuum?</w:t>
      </w:r>
    </w:p>
    <w:p w14:paraId="264C368D" w14:textId="77777777" w:rsidR="0042466C" w:rsidRPr="002608C3" w:rsidRDefault="0042466C" w:rsidP="002608C3">
      <w:pPr>
        <w:spacing w:after="0" w:line="240" w:lineRule="auto"/>
        <w:ind w:left="360"/>
        <w:rPr>
          <w:rFonts w:ascii="Calibri" w:hAnsi="Calibri"/>
          <w:color w:val="4A4A4A"/>
          <w:sz w:val="21"/>
          <w:lang w:val="en-US"/>
        </w:rPr>
      </w:pPr>
    </w:p>
    <w:p w14:paraId="1E305116" w14:textId="67C98EB6" w:rsidR="0042466C" w:rsidRPr="002608C3" w:rsidRDefault="0042466C" w:rsidP="002608C3">
      <w:pPr>
        <w:spacing w:after="0" w:line="240" w:lineRule="auto"/>
        <w:rPr>
          <w:rFonts w:ascii="Calibri" w:hAnsi="Calibri"/>
          <w:color w:val="4A4A4A"/>
          <w:sz w:val="21"/>
          <w:lang w:val="en-US"/>
        </w:rPr>
      </w:pPr>
      <w:r w:rsidRPr="002608C3">
        <w:rPr>
          <w:rFonts w:ascii="Calibri" w:hAnsi="Calibri"/>
          <w:bCs/>
          <w:i/>
          <w:color w:val="4A4A4A"/>
          <w:sz w:val="21"/>
          <w:lang w:val="en-US"/>
        </w:rPr>
        <w:t>Increase local fiscal space:</w:t>
      </w:r>
      <w:r w:rsidR="009F18F1">
        <w:rPr>
          <w:rFonts w:cstheme="minorHAnsi"/>
          <w:color w:val="4A4A4A"/>
          <w:sz w:val="21"/>
          <w:lang w:val="en-US"/>
        </w:rPr>
        <w:t xml:space="preserve"> </w:t>
      </w:r>
      <w:r w:rsidRPr="002608C3">
        <w:rPr>
          <w:rFonts w:ascii="Calibri" w:hAnsi="Calibri"/>
          <w:color w:val="4A4A4A"/>
          <w:sz w:val="21"/>
          <w:lang w:val="en-US"/>
        </w:rPr>
        <w:t>Local fiscal space is understood as the sum of financial resources available for improved delivery of basic social and economic services at the local level as a result of the budget and related decisions by governments at all levels without any prejudice to the sustainability of a government’s financial position.</w:t>
      </w:r>
    </w:p>
    <w:p w14:paraId="3EA37B61" w14:textId="77777777" w:rsidR="0042466C" w:rsidRPr="002608C3" w:rsidRDefault="0042466C" w:rsidP="002608C3">
      <w:pPr>
        <w:spacing w:after="0" w:line="240" w:lineRule="auto"/>
        <w:rPr>
          <w:rFonts w:ascii="Calibri" w:hAnsi="Calibri"/>
          <w:color w:val="4A4A4A"/>
          <w:sz w:val="21"/>
          <w:lang w:val="en-US"/>
        </w:rPr>
      </w:pPr>
    </w:p>
    <w:p w14:paraId="20C10F88" w14:textId="3A74CA7D"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Key questions for the assessment:</w:t>
      </w:r>
    </w:p>
    <w:p w14:paraId="297D9F56" w14:textId="2D88E63E"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To what extent has the policy made allowance for the provision of local financial resources to provide for the implementation of the policy and for the delivery of essential basic social and economic services</w:t>
      </w:r>
      <w:r w:rsidR="00A30EF9" w:rsidRPr="002608C3">
        <w:rPr>
          <w:rFonts w:ascii="Calibri" w:hAnsi="Calibri"/>
          <w:color w:val="4A4A4A"/>
          <w:sz w:val="21"/>
          <w:lang w:val="en-US"/>
        </w:rPr>
        <w:t>?</w:t>
      </w:r>
    </w:p>
    <w:p w14:paraId="5356724B" w14:textId="77F5A147" w:rsidR="0042466C" w:rsidRPr="002608C3" w:rsidRDefault="0042466C" w:rsidP="002608C3">
      <w:pPr>
        <w:numPr>
          <w:ilvl w:val="0"/>
          <w:numId w:val="5"/>
        </w:numPr>
        <w:spacing w:after="0" w:line="240" w:lineRule="auto"/>
        <w:rPr>
          <w:rFonts w:ascii="Calibri" w:hAnsi="Calibri"/>
          <w:color w:val="4A4A4A"/>
          <w:sz w:val="21"/>
          <w:lang w:val="en-US"/>
        </w:rPr>
      </w:pPr>
      <w:r w:rsidRPr="002608C3">
        <w:rPr>
          <w:rFonts w:ascii="Calibri" w:hAnsi="Calibri"/>
          <w:color w:val="4A4A4A"/>
          <w:sz w:val="21"/>
          <w:lang w:val="en-US"/>
        </w:rPr>
        <w:t>To what extent has the policy assessed the status of human capacities required to effectively use financial resources for the implementation of the policy and the delivery of essential basic social and economic services?</w:t>
      </w:r>
    </w:p>
    <w:p w14:paraId="366B8F19" w14:textId="77777777" w:rsidR="0042466C" w:rsidRPr="002608C3" w:rsidRDefault="0042466C" w:rsidP="002608C3">
      <w:pPr>
        <w:spacing w:after="0" w:line="240" w:lineRule="auto"/>
        <w:ind w:left="360"/>
        <w:rPr>
          <w:rFonts w:ascii="Calibri" w:hAnsi="Calibri"/>
          <w:color w:val="4A4A4A"/>
          <w:sz w:val="21"/>
          <w:lang w:val="en-US"/>
        </w:rPr>
      </w:pPr>
    </w:p>
    <w:p w14:paraId="39637EB4" w14:textId="38D48EDA" w:rsidR="0042466C" w:rsidRPr="002608C3" w:rsidRDefault="0042466C" w:rsidP="002608C3">
      <w:pPr>
        <w:spacing w:after="0" w:line="240" w:lineRule="auto"/>
        <w:rPr>
          <w:rFonts w:ascii="Calibri" w:hAnsi="Calibri"/>
          <w:color w:val="4A4A4A"/>
          <w:sz w:val="21"/>
          <w:lang w:val="en-US"/>
        </w:rPr>
      </w:pPr>
      <w:r w:rsidRPr="002608C3">
        <w:rPr>
          <w:rFonts w:ascii="Calibri" w:hAnsi="Calibri"/>
          <w:bCs/>
          <w:i/>
          <w:color w:val="4A4A4A"/>
          <w:sz w:val="21"/>
          <w:lang w:val="en-US"/>
        </w:rPr>
        <w:t>Developing:</w:t>
      </w:r>
      <w:r w:rsidR="009F18F1">
        <w:rPr>
          <w:rFonts w:cstheme="minorHAnsi"/>
          <w:color w:val="4A4A4A"/>
          <w:sz w:val="21"/>
          <w:lang w:val="en-US"/>
        </w:rPr>
        <w:t xml:space="preserve"> </w:t>
      </w:r>
      <w:r w:rsidRPr="002608C3">
        <w:rPr>
          <w:rFonts w:ascii="Calibri" w:hAnsi="Calibri"/>
          <w:color w:val="4A4A4A"/>
          <w:sz w:val="21"/>
          <w:lang w:val="en-US"/>
        </w:rPr>
        <w:t>Developing refers to the policy development pathways and processes that consider the feasibility</w:t>
      </w:r>
      <w:r w:rsidR="00586ED8">
        <w:rPr>
          <w:rFonts w:cstheme="minorHAnsi"/>
          <w:color w:val="4A4A4A"/>
          <w:sz w:val="21"/>
          <w:lang w:val="en-US"/>
        </w:rPr>
        <w:t xml:space="preserve"> and</w:t>
      </w:r>
      <w:r w:rsidRPr="002608C3">
        <w:rPr>
          <w:rFonts w:ascii="Calibri" w:hAnsi="Calibri"/>
          <w:color w:val="4A4A4A"/>
          <w:sz w:val="21"/>
          <w:lang w:val="en-US"/>
        </w:rPr>
        <w:t xml:space="preserve"> diagnosis of policy problems and opportunities, the formulation/drafting of the policy until the approval of the policy</w:t>
      </w:r>
      <w:r w:rsidR="00A30EF9" w:rsidRPr="002608C3">
        <w:rPr>
          <w:rFonts w:ascii="Calibri" w:hAnsi="Calibri"/>
          <w:color w:val="4A4A4A"/>
          <w:sz w:val="21"/>
          <w:lang w:val="en-US"/>
        </w:rPr>
        <w:t>.</w:t>
      </w:r>
    </w:p>
    <w:p w14:paraId="390086F3" w14:textId="77777777" w:rsidR="0042466C" w:rsidRPr="002608C3" w:rsidRDefault="0042466C" w:rsidP="002608C3">
      <w:pPr>
        <w:spacing w:after="0" w:line="240" w:lineRule="auto"/>
        <w:ind w:left="720"/>
        <w:rPr>
          <w:rFonts w:ascii="Calibri" w:hAnsi="Calibri"/>
          <w:color w:val="4A4A4A"/>
          <w:sz w:val="21"/>
          <w:lang w:val="en-US"/>
        </w:rPr>
      </w:pPr>
    </w:p>
    <w:p w14:paraId="67557DE0" w14:textId="5C20DE7B" w:rsidR="0042466C" w:rsidRPr="002608C3" w:rsidRDefault="0042466C" w:rsidP="002608C3">
      <w:pPr>
        <w:spacing w:after="0" w:line="240" w:lineRule="auto"/>
        <w:rPr>
          <w:rFonts w:ascii="Calibri" w:hAnsi="Calibri"/>
          <w:color w:val="4A4A4A"/>
          <w:sz w:val="21"/>
          <w:lang w:val="en-US"/>
        </w:rPr>
      </w:pPr>
      <w:r w:rsidRPr="002608C3">
        <w:rPr>
          <w:rFonts w:ascii="Calibri" w:hAnsi="Calibri"/>
          <w:bCs/>
          <w:i/>
          <w:color w:val="4A4A4A"/>
          <w:sz w:val="21"/>
          <w:lang w:val="en-US"/>
        </w:rPr>
        <w:lastRenderedPageBreak/>
        <w:t>Implementing:</w:t>
      </w:r>
      <w:r w:rsidR="009F18F1">
        <w:rPr>
          <w:rFonts w:cstheme="minorHAnsi"/>
          <w:color w:val="4A4A4A"/>
          <w:sz w:val="21"/>
          <w:lang w:val="en-US"/>
        </w:rPr>
        <w:t xml:space="preserve"> </w:t>
      </w:r>
      <w:r w:rsidRPr="002608C3">
        <w:rPr>
          <w:rFonts w:ascii="Calibri" w:hAnsi="Calibri"/>
          <w:color w:val="4A4A4A"/>
          <w:sz w:val="21"/>
          <w:lang w:val="en-US"/>
        </w:rPr>
        <w:t>Implementation refers to the realization of the policy proposal through legislative or financial action/commitments, including the continued monitoring and evaluation of that policy</w:t>
      </w:r>
      <w:r w:rsidR="00A30EF9" w:rsidRPr="002608C3">
        <w:rPr>
          <w:rFonts w:ascii="Calibri" w:hAnsi="Calibri"/>
          <w:color w:val="4A4A4A"/>
          <w:sz w:val="21"/>
          <w:lang w:val="en-US"/>
        </w:rPr>
        <w:t>.</w:t>
      </w:r>
    </w:p>
    <w:p w14:paraId="55CAE047" w14:textId="77777777" w:rsidR="0042466C" w:rsidRPr="002608C3" w:rsidRDefault="0042466C" w:rsidP="002608C3">
      <w:pPr>
        <w:shd w:val="clear" w:color="auto" w:fill="FFFFFF"/>
        <w:spacing w:after="0" w:line="240" w:lineRule="auto"/>
        <w:rPr>
          <w:rFonts w:ascii="Calibri" w:eastAsia="Times New Roman" w:hAnsi="Calibri" w:cs="Calibri"/>
          <w:color w:val="4A4A4A"/>
          <w:sz w:val="21"/>
          <w:szCs w:val="21"/>
          <w:lang w:val="en-US" w:eastAsia="en-US"/>
        </w:rPr>
      </w:pPr>
    </w:p>
    <w:p w14:paraId="727F06D3" w14:textId="77777777" w:rsidR="0042466C" w:rsidRPr="002608C3" w:rsidRDefault="0042466C" w:rsidP="002608C3">
      <w:pPr>
        <w:shd w:val="clear" w:color="auto" w:fill="FFFFFF"/>
        <w:spacing w:after="0" w:line="240" w:lineRule="auto"/>
        <w:rPr>
          <w:rFonts w:ascii="Calibri" w:eastAsia="Times New Roman" w:hAnsi="Calibri" w:cs="Calibri"/>
          <w:color w:val="4A4A4A"/>
          <w:sz w:val="21"/>
          <w:szCs w:val="21"/>
          <w:lang w:val="en-US" w:eastAsia="en-US"/>
        </w:rPr>
      </w:pPr>
      <w:r w:rsidRPr="002608C3">
        <w:rPr>
          <w:rFonts w:ascii="Calibri" w:eastAsia="Times New Roman" w:hAnsi="Calibri" w:cs="Calibri"/>
          <w:b/>
          <w:color w:val="4A4A4A"/>
          <w:sz w:val="21"/>
          <w:szCs w:val="21"/>
          <w:lang w:val="en-US" w:eastAsia="en-US"/>
        </w:rPr>
        <w:t>Concepts:</w:t>
      </w:r>
    </w:p>
    <w:p w14:paraId="0E35D0FB" w14:textId="3E97AF9C"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Introducing NUP</w:t>
      </w:r>
      <w:r w:rsidR="0026437F" w:rsidRPr="002608C3">
        <w:rPr>
          <w:rFonts w:ascii="Calibri" w:hAnsi="Calibri"/>
          <w:color w:val="4A4A4A"/>
          <w:sz w:val="21"/>
          <w:lang w:val="en-US"/>
        </w:rPr>
        <w:t>:</w:t>
      </w:r>
      <w:r w:rsidRPr="002608C3">
        <w:rPr>
          <w:rFonts w:ascii="Calibri" w:hAnsi="Calibri"/>
          <w:color w:val="4A4A4A"/>
          <w:sz w:val="21"/>
          <w:lang w:val="en-US"/>
        </w:rPr>
        <w:t xml:space="preserve"> an appropriate framework to achieve target 11.a and more broadly a recognized tool of implementation and monitoring of global urban agendas – along with </w:t>
      </w:r>
      <w:r w:rsidR="00410F04" w:rsidRPr="002608C3">
        <w:rPr>
          <w:rFonts w:ascii="Calibri" w:hAnsi="Calibri"/>
          <w:color w:val="4A4A4A"/>
          <w:sz w:val="21"/>
          <w:lang w:val="en-US"/>
        </w:rPr>
        <w:t>RDPs</w:t>
      </w:r>
      <w:r w:rsidRPr="002608C3">
        <w:rPr>
          <w:rFonts w:ascii="Calibri" w:hAnsi="Calibri"/>
          <w:color w:val="4A4A4A"/>
          <w:sz w:val="21"/>
          <w:lang w:val="en-US"/>
        </w:rPr>
        <w:t>, and adding three measurable qualifiers as requirements for successful plans and policies, makes indicator 11.a.1 not only a more adequate, measurable and implementable process indicator for target 11.a.1, but also will serve more broadly the progress of SDGs and the new urban agenda.</w:t>
      </w:r>
    </w:p>
    <w:p w14:paraId="419ED845" w14:textId="77777777" w:rsidR="0042466C" w:rsidRPr="002608C3" w:rsidRDefault="0042466C" w:rsidP="002608C3">
      <w:pPr>
        <w:spacing w:after="0" w:line="240" w:lineRule="auto"/>
        <w:rPr>
          <w:rFonts w:ascii="Calibri" w:hAnsi="Calibri"/>
          <w:color w:val="4A4A4A"/>
          <w:sz w:val="21"/>
          <w:lang w:val="en-US"/>
        </w:rPr>
      </w:pPr>
    </w:p>
    <w:p w14:paraId="05DB938E" w14:textId="5C38D8D3"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This revised indicator is indeed suitable for all countries and regions, and lends itself to regional analyses, as well as other forms of aggregation and disaggregation, according to development level, for example. It is also applicable at multiple territorial levels.</w:t>
      </w:r>
    </w:p>
    <w:p w14:paraId="53B862CF" w14:textId="77777777" w:rsidR="0042466C" w:rsidRPr="002608C3" w:rsidRDefault="0042466C" w:rsidP="002608C3">
      <w:pPr>
        <w:spacing w:after="0" w:line="240" w:lineRule="auto"/>
        <w:rPr>
          <w:rFonts w:ascii="Calibri" w:hAnsi="Calibri"/>
          <w:color w:val="4A4A4A"/>
          <w:sz w:val="21"/>
          <w:lang w:val="en-US"/>
        </w:rPr>
      </w:pPr>
    </w:p>
    <w:p w14:paraId="63B39030" w14:textId="77777777" w:rsidR="0042466C" w:rsidRPr="002608C3" w:rsidRDefault="0042466C"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Moreover, monitoring this indicator will help more broadly with NUP monitoring and help increase awareness, capacity and knowledge of best practices for sustainable urban policy in the process. Also, due to the multidisciplinary dimension of NUPs and their role in global agendas, the enhanced data collection and analysis capacity that would be permitted by this indicator revision would participate in guiding the necessary steps to create a more enabling urban policy environment to support SDG 11 and urban dimensions of other SDGs. NUP monitoring according to SDGs would for instance serve as a gap analysis to help formulate tailored recommendations and identify best practices.</w:t>
      </w:r>
    </w:p>
    <w:p w14:paraId="6E54D3D6" w14:textId="77777777" w:rsidR="00EC2915" w:rsidRPr="009F18F1" w:rsidRDefault="00EC2915">
      <w:pPr>
        <w:pStyle w:val="MText"/>
        <w:rPr>
          <w:rFonts w:cstheme="minorHAnsi"/>
        </w:rPr>
      </w:pPr>
    </w:p>
    <w:p w14:paraId="7932F8BD" w14:textId="5F7FFAA3" w:rsidR="008B0AC7" w:rsidRPr="009F18F1" w:rsidRDefault="00576CFA" w:rsidP="002608C3">
      <w:pPr>
        <w:pStyle w:val="MHeader2"/>
        <w:rPr>
          <w:rFonts w:cstheme="minorHAnsi"/>
        </w:rPr>
      </w:pPr>
      <w:r w:rsidRPr="009F18F1">
        <w:rPr>
          <w:rFonts w:cstheme="minorHAnsi"/>
        </w:rPr>
        <w:t>2.b.</w:t>
      </w:r>
      <w:r w:rsidR="008B0AC7" w:rsidRPr="009F18F1">
        <w:rPr>
          <w:rFonts w:cstheme="minorHAnsi"/>
        </w:rPr>
        <w:t xml:space="preserve"> Unit of measure</w:t>
      </w:r>
      <w:r w:rsidR="00714387" w:rsidRPr="00A96255">
        <w:t xml:space="preserve"> </w:t>
      </w:r>
      <w:r w:rsidR="00714387">
        <w:rPr>
          <w:color w:val="B4B4B4"/>
          <w:sz w:val="20"/>
        </w:rPr>
        <w:t>(UNIT_MEASURE)</w:t>
      </w:r>
    </w:p>
    <w:p w14:paraId="548E9AAA" w14:textId="34F672D3" w:rsidR="00EC2915" w:rsidRPr="009F18F1" w:rsidRDefault="00545BC6">
      <w:pPr>
        <w:pStyle w:val="MText"/>
        <w:rPr>
          <w:rFonts w:cstheme="minorHAnsi"/>
        </w:rPr>
      </w:pPr>
      <w:r w:rsidRPr="009F18F1">
        <w:rPr>
          <w:rFonts w:cstheme="minorHAnsi"/>
        </w:rPr>
        <w:t>Number (of countries)</w:t>
      </w:r>
    </w:p>
    <w:p w14:paraId="6D9FE5DC" w14:textId="77777777" w:rsidR="002044B0" w:rsidRPr="009F18F1" w:rsidRDefault="002044B0">
      <w:pPr>
        <w:pStyle w:val="MText"/>
        <w:rPr>
          <w:rFonts w:cstheme="minorHAnsi"/>
        </w:rPr>
      </w:pPr>
    </w:p>
    <w:p w14:paraId="651AA7AC" w14:textId="3A821838" w:rsidR="00DA615C" w:rsidRPr="009F18F1" w:rsidRDefault="008B0AC7" w:rsidP="002608C3">
      <w:pPr>
        <w:pStyle w:val="MHeader2"/>
        <w:rPr>
          <w:rFonts w:cstheme="minorHAnsi"/>
        </w:rPr>
      </w:pPr>
      <w:r w:rsidRPr="009F18F1">
        <w:rPr>
          <w:rFonts w:cstheme="minorHAnsi"/>
        </w:rPr>
        <w:t>2.c. Classifications</w:t>
      </w:r>
      <w:r w:rsidR="00596158" w:rsidRPr="00A96255">
        <w:t xml:space="preserve"> </w:t>
      </w:r>
      <w:r w:rsidR="00596158">
        <w:rPr>
          <w:color w:val="B4B4B4"/>
          <w:sz w:val="20"/>
        </w:rPr>
        <w:t>(CLASS_SYSTEM)</w:t>
      </w:r>
    </w:p>
    <w:p w14:paraId="571C0389" w14:textId="320C7AF0" w:rsidR="0026437F" w:rsidRDefault="003A42B6">
      <w:pPr>
        <w:pStyle w:val="MText"/>
        <w:rPr>
          <w:rFonts w:cstheme="minorHAnsi"/>
        </w:rPr>
      </w:pPr>
      <w:r>
        <w:rPr>
          <w:rFonts w:cstheme="minorHAnsi"/>
        </w:rPr>
        <w:t>Not applicable</w:t>
      </w:r>
    </w:p>
    <w:p w14:paraId="301DD9D4" w14:textId="77777777" w:rsidR="00F61B3C" w:rsidRPr="009F18F1" w:rsidRDefault="00F61B3C">
      <w:pPr>
        <w:pStyle w:val="MText"/>
        <w:rPr>
          <w:rFonts w:cstheme="minorHAnsi"/>
        </w:rPr>
      </w:pPr>
    </w:p>
    <w:p w14:paraId="1D3AEECA" w14:textId="247A4795" w:rsidR="00B31E2C" w:rsidRPr="009F18F1" w:rsidRDefault="00B31E2C">
      <w:pPr>
        <w:pStyle w:val="MHeader"/>
        <w:rPr>
          <w:rFonts w:cstheme="minorHAnsi"/>
        </w:rPr>
      </w:pPr>
      <w:r w:rsidRPr="009F18F1">
        <w:rPr>
          <w:rFonts w:cstheme="minorHAnsi"/>
        </w:rPr>
        <w:t>3. Data source type and data collection method</w:t>
      </w:r>
      <w:r w:rsidR="00D0074E" w:rsidRPr="00F719A8">
        <w:t xml:space="preserve"> </w:t>
      </w:r>
      <w:r w:rsidR="00D0074E">
        <w:rPr>
          <w:color w:val="B4B4B4"/>
          <w:sz w:val="20"/>
        </w:rPr>
        <w:t>(SRC_TYPE_COLL_METHOD)</w:t>
      </w:r>
    </w:p>
    <w:p w14:paraId="340B050E" w14:textId="2D0FE673" w:rsidR="008B0AC7" w:rsidRPr="009F18F1" w:rsidRDefault="008B0AC7" w:rsidP="002608C3">
      <w:pPr>
        <w:pStyle w:val="MHeader2"/>
        <w:rPr>
          <w:rFonts w:cstheme="minorHAnsi"/>
        </w:rPr>
      </w:pPr>
      <w:r w:rsidRPr="009F18F1">
        <w:rPr>
          <w:rFonts w:cstheme="minorHAnsi"/>
        </w:rPr>
        <w:t>3.a. Data sources</w:t>
      </w:r>
      <w:r w:rsidR="00EA592E" w:rsidRPr="00A96255">
        <w:t xml:space="preserve"> </w:t>
      </w:r>
      <w:r w:rsidR="00EA592E">
        <w:rPr>
          <w:color w:val="B4B4B4"/>
          <w:sz w:val="20"/>
        </w:rPr>
        <w:t>(SOURCE_TYPE)</w:t>
      </w:r>
    </w:p>
    <w:p w14:paraId="6365C398" w14:textId="1B39E24F"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 xml:space="preserve">The primary source of data is the official documents of </w:t>
      </w:r>
      <w:r w:rsidR="00410F04" w:rsidRPr="002608C3">
        <w:rPr>
          <w:rFonts w:ascii="Calibri" w:hAnsi="Calibri"/>
          <w:color w:val="4A4A4A"/>
          <w:sz w:val="21"/>
          <w:lang w:val="en-US"/>
        </w:rPr>
        <w:t>NUP</w:t>
      </w:r>
      <w:r w:rsidR="00825466" w:rsidRPr="002608C3">
        <w:rPr>
          <w:rFonts w:ascii="Calibri" w:hAnsi="Calibri"/>
          <w:color w:val="4A4A4A"/>
          <w:sz w:val="21"/>
          <w:lang w:val="en-US"/>
        </w:rPr>
        <w:t>s</w:t>
      </w:r>
      <w:r w:rsidRPr="002608C3">
        <w:rPr>
          <w:rFonts w:ascii="Calibri" w:hAnsi="Calibri"/>
          <w:color w:val="4A4A4A"/>
          <w:sz w:val="21"/>
          <w:lang w:val="en-US"/>
        </w:rPr>
        <w:t xml:space="preserve"> and </w:t>
      </w:r>
      <w:r w:rsidR="00825466" w:rsidRPr="002608C3">
        <w:rPr>
          <w:rFonts w:ascii="Calibri" w:hAnsi="Calibri"/>
          <w:color w:val="4A4A4A"/>
          <w:sz w:val="21"/>
          <w:lang w:val="en-US"/>
        </w:rPr>
        <w:t>RDPs</w:t>
      </w:r>
      <w:r w:rsidRPr="002608C3">
        <w:rPr>
          <w:rFonts w:ascii="Calibri" w:hAnsi="Calibri"/>
          <w:color w:val="4A4A4A"/>
          <w:sz w:val="21"/>
          <w:lang w:val="en-US"/>
        </w:rPr>
        <w:t>, available in or provided by national and regional administrations of the countries. All these will be derived from the national and global state of NUP survey results.</w:t>
      </w:r>
    </w:p>
    <w:p w14:paraId="520D89F7" w14:textId="77777777" w:rsidR="0042466C" w:rsidRPr="002608C3" w:rsidRDefault="0042466C" w:rsidP="002608C3">
      <w:pPr>
        <w:spacing w:after="0" w:line="240" w:lineRule="auto"/>
        <w:jc w:val="both"/>
        <w:rPr>
          <w:rFonts w:ascii="Calibri" w:hAnsi="Calibri"/>
          <w:color w:val="4A4A4A"/>
          <w:sz w:val="21"/>
          <w:lang w:val="en-US"/>
        </w:rPr>
      </w:pPr>
    </w:p>
    <w:p w14:paraId="6C72AA36" w14:textId="16ABA11B"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The alignment of the policies and plans with proposed indicators are assessed by independent national level policy evaluators to avoid subjectivity and bias. The field of practice on NUP has developed a database of experts across the regions where evaluators are routinely drawn for undertaking these reviews.</w:t>
      </w:r>
    </w:p>
    <w:p w14:paraId="05F8BF86" w14:textId="77777777" w:rsidR="0042466C" w:rsidRPr="002608C3" w:rsidRDefault="0042466C" w:rsidP="002608C3">
      <w:pPr>
        <w:spacing w:after="0" w:line="240" w:lineRule="auto"/>
        <w:jc w:val="both"/>
        <w:rPr>
          <w:rFonts w:ascii="Calibri" w:hAnsi="Calibri"/>
          <w:color w:val="4A4A4A"/>
          <w:sz w:val="21"/>
          <w:lang w:val="en-US"/>
        </w:rPr>
      </w:pPr>
    </w:p>
    <w:p w14:paraId="32D82C5B" w14:textId="51504952"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To help with this evaluation according to the three qualifiers, policy evaluators follow an agreed upon analysis framework. Other supporting tools such as expert opinion, baseline data, benchmarking, performance monitoring and reporting, and gap and content analysis could be used.</w:t>
      </w:r>
    </w:p>
    <w:p w14:paraId="2A2A6D23" w14:textId="77777777" w:rsidR="0042466C" w:rsidRPr="002608C3" w:rsidRDefault="0042466C" w:rsidP="002608C3">
      <w:pPr>
        <w:spacing w:after="0" w:line="240" w:lineRule="auto"/>
        <w:jc w:val="both"/>
        <w:rPr>
          <w:rFonts w:ascii="Calibri" w:hAnsi="Calibri"/>
          <w:color w:val="4A4A4A"/>
          <w:sz w:val="21"/>
          <w:lang w:val="en-US"/>
        </w:rPr>
      </w:pPr>
    </w:p>
    <w:p w14:paraId="38A99588" w14:textId="75E0F44E"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Global, regional and national level compilations and analyses of NUP have already been undertaken by UN-Habitat and partners, which provide a solid foundation of evidence and expertise for the monitoring of this proposed proxy indicator for 11.a.1.</w:t>
      </w:r>
    </w:p>
    <w:p w14:paraId="3018A8D8" w14:textId="77777777" w:rsidR="00EC2915" w:rsidRPr="009F18F1" w:rsidRDefault="00EC2915">
      <w:pPr>
        <w:pStyle w:val="MText"/>
        <w:rPr>
          <w:rFonts w:cstheme="minorHAnsi"/>
        </w:rPr>
      </w:pPr>
    </w:p>
    <w:p w14:paraId="79368080" w14:textId="175EDEF6" w:rsidR="008B0AC7" w:rsidRPr="009F18F1" w:rsidRDefault="00576CFA" w:rsidP="002608C3">
      <w:pPr>
        <w:pStyle w:val="MHeader2"/>
        <w:rPr>
          <w:rFonts w:cstheme="minorHAnsi"/>
        </w:rPr>
      </w:pPr>
      <w:r w:rsidRPr="009F18F1">
        <w:rPr>
          <w:rFonts w:cstheme="minorHAnsi"/>
        </w:rPr>
        <w:t>3.b</w:t>
      </w:r>
      <w:r w:rsidR="008B0AC7" w:rsidRPr="009F18F1">
        <w:rPr>
          <w:rFonts w:cstheme="minorHAnsi"/>
        </w:rPr>
        <w:t>. Data collection method</w:t>
      </w:r>
      <w:r w:rsidR="0019649C" w:rsidRPr="00A96255">
        <w:t xml:space="preserve"> </w:t>
      </w:r>
      <w:r w:rsidR="0019649C">
        <w:rPr>
          <w:color w:val="B4B4B4"/>
          <w:sz w:val="20"/>
        </w:rPr>
        <w:t>(COLL_METHOD)</w:t>
      </w:r>
    </w:p>
    <w:p w14:paraId="44A91D84" w14:textId="52094780" w:rsidR="00464035" w:rsidRPr="002608C3" w:rsidRDefault="00464035"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lastRenderedPageBreak/>
        <w:t>Tailor-made questionnaires are sent to relevant focal points in charge of indicator 11a.1 to fill in the status of the indicator components. The national level data is collected based on the training modules that have widely been disseminate to many national urban policy and statistics systems. The baseline data is derived from the country, regional and global assessments undertaken every year to inform the Global State of NUP. Additionally, the data collection process targeting specifically the three qualifiers of the indicator 11.a.1. is conducted for the Global State of NUP published every two years. The data collection process is ongoing. The results listed above are based on current findings, from 67 of the 194 countries who completed the 2020 survey as well as using baseline 2018 NUP data which included 79 countries which had not yet responded to the 2020 survey, but NUP data was available based on thematic focus areas.</w:t>
      </w:r>
    </w:p>
    <w:p w14:paraId="26DE3B34" w14:textId="77777777" w:rsidR="00464035" w:rsidRPr="002608C3" w:rsidRDefault="00464035" w:rsidP="002608C3">
      <w:pPr>
        <w:spacing w:after="0" w:line="240" w:lineRule="auto"/>
        <w:jc w:val="both"/>
        <w:rPr>
          <w:rFonts w:ascii="Calibri" w:hAnsi="Calibri"/>
          <w:color w:val="4A4A4A"/>
          <w:sz w:val="21"/>
          <w:lang w:val="en-US"/>
        </w:rPr>
      </w:pPr>
    </w:p>
    <w:p w14:paraId="36920319" w14:textId="4908DA62" w:rsidR="00464035" w:rsidRPr="002608C3" w:rsidRDefault="00464035" w:rsidP="002608C3">
      <w:pPr>
        <w:spacing w:after="0" w:line="240" w:lineRule="auto"/>
        <w:jc w:val="both"/>
        <w:rPr>
          <w:rFonts w:ascii="Calibri" w:hAnsi="Calibri"/>
          <w:sz w:val="21"/>
          <w:lang w:val="en-US"/>
        </w:rPr>
      </w:pPr>
      <w:r w:rsidRPr="002608C3">
        <w:rPr>
          <w:rFonts w:ascii="Calibri" w:hAnsi="Calibri"/>
          <w:color w:val="4A4A4A"/>
          <w:sz w:val="21"/>
          <w:lang w:val="en-US"/>
        </w:rPr>
        <w:t xml:space="preserve">UN Habitat compiles and presents national urban policies into a National Urban Policy Database </w:t>
      </w:r>
      <w:hyperlink r:id="rId11" w:history="1">
        <w:r w:rsidRPr="002608C3">
          <w:rPr>
            <w:rFonts w:ascii="Calibri" w:hAnsi="Calibri"/>
            <w:color w:val="0000FF"/>
            <w:sz w:val="21"/>
            <w:u w:val="single"/>
            <w:lang w:val="en-US"/>
          </w:rPr>
          <w:t>http://urbanpolicyplatform.org/wp-content/uploads/2018/09/13092018NUP-database.pdf</w:t>
        </w:r>
      </w:hyperlink>
      <w:r w:rsidR="00620893" w:rsidRPr="002608C3">
        <w:rPr>
          <w:rFonts w:ascii="Calibri" w:hAnsi="Calibri"/>
          <w:color w:val="0000FF"/>
          <w:sz w:val="21"/>
          <w:u w:val="single"/>
          <w:lang w:val="en-US"/>
        </w:rPr>
        <w:t>.</w:t>
      </w:r>
    </w:p>
    <w:p w14:paraId="1A8D9B52" w14:textId="77777777" w:rsidR="00464035" w:rsidRPr="002608C3" w:rsidRDefault="00464035" w:rsidP="002608C3">
      <w:pPr>
        <w:spacing w:after="0" w:line="240" w:lineRule="auto"/>
        <w:jc w:val="both"/>
        <w:rPr>
          <w:rFonts w:ascii="Calibri" w:hAnsi="Calibri"/>
          <w:color w:val="4A4A4A"/>
          <w:sz w:val="21"/>
          <w:lang w:val="en-US"/>
        </w:rPr>
      </w:pPr>
    </w:p>
    <w:p w14:paraId="3165293D" w14:textId="73AEB61E" w:rsidR="00464035" w:rsidRPr="002608C3" w:rsidRDefault="00464035"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This document gathers country level data on the presence of a NUP, their title and date, status of development, and focus. It also provides direct links to the national urban policy documents. It currently contains information on 150 NUPs worldwide and is frequently updated.</w:t>
      </w:r>
    </w:p>
    <w:p w14:paraId="10EBE374" w14:textId="77777777" w:rsidR="00464035" w:rsidRPr="002608C3" w:rsidRDefault="00464035" w:rsidP="002608C3">
      <w:pPr>
        <w:shd w:val="clear" w:color="auto" w:fill="FFFFFF"/>
        <w:spacing w:after="0" w:line="240" w:lineRule="auto"/>
        <w:rPr>
          <w:rFonts w:ascii="Calibri" w:eastAsia="Times New Roman" w:hAnsi="Calibri" w:cs="Calibri"/>
          <w:color w:val="4A4A4A"/>
          <w:sz w:val="21"/>
          <w:szCs w:val="21"/>
          <w:lang w:val="en-US" w:eastAsia="en-US"/>
        </w:rPr>
      </w:pPr>
    </w:p>
    <w:p w14:paraId="448187E5" w14:textId="108D98E8" w:rsidR="00464035" w:rsidRPr="002608C3" w:rsidRDefault="00464035"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Every year we conduct new rounds of data collection for indicator 11a.1. For example, the 2020 round of data collection for indicator 11.a.1. is now ongoing. Member States have been contacted to fill out the </w:t>
      </w:r>
      <w:r w:rsidRPr="002608C3">
        <w:rPr>
          <w:rFonts w:ascii="Calibri" w:hAnsi="Calibri"/>
          <w:i/>
          <w:color w:val="4A4A4A"/>
          <w:sz w:val="21"/>
          <w:lang w:val="en-US"/>
        </w:rPr>
        <w:t>2020 Global State of National Urban Policy Survey</w:t>
      </w:r>
      <w:r w:rsidRPr="002608C3">
        <w:rPr>
          <w:rFonts w:ascii="Calibri" w:hAnsi="Calibri"/>
          <w:color w:val="4A4A4A"/>
          <w:sz w:val="21"/>
          <w:lang w:val="en-US"/>
        </w:rPr>
        <w:t xml:space="preserve"> which includes various questions regarding the individual countries’ status on NUPs, as well as a question specific to indicator 11.a.1.</w:t>
      </w:r>
    </w:p>
    <w:p w14:paraId="7D9F065F" w14:textId="77777777" w:rsidR="00EC2915" w:rsidRPr="009F18F1" w:rsidRDefault="00EC2915">
      <w:pPr>
        <w:pStyle w:val="MText"/>
        <w:rPr>
          <w:rFonts w:cstheme="minorHAnsi"/>
        </w:rPr>
      </w:pPr>
    </w:p>
    <w:p w14:paraId="170A2C05" w14:textId="41412BCC" w:rsidR="00E46D96" w:rsidRPr="009F18F1" w:rsidRDefault="00E46D96" w:rsidP="002608C3">
      <w:pPr>
        <w:pStyle w:val="MHeader2"/>
        <w:rPr>
          <w:rFonts w:cstheme="minorHAnsi"/>
        </w:rPr>
      </w:pPr>
      <w:r w:rsidRPr="009F18F1">
        <w:rPr>
          <w:rFonts w:cstheme="minorHAnsi"/>
        </w:rPr>
        <w:t>3.c. Data collection calendar</w:t>
      </w:r>
      <w:r w:rsidR="00731068" w:rsidRPr="00A96255">
        <w:t xml:space="preserve"> </w:t>
      </w:r>
      <w:r w:rsidR="00731068">
        <w:rPr>
          <w:color w:val="B4B4B4"/>
          <w:sz w:val="20"/>
        </w:rPr>
        <w:t>(FREQ_COLL)</w:t>
      </w:r>
    </w:p>
    <w:p w14:paraId="460E791F" w14:textId="77777777" w:rsidR="00464035" w:rsidRPr="002608C3" w:rsidRDefault="00464035" w:rsidP="002608C3">
      <w:pPr>
        <w:shd w:val="clear" w:color="auto" w:fill="FFFFFF"/>
        <w:tabs>
          <w:tab w:val="left" w:pos="1320"/>
        </w:tabs>
        <w:spacing w:after="0" w:line="240" w:lineRule="auto"/>
        <w:rPr>
          <w:rFonts w:ascii="Calibri" w:hAnsi="Calibri"/>
          <w:color w:val="4A4A4A"/>
          <w:sz w:val="21"/>
          <w:lang w:val="en-US"/>
        </w:rPr>
      </w:pPr>
      <w:r w:rsidRPr="002608C3">
        <w:rPr>
          <w:rFonts w:ascii="Calibri" w:hAnsi="Calibri"/>
          <w:color w:val="4A4A4A"/>
          <w:sz w:val="21"/>
          <w:lang w:val="en-US"/>
        </w:rPr>
        <w:t>Monitoring and reporting of the indicator is repeated at annual intervals, allowing several reporting points until 2030. Comprehensive reporting will be undertaken once every 2 years.</w:t>
      </w:r>
    </w:p>
    <w:p w14:paraId="01BA862E" w14:textId="77777777" w:rsidR="00EC2915" w:rsidRPr="009F18F1" w:rsidRDefault="00EC2915">
      <w:pPr>
        <w:pStyle w:val="MText"/>
        <w:rPr>
          <w:rFonts w:cstheme="minorHAnsi"/>
        </w:rPr>
      </w:pPr>
    </w:p>
    <w:p w14:paraId="7D466604" w14:textId="43A4C253" w:rsidR="00E46D96" w:rsidRPr="009F18F1" w:rsidRDefault="00E46D96" w:rsidP="002608C3">
      <w:pPr>
        <w:pStyle w:val="MHeader2"/>
        <w:rPr>
          <w:rFonts w:cstheme="minorHAnsi"/>
        </w:rPr>
      </w:pPr>
      <w:r w:rsidRPr="009F18F1">
        <w:rPr>
          <w:rFonts w:cstheme="minorHAnsi"/>
        </w:rPr>
        <w:t>3.d. Data release calendar</w:t>
      </w:r>
      <w:r w:rsidR="00D43772" w:rsidRPr="00A96255">
        <w:t xml:space="preserve"> </w:t>
      </w:r>
      <w:r w:rsidR="00D43772">
        <w:rPr>
          <w:color w:val="B4B4B4"/>
          <w:sz w:val="20"/>
        </w:rPr>
        <w:t>(REL_CAL_POLICY)</w:t>
      </w:r>
    </w:p>
    <w:p w14:paraId="039AB19B" w14:textId="35B07BA5" w:rsidR="00464035" w:rsidRPr="002608C3" w:rsidRDefault="00464035"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The data will be available annually, and updates on the global database will be conducted every 6 months. Data will be available online on the Urban Policy Platform.</w:t>
      </w:r>
    </w:p>
    <w:p w14:paraId="64C749BD" w14:textId="77777777" w:rsidR="00EC2915" w:rsidRPr="009F18F1" w:rsidRDefault="00EC2915">
      <w:pPr>
        <w:pStyle w:val="MText"/>
        <w:rPr>
          <w:rFonts w:cstheme="minorHAnsi"/>
        </w:rPr>
      </w:pPr>
    </w:p>
    <w:p w14:paraId="3A4F3065" w14:textId="49C79DB3" w:rsidR="00E46D96" w:rsidRPr="009F18F1" w:rsidRDefault="00E46D96" w:rsidP="002608C3">
      <w:pPr>
        <w:pStyle w:val="MHeader2"/>
        <w:rPr>
          <w:rFonts w:cstheme="minorHAnsi"/>
        </w:rPr>
      </w:pPr>
      <w:r w:rsidRPr="009F18F1">
        <w:rPr>
          <w:rFonts w:cstheme="minorHAnsi"/>
        </w:rPr>
        <w:t>3.e. Data providers</w:t>
      </w:r>
      <w:r w:rsidR="00B1636D" w:rsidRPr="00A96255">
        <w:t xml:space="preserve"> </w:t>
      </w:r>
      <w:r w:rsidR="00B1636D">
        <w:rPr>
          <w:color w:val="B4B4B4"/>
          <w:sz w:val="20"/>
        </w:rPr>
        <w:t>(DATA_SOURCE)</w:t>
      </w:r>
    </w:p>
    <w:p w14:paraId="21A1E55A" w14:textId="41C6928E" w:rsidR="00464035" w:rsidRPr="002608C3" w:rsidRDefault="00464035" w:rsidP="002608C3">
      <w:pPr>
        <w:shd w:val="clear" w:color="auto" w:fill="FFFFFF"/>
        <w:spacing w:after="0" w:line="240" w:lineRule="auto"/>
        <w:rPr>
          <w:rFonts w:ascii="Calibri" w:eastAsia="Times New Roman" w:hAnsi="Calibri" w:cs="Calibri"/>
          <w:color w:val="4A4A4A"/>
          <w:sz w:val="21"/>
          <w:szCs w:val="21"/>
          <w:lang w:val="en-US" w:eastAsia="en-US"/>
        </w:rPr>
      </w:pPr>
      <w:r w:rsidRPr="002608C3">
        <w:rPr>
          <w:rFonts w:ascii="Calibri" w:eastAsia="Times New Roman" w:hAnsi="Calibri" w:cs="Calibri"/>
          <w:color w:val="4A4A4A"/>
          <w:sz w:val="21"/>
          <w:szCs w:val="21"/>
          <w:lang w:val="en-US" w:eastAsia="en-US"/>
        </w:rPr>
        <w:t xml:space="preserve">Government departments in charge of urban, rural or territorial affairs fill in the survey. Additional information is gathered from National Statistical Offices </w:t>
      </w:r>
      <w:r w:rsidR="00821362">
        <w:rPr>
          <w:rFonts w:eastAsia="Times New Roman" w:cstheme="minorHAnsi"/>
          <w:color w:val="4A4A4A"/>
          <w:sz w:val="21"/>
          <w:szCs w:val="21"/>
          <w:lang w:val="en-US" w:eastAsia="en-US"/>
        </w:rPr>
        <w:t xml:space="preserve">(NSOs) </w:t>
      </w:r>
      <w:r w:rsidRPr="002608C3">
        <w:rPr>
          <w:rFonts w:ascii="Calibri" w:eastAsia="Times New Roman" w:hAnsi="Calibri" w:cs="Calibri"/>
          <w:color w:val="4A4A4A"/>
          <w:sz w:val="21"/>
          <w:szCs w:val="21"/>
          <w:lang w:val="en-US" w:eastAsia="en-US"/>
        </w:rPr>
        <w:t>and government official websites and UNDESA data are also consulted for population dynamics.</w:t>
      </w:r>
    </w:p>
    <w:p w14:paraId="50A66E64" w14:textId="77777777" w:rsidR="00EC2915" w:rsidRPr="009F18F1" w:rsidRDefault="00EC2915">
      <w:pPr>
        <w:pStyle w:val="MText"/>
        <w:rPr>
          <w:rFonts w:cstheme="minorHAnsi"/>
        </w:rPr>
      </w:pPr>
    </w:p>
    <w:p w14:paraId="30DC8E05" w14:textId="72BA7E5D" w:rsidR="00E46D96" w:rsidRPr="00554984" w:rsidRDefault="00E46D96" w:rsidP="002608C3">
      <w:pPr>
        <w:pStyle w:val="MHeader2"/>
        <w:rPr>
          <w:rFonts w:cstheme="minorHAnsi"/>
          <w:lang w:val="en-US"/>
        </w:rPr>
      </w:pPr>
      <w:r w:rsidRPr="00554984">
        <w:rPr>
          <w:rFonts w:cstheme="minorHAnsi"/>
          <w:lang w:val="en-US"/>
        </w:rPr>
        <w:t>3.f. Data compilers</w:t>
      </w:r>
      <w:r w:rsidR="005A5ABB" w:rsidRPr="00C153EE">
        <w:rPr>
          <w:lang w:val="en-US"/>
        </w:rPr>
        <w:t xml:space="preserve"> </w:t>
      </w:r>
      <w:r w:rsidR="005A5ABB">
        <w:rPr>
          <w:color w:val="B4B4B4"/>
          <w:sz w:val="20"/>
        </w:rPr>
        <w:t>(COMPILING_ORG)</w:t>
      </w:r>
    </w:p>
    <w:p w14:paraId="1DB07117" w14:textId="21E25EE6" w:rsidR="00464035" w:rsidRPr="00554984" w:rsidRDefault="00316E09" w:rsidP="002608C3">
      <w:pPr>
        <w:shd w:val="clear" w:color="auto" w:fill="FFFFFF"/>
        <w:spacing w:after="0" w:line="240" w:lineRule="auto"/>
        <w:rPr>
          <w:rFonts w:ascii="Calibri" w:hAnsi="Calibri"/>
          <w:color w:val="4A4A4A"/>
          <w:sz w:val="21"/>
          <w:lang w:val="en-US"/>
        </w:rPr>
      </w:pPr>
      <w:r w:rsidRPr="00554984">
        <w:rPr>
          <w:rFonts w:cstheme="minorHAnsi"/>
          <w:lang w:val="en-US"/>
        </w:rPr>
        <w:t>United Nations Human Settlements Programme (</w:t>
      </w:r>
      <w:r w:rsidR="00464035" w:rsidRPr="00554984">
        <w:rPr>
          <w:rFonts w:ascii="Calibri" w:hAnsi="Calibri"/>
          <w:color w:val="4A4A4A"/>
          <w:sz w:val="21"/>
          <w:lang w:val="en-US"/>
        </w:rPr>
        <w:t>UN-Habitat</w:t>
      </w:r>
      <w:r w:rsidRPr="00554984">
        <w:rPr>
          <w:rFonts w:ascii="Calibri" w:hAnsi="Calibri"/>
          <w:color w:val="4A4A4A"/>
          <w:sz w:val="21"/>
          <w:lang w:val="en-US"/>
        </w:rPr>
        <w:t>)</w:t>
      </w:r>
    </w:p>
    <w:p w14:paraId="14EF4AF6" w14:textId="58FF02B4" w:rsidR="00464035" w:rsidRPr="00554984" w:rsidRDefault="00316E09" w:rsidP="002608C3">
      <w:pPr>
        <w:shd w:val="clear" w:color="auto" w:fill="FFFFFF"/>
        <w:spacing w:after="0" w:line="240" w:lineRule="auto"/>
        <w:rPr>
          <w:rFonts w:ascii="Calibri" w:hAnsi="Calibri"/>
          <w:color w:val="4A4A4A"/>
          <w:sz w:val="21"/>
          <w:lang w:val="en-US"/>
        </w:rPr>
      </w:pPr>
      <w:r w:rsidRPr="00554984">
        <w:rPr>
          <w:rFonts w:cstheme="minorHAnsi"/>
          <w:lang w:val="en-US"/>
        </w:rPr>
        <w:t>United Nations Population Fund (</w:t>
      </w:r>
      <w:r w:rsidR="00464035" w:rsidRPr="00554984">
        <w:rPr>
          <w:rFonts w:ascii="Calibri" w:hAnsi="Calibri"/>
          <w:color w:val="4A4A4A"/>
          <w:sz w:val="21"/>
          <w:lang w:val="en-US"/>
        </w:rPr>
        <w:t>UNFPA</w:t>
      </w:r>
      <w:r w:rsidRPr="00554984">
        <w:rPr>
          <w:rFonts w:ascii="Calibri" w:hAnsi="Calibri"/>
          <w:color w:val="4A4A4A"/>
          <w:sz w:val="21"/>
          <w:lang w:val="en-US"/>
        </w:rPr>
        <w:t>)</w:t>
      </w:r>
    </w:p>
    <w:p w14:paraId="5C43435B" w14:textId="77777777" w:rsidR="00EC2915" w:rsidRPr="00554984" w:rsidRDefault="00EC2915">
      <w:pPr>
        <w:pStyle w:val="MText"/>
        <w:rPr>
          <w:rFonts w:cstheme="minorHAnsi"/>
          <w:lang w:val="en-US"/>
        </w:rPr>
      </w:pPr>
    </w:p>
    <w:p w14:paraId="5655E768" w14:textId="3DC5A627" w:rsidR="00E46D96" w:rsidRPr="009F18F1" w:rsidRDefault="00E46D96" w:rsidP="002608C3">
      <w:pPr>
        <w:pStyle w:val="MHeader2"/>
        <w:rPr>
          <w:rFonts w:cstheme="minorHAnsi"/>
        </w:rPr>
      </w:pPr>
      <w:r w:rsidRPr="009F18F1">
        <w:rPr>
          <w:rFonts w:cstheme="minorHAnsi"/>
        </w:rPr>
        <w:t>3.g. Institutional mandate</w:t>
      </w:r>
      <w:r w:rsidR="00E15AE9" w:rsidRPr="00A96255">
        <w:t xml:space="preserve"> </w:t>
      </w:r>
      <w:r w:rsidR="00E15AE9">
        <w:rPr>
          <w:color w:val="B4B4B4"/>
          <w:sz w:val="20"/>
        </w:rPr>
        <w:t>(INST_MANDATE)</w:t>
      </w:r>
    </w:p>
    <w:p w14:paraId="7D007C3C" w14:textId="1510C18B" w:rsidR="00EC2915" w:rsidRPr="002608C3" w:rsidRDefault="00545BC6" w:rsidP="002608C3">
      <w:pPr>
        <w:shd w:val="clear" w:color="auto" w:fill="FFFFFF"/>
        <w:spacing w:after="0" w:line="240" w:lineRule="auto"/>
        <w:rPr>
          <w:rFonts w:ascii="Calibri" w:eastAsia="Times New Roman" w:hAnsi="Calibri" w:cs="Calibri"/>
          <w:color w:val="4A4A4A"/>
          <w:sz w:val="21"/>
          <w:szCs w:val="21"/>
          <w:lang w:val="en-US" w:eastAsia="en-US"/>
        </w:rPr>
      </w:pPr>
      <w:bookmarkStart w:id="5" w:name="_Hlk65069859"/>
      <w:r w:rsidRPr="002608C3">
        <w:rPr>
          <w:rFonts w:ascii="Calibri" w:eastAsia="Times New Roman" w:hAnsi="Calibri" w:cs="Calibri"/>
          <w:color w:val="4A4A4A"/>
          <w:sz w:val="21"/>
          <w:szCs w:val="21"/>
          <w:lang w:val="en-US" w:eastAsia="en-US"/>
        </w:rPr>
        <w:t>The United Nations Human Settlements Programme (UN-Habitat) is the specialized agency for sustainable urbanization and human settlements in the United Nations. The mandate derives from the priorities established in relevant General Assembly resolutions and decisions, including General Assembly resolution 3327 (XXIX), by which the General Assembly established the United Nations Habitat and Human Settlements Foundation, and resolution 32/162 by which the Assembly established the United Nations Center for Human Settlements (Habitat). In 2001, by its Resolution 56/206, the General Assembly transformed the Habitat into the secretariat of the United Nations Human Settlements Programme (UN-Habitat), with a mandate to coordinate human settlements</w:t>
      </w:r>
      <w:r w:rsidR="00586ED8" w:rsidRPr="00E61D9F">
        <w:rPr>
          <w:rFonts w:eastAsia="Times New Roman" w:cstheme="minorHAnsi"/>
          <w:color w:val="4A4A4A"/>
          <w:sz w:val="21"/>
          <w:szCs w:val="21"/>
          <w:lang w:val="en-US" w:eastAsia="en-US"/>
        </w:rPr>
        <w:t>’</w:t>
      </w:r>
      <w:r w:rsidRPr="002608C3">
        <w:rPr>
          <w:rFonts w:ascii="Calibri" w:eastAsia="Times New Roman" w:hAnsi="Calibri" w:cs="Calibri"/>
          <w:color w:val="4A4A4A"/>
          <w:sz w:val="21"/>
          <w:szCs w:val="21"/>
          <w:lang w:val="en-US" w:eastAsia="en-US"/>
        </w:rPr>
        <w:t xml:space="preserve"> activities within the United Nations System. </w:t>
      </w:r>
      <w:r w:rsidRPr="002608C3">
        <w:rPr>
          <w:rFonts w:ascii="Calibri" w:eastAsia="Times New Roman" w:hAnsi="Calibri" w:cs="Calibri"/>
          <w:color w:val="4A4A4A"/>
          <w:sz w:val="21"/>
          <w:szCs w:val="21"/>
          <w:lang w:val="en-US" w:eastAsia="en-US"/>
        </w:rPr>
        <w:lastRenderedPageBreak/>
        <w:t>As such, UN-Habitat has been designated the overall coordinator of SDG 11 and specifically as a custodian agency for 9 of the 14 indicators under SDG 11 including indicator 11.a.1. UN-Habitat also supports the monitoring and reporting of 4 urban specific indicators in other goals.</w:t>
      </w:r>
      <w:bookmarkEnd w:id="5"/>
    </w:p>
    <w:p w14:paraId="3D063F4C" w14:textId="77777777" w:rsidR="00F719A8" w:rsidRPr="009F18F1" w:rsidRDefault="00F719A8">
      <w:pPr>
        <w:pStyle w:val="MText"/>
        <w:rPr>
          <w:rFonts w:cstheme="minorHAnsi"/>
        </w:rPr>
      </w:pPr>
    </w:p>
    <w:p w14:paraId="6149DC94" w14:textId="19F4D6EB" w:rsidR="00B31E2C" w:rsidRPr="009F18F1" w:rsidRDefault="00B31E2C">
      <w:pPr>
        <w:pStyle w:val="MHeader"/>
        <w:rPr>
          <w:rFonts w:cstheme="minorHAnsi"/>
        </w:rPr>
      </w:pPr>
      <w:r w:rsidRPr="009F18F1">
        <w:rPr>
          <w:rFonts w:cstheme="minorHAnsi"/>
        </w:rPr>
        <w:t>4. Other methodological considerations</w:t>
      </w:r>
      <w:r w:rsidR="00E17A02" w:rsidRPr="00A96255">
        <w:t xml:space="preserve"> </w:t>
      </w:r>
      <w:r w:rsidR="00E17A02">
        <w:rPr>
          <w:color w:val="B4B4B4"/>
          <w:sz w:val="20"/>
        </w:rPr>
        <w:t>(OTHER_METHOD)</w:t>
      </w:r>
    </w:p>
    <w:p w14:paraId="1AFA5517" w14:textId="6B2C6C7C" w:rsidR="00AF5ED1" w:rsidRPr="009F18F1" w:rsidRDefault="00576CFA" w:rsidP="002608C3">
      <w:pPr>
        <w:pStyle w:val="MHeader2"/>
        <w:rPr>
          <w:rFonts w:cstheme="minorHAnsi"/>
        </w:rPr>
      </w:pPr>
      <w:r w:rsidRPr="009F18F1">
        <w:rPr>
          <w:rFonts w:cstheme="minorHAnsi"/>
        </w:rPr>
        <w:t>4.a. Rationale</w:t>
      </w:r>
      <w:r w:rsidR="00D4041E" w:rsidRPr="00A96255">
        <w:t xml:space="preserve"> </w:t>
      </w:r>
      <w:r w:rsidR="00D4041E">
        <w:rPr>
          <w:color w:val="B4B4B4"/>
          <w:sz w:val="20"/>
        </w:rPr>
        <w:t>(RATIONALE)</w:t>
      </w:r>
    </w:p>
    <w:p w14:paraId="5B9B9C30" w14:textId="7BF79876" w:rsidR="0042466C" w:rsidRPr="002608C3" w:rsidRDefault="0042466C" w:rsidP="002608C3">
      <w:pPr>
        <w:spacing w:after="0" w:line="240" w:lineRule="auto"/>
        <w:rPr>
          <w:rFonts w:ascii="Calibri" w:hAnsi="Calibri"/>
          <w:bCs/>
          <w:i/>
          <w:iCs/>
          <w:color w:val="4A4A4A"/>
          <w:sz w:val="21"/>
          <w:lang w:val="en-US"/>
        </w:rPr>
      </w:pPr>
      <w:r w:rsidRPr="002608C3">
        <w:rPr>
          <w:rFonts w:ascii="Calibri" w:hAnsi="Calibri"/>
          <w:bCs/>
          <w:i/>
          <w:iCs/>
          <w:color w:val="4A4A4A"/>
          <w:sz w:val="21"/>
          <w:lang w:val="en-US"/>
        </w:rPr>
        <w:t>National Urban Policies</w:t>
      </w:r>
      <w:r w:rsidR="000E3F0B">
        <w:rPr>
          <w:rFonts w:ascii="Calibri" w:hAnsi="Calibri"/>
          <w:bCs/>
          <w:i/>
          <w:iCs/>
          <w:color w:val="4A4A4A"/>
          <w:sz w:val="21"/>
          <w:lang w:val="en-US"/>
        </w:rPr>
        <w:t xml:space="preserve"> </w:t>
      </w:r>
      <w:r w:rsidR="00516E83">
        <w:rPr>
          <w:rFonts w:ascii="Calibri" w:hAnsi="Calibri"/>
          <w:bCs/>
          <w:i/>
          <w:iCs/>
          <w:color w:val="4A4A4A"/>
          <w:sz w:val="21"/>
          <w:lang w:val="en-US"/>
        </w:rPr>
        <w:t>(NUP)</w:t>
      </w:r>
      <w:r w:rsidRPr="002608C3">
        <w:rPr>
          <w:rFonts w:ascii="Calibri" w:hAnsi="Calibri"/>
          <w:bCs/>
          <w:i/>
          <w:iCs/>
          <w:color w:val="4A4A4A"/>
          <w:sz w:val="21"/>
          <w:lang w:val="en-US"/>
        </w:rPr>
        <w:t xml:space="preserve"> can help achieve target 11.a.1</w:t>
      </w:r>
    </w:p>
    <w:p w14:paraId="22154588" w14:textId="11DF96C8"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This indicator is based on the notion that the development and implementation of N</w:t>
      </w:r>
      <w:r w:rsidR="00825466" w:rsidRPr="002608C3">
        <w:rPr>
          <w:rFonts w:ascii="Calibri" w:hAnsi="Calibri"/>
          <w:color w:val="4A4A4A"/>
          <w:sz w:val="21"/>
          <w:lang w:val="en-US"/>
        </w:rPr>
        <w:t>UPs</w:t>
      </w:r>
      <w:r w:rsidRPr="002608C3">
        <w:rPr>
          <w:rFonts w:ascii="Calibri" w:hAnsi="Calibri"/>
          <w:color w:val="4A4A4A"/>
          <w:sz w:val="21"/>
          <w:lang w:val="en-US"/>
        </w:rPr>
        <w:t xml:space="preserve"> should support participation, partnership, cooperation and coordination of actors as well as facilitate dialogue. NUP and Regional Development Plans (RDP) promote coordinated and connected urban development. A coordinated effort from government through a NUP or RDP provides the best opportunity for achieving sustainable urbanization and balanced territorial development by linking sectorial policies, connecting national, regional and local government policies, strengthening urban, peri-urban and rural links through balanced territorial development.</w:t>
      </w:r>
    </w:p>
    <w:p w14:paraId="25193279" w14:textId="49A82C9B" w:rsidR="0042466C" w:rsidRPr="002608C3" w:rsidRDefault="0042466C" w:rsidP="002608C3">
      <w:pPr>
        <w:spacing w:after="0" w:line="240" w:lineRule="auto"/>
        <w:rPr>
          <w:rFonts w:ascii="Calibri" w:hAnsi="Calibri"/>
          <w:color w:val="4A4A4A"/>
          <w:sz w:val="21"/>
          <w:lang w:val="en-US"/>
        </w:rPr>
      </w:pPr>
    </w:p>
    <w:p w14:paraId="52B20B0C" w14:textId="663CF4F4"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This indicator provides a good barometer on global progress on sustainable </w:t>
      </w:r>
      <w:r w:rsidR="00825466" w:rsidRPr="002608C3">
        <w:rPr>
          <w:rFonts w:ascii="Calibri" w:hAnsi="Calibri"/>
          <w:color w:val="4A4A4A"/>
          <w:sz w:val="21"/>
          <w:lang w:val="en-US"/>
        </w:rPr>
        <w:t>NUPs</w:t>
      </w:r>
      <w:r w:rsidRPr="002608C3">
        <w:rPr>
          <w:rFonts w:ascii="Calibri" w:hAnsi="Calibri"/>
          <w:color w:val="4A4A4A"/>
          <w:sz w:val="21"/>
          <w:lang w:val="en-US"/>
        </w:rPr>
        <w:t>. It serves as gap analysis to support policy recommendations. The indicator can identify good practices and policies among countries that can promote partnership and cooperation between all stakeholders. This indicator is both process oriented and aspirational and has the potential to support the validation of Goal 11 and other SDGs indicators with an urban component. The indicator has the ability to be applicable at multi jurisdictions levels, i.e</w:t>
      </w:r>
      <w:r w:rsidR="00B8275F" w:rsidRPr="002608C3">
        <w:rPr>
          <w:rFonts w:ascii="Calibri" w:hAnsi="Calibri"/>
          <w:color w:val="4A4A4A"/>
          <w:sz w:val="21"/>
          <w:lang w:val="en-US"/>
        </w:rPr>
        <w:t>.</w:t>
      </w:r>
      <w:r w:rsidRPr="002608C3">
        <w:rPr>
          <w:rFonts w:ascii="Calibri" w:hAnsi="Calibri"/>
          <w:color w:val="4A4A4A"/>
          <w:sz w:val="21"/>
          <w:lang w:val="en-US"/>
        </w:rPr>
        <w:t xml:space="preserve"> covering a number of areas while taking care of urban challenges in a more integrated national manner.</w:t>
      </w:r>
    </w:p>
    <w:p w14:paraId="135EA2F4" w14:textId="77777777" w:rsidR="0042466C" w:rsidRPr="002608C3" w:rsidRDefault="0042466C" w:rsidP="002608C3">
      <w:pPr>
        <w:spacing w:after="0" w:line="240" w:lineRule="auto"/>
        <w:rPr>
          <w:rFonts w:ascii="Calibri" w:hAnsi="Calibri"/>
          <w:color w:val="4A4A4A"/>
          <w:sz w:val="21"/>
          <w:lang w:val="en-US"/>
        </w:rPr>
      </w:pPr>
    </w:p>
    <w:p w14:paraId="309E2B15" w14:textId="79C16AA7"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The explicit introduction of N</w:t>
      </w:r>
      <w:r w:rsidR="00410F04" w:rsidRPr="002608C3">
        <w:rPr>
          <w:rFonts w:ascii="Calibri" w:hAnsi="Calibri"/>
          <w:color w:val="4A4A4A"/>
          <w:sz w:val="21"/>
          <w:lang w:val="en-US"/>
        </w:rPr>
        <w:t>UP</w:t>
      </w:r>
      <w:r w:rsidRPr="002608C3">
        <w:rPr>
          <w:rFonts w:ascii="Calibri" w:hAnsi="Calibri"/>
          <w:color w:val="4A4A4A"/>
          <w:sz w:val="21"/>
          <w:lang w:val="en-US"/>
        </w:rPr>
        <w:t xml:space="preserve"> in the wording of indicator 11.a.1 brings emphasis to a policy process that can better satisfy the requirements of target 11.a through sectorial, territorial and jurisdictional integration and coordination steered by the national level. This is so because evidence shows that NUP can </w:t>
      </w:r>
      <w:r w:rsidRPr="002608C3">
        <w:rPr>
          <w:rFonts w:ascii="Calibri" w:hAnsi="Calibri"/>
          <w:i/>
          <w:color w:val="4A4A4A"/>
          <w:sz w:val="21"/>
          <w:lang w:val="en-US"/>
        </w:rPr>
        <w:t>support positive economic, social and environmental links</w:t>
      </w:r>
      <w:r w:rsidRPr="002608C3">
        <w:rPr>
          <w:rFonts w:ascii="Calibri" w:hAnsi="Calibri"/>
          <w:color w:val="4A4A4A"/>
          <w:sz w:val="21"/>
          <w:lang w:val="en-US"/>
        </w:rPr>
        <w:t xml:space="preserve"> by ensuring at the highest level of government the coherent alignment of sectorial policies to support sustainable and inclusive urbanization</w:t>
      </w:r>
      <w:r w:rsidRPr="002608C3">
        <w:rPr>
          <w:rFonts w:ascii="Calibri" w:hAnsi="Calibri"/>
          <w:color w:val="4A4A4A"/>
          <w:sz w:val="21"/>
          <w:vertAlign w:val="superscript"/>
          <w:lang w:val="en-US"/>
        </w:rPr>
        <w:footnoteReference w:id="3"/>
      </w:r>
      <w:r w:rsidRPr="002608C3">
        <w:rPr>
          <w:rFonts w:ascii="Calibri" w:hAnsi="Calibri"/>
          <w:color w:val="4A4A4A"/>
          <w:sz w:val="21"/>
          <w:lang w:val="en-US"/>
        </w:rPr>
        <w:t>. With the World increasingly urbanizing, it is becoming clear today that how cities are managed and planned has ramifications well beyond their boundaries and that urbanization is a key force for national and sustainable development.</w:t>
      </w:r>
    </w:p>
    <w:p w14:paraId="3EE78033" w14:textId="77777777" w:rsidR="0042466C" w:rsidRPr="002608C3" w:rsidRDefault="0042466C" w:rsidP="002608C3">
      <w:pPr>
        <w:spacing w:after="0" w:line="240" w:lineRule="auto"/>
        <w:rPr>
          <w:rFonts w:ascii="Calibri" w:hAnsi="Calibri"/>
          <w:color w:val="4A4A4A"/>
          <w:sz w:val="21"/>
          <w:lang w:val="en-US"/>
        </w:rPr>
      </w:pPr>
    </w:p>
    <w:p w14:paraId="522DE783" w14:textId="11EB3DA4"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Urbanization has indeed historically been a catalyst for economic growth and social progress, and even holds the possibility for the protection and more efficient use of natural resources, and climate change mitigation and adaptation. However, this positive impact is not automatic, particularly in developing countries </w:t>
      </w:r>
      <w:r w:rsidR="00620893" w:rsidRPr="002608C3">
        <w:rPr>
          <w:rFonts w:ascii="Calibri" w:hAnsi="Calibri"/>
          <w:color w:val="4A4A4A"/>
          <w:sz w:val="21"/>
          <w:lang w:val="en-US"/>
        </w:rPr>
        <w:t>–</w:t>
      </w:r>
      <w:r w:rsidRPr="002608C3">
        <w:rPr>
          <w:rFonts w:ascii="Calibri" w:hAnsi="Calibri"/>
          <w:color w:val="4A4A4A"/>
          <w:sz w:val="21"/>
          <w:lang w:val="en-US"/>
        </w:rPr>
        <w:t xml:space="preserve"> where rapid and/or unplanned urbanization can bring about negative economic, social and environmental externalities with increasing congestion, sprawl, informality, social exclusion and conflict – if the provision of services and infrastructure does not keep up with natural and internal population growth, equitable distribution, migration patterns to the city, etc. Governments need to be sensitive to </w:t>
      </w:r>
      <w:r w:rsidR="00691251" w:rsidRPr="002608C3">
        <w:rPr>
          <w:rFonts w:ascii="Calibri" w:hAnsi="Calibri"/>
          <w:color w:val="4A4A4A"/>
          <w:sz w:val="21"/>
          <w:lang w:val="en-US"/>
        </w:rPr>
        <w:t xml:space="preserve">the </w:t>
      </w:r>
      <w:r w:rsidRPr="002608C3">
        <w:rPr>
          <w:rFonts w:ascii="Calibri" w:hAnsi="Calibri"/>
          <w:color w:val="4A4A4A"/>
          <w:sz w:val="21"/>
          <w:lang w:val="en-US"/>
        </w:rPr>
        <w:t xml:space="preserve">fact that urbanization is a nation-wide and multi-sectorial issue. Therefore, NUPs provide the framework to harness urbanization dividends and mitigate its negative externalities. A </w:t>
      </w:r>
      <w:r w:rsidR="00410F04" w:rsidRPr="002608C3">
        <w:rPr>
          <w:rFonts w:ascii="Calibri" w:hAnsi="Calibri"/>
          <w:color w:val="4A4A4A"/>
          <w:sz w:val="21"/>
          <w:lang w:val="en-US"/>
        </w:rPr>
        <w:t>NUP</w:t>
      </w:r>
      <w:r w:rsidRPr="002608C3">
        <w:rPr>
          <w:rFonts w:ascii="Calibri" w:hAnsi="Calibri"/>
          <w:color w:val="4A4A4A"/>
          <w:sz w:val="21"/>
          <w:lang w:val="en-US"/>
        </w:rPr>
        <w:t xml:space="preserve"> calls attention to the impact of sectorial governmental policies on the sustainable development of cities and encourages and enables the vertical and horizontal coordination of government departments and their policies to best support it.</w:t>
      </w:r>
    </w:p>
    <w:p w14:paraId="46177544" w14:textId="77777777" w:rsidR="0042466C" w:rsidRPr="002608C3" w:rsidRDefault="0042466C" w:rsidP="002608C3">
      <w:pPr>
        <w:spacing w:after="0" w:line="240" w:lineRule="auto"/>
        <w:rPr>
          <w:rFonts w:ascii="Calibri" w:hAnsi="Calibri"/>
          <w:color w:val="4A4A4A"/>
          <w:sz w:val="21"/>
          <w:lang w:val="en-US"/>
        </w:rPr>
      </w:pPr>
    </w:p>
    <w:p w14:paraId="0CFA8208" w14:textId="08A86B30"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This consideration in turn also encourages more cooperation and coordination between different levels of government to support the development and implementation of a national vision for urban development, effectively </w:t>
      </w:r>
      <w:r w:rsidRPr="002608C3">
        <w:rPr>
          <w:rFonts w:ascii="Calibri" w:hAnsi="Calibri"/>
          <w:i/>
          <w:color w:val="4A4A4A"/>
          <w:sz w:val="21"/>
          <w:lang w:val="en-US"/>
        </w:rPr>
        <w:t>strengthening national and regional development planning</w:t>
      </w:r>
      <w:r w:rsidRPr="002608C3">
        <w:rPr>
          <w:rFonts w:ascii="Calibri" w:hAnsi="Calibri"/>
          <w:color w:val="4A4A4A"/>
          <w:sz w:val="21"/>
          <w:lang w:val="en-US"/>
        </w:rPr>
        <w:t xml:space="preserve">. The urban policy process is led at the national level to ensure the articulation and coordination of different sectors and </w:t>
      </w:r>
      <w:r w:rsidRPr="002608C3">
        <w:rPr>
          <w:rFonts w:ascii="Calibri" w:hAnsi="Calibri"/>
          <w:color w:val="4A4A4A"/>
          <w:sz w:val="21"/>
          <w:lang w:val="en-US"/>
        </w:rPr>
        <w:lastRenderedPageBreak/>
        <w:t>government levels but engages both top down and bottom up processes. For a successful implementation, a NUP must create an enabling, collaborative and cooperative institutional environment, mobilizing different levels, assessing and building their capacities, and establishing jointly defined and transparent responsibilities for implementation. Subnational governments are key implementation partner</w:t>
      </w:r>
      <w:r w:rsidR="00586ED8">
        <w:rPr>
          <w:rFonts w:cstheme="minorHAnsi"/>
          <w:color w:val="4A4A4A"/>
          <w:sz w:val="21"/>
          <w:lang w:val="en-US"/>
        </w:rPr>
        <w:t>s</w:t>
      </w:r>
      <w:r w:rsidRPr="002608C3">
        <w:rPr>
          <w:rFonts w:ascii="Calibri" w:hAnsi="Calibri"/>
          <w:color w:val="4A4A4A"/>
          <w:sz w:val="21"/>
          <w:lang w:val="en-US"/>
        </w:rPr>
        <w:t xml:space="preserve"> due to their proximity to citizens and role in delivering services and infrastructure. As such, a NUP does not replace regional and local development policies and plans but strengthens them and relies on their horizontal alignment and vertical articulation, especially to tackle cross boundary challenges such as sustainable resource management, infrastructure development, climate change adaptation and mitigation, or urban-rural linkages.</w:t>
      </w:r>
    </w:p>
    <w:p w14:paraId="015B1599" w14:textId="77777777" w:rsidR="0042466C" w:rsidRPr="002608C3" w:rsidRDefault="0042466C" w:rsidP="002608C3">
      <w:pPr>
        <w:spacing w:after="0" w:line="240" w:lineRule="auto"/>
        <w:rPr>
          <w:rFonts w:ascii="Calibri" w:hAnsi="Calibri"/>
          <w:color w:val="4A4A4A"/>
          <w:sz w:val="21"/>
          <w:lang w:val="en-US"/>
        </w:rPr>
      </w:pPr>
    </w:p>
    <w:p w14:paraId="1E5833E6" w14:textId="5D5FFAF9"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Finally, NUP </w:t>
      </w:r>
      <w:r w:rsidR="00586ED8">
        <w:rPr>
          <w:rFonts w:cstheme="minorHAnsi"/>
          <w:color w:val="4A4A4A"/>
          <w:sz w:val="21"/>
          <w:lang w:val="en-US"/>
        </w:rPr>
        <w:t>is</w:t>
      </w:r>
      <w:r w:rsidR="00586ED8" w:rsidRPr="002608C3">
        <w:rPr>
          <w:rFonts w:ascii="Calibri" w:hAnsi="Calibri"/>
          <w:color w:val="4A4A4A"/>
          <w:sz w:val="21"/>
          <w:lang w:val="en-US"/>
        </w:rPr>
        <w:t xml:space="preserve"> </w:t>
      </w:r>
      <w:r w:rsidRPr="002608C3">
        <w:rPr>
          <w:rFonts w:ascii="Calibri" w:hAnsi="Calibri"/>
          <w:color w:val="4A4A4A"/>
          <w:sz w:val="21"/>
          <w:lang w:val="en-US"/>
        </w:rPr>
        <w:t xml:space="preserve">an overarching framework articulating and aligning subnational and local plans and policies under a common vision for urbanization that also makes it particularly suited to consider the urban-peri-urban-rural continuum. This urban and rural consideration is a key element of data disaggregation and administrative delineation in territorial planning. However, the importance of urban-rural linkages (through flows of people, natural resources, capital, goods, ecosystem services, information, technology, ideas and innovation) is increasingly being acknowledged for sustainable and integrated territorial development. The New Urban Agenda (NUA) for instance stresses the need to reduce urban and rural disparities to foster equitable development and encourage connectivity. Target 11.a is the only one that explicitly considers </w:t>
      </w:r>
      <w:r w:rsidRPr="002608C3">
        <w:rPr>
          <w:rFonts w:ascii="Calibri" w:hAnsi="Calibri"/>
          <w:i/>
          <w:color w:val="4A4A4A"/>
          <w:sz w:val="21"/>
          <w:lang w:val="en-US"/>
        </w:rPr>
        <w:t>urban, peri-urban and rural areas</w:t>
      </w:r>
      <w:r w:rsidRPr="002608C3">
        <w:rPr>
          <w:rFonts w:ascii="Calibri" w:hAnsi="Calibri"/>
          <w:color w:val="4A4A4A"/>
          <w:sz w:val="21"/>
          <w:lang w:val="en-US"/>
        </w:rPr>
        <w:t xml:space="preserve"> under a city-centric SDG 11. NUP is the adequate framework to strengthen and direct urban and rural flows towards the most sustainable patterns of consumption and equitable resource distribution, as they can strike the balance between competition and solidarity between territories of a country.</w:t>
      </w:r>
    </w:p>
    <w:p w14:paraId="38CBC391" w14:textId="77777777" w:rsidR="0042466C" w:rsidRPr="002608C3" w:rsidRDefault="0042466C" w:rsidP="002608C3">
      <w:pPr>
        <w:spacing w:after="0" w:line="240" w:lineRule="auto"/>
        <w:rPr>
          <w:rFonts w:ascii="Calibri" w:hAnsi="Calibri"/>
          <w:b/>
          <w:color w:val="4A4A4A"/>
          <w:sz w:val="21"/>
          <w:lang w:val="en-US"/>
        </w:rPr>
      </w:pPr>
    </w:p>
    <w:p w14:paraId="7C1A5BD0" w14:textId="462BFEB2" w:rsidR="0042466C" w:rsidRPr="002608C3" w:rsidRDefault="0042466C" w:rsidP="002608C3">
      <w:pPr>
        <w:spacing w:after="0" w:line="240" w:lineRule="auto"/>
        <w:rPr>
          <w:rFonts w:ascii="Calibri" w:hAnsi="Calibri"/>
          <w:bCs/>
          <w:i/>
          <w:iCs/>
          <w:color w:val="4A4A4A"/>
          <w:sz w:val="21"/>
          <w:lang w:val="en-US"/>
        </w:rPr>
      </w:pPr>
      <w:r w:rsidRPr="002608C3">
        <w:rPr>
          <w:rFonts w:ascii="Calibri" w:hAnsi="Calibri"/>
          <w:bCs/>
          <w:i/>
          <w:iCs/>
          <w:color w:val="4A4A4A"/>
          <w:sz w:val="21"/>
          <w:lang w:val="en-US"/>
        </w:rPr>
        <w:t>Urban Policies are more broadly instrumental for the implementation and monitoring of global agendas</w:t>
      </w:r>
    </w:p>
    <w:p w14:paraId="1A4143AF" w14:textId="405AC88E"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N</w:t>
      </w:r>
      <w:r w:rsidR="00825466" w:rsidRPr="002608C3">
        <w:rPr>
          <w:rFonts w:ascii="Calibri" w:hAnsi="Calibri"/>
          <w:color w:val="4A4A4A"/>
          <w:sz w:val="21"/>
          <w:lang w:val="en-US"/>
        </w:rPr>
        <w:t>UPs</w:t>
      </w:r>
      <w:r w:rsidRPr="002608C3">
        <w:rPr>
          <w:rFonts w:ascii="Calibri" w:hAnsi="Calibri"/>
          <w:color w:val="4A4A4A"/>
          <w:sz w:val="21"/>
          <w:lang w:val="en-US"/>
        </w:rPr>
        <w:t xml:space="preserve"> therefore enable a cross-sectorial approach, and the horizontal and vertical institutional coordination needed to address the challenges and opportunities of urbanization, which are increasingly recognized as going beyond the boundaries of the city. Intergovernmental agreements have indeed shown a new interest in urbanization for sustainable development. This is illustrated of course in Agenda 2030 with its introduction of a standalone urban SDG-11, but many other SDGs also have clear urban dimensions and implications. Following the Agenda 2030, the United Nations Conference on Housing and Sustainable Development (Habitat III) adopted the New Urban Agenda, a roadmap for the next 20 years setting new global standards for sustainable urban development. Finally, although the Paris Agreement on Climate Change does not explicitly mention cities, the management of urbanization is still essential to addressing climate change, as is illustrated by the fact that two third of Intended Nationally Determined Contributions </w:t>
      </w:r>
      <w:r w:rsidR="00620893" w:rsidRPr="002608C3">
        <w:rPr>
          <w:rFonts w:ascii="Calibri" w:hAnsi="Calibri"/>
          <w:color w:val="4A4A4A"/>
          <w:sz w:val="21"/>
          <w:lang w:val="en-US"/>
        </w:rPr>
        <w:t xml:space="preserve">(NDCs) </w:t>
      </w:r>
      <w:r w:rsidRPr="002608C3">
        <w:rPr>
          <w:rFonts w:ascii="Calibri" w:hAnsi="Calibri"/>
          <w:color w:val="4A4A4A"/>
          <w:sz w:val="21"/>
          <w:lang w:val="en-US"/>
        </w:rPr>
        <w:t>contain clear urban references and content</w:t>
      </w:r>
      <w:r w:rsidR="00410F04" w:rsidRPr="002608C3">
        <w:rPr>
          <w:rFonts w:ascii="Calibri" w:hAnsi="Calibri"/>
          <w:color w:val="4A4A4A"/>
          <w:sz w:val="21"/>
          <w:lang w:val="en-US"/>
        </w:rPr>
        <w:t>.</w:t>
      </w:r>
      <w:r w:rsidRPr="002608C3">
        <w:rPr>
          <w:rFonts w:ascii="Calibri" w:hAnsi="Calibri"/>
          <w:color w:val="4A4A4A"/>
          <w:sz w:val="21"/>
          <w:vertAlign w:val="superscript"/>
          <w:lang w:val="en-US"/>
        </w:rPr>
        <w:footnoteReference w:id="4"/>
      </w:r>
      <w:r w:rsidRPr="002608C3">
        <w:rPr>
          <w:rFonts w:ascii="Calibri" w:hAnsi="Calibri"/>
          <w:color w:val="4A4A4A"/>
          <w:sz w:val="21"/>
          <w:lang w:val="en-US"/>
        </w:rPr>
        <w:t xml:space="preserve"> As an instrument for governments to harness the dynamics of urbanization for national development, NUPs have therefore been identified as a key tool for the implementation and monitoring of such agendas.</w:t>
      </w:r>
    </w:p>
    <w:p w14:paraId="54CE53A2" w14:textId="77777777" w:rsidR="0042466C" w:rsidRPr="002608C3" w:rsidRDefault="0042466C" w:rsidP="002608C3">
      <w:pPr>
        <w:spacing w:after="0" w:line="240" w:lineRule="auto"/>
        <w:rPr>
          <w:rFonts w:ascii="Calibri" w:hAnsi="Calibri"/>
          <w:color w:val="4A4A4A"/>
          <w:sz w:val="21"/>
          <w:lang w:val="en-US"/>
        </w:rPr>
      </w:pPr>
    </w:p>
    <w:p w14:paraId="0A6B5D80" w14:textId="25EF59B3" w:rsidR="0042466C" w:rsidRPr="002608C3" w:rsidRDefault="0042466C" w:rsidP="002608C3">
      <w:pPr>
        <w:spacing w:after="0" w:line="240" w:lineRule="auto"/>
        <w:rPr>
          <w:rFonts w:ascii="Calibri" w:hAnsi="Calibri"/>
          <w:i/>
          <w:color w:val="4A4A4A"/>
          <w:sz w:val="21"/>
          <w:lang w:val="en-US"/>
        </w:rPr>
      </w:pPr>
      <w:r w:rsidRPr="002608C3">
        <w:rPr>
          <w:rFonts w:ascii="Calibri" w:hAnsi="Calibri"/>
          <w:color w:val="4A4A4A"/>
          <w:sz w:val="21"/>
          <w:lang w:val="en-US"/>
        </w:rPr>
        <w:t>The Policy Paper on N</w:t>
      </w:r>
      <w:r w:rsidR="00825466" w:rsidRPr="002608C3">
        <w:rPr>
          <w:rFonts w:ascii="Calibri" w:hAnsi="Calibri"/>
          <w:color w:val="4A4A4A"/>
          <w:sz w:val="21"/>
          <w:lang w:val="en-US"/>
        </w:rPr>
        <w:t>UPs</w:t>
      </w:r>
      <w:r w:rsidRPr="002608C3">
        <w:rPr>
          <w:rFonts w:ascii="Calibri" w:hAnsi="Calibri"/>
          <w:color w:val="4A4A4A"/>
          <w:sz w:val="21"/>
          <w:lang w:val="en-US"/>
        </w:rPr>
        <w:t xml:space="preserve"> prepared for Habitat III for instance explained that </w:t>
      </w:r>
      <w:r w:rsidRPr="002608C3">
        <w:rPr>
          <w:rFonts w:ascii="Calibri" w:hAnsi="Calibri"/>
          <w:i/>
          <w:color w:val="4A4A4A"/>
          <w:sz w:val="21"/>
          <w:lang w:val="en-US"/>
        </w:rPr>
        <w:t xml:space="preserve">a NUP should constitute an important part of any serious attempt to implement the SDGs and should become a key instrument to measure the achievement of the SDGs. </w:t>
      </w:r>
      <w:r w:rsidRPr="002608C3">
        <w:rPr>
          <w:rFonts w:ascii="Calibri" w:hAnsi="Calibri"/>
          <w:color w:val="4A4A4A"/>
          <w:sz w:val="21"/>
          <w:lang w:val="en-US"/>
        </w:rPr>
        <w:t xml:space="preserve">As explained above, NUPs are a particularly appropriate framework to achieve target 11.a, and more generally can be instrumental in creating the necessary enabling framework to implement the urban development objectives of SDG 11. For instance, the NUA explicitly identifies NUPs as essential to achieve the urban paradigm shift it advocates for, recognizing the </w:t>
      </w:r>
      <w:r w:rsidRPr="002608C3">
        <w:rPr>
          <w:rFonts w:ascii="Calibri" w:hAnsi="Calibri"/>
          <w:i/>
          <w:color w:val="4A4A4A"/>
          <w:sz w:val="21"/>
          <w:lang w:val="en-US"/>
        </w:rPr>
        <w:t>leading role of national governments […]</w:t>
      </w:r>
      <w:r w:rsidRPr="002608C3">
        <w:rPr>
          <w:rFonts w:ascii="Calibri" w:hAnsi="Calibri"/>
          <w:color w:val="4A4A4A"/>
          <w:sz w:val="21"/>
          <w:lang w:val="en-US"/>
        </w:rPr>
        <w:t xml:space="preserve"> </w:t>
      </w:r>
      <w:r w:rsidRPr="002608C3">
        <w:rPr>
          <w:rFonts w:ascii="Calibri" w:hAnsi="Calibri"/>
          <w:i/>
          <w:color w:val="4A4A4A"/>
          <w:sz w:val="21"/>
          <w:lang w:val="en-US"/>
        </w:rPr>
        <w:t xml:space="preserve">in the implementation of inclusive and effective urban policies and legislation for sustainable urban development </w:t>
      </w:r>
      <w:r w:rsidRPr="002608C3">
        <w:rPr>
          <w:rFonts w:ascii="Calibri" w:hAnsi="Calibri"/>
          <w:color w:val="4A4A4A"/>
          <w:sz w:val="21"/>
          <w:lang w:val="en-US"/>
        </w:rPr>
        <w:t xml:space="preserve">(NUA – 15.b). Moreover, the Urban-Rural Linkages Guiding Principles provide practical approach and actions to enhance territorial cohesion including via </w:t>
      </w:r>
      <w:r w:rsidRPr="002608C3">
        <w:rPr>
          <w:rFonts w:ascii="Calibri" w:hAnsi="Calibri"/>
          <w:color w:val="4A4A4A"/>
          <w:sz w:val="21"/>
          <w:lang w:val="en-US"/>
        </w:rPr>
        <w:lastRenderedPageBreak/>
        <w:t>policies</w:t>
      </w:r>
      <w:r w:rsidR="00620893" w:rsidRPr="002608C3">
        <w:rPr>
          <w:rFonts w:ascii="Calibri" w:hAnsi="Calibri"/>
          <w:color w:val="4A4A4A"/>
          <w:sz w:val="21"/>
          <w:lang w:val="en-US"/>
        </w:rPr>
        <w:t>.</w:t>
      </w:r>
      <w:r w:rsidRPr="002608C3">
        <w:rPr>
          <w:rFonts w:ascii="Calibri" w:hAnsi="Calibri"/>
          <w:color w:val="4A4A4A"/>
          <w:sz w:val="21"/>
          <w:vertAlign w:val="superscript"/>
          <w:lang w:val="en-US"/>
        </w:rPr>
        <w:footnoteReference w:id="5"/>
      </w:r>
      <w:r w:rsidRPr="002608C3">
        <w:rPr>
          <w:rFonts w:ascii="Calibri" w:hAnsi="Calibri"/>
          <w:color w:val="4A4A4A"/>
          <w:sz w:val="21"/>
          <w:lang w:val="en-US"/>
        </w:rPr>
        <w:t xml:space="preserve"> </w:t>
      </w:r>
      <w:r w:rsidR="00877D0F" w:rsidRPr="00554984">
        <w:rPr>
          <w:rFonts w:ascii="Calibri" w:hAnsi="Calibri"/>
          <w:color w:val="4A4A4A"/>
          <w:sz w:val="21"/>
          <w:lang w:val="en-US"/>
        </w:rPr>
        <w:t>Organisation for Economic Co-operation and Development</w:t>
      </w:r>
      <w:r w:rsidR="00877D0F" w:rsidRPr="002608C3">
        <w:rPr>
          <w:rFonts w:ascii="Calibri" w:hAnsi="Calibri"/>
          <w:color w:val="4A4A4A"/>
          <w:sz w:val="21"/>
          <w:lang w:val="en-US"/>
        </w:rPr>
        <w:t xml:space="preserve"> (</w:t>
      </w:r>
      <w:r w:rsidRPr="002608C3">
        <w:rPr>
          <w:rFonts w:ascii="Calibri" w:hAnsi="Calibri"/>
          <w:color w:val="4A4A4A"/>
          <w:sz w:val="21"/>
          <w:lang w:val="en-US"/>
        </w:rPr>
        <w:t>OECD</w:t>
      </w:r>
      <w:r w:rsidR="00877D0F" w:rsidRPr="002608C3">
        <w:rPr>
          <w:rFonts w:ascii="Calibri" w:hAnsi="Calibri"/>
          <w:color w:val="4A4A4A"/>
          <w:sz w:val="21"/>
          <w:lang w:val="en-US"/>
        </w:rPr>
        <w:t>)</w:t>
      </w:r>
      <w:r w:rsidRPr="002608C3">
        <w:rPr>
          <w:rFonts w:ascii="Calibri" w:hAnsi="Calibri"/>
          <w:color w:val="4A4A4A"/>
          <w:sz w:val="21"/>
          <w:lang w:val="en-US"/>
        </w:rPr>
        <w:t xml:space="preserve"> set of urban and rural policies are additional frameworks that are very important to enhance social, economic an</w:t>
      </w:r>
      <w:r w:rsidR="005901F0" w:rsidRPr="002608C3">
        <w:rPr>
          <w:rFonts w:ascii="Calibri" w:hAnsi="Calibri"/>
          <w:color w:val="4A4A4A"/>
          <w:sz w:val="21"/>
          <w:lang w:val="en-US"/>
        </w:rPr>
        <w:t>d</w:t>
      </w:r>
      <w:r w:rsidRPr="002608C3">
        <w:rPr>
          <w:rFonts w:ascii="Calibri" w:hAnsi="Calibri"/>
          <w:color w:val="4A4A4A"/>
          <w:sz w:val="21"/>
          <w:lang w:val="en-US"/>
        </w:rPr>
        <w:t xml:space="preserve"> </w:t>
      </w:r>
      <w:r w:rsidR="003A42B6">
        <w:rPr>
          <w:rFonts w:ascii="Calibri" w:hAnsi="Calibri"/>
          <w:color w:val="4A4A4A"/>
          <w:sz w:val="21"/>
          <w:lang w:val="en-US"/>
        </w:rPr>
        <w:t>environmental</w:t>
      </w:r>
      <w:r w:rsidR="003A42B6" w:rsidRPr="002608C3">
        <w:rPr>
          <w:rFonts w:ascii="Calibri" w:hAnsi="Calibri"/>
          <w:color w:val="4A4A4A"/>
          <w:sz w:val="21"/>
          <w:lang w:val="en-US"/>
        </w:rPr>
        <w:t xml:space="preserve"> </w:t>
      </w:r>
      <w:r w:rsidRPr="002608C3">
        <w:rPr>
          <w:rFonts w:ascii="Calibri" w:hAnsi="Calibri"/>
          <w:color w:val="4A4A4A"/>
          <w:sz w:val="21"/>
          <w:lang w:val="en-US"/>
        </w:rPr>
        <w:t>links across urban-rural and peri-urban territories</w:t>
      </w:r>
      <w:r w:rsidR="00410F04" w:rsidRPr="002608C3">
        <w:rPr>
          <w:rFonts w:ascii="Calibri" w:hAnsi="Calibri"/>
          <w:color w:val="4A4A4A"/>
          <w:sz w:val="21"/>
          <w:lang w:val="en-US"/>
        </w:rPr>
        <w:t>.</w:t>
      </w:r>
      <w:r w:rsidRPr="002608C3">
        <w:rPr>
          <w:rFonts w:ascii="Calibri" w:hAnsi="Calibri"/>
          <w:color w:val="4A4A4A"/>
          <w:sz w:val="21"/>
          <w:vertAlign w:val="superscript"/>
          <w:lang w:val="en-US"/>
        </w:rPr>
        <w:footnoteReference w:id="6"/>
      </w:r>
    </w:p>
    <w:p w14:paraId="53EE9D57" w14:textId="77777777" w:rsidR="0042466C" w:rsidRPr="002608C3" w:rsidRDefault="0042466C" w:rsidP="002608C3">
      <w:pPr>
        <w:spacing w:after="0" w:line="240" w:lineRule="auto"/>
        <w:rPr>
          <w:rFonts w:ascii="Calibri" w:hAnsi="Calibri"/>
          <w:i/>
          <w:color w:val="4A4A4A"/>
          <w:sz w:val="21"/>
          <w:lang w:val="en-US"/>
        </w:rPr>
      </w:pPr>
    </w:p>
    <w:p w14:paraId="0416E209" w14:textId="6A50E025"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Finally, NUPs can also be an instrument to coordinate the urban components of NDCs across scales and sectors and mainstream the principles of climate change adaptation and mitigation for the implementation of the Paris Agreement</w:t>
      </w:r>
      <w:r w:rsidR="00410F04" w:rsidRPr="002608C3">
        <w:rPr>
          <w:rFonts w:ascii="Calibri" w:hAnsi="Calibri"/>
          <w:color w:val="4A4A4A"/>
          <w:sz w:val="21"/>
          <w:lang w:val="en-US"/>
        </w:rPr>
        <w:t>.</w:t>
      </w:r>
      <w:r w:rsidRPr="002608C3">
        <w:rPr>
          <w:rFonts w:ascii="Calibri" w:hAnsi="Calibri"/>
          <w:color w:val="4A4A4A"/>
          <w:sz w:val="21"/>
          <w:vertAlign w:val="superscript"/>
          <w:lang w:val="en-US"/>
        </w:rPr>
        <w:footnoteReference w:id="7"/>
      </w:r>
    </w:p>
    <w:p w14:paraId="7CEA150F" w14:textId="77777777" w:rsidR="0042466C" w:rsidRPr="002608C3" w:rsidRDefault="0042466C" w:rsidP="002608C3">
      <w:pPr>
        <w:spacing w:after="0" w:line="240" w:lineRule="auto"/>
        <w:rPr>
          <w:rFonts w:ascii="Calibri" w:hAnsi="Calibri"/>
          <w:color w:val="4A4A4A"/>
          <w:sz w:val="21"/>
          <w:lang w:val="en-US"/>
        </w:rPr>
      </w:pPr>
    </w:p>
    <w:p w14:paraId="3B36DD95" w14:textId="3BB3ED84" w:rsidR="0042466C" w:rsidRPr="002608C3" w:rsidRDefault="0042466C" w:rsidP="002608C3">
      <w:pPr>
        <w:spacing w:after="0" w:line="240" w:lineRule="auto"/>
        <w:rPr>
          <w:rFonts w:ascii="Calibri" w:hAnsi="Calibri"/>
          <w:bCs/>
          <w:i/>
          <w:iCs/>
          <w:color w:val="4A4A4A"/>
          <w:sz w:val="21"/>
          <w:lang w:val="en-US"/>
        </w:rPr>
      </w:pPr>
      <w:r w:rsidRPr="002608C3">
        <w:rPr>
          <w:rFonts w:ascii="Calibri" w:hAnsi="Calibri"/>
          <w:bCs/>
          <w:i/>
          <w:iCs/>
          <w:color w:val="4A4A4A"/>
          <w:sz w:val="21"/>
          <w:lang w:val="en-US"/>
        </w:rPr>
        <w:t>Qualifiers for a measurable process indicator</w:t>
      </w:r>
    </w:p>
    <w:p w14:paraId="42DF5DCB" w14:textId="00ABC762"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Given their instrumental role for the implementation and monitoring of global urban agendas, the adoption of a NUP by a national government can be considered as a strong indicator of political commitment to promoting sustainable urban development. It also makes them particularly well suited for measuring target 11.a through a </w:t>
      </w:r>
      <w:r w:rsidRPr="002608C3">
        <w:rPr>
          <w:rFonts w:ascii="Calibri" w:hAnsi="Calibri"/>
          <w:i/>
          <w:color w:val="4A4A4A"/>
          <w:sz w:val="21"/>
          <w:lang w:val="en-US"/>
        </w:rPr>
        <w:t>process</w:t>
      </w:r>
      <w:r w:rsidRPr="002608C3">
        <w:rPr>
          <w:rFonts w:ascii="Calibri" w:hAnsi="Calibri"/>
          <w:color w:val="4A4A4A"/>
          <w:sz w:val="21"/>
          <w:lang w:val="en-US"/>
        </w:rPr>
        <w:t xml:space="preserve"> indicator. As a process indicator, 11.a.1 is indeed supposed to assess the progress made towards creating an enabling environment that will ensure achievement of the outcomes and impacts of the targets of the Sustainable Development Agenda. Its definition sets the foundation on </w:t>
      </w:r>
      <w:r w:rsidRPr="002608C3">
        <w:rPr>
          <w:rFonts w:ascii="Calibri" w:hAnsi="Calibri"/>
          <w:i/>
          <w:color w:val="4A4A4A"/>
          <w:sz w:val="21"/>
          <w:lang w:val="en-US"/>
        </w:rPr>
        <w:t xml:space="preserve">how </w:t>
      </w:r>
      <w:r w:rsidRPr="002608C3">
        <w:rPr>
          <w:rFonts w:ascii="Calibri" w:hAnsi="Calibri"/>
          <w:color w:val="4A4A4A"/>
          <w:sz w:val="21"/>
          <w:lang w:val="en-US"/>
        </w:rPr>
        <w:t xml:space="preserve">target 11.a can be achieved, through measurable means. The proposed revision of the indicator therefore supplements </w:t>
      </w:r>
      <w:r w:rsidRPr="002608C3">
        <w:rPr>
          <w:rFonts w:ascii="Calibri" w:hAnsi="Calibri"/>
          <w:i/>
          <w:color w:val="4A4A4A"/>
          <w:sz w:val="21"/>
          <w:lang w:val="en-US"/>
        </w:rPr>
        <w:t xml:space="preserve">national urban policies and regional development plans </w:t>
      </w:r>
      <w:r w:rsidRPr="002608C3">
        <w:rPr>
          <w:rFonts w:ascii="Calibri" w:hAnsi="Calibri"/>
          <w:color w:val="4A4A4A"/>
          <w:sz w:val="21"/>
          <w:lang w:val="en-US"/>
        </w:rPr>
        <w:t>with 3 qualifiers that indicate the means of successfully reaching the requirements of target 11.a.</w:t>
      </w:r>
    </w:p>
    <w:p w14:paraId="0E1E0539" w14:textId="77777777" w:rsidR="0042466C" w:rsidRPr="002608C3" w:rsidRDefault="0042466C" w:rsidP="002608C3">
      <w:pPr>
        <w:spacing w:after="0" w:line="240" w:lineRule="auto"/>
        <w:rPr>
          <w:rFonts w:ascii="Calibri" w:hAnsi="Calibri"/>
          <w:color w:val="4A4A4A"/>
          <w:sz w:val="21"/>
          <w:lang w:val="en-US"/>
        </w:rPr>
      </w:pPr>
    </w:p>
    <w:p w14:paraId="30BB1255" w14:textId="583C92E4"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The first qualifier is that policies and plans should </w:t>
      </w:r>
      <w:r w:rsidRPr="002608C3">
        <w:rPr>
          <w:rFonts w:ascii="Calibri" w:hAnsi="Calibri"/>
          <w:i/>
          <w:color w:val="4A4A4A"/>
          <w:sz w:val="21"/>
          <w:lang w:val="en-US"/>
        </w:rPr>
        <w:t>respond to population dynamics</w:t>
      </w:r>
      <w:r w:rsidRPr="002608C3">
        <w:rPr>
          <w:rFonts w:ascii="Calibri" w:hAnsi="Calibri"/>
          <w:color w:val="4A4A4A"/>
          <w:sz w:val="21"/>
          <w:lang w:val="en-US"/>
        </w:rPr>
        <w:t>. Grounding policies and plans in the most current and comprehensive spatial and demographic data and projections is indeed a prerequisite for a successful implementation. The challenges posed by rapid urbanization indeed stem from the fact that policy and planning framework and their implementation are outpaced by population growth, coupled with policy priorities that may not prioritize inclusive development for all current and future urban residents, which together result in straining the provision of infrastructure and services, and causing socio-economic and environmental damages. Forecasting demographic trends and needs in the diagnosis phase of policies and plans enables governments to plan ahead for urbanization and provide adequate land and infrastructure in a more cost-efficient and less socially disruptive way than trying to catch up, repair and upgrade uncontrolled expansion. This process of developing urban policies and plans can also be the occasion to improve national data collection on urban areas, and serve other SDG</w:t>
      </w:r>
      <w:r w:rsidR="00877D0F" w:rsidRPr="002608C3">
        <w:rPr>
          <w:rFonts w:ascii="Calibri" w:hAnsi="Calibri"/>
          <w:color w:val="4A4A4A"/>
          <w:sz w:val="21"/>
          <w:lang w:val="en-US"/>
        </w:rPr>
        <w:t xml:space="preserve"> </w:t>
      </w:r>
      <w:r w:rsidRPr="002608C3">
        <w:rPr>
          <w:rFonts w:ascii="Calibri" w:hAnsi="Calibri"/>
          <w:color w:val="4A4A4A"/>
          <w:sz w:val="21"/>
          <w:lang w:val="en-US"/>
        </w:rPr>
        <w:t>11 indicators, as well as provide a baseline for monitoring the outcomes of such interventions.</w:t>
      </w:r>
    </w:p>
    <w:p w14:paraId="13BB0A51" w14:textId="77777777" w:rsidR="0042466C" w:rsidRPr="002608C3" w:rsidRDefault="0042466C" w:rsidP="002608C3">
      <w:pPr>
        <w:spacing w:after="0" w:line="240" w:lineRule="auto"/>
        <w:rPr>
          <w:rFonts w:ascii="Calibri" w:hAnsi="Calibri"/>
          <w:color w:val="4A4A4A"/>
          <w:sz w:val="21"/>
          <w:lang w:val="en-US"/>
        </w:rPr>
      </w:pPr>
    </w:p>
    <w:p w14:paraId="09878B30" w14:textId="26DC2718"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The second qualifier requires policies and plans to </w:t>
      </w:r>
      <w:r w:rsidRPr="002608C3">
        <w:rPr>
          <w:rFonts w:ascii="Calibri" w:hAnsi="Calibri"/>
          <w:i/>
          <w:color w:val="4A4A4A"/>
          <w:sz w:val="21"/>
          <w:lang w:val="en-US"/>
        </w:rPr>
        <w:t>ensure balanced territorial development</w:t>
      </w:r>
      <w:r w:rsidRPr="002608C3">
        <w:rPr>
          <w:rFonts w:ascii="Calibri" w:hAnsi="Calibri"/>
          <w:color w:val="4A4A4A"/>
          <w:sz w:val="21"/>
          <w:lang w:val="en-US"/>
        </w:rPr>
        <w:t xml:space="preserve">, in a direct answer to target 11.a.1’s reference to the urban, peri-urban and rural continuum. Policies and plans should adopt a broad territorial perspective and consider the linkages and flows from urban to rural areas not only to avoid and reduce social, economic and environmental disparities between territories but also to promote distinctive strengths and encourage beneficial interactions for the most efficient path to sustainable growth for the country. Such a perspective for policies and plans is achieved </w:t>
      </w:r>
      <w:r w:rsidR="00821362">
        <w:rPr>
          <w:rFonts w:cstheme="minorHAnsi"/>
          <w:color w:val="4A4A4A"/>
          <w:sz w:val="21"/>
          <w:lang w:val="en-US"/>
        </w:rPr>
        <w:t xml:space="preserve">by </w:t>
      </w:r>
      <w:r w:rsidRPr="002608C3">
        <w:rPr>
          <w:rFonts w:ascii="Calibri" w:hAnsi="Calibri"/>
          <w:color w:val="4A4A4A"/>
          <w:sz w:val="21"/>
          <w:lang w:val="en-US"/>
        </w:rPr>
        <w:t>higher territorial scale than cities, through regional plans and national policies.</w:t>
      </w:r>
    </w:p>
    <w:p w14:paraId="2FF36809" w14:textId="77777777" w:rsidR="0042466C" w:rsidRPr="002608C3" w:rsidRDefault="0042466C" w:rsidP="002608C3">
      <w:pPr>
        <w:spacing w:after="0" w:line="240" w:lineRule="auto"/>
        <w:rPr>
          <w:rFonts w:ascii="Calibri" w:hAnsi="Calibri"/>
          <w:color w:val="4A4A4A"/>
          <w:sz w:val="21"/>
          <w:lang w:val="en-US"/>
        </w:rPr>
      </w:pPr>
    </w:p>
    <w:p w14:paraId="27EAF292" w14:textId="05B0287F" w:rsidR="0042466C" w:rsidRPr="002608C3" w:rsidRDefault="0042466C" w:rsidP="002608C3">
      <w:pPr>
        <w:spacing w:after="0" w:line="240" w:lineRule="auto"/>
        <w:rPr>
          <w:rFonts w:ascii="Calibri" w:hAnsi="Calibri"/>
          <w:color w:val="4A4A4A"/>
          <w:sz w:val="21"/>
          <w:lang w:val="en-US"/>
        </w:rPr>
      </w:pPr>
      <w:bookmarkStart w:id="6" w:name="_gjdgxs"/>
      <w:bookmarkEnd w:id="6"/>
      <w:r w:rsidRPr="002608C3">
        <w:rPr>
          <w:rFonts w:ascii="Calibri" w:hAnsi="Calibri"/>
          <w:color w:val="4A4A4A"/>
          <w:sz w:val="21"/>
          <w:lang w:val="en-US"/>
        </w:rPr>
        <w:t xml:space="preserve">Finally, the third qualifier is to </w:t>
      </w:r>
      <w:r w:rsidRPr="002608C3">
        <w:rPr>
          <w:rFonts w:ascii="Calibri" w:hAnsi="Calibri"/>
          <w:i/>
          <w:color w:val="4A4A4A"/>
          <w:sz w:val="21"/>
          <w:lang w:val="en-US"/>
        </w:rPr>
        <w:t>increase local fiscal space</w:t>
      </w:r>
      <w:r w:rsidRPr="002608C3">
        <w:rPr>
          <w:rFonts w:ascii="Calibri" w:hAnsi="Calibri"/>
          <w:color w:val="4A4A4A"/>
          <w:sz w:val="21"/>
          <w:lang w:val="en-US"/>
        </w:rPr>
        <w:t xml:space="preserve">. As integrated NUPs and </w:t>
      </w:r>
      <w:r w:rsidR="00825466" w:rsidRPr="002608C3">
        <w:rPr>
          <w:rFonts w:ascii="Calibri" w:hAnsi="Calibri"/>
          <w:color w:val="4A4A4A"/>
          <w:sz w:val="21"/>
          <w:lang w:val="en-US"/>
        </w:rPr>
        <w:t>RDPs</w:t>
      </w:r>
      <w:r w:rsidRPr="002608C3">
        <w:rPr>
          <w:rFonts w:ascii="Calibri" w:hAnsi="Calibri"/>
          <w:color w:val="4A4A4A"/>
          <w:sz w:val="21"/>
          <w:lang w:val="en-US"/>
        </w:rPr>
        <w:t xml:space="preserve"> introduce a more coordinated and decentralized articulation of responsibilities for urban development, ensuring that subnational and local governments have the adequate financial resources to carry out their responsibilities is essential to the successful implementation of policies and plans. The transfer of competences from central to local levels must therefore be accompanied by a commensurate devolution </w:t>
      </w:r>
      <w:r w:rsidRPr="002608C3">
        <w:rPr>
          <w:rFonts w:ascii="Calibri" w:hAnsi="Calibri"/>
          <w:color w:val="4A4A4A"/>
          <w:sz w:val="21"/>
          <w:lang w:val="en-US"/>
        </w:rPr>
        <w:lastRenderedPageBreak/>
        <w:t>of financial resources and autonomy. Moreover, in times of shrinking governmental budgets, the capacity of local governments to expand and diversify endogenous financial resources and revenues and not rely too heavily on central transfers should be increased. This involves more fiscal power and capacity, better land value capture mechanisms – which go hand in hand with a clear and enforceable land policy framework – and innovative financial partnerships, for instance collaborating with the private sector for service and infrastructure delivery. In all cases, fiscal policies and mechanisms must remain subordinated to the established urban policy and planning objectives: central transfers must be embedded within the NUP framework, and take into account territorial equity; and local fiscal systems must be closely tied to local territorial plans so as to incentivize sustainable patterns of development.</w:t>
      </w:r>
    </w:p>
    <w:p w14:paraId="18EA7892" w14:textId="77777777" w:rsidR="00576CFA" w:rsidRPr="009F18F1" w:rsidRDefault="00576CFA">
      <w:pPr>
        <w:pStyle w:val="MText"/>
        <w:rPr>
          <w:rFonts w:cstheme="minorHAnsi"/>
        </w:rPr>
      </w:pPr>
    </w:p>
    <w:p w14:paraId="2529B069" w14:textId="0FB9818A" w:rsidR="00E1050F" w:rsidRPr="009F18F1" w:rsidRDefault="00E1050F" w:rsidP="002608C3">
      <w:pPr>
        <w:pStyle w:val="MHeader2"/>
        <w:rPr>
          <w:rFonts w:cstheme="minorHAnsi"/>
        </w:rPr>
      </w:pPr>
      <w:r w:rsidRPr="009F18F1">
        <w:rPr>
          <w:rFonts w:cstheme="minorHAnsi"/>
        </w:rPr>
        <w:t>4.b. Comment and limitations</w:t>
      </w:r>
      <w:r w:rsidR="005C6953" w:rsidRPr="00A96255">
        <w:t xml:space="preserve"> </w:t>
      </w:r>
      <w:r w:rsidR="005C6953">
        <w:rPr>
          <w:color w:val="B4B4B4"/>
          <w:sz w:val="20"/>
        </w:rPr>
        <w:t>(REC_USE_LIM)</w:t>
      </w:r>
    </w:p>
    <w:p w14:paraId="56BE3AE3" w14:textId="074E50D1" w:rsidR="0042466C" w:rsidRPr="002608C3" w:rsidRDefault="0042466C"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UN-Habitat and UNFPA, along with many other partners such as OECD and Cities Alliance are working together to collect updated information from Member States regarding the three qualifiers in addition to other questions pertinent to National Urban Policies </w:t>
      </w:r>
      <w:r w:rsidR="00A85D17">
        <w:rPr>
          <w:rFonts w:ascii="Calibri" w:hAnsi="Calibri"/>
          <w:color w:val="4A4A4A"/>
          <w:sz w:val="21"/>
          <w:lang w:val="en-US"/>
        </w:rPr>
        <w:t>(NUP</w:t>
      </w:r>
      <w:r w:rsidR="00E0280C">
        <w:rPr>
          <w:rFonts w:ascii="Calibri" w:hAnsi="Calibri"/>
          <w:color w:val="4A4A4A"/>
          <w:sz w:val="21"/>
          <w:lang w:val="en-US"/>
        </w:rPr>
        <w:t xml:space="preserve">) </w:t>
      </w:r>
      <w:r w:rsidRPr="002608C3">
        <w:rPr>
          <w:rFonts w:ascii="Calibri" w:hAnsi="Calibri"/>
          <w:color w:val="4A4A4A"/>
          <w:sz w:val="21"/>
          <w:lang w:val="en-US"/>
        </w:rPr>
        <w:t>and their implementation process. The survey</w:t>
      </w:r>
      <w:r w:rsidRPr="002608C3">
        <w:rPr>
          <w:rFonts w:ascii="Calibri" w:hAnsi="Calibri"/>
          <w:color w:val="4A4A4A"/>
          <w:sz w:val="21"/>
          <w:vertAlign w:val="superscript"/>
          <w:lang w:val="en-US"/>
        </w:rPr>
        <w:footnoteReference w:id="8"/>
      </w:r>
      <w:r w:rsidRPr="002608C3">
        <w:rPr>
          <w:rFonts w:ascii="Calibri" w:hAnsi="Calibri"/>
          <w:color w:val="4A4A4A"/>
          <w:sz w:val="21"/>
          <w:lang w:val="en-US"/>
        </w:rPr>
        <w:t xml:space="preserve"> results will inform the 2020 Global State of N</w:t>
      </w:r>
      <w:r w:rsidR="00410F04" w:rsidRPr="002608C3">
        <w:rPr>
          <w:rFonts w:ascii="Calibri" w:hAnsi="Calibri"/>
          <w:color w:val="4A4A4A"/>
          <w:sz w:val="21"/>
          <w:lang w:val="en-US"/>
        </w:rPr>
        <w:t xml:space="preserve">UP </w:t>
      </w:r>
      <w:r w:rsidRPr="002608C3">
        <w:rPr>
          <w:rFonts w:ascii="Calibri" w:hAnsi="Calibri"/>
          <w:color w:val="4A4A4A"/>
          <w:sz w:val="21"/>
          <w:lang w:val="en-US"/>
        </w:rPr>
        <w:t>Report. Many countries have filled in required information based on the specific qualifiers of indicator 11.a.1.</w:t>
      </w:r>
      <w:r w:rsidR="00620893" w:rsidRPr="002608C3">
        <w:rPr>
          <w:rFonts w:ascii="Calibri" w:hAnsi="Calibri"/>
          <w:color w:val="4A4A4A"/>
          <w:sz w:val="21"/>
          <w:lang w:val="en-US"/>
        </w:rPr>
        <w:t>,</w:t>
      </w:r>
      <w:r w:rsidRPr="002608C3">
        <w:rPr>
          <w:rFonts w:ascii="Calibri" w:hAnsi="Calibri"/>
          <w:color w:val="4A4A4A"/>
          <w:sz w:val="21"/>
          <w:lang w:val="en-US"/>
        </w:rPr>
        <w:t xml:space="preserve"> which builds upon the 2018 NUP dataset</w:t>
      </w:r>
      <w:r w:rsidR="00410F04" w:rsidRPr="002608C3">
        <w:rPr>
          <w:rFonts w:ascii="Calibri" w:hAnsi="Calibri"/>
          <w:color w:val="4A4A4A"/>
          <w:sz w:val="21"/>
          <w:lang w:val="en-US"/>
        </w:rPr>
        <w:t>.</w:t>
      </w:r>
      <w:r w:rsidRPr="002608C3">
        <w:rPr>
          <w:rFonts w:ascii="Calibri" w:hAnsi="Calibri"/>
          <w:color w:val="4A4A4A"/>
          <w:sz w:val="21"/>
          <w:vertAlign w:val="superscript"/>
          <w:lang w:val="en-US"/>
        </w:rPr>
        <w:footnoteReference w:id="9"/>
      </w:r>
      <w:r w:rsidRPr="002608C3">
        <w:rPr>
          <w:rFonts w:ascii="Calibri" w:hAnsi="Calibri"/>
          <w:color w:val="4A4A4A"/>
          <w:sz w:val="21"/>
          <w:lang w:val="en-US"/>
        </w:rPr>
        <w:t xml:space="preserve"> The success of the indicator requires more capacity development and routine follow ups with ministries and NSOs at national levels, but sometimes also going beyond the national levels to ensure good understanding of the 3 sub-components.</w:t>
      </w:r>
    </w:p>
    <w:p w14:paraId="398C00AE" w14:textId="77777777" w:rsidR="00EC2915" w:rsidRPr="009F18F1" w:rsidRDefault="00EC2915">
      <w:pPr>
        <w:pStyle w:val="MText"/>
        <w:rPr>
          <w:rFonts w:cstheme="minorHAnsi"/>
        </w:rPr>
      </w:pPr>
    </w:p>
    <w:p w14:paraId="79EEEE38" w14:textId="53E3B7AB" w:rsidR="00E1050F" w:rsidRPr="009F18F1" w:rsidRDefault="00E1050F" w:rsidP="002608C3">
      <w:pPr>
        <w:pStyle w:val="MHeader2"/>
        <w:rPr>
          <w:rFonts w:cstheme="minorHAnsi"/>
        </w:rPr>
      </w:pPr>
      <w:r w:rsidRPr="009F18F1">
        <w:rPr>
          <w:rFonts w:cstheme="minorHAnsi"/>
        </w:rPr>
        <w:t>4.c. Method of computation</w:t>
      </w:r>
      <w:r w:rsidR="002D6D84" w:rsidRPr="00A96255">
        <w:t xml:space="preserve"> </w:t>
      </w:r>
      <w:r w:rsidR="002D6D84">
        <w:rPr>
          <w:color w:val="B4B4B4"/>
          <w:sz w:val="20"/>
        </w:rPr>
        <w:t>(DATA_COMP)</w:t>
      </w:r>
    </w:p>
    <w:p w14:paraId="43884268" w14:textId="627F194C"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The methodology uses a policy evaluation framework that assesses and tracks progress on the extent to which country level national urban policy </w:t>
      </w:r>
      <w:r w:rsidR="00E0280C">
        <w:rPr>
          <w:rFonts w:ascii="Calibri" w:hAnsi="Calibri"/>
          <w:color w:val="4A4A4A"/>
          <w:sz w:val="21"/>
          <w:lang w:val="en-US"/>
        </w:rPr>
        <w:t xml:space="preserve">(NUP) </w:t>
      </w:r>
      <w:r w:rsidRPr="002608C3">
        <w:rPr>
          <w:rFonts w:ascii="Calibri" w:hAnsi="Calibri"/>
          <w:color w:val="4A4A4A"/>
          <w:sz w:val="21"/>
          <w:lang w:val="en-US"/>
        </w:rPr>
        <w:t xml:space="preserve">or regional development plans </w:t>
      </w:r>
      <w:r w:rsidR="00E0280C">
        <w:rPr>
          <w:rFonts w:ascii="Calibri" w:hAnsi="Calibri"/>
          <w:color w:val="4A4A4A"/>
          <w:sz w:val="21"/>
          <w:lang w:val="en-US"/>
        </w:rPr>
        <w:t xml:space="preserve">(RDPs) </w:t>
      </w:r>
      <w:r w:rsidRPr="002608C3">
        <w:rPr>
          <w:rFonts w:ascii="Calibri" w:hAnsi="Calibri"/>
          <w:color w:val="4A4A4A"/>
          <w:sz w:val="21"/>
          <w:lang w:val="en-US"/>
        </w:rPr>
        <w:t>are being developed or implemented to cover or satisfy the following criteria:</w:t>
      </w:r>
    </w:p>
    <w:p w14:paraId="5D6862E0" w14:textId="40FA5B5D" w:rsidR="0042466C" w:rsidRPr="002608C3" w:rsidRDefault="0042466C" w:rsidP="002608C3">
      <w:pPr>
        <w:numPr>
          <w:ilvl w:val="0"/>
          <w:numId w:val="6"/>
        </w:numPr>
        <w:spacing w:after="0" w:line="240" w:lineRule="auto"/>
        <w:rPr>
          <w:rFonts w:ascii="Calibri" w:hAnsi="Calibri"/>
          <w:color w:val="4A4A4A"/>
          <w:sz w:val="21"/>
          <w:lang w:val="en-US"/>
        </w:rPr>
      </w:pPr>
      <w:r w:rsidRPr="002608C3">
        <w:rPr>
          <w:rFonts w:ascii="Calibri" w:hAnsi="Calibri"/>
          <w:color w:val="4A4A4A"/>
          <w:sz w:val="21"/>
          <w:lang w:val="en-US"/>
        </w:rPr>
        <w:t>Responds to population dynamics</w:t>
      </w:r>
    </w:p>
    <w:p w14:paraId="08A61614" w14:textId="5F8FE80F" w:rsidR="0042466C" w:rsidRPr="002608C3" w:rsidRDefault="0042466C" w:rsidP="002608C3">
      <w:pPr>
        <w:numPr>
          <w:ilvl w:val="0"/>
          <w:numId w:val="6"/>
        </w:numPr>
        <w:spacing w:after="0" w:line="240" w:lineRule="auto"/>
        <w:rPr>
          <w:rFonts w:ascii="Calibri" w:hAnsi="Calibri"/>
          <w:color w:val="4A4A4A"/>
          <w:sz w:val="21"/>
          <w:lang w:val="en-US"/>
        </w:rPr>
      </w:pPr>
      <w:r w:rsidRPr="002608C3">
        <w:rPr>
          <w:rFonts w:ascii="Calibri" w:hAnsi="Calibri"/>
          <w:color w:val="4A4A4A"/>
          <w:sz w:val="21"/>
          <w:lang w:val="en-US"/>
        </w:rPr>
        <w:t>Ensures balanced regional and territorial development</w:t>
      </w:r>
    </w:p>
    <w:p w14:paraId="66A9A38D" w14:textId="2EC66928" w:rsidR="0042466C" w:rsidRPr="002608C3" w:rsidRDefault="0042466C" w:rsidP="002608C3">
      <w:pPr>
        <w:numPr>
          <w:ilvl w:val="0"/>
          <w:numId w:val="6"/>
        </w:numPr>
        <w:spacing w:after="0" w:line="240" w:lineRule="auto"/>
        <w:rPr>
          <w:rFonts w:ascii="Calibri" w:hAnsi="Calibri"/>
          <w:color w:val="4A4A4A"/>
          <w:sz w:val="21"/>
          <w:lang w:val="en-US"/>
        </w:rPr>
      </w:pPr>
      <w:r w:rsidRPr="002608C3">
        <w:rPr>
          <w:rFonts w:ascii="Calibri" w:hAnsi="Calibri"/>
          <w:color w:val="4A4A4A"/>
          <w:sz w:val="21"/>
          <w:lang w:val="en-US"/>
        </w:rPr>
        <w:t>Increases local fiscal space</w:t>
      </w:r>
    </w:p>
    <w:p w14:paraId="14F45176" w14:textId="77777777" w:rsidR="0042466C" w:rsidRPr="002608C3" w:rsidRDefault="0042466C" w:rsidP="002608C3">
      <w:pPr>
        <w:spacing w:after="0" w:line="240" w:lineRule="auto"/>
        <w:rPr>
          <w:rFonts w:ascii="Calibri" w:hAnsi="Calibri"/>
          <w:color w:val="4A4A4A"/>
          <w:sz w:val="21"/>
          <w:lang w:val="en-US"/>
        </w:rPr>
      </w:pPr>
    </w:p>
    <w:p w14:paraId="7BE5CB4B" w14:textId="4882007F"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Essentially, </w:t>
      </w:r>
      <w:r w:rsidR="00821362">
        <w:rPr>
          <w:rFonts w:cstheme="minorHAnsi"/>
          <w:color w:val="4A4A4A"/>
          <w:sz w:val="21"/>
          <w:lang w:val="en-US"/>
        </w:rPr>
        <w:t xml:space="preserve">in </w:t>
      </w:r>
      <w:r w:rsidRPr="002608C3">
        <w:rPr>
          <w:rFonts w:ascii="Calibri" w:hAnsi="Calibri"/>
          <w:color w:val="4A4A4A"/>
          <w:sz w:val="21"/>
          <w:lang w:val="en-US"/>
        </w:rPr>
        <w:t>countries that already have NUP</w:t>
      </w:r>
      <w:r w:rsidR="0008262E" w:rsidRPr="002608C3">
        <w:rPr>
          <w:rFonts w:ascii="Calibri" w:hAnsi="Calibri"/>
          <w:color w:val="4A4A4A"/>
          <w:sz w:val="21"/>
          <w:lang w:val="en-US"/>
        </w:rPr>
        <w:t>s</w:t>
      </w:r>
      <w:r w:rsidRPr="002608C3">
        <w:rPr>
          <w:rFonts w:ascii="Calibri" w:hAnsi="Calibri"/>
          <w:color w:val="4A4A4A"/>
          <w:sz w:val="21"/>
          <w:lang w:val="en-US"/>
        </w:rPr>
        <w:t xml:space="preserve"> and </w:t>
      </w:r>
      <w:r w:rsidR="0008262E" w:rsidRPr="002608C3">
        <w:rPr>
          <w:rFonts w:ascii="Calibri" w:hAnsi="Calibri"/>
          <w:color w:val="4A4A4A"/>
          <w:sz w:val="21"/>
          <w:lang w:val="en-US"/>
        </w:rPr>
        <w:t>RDPs</w:t>
      </w:r>
      <w:r w:rsidRPr="002608C3">
        <w:rPr>
          <w:rFonts w:ascii="Calibri" w:hAnsi="Calibri"/>
          <w:color w:val="4A4A4A"/>
          <w:sz w:val="21"/>
          <w:lang w:val="en-US"/>
        </w:rPr>
        <w:t>, the NUPs are examined for their consistency in covering the three above qualifiers. While for countries that do not have NUP</w:t>
      </w:r>
      <w:r w:rsidR="0008262E" w:rsidRPr="002608C3">
        <w:rPr>
          <w:rFonts w:ascii="Calibri" w:hAnsi="Calibri"/>
          <w:color w:val="4A4A4A"/>
          <w:sz w:val="21"/>
          <w:lang w:val="en-US"/>
        </w:rPr>
        <w:t>s</w:t>
      </w:r>
      <w:r w:rsidRPr="002608C3">
        <w:rPr>
          <w:rFonts w:ascii="Calibri" w:hAnsi="Calibri"/>
          <w:color w:val="4A4A4A"/>
          <w:sz w:val="21"/>
          <w:lang w:val="en-US"/>
        </w:rPr>
        <w:t xml:space="preserve"> or are currently developing NUP</w:t>
      </w:r>
      <w:r w:rsidR="0008262E" w:rsidRPr="002608C3">
        <w:rPr>
          <w:rFonts w:ascii="Calibri" w:hAnsi="Calibri"/>
          <w:color w:val="4A4A4A"/>
          <w:sz w:val="21"/>
          <w:lang w:val="en-US"/>
        </w:rPr>
        <w:t>s</w:t>
      </w:r>
      <w:r w:rsidRPr="002608C3">
        <w:rPr>
          <w:rFonts w:ascii="Calibri" w:hAnsi="Calibri"/>
          <w:color w:val="4A4A4A"/>
          <w:sz w:val="21"/>
          <w:lang w:val="en-US"/>
        </w:rPr>
        <w:t>, these are noted and documented as steps towards developing a NUP. Such countries are counted with zero scores to ensure a full coverage of status on all countries.</w:t>
      </w:r>
    </w:p>
    <w:p w14:paraId="39B4FBA0" w14:textId="77777777" w:rsidR="0042466C" w:rsidRPr="002608C3" w:rsidRDefault="0042466C" w:rsidP="002608C3">
      <w:pPr>
        <w:spacing w:after="0" w:line="240" w:lineRule="auto"/>
        <w:rPr>
          <w:rFonts w:ascii="Calibri" w:hAnsi="Calibri"/>
          <w:color w:val="4A4A4A"/>
          <w:sz w:val="21"/>
          <w:lang w:val="en-US"/>
        </w:rPr>
      </w:pPr>
    </w:p>
    <w:p w14:paraId="6F25FADF" w14:textId="3E59D756"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To maintain the objectivity and comparability in the policy analysis, five categories of assessment are used for each qualifier. These categories correspond to a progressive evaluation of the extent to which national and regional policies in plans integrate elements that contribute to the realization of each qualifier:</w:t>
      </w:r>
    </w:p>
    <w:p w14:paraId="1F161D5F" w14:textId="77777777" w:rsidR="0042466C" w:rsidRPr="002608C3" w:rsidRDefault="0042466C" w:rsidP="002608C3">
      <w:pPr>
        <w:spacing w:after="0" w:line="240" w:lineRule="auto"/>
        <w:ind w:left="1440"/>
        <w:rPr>
          <w:rFonts w:ascii="Calibri" w:hAnsi="Calibri"/>
          <w:color w:val="4A4A4A"/>
          <w:sz w:val="21"/>
          <w:lang w:val="en-US"/>
        </w:rPr>
      </w:pPr>
    </w:p>
    <w:p w14:paraId="2E718FC4" w14:textId="76B3CFB0"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 xml:space="preserve">Category 1: policy document does not make any reference to the qualifier or the country is not developing or implementing a policy (no </w:t>
      </w:r>
      <w:r w:rsidR="00410F04" w:rsidRPr="002608C3">
        <w:rPr>
          <w:rFonts w:ascii="Calibri" w:hAnsi="Calibri"/>
          <w:color w:val="4A4A4A"/>
          <w:sz w:val="21"/>
          <w:lang w:val="en-US"/>
        </w:rPr>
        <w:t>NUP</w:t>
      </w:r>
      <w:r w:rsidRPr="002608C3">
        <w:rPr>
          <w:rFonts w:ascii="Calibri" w:hAnsi="Calibri"/>
          <w:color w:val="4A4A4A"/>
          <w:sz w:val="21"/>
          <w:lang w:val="en-US"/>
        </w:rPr>
        <w:t xml:space="preserve"> exists)</w:t>
      </w:r>
    </w:p>
    <w:p w14:paraId="55A52C44" w14:textId="6B3378B0"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2: policy document makes some reference to the specific qualifier, but this qualifier is not integrated in the diagnosis and recommendations of the policy</w:t>
      </w:r>
    </w:p>
    <w:p w14:paraId="3CA01348" w14:textId="30A9EB8E"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3: policy document integrates the specific qualifier, but this qualifier is poorly understood or misinterpreted</w:t>
      </w:r>
    </w:p>
    <w:p w14:paraId="64107E2E" w14:textId="01BE648E"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4: policy document integrates in a cross-cutting perspective the specific qualifier without clear policy recommendations</w:t>
      </w:r>
    </w:p>
    <w:p w14:paraId="67C5A06C" w14:textId="00245762"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lastRenderedPageBreak/>
        <w:t>Category 5: policy document integrates and mainstreams the specific qualifier with clear policy recommendations derived from the qualifier</w:t>
      </w:r>
    </w:p>
    <w:p w14:paraId="23A836CA" w14:textId="77777777" w:rsidR="0042466C" w:rsidRPr="002608C3" w:rsidRDefault="0042466C" w:rsidP="002608C3">
      <w:pPr>
        <w:spacing w:after="0" w:line="240" w:lineRule="auto"/>
        <w:rPr>
          <w:rFonts w:ascii="Calibri" w:hAnsi="Calibri"/>
          <w:color w:val="4A4A4A"/>
          <w:sz w:val="21"/>
          <w:lang w:val="en-US"/>
        </w:rPr>
      </w:pPr>
    </w:p>
    <w:p w14:paraId="074A97E9" w14:textId="0D38FC23"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Each category is assigned a percentage bracket, as follows:</w:t>
      </w:r>
    </w:p>
    <w:p w14:paraId="53B285C8" w14:textId="77777777" w:rsidR="0042466C" w:rsidRPr="002608C3" w:rsidRDefault="0042466C" w:rsidP="002608C3">
      <w:pPr>
        <w:spacing w:after="0" w:line="240" w:lineRule="auto"/>
        <w:rPr>
          <w:rFonts w:ascii="Calibri" w:hAnsi="Calibri"/>
          <w:color w:val="4A4A4A"/>
          <w:sz w:val="21"/>
          <w:lang w:val="en-US"/>
        </w:rPr>
      </w:pPr>
    </w:p>
    <w:p w14:paraId="02C33615" w14:textId="5E2D714C"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1: 0 per cent</w:t>
      </w:r>
    </w:p>
    <w:p w14:paraId="15FE70BD" w14:textId="10604F1B"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2: 1-25 per cent</w:t>
      </w:r>
    </w:p>
    <w:p w14:paraId="5D37C379" w14:textId="59C78371"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3: 26-50 per cent</w:t>
      </w:r>
    </w:p>
    <w:p w14:paraId="3F52EE5F" w14:textId="560A6E93"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4: 51-75 per cent</w:t>
      </w:r>
    </w:p>
    <w:p w14:paraId="6B8F7E30" w14:textId="6940E626" w:rsidR="0042466C" w:rsidRPr="002608C3" w:rsidRDefault="0042466C" w:rsidP="002608C3">
      <w:pPr>
        <w:numPr>
          <w:ilvl w:val="0"/>
          <w:numId w:val="7"/>
        </w:numPr>
        <w:spacing w:after="0" w:line="240" w:lineRule="auto"/>
        <w:rPr>
          <w:rFonts w:ascii="Calibri" w:hAnsi="Calibri"/>
          <w:color w:val="4A4A4A"/>
          <w:sz w:val="21"/>
          <w:lang w:val="en-US"/>
        </w:rPr>
      </w:pPr>
      <w:r w:rsidRPr="002608C3">
        <w:rPr>
          <w:rFonts w:ascii="Calibri" w:hAnsi="Calibri"/>
          <w:color w:val="4A4A4A"/>
          <w:sz w:val="21"/>
          <w:lang w:val="en-US"/>
        </w:rPr>
        <w:t>Category 5: 76-100 per cent</w:t>
      </w:r>
    </w:p>
    <w:p w14:paraId="7AE8E2CE" w14:textId="77777777" w:rsidR="0042466C" w:rsidRPr="002608C3" w:rsidRDefault="0042466C" w:rsidP="002608C3">
      <w:pPr>
        <w:spacing w:after="0" w:line="240" w:lineRule="auto"/>
        <w:rPr>
          <w:rFonts w:ascii="Calibri" w:hAnsi="Calibri"/>
          <w:color w:val="4A4A4A"/>
          <w:sz w:val="21"/>
          <w:lang w:val="en-US"/>
        </w:rPr>
      </w:pPr>
    </w:p>
    <w:p w14:paraId="53520447" w14:textId="7BE3157C"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For example, in Table 1, the evaluator provides a numeric value based on the category that corresponds to the qualifier analyzed, understanding that only one category per qualifier is selected:</w:t>
      </w:r>
    </w:p>
    <w:p w14:paraId="3AB7F2CA" w14:textId="77777777" w:rsidR="00985E88" w:rsidRPr="002608C3" w:rsidRDefault="00985E88" w:rsidP="002608C3">
      <w:pPr>
        <w:spacing w:after="0" w:line="240" w:lineRule="auto"/>
        <w:rPr>
          <w:rFonts w:ascii="Calibri" w:eastAsia="Times New Roman" w:hAnsi="Calibri" w:cs="Calibri"/>
          <w:b/>
          <w:bCs/>
          <w:i/>
          <w:iCs/>
          <w:color w:val="4A4A4A"/>
          <w:sz w:val="20"/>
          <w:szCs w:val="20"/>
          <w:lang w:val="en-US" w:eastAsia="en-US"/>
        </w:rPr>
      </w:pPr>
    </w:p>
    <w:p w14:paraId="0C7AF2FC" w14:textId="79CA3D75" w:rsidR="0042466C" w:rsidRPr="002608C3" w:rsidRDefault="0042466C" w:rsidP="002608C3">
      <w:pPr>
        <w:spacing w:after="0" w:line="240" w:lineRule="auto"/>
        <w:rPr>
          <w:rFonts w:ascii="Calibri" w:eastAsia="Times New Roman" w:hAnsi="Calibri" w:cs="Calibri"/>
          <w:b/>
          <w:bCs/>
          <w:i/>
          <w:iCs/>
          <w:color w:val="4A4A4A"/>
          <w:sz w:val="20"/>
          <w:szCs w:val="20"/>
          <w:lang w:val="en-US" w:eastAsia="en-US"/>
        </w:rPr>
      </w:pPr>
      <w:r w:rsidRPr="002608C3">
        <w:rPr>
          <w:rFonts w:ascii="Calibri" w:eastAsia="Times New Roman" w:hAnsi="Calibri" w:cs="Calibri"/>
          <w:b/>
          <w:bCs/>
          <w:i/>
          <w:iCs/>
          <w:color w:val="4A4A4A"/>
          <w:sz w:val="20"/>
          <w:szCs w:val="20"/>
          <w:lang w:val="en-US" w:eastAsia="en-US"/>
        </w:rPr>
        <w:t>Table 1</w:t>
      </w:r>
      <w:r w:rsidR="00FD6E33" w:rsidRPr="002608C3">
        <w:rPr>
          <w:rFonts w:eastAsia="Times New Roman" w:cstheme="minorHAnsi"/>
          <w:b/>
          <w:bCs/>
          <w:i/>
          <w:iCs/>
          <w:color w:val="4A4A4A"/>
          <w:sz w:val="20"/>
          <w:szCs w:val="20"/>
          <w:lang w:val="en-US" w:eastAsia="en-US"/>
        </w:rPr>
        <w:t>:</w:t>
      </w:r>
      <w:r w:rsidRPr="002608C3">
        <w:rPr>
          <w:rFonts w:ascii="Calibri" w:eastAsia="Times New Roman" w:hAnsi="Calibri" w:cs="Calibri"/>
          <w:b/>
          <w:bCs/>
          <w:i/>
          <w:iCs/>
          <w:color w:val="4A4A4A"/>
          <w:sz w:val="20"/>
          <w:szCs w:val="20"/>
          <w:lang w:val="en-US" w:eastAsia="en-US"/>
        </w:rPr>
        <w:t xml:space="preserve"> Evaluators Assessment of one of the qualifiers</w:t>
      </w:r>
    </w:p>
    <w:tbl>
      <w:tblPr>
        <w:tblStyle w:val="MediumGrid3-Accent11"/>
        <w:tblW w:w="9170"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4"/>
        <w:gridCol w:w="1031"/>
        <w:gridCol w:w="1028"/>
        <w:gridCol w:w="981"/>
        <w:gridCol w:w="1056"/>
        <w:gridCol w:w="981"/>
        <w:gridCol w:w="1439"/>
      </w:tblGrid>
      <w:tr w:rsidR="002608C3" w:rsidRPr="00244018" w14:paraId="1B4B2F1C" w14:textId="77777777" w:rsidTr="00260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tcPr>
          <w:p w14:paraId="1992511B" w14:textId="77777777" w:rsidR="0042466C" w:rsidRPr="002608C3" w:rsidRDefault="0042466C" w:rsidP="002608C3">
            <w:pPr>
              <w:jc w:val="center"/>
              <w:rPr>
                <w:rFonts w:ascii="Calibri" w:eastAsia="Times New Roman" w:hAnsi="Calibri" w:cs="Calibri"/>
                <w:sz w:val="18"/>
                <w:szCs w:val="18"/>
              </w:rPr>
            </w:pPr>
          </w:p>
          <w:p w14:paraId="1D3E276B" w14:textId="77777777" w:rsidR="0042466C" w:rsidRPr="002608C3" w:rsidRDefault="0042466C" w:rsidP="002608C3">
            <w:pPr>
              <w:jc w:val="center"/>
              <w:rPr>
                <w:rFonts w:ascii="Calibri" w:eastAsia="Times New Roman" w:hAnsi="Calibri" w:cs="Calibri"/>
                <w:sz w:val="18"/>
                <w:szCs w:val="18"/>
              </w:rPr>
            </w:pPr>
            <w:r w:rsidRPr="002608C3">
              <w:rPr>
                <w:rFonts w:ascii="Calibri" w:eastAsia="Times New Roman" w:hAnsi="Calibri" w:cs="Calibri"/>
                <w:sz w:val="18"/>
                <w:szCs w:val="18"/>
              </w:rPr>
              <w:t>Qualifier</w:t>
            </w:r>
          </w:p>
        </w:tc>
        <w:tc>
          <w:tcPr>
            <w:tcW w:w="1031" w:type="dxa"/>
            <w:tcBorders>
              <w:top w:val="single" w:sz="4" w:space="0" w:color="auto"/>
              <w:left w:val="single" w:sz="4" w:space="0" w:color="auto"/>
              <w:bottom w:val="single" w:sz="4" w:space="0" w:color="auto"/>
              <w:right w:val="single" w:sz="4" w:space="0" w:color="auto"/>
            </w:tcBorders>
            <w:hideMark/>
          </w:tcPr>
          <w:p w14:paraId="747AE698"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Category 1</w:t>
            </w:r>
          </w:p>
          <w:p w14:paraId="29ED544C" w14:textId="22A564BF"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hideMark/>
          </w:tcPr>
          <w:p w14:paraId="10C7C3D9"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Category 2</w:t>
            </w:r>
          </w:p>
          <w:p w14:paraId="5AB1264F" w14:textId="3E16C3EF"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(1-25%)</w:t>
            </w:r>
          </w:p>
        </w:tc>
        <w:tc>
          <w:tcPr>
            <w:tcW w:w="981" w:type="dxa"/>
            <w:tcBorders>
              <w:top w:val="single" w:sz="4" w:space="0" w:color="auto"/>
              <w:left w:val="single" w:sz="4" w:space="0" w:color="auto"/>
              <w:bottom w:val="single" w:sz="4" w:space="0" w:color="auto"/>
              <w:right w:val="single" w:sz="4" w:space="0" w:color="auto"/>
            </w:tcBorders>
            <w:hideMark/>
          </w:tcPr>
          <w:p w14:paraId="591793AB"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Category 3</w:t>
            </w:r>
          </w:p>
          <w:p w14:paraId="7888E155"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(26-50%)</w:t>
            </w:r>
          </w:p>
        </w:tc>
        <w:tc>
          <w:tcPr>
            <w:tcW w:w="1056" w:type="dxa"/>
            <w:tcBorders>
              <w:top w:val="single" w:sz="4" w:space="0" w:color="auto"/>
              <w:left w:val="single" w:sz="4" w:space="0" w:color="auto"/>
              <w:bottom w:val="single" w:sz="4" w:space="0" w:color="auto"/>
              <w:right w:val="single" w:sz="4" w:space="0" w:color="auto"/>
            </w:tcBorders>
            <w:hideMark/>
          </w:tcPr>
          <w:p w14:paraId="36396E65"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Category 4</w:t>
            </w:r>
          </w:p>
          <w:p w14:paraId="544CDD8D"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(51-75%)</w:t>
            </w:r>
          </w:p>
        </w:tc>
        <w:tc>
          <w:tcPr>
            <w:tcW w:w="981" w:type="dxa"/>
            <w:tcBorders>
              <w:top w:val="single" w:sz="4" w:space="0" w:color="auto"/>
              <w:left w:val="single" w:sz="4" w:space="0" w:color="auto"/>
              <w:bottom w:val="single" w:sz="4" w:space="0" w:color="auto"/>
              <w:right w:val="single" w:sz="4" w:space="0" w:color="auto"/>
            </w:tcBorders>
            <w:hideMark/>
          </w:tcPr>
          <w:p w14:paraId="23DC414B"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Category 5</w:t>
            </w:r>
          </w:p>
          <w:p w14:paraId="53C19045"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(76-100%)</w:t>
            </w:r>
          </w:p>
        </w:tc>
        <w:tc>
          <w:tcPr>
            <w:tcW w:w="1439" w:type="dxa"/>
            <w:tcBorders>
              <w:top w:val="single" w:sz="4" w:space="0" w:color="auto"/>
              <w:left w:val="single" w:sz="4" w:space="0" w:color="auto"/>
              <w:bottom w:val="single" w:sz="4" w:space="0" w:color="auto"/>
              <w:right w:val="single" w:sz="4" w:space="0" w:color="auto"/>
            </w:tcBorders>
            <w:hideMark/>
          </w:tcPr>
          <w:p w14:paraId="43C87F7B"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Total</w:t>
            </w:r>
          </w:p>
          <w:p w14:paraId="7DCF7868"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(max 100 per qualifier)</w:t>
            </w:r>
          </w:p>
        </w:tc>
      </w:tr>
      <w:tr w:rsidR="0042466C" w:rsidRPr="00244018" w14:paraId="2C9C80DA"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2E5B0C6E"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(a)</w:t>
            </w:r>
          </w:p>
          <w:p w14:paraId="75F8A7D5" w14:textId="77777777"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respond to population dynamics</w:t>
            </w:r>
          </w:p>
        </w:tc>
        <w:tc>
          <w:tcPr>
            <w:tcW w:w="1031" w:type="dxa"/>
            <w:tcBorders>
              <w:top w:val="single" w:sz="4" w:space="0" w:color="auto"/>
              <w:left w:val="single" w:sz="4" w:space="0" w:color="auto"/>
              <w:bottom w:val="single" w:sz="4" w:space="0" w:color="auto"/>
              <w:right w:val="single" w:sz="4" w:space="0" w:color="auto"/>
            </w:tcBorders>
          </w:tcPr>
          <w:p w14:paraId="5F4B885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FBA7C72"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0451181"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4BD77E0"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tcPr>
          <w:p w14:paraId="03ACA971"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1ECF81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AF6725B"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B8DEB64"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3E8C4F7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7D1770D"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9D0FA00"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113A864"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40%</w:t>
            </w:r>
          </w:p>
        </w:tc>
        <w:tc>
          <w:tcPr>
            <w:tcW w:w="1056" w:type="dxa"/>
            <w:tcBorders>
              <w:top w:val="single" w:sz="4" w:space="0" w:color="auto"/>
              <w:left w:val="single" w:sz="4" w:space="0" w:color="auto"/>
              <w:bottom w:val="single" w:sz="4" w:space="0" w:color="auto"/>
              <w:right w:val="single" w:sz="4" w:space="0" w:color="auto"/>
            </w:tcBorders>
          </w:tcPr>
          <w:p w14:paraId="7A2FEEB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BE62CB7"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84E258B"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9034720"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2DCC533E"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2A2495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6E463F2"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32DB36D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439" w:type="dxa"/>
            <w:tcBorders>
              <w:top w:val="single" w:sz="4" w:space="0" w:color="auto"/>
              <w:left w:val="single" w:sz="4" w:space="0" w:color="auto"/>
              <w:bottom w:val="single" w:sz="4" w:space="0" w:color="auto"/>
              <w:right w:val="single" w:sz="4" w:space="0" w:color="auto"/>
            </w:tcBorders>
          </w:tcPr>
          <w:p w14:paraId="1ED3E71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554967"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CEDCB6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9A15091"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a = 40%</w:t>
            </w:r>
          </w:p>
        </w:tc>
      </w:tr>
      <w:tr w:rsidR="0042466C" w:rsidRPr="00244018" w14:paraId="4DA6F979" w14:textId="77777777" w:rsidTr="0042466C">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0B07EB30"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(b)</w:t>
            </w:r>
          </w:p>
          <w:p w14:paraId="49D6488F" w14:textId="0A678BC8"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ensure balanced regional and territorial development</w:t>
            </w:r>
          </w:p>
        </w:tc>
        <w:tc>
          <w:tcPr>
            <w:tcW w:w="1031" w:type="dxa"/>
            <w:tcBorders>
              <w:top w:val="single" w:sz="4" w:space="0" w:color="auto"/>
              <w:left w:val="single" w:sz="4" w:space="0" w:color="auto"/>
              <w:bottom w:val="single" w:sz="4" w:space="0" w:color="auto"/>
              <w:right w:val="single" w:sz="4" w:space="0" w:color="auto"/>
            </w:tcBorders>
          </w:tcPr>
          <w:p w14:paraId="3CAA71A9"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1D746D2"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6AC4CBBD"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AC90FC4"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E6EA0A8"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tcPr>
          <w:p w14:paraId="65160753"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923E122"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08090FF"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F475098"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5DEB9568" w14:textId="416A36F9"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20%</w:t>
            </w:r>
          </w:p>
        </w:tc>
        <w:tc>
          <w:tcPr>
            <w:tcW w:w="981" w:type="dxa"/>
            <w:tcBorders>
              <w:top w:val="single" w:sz="4" w:space="0" w:color="auto"/>
              <w:left w:val="single" w:sz="4" w:space="0" w:color="auto"/>
              <w:bottom w:val="single" w:sz="4" w:space="0" w:color="auto"/>
              <w:right w:val="single" w:sz="4" w:space="0" w:color="auto"/>
            </w:tcBorders>
          </w:tcPr>
          <w:p w14:paraId="31CFADD8"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74D0300"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078CE13"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58675C9"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261736A" w14:textId="22CBB498"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56" w:type="dxa"/>
            <w:tcBorders>
              <w:top w:val="single" w:sz="4" w:space="0" w:color="auto"/>
              <w:left w:val="single" w:sz="4" w:space="0" w:color="auto"/>
              <w:bottom w:val="single" w:sz="4" w:space="0" w:color="auto"/>
              <w:right w:val="single" w:sz="4" w:space="0" w:color="auto"/>
            </w:tcBorders>
          </w:tcPr>
          <w:p w14:paraId="5F9589B7"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6D11404"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DF98B76"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967F594"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444DBB8" w14:textId="7BDBDF4A"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10AE2173"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345F925"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E73B50B"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7F52E1B"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03F69AC1" w14:textId="3D12234D"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439" w:type="dxa"/>
            <w:tcBorders>
              <w:top w:val="single" w:sz="4" w:space="0" w:color="auto"/>
              <w:left w:val="single" w:sz="4" w:space="0" w:color="auto"/>
              <w:bottom w:val="single" w:sz="4" w:space="0" w:color="auto"/>
              <w:right w:val="single" w:sz="4" w:space="0" w:color="auto"/>
            </w:tcBorders>
          </w:tcPr>
          <w:p w14:paraId="269B8288"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36EB5986"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7DD63368"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1D7F12CC"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p>
          <w:p w14:paraId="2F00D2E2" w14:textId="7BE11FE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b = 20%</w:t>
            </w:r>
          </w:p>
        </w:tc>
      </w:tr>
      <w:tr w:rsidR="0042466C" w:rsidRPr="00244018" w14:paraId="123681EE" w14:textId="77777777" w:rsidTr="00424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4" w:type="dxa"/>
            <w:tcBorders>
              <w:top w:val="single" w:sz="4" w:space="0" w:color="auto"/>
              <w:left w:val="single" w:sz="4" w:space="0" w:color="auto"/>
              <w:bottom w:val="single" w:sz="4" w:space="0" w:color="auto"/>
              <w:right w:val="single" w:sz="4" w:space="0" w:color="auto"/>
            </w:tcBorders>
            <w:hideMark/>
          </w:tcPr>
          <w:p w14:paraId="19BD7AD7"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(c)</w:t>
            </w:r>
          </w:p>
          <w:p w14:paraId="151E4274" w14:textId="0691E672"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increase local fiscal space</w:t>
            </w:r>
          </w:p>
        </w:tc>
        <w:tc>
          <w:tcPr>
            <w:tcW w:w="1031" w:type="dxa"/>
            <w:tcBorders>
              <w:top w:val="single" w:sz="4" w:space="0" w:color="auto"/>
              <w:left w:val="single" w:sz="4" w:space="0" w:color="auto"/>
              <w:bottom w:val="single" w:sz="4" w:space="0" w:color="auto"/>
              <w:right w:val="single" w:sz="4" w:space="0" w:color="auto"/>
            </w:tcBorders>
          </w:tcPr>
          <w:p w14:paraId="44E82665"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915CAC2"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41034B0"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CC23754" w14:textId="26424AE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28" w:type="dxa"/>
            <w:tcBorders>
              <w:top w:val="single" w:sz="4" w:space="0" w:color="auto"/>
              <w:left w:val="single" w:sz="4" w:space="0" w:color="auto"/>
              <w:bottom w:val="single" w:sz="4" w:space="0" w:color="auto"/>
              <w:right w:val="single" w:sz="4" w:space="0" w:color="auto"/>
            </w:tcBorders>
          </w:tcPr>
          <w:p w14:paraId="31D160DE"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87DE5D6"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0E71DA2"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5D688FFD" w14:textId="58404F31"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981" w:type="dxa"/>
            <w:tcBorders>
              <w:top w:val="single" w:sz="4" w:space="0" w:color="auto"/>
              <w:left w:val="single" w:sz="4" w:space="0" w:color="auto"/>
              <w:bottom w:val="single" w:sz="4" w:space="0" w:color="auto"/>
              <w:right w:val="single" w:sz="4" w:space="0" w:color="auto"/>
            </w:tcBorders>
          </w:tcPr>
          <w:p w14:paraId="0F68C956"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00955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B6E5E83"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42C7FA3" w14:textId="362AEB62"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056" w:type="dxa"/>
            <w:tcBorders>
              <w:top w:val="single" w:sz="4" w:space="0" w:color="auto"/>
              <w:left w:val="single" w:sz="4" w:space="0" w:color="auto"/>
              <w:bottom w:val="single" w:sz="4" w:space="0" w:color="auto"/>
              <w:right w:val="single" w:sz="4" w:space="0" w:color="auto"/>
            </w:tcBorders>
          </w:tcPr>
          <w:p w14:paraId="7A2964F5"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112F58E"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6F630773"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521AFD4"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75%</w:t>
            </w:r>
          </w:p>
        </w:tc>
        <w:tc>
          <w:tcPr>
            <w:tcW w:w="981" w:type="dxa"/>
            <w:tcBorders>
              <w:top w:val="single" w:sz="4" w:space="0" w:color="auto"/>
              <w:left w:val="single" w:sz="4" w:space="0" w:color="auto"/>
              <w:bottom w:val="single" w:sz="4" w:space="0" w:color="auto"/>
              <w:right w:val="single" w:sz="4" w:space="0" w:color="auto"/>
            </w:tcBorders>
          </w:tcPr>
          <w:p w14:paraId="386324F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E8E067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399B3BA1"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134B6A01" w14:textId="2794ED9D"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0</w:t>
            </w:r>
          </w:p>
        </w:tc>
        <w:tc>
          <w:tcPr>
            <w:tcW w:w="1439" w:type="dxa"/>
            <w:tcBorders>
              <w:top w:val="single" w:sz="4" w:space="0" w:color="auto"/>
              <w:left w:val="single" w:sz="4" w:space="0" w:color="auto"/>
              <w:bottom w:val="single" w:sz="4" w:space="0" w:color="auto"/>
              <w:right w:val="single" w:sz="4" w:space="0" w:color="auto"/>
            </w:tcBorders>
          </w:tcPr>
          <w:p w14:paraId="4F2E6C06"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42F2FCD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7EDABC10"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p>
          <w:p w14:paraId="286DAA99" w14:textId="176C5FCD"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 = 75%</w:t>
            </w:r>
          </w:p>
        </w:tc>
      </w:tr>
    </w:tbl>
    <w:p w14:paraId="502352D7" w14:textId="77777777" w:rsidR="0042466C" w:rsidRPr="002608C3" w:rsidRDefault="0042466C" w:rsidP="002608C3">
      <w:pPr>
        <w:shd w:val="clear" w:color="auto" w:fill="FFFFFF"/>
        <w:spacing w:after="0" w:line="240" w:lineRule="auto"/>
        <w:rPr>
          <w:rFonts w:ascii="Calibri" w:eastAsia="Times New Roman" w:hAnsi="Calibri" w:cs="Calibri"/>
          <w:sz w:val="20"/>
          <w:szCs w:val="20"/>
          <w:lang w:val="en-US" w:eastAsia="en-US"/>
        </w:rPr>
      </w:pPr>
    </w:p>
    <w:p w14:paraId="762DD19A" w14:textId="77777777" w:rsidR="0042466C" w:rsidRPr="002608C3" w:rsidRDefault="0042466C"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To reduce the bias of subjectivity in the overall assessment, independent policy evaluation will be undertaken by several evaluators. Once each qualifier is evaluated by all the evaluators, a final averaged value for the indicator 11.a.1 is calculated. The table 2 below provides a summary of the procedures for the computation of the final values (final averaged value for the indicator 11.a.1).</w:t>
      </w:r>
    </w:p>
    <w:p w14:paraId="56CEF66F" w14:textId="77777777" w:rsidR="0042466C" w:rsidRPr="002608C3" w:rsidRDefault="0042466C" w:rsidP="002608C3">
      <w:pPr>
        <w:shd w:val="clear" w:color="auto" w:fill="FFFFFF"/>
        <w:spacing w:after="0" w:line="240" w:lineRule="auto"/>
        <w:rPr>
          <w:rFonts w:ascii="Calibri" w:eastAsia="Times New Roman" w:hAnsi="Calibri" w:cs="Calibri"/>
          <w:color w:val="4A4A4A"/>
          <w:sz w:val="20"/>
          <w:szCs w:val="20"/>
          <w:lang w:val="en-US" w:eastAsia="en-US"/>
        </w:rPr>
      </w:pPr>
    </w:p>
    <w:p w14:paraId="2B515BA1" w14:textId="2715B720" w:rsidR="001B0031" w:rsidRPr="00050671" w:rsidRDefault="0042466C" w:rsidP="002608C3">
      <w:pPr>
        <w:spacing w:after="0" w:line="240" w:lineRule="auto"/>
        <w:rPr>
          <w:rFonts w:ascii="Calibri" w:eastAsia="Times New Roman" w:hAnsi="Calibri" w:cs="Calibri"/>
          <w:b/>
          <w:bCs/>
          <w:i/>
          <w:iCs/>
          <w:color w:val="4A4A4A"/>
          <w:sz w:val="20"/>
          <w:szCs w:val="20"/>
          <w:lang w:val="en-US" w:eastAsia="en-US"/>
        </w:rPr>
      </w:pPr>
      <w:r w:rsidRPr="002608C3">
        <w:rPr>
          <w:rFonts w:ascii="Calibri" w:eastAsia="Times New Roman" w:hAnsi="Calibri" w:cs="Calibri"/>
          <w:b/>
          <w:bCs/>
          <w:i/>
          <w:iCs/>
          <w:color w:val="4A4A4A"/>
          <w:sz w:val="20"/>
          <w:szCs w:val="20"/>
          <w:lang w:val="en-US" w:eastAsia="en-US"/>
        </w:rPr>
        <w:t>Table 2: Summary table for the computations of the indicator</w:t>
      </w:r>
    </w:p>
    <w:tbl>
      <w:tblPr>
        <w:tblStyle w:val="MediumGrid3-Accent11"/>
        <w:tblW w:w="9630" w:type="dxa"/>
        <w:tblInd w:w="-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74"/>
        <w:gridCol w:w="1170"/>
        <w:gridCol w:w="1079"/>
        <w:gridCol w:w="1169"/>
        <w:gridCol w:w="1169"/>
        <w:gridCol w:w="2069"/>
      </w:tblGrid>
      <w:tr w:rsidR="002608C3" w:rsidRPr="00244018" w14:paraId="513E1C1E" w14:textId="77777777" w:rsidTr="002608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523A5B58" w14:textId="77777777" w:rsidR="0042466C" w:rsidRPr="002608C3" w:rsidRDefault="0042466C" w:rsidP="002608C3">
            <w:pPr>
              <w:jc w:val="center"/>
              <w:rPr>
                <w:rFonts w:ascii="Calibri" w:eastAsia="Times New Roman" w:hAnsi="Calibri" w:cs="Calibri"/>
                <w:sz w:val="18"/>
                <w:szCs w:val="18"/>
              </w:rPr>
            </w:pPr>
            <w:r w:rsidRPr="002608C3">
              <w:rPr>
                <w:rFonts w:ascii="Calibri" w:eastAsia="Times New Roman" w:hAnsi="Calibri" w:cs="Calibri"/>
                <w:sz w:val="18"/>
                <w:szCs w:val="18"/>
              </w:rPr>
              <w:t xml:space="preserve">National Urban Policy </w:t>
            </w:r>
          </w:p>
        </w:tc>
        <w:tc>
          <w:tcPr>
            <w:tcW w:w="1170" w:type="dxa"/>
            <w:tcBorders>
              <w:top w:val="single" w:sz="4" w:space="0" w:color="auto"/>
              <w:left w:val="single" w:sz="4" w:space="0" w:color="auto"/>
              <w:bottom w:val="single" w:sz="4" w:space="0" w:color="auto"/>
              <w:right w:val="single" w:sz="4" w:space="0" w:color="auto"/>
            </w:tcBorders>
            <w:hideMark/>
          </w:tcPr>
          <w:p w14:paraId="23CF2459"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 xml:space="preserve">Evaluation 1 </w:t>
            </w:r>
          </w:p>
        </w:tc>
        <w:tc>
          <w:tcPr>
            <w:tcW w:w="1080" w:type="dxa"/>
            <w:tcBorders>
              <w:top w:val="single" w:sz="4" w:space="0" w:color="auto"/>
              <w:left w:val="single" w:sz="4" w:space="0" w:color="auto"/>
              <w:bottom w:val="single" w:sz="4" w:space="0" w:color="auto"/>
              <w:right w:val="single" w:sz="4" w:space="0" w:color="auto"/>
            </w:tcBorders>
            <w:hideMark/>
          </w:tcPr>
          <w:p w14:paraId="5CB23AF4"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 xml:space="preserve">Evaluation 2 </w:t>
            </w:r>
          </w:p>
        </w:tc>
        <w:tc>
          <w:tcPr>
            <w:tcW w:w="1170" w:type="dxa"/>
            <w:tcBorders>
              <w:top w:val="single" w:sz="4" w:space="0" w:color="auto"/>
              <w:left w:val="single" w:sz="4" w:space="0" w:color="auto"/>
              <w:bottom w:val="single" w:sz="4" w:space="0" w:color="auto"/>
              <w:right w:val="single" w:sz="4" w:space="0" w:color="auto"/>
            </w:tcBorders>
            <w:hideMark/>
          </w:tcPr>
          <w:p w14:paraId="3C8C8D90"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 xml:space="preserve">Evaluation 3 </w:t>
            </w:r>
          </w:p>
        </w:tc>
        <w:tc>
          <w:tcPr>
            <w:tcW w:w="1170" w:type="dxa"/>
            <w:tcBorders>
              <w:top w:val="single" w:sz="4" w:space="0" w:color="auto"/>
              <w:left w:val="single" w:sz="4" w:space="0" w:color="auto"/>
              <w:bottom w:val="single" w:sz="4" w:space="0" w:color="auto"/>
              <w:right w:val="single" w:sz="4" w:space="0" w:color="auto"/>
            </w:tcBorders>
            <w:hideMark/>
          </w:tcPr>
          <w:p w14:paraId="771FAEDE"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 xml:space="preserve">Evaluation 4 </w:t>
            </w:r>
          </w:p>
        </w:tc>
        <w:tc>
          <w:tcPr>
            <w:tcW w:w="2070" w:type="dxa"/>
            <w:tcBorders>
              <w:top w:val="single" w:sz="4" w:space="0" w:color="auto"/>
              <w:left w:val="single" w:sz="4" w:space="0" w:color="auto"/>
              <w:bottom w:val="single" w:sz="4" w:space="0" w:color="auto"/>
              <w:right w:val="single" w:sz="4" w:space="0" w:color="auto"/>
            </w:tcBorders>
            <w:hideMark/>
          </w:tcPr>
          <w:p w14:paraId="15846786"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Total</w:t>
            </w:r>
          </w:p>
          <w:p w14:paraId="13843050" w14:textId="77777777" w:rsidR="0042466C" w:rsidRPr="002608C3" w:rsidRDefault="0042466C" w:rsidP="002608C3">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(max 100 per qualifier)</w:t>
            </w:r>
          </w:p>
        </w:tc>
      </w:tr>
      <w:tr w:rsidR="002608C3" w:rsidRPr="00244018" w14:paraId="5A22B524" w14:textId="77777777" w:rsidTr="00260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56C9876F"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(a)</w:t>
            </w:r>
          </w:p>
          <w:p w14:paraId="0C5D93AE" w14:textId="77777777"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respond to population dynamics</w:t>
            </w:r>
          </w:p>
        </w:tc>
        <w:tc>
          <w:tcPr>
            <w:tcW w:w="1170" w:type="dxa"/>
            <w:tcBorders>
              <w:top w:val="single" w:sz="4" w:space="0" w:color="auto"/>
              <w:left w:val="single" w:sz="4" w:space="0" w:color="auto"/>
              <w:bottom w:val="single" w:sz="4" w:space="0" w:color="auto"/>
              <w:right w:val="single" w:sz="4" w:space="0" w:color="auto"/>
            </w:tcBorders>
            <w:hideMark/>
          </w:tcPr>
          <w:p w14:paraId="7CF73254"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A1</w:t>
            </w:r>
          </w:p>
        </w:tc>
        <w:tc>
          <w:tcPr>
            <w:tcW w:w="1080" w:type="dxa"/>
            <w:tcBorders>
              <w:top w:val="single" w:sz="4" w:space="0" w:color="auto"/>
              <w:left w:val="single" w:sz="4" w:space="0" w:color="auto"/>
              <w:bottom w:val="single" w:sz="4" w:space="0" w:color="auto"/>
              <w:right w:val="single" w:sz="4" w:space="0" w:color="auto"/>
            </w:tcBorders>
            <w:hideMark/>
          </w:tcPr>
          <w:p w14:paraId="3252C298"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A2</w:t>
            </w:r>
          </w:p>
        </w:tc>
        <w:tc>
          <w:tcPr>
            <w:tcW w:w="1170" w:type="dxa"/>
            <w:tcBorders>
              <w:top w:val="single" w:sz="4" w:space="0" w:color="auto"/>
              <w:left w:val="single" w:sz="4" w:space="0" w:color="auto"/>
              <w:bottom w:val="single" w:sz="4" w:space="0" w:color="auto"/>
              <w:right w:val="single" w:sz="4" w:space="0" w:color="auto"/>
            </w:tcBorders>
            <w:hideMark/>
          </w:tcPr>
          <w:p w14:paraId="2C000149"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A3</w:t>
            </w:r>
          </w:p>
        </w:tc>
        <w:tc>
          <w:tcPr>
            <w:tcW w:w="1170" w:type="dxa"/>
            <w:tcBorders>
              <w:top w:val="single" w:sz="4" w:space="0" w:color="auto"/>
              <w:left w:val="single" w:sz="4" w:space="0" w:color="auto"/>
              <w:bottom w:val="single" w:sz="4" w:space="0" w:color="auto"/>
              <w:right w:val="single" w:sz="4" w:space="0" w:color="auto"/>
            </w:tcBorders>
            <w:hideMark/>
          </w:tcPr>
          <w:p w14:paraId="173E0C9D"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A4</w:t>
            </w:r>
          </w:p>
        </w:tc>
        <w:tc>
          <w:tcPr>
            <w:tcW w:w="2070" w:type="dxa"/>
            <w:tcBorders>
              <w:top w:val="single" w:sz="4" w:space="0" w:color="auto"/>
              <w:left w:val="single" w:sz="4" w:space="0" w:color="auto"/>
              <w:bottom w:val="single" w:sz="4" w:space="0" w:color="auto"/>
              <w:right w:val="single" w:sz="4" w:space="0" w:color="auto"/>
            </w:tcBorders>
            <w:hideMark/>
          </w:tcPr>
          <w:p w14:paraId="42769443" w14:textId="33A4050E"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Qa = (A1+A2+A3+A4)/4</w:t>
            </w:r>
          </w:p>
        </w:tc>
      </w:tr>
      <w:tr w:rsidR="002608C3" w:rsidRPr="00244018" w14:paraId="55F3C7A1" w14:textId="77777777" w:rsidTr="002608C3">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008C0803"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(b)</w:t>
            </w:r>
          </w:p>
          <w:p w14:paraId="171C1E14" w14:textId="3662ABCD"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ensure balanced regional and territorial development</w:t>
            </w:r>
          </w:p>
        </w:tc>
        <w:tc>
          <w:tcPr>
            <w:tcW w:w="1170" w:type="dxa"/>
            <w:tcBorders>
              <w:top w:val="single" w:sz="4" w:space="0" w:color="auto"/>
              <w:left w:val="single" w:sz="4" w:space="0" w:color="auto"/>
              <w:bottom w:val="single" w:sz="4" w:space="0" w:color="auto"/>
              <w:right w:val="single" w:sz="4" w:space="0" w:color="auto"/>
            </w:tcBorders>
            <w:hideMark/>
          </w:tcPr>
          <w:p w14:paraId="2CBAA794"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B1</w:t>
            </w:r>
          </w:p>
        </w:tc>
        <w:tc>
          <w:tcPr>
            <w:tcW w:w="1080" w:type="dxa"/>
            <w:tcBorders>
              <w:top w:val="single" w:sz="4" w:space="0" w:color="auto"/>
              <w:left w:val="single" w:sz="4" w:space="0" w:color="auto"/>
              <w:bottom w:val="single" w:sz="4" w:space="0" w:color="auto"/>
              <w:right w:val="single" w:sz="4" w:space="0" w:color="auto"/>
            </w:tcBorders>
            <w:hideMark/>
          </w:tcPr>
          <w:p w14:paraId="0FBBB498" w14:textId="0265966B"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B2</w:t>
            </w:r>
          </w:p>
        </w:tc>
        <w:tc>
          <w:tcPr>
            <w:tcW w:w="1170" w:type="dxa"/>
            <w:tcBorders>
              <w:top w:val="single" w:sz="4" w:space="0" w:color="auto"/>
              <w:left w:val="single" w:sz="4" w:space="0" w:color="auto"/>
              <w:bottom w:val="single" w:sz="4" w:space="0" w:color="auto"/>
              <w:right w:val="single" w:sz="4" w:space="0" w:color="auto"/>
            </w:tcBorders>
            <w:hideMark/>
          </w:tcPr>
          <w:p w14:paraId="2F0BE28E" w14:textId="0E482A2A"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B3</w:t>
            </w:r>
          </w:p>
        </w:tc>
        <w:tc>
          <w:tcPr>
            <w:tcW w:w="1170" w:type="dxa"/>
            <w:tcBorders>
              <w:top w:val="single" w:sz="4" w:space="0" w:color="auto"/>
              <w:left w:val="single" w:sz="4" w:space="0" w:color="auto"/>
              <w:bottom w:val="single" w:sz="4" w:space="0" w:color="auto"/>
              <w:right w:val="single" w:sz="4" w:space="0" w:color="auto"/>
            </w:tcBorders>
            <w:hideMark/>
          </w:tcPr>
          <w:p w14:paraId="75FF2DAC" w14:textId="018655F2"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B4</w:t>
            </w:r>
          </w:p>
        </w:tc>
        <w:tc>
          <w:tcPr>
            <w:tcW w:w="2070" w:type="dxa"/>
            <w:tcBorders>
              <w:top w:val="single" w:sz="4" w:space="0" w:color="auto"/>
              <w:left w:val="single" w:sz="4" w:space="0" w:color="auto"/>
              <w:bottom w:val="single" w:sz="4" w:space="0" w:color="auto"/>
              <w:right w:val="single" w:sz="4" w:space="0" w:color="auto"/>
            </w:tcBorders>
            <w:hideMark/>
          </w:tcPr>
          <w:p w14:paraId="59881E00"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Qb = (B1+B2+B3+B4)/4</w:t>
            </w:r>
          </w:p>
        </w:tc>
      </w:tr>
      <w:tr w:rsidR="002608C3" w:rsidRPr="00244018" w14:paraId="49FC7DD1" w14:textId="77777777" w:rsidTr="002608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hideMark/>
          </w:tcPr>
          <w:p w14:paraId="043E5F55" w14:textId="77777777" w:rsidR="0042466C" w:rsidRPr="002608C3" w:rsidRDefault="0042466C" w:rsidP="002608C3">
            <w:pPr>
              <w:rPr>
                <w:rFonts w:ascii="Calibri" w:eastAsia="Times New Roman" w:hAnsi="Calibri" w:cs="Calibri"/>
                <w:sz w:val="18"/>
                <w:szCs w:val="18"/>
              </w:rPr>
            </w:pPr>
            <w:r w:rsidRPr="002608C3">
              <w:rPr>
                <w:rFonts w:ascii="Calibri" w:eastAsia="Times New Roman" w:hAnsi="Calibri" w:cs="Calibri"/>
                <w:sz w:val="18"/>
                <w:szCs w:val="18"/>
              </w:rPr>
              <w:t>Qualifier (c)</w:t>
            </w:r>
          </w:p>
          <w:p w14:paraId="67DBEC4F" w14:textId="199BD060" w:rsidR="0042466C" w:rsidRPr="002608C3" w:rsidRDefault="0042466C" w:rsidP="002608C3">
            <w:pPr>
              <w:rPr>
                <w:rFonts w:ascii="Calibri" w:eastAsia="Times New Roman" w:hAnsi="Calibri" w:cs="Calibri"/>
                <w:i/>
                <w:sz w:val="18"/>
                <w:szCs w:val="18"/>
              </w:rPr>
            </w:pPr>
            <w:r w:rsidRPr="002608C3">
              <w:rPr>
                <w:rFonts w:ascii="Calibri" w:eastAsia="Times New Roman" w:hAnsi="Calibri" w:cs="Calibri"/>
                <w:i/>
                <w:sz w:val="18"/>
                <w:szCs w:val="18"/>
              </w:rPr>
              <w:t>National urban policies or regional development plans increase local fiscal space</w:t>
            </w:r>
          </w:p>
        </w:tc>
        <w:tc>
          <w:tcPr>
            <w:tcW w:w="1170" w:type="dxa"/>
            <w:tcBorders>
              <w:top w:val="single" w:sz="4" w:space="0" w:color="auto"/>
              <w:left w:val="single" w:sz="4" w:space="0" w:color="auto"/>
              <w:bottom w:val="single" w:sz="4" w:space="0" w:color="auto"/>
              <w:right w:val="single" w:sz="4" w:space="0" w:color="auto"/>
            </w:tcBorders>
            <w:hideMark/>
          </w:tcPr>
          <w:p w14:paraId="7B0587E2"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C1</w:t>
            </w:r>
          </w:p>
        </w:tc>
        <w:tc>
          <w:tcPr>
            <w:tcW w:w="1080" w:type="dxa"/>
            <w:tcBorders>
              <w:top w:val="single" w:sz="4" w:space="0" w:color="auto"/>
              <w:left w:val="single" w:sz="4" w:space="0" w:color="auto"/>
              <w:bottom w:val="single" w:sz="4" w:space="0" w:color="auto"/>
              <w:right w:val="single" w:sz="4" w:space="0" w:color="auto"/>
            </w:tcBorders>
            <w:hideMark/>
          </w:tcPr>
          <w:p w14:paraId="1E3AEC9A"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C2</w:t>
            </w:r>
          </w:p>
        </w:tc>
        <w:tc>
          <w:tcPr>
            <w:tcW w:w="1170" w:type="dxa"/>
            <w:tcBorders>
              <w:top w:val="single" w:sz="4" w:space="0" w:color="auto"/>
              <w:left w:val="single" w:sz="4" w:space="0" w:color="auto"/>
              <w:bottom w:val="single" w:sz="4" w:space="0" w:color="auto"/>
              <w:right w:val="single" w:sz="4" w:space="0" w:color="auto"/>
            </w:tcBorders>
            <w:hideMark/>
          </w:tcPr>
          <w:p w14:paraId="5593A164"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C3</w:t>
            </w:r>
          </w:p>
        </w:tc>
        <w:tc>
          <w:tcPr>
            <w:tcW w:w="1170" w:type="dxa"/>
            <w:tcBorders>
              <w:top w:val="single" w:sz="4" w:space="0" w:color="auto"/>
              <w:left w:val="single" w:sz="4" w:space="0" w:color="auto"/>
              <w:bottom w:val="single" w:sz="4" w:space="0" w:color="auto"/>
              <w:right w:val="single" w:sz="4" w:space="0" w:color="auto"/>
            </w:tcBorders>
            <w:hideMark/>
          </w:tcPr>
          <w:p w14:paraId="1BA3642E" w14:textId="77777777" w:rsidR="0042466C" w:rsidRPr="002608C3" w:rsidRDefault="0042466C" w:rsidP="002608C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C4</w:t>
            </w:r>
          </w:p>
        </w:tc>
        <w:tc>
          <w:tcPr>
            <w:tcW w:w="2070" w:type="dxa"/>
            <w:tcBorders>
              <w:top w:val="single" w:sz="4" w:space="0" w:color="auto"/>
              <w:left w:val="single" w:sz="4" w:space="0" w:color="auto"/>
              <w:bottom w:val="single" w:sz="4" w:space="0" w:color="auto"/>
              <w:right w:val="single" w:sz="4" w:space="0" w:color="auto"/>
            </w:tcBorders>
            <w:hideMark/>
          </w:tcPr>
          <w:p w14:paraId="6646ECEF" w14:textId="77777777" w:rsidR="0042466C" w:rsidRPr="002608C3" w:rsidRDefault="0042466C" w:rsidP="002608C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Qc = (C1+C2+C3+C4)/4</w:t>
            </w:r>
          </w:p>
        </w:tc>
      </w:tr>
      <w:tr w:rsidR="0042466C" w:rsidRPr="00244018" w14:paraId="2F1C3A40" w14:textId="77777777" w:rsidTr="002608C3">
        <w:tc>
          <w:tcPr>
            <w:cnfStyle w:val="001000000000" w:firstRow="0" w:lastRow="0" w:firstColumn="1" w:lastColumn="0" w:oddVBand="0" w:evenVBand="0" w:oddHBand="0" w:evenHBand="0" w:firstRowFirstColumn="0" w:firstRowLastColumn="0" w:lastRowFirstColumn="0" w:lastRowLastColumn="0"/>
            <w:tcW w:w="2975" w:type="dxa"/>
            <w:tcBorders>
              <w:top w:val="single" w:sz="4" w:space="0" w:color="auto"/>
              <w:left w:val="single" w:sz="4" w:space="0" w:color="auto"/>
              <w:bottom w:val="single" w:sz="4" w:space="0" w:color="auto"/>
              <w:right w:val="single" w:sz="4" w:space="0" w:color="auto"/>
            </w:tcBorders>
          </w:tcPr>
          <w:p w14:paraId="76739177" w14:textId="77777777" w:rsidR="0042466C" w:rsidRPr="002608C3" w:rsidRDefault="0042466C" w:rsidP="002608C3">
            <w:pPr>
              <w:rPr>
                <w:rFonts w:ascii="Calibri" w:hAnsi="Calibri" w:cs="Calibri"/>
                <w:sz w:val="18"/>
                <w:szCs w:val="18"/>
              </w:rPr>
            </w:pPr>
          </w:p>
        </w:tc>
        <w:tc>
          <w:tcPr>
            <w:tcW w:w="4590" w:type="dxa"/>
            <w:gridSpan w:val="4"/>
            <w:tcBorders>
              <w:top w:val="single" w:sz="4" w:space="0" w:color="auto"/>
              <w:left w:val="single" w:sz="4" w:space="0" w:color="auto"/>
              <w:bottom w:val="single" w:sz="4" w:space="0" w:color="auto"/>
              <w:right w:val="single" w:sz="4" w:space="0" w:color="auto"/>
            </w:tcBorders>
            <w:hideMark/>
          </w:tcPr>
          <w:p w14:paraId="4AA07A91" w14:textId="77777777"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Final value of the assessment (average values of all 3 qualifiers)</w:t>
            </w:r>
          </w:p>
        </w:tc>
        <w:tc>
          <w:tcPr>
            <w:tcW w:w="2070" w:type="dxa"/>
            <w:tcBorders>
              <w:top w:val="single" w:sz="4" w:space="0" w:color="auto"/>
              <w:left w:val="single" w:sz="4" w:space="0" w:color="auto"/>
              <w:bottom w:val="single" w:sz="4" w:space="0" w:color="auto"/>
              <w:right w:val="single" w:sz="4" w:space="0" w:color="auto"/>
            </w:tcBorders>
            <w:hideMark/>
          </w:tcPr>
          <w:p w14:paraId="098ADBBB" w14:textId="0995B3D8" w:rsidR="0042466C" w:rsidRPr="002608C3" w:rsidRDefault="0042466C" w:rsidP="002608C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18"/>
                <w:szCs w:val="18"/>
              </w:rPr>
            </w:pPr>
            <w:r w:rsidRPr="002608C3">
              <w:rPr>
                <w:rFonts w:ascii="Calibri" w:eastAsia="Times New Roman" w:hAnsi="Calibri" w:cs="Calibri"/>
                <w:sz w:val="18"/>
                <w:szCs w:val="18"/>
              </w:rPr>
              <w:t>X = (Qa + Qb + Qc)/3</w:t>
            </w:r>
          </w:p>
        </w:tc>
      </w:tr>
    </w:tbl>
    <w:p w14:paraId="68F36E42" w14:textId="77777777" w:rsidR="0042466C" w:rsidRPr="002608C3" w:rsidRDefault="0042466C" w:rsidP="002608C3">
      <w:pPr>
        <w:shd w:val="clear" w:color="auto" w:fill="FFFFFF"/>
        <w:spacing w:after="0" w:line="240" w:lineRule="auto"/>
        <w:rPr>
          <w:rFonts w:ascii="Calibri" w:eastAsia="Times New Roman" w:hAnsi="Calibri" w:cs="Calibri"/>
          <w:sz w:val="20"/>
          <w:szCs w:val="20"/>
          <w:lang w:val="en-US" w:eastAsia="en-US"/>
        </w:rPr>
      </w:pPr>
    </w:p>
    <w:p w14:paraId="5DD9BEFA" w14:textId="0CE9C915" w:rsidR="0042466C" w:rsidRPr="002608C3" w:rsidRDefault="0042466C" w:rsidP="00554984">
      <w:pPr>
        <w:spacing w:after="0" w:line="240" w:lineRule="auto"/>
        <w:rPr>
          <w:rFonts w:ascii="Calibri" w:hAnsi="Calibri"/>
          <w:color w:val="4A4A4A"/>
          <w:sz w:val="21"/>
          <w:lang w:val="en-US"/>
        </w:rPr>
      </w:pPr>
      <w:r w:rsidRPr="002608C3">
        <w:rPr>
          <w:rFonts w:ascii="Calibri" w:hAnsi="Calibri"/>
          <w:color w:val="4A4A4A"/>
          <w:sz w:val="21"/>
          <w:lang w:val="en-US"/>
        </w:rPr>
        <w:t xml:space="preserve">Based on the final value of the assessment (X in Table 2 above), </w:t>
      </w:r>
      <w:r w:rsidR="003A42B6" w:rsidRPr="002608C3">
        <w:rPr>
          <w:rFonts w:ascii="Calibri" w:hAnsi="Calibri"/>
          <w:color w:val="4A4A4A"/>
          <w:sz w:val="21"/>
          <w:lang w:val="en-US"/>
        </w:rPr>
        <w:t>Category 1</w:t>
      </w:r>
      <w:r w:rsidR="003A42B6">
        <w:rPr>
          <w:rFonts w:ascii="Calibri" w:hAnsi="Calibri"/>
          <w:color w:val="4A4A4A"/>
          <w:sz w:val="21"/>
          <w:lang w:val="en-US"/>
        </w:rPr>
        <w:t xml:space="preserve"> countries are considered as </w:t>
      </w:r>
      <w:r w:rsidR="003A42B6" w:rsidRPr="002608C3">
        <w:rPr>
          <w:rFonts w:ascii="Calibri" w:hAnsi="Calibri"/>
          <w:color w:val="4A4A4A"/>
          <w:sz w:val="21"/>
          <w:lang w:val="en-US"/>
        </w:rPr>
        <w:t xml:space="preserve"> countr</w:t>
      </w:r>
      <w:r w:rsidR="003A42B6">
        <w:rPr>
          <w:rFonts w:ascii="Calibri" w:hAnsi="Calibri"/>
          <w:color w:val="4A4A4A"/>
          <w:sz w:val="21"/>
          <w:lang w:val="en-US"/>
        </w:rPr>
        <w:t>ies that are</w:t>
      </w:r>
      <w:r w:rsidR="003A42B6" w:rsidRPr="002608C3">
        <w:rPr>
          <w:rFonts w:ascii="Calibri" w:hAnsi="Calibri"/>
          <w:color w:val="4A4A4A"/>
          <w:sz w:val="21"/>
          <w:lang w:val="en-US"/>
        </w:rPr>
        <w:t xml:space="preserve"> not developing or implementing a </w:t>
      </w:r>
      <w:r w:rsidR="000A477D">
        <w:rPr>
          <w:rFonts w:ascii="Calibri" w:hAnsi="Calibri"/>
          <w:color w:val="4A4A4A"/>
          <w:sz w:val="21"/>
          <w:lang w:val="en-US"/>
        </w:rPr>
        <w:t xml:space="preserve">national urban </w:t>
      </w:r>
      <w:r w:rsidR="003A42B6" w:rsidRPr="002608C3">
        <w:rPr>
          <w:rFonts w:ascii="Calibri" w:hAnsi="Calibri"/>
          <w:color w:val="4A4A4A"/>
          <w:sz w:val="21"/>
          <w:lang w:val="en-US"/>
        </w:rPr>
        <w:t>policy (</w:t>
      </w:r>
      <w:r w:rsidR="000A477D">
        <w:rPr>
          <w:rFonts w:ascii="Calibri" w:hAnsi="Calibri"/>
          <w:color w:val="4A4A4A"/>
          <w:sz w:val="21"/>
          <w:lang w:val="en-US"/>
        </w:rPr>
        <w:t xml:space="preserve">i.e </w:t>
      </w:r>
      <w:r w:rsidR="003A42B6" w:rsidRPr="002608C3">
        <w:rPr>
          <w:rFonts w:ascii="Calibri" w:hAnsi="Calibri"/>
          <w:color w:val="4A4A4A"/>
          <w:sz w:val="21"/>
          <w:lang w:val="en-US"/>
        </w:rPr>
        <w:t>no NUP exists)</w:t>
      </w:r>
      <w:r w:rsidR="003A42B6">
        <w:rPr>
          <w:rFonts w:ascii="Calibri" w:hAnsi="Calibri"/>
          <w:color w:val="4A4A4A"/>
          <w:sz w:val="21"/>
          <w:lang w:val="en-US"/>
        </w:rPr>
        <w:t xml:space="preserve">, </w:t>
      </w:r>
      <w:r w:rsidRPr="002608C3">
        <w:rPr>
          <w:rFonts w:ascii="Calibri" w:hAnsi="Calibri"/>
          <w:color w:val="4A4A4A"/>
          <w:sz w:val="21"/>
          <w:lang w:val="en-US"/>
        </w:rPr>
        <w:t>countries that fall into categories 2 and 3, which correspond to 1</w:t>
      </w:r>
      <w:r w:rsidR="00877D0F" w:rsidRPr="002608C3">
        <w:rPr>
          <w:rFonts w:ascii="Calibri" w:hAnsi="Calibri"/>
          <w:color w:val="4A4A4A"/>
          <w:sz w:val="21"/>
          <w:lang w:val="en-US"/>
        </w:rPr>
        <w:t>-</w:t>
      </w:r>
      <w:r w:rsidRPr="002608C3">
        <w:rPr>
          <w:rFonts w:ascii="Calibri" w:hAnsi="Calibri"/>
          <w:color w:val="4A4A4A"/>
          <w:sz w:val="21"/>
          <w:lang w:val="en-US"/>
        </w:rPr>
        <w:t xml:space="preserve">50 percentage points, are not counted as </w:t>
      </w:r>
      <w:r w:rsidRPr="002608C3">
        <w:rPr>
          <w:rFonts w:ascii="Calibri" w:hAnsi="Calibri"/>
          <w:color w:val="4A4A4A"/>
          <w:sz w:val="21"/>
          <w:lang w:val="en-US"/>
        </w:rPr>
        <w:lastRenderedPageBreak/>
        <w:t xml:space="preserve">“countries that are developing and implementing a </w:t>
      </w:r>
      <w:r w:rsidR="00410F04" w:rsidRPr="002608C3">
        <w:rPr>
          <w:rFonts w:ascii="Calibri" w:hAnsi="Calibri"/>
          <w:color w:val="4A4A4A"/>
          <w:sz w:val="21"/>
          <w:lang w:val="en-US"/>
        </w:rPr>
        <w:t>NUP</w:t>
      </w:r>
      <w:r w:rsidRPr="002608C3">
        <w:rPr>
          <w:rFonts w:ascii="Calibri" w:hAnsi="Calibri"/>
          <w:color w:val="4A4A4A"/>
          <w:sz w:val="21"/>
          <w:lang w:val="en-US"/>
        </w:rPr>
        <w:t xml:space="preserve"> or </w:t>
      </w:r>
      <w:r w:rsidR="00825466" w:rsidRPr="002608C3">
        <w:rPr>
          <w:rFonts w:ascii="Calibri" w:hAnsi="Calibri"/>
          <w:color w:val="4A4A4A"/>
          <w:sz w:val="21"/>
          <w:lang w:val="en-US"/>
        </w:rPr>
        <w:t>RDPs</w:t>
      </w:r>
      <w:r w:rsidRPr="002608C3">
        <w:rPr>
          <w:rFonts w:ascii="Calibri" w:hAnsi="Calibri"/>
          <w:color w:val="4A4A4A"/>
          <w:sz w:val="21"/>
          <w:lang w:val="en-US"/>
        </w:rPr>
        <w:t xml:space="preserve">”. These countries are encouraged to deploy efforts in order to improve </w:t>
      </w:r>
      <w:r w:rsidR="00825466" w:rsidRPr="002608C3">
        <w:rPr>
          <w:rFonts w:ascii="Calibri" w:hAnsi="Calibri"/>
          <w:color w:val="4A4A4A"/>
          <w:sz w:val="21"/>
          <w:lang w:val="en-US"/>
        </w:rPr>
        <w:t>NUPs</w:t>
      </w:r>
      <w:r w:rsidRPr="002608C3">
        <w:rPr>
          <w:rFonts w:ascii="Calibri" w:hAnsi="Calibri"/>
          <w:color w:val="4A4A4A"/>
          <w:sz w:val="21"/>
          <w:lang w:val="en-US"/>
        </w:rPr>
        <w:t xml:space="preserve"> or </w:t>
      </w:r>
      <w:r w:rsidR="00825466" w:rsidRPr="002608C3">
        <w:rPr>
          <w:rFonts w:ascii="Calibri" w:hAnsi="Calibri"/>
          <w:color w:val="4A4A4A"/>
          <w:sz w:val="21"/>
          <w:lang w:val="en-US"/>
        </w:rPr>
        <w:t>RDPs</w:t>
      </w:r>
      <w:r w:rsidRPr="002608C3">
        <w:rPr>
          <w:rFonts w:ascii="Calibri" w:hAnsi="Calibri"/>
          <w:color w:val="4A4A4A"/>
          <w:sz w:val="21"/>
          <w:lang w:val="en-US"/>
        </w:rPr>
        <w:t>.</w:t>
      </w:r>
    </w:p>
    <w:p w14:paraId="05807755" w14:textId="77777777" w:rsidR="0042466C" w:rsidRPr="002608C3" w:rsidRDefault="0042466C" w:rsidP="002608C3">
      <w:pPr>
        <w:shd w:val="clear" w:color="auto" w:fill="FFFFFF"/>
        <w:spacing w:after="0" w:line="240" w:lineRule="auto"/>
        <w:rPr>
          <w:rFonts w:ascii="Calibri" w:hAnsi="Calibri"/>
          <w:color w:val="4A4A4A"/>
          <w:sz w:val="21"/>
          <w:lang w:val="en-US"/>
        </w:rPr>
      </w:pPr>
    </w:p>
    <w:p w14:paraId="2C6EAAAF" w14:textId="294C5A3E" w:rsidR="0042466C" w:rsidRPr="002608C3" w:rsidRDefault="0042466C"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Countries that fall into categories 4 and 5, which correspond to 51 percentage points or more in the assessment, are considered as “countries that are developing and implementing a </w:t>
      </w:r>
      <w:r w:rsidR="00410F04" w:rsidRPr="002608C3">
        <w:rPr>
          <w:rFonts w:ascii="Calibri" w:hAnsi="Calibri"/>
          <w:color w:val="4A4A4A"/>
          <w:sz w:val="21"/>
          <w:lang w:val="en-US"/>
        </w:rPr>
        <w:t>NUP</w:t>
      </w:r>
      <w:r w:rsidRPr="002608C3">
        <w:rPr>
          <w:rFonts w:ascii="Calibri" w:hAnsi="Calibri"/>
          <w:color w:val="4A4A4A"/>
          <w:sz w:val="21"/>
          <w:lang w:val="en-US"/>
        </w:rPr>
        <w:t xml:space="preserve"> or regional development plan” that contribute to the achievement of </w:t>
      </w:r>
      <w:r w:rsidR="001B0031" w:rsidRPr="002608C3">
        <w:rPr>
          <w:rFonts w:ascii="Calibri" w:hAnsi="Calibri"/>
          <w:color w:val="4A4A4A"/>
          <w:sz w:val="21"/>
          <w:lang w:val="en-US"/>
        </w:rPr>
        <w:t xml:space="preserve">target </w:t>
      </w:r>
      <w:r w:rsidRPr="002608C3">
        <w:rPr>
          <w:rFonts w:ascii="Calibri" w:hAnsi="Calibri"/>
          <w:color w:val="4A4A4A"/>
          <w:sz w:val="21"/>
          <w:lang w:val="en-US"/>
        </w:rPr>
        <w:t xml:space="preserve">11.a. Countries that are counted as having </w:t>
      </w:r>
      <w:r w:rsidR="00825466" w:rsidRPr="002608C3">
        <w:rPr>
          <w:rFonts w:ascii="Calibri" w:hAnsi="Calibri"/>
          <w:color w:val="4A4A4A"/>
          <w:sz w:val="21"/>
          <w:lang w:val="en-US"/>
        </w:rPr>
        <w:t>NUPs</w:t>
      </w:r>
      <w:r w:rsidRPr="002608C3">
        <w:rPr>
          <w:rFonts w:ascii="Calibri" w:hAnsi="Calibri"/>
          <w:color w:val="4A4A4A"/>
          <w:sz w:val="21"/>
          <w:lang w:val="en-US"/>
        </w:rPr>
        <w:t xml:space="preserve"> or </w:t>
      </w:r>
      <w:r w:rsidR="00825466" w:rsidRPr="002608C3">
        <w:rPr>
          <w:rFonts w:ascii="Calibri" w:hAnsi="Calibri"/>
          <w:color w:val="4A4A4A"/>
          <w:sz w:val="21"/>
          <w:lang w:val="en-US"/>
        </w:rPr>
        <w:t>RDPs</w:t>
      </w:r>
      <w:r w:rsidRPr="002608C3">
        <w:rPr>
          <w:rFonts w:ascii="Calibri" w:hAnsi="Calibri"/>
          <w:color w:val="4A4A4A"/>
          <w:sz w:val="21"/>
          <w:lang w:val="en-US"/>
        </w:rPr>
        <w:t xml:space="preserve"> can still make efforts to improve the rating of the 3 qualifiers</w:t>
      </w:r>
      <w:r w:rsidR="001B0031" w:rsidRPr="002608C3">
        <w:rPr>
          <w:rFonts w:ascii="Calibri" w:hAnsi="Calibri"/>
          <w:color w:val="4A4A4A"/>
          <w:sz w:val="21"/>
          <w:lang w:val="en-US"/>
        </w:rPr>
        <w:t>.</w:t>
      </w:r>
    </w:p>
    <w:p w14:paraId="6A89839E" w14:textId="77777777" w:rsidR="00576CFA" w:rsidRPr="009F18F1" w:rsidRDefault="00576CFA">
      <w:pPr>
        <w:pStyle w:val="MText"/>
        <w:rPr>
          <w:rFonts w:cstheme="minorHAnsi"/>
        </w:rPr>
      </w:pPr>
    </w:p>
    <w:p w14:paraId="514CE3C0" w14:textId="22FC6056" w:rsidR="00E1050F" w:rsidRPr="009F18F1" w:rsidRDefault="00576CFA" w:rsidP="002608C3">
      <w:pPr>
        <w:pStyle w:val="MHeader2"/>
        <w:rPr>
          <w:rFonts w:cstheme="minorHAnsi"/>
        </w:rPr>
      </w:pPr>
      <w:r w:rsidRPr="009F18F1">
        <w:rPr>
          <w:rFonts w:cstheme="minorHAnsi"/>
        </w:rPr>
        <w:t>4.d. Validation</w:t>
      </w:r>
      <w:r w:rsidR="000B40FE" w:rsidRPr="00A96255">
        <w:t xml:space="preserve"> </w:t>
      </w:r>
      <w:r w:rsidR="000B40FE">
        <w:rPr>
          <w:color w:val="B4B4B4"/>
          <w:sz w:val="20"/>
        </w:rPr>
        <w:t>(DATA_VALIDATION)</w:t>
      </w:r>
    </w:p>
    <w:p w14:paraId="49CB8337" w14:textId="712EB491" w:rsidR="00EC2915" w:rsidRPr="009F18F1" w:rsidRDefault="00545BC6">
      <w:pPr>
        <w:pStyle w:val="MText"/>
        <w:rPr>
          <w:rFonts w:cstheme="minorHAnsi"/>
        </w:rPr>
      </w:pPr>
      <w:bookmarkStart w:id="7" w:name="_Hlk61882272"/>
      <w:bookmarkStart w:id="8" w:name="_Hlk65069889"/>
      <w:r w:rsidRPr="009F18F1">
        <w:rPr>
          <w:rFonts w:cstheme="minorHAnsi"/>
        </w:rPr>
        <w:t>Data compiled is checked against several criteria including the data sources used, the application of internationally agreed definitions, classification and methodologies to the data from that source, etc. Once reviewed, appropriate feedback is then provided to individual countries</w:t>
      </w:r>
      <w:bookmarkEnd w:id="7"/>
      <w:r w:rsidRPr="009F18F1">
        <w:rPr>
          <w:rFonts w:cstheme="minorHAnsi"/>
        </w:rPr>
        <w:t xml:space="preserve"> for further discussion.</w:t>
      </w:r>
      <w:bookmarkEnd w:id="8"/>
    </w:p>
    <w:p w14:paraId="0025F830" w14:textId="15E8F645" w:rsidR="00F719A8" w:rsidRPr="009F18F1" w:rsidRDefault="00F719A8">
      <w:pPr>
        <w:pStyle w:val="MText"/>
        <w:rPr>
          <w:rFonts w:cstheme="minorHAnsi"/>
        </w:rPr>
      </w:pPr>
    </w:p>
    <w:p w14:paraId="2CF2A343" w14:textId="30AEDE99" w:rsidR="00E1050F" w:rsidRPr="009F18F1" w:rsidRDefault="00E1050F" w:rsidP="002608C3">
      <w:pPr>
        <w:pStyle w:val="MHeader2"/>
        <w:rPr>
          <w:rFonts w:cstheme="minorHAnsi"/>
        </w:rPr>
      </w:pPr>
      <w:r w:rsidRPr="009F18F1">
        <w:rPr>
          <w:rFonts w:cstheme="minorHAnsi"/>
        </w:rPr>
        <w:t>4.e. Adjustments</w:t>
      </w:r>
      <w:r w:rsidR="00E115B1" w:rsidRPr="00A96255">
        <w:t xml:space="preserve"> </w:t>
      </w:r>
      <w:r w:rsidR="00E115B1">
        <w:rPr>
          <w:color w:val="B4B4B4"/>
          <w:sz w:val="20"/>
        </w:rPr>
        <w:t>(ADJUSTMENT)</w:t>
      </w:r>
    </w:p>
    <w:p w14:paraId="4D192B85" w14:textId="356921C0" w:rsidR="00545BC6" w:rsidRPr="009F18F1" w:rsidRDefault="00545BC6">
      <w:pPr>
        <w:pStyle w:val="MText"/>
        <w:rPr>
          <w:rFonts w:cstheme="minorHAnsi"/>
        </w:rPr>
      </w:pPr>
      <w:r w:rsidRPr="009F18F1">
        <w:rPr>
          <w:rFonts w:cstheme="minorHAnsi"/>
        </w:rPr>
        <w:t>Any adjustment to the data is jointly agreed after consultations with the relevant national agencies that share the data points for reporting.</w:t>
      </w:r>
    </w:p>
    <w:p w14:paraId="7FBAEBBA" w14:textId="77777777" w:rsidR="00EC2915" w:rsidRPr="009F18F1" w:rsidRDefault="00EC2915">
      <w:pPr>
        <w:pStyle w:val="MText"/>
        <w:rPr>
          <w:rFonts w:cstheme="minorHAnsi"/>
        </w:rPr>
      </w:pPr>
    </w:p>
    <w:p w14:paraId="17735630" w14:textId="6876ECAA" w:rsidR="00E1050F" w:rsidRPr="009F18F1" w:rsidRDefault="00576CFA" w:rsidP="002608C3">
      <w:pPr>
        <w:pStyle w:val="MHeader2"/>
        <w:rPr>
          <w:rFonts w:cstheme="minorHAnsi"/>
        </w:rPr>
      </w:pPr>
      <w:r w:rsidRPr="009F18F1">
        <w:rPr>
          <w:rFonts w:cstheme="minorHAnsi"/>
        </w:rPr>
        <w:t>4.f. Treatment of missing values (i) at country le</w:t>
      </w:r>
      <w:r w:rsidR="00E1050F" w:rsidRPr="009F18F1">
        <w:rPr>
          <w:rFonts w:cstheme="minorHAnsi"/>
        </w:rPr>
        <w:t>vel and (ii) at regional level</w:t>
      </w:r>
      <w:r w:rsidR="00CE0403" w:rsidRPr="00A96255">
        <w:t xml:space="preserve"> </w:t>
      </w:r>
      <w:r w:rsidR="00CE0403">
        <w:rPr>
          <w:color w:val="B4B4B4"/>
          <w:sz w:val="20"/>
        </w:rPr>
        <w:t>(IMPUTATION)</w:t>
      </w:r>
    </w:p>
    <w:p w14:paraId="622215BE" w14:textId="4DD9B0BD"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 xml:space="preserve">Measuring this process indicator entails a policy evaluation of governmental National Urban Policies </w:t>
      </w:r>
      <w:r w:rsidR="005635A0">
        <w:rPr>
          <w:rFonts w:ascii="Calibri" w:hAnsi="Calibri"/>
          <w:color w:val="4A4A4A"/>
          <w:sz w:val="21"/>
          <w:lang w:val="en-US"/>
        </w:rPr>
        <w:t xml:space="preserve">(NUPs) </w:t>
      </w:r>
      <w:r w:rsidRPr="002608C3">
        <w:rPr>
          <w:rFonts w:ascii="Calibri" w:hAnsi="Calibri"/>
          <w:color w:val="4A4A4A"/>
          <w:sz w:val="21"/>
          <w:lang w:val="en-US"/>
        </w:rPr>
        <w:t>or Regional Development Plans</w:t>
      </w:r>
      <w:r w:rsidR="005635A0">
        <w:rPr>
          <w:rFonts w:ascii="Calibri" w:hAnsi="Calibri"/>
          <w:color w:val="4A4A4A"/>
          <w:sz w:val="21"/>
          <w:lang w:val="en-US"/>
        </w:rPr>
        <w:t xml:space="preserve"> (RDPs)</w:t>
      </w:r>
      <w:r w:rsidRPr="002608C3">
        <w:rPr>
          <w:rFonts w:ascii="Calibri" w:hAnsi="Calibri"/>
          <w:color w:val="4A4A4A"/>
          <w:sz w:val="21"/>
          <w:lang w:val="en-US"/>
        </w:rPr>
        <w:t xml:space="preserve">, the data source as such is easily accessible for evaluation. Data from 2018 was also included in the table counts above based on thematic focus: economic development, spatial structure, human development, environmental sustainability, and climate resilience. Missing values for this process-oriented indicator is reported as 0 to signify that the country has no </w:t>
      </w:r>
      <w:r w:rsidR="00410F04" w:rsidRPr="002608C3">
        <w:rPr>
          <w:rFonts w:ascii="Calibri" w:hAnsi="Calibri"/>
          <w:color w:val="4A4A4A"/>
          <w:sz w:val="21"/>
          <w:lang w:val="en-US"/>
        </w:rPr>
        <w:t>NUP</w:t>
      </w:r>
      <w:r w:rsidRPr="002608C3">
        <w:rPr>
          <w:rFonts w:ascii="Calibri" w:hAnsi="Calibri"/>
          <w:color w:val="4A4A4A"/>
          <w:sz w:val="21"/>
          <w:lang w:val="en-US"/>
        </w:rPr>
        <w:t>.</w:t>
      </w:r>
    </w:p>
    <w:p w14:paraId="27033367" w14:textId="27069847" w:rsidR="00EC2915" w:rsidRPr="009F18F1" w:rsidRDefault="00EC2915">
      <w:pPr>
        <w:pStyle w:val="MText"/>
        <w:rPr>
          <w:rFonts w:cstheme="minorHAnsi"/>
          <w:lang w:val="en-US"/>
        </w:rPr>
      </w:pPr>
    </w:p>
    <w:p w14:paraId="51FCD280" w14:textId="42B67DE8" w:rsidR="00E1050F" w:rsidRPr="009F18F1" w:rsidRDefault="00E1050F" w:rsidP="002608C3">
      <w:pPr>
        <w:pStyle w:val="MHeader2"/>
        <w:rPr>
          <w:rFonts w:cstheme="minorHAnsi"/>
        </w:rPr>
      </w:pPr>
      <w:r w:rsidRPr="009F18F1">
        <w:rPr>
          <w:rFonts w:cstheme="minorHAnsi"/>
        </w:rPr>
        <w:t>4.g. Regional aggregations</w:t>
      </w:r>
      <w:r w:rsidR="005F1DCC" w:rsidRPr="00A96255">
        <w:t xml:space="preserve"> </w:t>
      </w:r>
      <w:r w:rsidR="005F1DCC">
        <w:rPr>
          <w:color w:val="B4B4B4"/>
          <w:sz w:val="20"/>
        </w:rPr>
        <w:t>(REG_AGG)</w:t>
      </w:r>
    </w:p>
    <w:p w14:paraId="2EA010B7" w14:textId="219148E1" w:rsidR="00EC2915" w:rsidRPr="009F18F1" w:rsidRDefault="00545BC6">
      <w:pPr>
        <w:pStyle w:val="MText"/>
        <w:rPr>
          <w:rFonts w:cstheme="minorHAnsi"/>
        </w:rPr>
      </w:pPr>
      <w:r w:rsidRPr="00244018">
        <w:rPr>
          <w:rFonts w:cstheme="minorHAnsi"/>
        </w:rPr>
        <w:t xml:space="preserve">Regional aggregates can be </w:t>
      </w:r>
      <w:r w:rsidR="00985E88" w:rsidRPr="00244018">
        <w:rPr>
          <w:rFonts w:cstheme="minorHAnsi"/>
        </w:rPr>
        <w:t xml:space="preserve">a simple addition </w:t>
      </w:r>
      <w:r w:rsidRPr="00244018">
        <w:rPr>
          <w:rFonts w:cstheme="minorHAnsi"/>
        </w:rPr>
        <w:t xml:space="preserve">of the </w:t>
      </w:r>
      <w:r w:rsidR="000D73D9" w:rsidRPr="00244018">
        <w:rPr>
          <w:rFonts w:cstheme="minorHAnsi"/>
        </w:rPr>
        <w:t xml:space="preserve">indicator’s </w:t>
      </w:r>
      <w:r w:rsidRPr="00244018">
        <w:rPr>
          <w:rFonts w:cstheme="minorHAnsi"/>
        </w:rPr>
        <w:t xml:space="preserve">values </w:t>
      </w:r>
      <w:r w:rsidR="00515F93" w:rsidRPr="00244018">
        <w:rPr>
          <w:rFonts w:cstheme="minorHAnsi"/>
        </w:rPr>
        <w:t>for</w:t>
      </w:r>
      <w:r w:rsidRPr="00244018">
        <w:rPr>
          <w:rFonts w:cstheme="minorHAnsi"/>
        </w:rPr>
        <w:t xml:space="preserve"> the countries </w:t>
      </w:r>
      <w:r w:rsidR="00985E88" w:rsidRPr="00244018">
        <w:rPr>
          <w:rFonts w:cstheme="minorHAnsi"/>
        </w:rPr>
        <w:t xml:space="preserve">representing </w:t>
      </w:r>
      <w:r w:rsidRPr="00244018">
        <w:rPr>
          <w:rFonts w:cstheme="minorHAnsi"/>
        </w:rPr>
        <w:t>the region.</w:t>
      </w:r>
    </w:p>
    <w:p w14:paraId="42329910" w14:textId="77777777" w:rsidR="00545BC6" w:rsidRPr="009F18F1" w:rsidRDefault="00545BC6">
      <w:pPr>
        <w:pStyle w:val="MText"/>
        <w:rPr>
          <w:rFonts w:cstheme="minorHAnsi"/>
        </w:rPr>
      </w:pPr>
    </w:p>
    <w:p w14:paraId="71213FF2" w14:textId="01433FD9" w:rsidR="00E1050F" w:rsidRPr="009F18F1" w:rsidRDefault="00576CFA" w:rsidP="002608C3">
      <w:pPr>
        <w:pStyle w:val="MHeader2"/>
        <w:rPr>
          <w:rFonts w:cstheme="minorHAnsi"/>
        </w:rPr>
      </w:pPr>
      <w:r w:rsidRPr="009F18F1">
        <w:rPr>
          <w:rFonts w:cstheme="minorHAnsi"/>
        </w:rPr>
        <w:t xml:space="preserve">4.h. Methods and guidance available to countries for the compilation of </w:t>
      </w:r>
      <w:r w:rsidR="00E1050F" w:rsidRPr="009F18F1">
        <w:rPr>
          <w:rFonts w:cstheme="minorHAnsi"/>
        </w:rPr>
        <w:t>the data at the national level</w:t>
      </w:r>
      <w:r w:rsidR="006E38E5" w:rsidRPr="00A96255">
        <w:t xml:space="preserve"> </w:t>
      </w:r>
      <w:r w:rsidR="006E38E5">
        <w:rPr>
          <w:color w:val="B4B4B4"/>
          <w:sz w:val="20"/>
        </w:rPr>
        <w:t>(DOC_METHOD)</w:t>
      </w:r>
    </w:p>
    <w:p w14:paraId="06C17EC2" w14:textId="3FC51092" w:rsidR="0042466C" w:rsidRPr="002608C3" w:rsidRDefault="0042466C"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As of May 2020, the qualifiers were collected by distributing the </w:t>
      </w:r>
      <w:r w:rsidRPr="002608C3">
        <w:rPr>
          <w:rFonts w:ascii="Calibri" w:hAnsi="Calibri"/>
          <w:i/>
          <w:color w:val="4A4A4A"/>
          <w:sz w:val="21"/>
          <w:lang w:val="en-US"/>
        </w:rPr>
        <w:t>Global State of NUP Survey</w:t>
      </w:r>
      <w:r w:rsidRPr="002608C3">
        <w:rPr>
          <w:rFonts w:ascii="Calibri" w:hAnsi="Calibri"/>
          <w:i/>
          <w:color w:val="4A4A4A"/>
          <w:sz w:val="21"/>
          <w:vertAlign w:val="superscript"/>
          <w:lang w:val="en-US"/>
        </w:rPr>
        <w:footnoteReference w:id="10"/>
      </w:r>
      <w:r w:rsidRPr="002608C3">
        <w:rPr>
          <w:rFonts w:ascii="Calibri" w:hAnsi="Calibri"/>
          <w:color w:val="4A4A4A"/>
          <w:sz w:val="21"/>
          <w:lang w:val="en-US"/>
        </w:rPr>
        <w:t xml:space="preserve"> to Member States. Reporting is subjective to the Member State and will need to be verified against the Member States’ </w:t>
      </w:r>
      <w:r w:rsidR="005635A0" w:rsidRPr="002608C3">
        <w:rPr>
          <w:rFonts w:ascii="Calibri" w:hAnsi="Calibri"/>
          <w:color w:val="4A4A4A"/>
          <w:sz w:val="21"/>
          <w:lang w:val="en-US"/>
        </w:rPr>
        <w:t xml:space="preserve">National Urban Policies </w:t>
      </w:r>
      <w:r w:rsidR="005635A0">
        <w:rPr>
          <w:rFonts w:ascii="Calibri" w:hAnsi="Calibri"/>
          <w:color w:val="4A4A4A"/>
          <w:sz w:val="21"/>
          <w:lang w:val="en-US"/>
        </w:rPr>
        <w:t>(NUPs)</w:t>
      </w:r>
      <w:r w:rsidRPr="002608C3">
        <w:rPr>
          <w:rFonts w:ascii="Calibri" w:hAnsi="Calibri"/>
          <w:color w:val="4A4A4A"/>
          <w:sz w:val="21"/>
          <w:lang w:val="en-US"/>
        </w:rPr>
        <w:t xml:space="preserve"> or </w:t>
      </w:r>
      <w:r w:rsidR="004B75F8" w:rsidRPr="002608C3">
        <w:rPr>
          <w:rFonts w:ascii="Calibri" w:hAnsi="Calibri"/>
          <w:color w:val="4A4A4A"/>
          <w:sz w:val="21"/>
          <w:lang w:val="en-US"/>
        </w:rPr>
        <w:t>Regional Development Plans</w:t>
      </w:r>
      <w:r w:rsidR="004B75F8">
        <w:rPr>
          <w:rFonts w:ascii="Calibri" w:hAnsi="Calibri"/>
          <w:color w:val="4A4A4A"/>
          <w:sz w:val="21"/>
          <w:lang w:val="en-US"/>
        </w:rPr>
        <w:t xml:space="preserve"> (RDPs)</w:t>
      </w:r>
      <w:r w:rsidRPr="002608C3">
        <w:rPr>
          <w:rFonts w:ascii="Calibri" w:hAnsi="Calibri"/>
          <w:color w:val="4A4A4A"/>
          <w:sz w:val="21"/>
          <w:lang w:val="en-US"/>
        </w:rPr>
        <w:t xml:space="preserve"> for quality assurance. 2018 data was also collected through national follow ups with relevant offices and additional follow ups with experts in various countries. A guide was developed for collection of NUP data and disseminated to many countries.</w:t>
      </w:r>
    </w:p>
    <w:p w14:paraId="2939895F" w14:textId="77777777" w:rsidR="00EC2915" w:rsidRPr="009F18F1" w:rsidRDefault="00EC2915">
      <w:pPr>
        <w:pStyle w:val="MText"/>
        <w:rPr>
          <w:rFonts w:cstheme="minorHAnsi"/>
        </w:rPr>
      </w:pPr>
    </w:p>
    <w:p w14:paraId="494C36E8" w14:textId="069E9B91" w:rsidR="00E1050F" w:rsidRPr="009F18F1" w:rsidRDefault="00576CFA" w:rsidP="002608C3">
      <w:pPr>
        <w:pStyle w:val="MHeader2"/>
        <w:rPr>
          <w:rFonts w:cstheme="minorHAnsi"/>
        </w:rPr>
      </w:pPr>
      <w:r w:rsidRPr="009F18F1">
        <w:rPr>
          <w:rFonts w:cstheme="minorHAnsi"/>
        </w:rPr>
        <w:t xml:space="preserve">4.i. </w:t>
      </w:r>
      <w:r w:rsidR="00E1050F" w:rsidRPr="009F18F1">
        <w:rPr>
          <w:rFonts w:cstheme="minorHAnsi"/>
        </w:rPr>
        <w:t>Quality management</w:t>
      </w:r>
      <w:r w:rsidR="00BD54F3" w:rsidRPr="00A96255">
        <w:t xml:space="preserve"> </w:t>
      </w:r>
      <w:r w:rsidR="00BD54F3">
        <w:rPr>
          <w:color w:val="B4B4B4"/>
          <w:sz w:val="20"/>
        </w:rPr>
        <w:t>(QUALITY_MGMNT)</w:t>
      </w:r>
    </w:p>
    <w:p w14:paraId="58B0709E" w14:textId="061988DC" w:rsidR="00545BC6" w:rsidRPr="009F18F1" w:rsidRDefault="00545BC6">
      <w:pPr>
        <w:pStyle w:val="MText"/>
        <w:rPr>
          <w:rFonts w:cstheme="minorHAnsi"/>
        </w:rPr>
      </w:pPr>
      <w:r w:rsidRPr="009F18F1">
        <w:rPr>
          <w:rFonts w:cstheme="minorHAnsi"/>
        </w:rPr>
        <w:t>To ensure consistency in data production across countries, UN-Habitat has developed detailed step-by-step tutorials on the computation of indicator 11.</w:t>
      </w:r>
      <w:r w:rsidR="00985E88" w:rsidRPr="009F18F1">
        <w:rPr>
          <w:rFonts w:cstheme="minorHAnsi"/>
        </w:rPr>
        <w:t>a</w:t>
      </w:r>
      <w:r w:rsidRPr="009F18F1">
        <w:rPr>
          <w:rFonts w:cstheme="minorHAnsi"/>
        </w:rPr>
        <w:t xml:space="preserve">.1, which further explain the steps presented in this </w:t>
      </w:r>
      <w:r w:rsidRPr="009F18F1">
        <w:rPr>
          <w:rFonts w:cstheme="minorHAnsi"/>
        </w:rPr>
        <w:lastRenderedPageBreak/>
        <w:t xml:space="preserve">metadata. The detailed tutorials, which will be continuously updated are available at </w:t>
      </w:r>
      <w:hyperlink r:id="rId12" w:history="1">
        <w:r w:rsidRPr="009F18F1">
          <w:rPr>
            <w:rStyle w:val="Hyperlink"/>
            <w:rFonts w:cstheme="minorHAnsi"/>
          </w:rPr>
          <w:t>https://unhabitat.org/knowledge/data-and-analytics</w:t>
        </w:r>
      </w:hyperlink>
      <w:r w:rsidRPr="009F18F1">
        <w:rPr>
          <w:rFonts w:cstheme="minorHAnsi"/>
        </w:rPr>
        <w:t xml:space="preserve">, </w:t>
      </w:r>
      <w:hyperlink r:id="rId13" w:history="1">
        <w:r w:rsidRPr="009F18F1">
          <w:rPr>
            <w:rStyle w:val="Hyperlink"/>
            <w:rFonts w:cstheme="minorHAnsi"/>
          </w:rPr>
          <w:t>https://www.urbanagendaplatform.org/learning</w:t>
        </w:r>
      </w:hyperlink>
      <w:r w:rsidRPr="009F18F1">
        <w:rPr>
          <w:rFonts w:cstheme="minorHAnsi"/>
        </w:rPr>
        <w:t xml:space="preserve">, and </w:t>
      </w:r>
      <w:hyperlink r:id="rId14" w:history="1">
        <w:r w:rsidRPr="009F18F1">
          <w:rPr>
            <w:rStyle w:val="Hyperlink"/>
            <w:rFonts w:cstheme="minorHAnsi"/>
          </w:rPr>
          <w:t>https://data.unhabitat.org/</w:t>
        </w:r>
      </w:hyperlink>
      <w:r w:rsidRPr="009F18F1">
        <w:rPr>
          <w:rFonts w:cstheme="minorHAnsi"/>
        </w:rPr>
        <w:t>. Within its Data and Analytics Section which is responsible for the indicator data compilation, UN-Habitat has a team of data experts who check all submitted data and provide direct support to countries in the indicator computation</w:t>
      </w:r>
      <w:r w:rsidR="002044B0" w:rsidRPr="009F18F1">
        <w:rPr>
          <w:rFonts w:cstheme="minorHAnsi"/>
        </w:rPr>
        <w:t xml:space="preserve"> in collaboration with the Agency’s NUP experts</w:t>
      </w:r>
      <w:r w:rsidRPr="009F18F1">
        <w:rPr>
          <w:rFonts w:cstheme="minorHAnsi"/>
        </w:rPr>
        <w:t>.</w:t>
      </w:r>
    </w:p>
    <w:p w14:paraId="5484B16D" w14:textId="77777777" w:rsidR="00EC2915" w:rsidRPr="009F18F1" w:rsidRDefault="00EC2915">
      <w:pPr>
        <w:pStyle w:val="MText"/>
        <w:rPr>
          <w:rFonts w:cstheme="minorHAnsi"/>
        </w:rPr>
      </w:pPr>
    </w:p>
    <w:p w14:paraId="17B979CA" w14:textId="21A3333B" w:rsidR="00E1050F" w:rsidRPr="009F18F1" w:rsidRDefault="00E1050F" w:rsidP="002608C3">
      <w:pPr>
        <w:pStyle w:val="MHeader2"/>
        <w:rPr>
          <w:rFonts w:cstheme="minorHAnsi"/>
        </w:rPr>
      </w:pPr>
      <w:r w:rsidRPr="009F18F1">
        <w:rPr>
          <w:rFonts w:cstheme="minorHAnsi"/>
        </w:rPr>
        <w:t>4.j Quality assurance</w:t>
      </w:r>
      <w:r w:rsidR="009E4436" w:rsidRPr="00A96255">
        <w:t xml:space="preserve"> </w:t>
      </w:r>
      <w:r w:rsidR="009E4436">
        <w:rPr>
          <w:color w:val="B4B4B4"/>
          <w:sz w:val="20"/>
        </w:rPr>
        <w:t>(QUALITY_ASSURE)</w:t>
      </w:r>
    </w:p>
    <w:p w14:paraId="49519477" w14:textId="1CA40EE8" w:rsidR="0042466C" w:rsidRPr="002608C3" w:rsidRDefault="0042466C" w:rsidP="002608C3">
      <w:pPr>
        <w:spacing w:after="0" w:line="240" w:lineRule="auto"/>
        <w:rPr>
          <w:rFonts w:ascii="Calibri" w:hAnsi="Calibri"/>
          <w:color w:val="4A4A4A"/>
          <w:sz w:val="21"/>
          <w:lang w:val="en-US"/>
        </w:rPr>
      </w:pPr>
      <w:r w:rsidRPr="002608C3">
        <w:rPr>
          <w:rFonts w:ascii="Calibri" w:hAnsi="Calibri"/>
          <w:color w:val="4A4A4A"/>
          <w:sz w:val="21"/>
          <w:lang w:val="en-US"/>
        </w:rPr>
        <w:t>UN-Habitat’s work in the areas of national and regional development planning has developed a strong foundation of evidence that can be adapted to monitor this target and indicator.</w:t>
      </w:r>
    </w:p>
    <w:p w14:paraId="59B987AC" w14:textId="77777777" w:rsidR="0042466C" w:rsidRPr="002608C3" w:rsidRDefault="0042466C" w:rsidP="002608C3">
      <w:pPr>
        <w:spacing w:after="0" w:line="240" w:lineRule="auto"/>
        <w:rPr>
          <w:rFonts w:ascii="Calibri" w:hAnsi="Calibri"/>
          <w:color w:val="4A4A4A"/>
          <w:sz w:val="21"/>
          <w:lang w:val="en-US"/>
        </w:rPr>
      </w:pPr>
    </w:p>
    <w:p w14:paraId="3D96C7A6" w14:textId="5CDC897C" w:rsidR="0042466C" w:rsidRPr="002608C3" w:rsidRDefault="0042466C" w:rsidP="002608C3">
      <w:pPr>
        <w:spacing w:line="240" w:lineRule="auto"/>
        <w:jc w:val="both"/>
        <w:rPr>
          <w:rFonts w:ascii="Calibri" w:hAnsi="Calibri"/>
          <w:color w:val="4A4A4A"/>
          <w:sz w:val="21"/>
          <w:lang w:val="en-US"/>
        </w:rPr>
      </w:pPr>
      <w:r w:rsidRPr="002608C3">
        <w:rPr>
          <w:rFonts w:ascii="Calibri" w:hAnsi="Calibri"/>
          <w:color w:val="4A4A4A"/>
          <w:sz w:val="21"/>
          <w:lang w:val="en-US"/>
        </w:rPr>
        <w:t>Monitoring of the indicator will also benefit from various ongoing initiatives of policy reviews undertaken by UN-Habitat for its country assistance, or the OECD in its Urban Policy Review series.</w:t>
      </w:r>
    </w:p>
    <w:p w14:paraId="5C75EFF0" w14:textId="78F97E35" w:rsidR="0042466C" w:rsidRPr="002608C3" w:rsidRDefault="0042466C" w:rsidP="002608C3">
      <w:pPr>
        <w:spacing w:after="0" w:line="240" w:lineRule="auto"/>
        <w:jc w:val="both"/>
        <w:rPr>
          <w:rFonts w:ascii="Calibri" w:hAnsi="Calibri"/>
          <w:color w:val="4A4A4A"/>
          <w:sz w:val="21"/>
          <w:lang w:val="en-US"/>
        </w:rPr>
      </w:pPr>
      <w:r w:rsidRPr="002608C3">
        <w:rPr>
          <w:rFonts w:ascii="Calibri" w:hAnsi="Calibri"/>
          <w:color w:val="4A4A4A"/>
          <w:sz w:val="21"/>
          <w:lang w:val="en-US"/>
        </w:rPr>
        <w:t xml:space="preserve">For instance, UN-Habitat and the OECD  jointly published the 2018 </w:t>
      </w:r>
      <w:r w:rsidRPr="002608C3">
        <w:rPr>
          <w:rFonts w:ascii="Calibri" w:hAnsi="Calibri"/>
          <w:i/>
          <w:color w:val="4A4A4A"/>
          <w:sz w:val="21"/>
          <w:lang w:val="en-US"/>
        </w:rPr>
        <w:t>Global State of National Urban Policy Report,</w:t>
      </w:r>
      <w:r w:rsidRPr="002608C3">
        <w:rPr>
          <w:rFonts w:ascii="Calibri" w:hAnsi="Calibri"/>
          <w:color w:val="4A4A4A"/>
          <w:sz w:val="21"/>
          <w:lang w:val="en-US"/>
        </w:rPr>
        <w:t xml:space="preserve"> which identifie</w:t>
      </w:r>
      <w:r w:rsidR="003A42B6">
        <w:rPr>
          <w:rFonts w:ascii="Calibri" w:hAnsi="Calibri"/>
          <w:color w:val="4A4A4A"/>
          <w:sz w:val="21"/>
          <w:lang w:val="en-US"/>
        </w:rPr>
        <w:t>d</w:t>
      </w:r>
      <w:r w:rsidRPr="002608C3">
        <w:rPr>
          <w:rFonts w:ascii="Calibri" w:hAnsi="Calibri"/>
          <w:color w:val="4A4A4A"/>
          <w:sz w:val="21"/>
          <w:lang w:val="en-US"/>
        </w:rPr>
        <w:t xml:space="preserve"> 150 NUPs worldwide, and analyse</w:t>
      </w:r>
      <w:r w:rsidR="003A42B6">
        <w:rPr>
          <w:rFonts w:ascii="Calibri" w:hAnsi="Calibri"/>
          <w:color w:val="4A4A4A"/>
          <w:sz w:val="21"/>
          <w:lang w:val="en-US"/>
        </w:rPr>
        <w:t xml:space="preserve">d </w:t>
      </w:r>
      <w:r w:rsidRPr="002608C3">
        <w:rPr>
          <w:rFonts w:ascii="Calibri" w:hAnsi="Calibri"/>
          <w:color w:val="4A4A4A"/>
          <w:sz w:val="21"/>
          <w:lang w:val="en-US"/>
        </w:rPr>
        <w:t>them according to their development phase, thematic components and institutional arrangement, and aggregate</w:t>
      </w:r>
      <w:r w:rsidR="003A42B6">
        <w:rPr>
          <w:rFonts w:ascii="Calibri" w:hAnsi="Calibri"/>
          <w:color w:val="4A4A4A"/>
          <w:sz w:val="21"/>
          <w:lang w:val="en-US"/>
        </w:rPr>
        <w:t>d</w:t>
      </w:r>
      <w:r w:rsidRPr="002608C3">
        <w:rPr>
          <w:rFonts w:ascii="Calibri" w:hAnsi="Calibri"/>
          <w:color w:val="4A4A4A"/>
          <w:sz w:val="21"/>
          <w:lang w:val="en-US"/>
        </w:rPr>
        <w:t xml:space="preserve"> them into regional and global analyses. The second edition of the Global Report</w:t>
      </w:r>
      <w:r w:rsidR="003A42B6">
        <w:rPr>
          <w:rFonts w:ascii="Calibri" w:hAnsi="Calibri"/>
          <w:color w:val="4A4A4A"/>
          <w:sz w:val="21"/>
          <w:lang w:val="en-US"/>
        </w:rPr>
        <w:t xml:space="preserve"> on NUPs was</w:t>
      </w:r>
      <w:r w:rsidRPr="002608C3">
        <w:rPr>
          <w:rFonts w:ascii="Calibri" w:hAnsi="Calibri"/>
          <w:color w:val="4A4A4A"/>
          <w:sz w:val="21"/>
          <w:lang w:val="en-US"/>
        </w:rPr>
        <w:t xml:space="preserve"> published in 2020 and </w:t>
      </w:r>
      <w:r w:rsidR="003A42B6">
        <w:rPr>
          <w:rFonts w:ascii="Calibri" w:hAnsi="Calibri"/>
          <w:color w:val="4A4A4A"/>
          <w:sz w:val="21"/>
          <w:lang w:val="en-US"/>
        </w:rPr>
        <w:t xml:space="preserve">all subsequent </w:t>
      </w:r>
      <w:r w:rsidRPr="002608C3">
        <w:rPr>
          <w:rFonts w:ascii="Calibri" w:hAnsi="Calibri"/>
          <w:color w:val="4A4A4A"/>
          <w:sz w:val="21"/>
          <w:lang w:val="en-US"/>
        </w:rPr>
        <w:t xml:space="preserve"> editions </w:t>
      </w:r>
      <w:r w:rsidR="003A42B6">
        <w:rPr>
          <w:rFonts w:ascii="Calibri" w:hAnsi="Calibri"/>
          <w:color w:val="4A4A4A"/>
          <w:sz w:val="21"/>
          <w:lang w:val="en-US"/>
        </w:rPr>
        <w:t>have been</w:t>
      </w:r>
      <w:r w:rsidR="003A42B6" w:rsidRPr="002608C3">
        <w:rPr>
          <w:rFonts w:ascii="Calibri" w:hAnsi="Calibri"/>
          <w:color w:val="4A4A4A"/>
          <w:sz w:val="21"/>
          <w:lang w:val="en-US"/>
        </w:rPr>
        <w:t xml:space="preserve"> </w:t>
      </w:r>
      <w:r w:rsidRPr="002608C3">
        <w:rPr>
          <w:rFonts w:ascii="Calibri" w:hAnsi="Calibri"/>
          <w:color w:val="4A4A4A"/>
          <w:sz w:val="21"/>
          <w:lang w:val="en-US"/>
        </w:rPr>
        <w:t>align</w:t>
      </w:r>
      <w:r w:rsidR="003A42B6">
        <w:rPr>
          <w:rFonts w:ascii="Calibri" w:hAnsi="Calibri"/>
          <w:color w:val="4A4A4A"/>
          <w:sz w:val="21"/>
          <w:lang w:val="en-US"/>
        </w:rPr>
        <w:t>ed</w:t>
      </w:r>
      <w:r w:rsidRPr="002608C3">
        <w:rPr>
          <w:rFonts w:ascii="Calibri" w:hAnsi="Calibri"/>
          <w:color w:val="4A4A4A"/>
          <w:sz w:val="21"/>
          <w:lang w:val="en-US"/>
        </w:rPr>
        <w:t xml:space="preserve"> closely with the </w:t>
      </w:r>
      <w:r w:rsidR="003A42B6">
        <w:rPr>
          <w:rFonts w:ascii="Calibri" w:hAnsi="Calibri"/>
          <w:color w:val="4A4A4A"/>
          <w:sz w:val="21"/>
          <w:lang w:val="en-US"/>
        </w:rPr>
        <w:t>metadata and ambitions</w:t>
      </w:r>
      <w:r w:rsidR="003A42B6" w:rsidRPr="002608C3">
        <w:rPr>
          <w:rFonts w:ascii="Calibri" w:hAnsi="Calibri"/>
          <w:color w:val="4A4A4A"/>
          <w:sz w:val="21"/>
          <w:lang w:val="en-US"/>
        </w:rPr>
        <w:t xml:space="preserve"> </w:t>
      </w:r>
      <w:r w:rsidRPr="002608C3">
        <w:rPr>
          <w:rFonts w:ascii="Calibri" w:hAnsi="Calibri"/>
          <w:color w:val="4A4A4A"/>
          <w:sz w:val="21"/>
          <w:lang w:val="en-US"/>
        </w:rPr>
        <w:t xml:space="preserve">of indicator 11.a.1 and </w:t>
      </w:r>
      <w:r w:rsidR="003A42B6">
        <w:rPr>
          <w:rFonts w:ascii="Calibri" w:hAnsi="Calibri"/>
          <w:color w:val="4A4A4A"/>
          <w:sz w:val="21"/>
          <w:lang w:val="en-US"/>
        </w:rPr>
        <w:t>have all</w:t>
      </w:r>
      <w:r w:rsidR="003A42B6" w:rsidRPr="002608C3">
        <w:rPr>
          <w:rFonts w:ascii="Calibri" w:hAnsi="Calibri"/>
          <w:color w:val="4A4A4A"/>
          <w:sz w:val="21"/>
          <w:lang w:val="en-US"/>
        </w:rPr>
        <w:t xml:space="preserve"> </w:t>
      </w:r>
      <w:r w:rsidRPr="002608C3">
        <w:rPr>
          <w:rFonts w:ascii="Calibri" w:hAnsi="Calibri"/>
          <w:color w:val="4A4A4A"/>
          <w:sz w:val="21"/>
          <w:lang w:val="en-US"/>
        </w:rPr>
        <w:t>consistently assess</w:t>
      </w:r>
      <w:r w:rsidR="003A42B6">
        <w:rPr>
          <w:rFonts w:ascii="Calibri" w:hAnsi="Calibri"/>
          <w:color w:val="4A4A4A"/>
          <w:sz w:val="21"/>
          <w:lang w:val="en-US"/>
        </w:rPr>
        <w:t>ed</w:t>
      </w:r>
      <w:r w:rsidRPr="002608C3">
        <w:rPr>
          <w:rFonts w:ascii="Calibri" w:hAnsi="Calibri"/>
          <w:color w:val="4A4A4A"/>
          <w:sz w:val="21"/>
          <w:lang w:val="en-US"/>
        </w:rPr>
        <w:t xml:space="preserve"> the three qualifiers.</w:t>
      </w:r>
    </w:p>
    <w:p w14:paraId="3382B2B7" w14:textId="77777777" w:rsidR="0042466C" w:rsidRPr="002608C3" w:rsidRDefault="0042466C" w:rsidP="002608C3">
      <w:pPr>
        <w:spacing w:after="0" w:line="240" w:lineRule="auto"/>
        <w:jc w:val="both"/>
        <w:rPr>
          <w:rFonts w:ascii="Calibri" w:hAnsi="Calibri"/>
          <w:color w:val="4A4A4A"/>
          <w:sz w:val="21"/>
          <w:lang w:val="en-US"/>
        </w:rPr>
      </w:pPr>
    </w:p>
    <w:p w14:paraId="380ED8DE" w14:textId="166BC0C0" w:rsidR="0042466C" w:rsidRPr="002608C3" w:rsidRDefault="00610BD6" w:rsidP="002608C3">
      <w:pPr>
        <w:spacing w:after="0" w:line="240" w:lineRule="auto"/>
        <w:jc w:val="both"/>
        <w:rPr>
          <w:rFonts w:ascii="Calibri" w:hAnsi="Calibri"/>
          <w:color w:val="4A4A4A"/>
          <w:sz w:val="21"/>
          <w:lang w:val="en-US"/>
        </w:rPr>
      </w:pPr>
      <w:r>
        <w:rPr>
          <w:rFonts w:ascii="Calibri" w:hAnsi="Calibri"/>
          <w:color w:val="4A4A4A"/>
          <w:sz w:val="21"/>
          <w:lang w:val="en-US"/>
        </w:rPr>
        <w:t xml:space="preserve">In 2019 and 2023, </w:t>
      </w:r>
      <w:r w:rsidR="0042466C" w:rsidRPr="002608C3">
        <w:rPr>
          <w:rFonts w:ascii="Calibri" w:hAnsi="Calibri"/>
          <w:color w:val="4A4A4A"/>
          <w:sz w:val="21"/>
          <w:lang w:val="en-US"/>
        </w:rPr>
        <w:t>UN-Habitat also conducted in-depth analyses of the NUP trends and national case studies in global regions through National Urban Policy Reports in Arab States, Asia and the Pacific, Europe and North America, Latin America and the Caribbean, and Sub-Saharan Africa.</w:t>
      </w:r>
    </w:p>
    <w:p w14:paraId="03EF3244" w14:textId="77777777" w:rsidR="00EC2915" w:rsidRPr="009F18F1" w:rsidRDefault="00EC2915">
      <w:pPr>
        <w:pStyle w:val="MText"/>
        <w:rPr>
          <w:rFonts w:cstheme="minorHAnsi"/>
        </w:rPr>
      </w:pPr>
    </w:p>
    <w:p w14:paraId="34ADD322" w14:textId="46EC478F" w:rsidR="00E1050F" w:rsidRPr="009F18F1" w:rsidRDefault="00576CFA" w:rsidP="002608C3">
      <w:pPr>
        <w:pStyle w:val="MHeader2"/>
        <w:rPr>
          <w:rFonts w:cstheme="minorHAnsi"/>
        </w:rPr>
      </w:pPr>
      <w:r w:rsidRPr="009F18F1">
        <w:rPr>
          <w:rFonts w:cstheme="minorHAnsi"/>
        </w:rPr>
        <w:t>4.k Qua</w:t>
      </w:r>
      <w:r w:rsidR="00E1050F" w:rsidRPr="009F18F1">
        <w:rPr>
          <w:rFonts w:cstheme="minorHAnsi"/>
        </w:rPr>
        <w:t>lity assessment</w:t>
      </w:r>
      <w:r w:rsidR="00CD5652" w:rsidRPr="00A96255">
        <w:t xml:space="preserve"> </w:t>
      </w:r>
      <w:r w:rsidR="00CD5652">
        <w:rPr>
          <w:color w:val="B4B4B4"/>
          <w:sz w:val="20"/>
        </w:rPr>
        <w:t>(QUALITY_ASSMNT)</w:t>
      </w:r>
    </w:p>
    <w:p w14:paraId="27D6D757" w14:textId="77777777" w:rsidR="00FD6E33" w:rsidRDefault="00545BC6">
      <w:pPr>
        <w:pStyle w:val="MText"/>
        <w:rPr>
          <w:rFonts w:cstheme="minorHAnsi"/>
        </w:rPr>
      </w:pPr>
      <w:r w:rsidRPr="009F18F1">
        <w:rPr>
          <w:rFonts w:cstheme="minorHAnsi"/>
        </w:rPr>
        <w:t>Once data is received from member states, UN-Habitat uses a checklist specific to each indicator to</w:t>
      </w:r>
    </w:p>
    <w:p w14:paraId="4B85FA40" w14:textId="1F69CA2E" w:rsidR="00FD6E33" w:rsidRDefault="00EC572B" w:rsidP="002608C3">
      <w:pPr>
        <w:pStyle w:val="MText"/>
        <w:rPr>
          <w:rFonts w:cstheme="minorHAnsi"/>
        </w:rPr>
      </w:pPr>
      <w:r w:rsidRPr="009F18F1">
        <w:rPr>
          <w:rFonts w:cstheme="minorHAnsi"/>
        </w:rPr>
        <w:t>a)</w:t>
      </w:r>
      <w:r w:rsidR="00FD6E33">
        <w:rPr>
          <w:rFonts w:cstheme="minorHAnsi"/>
        </w:rPr>
        <w:tab/>
      </w:r>
      <w:r w:rsidR="00545BC6" w:rsidRPr="009F18F1">
        <w:rPr>
          <w:rFonts w:cstheme="minorHAnsi"/>
        </w:rPr>
        <w:t>assess whether the data production process followed the metadata provisions, and</w:t>
      </w:r>
    </w:p>
    <w:p w14:paraId="6F514D84" w14:textId="53A358BB" w:rsidR="00FD6E33" w:rsidRDefault="00545BC6" w:rsidP="002608C3">
      <w:pPr>
        <w:pStyle w:val="MText"/>
        <w:rPr>
          <w:rFonts w:cstheme="minorHAnsi"/>
        </w:rPr>
      </w:pPr>
      <w:r w:rsidRPr="009F18F1">
        <w:rPr>
          <w:rFonts w:cstheme="minorHAnsi"/>
        </w:rPr>
        <w:t>b)</w:t>
      </w:r>
      <w:r w:rsidR="00FD6E33">
        <w:rPr>
          <w:rFonts w:cstheme="minorHAnsi"/>
        </w:rPr>
        <w:tab/>
      </w:r>
      <w:r w:rsidRPr="009F18F1">
        <w:rPr>
          <w:rFonts w:cstheme="minorHAnsi"/>
        </w:rPr>
        <w:t>confirm the accuracy of the data sources used for the indicator computation.</w:t>
      </w:r>
    </w:p>
    <w:p w14:paraId="326EB0AB" w14:textId="754FD8DB" w:rsidR="00576CFA" w:rsidRPr="009F18F1" w:rsidRDefault="00545BC6">
      <w:pPr>
        <w:pStyle w:val="MText"/>
        <w:rPr>
          <w:rFonts w:cstheme="minorHAnsi"/>
        </w:rPr>
      </w:pPr>
      <w:r w:rsidRPr="009F18F1">
        <w:rPr>
          <w:rFonts w:cstheme="minorHAnsi"/>
        </w:rPr>
        <w:t>In addition, the received data is also checked for other qualities such as reporting period and consistency with other previously reported trends, which ensures reliable regional estimates.</w:t>
      </w:r>
    </w:p>
    <w:p w14:paraId="5B7C52CE" w14:textId="77777777" w:rsidR="00576CFA" w:rsidRPr="009F18F1" w:rsidRDefault="00576CFA">
      <w:pPr>
        <w:pStyle w:val="MText"/>
        <w:rPr>
          <w:rFonts w:cstheme="minorHAnsi"/>
        </w:rPr>
      </w:pPr>
    </w:p>
    <w:p w14:paraId="17787B3C" w14:textId="17C6E121" w:rsidR="00E1050F" w:rsidRPr="009F18F1" w:rsidRDefault="00576CFA" w:rsidP="002608C3">
      <w:pPr>
        <w:pStyle w:val="MHeader"/>
        <w:spacing w:after="100"/>
        <w:rPr>
          <w:rFonts w:cstheme="minorHAnsi"/>
        </w:rPr>
      </w:pPr>
      <w:r w:rsidRPr="009F18F1">
        <w:rPr>
          <w:rFonts w:cstheme="minorHAnsi"/>
        </w:rPr>
        <w:t>5. Data availability and disaggregation</w:t>
      </w:r>
      <w:r w:rsidR="0050626C" w:rsidRPr="00A96255">
        <w:t xml:space="preserve"> </w:t>
      </w:r>
      <w:r w:rsidR="0050626C">
        <w:rPr>
          <w:color w:val="B4B4B4"/>
          <w:sz w:val="20"/>
        </w:rPr>
        <w:t>(COVERAGE)</w:t>
      </w:r>
    </w:p>
    <w:p w14:paraId="464A8CCF" w14:textId="6102ADE9" w:rsidR="00576CFA" w:rsidRPr="009F18F1" w:rsidRDefault="00D51E7C">
      <w:pPr>
        <w:pStyle w:val="MText"/>
        <w:rPr>
          <w:rFonts w:cstheme="minorHAnsi"/>
          <w:b/>
          <w:bCs/>
        </w:rPr>
      </w:pPr>
      <w:r w:rsidRPr="009F18F1">
        <w:rPr>
          <w:rFonts w:cstheme="minorHAnsi"/>
          <w:b/>
          <w:bCs/>
        </w:rPr>
        <w:t>Data availability:</w:t>
      </w:r>
    </w:p>
    <w:p w14:paraId="1AD8014D" w14:textId="7EAB9FA9" w:rsidR="00464035" w:rsidRPr="002608C3" w:rsidRDefault="00464035" w:rsidP="002608C3">
      <w:pPr>
        <w:keepNext/>
        <w:keepLines/>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The updated data</w:t>
      </w:r>
      <w:r w:rsidR="00610BD6">
        <w:rPr>
          <w:rFonts w:ascii="Calibri" w:hAnsi="Calibri"/>
          <w:color w:val="4A4A4A"/>
          <w:sz w:val="21"/>
          <w:lang w:val="en-US"/>
        </w:rPr>
        <w:t xml:space="preserve"> series is</w:t>
      </w:r>
      <w:r w:rsidRPr="002608C3">
        <w:rPr>
          <w:rFonts w:ascii="Calibri" w:hAnsi="Calibri"/>
          <w:color w:val="4A4A4A"/>
          <w:sz w:val="21"/>
          <w:lang w:val="en-US"/>
        </w:rPr>
        <w:t xml:space="preserve"> available online on the Urban Policy Platform and </w:t>
      </w:r>
      <w:r w:rsidR="00610BD6">
        <w:rPr>
          <w:rFonts w:ascii="Calibri" w:hAnsi="Calibri"/>
          <w:color w:val="4A4A4A"/>
          <w:sz w:val="21"/>
          <w:lang w:val="en-US"/>
        </w:rPr>
        <w:t>the website link of the</w:t>
      </w:r>
      <w:r w:rsidRPr="002608C3">
        <w:rPr>
          <w:rFonts w:ascii="Calibri" w:hAnsi="Calibri"/>
          <w:i/>
          <w:color w:val="4A4A4A"/>
          <w:sz w:val="21"/>
          <w:lang w:val="en-US"/>
        </w:rPr>
        <w:t xml:space="preserve"> Global State of National Urban Policy Report</w:t>
      </w:r>
      <w:r w:rsidRPr="002608C3">
        <w:rPr>
          <w:rFonts w:ascii="Calibri" w:hAnsi="Calibri"/>
          <w:color w:val="4A4A4A"/>
          <w:sz w:val="21"/>
          <w:lang w:val="en-US"/>
        </w:rPr>
        <w:t xml:space="preserve"> </w:t>
      </w:r>
      <w:r w:rsidR="00610BD6">
        <w:rPr>
          <w:rFonts w:ascii="Calibri" w:hAnsi="Calibri"/>
          <w:color w:val="4A4A4A"/>
          <w:sz w:val="21"/>
          <w:lang w:val="en-US"/>
        </w:rPr>
        <w:t>which is updated every 2 years</w:t>
      </w:r>
      <w:r w:rsidRPr="002608C3">
        <w:rPr>
          <w:rFonts w:ascii="Calibri" w:hAnsi="Calibri"/>
          <w:color w:val="4A4A4A"/>
          <w:sz w:val="21"/>
          <w:lang w:val="en-US"/>
        </w:rPr>
        <w:t xml:space="preserve"> calendar year.</w:t>
      </w:r>
    </w:p>
    <w:p w14:paraId="6BB6A1CA" w14:textId="77777777" w:rsidR="00464035" w:rsidRPr="002608C3" w:rsidRDefault="00464035" w:rsidP="002608C3">
      <w:pPr>
        <w:keepNext/>
        <w:keepLines/>
        <w:shd w:val="clear" w:color="auto" w:fill="FFFFFF"/>
        <w:spacing w:after="0" w:line="240" w:lineRule="auto"/>
        <w:rPr>
          <w:rFonts w:ascii="Calibri" w:eastAsia="Times New Roman" w:hAnsi="Calibri" w:cs="Calibri"/>
          <w:color w:val="4A4A4A"/>
          <w:sz w:val="20"/>
          <w:szCs w:val="20"/>
          <w:lang w:val="en-US" w:eastAsia="en-US"/>
        </w:rPr>
      </w:pPr>
    </w:p>
    <w:p w14:paraId="5853D6F7" w14:textId="6A14884D" w:rsidR="00D51E7C" w:rsidRPr="009F18F1" w:rsidRDefault="00D51E7C">
      <w:pPr>
        <w:pStyle w:val="MText"/>
        <w:rPr>
          <w:rFonts w:cstheme="minorHAnsi"/>
          <w:b/>
          <w:bCs/>
        </w:rPr>
      </w:pPr>
      <w:r w:rsidRPr="009F18F1">
        <w:rPr>
          <w:rFonts w:cstheme="minorHAnsi"/>
          <w:b/>
          <w:bCs/>
        </w:rPr>
        <w:t>Time series:</w:t>
      </w:r>
    </w:p>
    <w:p w14:paraId="30BDE6F0" w14:textId="508FFA28" w:rsidR="00464035" w:rsidRPr="002608C3" w:rsidRDefault="00464035" w:rsidP="002608C3">
      <w:pPr>
        <w:keepNext/>
        <w:keepLines/>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A comprehensive update on National Urban Policy is conducted every two years</w:t>
      </w:r>
      <w:r w:rsidR="00610BD6">
        <w:rPr>
          <w:rFonts w:ascii="Calibri" w:hAnsi="Calibri"/>
          <w:color w:val="4A4A4A"/>
          <w:sz w:val="21"/>
          <w:lang w:val="en-US"/>
        </w:rPr>
        <w:t xml:space="preserve"> with the baselines having been set from</w:t>
      </w:r>
      <w:r w:rsidR="00117CB9" w:rsidRPr="002608C3">
        <w:rPr>
          <w:rFonts w:ascii="Calibri" w:eastAsia="Times New Roman" w:hAnsi="Calibri" w:cs="Calibri"/>
          <w:color w:val="4A4A4A"/>
          <w:sz w:val="21"/>
          <w:szCs w:val="21"/>
          <w:lang w:val="en-US" w:eastAsia="en-US"/>
        </w:rPr>
        <w:t xml:space="preserve"> 2018</w:t>
      </w:r>
      <w:r w:rsidRPr="002608C3">
        <w:rPr>
          <w:rFonts w:ascii="Calibri" w:hAnsi="Calibri"/>
          <w:color w:val="4A4A4A"/>
          <w:sz w:val="21"/>
          <w:lang w:val="en-US"/>
        </w:rPr>
        <w:t>.</w:t>
      </w:r>
    </w:p>
    <w:p w14:paraId="760C013A" w14:textId="4597FCBD" w:rsidR="00D51E7C" w:rsidRPr="009F18F1" w:rsidRDefault="00D51E7C">
      <w:pPr>
        <w:pStyle w:val="MText"/>
        <w:rPr>
          <w:rFonts w:cstheme="minorHAnsi"/>
          <w:highlight w:val="cyan"/>
        </w:rPr>
      </w:pPr>
    </w:p>
    <w:p w14:paraId="7DFAAAAF" w14:textId="3E7CAE31" w:rsidR="00C82BC5" w:rsidRPr="009F18F1" w:rsidRDefault="00D51E7C">
      <w:pPr>
        <w:pStyle w:val="MText"/>
        <w:rPr>
          <w:rFonts w:cstheme="minorHAnsi"/>
          <w:b/>
          <w:bCs/>
        </w:rPr>
      </w:pPr>
      <w:r w:rsidRPr="009F18F1">
        <w:rPr>
          <w:rFonts w:cstheme="minorHAnsi"/>
          <w:b/>
          <w:bCs/>
        </w:rPr>
        <w:t>Disaggregation:</w:t>
      </w:r>
    </w:p>
    <w:p w14:paraId="72C7C370" w14:textId="7C37C1CB" w:rsidR="00D51E7C" w:rsidRPr="009F18F1" w:rsidRDefault="00683BB5">
      <w:pPr>
        <w:pStyle w:val="MText"/>
        <w:rPr>
          <w:rFonts w:cstheme="minorHAnsi"/>
        </w:rPr>
      </w:pPr>
      <w:r w:rsidRPr="002608C3">
        <w:rPr>
          <w:rFonts w:cstheme="minorHAnsi"/>
        </w:rPr>
        <w:t>Not applicable</w:t>
      </w:r>
    </w:p>
    <w:p w14:paraId="42E8CA56" w14:textId="77777777" w:rsidR="00D51E7C" w:rsidRPr="009F18F1" w:rsidRDefault="00D51E7C">
      <w:pPr>
        <w:pStyle w:val="MText"/>
        <w:rPr>
          <w:rFonts w:cstheme="minorHAnsi"/>
        </w:rPr>
      </w:pPr>
    </w:p>
    <w:p w14:paraId="4D0520F7" w14:textId="310E9D18" w:rsidR="00382CF3" w:rsidRPr="009F18F1" w:rsidRDefault="00B31E2C" w:rsidP="002608C3">
      <w:pPr>
        <w:pStyle w:val="MHeader"/>
        <w:spacing w:after="100"/>
        <w:rPr>
          <w:rFonts w:cstheme="minorHAnsi"/>
        </w:rPr>
      </w:pPr>
      <w:r w:rsidRPr="009F18F1">
        <w:rPr>
          <w:rFonts w:cstheme="minorHAnsi"/>
        </w:rPr>
        <w:t>6. Comparability / d</w:t>
      </w:r>
      <w:r w:rsidR="00576CFA" w:rsidRPr="009F18F1">
        <w:rPr>
          <w:rFonts w:cstheme="minorHAnsi"/>
        </w:rPr>
        <w:t>eviatio</w:t>
      </w:r>
      <w:r w:rsidR="00382CF3" w:rsidRPr="009F18F1">
        <w:rPr>
          <w:rFonts w:cstheme="minorHAnsi"/>
        </w:rPr>
        <w:t>n from international standards</w:t>
      </w:r>
      <w:r w:rsidR="00D14694" w:rsidRPr="00A96255">
        <w:t xml:space="preserve"> </w:t>
      </w:r>
      <w:r w:rsidR="00D14694">
        <w:rPr>
          <w:color w:val="B4B4B4"/>
          <w:sz w:val="20"/>
        </w:rPr>
        <w:t>(COMPARABILITY)</w:t>
      </w:r>
    </w:p>
    <w:p w14:paraId="3595E072" w14:textId="4F25FF2B" w:rsidR="00D51E7C" w:rsidRPr="009F18F1" w:rsidRDefault="00D51E7C">
      <w:pPr>
        <w:pStyle w:val="MText"/>
        <w:rPr>
          <w:rFonts w:cstheme="minorHAnsi"/>
          <w:b/>
          <w:bCs/>
        </w:rPr>
      </w:pPr>
      <w:r w:rsidRPr="009F18F1">
        <w:rPr>
          <w:rFonts w:cstheme="minorHAnsi"/>
          <w:b/>
          <w:bCs/>
        </w:rPr>
        <w:t>Sources of discrepancies:</w:t>
      </w:r>
    </w:p>
    <w:p w14:paraId="3C2D4870" w14:textId="32E4D2CA" w:rsidR="00D51E7C" w:rsidRPr="009F18F1" w:rsidRDefault="00566808">
      <w:pPr>
        <w:shd w:val="clear" w:color="auto" w:fill="FFFFFF"/>
        <w:spacing w:after="0"/>
        <w:contextualSpacing/>
        <w:rPr>
          <w:rFonts w:eastAsia="Times New Roman" w:cstheme="minorHAnsi"/>
          <w:color w:val="4A4A4A"/>
          <w:sz w:val="21"/>
          <w:szCs w:val="21"/>
          <w:lang w:eastAsia="en-GB"/>
        </w:rPr>
      </w:pPr>
      <w:r w:rsidRPr="009F18F1">
        <w:rPr>
          <w:rFonts w:eastAsia="Times New Roman" w:cstheme="minorHAnsi"/>
          <w:color w:val="4A4A4A"/>
          <w:sz w:val="21"/>
          <w:szCs w:val="21"/>
          <w:lang w:eastAsia="en-GB"/>
        </w:rPr>
        <w:lastRenderedPageBreak/>
        <w:t>No differences between country produced data and international estimated data on the indicator are expected to arise. Where such discrepancies exist, these will be resolved through planned technical meetings and capacity development workshops.</w:t>
      </w:r>
    </w:p>
    <w:p w14:paraId="5AB6DD91" w14:textId="77777777" w:rsidR="00F719A8" w:rsidRPr="009F18F1" w:rsidRDefault="00F719A8">
      <w:pPr>
        <w:pStyle w:val="MText"/>
        <w:rPr>
          <w:rFonts w:cstheme="minorHAnsi"/>
        </w:rPr>
      </w:pPr>
    </w:p>
    <w:p w14:paraId="76DF099C" w14:textId="493D4B53" w:rsidR="00382CF3" w:rsidRPr="009F18F1" w:rsidRDefault="00576CFA" w:rsidP="002608C3">
      <w:pPr>
        <w:pStyle w:val="MHeader"/>
        <w:spacing w:after="100"/>
        <w:rPr>
          <w:rFonts w:cstheme="minorHAnsi"/>
        </w:rPr>
      </w:pPr>
      <w:r w:rsidRPr="009F18F1">
        <w:rPr>
          <w:rFonts w:cstheme="minorHAnsi"/>
        </w:rPr>
        <w:t>7</w:t>
      </w:r>
      <w:r w:rsidR="00382CF3" w:rsidRPr="009F18F1">
        <w:rPr>
          <w:rFonts w:cstheme="minorHAnsi"/>
        </w:rPr>
        <w:t>. References and Documentation</w:t>
      </w:r>
      <w:r w:rsidR="00C537C7" w:rsidRPr="00A96255">
        <w:t xml:space="preserve"> </w:t>
      </w:r>
      <w:r w:rsidR="00C537C7">
        <w:rPr>
          <w:color w:val="B4B4B4"/>
          <w:sz w:val="20"/>
        </w:rPr>
        <w:t>(OTHER_DOC)</w:t>
      </w:r>
    </w:p>
    <w:p w14:paraId="6C1BA309" w14:textId="3857BF78" w:rsidR="000934D7" w:rsidRPr="002608C3" w:rsidRDefault="000934D7" w:rsidP="002608C3">
      <w:pPr>
        <w:shd w:val="clear" w:color="auto" w:fill="FFFFFF"/>
        <w:spacing w:after="0" w:line="240" w:lineRule="auto"/>
        <w:rPr>
          <w:rFonts w:ascii="Calibri" w:hAnsi="Calibri"/>
          <w:b/>
          <w:color w:val="4A4A4A"/>
          <w:sz w:val="21"/>
          <w:lang w:val="en-US"/>
        </w:rPr>
      </w:pPr>
      <w:r w:rsidRPr="002608C3">
        <w:rPr>
          <w:rFonts w:ascii="Calibri" w:hAnsi="Calibri"/>
          <w:b/>
          <w:color w:val="4A4A4A"/>
          <w:sz w:val="21"/>
          <w:lang w:val="en-US"/>
        </w:rPr>
        <w:t>URL:</w:t>
      </w:r>
    </w:p>
    <w:p w14:paraId="60ED7006" w14:textId="29E9D610" w:rsidR="003F3F8A" w:rsidRPr="002608C3" w:rsidRDefault="000934D7"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[1]: </w:t>
      </w:r>
      <w:hyperlink r:id="rId15" w:history="1">
        <w:r w:rsidR="003F3F8A" w:rsidRPr="00563D33">
          <w:rPr>
            <w:rStyle w:val="Hyperlink"/>
            <w:rFonts w:cstheme="minorHAnsi"/>
            <w:sz w:val="21"/>
            <w:lang w:val="en-US"/>
          </w:rPr>
          <w:t>https://unhabitat.org/programme/national-urban-policy</w:t>
        </w:r>
      </w:hyperlink>
      <w:r w:rsidR="00610BD6" w:rsidRPr="00610BD6" w:rsidDel="00610BD6">
        <w:rPr>
          <w:rFonts w:cstheme="minorHAnsi"/>
          <w:color w:val="4A4A4A"/>
          <w:sz w:val="21"/>
          <w:lang w:val="en-US"/>
        </w:rPr>
        <w:t xml:space="preserve"> </w:t>
      </w:r>
    </w:p>
    <w:p w14:paraId="2F927457" w14:textId="36BC49DA" w:rsidR="003F3F8A" w:rsidRPr="002608C3" w:rsidRDefault="000934D7"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[2]: </w:t>
      </w:r>
      <w:hyperlink r:id="rId16" w:history="1">
        <w:r w:rsidR="003F3F8A" w:rsidRPr="00563D33">
          <w:rPr>
            <w:rStyle w:val="Hyperlink"/>
            <w:rFonts w:cstheme="minorHAnsi"/>
            <w:sz w:val="21"/>
            <w:lang w:val="en-US"/>
          </w:rPr>
          <w:t>https://www.worldbank.org/en/topic/urbandevelopment/publication/urbanization-reviews</w:t>
        </w:r>
      </w:hyperlink>
      <w:r w:rsidR="00610BD6" w:rsidRPr="00610BD6" w:rsidDel="00610BD6">
        <w:rPr>
          <w:rFonts w:cstheme="minorHAnsi"/>
          <w:color w:val="4A4A4A"/>
          <w:sz w:val="21"/>
          <w:lang w:val="en-US"/>
        </w:rPr>
        <w:t xml:space="preserve"> </w:t>
      </w:r>
    </w:p>
    <w:p w14:paraId="76333D15" w14:textId="02EA4C3B" w:rsidR="003F3F8A" w:rsidRPr="002608C3" w:rsidRDefault="000934D7"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[3]: </w:t>
      </w:r>
      <w:hyperlink r:id="rId17" w:history="1">
        <w:r w:rsidR="003F3F8A" w:rsidRPr="00554984">
          <w:rPr>
            <w:rStyle w:val="Hyperlink"/>
            <w:rFonts w:ascii="Calibri" w:hAnsi="Calibri"/>
            <w:sz w:val="21"/>
            <w:lang w:val="en-US"/>
          </w:rPr>
          <w:t>https://www.oecd-ilibrary.org/urban-rural-and-regional-development/oecd-urban-policy-reviews_23069341</w:t>
        </w:r>
      </w:hyperlink>
      <w:r w:rsidR="00610BD6" w:rsidRPr="00610BD6" w:rsidDel="00610BD6">
        <w:rPr>
          <w:rFonts w:cstheme="minorHAnsi"/>
        </w:rPr>
        <w:t xml:space="preserve"> </w:t>
      </w:r>
    </w:p>
    <w:p w14:paraId="0BD98A79" w14:textId="717B2C27" w:rsidR="00877D0F" w:rsidRPr="002608C3" w:rsidRDefault="000934D7" w:rsidP="002608C3">
      <w:pPr>
        <w:shd w:val="clear" w:color="auto" w:fill="FFFFFF"/>
        <w:spacing w:after="0" w:line="240" w:lineRule="auto"/>
        <w:rPr>
          <w:rFonts w:ascii="Calibri" w:hAnsi="Calibri"/>
          <w:color w:val="4A4A4A"/>
          <w:sz w:val="21"/>
          <w:lang w:val="en-US"/>
        </w:rPr>
      </w:pPr>
      <w:r w:rsidRPr="002608C3">
        <w:rPr>
          <w:rFonts w:ascii="Calibri" w:hAnsi="Calibri"/>
          <w:color w:val="4A4A4A"/>
          <w:sz w:val="21"/>
          <w:lang w:val="en-US"/>
        </w:rPr>
        <w:t xml:space="preserve">[4]: </w:t>
      </w:r>
      <w:hyperlink r:id="rId18" w:history="1">
        <w:r w:rsidR="003F3F8A" w:rsidRPr="00563D33">
          <w:rPr>
            <w:rStyle w:val="Hyperlink"/>
            <w:rFonts w:ascii="Calibri" w:hAnsi="Calibri"/>
            <w:sz w:val="21"/>
            <w:lang w:val="en-US"/>
          </w:rPr>
          <w:t>https://unhabitat.org/sites/default/files/2020/10/nua-monitoring-framework-and-related-indicators_1.pdf</w:t>
        </w:r>
      </w:hyperlink>
      <w:r w:rsidR="003F3F8A">
        <w:rPr>
          <w:rFonts w:ascii="Calibri" w:hAnsi="Calibri"/>
          <w:color w:val="4A4A4A"/>
          <w:sz w:val="21"/>
          <w:lang w:val="en-US"/>
        </w:rPr>
        <w:t xml:space="preserve"> </w:t>
      </w:r>
    </w:p>
    <w:p w14:paraId="41C1FCAC" w14:textId="78D91C12" w:rsidR="003F3F8A" w:rsidRPr="002608C3" w:rsidRDefault="000934D7" w:rsidP="002608C3">
      <w:pPr>
        <w:spacing w:after="0" w:line="240" w:lineRule="auto"/>
        <w:jc w:val="both"/>
        <w:rPr>
          <w:rFonts w:ascii="Calibri" w:hAnsi="Calibri"/>
          <w:sz w:val="21"/>
          <w:lang w:val="en-US"/>
        </w:rPr>
      </w:pPr>
      <w:r w:rsidRPr="002608C3">
        <w:rPr>
          <w:rFonts w:ascii="Calibri" w:hAnsi="Calibri"/>
          <w:sz w:val="21"/>
          <w:lang w:val="en-US"/>
        </w:rPr>
        <w:t xml:space="preserve">[5]: </w:t>
      </w:r>
      <w:hyperlink r:id="rId19" w:history="1">
        <w:r w:rsidR="003F3F8A" w:rsidRPr="00554984">
          <w:rPr>
            <w:rStyle w:val="Hyperlink"/>
            <w:rFonts w:ascii="Calibri" w:hAnsi="Calibri"/>
            <w:sz w:val="21"/>
            <w:lang w:val="en-US"/>
          </w:rPr>
          <w:t>https://urbanpolicyplatform.org/national-urban-policy-database/</w:t>
        </w:r>
      </w:hyperlink>
      <w:r w:rsidR="00610BD6" w:rsidRPr="00610BD6" w:rsidDel="00610BD6">
        <w:rPr>
          <w:rFonts w:cstheme="minorHAnsi"/>
        </w:rPr>
        <w:t xml:space="preserve"> </w:t>
      </w:r>
    </w:p>
    <w:p w14:paraId="154DFE26" w14:textId="31B1DA62" w:rsidR="000934D7" w:rsidRPr="009F18F1" w:rsidRDefault="000934D7" w:rsidP="002608C3">
      <w:pPr>
        <w:spacing w:after="0" w:line="240" w:lineRule="auto"/>
        <w:rPr>
          <w:rFonts w:cstheme="minorHAnsi"/>
        </w:rPr>
      </w:pPr>
      <w:r w:rsidRPr="002608C3">
        <w:rPr>
          <w:rFonts w:ascii="Calibri" w:hAnsi="Calibri"/>
          <w:color w:val="4A4A4A"/>
          <w:sz w:val="21"/>
          <w:lang w:val="en-US"/>
        </w:rPr>
        <w:t xml:space="preserve">[6]: </w:t>
      </w:r>
      <w:r w:rsidR="00610BD6" w:rsidRPr="00554984">
        <w:rPr>
          <w:rFonts w:ascii="Calibri" w:hAnsi="Calibri"/>
          <w:color w:val="0000FF"/>
          <w:sz w:val="21"/>
          <w:u w:val="single"/>
          <w:lang w:val="en-US"/>
        </w:rPr>
        <w:t>https://urbanpolicyplatform.org/</w:t>
      </w:r>
    </w:p>
    <w:p w14:paraId="0FA4C0E7" w14:textId="77777777" w:rsidR="003F3F8A" w:rsidRDefault="003F3F8A" w:rsidP="003F3F8A">
      <w:pPr>
        <w:shd w:val="clear" w:color="auto" w:fill="FFFFFF"/>
        <w:spacing w:after="0" w:line="240" w:lineRule="auto"/>
        <w:rPr>
          <w:rFonts w:ascii="Calibri" w:hAnsi="Calibri"/>
          <w:b/>
          <w:color w:val="4A4A4A"/>
          <w:sz w:val="21"/>
          <w:lang w:val="en-US"/>
        </w:rPr>
      </w:pPr>
    </w:p>
    <w:p w14:paraId="4BE4626E" w14:textId="4ECFA975" w:rsidR="000934D7" w:rsidRPr="00554984" w:rsidRDefault="000934D7" w:rsidP="00554984">
      <w:pPr>
        <w:shd w:val="clear" w:color="auto" w:fill="FFFFFF"/>
        <w:spacing w:after="0" w:line="240" w:lineRule="auto"/>
        <w:rPr>
          <w:rFonts w:ascii="Calibri" w:hAnsi="Calibri"/>
          <w:b/>
          <w:color w:val="4A4A4A"/>
          <w:sz w:val="21"/>
          <w:lang w:val="en-US"/>
        </w:rPr>
      </w:pPr>
      <w:r w:rsidRPr="00554984">
        <w:rPr>
          <w:rFonts w:ascii="Calibri" w:hAnsi="Calibri"/>
          <w:b/>
          <w:color w:val="4A4A4A"/>
          <w:sz w:val="21"/>
          <w:lang w:val="en-US"/>
        </w:rPr>
        <w:t>References</w:t>
      </w:r>
      <w:r w:rsidR="00877D0F" w:rsidRPr="002608C3">
        <w:rPr>
          <w:rFonts w:ascii="Calibri" w:hAnsi="Calibri"/>
          <w:b/>
          <w:color w:val="4A4A4A"/>
          <w:sz w:val="21"/>
          <w:lang w:val="en-US"/>
        </w:rPr>
        <w:t>:</w:t>
      </w:r>
    </w:p>
    <w:p w14:paraId="6DDBD1A8" w14:textId="44C5ECA9" w:rsidR="00464035" w:rsidRPr="002608C3" w:rsidRDefault="00464035" w:rsidP="002608C3">
      <w:pPr>
        <w:spacing w:after="0" w:line="240" w:lineRule="auto"/>
        <w:rPr>
          <w:rFonts w:ascii="Calibri" w:hAnsi="Calibri"/>
          <w:sz w:val="21"/>
          <w:lang w:val="en-US"/>
        </w:rPr>
      </w:pPr>
      <w:r w:rsidRPr="00554984">
        <w:rPr>
          <w:rFonts w:eastAsia="Times New Roman" w:cstheme="minorHAnsi"/>
          <w:color w:val="4A4A4A"/>
          <w:sz w:val="21"/>
          <w:szCs w:val="21"/>
          <w:lang w:eastAsia="en-GB"/>
        </w:rPr>
        <w:t>OECD Urban Policy Review Series Available at:</w:t>
      </w:r>
      <w:r w:rsidRPr="002608C3">
        <w:rPr>
          <w:lang w:val="en-US"/>
        </w:rPr>
        <w:t xml:space="preserve"> </w:t>
      </w:r>
      <w:hyperlink r:id="rId20" w:history="1">
        <w:r w:rsidRPr="002608C3">
          <w:rPr>
            <w:rFonts w:ascii="Calibri" w:hAnsi="Calibri"/>
            <w:color w:val="0000FF"/>
            <w:sz w:val="21"/>
            <w:u w:val="single"/>
            <w:lang w:val="en-US"/>
          </w:rPr>
          <w:t>http://www.oecd.org/cfe/regional-policy/urbanmetroreviews.htm</w:t>
        </w:r>
      </w:hyperlink>
      <w:r w:rsidR="000934D7" w:rsidRPr="002608C3">
        <w:rPr>
          <w:rFonts w:ascii="Calibri" w:hAnsi="Calibri"/>
          <w:color w:val="0000FF"/>
          <w:sz w:val="21"/>
          <w:u w:val="single"/>
          <w:lang w:val="en-US"/>
        </w:rPr>
        <w:t>.</w:t>
      </w:r>
    </w:p>
    <w:p w14:paraId="5FFAA2A3" w14:textId="02F2F244" w:rsidR="00464035" w:rsidRPr="002608C3" w:rsidRDefault="00464035" w:rsidP="002608C3">
      <w:pPr>
        <w:spacing w:after="0" w:line="240" w:lineRule="auto"/>
        <w:rPr>
          <w:rFonts w:ascii="Calibri" w:hAnsi="Calibri"/>
          <w:sz w:val="21"/>
          <w:lang w:val="en-US"/>
        </w:rPr>
      </w:pPr>
      <w:r w:rsidRPr="00554984">
        <w:rPr>
          <w:rFonts w:eastAsia="Times New Roman" w:cstheme="minorHAnsi"/>
          <w:color w:val="4A4A4A"/>
          <w:sz w:val="21"/>
          <w:szCs w:val="21"/>
          <w:lang w:eastAsia="en-GB"/>
        </w:rPr>
        <w:t xml:space="preserve">UN Habitat (2015), </w:t>
      </w:r>
      <w:r w:rsidRPr="00554984">
        <w:rPr>
          <w:rFonts w:eastAsia="Times New Roman" w:cstheme="minorHAnsi"/>
          <w:i/>
          <w:iCs/>
          <w:color w:val="4A4A4A"/>
          <w:sz w:val="21"/>
          <w:szCs w:val="21"/>
          <w:lang w:eastAsia="en-GB"/>
        </w:rPr>
        <w:t>National Urban Policy: Framework for a Rapid Diagnostic</w:t>
      </w:r>
      <w:r w:rsidRPr="00554984">
        <w:rPr>
          <w:rFonts w:eastAsia="Times New Roman" w:cstheme="minorHAnsi"/>
          <w:color w:val="4A4A4A"/>
          <w:sz w:val="21"/>
          <w:szCs w:val="21"/>
          <w:lang w:eastAsia="en-GB"/>
        </w:rPr>
        <w:t>, United Nations Human Settlements Programme: Nairobi. Available at:</w:t>
      </w:r>
      <w:r w:rsidRPr="002608C3">
        <w:rPr>
          <w:lang w:val="en-US"/>
        </w:rPr>
        <w:t xml:space="preserve"> </w:t>
      </w:r>
      <w:hyperlink r:id="rId21" w:history="1">
        <w:r w:rsidRPr="002608C3">
          <w:rPr>
            <w:rFonts w:ascii="Calibri" w:hAnsi="Calibri"/>
            <w:color w:val="0000FF"/>
            <w:sz w:val="21"/>
            <w:u w:val="single"/>
            <w:lang w:val="en-US"/>
          </w:rPr>
          <w:t>https://unhabitat.org/national-urban-policy-framework-for-a-rapid-diagnostic/</w:t>
        </w:r>
      </w:hyperlink>
      <w:r w:rsidR="000934D7" w:rsidRPr="002608C3">
        <w:rPr>
          <w:rFonts w:ascii="Calibri" w:hAnsi="Calibri"/>
          <w:color w:val="0000FF"/>
          <w:sz w:val="21"/>
          <w:u w:val="single"/>
          <w:lang w:val="en-US"/>
        </w:rPr>
        <w:t>.</w:t>
      </w:r>
    </w:p>
    <w:p w14:paraId="0D21C67B" w14:textId="61ABEC55" w:rsidR="00464035" w:rsidRPr="002608C3" w:rsidRDefault="00464035" w:rsidP="002608C3">
      <w:pPr>
        <w:spacing w:after="0" w:line="240" w:lineRule="auto"/>
        <w:rPr>
          <w:rFonts w:ascii="Calibri" w:hAnsi="Calibri"/>
          <w:sz w:val="21"/>
          <w:lang w:val="en-US"/>
        </w:rPr>
      </w:pPr>
      <w:r w:rsidRPr="00554984">
        <w:rPr>
          <w:rFonts w:eastAsia="Times New Roman" w:cstheme="minorHAnsi"/>
          <w:color w:val="4A4A4A"/>
          <w:sz w:val="21"/>
          <w:szCs w:val="21"/>
          <w:lang w:eastAsia="en-GB"/>
        </w:rPr>
        <w:t>UN Habitat (2015),</w:t>
      </w:r>
      <w:r w:rsidRPr="002608C3">
        <w:rPr>
          <w:lang w:val="en-US"/>
        </w:rPr>
        <w:t xml:space="preserve"> </w:t>
      </w:r>
      <w:r w:rsidRPr="00554984">
        <w:rPr>
          <w:rFonts w:eastAsia="Times New Roman" w:cstheme="minorHAnsi"/>
          <w:i/>
          <w:iCs/>
          <w:color w:val="4A4A4A"/>
          <w:sz w:val="21"/>
          <w:szCs w:val="21"/>
          <w:lang w:eastAsia="en-GB"/>
        </w:rPr>
        <w:t>National Urban Policy: A Guiding Framework</w:t>
      </w:r>
      <w:r w:rsidRPr="002608C3">
        <w:rPr>
          <w:i/>
          <w:lang w:val="en-US"/>
        </w:rPr>
        <w:t xml:space="preserve">, </w:t>
      </w:r>
      <w:r w:rsidRPr="00554984">
        <w:rPr>
          <w:rFonts w:eastAsia="Times New Roman" w:cstheme="minorHAnsi"/>
          <w:color w:val="4A4A4A"/>
          <w:sz w:val="21"/>
          <w:szCs w:val="21"/>
          <w:lang w:eastAsia="en-GB"/>
        </w:rPr>
        <w:t>United Nations Human Settlements</w:t>
      </w:r>
      <w:r w:rsidRPr="002608C3">
        <w:rPr>
          <w:lang w:val="en-US"/>
        </w:rPr>
        <w:t xml:space="preserve"> </w:t>
      </w:r>
      <w:r w:rsidRPr="00554984">
        <w:rPr>
          <w:rFonts w:eastAsia="Times New Roman" w:cstheme="minorHAnsi"/>
          <w:color w:val="4A4A4A"/>
          <w:sz w:val="21"/>
          <w:szCs w:val="21"/>
          <w:lang w:eastAsia="en-GB"/>
        </w:rPr>
        <w:t>Programme: Nairobi. Available at:</w:t>
      </w:r>
      <w:r w:rsidRPr="002608C3">
        <w:rPr>
          <w:lang w:val="en-US"/>
        </w:rPr>
        <w:t xml:space="preserve"> </w:t>
      </w:r>
      <w:hyperlink r:id="rId22" w:history="1">
        <w:r w:rsidRPr="002608C3">
          <w:rPr>
            <w:rFonts w:ascii="Calibri" w:hAnsi="Calibri"/>
            <w:color w:val="0000FF"/>
            <w:sz w:val="21"/>
            <w:u w:val="single"/>
            <w:lang w:val="en-US"/>
          </w:rPr>
          <w:t>https://unhabitat.org/national-urban-policy-framework-for-a-rapid-diagnostic/</w:t>
        </w:r>
      </w:hyperlink>
      <w:r w:rsidR="000934D7" w:rsidRPr="002608C3">
        <w:rPr>
          <w:rFonts w:ascii="Calibri" w:hAnsi="Calibri"/>
          <w:color w:val="0000FF"/>
          <w:sz w:val="21"/>
          <w:u w:val="single"/>
          <w:lang w:val="en-US"/>
        </w:rPr>
        <w:t>.</w:t>
      </w:r>
    </w:p>
    <w:p w14:paraId="0B2F7CF1" w14:textId="77777777" w:rsidR="00464035" w:rsidRPr="00554984" w:rsidRDefault="00464035" w:rsidP="002608C3">
      <w:pPr>
        <w:spacing w:after="0" w:line="240" w:lineRule="auto"/>
        <w:rPr>
          <w:rFonts w:eastAsia="Times New Roman" w:cstheme="minorHAnsi"/>
          <w:color w:val="4A4A4A"/>
          <w:sz w:val="21"/>
          <w:szCs w:val="21"/>
          <w:lang w:eastAsia="en-GB"/>
        </w:rPr>
      </w:pPr>
      <w:r w:rsidRPr="00554984">
        <w:rPr>
          <w:rFonts w:eastAsia="Times New Roman" w:cstheme="minorHAnsi"/>
          <w:color w:val="4A4A4A"/>
          <w:sz w:val="21"/>
          <w:szCs w:val="21"/>
          <w:lang w:eastAsia="en-GB"/>
        </w:rPr>
        <w:t>UN Habitat (2017a),</w:t>
      </w:r>
      <w:r w:rsidRPr="002608C3">
        <w:rPr>
          <w:lang w:val="en-US"/>
        </w:rPr>
        <w:t xml:space="preserve"> </w:t>
      </w:r>
      <w:r w:rsidRPr="00554984">
        <w:rPr>
          <w:rFonts w:eastAsia="Times New Roman" w:cstheme="minorHAnsi"/>
          <w:i/>
          <w:iCs/>
          <w:color w:val="4A4A4A"/>
          <w:sz w:val="21"/>
          <w:szCs w:val="21"/>
          <w:lang w:eastAsia="en-GB"/>
        </w:rPr>
        <w:t>National Urban Policy, Arab States Report</w:t>
      </w:r>
      <w:r w:rsidRPr="002608C3">
        <w:rPr>
          <w:lang w:val="en-US"/>
        </w:rPr>
        <w:t xml:space="preserve">, </w:t>
      </w:r>
      <w:r w:rsidRPr="00554984">
        <w:rPr>
          <w:rFonts w:eastAsia="Times New Roman" w:cstheme="minorHAnsi"/>
          <w:color w:val="4A4A4A"/>
          <w:sz w:val="21"/>
          <w:szCs w:val="21"/>
          <w:lang w:eastAsia="en-GB"/>
        </w:rPr>
        <w:t>United Nations Human Settlements</w:t>
      </w:r>
      <w:r w:rsidRPr="002608C3">
        <w:rPr>
          <w:lang w:val="en-US"/>
        </w:rPr>
        <w:t xml:space="preserve"> </w:t>
      </w:r>
      <w:r w:rsidRPr="00554984">
        <w:rPr>
          <w:rFonts w:eastAsia="Times New Roman" w:cstheme="minorHAnsi"/>
          <w:color w:val="4A4A4A"/>
          <w:sz w:val="21"/>
          <w:szCs w:val="21"/>
          <w:lang w:eastAsia="en-GB"/>
        </w:rPr>
        <w:t>Programme: Nairobi.</w:t>
      </w:r>
    </w:p>
    <w:p w14:paraId="0C187456" w14:textId="3C841FB3" w:rsidR="00464035" w:rsidRPr="002608C3" w:rsidRDefault="00464035" w:rsidP="002608C3">
      <w:pPr>
        <w:spacing w:after="0" w:line="240" w:lineRule="auto"/>
        <w:rPr>
          <w:rFonts w:ascii="Calibri" w:hAnsi="Calibri"/>
          <w:color w:val="4A4A4A"/>
          <w:sz w:val="21"/>
          <w:lang w:val="en-US"/>
        </w:rPr>
      </w:pPr>
      <w:r w:rsidRPr="00554984">
        <w:rPr>
          <w:rFonts w:eastAsia="Times New Roman" w:cstheme="minorHAnsi"/>
          <w:color w:val="4A4A4A"/>
          <w:sz w:val="21"/>
          <w:szCs w:val="21"/>
          <w:lang w:eastAsia="en-GB"/>
        </w:rPr>
        <w:t>UN Habitat (2017b),</w:t>
      </w:r>
      <w:r w:rsidRPr="002608C3">
        <w:rPr>
          <w:lang w:val="en-US"/>
        </w:rPr>
        <w:t xml:space="preserve"> </w:t>
      </w:r>
      <w:r w:rsidRPr="00554984">
        <w:rPr>
          <w:rFonts w:eastAsia="Times New Roman" w:cstheme="minorHAnsi"/>
          <w:i/>
          <w:iCs/>
          <w:color w:val="4A4A4A"/>
          <w:sz w:val="21"/>
          <w:szCs w:val="21"/>
          <w:lang w:eastAsia="en-GB"/>
        </w:rPr>
        <w:t>National Urban Policy, Africa Report</w:t>
      </w:r>
      <w:r w:rsidRPr="002608C3">
        <w:rPr>
          <w:lang w:val="en-US"/>
        </w:rPr>
        <w:t xml:space="preserve">, </w:t>
      </w:r>
      <w:r w:rsidRPr="00554984">
        <w:rPr>
          <w:rFonts w:eastAsia="Times New Roman" w:cstheme="minorHAnsi"/>
          <w:color w:val="4A4A4A"/>
          <w:sz w:val="21"/>
          <w:szCs w:val="21"/>
          <w:lang w:eastAsia="en-GB"/>
        </w:rPr>
        <w:t>United Nations Human Settlements</w:t>
      </w:r>
      <w:r w:rsidRPr="002608C3">
        <w:rPr>
          <w:lang w:val="en-US"/>
        </w:rPr>
        <w:t xml:space="preserve"> </w:t>
      </w:r>
      <w:r w:rsidRPr="002608C3">
        <w:rPr>
          <w:rFonts w:ascii="Calibri" w:hAnsi="Calibri"/>
          <w:color w:val="4A4A4A"/>
          <w:sz w:val="21"/>
          <w:lang w:val="en-US"/>
        </w:rPr>
        <w:t>Programme: Nairobi.</w:t>
      </w:r>
    </w:p>
    <w:p w14:paraId="5BC51187" w14:textId="73ABE682" w:rsidR="00464035" w:rsidRPr="00554984" w:rsidRDefault="00464035" w:rsidP="002608C3">
      <w:pPr>
        <w:spacing w:after="0" w:line="240" w:lineRule="auto"/>
        <w:rPr>
          <w:rFonts w:eastAsia="Times New Roman" w:cstheme="minorHAnsi"/>
          <w:color w:val="4A4A4A"/>
          <w:sz w:val="21"/>
          <w:szCs w:val="21"/>
          <w:lang w:eastAsia="en-GB"/>
        </w:rPr>
      </w:pPr>
      <w:r w:rsidRPr="002608C3">
        <w:rPr>
          <w:lang w:val="en-US"/>
        </w:rPr>
        <w:t xml:space="preserve">UN Habitat (2017c), </w:t>
      </w:r>
      <w:r w:rsidRPr="00554984">
        <w:rPr>
          <w:rFonts w:eastAsia="Times New Roman" w:cstheme="minorHAnsi"/>
          <w:i/>
          <w:iCs/>
          <w:color w:val="4A4A4A"/>
          <w:sz w:val="21"/>
          <w:szCs w:val="21"/>
          <w:lang w:eastAsia="en-GB"/>
        </w:rPr>
        <w:t>National Urban Policy, Europe and North America Report</w:t>
      </w:r>
      <w:r w:rsidRPr="00554984">
        <w:rPr>
          <w:rFonts w:eastAsia="Times New Roman" w:cstheme="minorHAnsi"/>
          <w:color w:val="4A4A4A"/>
          <w:sz w:val="21"/>
          <w:szCs w:val="21"/>
          <w:lang w:eastAsia="en-GB"/>
        </w:rPr>
        <w:t>, United Nations Human Settlements Programme: Nairobi.</w:t>
      </w:r>
    </w:p>
    <w:p w14:paraId="1AF93B30" w14:textId="4951BF5B" w:rsidR="00464035" w:rsidRPr="002608C3" w:rsidRDefault="00464035" w:rsidP="002608C3">
      <w:pPr>
        <w:spacing w:after="0" w:line="240" w:lineRule="auto"/>
        <w:rPr>
          <w:lang w:val="en-US"/>
        </w:rPr>
      </w:pPr>
      <w:r w:rsidRPr="00554984">
        <w:rPr>
          <w:rFonts w:eastAsia="Times New Roman" w:cstheme="minorHAnsi"/>
          <w:color w:val="4A4A4A"/>
          <w:sz w:val="21"/>
          <w:szCs w:val="21"/>
          <w:lang w:eastAsia="en-GB"/>
        </w:rPr>
        <w:t xml:space="preserve">UN Habitat (2018a), </w:t>
      </w:r>
      <w:r w:rsidRPr="00554984">
        <w:rPr>
          <w:rFonts w:eastAsia="Times New Roman" w:cstheme="minorHAnsi"/>
          <w:i/>
          <w:iCs/>
          <w:color w:val="4A4A4A"/>
          <w:sz w:val="21"/>
          <w:szCs w:val="21"/>
          <w:lang w:eastAsia="en-GB"/>
        </w:rPr>
        <w:t>National Urban Policy Database</w:t>
      </w:r>
      <w:r w:rsidRPr="002608C3">
        <w:rPr>
          <w:lang w:val="en-US"/>
        </w:rPr>
        <w:t>,</w:t>
      </w:r>
      <w:r w:rsidRPr="002608C3">
        <w:rPr>
          <w:i/>
          <w:lang w:val="en-US"/>
        </w:rPr>
        <w:t xml:space="preserve"> </w:t>
      </w:r>
      <w:r w:rsidRPr="00554984">
        <w:rPr>
          <w:rFonts w:eastAsia="Times New Roman" w:cstheme="minorHAnsi"/>
          <w:color w:val="4A4A4A"/>
          <w:sz w:val="21"/>
          <w:szCs w:val="21"/>
          <w:lang w:eastAsia="en-GB"/>
        </w:rPr>
        <w:t>United Nations Human Settlements Programme: Nairobi. Available at:</w:t>
      </w:r>
      <w:r w:rsidRPr="002608C3">
        <w:rPr>
          <w:lang w:val="en-US"/>
        </w:rPr>
        <w:t xml:space="preserve"> </w:t>
      </w:r>
      <w:hyperlink r:id="rId23" w:history="1">
        <w:r w:rsidRPr="00554984">
          <w:rPr>
            <w:color w:val="0000FF"/>
            <w:sz w:val="21"/>
            <w:szCs w:val="21"/>
            <w:u w:val="single"/>
            <w:lang w:val="en-US"/>
          </w:rPr>
          <w:t>http://urbanpolicyplatform.org/wp-content/uploads/2018/09/13092018NUP-database.pdf</w:t>
        </w:r>
      </w:hyperlink>
      <w:r w:rsidR="000934D7" w:rsidRPr="00554984">
        <w:rPr>
          <w:rFonts w:ascii="Calibri" w:hAnsi="Calibri"/>
          <w:color w:val="0000FF"/>
          <w:sz w:val="21"/>
          <w:szCs w:val="21"/>
          <w:u w:val="single"/>
          <w:lang w:val="en-US"/>
        </w:rPr>
        <w:t>.</w:t>
      </w:r>
    </w:p>
    <w:p w14:paraId="1AADB098" w14:textId="77777777" w:rsidR="00464035" w:rsidRPr="00554984" w:rsidRDefault="00464035" w:rsidP="002608C3">
      <w:pPr>
        <w:spacing w:after="0" w:line="240" w:lineRule="auto"/>
        <w:rPr>
          <w:rFonts w:eastAsia="Times New Roman" w:cstheme="minorHAnsi"/>
          <w:color w:val="4A4A4A"/>
          <w:sz w:val="21"/>
          <w:szCs w:val="21"/>
          <w:lang w:eastAsia="en-GB"/>
        </w:rPr>
      </w:pPr>
      <w:r w:rsidRPr="00554984">
        <w:rPr>
          <w:rFonts w:eastAsia="Times New Roman" w:cstheme="minorHAnsi"/>
          <w:color w:val="4A4A4A"/>
          <w:sz w:val="21"/>
          <w:szCs w:val="21"/>
          <w:lang w:eastAsia="en-GB"/>
        </w:rPr>
        <w:t>UN Habitat (2018b),</w:t>
      </w:r>
      <w:r w:rsidRPr="002608C3">
        <w:rPr>
          <w:lang w:val="en-US"/>
        </w:rPr>
        <w:t xml:space="preserve"> </w:t>
      </w:r>
      <w:r w:rsidRPr="00554984">
        <w:rPr>
          <w:rFonts w:eastAsia="Times New Roman" w:cstheme="minorHAnsi"/>
          <w:i/>
          <w:iCs/>
          <w:color w:val="4A4A4A"/>
          <w:sz w:val="21"/>
          <w:szCs w:val="21"/>
          <w:lang w:eastAsia="en-GB"/>
        </w:rPr>
        <w:t>National Urban Policy, Latin America and the Caribbean Report</w:t>
      </w:r>
      <w:r w:rsidRPr="002608C3">
        <w:rPr>
          <w:lang w:val="en-US"/>
        </w:rPr>
        <w:t xml:space="preserve">, forthcoming, </w:t>
      </w:r>
      <w:r w:rsidRPr="00554984">
        <w:rPr>
          <w:rFonts w:eastAsia="Times New Roman" w:cstheme="minorHAnsi"/>
          <w:color w:val="4A4A4A"/>
          <w:sz w:val="21"/>
          <w:szCs w:val="21"/>
          <w:lang w:eastAsia="en-GB"/>
        </w:rPr>
        <w:t>United Nations Human Settlements Programme: Nairobi.</w:t>
      </w:r>
    </w:p>
    <w:p w14:paraId="384B0992" w14:textId="25F8266C" w:rsidR="00186795" w:rsidRPr="009F18F1" w:rsidRDefault="00464035" w:rsidP="002608C3">
      <w:pPr>
        <w:rPr>
          <w:rFonts w:cstheme="minorHAnsi"/>
        </w:rPr>
      </w:pPr>
      <w:r w:rsidRPr="00554984">
        <w:rPr>
          <w:rFonts w:eastAsia="Times New Roman" w:cstheme="minorHAnsi"/>
          <w:color w:val="4A4A4A"/>
          <w:sz w:val="21"/>
          <w:szCs w:val="21"/>
          <w:lang w:eastAsia="en-GB"/>
        </w:rPr>
        <w:t>UN Habitat (2018c),</w:t>
      </w:r>
      <w:r w:rsidRPr="002608C3">
        <w:rPr>
          <w:lang w:val="en-US"/>
        </w:rPr>
        <w:t xml:space="preserve"> </w:t>
      </w:r>
      <w:r w:rsidRPr="00554984">
        <w:rPr>
          <w:rFonts w:eastAsia="Times New Roman" w:cstheme="minorHAnsi"/>
          <w:i/>
          <w:iCs/>
          <w:color w:val="4A4A4A"/>
          <w:sz w:val="21"/>
          <w:szCs w:val="21"/>
          <w:lang w:eastAsia="en-GB"/>
        </w:rPr>
        <w:t>National Urban Policy, Asia and the Pacific Report,</w:t>
      </w:r>
      <w:r w:rsidRPr="002608C3">
        <w:rPr>
          <w:lang w:val="en-US"/>
        </w:rPr>
        <w:t xml:space="preserve"> </w:t>
      </w:r>
      <w:r w:rsidRPr="00554984">
        <w:rPr>
          <w:rFonts w:eastAsia="Times New Roman" w:cstheme="minorHAnsi"/>
          <w:color w:val="4A4A4A"/>
          <w:sz w:val="21"/>
          <w:szCs w:val="21"/>
          <w:lang w:eastAsia="en-GB"/>
        </w:rPr>
        <w:t>forthcoming, United Nations</w:t>
      </w:r>
      <w:r w:rsidRPr="002608C3">
        <w:rPr>
          <w:lang w:val="en-US"/>
        </w:rPr>
        <w:t xml:space="preserve"> </w:t>
      </w:r>
      <w:r w:rsidRPr="00554984">
        <w:rPr>
          <w:rFonts w:eastAsia="Times New Roman" w:cstheme="minorHAnsi"/>
          <w:color w:val="4A4A4A"/>
          <w:sz w:val="21"/>
          <w:szCs w:val="21"/>
          <w:lang w:eastAsia="en-GB"/>
        </w:rPr>
        <w:t>Human Settlements Programme: Nairobi.</w:t>
      </w:r>
      <w:r w:rsidR="000934D7" w:rsidRPr="002608C3">
        <w:rPr>
          <w:rFonts w:ascii="Calibri" w:hAnsi="Calibri"/>
          <w:color w:val="4A4A4A"/>
          <w:sz w:val="21"/>
          <w:lang w:val="en-US"/>
        </w:rPr>
        <w:t xml:space="preserve">UN-Habitat and OECD (2018), Global State of National Urban Policy, United Nations Human Settlements Programme, Nairobi. Available at: </w:t>
      </w:r>
      <w:hyperlink r:id="rId24" w:history="1">
        <w:r w:rsidR="000934D7" w:rsidRPr="002608C3">
          <w:rPr>
            <w:rFonts w:ascii="Calibri" w:hAnsi="Calibri"/>
            <w:color w:val="0000FF"/>
            <w:sz w:val="21"/>
            <w:u w:val="single"/>
            <w:lang w:val="en-US"/>
          </w:rPr>
          <w:t>https://unhabitat.org/books/global-state-of-national-urban-policy/</w:t>
        </w:r>
      </w:hyperlink>
      <w:r w:rsidR="00877D0F" w:rsidRPr="002608C3">
        <w:rPr>
          <w:rFonts w:ascii="Calibri" w:hAnsi="Calibri"/>
          <w:color w:val="0000FF"/>
          <w:sz w:val="21"/>
          <w:u w:val="single"/>
          <w:lang w:val="en-US"/>
        </w:rPr>
        <w:t>.</w:t>
      </w:r>
    </w:p>
    <w:sectPr w:rsidR="00186795" w:rsidRPr="009F18F1">
      <w:headerReference w:type="default" r:id="rId2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66681" w14:textId="77777777" w:rsidR="006411CB" w:rsidRDefault="006411CB" w:rsidP="00573C0B">
      <w:pPr>
        <w:spacing w:after="0" w:line="240" w:lineRule="auto"/>
      </w:pPr>
      <w:r>
        <w:separator/>
      </w:r>
    </w:p>
  </w:endnote>
  <w:endnote w:type="continuationSeparator" w:id="0">
    <w:p w14:paraId="7BFBF756" w14:textId="77777777" w:rsidR="006411CB" w:rsidRDefault="006411CB" w:rsidP="00573C0B">
      <w:pPr>
        <w:spacing w:after="0" w:line="240" w:lineRule="auto"/>
      </w:pPr>
      <w:r>
        <w:continuationSeparator/>
      </w:r>
    </w:p>
  </w:endnote>
  <w:endnote w:type="continuationNotice" w:id="1">
    <w:p w14:paraId="6ED25657" w14:textId="77777777" w:rsidR="006411CB" w:rsidRDefault="006411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3F87F3" w14:textId="77777777" w:rsidR="006411CB" w:rsidRDefault="006411CB" w:rsidP="00573C0B">
      <w:pPr>
        <w:spacing w:after="0" w:line="240" w:lineRule="auto"/>
      </w:pPr>
      <w:r>
        <w:separator/>
      </w:r>
    </w:p>
  </w:footnote>
  <w:footnote w:type="continuationSeparator" w:id="0">
    <w:p w14:paraId="267AB6F4" w14:textId="77777777" w:rsidR="006411CB" w:rsidRDefault="006411CB" w:rsidP="00573C0B">
      <w:pPr>
        <w:spacing w:after="0" w:line="240" w:lineRule="auto"/>
      </w:pPr>
      <w:r>
        <w:continuationSeparator/>
      </w:r>
    </w:p>
  </w:footnote>
  <w:footnote w:type="continuationNotice" w:id="1">
    <w:p w14:paraId="6A1B4D23" w14:textId="77777777" w:rsidR="006411CB" w:rsidRDefault="006411CB">
      <w:pPr>
        <w:spacing w:after="0" w:line="240" w:lineRule="auto"/>
      </w:pPr>
    </w:p>
  </w:footnote>
  <w:footnote w:id="2">
    <w:p w14:paraId="51F6DA9F" w14:textId="1FE47BF3" w:rsidR="00586ED8" w:rsidRPr="002608C3" w:rsidRDefault="00586ED8" w:rsidP="002608C3">
      <w:pPr>
        <w:rPr>
          <w:rFonts w:ascii="Times New Roman" w:hAnsi="Times New Roman" w:cs="Times New Roman"/>
          <w:color w:val="4A4A4A"/>
          <w:sz w:val="20"/>
          <w:szCs w:val="20"/>
        </w:rPr>
      </w:pPr>
      <w:r w:rsidRPr="00050671">
        <w:rPr>
          <w:color w:val="4A4A4A"/>
          <w:vertAlign w:val="superscript"/>
        </w:rPr>
        <w:footnoteRef/>
      </w:r>
      <w:r w:rsidRPr="00554984">
        <w:rPr>
          <w:color w:val="4A4A4A"/>
          <w:sz w:val="20"/>
          <w:szCs w:val="20"/>
          <w:lang w:val="fr-FR"/>
        </w:rPr>
        <w:t xml:space="preserve"> UN-Habitat and Cities Alliance, 2014. </w:t>
      </w:r>
      <w:r w:rsidRPr="002608C3">
        <w:rPr>
          <w:color w:val="4A4A4A"/>
          <w:sz w:val="20"/>
          <w:szCs w:val="20"/>
        </w:rPr>
        <w:t>The Evolution of National Urban Policy: A global overview.</w:t>
      </w:r>
    </w:p>
  </w:footnote>
  <w:footnote w:id="3">
    <w:p w14:paraId="73403A52" w14:textId="52926A0B" w:rsidR="00586ED8" w:rsidRPr="002608C3" w:rsidRDefault="00586ED8" w:rsidP="002608C3">
      <w:pPr>
        <w:rPr>
          <w:color w:val="4A4A4A"/>
          <w:sz w:val="20"/>
          <w:szCs w:val="20"/>
        </w:rPr>
      </w:pPr>
      <w:r w:rsidRPr="002608C3">
        <w:rPr>
          <w:color w:val="4A4A4A"/>
          <w:vertAlign w:val="superscript"/>
        </w:rPr>
        <w:footnoteRef/>
      </w:r>
      <w:r w:rsidRPr="002608C3">
        <w:rPr>
          <w:color w:val="4A4A4A"/>
          <w:sz w:val="20"/>
          <w:szCs w:val="20"/>
        </w:rPr>
        <w:t xml:space="preserve"> UN-Habitat and OECD, 2018, Global State of National Urban Policy</w:t>
      </w:r>
      <w:r>
        <w:rPr>
          <w:color w:val="4A4A4A"/>
          <w:sz w:val="18"/>
          <w:szCs w:val="18"/>
        </w:rPr>
        <w:t>.</w:t>
      </w:r>
    </w:p>
  </w:footnote>
  <w:footnote w:id="4">
    <w:p w14:paraId="020A4C1C" w14:textId="1B73E2B6" w:rsidR="00586ED8" w:rsidRPr="00554984" w:rsidRDefault="00586ED8" w:rsidP="002608C3">
      <w:pPr>
        <w:rPr>
          <w:rFonts w:ascii="Cambria" w:eastAsia="Cambria" w:hAnsi="Cambria" w:cs="Cambria"/>
          <w:color w:val="4A4A4A"/>
          <w:sz w:val="18"/>
          <w:szCs w:val="18"/>
        </w:rPr>
      </w:pPr>
      <w:r w:rsidRPr="000E3F0B">
        <w:rPr>
          <w:color w:val="4A4A4A"/>
          <w:sz w:val="18"/>
          <w:szCs w:val="18"/>
          <w:vertAlign w:val="superscript"/>
        </w:rPr>
        <w:footnoteRef/>
      </w:r>
      <w:r w:rsidRPr="000E3F0B">
        <w:rPr>
          <w:rFonts w:ascii="Cambria" w:eastAsia="Cambria" w:hAnsi="Cambria" w:cs="Cambria"/>
          <w:color w:val="4A4A4A"/>
          <w:sz w:val="18"/>
          <w:szCs w:val="18"/>
        </w:rPr>
        <w:t xml:space="preserve"> UN-Habitat, 2016, </w:t>
      </w:r>
      <w:r w:rsidRPr="000E3F0B">
        <w:rPr>
          <w:rFonts w:ascii="Cambria" w:eastAsia="Cambria" w:hAnsi="Cambria" w:cs="Cambria"/>
          <w:i/>
          <w:color w:val="4A4A4A"/>
          <w:sz w:val="18"/>
          <w:szCs w:val="18"/>
        </w:rPr>
        <w:t>Sustainable Urbanization in the Paris Agreement. Comparative review for urban content in the Nationally Determined Contributions (NDCs)</w:t>
      </w:r>
      <w:r w:rsidRPr="000E3F0B">
        <w:rPr>
          <w:rFonts w:eastAsia="Cambria" w:cstheme="minorHAnsi"/>
          <w:i/>
          <w:color w:val="4A4A4A"/>
          <w:sz w:val="18"/>
          <w:szCs w:val="18"/>
        </w:rPr>
        <w:t>.</w:t>
      </w:r>
    </w:p>
  </w:footnote>
  <w:footnote w:id="5">
    <w:p w14:paraId="60168C70" w14:textId="290FE9FC" w:rsidR="00586ED8" w:rsidRPr="000E3F0B" w:rsidRDefault="00586ED8" w:rsidP="002608C3">
      <w:pPr>
        <w:rPr>
          <w:rFonts w:ascii="Times New Roman" w:eastAsia="Times New Roman" w:hAnsi="Times New Roman" w:cs="Times New Roman"/>
          <w:color w:val="4A4A4A"/>
          <w:sz w:val="18"/>
          <w:szCs w:val="18"/>
        </w:rPr>
      </w:pPr>
      <w:r w:rsidRPr="000E3F0B">
        <w:rPr>
          <w:color w:val="4A4A4A"/>
          <w:sz w:val="18"/>
          <w:szCs w:val="18"/>
          <w:vertAlign w:val="superscript"/>
        </w:rPr>
        <w:footnoteRef/>
      </w:r>
      <w:r w:rsidRPr="000E3F0B">
        <w:rPr>
          <w:color w:val="4A4A4A"/>
          <w:sz w:val="18"/>
          <w:szCs w:val="18"/>
        </w:rPr>
        <w:t xml:space="preserve"> UN-Habitat, 2019, Urban-Rural Linkages, Guiding Principles: Framework for Action to Advance Integrated Territorial Development (https://urbanrurallinkages.files.wordpress.com/2019/09/url-gp-1.pdf)</w:t>
      </w:r>
      <w:r w:rsidRPr="000E3F0B">
        <w:rPr>
          <w:rFonts w:cstheme="minorHAnsi"/>
          <w:color w:val="4A4A4A"/>
          <w:sz w:val="18"/>
          <w:szCs w:val="18"/>
        </w:rPr>
        <w:t>.</w:t>
      </w:r>
    </w:p>
  </w:footnote>
  <w:footnote w:id="6">
    <w:p w14:paraId="5C167C5B" w14:textId="62903C2A" w:rsidR="00586ED8" w:rsidRPr="000E3F0B" w:rsidRDefault="00586ED8" w:rsidP="002608C3">
      <w:pPr>
        <w:rPr>
          <w:color w:val="4A4A4A"/>
          <w:sz w:val="18"/>
          <w:szCs w:val="18"/>
        </w:rPr>
      </w:pPr>
      <w:r w:rsidRPr="000E3F0B">
        <w:rPr>
          <w:color w:val="4A4A4A"/>
          <w:sz w:val="18"/>
          <w:szCs w:val="18"/>
          <w:vertAlign w:val="superscript"/>
        </w:rPr>
        <w:footnoteRef/>
      </w:r>
      <w:r w:rsidRPr="000E3F0B">
        <w:rPr>
          <w:color w:val="4A4A4A"/>
          <w:sz w:val="18"/>
          <w:szCs w:val="18"/>
        </w:rPr>
        <w:t xml:space="preserve"> OECD, 2019, OECD Principles on Urban Policy (</w:t>
      </w:r>
      <w:hyperlink r:id="rId1" w:history="1">
        <w:r w:rsidRPr="000E3F0B">
          <w:rPr>
            <w:rStyle w:val="Hyperlink"/>
            <w:color w:val="4A4A4A"/>
            <w:sz w:val="18"/>
            <w:szCs w:val="18"/>
          </w:rPr>
          <w:t>https://www.oecd.org/cfe/Brochure-OECD-Principles-Urban-Policy.pdf</w:t>
        </w:r>
      </w:hyperlink>
      <w:r w:rsidRPr="000E3F0B">
        <w:rPr>
          <w:color w:val="4A4A4A"/>
          <w:sz w:val="18"/>
          <w:szCs w:val="18"/>
        </w:rPr>
        <w:t>) and OECD Principles on Rural Policy (https://www.oecd.org/rural/rural-development-conference/documents/Rural-principles.pdf)</w:t>
      </w:r>
      <w:r w:rsidRPr="000E3F0B">
        <w:rPr>
          <w:rFonts w:cstheme="minorHAnsi"/>
          <w:color w:val="4A4A4A"/>
          <w:sz w:val="18"/>
          <w:szCs w:val="18"/>
        </w:rPr>
        <w:t>.</w:t>
      </w:r>
    </w:p>
  </w:footnote>
  <w:footnote w:id="7">
    <w:p w14:paraId="4E190956" w14:textId="6CD1CEC7" w:rsidR="00586ED8" w:rsidRPr="007F19D2" w:rsidRDefault="00586ED8" w:rsidP="002608C3">
      <w:pPr>
        <w:rPr>
          <w:rFonts w:ascii="Calibri" w:eastAsia="Calibri" w:hAnsi="Calibri" w:cs="Calibri"/>
          <w:color w:val="4A4A4A"/>
          <w:sz w:val="20"/>
          <w:szCs w:val="20"/>
        </w:rPr>
      </w:pPr>
      <w:r w:rsidRPr="000E3F0B">
        <w:rPr>
          <w:color w:val="4A4A4A"/>
          <w:sz w:val="18"/>
          <w:szCs w:val="18"/>
          <w:vertAlign w:val="superscript"/>
        </w:rPr>
        <w:footnoteRef/>
      </w:r>
      <w:r w:rsidRPr="000E3F0B">
        <w:rPr>
          <w:rFonts w:ascii="Cambria" w:eastAsia="Cambria" w:hAnsi="Cambria" w:cs="Cambria"/>
          <w:color w:val="4A4A4A"/>
          <w:sz w:val="18"/>
          <w:szCs w:val="18"/>
        </w:rPr>
        <w:t xml:space="preserve"> UN-Habitat, 2016, </w:t>
      </w:r>
      <w:r w:rsidRPr="000E3F0B">
        <w:rPr>
          <w:rFonts w:ascii="Cambria" w:eastAsia="Cambria" w:hAnsi="Cambria" w:cs="Cambria"/>
          <w:i/>
          <w:color w:val="4A4A4A"/>
          <w:sz w:val="18"/>
          <w:szCs w:val="18"/>
        </w:rPr>
        <w:t>Addressing Climate Change in National Urban Policies</w:t>
      </w:r>
      <w:r w:rsidRPr="000E3F0B">
        <w:rPr>
          <w:rFonts w:eastAsia="Cambria" w:cstheme="minorHAnsi"/>
          <w:i/>
          <w:color w:val="4A4A4A"/>
          <w:sz w:val="18"/>
          <w:szCs w:val="18"/>
        </w:rPr>
        <w:t>.</w:t>
      </w:r>
    </w:p>
  </w:footnote>
  <w:footnote w:id="8">
    <w:p w14:paraId="44B075F2" w14:textId="47F69E61" w:rsidR="00586ED8" w:rsidRPr="00554984" w:rsidRDefault="00586ED8" w:rsidP="00316E09">
      <w:pPr>
        <w:pStyle w:val="FootnoteText"/>
        <w:rPr>
          <w:color w:val="4A4A4A"/>
          <w:sz w:val="18"/>
          <w:szCs w:val="18"/>
        </w:rPr>
      </w:pPr>
      <w:r w:rsidRPr="00643082">
        <w:rPr>
          <w:rStyle w:val="FootnoteReference"/>
          <w:color w:val="4A4A4A"/>
          <w:sz w:val="18"/>
          <w:szCs w:val="18"/>
        </w:rPr>
        <w:footnoteRef/>
      </w:r>
      <w:r w:rsidRPr="00643082">
        <w:rPr>
          <w:color w:val="4A4A4A"/>
          <w:sz w:val="18"/>
          <w:szCs w:val="18"/>
        </w:rPr>
        <w:t xml:space="preserve"> See question 27 of Global Survey on National Urban Policies at: </w:t>
      </w:r>
      <w:hyperlink r:id="rId2" w:history="1">
        <w:r w:rsidRPr="00643082">
          <w:rPr>
            <w:rStyle w:val="Hyperlink"/>
            <w:rFonts w:eastAsia="SimSun"/>
            <w:color w:val="4A4A4A"/>
            <w:sz w:val="18"/>
            <w:szCs w:val="18"/>
          </w:rPr>
          <w:t>https://drive.google.com/file/d/1-zn9d85GWJv1Tr039OtmoqPOfpwiowku/view?usp=sharing</w:t>
        </w:r>
      </w:hyperlink>
      <w:r w:rsidRPr="00643082">
        <w:rPr>
          <w:rFonts w:asciiTheme="minorHAnsi" w:hAnsiTheme="minorHAnsi" w:cstheme="minorHAnsi"/>
          <w:color w:val="4A4A4A"/>
          <w:sz w:val="18"/>
          <w:szCs w:val="18"/>
        </w:rPr>
        <w:t>.</w:t>
      </w:r>
    </w:p>
  </w:footnote>
  <w:footnote w:id="9">
    <w:p w14:paraId="40A99264" w14:textId="091072B6" w:rsidR="00586ED8" w:rsidRPr="002608C3" w:rsidRDefault="00586ED8" w:rsidP="002608C3">
      <w:pPr>
        <w:rPr>
          <w:color w:val="4A4A4A"/>
          <w:sz w:val="20"/>
          <w:szCs w:val="20"/>
        </w:rPr>
      </w:pPr>
      <w:r w:rsidRPr="00643082">
        <w:rPr>
          <w:color w:val="4A4A4A"/>
          <w:sz w:val="18"/>
          <w:szCs w:val="18"/>
          <w:vertAlign w:val="superscript"/>
        </w:rPr>
        <w:footnoteRef/>
      </w:r>
      <w:r w:rsidRPr="00643082">
        <w:rPr>
          <w:color w:val="4A4A4A"/>
          <w:sz w:val="18"/>
          <w:szCs w:val="18"/>
        </w:rPr>
        <w:t xml:space="preserve"> UN-Habitat and OECD, 2018, Global State of National Urban Policy </w:t>
      </w:r>
      <w:r w:rsidRPr="00643082">
        <w:rPr>
          <w:rFonts w:cstheme="minorHAnsi"/>
          <w:color w:val="4A4A4A"/>
          <w:sz w:val="18"/>
          <w:szCs w:val="18"/>
        </w:rPr>
        <w:t xml:space="preserve">at: </w:t>
      </w:r>
      <w:hyperlink r:id="rId3" w:history="1">
        <w:r w:rsidRPr="00554984">
          <w:rPr>
            <w:rStyle w:val="Hyperlink"/>
            <w:color w:val="4A4A4A"/>
            <w:sz w:val="18"/>
            <w:szCs w:val="18"/>
          </w:rPr>
          <w:t>http://urbanpolicyplatform.org/wp-content/uploads/2019/11/Global-Report-NUP1.pdf</w:t>
        </w:r>
      </w:hyperlink>
      <w:r w:rsidRPr="00554984">
        <w:rPr>
          <w:color w:val="4A4A4A"/>
          <w:sz w:val="18"/>
          <w:szCs w:val="18"/>
        </w:rPr>
        <w:t>.</w:t>
      </w:r>
    </w:p>
  </w:footnote>
  <w:footnote w:id="10">
    <w:p w14:paraId="4828874E" w14:textId="37DACE15" w:rsidR="00586ED8" w:rsidRPr="002608C3" w:rsidRDefault="00586ED8" w:rsidP="0042466C">
      <w:pPr>
        <w:pStyle w:val="FootnoteText"/>
        <w:rPr>
          <w:color w:val="4A4A4A"/>
        </w:rPr>
      </w:pPr>
      <w:r w:rsidRPr="002608C3">
        <w:rPr>
          <w:rStyle w:val="FootnoteReference"/>
          <w:color w:val="4A4A4A"/>
        </w:rPr>
        <w:footnoteRef/>
      </w:r>
      <w:r w:rsidRPr="002608C3">
        <w:rPr>
          <w:color w:val="4A4A4A"/>
        </w:rPr>
        <w:t xml:space="preserve"> See survey questionnaire at: </w:t>
      </w:r>
      <w:hyperlink r:id="rId4" w:history="1">
        <w:r w:rsidRPr="002608C3">
          <w:rPr>
            <w:rStyle w:val="Hyperlink"/>
            <w:rFonts w:eastAsia="SimSun"/>
            <w:color w:val="4A4A4A"/>
          </w:rPr>
          <w:t>https://drive.google.com/file/d/1zn9d85GWJv1Tr039OtmoqPOfpwiowku/view?usp=sharing</w:t>
        </w:r>
      </w:hyperlink>
      <w:r>
        <w:rPr>
          <w:rFonts w:asciiTheme="minorHAnsi" w:hAnsiTheme="minorHAnsi" w:cstheme="minorHAnsi"/>
          <w:color w:val="4A4A4A"/>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DD5D76" w14:textId="3BE6CA1D" w:rsidR="00586ED8" w:rsidRDefault="00586ED8" w:rsidP="00077F46">
    <w:pPr>
      <w:pStyle w:val="Header"/>
      <w:jc w:val="right"/>
      <w:rPr>
        <w:color w:val="404040" w:themeColor="text1" w:themeTint="BF"/>
        <w:sz w:val="18"/>
        <w:szCs w:val="18"/>
      </w:rPr>
    </w:pPr>
    <w:bookmarkStart w:id="9" w:name="_Hlk506197003"/>
    <w:bookmarkStart w:id="10" w:name="_Hlk506197004"/>
    <w:bookmarkStart w:id="11" w:name="_Hlk506197005"/>
    <w:bookmarkStart w:id="12" w:name="_Hlk516233502"/>
    <w:bookmarkStart w:id="13" w:name="_Hlk516233503"/>
    <w:bookmarkStart w:id="14" w:name="_Hlk516233504"/>
    <w:r w:rsidRPr="00757E8A">
      <w:rPr>
        <w:color w:val="404040" w:themeColor="text1" w:themeTint="BF"/>
        <w:sz w:val="18"/>
        <w:szCs w:val="18"/>
      </w:rPr>
      <w:t>Last updated:</w:t>
    </w:r>
    <w:bookmarkEnd w:id="9"/>
    <w:bookmarkEnd w:id="10"/>
    <w:bookmarkEnd w:id="11"/>
    <w:bookmarkEnd w:id="12"/>
    <w:bookmarkEnd w:id="13"/>
    <w:bookmarkEnd w:id="14"/>
    <w:r>
      <w:rPr>
        <w:color w:val="404040" w:themeColor="text1" w:themeTint="BF"/>
        <w:sz w:val="18"/>
        <w:szCs w:val="18"/>
      </w:rPr>
      <w:t xml:space="preserve"> </w:t>
    </w:r>
    <w:r w:rsidR="00AF7593">
      <w:rPr>
        <w:color w:val="404040" w:themeColor="text1" w:themeTint="BF"/>
        <w:sz w:val="18"/>
        <w:szCs w:val="18"/>
      </w:rPr>
      <w:t>202</w:t>
    </w:r>
    <w:r w:rsidR="008C4B51">
      <w:rPr>
        <w:color w:val="404040" w:themeColor="text1" w:themeTint="BF"/>
        <w:sz w:val="18"/>
        <w:szCs w:val="18"/>
      </w:rPr>
      <w:t>5</w:t>
    </w:r>
    <w:r w:rsidR="00AF7593">
      <w:rPr>
        <w:color w:val="404040" w:themeColor="text1" w:themeTint="BF"/>
        <w:sz w:val="18"/>
        <w:szCs w:val="18"/>
      </w:rPr>
      <w:t>-</w:t>
    </w:r>
    <w:r w:rsidR="008C4B51">
      <w:rPr>
        <w:color w:val="404040" w:themeColor="text1" w:themeTint="BF"/>
        <w:sz w:val="18"/>
        <w:szCs w:val="18"/>
      </w:rPr>
      <w:t>04</w:t>
    </w:r>
    <w:r w:rsidR="00AF7593">
      <w:rPr>
        <w:color w:val="404040" w:themeColor="text1" w:themeTint="BF"/>
        <w:sz w:val="18"/>
        <w:szCs w:val="18"/>
      </w:rPr>
      <w:t>-</w:t>
    </w:r>
    <w:r w:rsidR="008C4B51">
      <w:rPr>
        <w:color w:val="404040" w:themeColor="text1" w:themeTint="BF"/>
        <w:sz w:val="18"/>
        <w:szCs w:val="18"/>
      </w:rPr>
      <w:t>23</w:t>
    </w:r>
  </w:p>
  <w:p w14:paraId="09013833" w14:textId="77777777" w:rsidR="00AF7593" w:rsidRPr="00757E8A" w:rsidRDefault="00AF7593" w:rsidP="00077F46">
    <w:pPr>
      <w:pStyle w:val="Header"/>
      <w:jc w:val="right"/>
      <w:rPr>
        <w:color w:val="404040" w:themeColor="text1" w:themeTint="BF"/>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46A87"/>
    <w:multiLevelType w:val="multilevel"/>
    <w:tmpl w:val="F5926D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973CF"/>
    <w:multiLevelType w:val="multilevel"/>
    <w:tmpl w:val="150E24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12FA9"/>
    <w:multiLevelType w:val="hybridMultilevel"/>
    <w:tmpl w:val="6F8843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5E7871"/>
    <w:multiLevelType w:val="multilevel"/>
    <w:tmpl w:val="CD02725A"/>
    <w:lvl w:ilvl="0">
      <w:start w:val="1"/>
      <w:numFmt w:val="bullet"/>
      <w:lvlText w:val="-"/>
      <w:lvlJc w:val="left"/>
      <w:pPr>
        <w:ind w:left="360" w:hanging="360"/>
      </w:pPr>
      <w:rPr>
        <w:rFonts w:ascii="Cambria" w:eastAsia="Cambria" w:hAnsi="Cambria" w:cs="Cambri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2233745">
    <w:abstractNumId w:val="6"/>
  </w:num>
  <w:num w:numId="2" w16cid:durableId="590434593">
    <w:abstractNumId w:val="2"/>
  </w:num>
  <w:num w:numId="3" w16cid:durableId="66848335">
    <w:abstractNumId w:val="7"/>
  </w:num>
  <w:num w:numId="4" w16cid:durableId="915091807">
    <w:abstractNumId w:val="3"/>
  </w:num>
  <w:num w:numId="5" w16cid:durableId="1205363879">
    <w:abstractNumId w:val="5"/>
  </w:num>
  <w:num w:numId="6" w16cid:durableId="10136076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44571027">
    <w:abstractNumId w:val="0"/>
  </w:num>
  <w:num w:numId="8" w16cid:durableId="369191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fr-FR" w:vendorID="64" w:dllVersion="6" w:nlCheck="1" w:checkStyle="0"/>
  <w:activeWritingStyle w:appName="MSWord" w:lang="en-GB" w:vendorID="64" w:dllVersion="6" w:nlCheck="1" w:checkStyle="1"/>
  <w:activeWritingStyle w:appName="MSWord" w:lang="en-US" w:vendorID="64" w:dllVersion="6" w:nlCheck="1" w:checkStyle="1"/>
  <w:activeWritingStyle w:appName="MSWord" w:lang="en-GB" w:vendorID="64" w:dllVersion="0" w:nlCheck="1" w:checkStyle="0"/>
  <w:activeWritingStyle w:appName="MSWord" w:lang="es-ES" w:vendorID="64" w:dllVersion="0" w:nlCheck="1" w:checkStyle="0"/>
  <w:activeWritingStyle w:appName="MSWord" w:lang="en-US" w:vendorID="64" w:dllVersion="0" w:nlCheck="1" w:checkStyle="0"/>
  <w:activeWritingStyle w:appName="MSWord" w:lang="fr-FR" w:vendorID="64" w:dllVersion="0" w:nlCheck="1" w:checkStyle="0"/>
  <w:documentProtection w:edit="forms" w:enforcement="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1134"/>
    <w:rsid w:val="000070BA"/>
    <w:rsid w:val="000173F9"/>
    <w:rsid w:val="0002455A"/>
    <w:rsid w:val="00036948"/>
    <w:rsid w:val="000412A0"/>
    <w:rsid w:val="00045037"/>
    <w:rsid w:val="00045C38"/>
    <w:rsid w:val="00047DDA"/>
    <w:rsid w:val="00050671"/>
    <w:rsid w:val="00052E54"/>
    <w:rsid w:val="0005455A"/>
    <w:rsid w:val="000631D2"/>
    <w:rsid w:val="00071F07"/>
    <w:rsid w:val="0007759D"/>
    <w:rsid w:val="000777AB"/>
    <w:rsid w:val="00077F46"/>
    <w:rsid w:val="0008173F"/>
    <w:rsid w:val="0008262E"/>
    <w:rsid w:val="00083B0D"/>
    <w:rsid w:val="00090FB1"/>
    <w:rsid w:val="000934D7"/>
    <w:rsid w:val="00096186"/>
    <w:rsid w:val="000A477D"/>
    <w:rsid w:val="000A72E4"/>
    <w:rsid w:val="000B0E2F"/>
    <w:rsid w:val="000B2430"/>
    <w:rsid w:val="000B40FE"/>
    <w:rsid w:val="000C687E"/>
    <w:rsid w:val="000D0B30"/>
    <w:rsid w:val="000D73D9"/>
    <w:rsid w:val="000E21F1"/>
    <w:rsid w:val="000E27D5"/>
    <w:rsid w:val="000E3F0B"/>
    <w:rsid w:val="000F3A4D"/>
    <w:rsid w:val="000F703E"/>
    <w:rsid w:val="00117CB9"/>
    <w:rsid w:val="00120A84"/>
    <w:rsid w:val="00120E86"/>
    <w:rsid w:val="00125DE9"/>
    <w:rsid w:val="00132B4B"/>
    <w:rsid w:val="00132E4E"/>
    <w:rsid w:val="001332E0"/>
    <w:rsid w:val="00134DE7"/>
    <w:rsid w:val="00150E47"/>
    <w:rsid w:val="00157D87"/>
    <w:rsid w:val="00160FE7"/>
    <w:rsid w:val="00185022"/>
    <w:rsid w:val="00185354"/>
    <w:rsid w:val="001854DC"/>
    <w:rsid w:val="00186795"/>
    <w:rsid w:val="00194D09"/>
    <w:rsid w:val="0019649C"/>
    <w:rsid w:val="001A7D5C"/>
    <w:rsid w:val="001B0031"/>
    <w:rsid w:val="001B60AA"/>
    <w:rsid w:val="001B63C8"/>
    <w:rsid w:val="001C1972"/>
    <w:rsid w:val="001C20FE"/>
    <w:rsid w:val="001C421F"/>
    <w:rsid w:val="001C7DFB"/>
    <w:rsid w:val="001D360D"/>
    <w:rsid w:val="001F1DC9"/>
    <w:rsid w:val="002044B0"/>
    <w:rsid w:val="00217DD2"/>
    <w:rsid w:val="002222C1"/>
    <w:rsid w:val="00244018"/>
    <w:rsid w:val="002608C3"/>
    <w:rsid w:val="00261A8D"/>
    <w:rsid w:val="0026437F"/>
    <w:rsid w:val="00281307"/>
    <w:rsid w:val="00283C1C"/>
    <w:rsid w:val="00291A00"/>
    <w:rsid w:val="00291A11"/>
    <w:rsid w:val="00291BB0"/>
    <w:rsid w:val="002A315C"/>
    <w:rsid w:val="002A3342"/>
    <w:rsid w:val="002A64BA"/>
    <w:rsid w:val="002B4989"/>
    <w:rsid w:val="002C2510"/>
    <w:rsid w:val="002C7D2D"/>
    <w:rsid w:val="002D6D84"/>
    <w:rsid w:val="002D714E"/>
    <w:rsid w:val="002E53C3"/>
    <w:rsid w:val="002F1468"/>
    <w:rsid w:val="002F4D2C"/>
    <w:rsid w:val="002F5F0C"/>
    <w:rsid w:val="002F71F2"/>
    <w:rsid w:val="00316E09"/>
    <w:rsid w:val="003265EB"/>
    <w:rsid w:val="0034329E"/>
    <w:rsid w:val="00343FAA"/>
    <w:rsid w:val="00347F5E"/>
    <w:rsid w:val="00353C98"/>
    <w:rsid w:val="003701CA"/>
    <w:rsid w:val="00371A20"/>
    <w:rsid w:val="00372BE1"/>
    <w:rsid w:val="003821B4"/>
    <w:rsid w:val="00382CF3"/>
    <w:rsid w:val="00385223"/>
    <w:rsid w:val="00387D52"/>
    <w:rsid w:val="00390222"/>
    <w:rsid w:val="003A42B6"/>
    <w:rsid w:val="003A7CEA"/>
    <w:rsid w:val="003E5273"/>
    <w:rsid w:val="003F0BD3"/>
    <w:rsid w:val="003F278A"/>
    <w:rsid w:val="003F3F8A"/>
    <w:rsid w:val="003F7A02"/>
    <w:rsid w:val="00410F04"/>
    <w:rsid w:val="00422EA5"/>
    <w:rsid w:val="00422EFA"/>
    <w:rsid w:val="0042466C"/>
    <w:rsid w:val="0042791F"/>
    <w:rsid w:val="00427E8C"/>
    <w:rsid w:val="00436FCC"/>
    <w:rsid w:val="004456ED"/>
    <w:rsid w:val="00464035"/>
    <w:rsid w:val="004664BC"/>
    <w:rsid w:val="0048045A"/>
    <w:rsid w:val="004841B8"/>
    <w:rsid w:val="004930F2"/>
    <w:rsid w:val="00494B61"/>
    <w:rsid w:val="0049583B"/>
    <w:rsid w:val="004B0F1C"/>
    <w:rsid w:val="004B24B7"/>
    <w:rsid w:val="004B75F8"/>
    <w:rsid w:val="004C7279"/>
    <w:rsid w:val="004E0771"/>
    <w:rsid w:val="004F2EE6"/>
    <w:rsid w:val="00502DBA"/>
    <w:rsid w:val="005040C4"/>
    <w:rsid w:val="0050626C"/>
    <w:rsid w:val="00507637"/>
    <w:rsid w:val="00507852"/>
    <w:rsid w:val="00514DBF"/>
    <w:rsid w:val="00515F93"/>
    <w:rsid w:val="00516E83"/>
    <w:rsid w:val="00545BC6"/>
    <w:rsid w:val="00550921"/>
    <w:rsid w:val="00554984"/>
    <w:rsid w:val="00555989"/>
    <w:rsid w:val="00560BCC"/>
    <w:rsid w:val="005635A0"/>
    <w:rsid w:val="00563712"/>
    <w:rsid w:val="00563DA3"/>
    <w:rsid w:val="00566808"/>
    <w:rsid w:val="00573631"/>
    <w:rsid w:val="00573C0B"/>
    <w:rsid w:val="005768D7"/>
    <w:rsid w:val="00576CFA"/>
    <w:rsid w:val="0058556D"/>
    <w:rsid w:val="00586ED8"/>
    <w:rsid w:val="00587110"/>
    <w:rsid w:val="00587B61"/>
    <w:rsid w:val="005901F0"/>
    <w:rsid w:val="00592AF2"/>
    <w:rsid w:val="005947AD"/>
    <w:rsid w:val="00596158"/>
    <w:rsid w:val="00597748"/>
    <w:rsid w:val="005979E8"/>
    <w:rsid w:val="005A039D"/>
    <w:rsid w:val="005A5ABB"/>
    <w:rsid w:val="005B3B53"/>
    <w:rsid w:val="005C6953"/>
    <w:rsid w:val="005D0AF4"/>
    <w:rsid w:val="005E54BD"/>
    <w:rsid w:val="005F1DCC"/>
    <w:rsid w:val="005F6CCA"/>
    <w:rsid w:val="00604A18"/>
    <w:rsid w:val="006104AF"/>
    <w:rsid w:val="00610BD6"/>
    <w:rsid w:val="00620893"/>
    <w:rsid w:val="00621893"/>
    <w:rsid w:val="00633A6F"/>
    <w:rsid w:val="006351E1"/>
    <w:rsid w:val="006411CB"/>
    <w:rsid w:val="00643082"/>
    <w:rsid w:val="006447B1"/>
    <w:rsid w:val="00646036"/>
    <w:rsid w:val="00662775"/>
    <w:rsid w:val="00683BB5"/>
    <w:rsid w:val="006852FC"/>
    <w:rsid w:val="00691251"/>
    <w:rsid w:val="006B40AB"/>
    <w:rsid w:val="006B5DC5"/>
    <w:rsid w:val="006C4BFD"/>
    <w:rsid w:val="006C7D30"/>
    <w:rsid w:val="006D674B"/>
    <w:rsid w:val="006E38E5"/>
    <w:rsid w:val="006E3C08"/>
    <w:rsid w:val="006E6E46"/>
    <w:rsid w:val="00700ACF"/>
    <w:rsid w:val="00700CAD"/>
    <w:rsid w:val="00703B82"/>
    <w:rsid w:val="00712487"/>
    <w:rsid w:val="00714387"/>
    <w:rsid w:val="007222E4"/>
    <w:rsid w:val="00731068"/>
    <w:rsid w:val="007530CA"/>
    <w:rsid w:val="00756D68"/>
    <w:rsid w:val="007578D9"/>
    <w:rsid w:val="00757E8A"/>
    <w:rsid w:val="00763E43"/>
    <w:rsid w:val="00764EB5"/>
    <w:rsid w:val="00777A95"/>
    <w:rsid w:val="00782416"/>
    <w:rsid w:val="00785911"/>
    <w:rsid w:val="007B0364"/>
    <w:rsid w:val="007B7D3D"/>
    <w:rsid w:val="007D0043"/>
    <w:rsid w:val="007D0981"/>
    <w:rsid w:val="007D1929"/>
    <w:rsid w:val="007E3214"/>
    <w:rsid w:val="007E68A9"/>
    <w:rsid w:val="007F19D2"/>
    <w:rsid w:val="00803CF1"/>
    <w:rsid w:val="00807F66"/>
    <w:rsid w:val="008104BB"/>
    <w:rsid w:val="00821362"/>
    <w:rsid w:val="008249C5"/>
    <w:rsid w:val="00825466"/>
    <w:rsid w:val="008526F9"/>
    <w:rsid w:val="0085285E"/>
    <w:rsid w:val="00853023"/>
    <w:rsid w:val="008534D4"/>
    <w:rsid w:val="00874486"/>
    <w:rsid w:val="00877D0F"/>
    <w:rsid w:val="00881E28"/>
    <w:rsid w:val="00887F78"/>
    <w:rsid w:val="00892275"/>
    <w:rsid w:val="00894C4B"/>
    <w:rsid w:val="008A12E3"/>
    <w:rsid w:val="008A42FA"/>
    <w:rsid w:val="008B0AC7"/>
    <w:rsid w:val="008C2335"/>
    <w:rsid w:val="008C4B51"/>
    <w:rsid w:val="008C67C1"/>
    <w:rsid w:val="008D1D39"/>
    <w:rsid w:val="008D2607"/>
    <w:rsid w:val="008F07D2"/>
    <w:rsid w:val="00917851"/>
    <w:rsid w:val="00917F65"/>
    <w:rsid w:val="009311E7"/>
    <w:rsid w:val="00942694"/>
    <w:rsid w:val="00985E88"/>
    <w:rsid w:val="009A2F1D"/>
    <w:rsid w:val="009A629E"/>
    <w:rsid w:val="009A7E3A"/>
    <w:rsid w:val="009B1265"/>
    <w:rsid w:val="009B4A15"/>
    <w:rsid w:val="009B5693"/>
    <w:rsid w:val="009C61A2"/>
    <w:rsid w:val="009C78E4"/>
    <w:rsid w:val="009D687E"/>
    <w:rsid w:val="009E182F"/>
    <w:rsid w:val="009E4436"/>
    <w:rsid w:val="009F18F1"/>
    <w:rsid w:val="009F566D"/>
    <w:rsid w:val="009F6DE7"/>
    <w:rsid w:val="00A10583"/>
    <w:rsid w:val="00A30EF9"/>
    <w:rsid w:val="00A37FCB"/>
    <w:rsid w:val="00A54863"/>
    <w:rsid w:val="00A61ADA"/>
    <w:rsid w:val="00A61D74"/>
    <w:rsid w:val="00A7662A"/>
    <w:rsid w:val="00A85D17"/>
    <w:rsid w:val="00A8688B"/>
    <w:rsid w:val="00A878EE"/>
    <w:rsid w:val="00A91163"/>
    <w:rsid w:val="00A9286F"/>
    <w:rsid w:val="00A96255"/>
    <w:rsid w:val="00AB285B"/>
    <w:rsid w:val="00AD032B"/>
    <w:rsid w:val="00AE677C"/>
    <w:rsid w:val="00AF11F6"/>
    <w:rsid w:val="00AF5552"/>
    <w:rsid w:val="00AF5CB4"/>
    <w:rsid w:val="00AF5ED1"/>
    <w:rsid w:val="00AF71D6"/>
    <w:rsid w:val="00AF7593"/>
    <w:rsid w:val="00B1636D"/>
    <w:rsid w:val="00B216EE"/>
    <w:rsid w:val="00B2644A"/>
    <w:rsid w:val="00B3175F"/>
    <w:rsid w:val="00B31E2C"/>
    <w:rsid w:val="00B329B0"/>
    <w:rsid w:val="00B402D8"/>
    <w:rsid w:val="00B4237C"/>
    <w:rsid w:val="00B42FE8"/>
    <w:rsid w:val="00B439E7"/>
    <w:rsid w:val="00B52AFD"/>
    <w:rsid w:val="00B54077"/>
    <w:rsid w:val="00B8087E"/>
    <w:rsid w:val="00B8275F"/>
    <w:rsid w:val="00B95811"/>
    <w:rsid w:val="00B96495"/>
    <w:rsid w:val="00BA76DB"/>
    <w:rsid w:val="00BB4363"/>
    <w:rsid w:val="00BB646E"/>
    <w:rsid w:val="00BD1BA1"/>
    <w:rsid w:val="00BD54F3"/>
    <w:rsid w:val="00BE5F36"/>
    <w:rsid w:val="00BF211E"/>
    <w:rsid w:val="00C019E5"/>
    <w:rsid w:val="00C35BC4"/>
    <w:rsid w:val="00C43F5B"/>
    <w:rsid w:val="00C537C7"/>
    <w:rsid w:val="00C7095E"/>
    <w:rsid w:val="00C82BC5"/>
    <w:rsid w:val="00CB4371"/>
    <w:rsid w:val="00CC516D"/>
    <w:rsid w:val="00CC5E88"/>
    <w:rsid w:val="00CD5652"/>
    <w:rsid w:val="00CE0403"/>
    <w:rsid w:val="00CE6711"/>
    <w:rsid w:val="00CE6C43"/>
    <w:rsid w:val="00CF0CB9"/>
    <w:rsid w:val="00D0074E"/>
    <w:rsid w:val="00D14694"/>
    <w:rsid w:val="00D24330"/>
    <w:rsid w:val="00D40056"/>
    <w:rsid w:val="00D4041E"/>
    <w:rsid w:val="00D43063"/>
    <w:rsid w:val="00D43772"/>
    <w:rsid w:val="00D5186D"/>
    <w:rsid w:val="00D51E7C"/>
    <w:rsid w:val="00D54F29"/>
    <w:rsid w:val="00D608D2"/>
    <w:rsid w:val="00D7020C"/>
    <w:rsid w:val="00D70AD9"/>
    <w:rsid w:val="00D72152"/>
    <w:rsid w:val="00D94BA5"/>
    <w:rsid w:val="00D9510F"/>
    <w:rsid w:val="00DA615C"/>
    <w:rsid w:val="00DA78DC"/>
    <w:rsid w:val="00DD1BC6"/>
    <w:rsid w:val="00DE5DC3"/>
    <w:rsid w:val="00E00D8A"/>
    <w:rsid w:val="00E0280C"/>
    <w:rsid w:val="00E04067"/>
    <w:rsid w:val="00E1050F"/>
    <w:rsid w:val="00E115B1"/>
    <w:rsid w:val="00E11604"/>
    <w:rsid w:val="00E11D92"/>
    <w:rsid w:val="00E130A0"/>
    <w:rsid w:val="00E15AE9"/>
    <w:rsid w:val="00E17A02"/>
    <w:rsid w:val="00E210C4"/>
    <w:rsid w:val="00E23DB7"/>
    <w:rsid w:val="00E46D96"/>
    <w:rsid w:val="00E52CCA"/>
    <w:rsid w:val="00E66409"/>
    <w:rsid w:val="00E7470E"/>
    <w:rsid w:val="00E81D5B"/>
    <w:rsid w:val="00E873FF"/>
    <w:rsid w:val="00E976B9"/>
    <w:rsid w:val="00EA05D3"/>
    <w:rsid w:val="00EA592E"/>
    <w:rsid w:val="00EB19AD"/>
    <w:rsid w:val="00EB2F31"/>
    <w:rsid w:val="00EB6493"/>
    <w:rsid w:val="00EC2915"/>
    <w:rsid w:val="00EC572B"/>
    <w:rsid w:val="00ED05A9"/>
    <w:rsid w:val="00ED1BA0"/>
    <w:rsid w:val="00EE011B"/>
    <w:rsid w:val="00F04B6B"/>
    <w:rsid w:val="00F16AB3"/>
    <w:rsid w:val="00F17257"/>
    <w:rsid w:val="00F34D24"/>
    <w:rsid w:val="00F36B79"/>
    <w:rsid w:val="00F4130B"/>
    <w:rsid w:val="00F52DF3"/>
    <w:rsid w:val="00F553F1"/>
    <w:rsid w:val="00F556A2"/>
    <w:rsid w:val="00F61B3C"/>
    <w:rsid w:val="00F66209"/>
    <w:rsid w:val="00F719A8"/>
    <w:rsid w:val="00F77404"/>
    <w:rsid w:val="00F878B9"/>
    <w:rsid w:val="00FA343E"/>
    <w:rsid w:val="00FA3C8D"/>
    <w:rsid w:val="00FB0331"/>
    <w:rsid w:val="00FB24E8"/>
    <w:rsid w:val="00FB3B2B"/>
    <w:rsid w:val="00FC18DA"/>
    <w:rsid w:val="00FC3917"/>
    <w:rsid w:val="00FD1AEE"/>
    <w:rsid w:val="00FD60DA"/>
    <w:rsid w:val="00FD6E33"/>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217DD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normaltextrun">
    <w:name w:val="normaltextrun"/>
    <w:basedOn w:val="DefaultParagraphFont"/>
    <w:rsid w:val="0042466C"/>
  </w:style>
  <w:style w:type="character" w:customStyle="1" w:styleId="eop">
    <w:name w:val="eop"/>
    <w:basedOn w:val="DefaultParagraphFont"/>
    <w:rsid w:val="0042466C"/>
  </w:style>
  <w:style w:type="paragraph" w:styleId="FootnoteText">
    <w:name w:val="footnote text"/>
    <w:basedOn w:val="Normal"/>
    <w:link w:val="FootnoteTextChar"/>
    <w:uiPriority w:val="99"/>
    <w:semiHidden/>
    <w:unhideWhenUsed/>
    <w:rsid w:val="0042466C"/>
    <w:pPr>
      <w:spacing w:after="0" w:line="240" w:lineRule="auto"/>
    </w:pPr>
    <w:rPr>
      <w:rFonts w:ascii="Times New Roman" w:eastAsia="Times New Roman" w:hAnsi="Times New Roman" w:cs="Times New Roman"/>
      <w:sz w:val="20"/>
      <w:szCs w:val="20"/>
      <w:lang w:val="en-US" w:eastAsia="en-US"/>
    </w:rPr>
  </w:style>
  <w:style w:type="character" w:customStyle="1" w:styleId="FootnoteTextChar">
    <w:name w:val="Footnote Text Char"/>
    <w:basedOn w:val="DefaultParagraphFont"/>
    <w:link w:val="FootnoteText"/>
    <w:uiPriority w:val="99"/>
    <w:semiHidden/>
    <w:rsid w:val="0042466C"/>
    <w:rPr>
      <w:rFonts w:ascii="Times New Roman" w:eastAsia="Times New Roman" w:hAnsi="Times New Roman" w:cs="Times New Roman"/>
      <w:sz w:val="20"/>
      <w:szCs w:val="20"/>
      <w:lang w:val="en-US" w:eastAsia="en-US"/>
    </w:rPr>
  </w:style>
  <w:style w:type="character" w:styleId="FootnoteReference">
    <w:name w:val="footnote reference"/>
    <w:basedOn w:val="DefaultParagraphFont"/>
    <w:uiPriority w:val="99"/>
    <w:semiHidden/>
    <w:unhideWhenUsed/>
    <w:rsid w:val="0042466C"/>
    <w:rPr>
      <w:vertAlign w:val="superscript"/>
    </w:rPr>
  </w:style>
  <w:style w:type="table" w:customStyle="1" w:styleId="MediumGrid3-Accent11">
    <w:name w:val="Medium Grid 3 - Accent 11"/>
    <w:basedOn w:val="TableNormal"/>
    <w:next w:val="MediumGrid3-Accent1"/>
    <w:uiPriority w:val="69"/>
    <w:semiHidden/>
    <w:unhideWhenUsed/>
    <w:rsid w:val="0042466C"/>
    <w:pPr>
      <w:spacing w:after="0" w:line="240" w:lineRule="auto"/>
    </w:pPr>
    <w:rPr>
      <w:rFonts w:ascii="Cambria" w:eastAsia="Cambria" w:hAnsi="Cambria" w:cs="Arial"/>
      <w:lang w:val="en-US" w:eastAsia="en-US"/>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1">
    <w:name w:val="Medium Grid 3 Accent 1"/>
    <w:basedOn w:val="TableNormal"/>
    <w:uiPriority w:val="69"/>
    <w:semiHidden/>
    <w:unhideWhenUsed/>
    <w:rsid w:val="0042466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TableGrid1">
    <w:name w:val="Table Grid1"/>
    <w:basedOn w:val="TableNormal"/>
    <w:next w:val="TableGrid"/>
    <w:uiPriority w:val="59"/>
    <w:rsid w:val="00464035"/>
    <w:pPr>
      <w:spacing w:after="0" w:line="240" w:lineRule="auto"/>
    </w:pPr>
    <w:rPr>
      <w:rFonts w:ascii="Cambria" w:eastAsia="Cambria" w:hAnsi="Cambria" w:cs="Arial"/>
      <w:lang w:val="en-US"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545BC6"/>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Revision">
    <w:name w:val="Revision"/>
    <w:hidden/>
    <w:uiPriority w:val="99"/>
    <w:semiHidden/>
    <w:rsid w:val="00F52DF3"/>
    <w:pPr>
      <w:spacing w:after="0" w:line="240" w:lineRule="auto"/>
    </w:pPr>
  </w:style>
  <w:style w:type="character" w:customStyle="1" w:styleId="Heading3Char">
    <w:name w:val="Heading 3 Char"/>
    <w:basedOn w:val="DefaultParagraphFont"/>
    <w:link w:val="Heading3"/>
    <w:uiPriority w:val="9"/>
    <w:semiHidden/>
    <w:rsid w:val="00217DD2"/>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877D0F"/>
    <w:rPr>
      <w:color w:val="800080" w:themeColor="followedHyperlink"/>
      <w:u w:val="single"/>
    </w:rPr>
  </w:style>
  <w:style w:type="character" w:styleId="UnresolvedMention">
    <w:name w:val="Unresolved Mention"/>
    <w:basedOn w:val="DefaultParagraphFont"/>
    <w:uiPriority w:val="99"/>
    <w:semiHidden/>
    <w:unhideWhenUsed/>
    <w:rsid w:val="003F3F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074519">
      <w:bodyDiv w:val="1"/>
      <w:marLeft w:val="0"/>
      <w:marRight w:val="0"/>
      <w:marTop w:val="0"/>
      <w:marBottom w:val="0"/>
      <w:divBdr>
        <w:top w:val="none" w:sz="0" w:space="0" w:color="auto"/>
        <w:left w:val="none" w:sz="0" w:space="0" w:color="auto"/>
        <w:bottom w:val="none" w:sz="0" w:space="0" w:color="auto"/>
        <w:right w:val="none" w:sz="0" w:space="0" w:color="auto"/>
      </w:divBdr>
    </w:div>
    <w:div w:id="285233087">
      <w:bodyDiv w:val="1"/>
      <w:marLeft w:val="0"/>
      <w:marRight w:val="0"/>
      <w:marTop w:val="0"/>
      <w:marBottom w:val="0"/>
      <w:divBdr>
        <w:top w:val="none" w:sz="0" w:space="0" w:color="auto"/>
        <w:left w:val="none" w:sz="0" w:space="0" w:color="auto"/>
        <w:bottom w:val="none" w:sz="0" w:space="0" w:color="auto"/>
        <w:right w:val="none" w:sz="0" w:space="0" w:color="auto"/>
      </w:divBdr>
    </w:div>
    <w:div w:id="318004154">
      <w:bodyDiv w:val="1"/>
      <w:marLeft w:val="0"/>
      <w:marRight w:val="0"/>
      <w:marTop w:val="0"/>
      <w:marBottom w:val="0"/>
      <w:divBdr>
        <w:top w:val="none" w:sz="0" w:space="0" w:color="auto"/>
        <w:left w:val="none" w:sz="0" w:space="0" w:color="auto"/>
        <w:bottom w:val="none" w:sz="0" w:space="0" w:color="auto"/>
        <w:right w:val="none" w:sz="0" w:space="0" w:color="auto"/>
      </w:divBdr>
    </w:div>
    <w:div w:id="444351373">
      <w:bodyDiv w:val="1"/>
      <w:marLeft w:val="0"/>
      <w:marRight w:val="0"/>
      <w:marTop w:val="0"/>
      <w:marBottom w:val="0"/>
      <w:divBdr>
        <w:top w:val="none" w:sz="0" w:space="0" w:color="auto"/>
        <w:left w:val="none" w:sz="0" w:space="0" w:color="auto"/>
        <w:bottom w:val="none" w:sz="0" w:space="0" w:color="auto"/>
        <w:right w:val="none" w:sz="0" w:space="0" w:color="auto"/>
      </w:divBdr>
    </w:div>
    <w:div w:id="445121855">
      <w:bodyDiv w:val="1"/>
      <w:marLeft w:val="0"/>
      <w:marRight w:val="0"/>
      <w:marTop w:val="0"/>
      <w:marBottom w:val="0"/>
      <w:divBdr>
        <w:top w:val="none" w:sz="0" w:space="0" w:color="auto"/>
        <w:left w:val="none" w:sz="0" w:space="0" w:color="auto"/>
        <w:bottom w:val="none" w:sz="0" w:space="0" w:color="auto"/>
        <w:right w:val="none" w:sz="0" w:space="0" w:color="auto"/>
      </w:divBdr>
    </w:div>
    <w:div w:id="560363410">
      <w:bodyDiv w:val="1"/>
      <w:marLeft w:val="0"/>
      <w:marRight w:val="0"/>
      <w:marTop w:val="0"/>
      <w:marBottom w:val="0"/>
      <w:divBdr>
        <w:top w:val="none" w:sz="0" w:space="0" w:color="auto"/>
        <w:left w:val="none" w:sz="0" w:space="0" w:color="auto"/>
        <w:bottom w:val="none" w:sz="0" w:space="0" w:color="auto"/>
        <w:right w:val="none" w:sz="0" w:space="0" w:color="auto"/>
      </w:divBdr>
    </w:div>
    <w:div w:id="653532739">
      <w:bodyDiv w:val="1"/>
      <w:marLeft w:val="0"/>
      <w:marRight w:val="0"/>
      <w:marTop w:val="0"/>
      <w:marBottom w:val="0"/>
      <w:divBdr>
        <w:top w:val="none" w:sz="0" w:space="0" w:color="auto"/>
        <w:left w:val="none" w:sz="0" w:space="0" w:color="auto"/>
        <w:bottom w:val="none" w:sz="0" w:space="0" w:color="auto"/>
        <w:right w:val="none" w:sz="0" w:space="0" w:color="auto"/>
      </w:divBdr>
    </w:div>
    <w:div w:id="749424473">
      <w:bodyDiv w:val="1"/>
      <w:marLeft w:val="0"/>
      <w:marRight w:val="0"/>
      <w:marTop w:val="0"/>
      <w:marBottom w:val="0"/>
      <w:divBdr>
        <w:top w:val="none" w:sz="0" w:space="0" w:color="auto"/>
        <w:left w:val="none" w:sz="0" w:space="0" w:color="auto"/>
        <w:bottom w:val="none" w:sz="0" w:space="0" w:color="auto"/>
        <w:right w:val="none" w:sz="0" w:space="0" w:color="auto"/>
      </w:divBdr>
    </w:div>
    <w:div w:id="95297647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181897478">
      <w:bodyDiv w:val="1"/>
      <w:marLeft w:val="0"/>
      <w:marRight w:val="0"/>
      <w:marTop w:val="0"/>
      <w:marBottom w:val="0"/>
      <w:divBdr>
        <w:top w:val="none" w:sz="0" w:space="0" w:color="auto"/>
        <w:left w:val="none" w:sz="0" w:space="0" w:color="auto"/>
        <w:bottom w:val="none" w:sz="0" w:space="0" w:color="auto"/>
        <w:right w:val="none" w:sz="0" w:space="0" w:color="auto"/>
      </w:divBdr>
    </w:div>
    <w:div w:id="1268273126">
      <w:bodyDiv w:val="1"/>
      <w:marLeft w:val="0"/>
      <w:marRight w:val="0"/>
      <w:marTop w:val="0"/>
      <w:marBottom w:val="0"/>
      <w:divBdr>
        <w:top w:val="none" w:sz="0" w:space="0" w:color="auto"/>
        <w:left w:val="none" w:sz="0" w:space="0" w:color="auto"/>
        <w:bottom w:val="none" w:sz="0" w:space="0" w:color="auto"/>
        <w:right w:val="none" w:sz="0" w:space="0" w:color="auto"/>
      </w:divBdr>
    </w:div>
    <w:div w:id="1274484983">
      <w:bodyDiv w:val="1"/>
      <w:marLeft w:val="0"/>
      <w:marRight w:val="0"/>
      <w:marTop w:val="0"/>
      <w:marBottom w:val="0"/>
      <w:divBdr>
        <w:top w:val="none" w:sz="0" w:space="0" w:color="auto"/>
        <w:left w:val="none" w:sz="0" w:space="0" w:color="auto"/>
        <w:bottom w:val="none" w:sz="0" w:space="0" w:color="auto"/>
        <w:right w:val="none" w:sz="0" w:space="0" w:color="auto"/>
      </w:divBdr>
    </w:div>
    <w:div w:id="1292398392">
      <w:bodyDiv w:val="1"/>
      <w:marLeft w:val="0"/>
      <w:marRight w:val="0"/>
      <w:marTop w:val="0"/>
      <w:marBottom w:val="0"/>
      <w:divBdr>
        <w:top w:val="none" w:sz="0" w:space="0" w:color="auto"/>
        <w:left w:val="none" w:sz="0" w:space="0" w:color="auto"/>
        <w:bottom w:val="none" w:sz="0" w:space="0" w:color="auto"/>
        <w:right w:val="none" w:sz="0" w:space="0" w:color="auto"/>
      </w:divBdr>
    </w:div>
    <w:div w:id="1458717788">
      <w:bodyDiv w:val="1"/>
      <w:marLeft w:val="0"/>
      <w:marRight w:val="0"/>
      <w:marTop w:val="0"/>
      <w:marBottom w:val="0"/>
      <w:divBdr>
        <w:top w:val="none" w:sz="0" w:space="0" w:color="auto"/>
        <w:left w:val="none" w:sz="0" w:space="0" w:color="auto"/>
        <w:bottom w:val="none" w:sz="0" w:space="0" w:color="auto"/>
        <w:right w:val="none" w:sz="0" w:space="0" w:color="auto"/>
      </w:divBdr>
    </w:div>
    <w:div w:id="1526289445">
      <w:bodyDiv w:val="1"/>
      <w:marLeft w:val="0"/>
      <w:marRight w:val="0"/>
      <w:marTop w:val="0"/>
      <w:marBottom w:val="0"/>
      <w:divBdr>
        <w:top w:val="none" w:sz="0" w:space="0" w:color="auto"/>
        <w:left w:val="none" w:sz="0" w:space="0" w:color="auto"/>
        <w:bottom w:val="none" w:sz="0" w:space="0" w:color="auto"/>
        <w:right w:val="none" w:sz="0" w:space="0" w:color="auto"/>
      </w:divBdr>
    </w:div>
    <w:div w:id="1595089776">
      <w:bodyDiv w:val="1"/>
      <w:marLeft w:val="0"/>
      <w:marRight w:val="0"/>
      <w:marTop w:val="0"/>
      <w:marBottom w:val="0"/>
      <w:divBdr>
        <w:top w:val="none" w:sz="0" w:space="0" w:color="auto"/>
        <w:left w:val="none" w:sz="0" w:space="0" w:color="auto"/>
        <w:bottom w:val="none" w:sz="0" w:space="0" w:color="auto"/>
        <w:right w:val="none" w:sz="0" w:space="0" w:color="auto"/>
      </w:divBdr>
    </w:div>
    <w:div w:id="1728214590">
      <w:bodyDiv w:val="1"/>
      <w:marLeft w:val="0"/>
      <w:marRight w:val="0"/>
      <w:marTop w:val="0"/>
      <w:marBottom w:val="0"/>
      <w:divBdr>
        <w:top w:val="none" w:sz="0" w:space="0" w:color="auto"/>
        <w:left w:val="none" w:sz="0" w:space="0" w:color="auto"/>
        <w:bottom w:val="none" w:sz="0" w:space="0" w:color="auto"/>
        <w:right w:val="none" w:sz="0" w:space="0" w:color="auto"/>
      </w:divBdr>
    </w:div>
    <w:div w:id="1743871343">
      <w:bodyDiv w:val="1"/>
      <w:marLeft w:val="0"/>
      <w:marRight w:val="0"/>
      <w:marTop w:val="0"/>
      <w:marBottom w:val="0"/>
      <w:divBdr>
        <w:top w:val="none" w:sz="0" w:space="0" w:color="auto"/>
        <w:left w:val="none" w:sz="0" w:space="0" w:color="auto"/>
        <w:bottom w:val="none" w:sz="0" w:space="0" w:color="auto"/>
        <w:right w:val="none" w:sz="0" w:space="0" w:color="auto"/>
      </w:divBdr>
    </w:div>
    <w:div w:id="1773814758">
      <w:bodyDiv w:val="1"/>
      <w:marLeft w:val="0"/>
      <w:marRight w:val="0"/>
      <w:marTop w:val="0"/>
      <w:marBottom w:val="0"/>
      <w:divBdr>
        <w:top w:val="none" w:sz="0" w:space="0" w:color="auto"/>
        <w:left w:val="none" w:sz="0" w:space="0" w:color="auto"/>
        <w:bottom w:val="none" w:sz="0" w:space="0" w:color="auto"/>
        <w:right w:val="none" w:sz="0" w:space="0" w:color="auto"/>
      </w:divBdr>
    </w:div>
    <w:div w:id="2004158905">
      <w:bodyDiv w:val="1"/>
      <w:marLeft w:val="0"/>
      <w:marRight w:val="0"/>
      <w:marTop w:val="0"/>
      <w:marBottom w:val="0"/>
      <w:divBdr>
        <w:top w:val="none" w:sz="0" w:space="0" w:color="auto"/>
        <w:left w:val="none" w:sz="0" w:space="0" w:color="auto"/>
        <w:bottom w:val="none" w:sz="0" w:space="0" w:color="auto"/>
        <w:right w:val="none" w:sz="0" w:space="0" w:color="auto"/>
      </w:divBdr>
    </w:div>
    <w:div w:id="2033072502">
      <w:bodyDiv w:val="1"/>
      <w:marLeft w:val="0"/>
      <w:marRight w:val="0"/>
      <w:marTop w:val="0"/>
      <w:marBottom w:val="0"/>
      <w:divBdr>
        <w:top w:val="none" w:sz="0" w:space="0" w:color="auto"/>
        <w:left w:val="none" w:sz="0" w:space="0" w:color="auto"/>
        <w:bottom w:val="none" w:sz="0" w:space="0" w:color="auto"/>
        <w:right w:val="none" w:sz="0" w:space="0" w:color="auto"/>
      </w:divBdr>
    </w:div>
    <w:div w:id="2040083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rbanagendaplatform.org/learning" TargetMode="External"/><Relationship Id="rId18" Type="http://schemas.openxmlformats.org/officeDocument/2006/relationships/hyperlink" Target="https://unhabitat.org/sites/default/files/2020/10/nua-monitoring-framework-and-related-indicators_1.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unhabitat.org/national-urban-policy-framework-for-a-rapid-diagnostic/" TargetMode="External"/><Relationship Id="rId7" Type="http://schemas.openxmlformats.org/officeDocument/2006/relationships/settings" Target="settings.xml"/><Relationship Id="rId12" Type="http://schemas.openxmlformats.org/officeDocument/2006/relationships/hyperlink" Target="https://unhabitat.org/knowledge/data-and-analytics" TargetMode="External"/><Relationship Id="rId17" Type="http://schemas.openxmlformats.org/officeDocument/2006/relationships/hyperlink" Target="https://www.oecd-ilibrary.org/urban-rural-and-regional-development/oecd-urban-policy-reviews_23069341"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worldbank.org/en/topic/urbandevelopment/publication/urbanization-reviews" TargetMode="External"/><Relationship Id="rId20" Type="http://schemas.openxmlformats.org/officeDocument/2006/relationships/hyperlink" Target="http://www.oecd.org/cfe/regional-policy/urbanmetroreviews.h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urbanpolicyplatform.org/wp-content/uploads/2018/09/13092018NUP-database.pdf" TargetMode="External"/><Relationship Id="rId24" Type="http://schemas.openxmlformats.org/officeDocument/2006/relationships/hyperlink" Target="https://unhabitat.org/books/global-state-of-national-urban-policy/" TargetMode="External"/><Relationship Id="rId5" Type="http://schemas.openxmlformats.org/officeDocument/2006/relationships/numbering" Target="numbering.xml"/><Relationship Id="rId15" Type="http://schemas.openxmlformats.org/officeDocument/2006/relationships/hyperlink" Target="https://unhabitat.org/programme/national-urban-policy" TargetMode="External"/><Relationship Id="rId23" Type="http://schemas.openxmlformats.org/officeDocument/2006/relationships/hyperlink" Target="http://urbanpolicyplatform.org/wp-content/uploads/2018/09/13092018NUP-database.pdf"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urbanpolicyplatform.org/national-urban-policy-databas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ata.unhabitat.org/" TargetMode="External"/><Relationship Id="rId22" Type="http://schemas.openxmlformats.org/officeDocument/2006/relationships/hyperlink" Target="https://unhabitat.org/national-urban-policy-framework-for-a-rapid-diagnostic/" TargetMode="External"/><Relationship Id="rId27"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urbanpolicyplatform.org/wp-content/uploads/2019/11/Global-Report-NUP1.pdf" TargetMode="External"/><Relationship Id="rId2" Type="http://schemas.openxmlformats.org/officeDocument/2006/relationships/hyperlink" Target="https://drive.google.com/file/d/1-zn9d85GWJv1Tr039OtmoqPOfpwiowku/view?usp=sharing" TargetMode="External"/><Relationship Id="rId1" Type="http://schemas.openxmlformats.org/officeDocument/2006/relationships/hyperlink" Target="https://www.oecd.org/cfe/Brochure-OECD-Principles-Urban-Policy.pdf" TargetMode="External"/><Relationship Id="rId4" Type="http://schemas.openxmlformats.org/officeDocument/2006/relationships/hyperlink" Target="https://drive.google.com/file/d/1zn9d85GWJv1Tr039OtmoqPOfpwiowku/view?usp=shari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37"/>
        <w:category>
          <w:name w:val="General"/>
          <w:gallery w:val="placeholder"/>
        </w:category>
        <w:types>
          <w:type w:val="bbPlcHdr"/>
        </w:types>
        <w:behaviors>
          <w:behavior w:val="content"/>
        </w:behaviors>
        <w:guid w:val="{7C628EBE-3AEB-45B4-8F20-1A79589E1528}"/>
      </w:docPartPr>
      <w:docPartBody>
        <w:p w:rsidR="006E4C90" w:rsidRDefault="006E4C90">
          <w:r w:rsidRPr="002E370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sDel="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C90"/>
    <w:rsid w:val="000C687E"/>
    <w:rsid w:val="00281307"/>
    <w:rsid w:val="006E4C90"/>
    <w:rsid w:val="009E182F"/>
    <w:rsid w:val="00A766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4C9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97A22-7BCB-4E17-AD05-698BA4F6D47D}">
  <ds:schemaRefs>
    <ds:schemaRef ds:uri="http://purl.org/dc/dcmitype/"/>
    <ds:schemaRef ds:uri="http://schemas.microsoft.com/office/2006/documentManagement/types"/>
    <ds:schemaRef ds:uri="http://www.w3.org/XML/1998/namespace"/>
    <ds:schemaRef ds:uri="http://purl.org/dc/elements/1.1/"/>
    <ds:schemaRef ds:uri="f2d2d782-0088-4826-96df-71eba56e6d2e"/>
    <ds:schemaRef ds:uri="http://purl.org/dc/terms/"/>
    <ds:schemaRef ds:uri="http://schemas.openxmlformats.org/package/2006/metadata/core-properties"/>
    <ds:schemaRef ds:uri="http://schemas.microsoft.com/office/infopath/2007/PartnerControls"/>
    <ds:schemaRef ds:uri="d114b01d-ae01-4749-b845-9d88e7ef5c0e"/>
    <ds:schemaRef ds:uri="http://schemas.microsoft.com/office/2006/metadata/properties"/>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8A24CDEF-B15E-4A02-AD7F-2A217F31BE20}">
  <ds:schemaRefs>
    <ds:schemaRef ds:uri="http://schemas.openxmlformats.org/officeDocument/2006/bibliography"/>
  </ds:schemaRefs>
</ds:datastoreItem>
</file>

<file path=docMetadata/LabelInfo.xml><?xml version="1.0" encoding="utf-8"?>
<clbl:labelList xmlns:clbl="http://schemas.microsoft.com/office/2020/mipLabelMetadata">
  <clbl:label id="{0f9e35db-544f-4f60-bdcc-5ea416e6dc70}" enabled="0" method="" siteId="{0f9e35db-544f-4f60-bdcc-5ea416e6dc70}" removed="1"/>
</clbl:labelList>
</file>

<file path=docProps/app.xml><?xml version="1.0" encoding="utf-8"?>
<Properties xmlns="http://schemas.openxmlformats.org/officeDocument/2006/extended-properties" xmlns:vt="http://schemas.openxmlformats.org/officeDocument/2006/docPropsVTypes">
  <Template>Normal.dotm</Template>
  <TotalTime>45</TotalTime>
  <Pages>15</Pages>
  <Words>5821</Words>
  <Characters>33185</Characters>
  <Application>Microsoft Office Word</Application>
  <DocSecurity>0</DocSecurity>
  <Lines>276</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United Nations</Company>
  <LinksUpToDate>false</LinksUpToDate>
  <CharactersWithSpaces>38929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20</cp:revision>
  <cp:lastPrinted>2025-04-23T03:16:00Z</cp:lastPrinted>
  <dcterms:created xsi:type="dcterms:W3CDTF">2024-11-14T05:53:00Z</dcterms:created>
  <dcterms:modified xsi:type="dcterms:W3CDTF">2025-04-23T03:16:00Z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