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6D2AC39" w14:textId="595717CE" w:rsidR="00D339E2" w:rsidRPr="008F70BF" w:rsidRDefault="00494989" w:rsidP="00D339E2">
      <w:pPr>
        <w:shd w:val="clear" w:color="auto" w:fill="F5F5F5"/>
        <w:spacing w:after="0"/>
        <w:outlineLvl w:val="4"/>
        <w:rPr>
          <w:rFonts w:eastAsia="Times New Roman" w:cstheme="minorHAnsi"/>
          <w:color w:val="333333"/>
          <w:sz w:val="21"/>
          <w:szCs w:val="21"/>
          <w:lang w:eastAsia="en-GB"/>
        </w:rPr>
      </w:pPr>
      <w:r w:rsidRPr="00494989">
        <w:rPr>
          <w:rFonts w:eastAsia="Times New Roman" w:cstheme="minorHAnsi"/>
          <w:color w:val="333333"/>
          <w:sz w:val="21"/>
          <w:szCs w:val="21"/>
          <w:lang w:eastAsia="en-GB"/>
        </w:rPr>
        <w:t>Goal 11</w:t>
      </w:r>
      <w:r>
        <w:rPr>
          <w:rFonts w:eastAsia="Times New Roman" w:cstheme="minorHAnsi"/>
          <w:color w:val="333333"/>
          <w:sz w:val="21"/>
          <w:szCs w:val="21"/>
          <w:lang w:eastAsia="en-GB"/>
        </w:rPr>
        <w:t>:</w:t>
      </w:r>
      <w:r w:rsidRPr="00494989">
        <w:rPr>
          <w:rFonts w:eastAsia="Times New Roman" w:cstheme="minorHAnsi"/>
          <w:color w:val="333333"/>
          <w:sz w:val="21"/>
          <w:szCs w:val="21"/>
          <w:lang w:eastAsia="en-GB"/>
        </w:rPr>
        <w:t xml:space="preserve"> Make cities and human settlements inclusive, safe, resilient and sustainable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F871431" w14:textId="4EEDF064" w:rsidR="00D339E2" w:rsidRPr="008F70BF" w:rsidRDefault="00D339E2" w:rsidP="00494989">
      <w:pPr>
        <w:shd w:val="clear" w:color="auto" w:fill="F5F5F5"/>
        <w:spacing w:after="0"/>
        <w:outlineLvl w:val="4"/>
        <w:rPr>
          <w:rFonts w:eastAsia="Times New Roman" w:cstheme="minorHAnsi"/>
          <w:color w:val="333333"/>
          <w:sz w:val="21"/>
          <w:szCs w:val="21"/>
          <w:lang w:eastAsia="en-GB"/>
        </w:rPr>
      </w:pPr>
      <w:r w:rsidRPr="008F70BF">
        <w:rPr>
          <w:rFonts w:eastAsia="Times New Roman" w:cstheme="minorHAnsi"/>
          <w:color w:val="333333"/>
          <w:sz w:val="21"/>
          <w:szCs w:val="21"/>
          <w:lang w:eastAsia="en-GB"/>
        </w:rPr>
        <w:t xml:space="preserve">Target </w:t>
      </w:r>
      <w:r w:rsidR="00494989" w:rsidRPr="00494989">
        <w:rPr>
          <w:rFonts w:eastAsia="Times New Roman" w:cstheme="minorHAnsi"/>
          <w:color w:val="333333"/>
          <w:sz w:val="21"/>
          <w:szCs w:val="21"/>
          <w:lang w:eastAsia="en-GB"/>
        </w:rPr>
        <w:t>11.c</w:t>
      </w:r>
      <w:r w:rsidR="00494989">
        <w:rPr>
          <w:rFonts w:eastAsia="Times New Roman" w:cstheme="minorHAnsi"/>
          <w:color w:val="333333"/>
          <w:sz w:val="21"/>
          <w:szCs w:val="21"/>
          <w:lang w:eastAsia="en-GB"/>
        </w:rPr>
        <w:t>:</w:t>
      </w:r>
      <w:r w:rsidR="00494989" w:rsidRPr="00494989">
        <w:rPr>
          <w:rFonts w:eastAsia="Times New Roman" w:cstheme="minorHAnsi"/>
          <w:color w:val="333333"/>
          <w:sz w:val="21"/>
          <w:szCs w:val="21"/>
          <w:lang w:eastAsia="en-GB"/>
        </w:rPr>
        <w:t xml:space="preserve"> Support least developed countries, including through</w:t>
      </w:r>
      <w:r w:rsidR="00494989">
        <w:rPr>
          <w:rFonts w:eastAsia="Times New Roman" w:cstheme="minorHAnsi"/>
          <w:color w:val="333333"/>
          <w:sz w:val="21"/>
          <w:szCs w:val="21"/>
          <w:lang w:eastAsia="en-GB"/>
        </w:rPr>
        <w:t xml:space="preserve"> </w:t>
      </w:r>
      <w:r w:rsidR="00494989" w:rsidRPr="00494989">
        <w:rPr>
          <w:rFonts w:eastAsia="Times New Roman" w:cstheme="minorHAnsi"/>
          <w:color w:val="333333"/>
          <w:sz w:val="21"/>
          <w:szCs w:val="21"/>
          <w:lang w:eastAsia="en-GB"/>
        </w:rPr>
        <w:t>financial and technical assistance, in building sustainable</w:t>
      </w:r>
      <w:r w:rsidR="00494989">
        <w:rPr>
          <w:rFonts w:eastAsia="Times New Roman" w:cstheme="minorHAnsi"/>
          <w:color w:val="333333"/>
          <w:sz w:val="21"/>
          <w:szCs w:val="21"/>
          <w:lang w:eastAsia="en-GB"/>
        </w:rPr>
        <w:t xml:space="preserve"> </w:t>
      </w:r>
      <w:r w:rsidR="00494989" w:rsidRPr="00494989">
        <w:rPr>
          <w:rFonts w:eastAsia="Times New Roman" w:cstheme="minorHAnsi"/>
          <w:color w:val="333333"/>
          <w:sz w:val="21"/>
          <w:szCs w:val="21"/>
          <w:lang w:eastAsia="en-GB"/>
        </w:rPr>
        <w:t>and resilient buildings utilizing local materials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1CBF42D" w14:textId="0D0A07B1" w:rsidR="00D339E2" w:rsidRPr="00215438" w:rsidRDefault="00D339E2" w:rsidP="00494989">
      <w:pPr>
        <w:pStyle w:val="MIndHeader"/>
        <w:rPr>
          <w:rFonts w:cstheme="minorHAnsi"/>
          <w:color w:val="333333"/>
          <w:sz w:val="21"/>
          <w:szCs w:val="21"/>
        </w:rPr>
      </w:pPr>
      <w:r w:rsidRPr="00D339E2">
        <w:rPr>
          <w:color w:val="333333"/>
          <w:sz w:val="21"/>
          <w:szCs w:val="21"/>
        </w:rPr>
        <w:t xml:space="preserve">Indicator </w:t>
      </w:r>
      <w:r w:rsidR="00494989" w:rsidRPr="00494989">
        <w:rPr>
          <w:color w:val="333333"/>
          <w:sz w:val="21"/>
          <w:szCs w:val="21"/>
        </w:rPr>
        <w:t>11.c.1</w:t>
      </w:r>
      <w:r w:rsidR="00494989">
        <w:rPr>
          <w:color w:val="333333"/>
          <w:sz w:val="21"/>
          <w:szCs w:val="21"/>
        </w:rPr>
        <w:t>:</w:t>
      </w:r>
      <w:r w:rsidR="00494989" w:rsidRPr="00494989">
        <w:rPr>
          <w:color w:val="333333"/>
          <w:sz w:val="21"/>
          <w:szCs w:val="21"/>
        </w:rPr>
        <w:t xml:space="preserve"> Total official development assistance and other</w:t>
      </w:r>
      <w:r w:rsidR="00494989">
        <w:rPr>
          <w:color w:val="333333"/>
          <w:sz w:val="21"/>
          <w:szCs w:val="21"/>
        </w:rPr>
        <w:t xml:space="preserve"> </w:t>
      </w:r>
      <w:r w:rsidR="00494989" w:rsidRPr="00494989">
        <w:rPr>
          <w:color w:val="333333"/>
          <w:sz w:val="21"/>
          <w:szCs w:val="21"/>
        </w:rPr>
        <w:t>official flows in support of urban infrastructure or urban</w:t>
      </w:r>
      <w:r w:rsidR="00494989">
        <w:rPr>
          <w:color w:val="333333"/>
          <w:sz w:val="21"/>
          <w:szCs w:val="21"/>
        </w:rPr>
        <w:t xml:space="preserve"> </w:t>
      </w:r>
      <w:r w:rsidR="00494989" w:rsidRPr="00494989">
        <w:rPr>
          <w:color w:val="333333"/>
          <w:sz w:val="21"/>
          <w:szCs w:val="21"/>
        </w:rPr>
        <w:t>infrastructure projects, by sector</w:t>
      </w:r>
    </w:p>
    <w:p w14:paraId="37E5E4F6" w14:textId="213D900D" w:rsidR="00D24330" w:rsidRDefault="00D24330" w:rsidP="00D24330">
      <w:pPr>
        <w:pStyle w:val="MIndHeader"/>
        <w:rPr>
          <w:lang w:val="en-US"/>
        </w:rPr>
      </w:pPr>
      <w:r w:rsidRPr="009C0A11">
        <w:rPr>
          <w:lang w:val="en-US"/>
        </w:rPr>
        <w:t xml:space="preserve">0.d. Series </w:t>
      </w:r>
      <w:r>
        <w:rPr>
          <w:color w:val="B4B4B4"/>
          <w:sz w:val="20"/>
        </w:rPr>
        <w:t>(SDG_SERIES_DESCR)</w:t>
      </w:r>
    </w:p>
    <w:p w14:paraId="25E56F3F" w14:textId="77777777" w:rsidR="00494989" w:rsidRPr="009C0A11" w:rsidRDefault="00494989" w:rsidP="00494989">
      <w:pPr>
        <w:pStyle w:val="MGTHeader"/>
        <w:rPr>
          <w:lang w:val="en-US"/>
        </w:rPr>
      </w:pPr>
    </w:p>
    <w:p w14:paraId="157DACE7" w14:textId="77777777" w:rsidR="00D24330" w:rsidRPr="009C0A11" w:rsidRDefault="00D24330" w:rsidP="00D24330">
      <w:pPr>
        <w:pStyle w:val="MIndHeader"/>
        <w:rPr>
          <w:lang w:val="en-US"/>
        </w:rPr>
      </w:pPr>
      <w:r w:rsidRPr="009C0A11">
        <w:rPr>
          <w:lang w:val="en-US"/>
        </w:rPr>
        <w:t xml:space="preserve">0.e. Metadata update </w:t>
      </w:r>
      <w:r>
        <w:rPr>
          <w:color w:val="B4B4B4"/>
          <w:sz w:val="20"/>
        </w:rPr>
        <w:t>(META_LAST_UPDATE)</w:t>
      </w:r>
    </w:p>
    <w:sdt>
      <w:sdtPr>
        <w:rPr>
          <w:lang w:val="en-US"/>
        </w:rPr>
        <w:id w:val="-444229545"/>
        <w:placeholder>
          <w:docPart w:val="DefaultPlaceholder_-1854013437"/>
        </w:placeholder>
        <w:date w:fullDate="2025-04-23T00:00:00Z">
          <w:dateFormat w:val="yyyy-MM-dd"/>
          <w:lid w:val="en-US"/>
          <w:storeMappedDataAs w:val="dateTime"/>
          <w:calendar w:val="gregorian"/>
        </w:date>
      </w:sdtPr>
      <w:sdtEndPr/>
      <w:sdtContent>
        <w:p w14:paraId="03424B60" w14:textId="118CDF64" w:rsidR="00D24330" w:rsidRPr="009C0A11" w:rsidRDefault="008910E5" w:rsidP="00D24330">
          <w:pPr>
            <w:pStyle w:val="MGTHeader"/>
            <w:rPr>
              <w:lang w:val="en-US"/>
            </w:rPr>
          </w:pPr>
          <w:r>
            <w:rPr>
              <w:lang w:val="en-US"/>
            </w:rPr>
            <w:t>2025-04-23</w:t>
          </w:r>
        </w:p>
      </w:sdtContent>
    </w:sdt>
    <w:p w14:paraId="415C9FF1" w14:textId="77777777" w:rsidR="00D24330" w:rsidRDefault="00D24330" w:rsidP="00D24330">
      <w:pPr>
        <w:pStyle w:val="MIndHeader"/>
      </w:pPr>
      <w:r w:rsidRPr="00A96255">
        <w:t xml:space="preserve">0.f. Related indicators </w:t>
      </w:r>
      <w:r>
        <w:rPr>
          <w:color w:val="B4B4B4"/>
          <w:sz w:val="20"/>
        </w:rPr>
        <w:t>(SDG_RELATED_INDICATORS)</w:t>
      </w:r>
    </w:p>
    <w:p w14:paraId="79F13D7B" w14:textId="142C441C" w:rsidR="00FD0845" w:rsidRDefault="00FD0845" w:rsidP="00D24330">
      <w:pPr>
        <w:pStyle w:val="MIndHeader"/>
        <w:rPr>
          <w:color w:val="333333"/>
          <w:sz w:val="21"/>
          <w:szCs w:val="21"/>
        </w:rPr>
      </w:pPr>
      <w:r w:rsidRPr="00FD0845">
        <w:rPr>
          <w:color w:val="333333"/>
          <w:sz w:val="21"/>
          <w:szCs w:val="21"/>
        </w:rPr>
        <w:t>Indicator 9.a.1 is the “total official international support (official development assistance plus other official flows) to infrastructure”</w:t>
      </w:r>
    </w:p>
    <w:p w14:paraId="5448F78F" w14:textId="6B2625C7" w:rsidR="00BF0AFA" w:rsidRPr="00FD0845" w:rsidRDefault="00BF0AFA" w:rsidP="00D24330">
      <w:pPr>
        <w:pStyle w:val="MIndHeader"/>
        <w:rPr>
          <w:color w:val="333333"/>
          <w:sz w:val="21"/>
          <w:szCs w:val="21"/>
        </w:rPr>
      </w:pPr>
      <w:r>
        <w:rPr>
          <w:color w:val="333333"/>
          <w:sz w:val="21"/>
          <w:szCs w:val="21"/>
        </w:rPr>
        <w:t xml:space="preserve">Indicator 4.b.1 </w:t>
      </w:r>
      <w:r w:rsidRPr="00BF0AFA">
        <w:rPr>
          <w:color w:val="333333"/>
          <w:sz w:val="21"/>
          <w:szCs w:val="21"/>
        </w:rPr>
        <w:t>Volume of official development assistance flows for scholarships by sector and type of study</w:t>
      </w:r>
      <w:r>
        <w:rPr>
          <w:color w:val="333333"/>
          <w:sz w:val="21"/>
          <w:szCs w:val="21"/>
        </w:rPr>
        <w:t>.</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C744335" w14:textId="6E301E6C" w:rsidR="00D339E2" w:rsidRPr="00CA6E40" w:rsidRDefault="00D339E2" w:rsidP="00251C50">
      <w:pPr>
        <w:pStyle w:val="MGTHeader"/>
        <w:rPr>
          <w:lang w:val="en-US"/>
        </w:rPr>
      </w:pPr>
      <w:r w:rsidRPr="00CA6E40">
        <w:rPr>
          <w:lang w:val="en-US"/>
        </w:rPr>
        <w:t>UN-Habitat</w:t>
      </w:r>
      <w:r w:rsidR="00EA195C" w:rsidRPr="00CA6E40">
        <w:rPr>
          <w:lang w:val="en-US"/>
        </w:rPr>
        <w:t xml:space="preserve"> (</w:t>
      </w:r>
      <w:r w:rsidR="0042164B" w:rsidRPr="00CA6E40">
        <w:rPr>
          <w:lang w:val="en-US"/>
        </w:rPr>
        <w:t>C</w:t>
      </w:r>
      <w:r w:rsidR="00EA195C" w:rsidRPr="00CA6E40">
        <w:rPr>
          <w:lang w:val="en-US"/>
        </w:rPr>
        <w:t>ustodian agency)</w:t>
      </w:r>
      <w:r w:rsidR="0042164B" w:rsidRPr="00CA6E40">
        <w:rPr>
          <w:lang w:val="en-US"/>
        </w:rPr>
        <w:t>. OECD supporting agency</w:t>
      </w:r>
      <w:r w:rsidR="00EA195C" w:rsidRPr="00CA6E40">
        <w:rPr>
          <w:lang w:val="en-US"/>
        </w:rPr>
        <w:t>.</w:t>
      </w:r>
    </w:p>
    <w:p w14:paraId="19F29921" w14:textId="77777777" w:rsidR="008D1D39" w:rsidRPr="00CA6E40" w:rsidRDefault="008D1D39" w:rsidP="00573631">
      <w:pPr>
        <w:shd w:val="clear" w:color="auto" w:fill="FFFFFF"/>
        <w:spacing w:after="0"/>
        <w:rPr>
          <w:rFonts w:eastAsia="Times New Roman" w:cs="Times New Roman"/>
          <w:color w:val="4A4A4A"/>
          <w:sz w:val="21"/>
          <w:szCs w:val="21"/>
          <w:lang w:val="en-US" w:eastAsia="en-GB"/>
        </w:rPr>
      </w:pPr>
    </w:p>
    <w:p w14:paraId="12E0D73A" w14:textId="48126E58" w:rsidR="00B31E2C" w:rsidRPr="00797876"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797876">
        <w:rPr>
          <w:lang w:val="fr-FR"/>
        </w:rPr>
        <w:t xml:space="preserve">1. Data reporter </w:t>
      </w:r>
      <w:bookmarkEnd w:id="0"/>
      <w:bookmarkEnd w:id="1"/>
      <w:bookmarkEnd w:id="2"/>
      <w:bookmarkEnd w:id="3"/>
      <w:bookmarkEnd w:id="4"/>
      <w:r w:rsidRPr="008910E5">
        <w:rPr>
          <w:color w:val="B4B4B4"/>
          <w:sz w:val="20"/>
          <w:lang w:val="fr-FR"/>
        </w:rPr>
        <w:t>(CONTACT)</w:t>
      </w:r>
    </w:p>
    <w:p w14:paraId="0BD77982" w14:textId="72DFE854" w:rsidR="00576CFA" w:rsidRPr="00797876" w:rsidRDefault="00576CFA" w:rsidP="00F719A8">
      <w:pPr>
        <w:pStyle w:val="MHeader2"/>
        <w:rPr>
          <w:lang w:val="fr-FR"/>
        </w:rPr>
      </w:pPr>
      <w:r w:rsidRPr="00797876">
        <w:rPr>
          <w:lang w:val="fr-FR"/>
        </w:rPr>
        <w:t xml:space="preserve">1.a. Organisation </w:t>
      </w:r>
      <w:r w:rsidRPr="008910E5">
        <w:rPr>
          <w:color w:val="B4B4B4"/>
          <w:sz w:val="20"/>
          <w:lang w:val="fr-FR"/>
        </w:rPr>
        <w:t>(CONTACT_ORGANISATION)</w:t>
      </w:r>
    </w:p>
    <w:p w14:paraId="7E090119"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val="fr-FR" w:eastAsia="en-GB"/>
        </w:rPr>
      </w:pPr>
      <w:r w:rsidRPr="00D339E2">
        <w:rPr>
          <w:rFonts w:ascii="Calibri" w:eastAsia="Times New Roman" w:hAnsi="Calibri" w:cs="Times New Roman"/>
          <w:color w:val="4A4A4A"/>
          <w:sz w:val="21"/>
          <w:szCs w:val="21"/>
          <w:lang w:val="fr-FR" w:eastAsia="en-GB"/>
        </w:rPr>
        <w:t>UN-Habitat</w:t>
      </w:r>
    </w:p>
    <w:p w14:paraId="6E829FD0" w14:textId="2439F30A" w:rsidR="00F719A8" w:rsidRPr="00797876" w:rsidRDefault="00F719A8" w:rsidP="00576CFA">
      <w:pPr>
        <w:pStyle w:val="MText"/>
        <w:rPr>
          <w:lang w:val="fr-FR"/>
        </w:rPr>
      </w:pPr>
    </w:p>
    <w:p w14:paraId="14915AC8" w14:textId="7D506133" w:rsidR="00B31E2C" w:rsidRPr="00CA6E40" w:rsidRDefault="00B31E2C" w:rsidP="008B0AC7">
      <w:pPr>
        <w:pStyle w:val="MHeader"/>
        <w:rPr>
          <w:lang w:val="en-US"/>
        </w:rPr>
      </w:pPr>
      <w:r w:rsidRPr="00CA6E40">
        <w:rPr>
          <w:lang w:val="en-US"/>
        </w:rPr>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EF92092"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Definition:</w:t>
      </w:r>
    </w:p>
    <w:p w14:paraId="4504D2E0" w14:textId="02C2BDC4" w:rsidR="00742DFB" w:rsidRPr="009C0A11" w:rsidRDefault="006060D8" w:rsidP="002501D2">
      <w:pPr>
        <w:shd w:val="clear" w:color="auto" w:fill="FFFFFF"/>
        <w:spacing w:after="0"/>
        <w:jc w:val="both"/>
        <w:rPr>
          <w:rFonts w:ascii="Calibri" w:eastAsia="Times New Roman" w:hAnsi="Calibri"/>
          <w:color w:val="4A4A4A"/>
          <w:sz w:val="21"/>
          <w:szCs w:val="21"/>
          <w:lang w:eastAsia="en-GB"/>
        </w:rPr>
      </w:pPr>
      <w:r w:rsidRPr="009C0A11">
        <w:rPr>
          <w:rFonts w:ascii="Calibri" w:eastAsia="Times New Roman" w:hAnsi="Calibri" w:cs="Times New Roman"/>
          <w:color w:val="4A4A4A"/>
          <w:sz w:val="21"/>
          <w:szCs w:val="21"/>
          <w:lang w:eastAsia="en-GB"/>
        </w:rPr>
        <w:t>Official development assistance (ODA) is defined as government aid that promotes and specifically targets the economic development and welfare of developing countries (</w:t>
      </w:r>
      <w:hyperlink r:id="rId11" w:tgtFrame="_blank" w:history="1">
        <w:r w:rsidRPr="009C0A11">
          <w:rPr>
            <w:rStyle w:val="Hyperlink"/>
            <w:rFonts w:ascii="Calibri" w:eastAsia="Times New Roman" w:hAnsi="Calibri" w:cs="Times New Roman"/>
            <w:sz w:val="21"/>
            <w:szCs w:val="21"/>
            <w:lang w:eastAsia="en-GB"/>
          </w:rPr>
          <w:t>OECD</w:t>
        </w:r>
      </w:hyperlink>
      <w:r w:rsidRPr="009C0A11">
        <w:rPr>
          <w:rFonts w:ascii="Calibri" w:eastAsia="Times New Roman" w:hAnsi="Calibri" w:cs="Times New Roman"/>
          <w:color w:val="4A4A4A"/>
          <w:sz w:val="21"/>
          <w:szCs w:val="21"/>
          <w:lang w:eastAsia="en-GB"/>
        </w:rPr>
        <w:t xml:space="preserve">). It refers to material resources </w:t>
      </w:r>
      <w:r w:rsidR="008D3D85" w:rsidRPr="009C0A11">
        <w:rPr>
          <w:rFonts w:ascii="Calibri" w:eastAsia="Times New Roman" w:hAnsi="Calibri" w:cs="Times New Roman"/>
          <w:color w:val="4A4A4A"/>
          <w:sz w:val="21"/>
          <w:szCs w:val="21"/>
          <w:lang w:eastAsia="en-GB"/>
        </w:rPr>
        <w:t xml:space="preserve">provided </w:t>
      </w:r>
      <w:r w:rsidRPr="009C0A11">
        <w:rPr>
          <w:rFonts w:ascii="Calibri" w:eastAsia="Times New Roman" w:hAnsi="Calibri" w:cs="Times New Roman"/>
          <w:color w:val="4A4A4A"/>
          <w:sz w:val="21"/>
          <w:szCs w:val="21"/>
          <w:lang w:eastAsia="en-GB"/>
        </w:rPr>
        <w:t xml:space="preserve">by the governments of </w:t>
      </w:r>
      <w:r w:rsidR="008D3D85" w:rsidRPr="009C0A11">
        <w:rPr>
          <w:rFonts w:ascii="Calibri" w:eastAsia="Times New Roman" w:hAnsi="Calibri" w:cs="Times New Roman"/>
          <w:color w:val="4A4A4A"/>
          <w:sz w:val="21"/>
          <w:szCs w:val="21"/>
          <w:lang w:eastAsia="en-GB"/>
        </w:rPr>
        <w:t xml:space="preserve">wealthier </w:t>
      </w:r>
      <w:r w:rsidRPr="009C0A11">
        <w:rPr>
          <w:rFonts w:ascii="Calibri" w:eastAsia="Times New Roman" w:hAnsi="Calibri" w:cs="Times New Roman"/>
          <w:color w:val="4A4A4A"/>
          <w:sz w:val="21"/>
          <w:szCs w:val="21"/>
          <w:lang w:eastAsia="en-GB"/>
        </w:rPr>
        <w:t xml:space="preserve">countries to </w:t>
      </w:r>
      <w:r w:rsidR="008D3D85" w:rsidRPr="009C0A11">
        <w:rPr>
          <w:rFonts w:ascii="Calibri" w:eastAsia="Times New Roman" w:hAnsi="Calibri" w:cs="Times New Roman"/>
          <w:color w:val="4A4A4A"/>
          <w:sz w:val="21"/>
          <w:szCs w:val="21"/>
          <w:lang w:eastAsia="en-GB"/>
        </w:rPr>
        <w:t xml:space="preserve">support </w:t>
      </w:r>
      <w:r w:rsidRPr="009C0A11">
        <w:rPr>
          <w:rFonts w:ascii="Calibri" w:eastAsia="Times New Roman" w:hAnsi="Calibri" w:cs="Times New Roman"/>
          <w:color w:val="4A4A4A"/>
          <w:sz w:val="21"/>
          <w:szCs w:val="21"/>
          <w:lang w:eastAsia="en-GB"/>
        </w:rPr>
        <w:t>the economic development of poorer countries and the welfare of their people</w:t>
      </w:r>
      <w:r w:rsidR="00301552" w:rsidRPr="009C0A11">
        <w:rPr>
          <w:rFonts w:ascii="Calibri" w:eastAsia="Times New Roman" w:hAnsi="Calibri" w:cs="Times New Roman"/>
          <w:color w:val="4A4A4A"/>
          <w:sz w:val="21"/>
          <w:szCs w:val="21"/>
          <w:lang w:eastAsia="en-GB"/>
        </w:rPr>
        <w:t xml:space="preserve">. </w:t>
      </w:r>
      <w:r w:rsidR="008D3D85" w:rsidRPr="009C0A11">
        <w:rPr>
          <w:rFonts w:ascii="Calibri" w:eastAsia="Times New Roman" w:hAnsi="Calibri"/>
          <w:color w:val="4A4A4A"/>
          <w:sz w:val="21"/>
          <w:szCs w:val="21"/>
          <w:lang w:eastAsia="en-GB"/>
        </w:rPr>
        <w:t>ODA</w:t>
      </w:r>
      <w:r w:rsidR="00AC7927" w:rsidRPr="009C0A11">
        <w:rPr>
          <w:rFonts w:ascii="Calibri" w:eastAsia="Times New Roman" w:hAnsi="Calibri"/>
          <w:color w:val="4A4A4A"/>
          <w:sz w:val="21"/>
          <w:szCs w:val="21"/>
          <w:lang w:eastAsia="en-GB"/>
        </w:rPr>
        <w:t xml:space="preserve"> can take various forms, including grants, loans, and technical assistance, and is typically aim</w:t>
      </w:r>
      <w:r w:rsidR="00742DFB" w:rsidRPr="009C0A11">
        <w:rPr>
          <w:rFonts w:ascii="Calibri" w:eastAsia="Times New Roman" w:hAnsi="Calibri"/>
          <w:color w:val="4A4A4A"/>
          <w:sz w:val="21"/>
          <w:szCs w:val="21"/>
          <w:lang w:eastAsia="en-GB"/>
        </w:rPr>
        <w:t>ed at</w:t>
      </w:r>
      <w:r w:rsidR="00AC7927" w:rsidRPr="009C0A11">
        <w:rPr>
          <w:rFonts w:ascii="Calibri" w:eastAsia="Times New Roman" w:hAnsi="Calibri"/>
          <w:color w:val="4A4A4A"/>
          <w:sz w:val="21"/>
          <w:szCs w:val="21"/>
          <w:lang w:eastAsia="en-GB"/>
        </w:rPr>
        <w:t xml:space="preserve"> reducing poverty, improving health and education outcomes, and fostering </w:t>
      </w:r>
      <w:r w:rsidR="00742DFB" w:rsidRPr="009C0A11">
        <w:rPr>
          <w:rFonts w:ascii="Calibri" w:eastAsia="Times New Roman" w:hAnsi="Calibri"/>
          <w:color w:val="4A4A4A"/>
          <w:sz w:val="21"/>
          <w:szCs w:val="21"/>
          <w:lang w:eastAsia="en-GB"/>
        </w:rPr>
        <w:t xml:space="preserve">sustainable </w:t>
      </w:r>
      <w:r w:rsidR="00AC7927" w:rsidRPr="009C0A11">
        <w:rPr>
          <w:rFonts w:ascii="Calibri" w:eastAsia="Times New Roman" w:hAnsi="Calibri"/>
          <w:color w:val="4A4A4A"/>
          <w:sz w:val="21"/>
          <w:szCs w:val="21"/>
          <w:lang w:eastAsia="en-GB"/>
        </w:rPr>
        <w:t xml:space="preserve">economic </w:t>
      </w:r>
      <w:r w:rsidR="00742DFB" w:rsidRPr="009C0A11">
        <w:rPr>
          <w:rFonts w:ascii="Calibri" w:eastAsia="Times New Roman" w:hAnsi="Calibri"/>
          <w:color w:val="4A4A4A"/>
          <w:sz w:val="21"/>
          <w:szCs w:val="21"/>
          <w:lang w:eastAsia="en-GB"/>
        </w:rPr>
        <w:t>development</w:t>
      </w:r>
      <w:r w:rsidR="00AC7927" w:rsidRPr="009C0A11">
        <w:rPr>
          <w:rFonts w:ascii="Calibri" w:eastAsia="Times New Roman" w:hAnsi="Calibri"/>
          <w:color w:val="4A4A4A"/>
          <w:sz w:val="21"/>
          <w:szCs w:val="21"/>
          <w:lang w:eastAsia="en-GB"/>
        </w:rPr>
        <w:t>.</w:t>
      </w:r>
      <w:r w:rsidR="004C2CC7" w:rsidRPr="009C0A11">
        <w:rPr>
          <w:rFonts w:ascii="Calibri" w:eastAsia="Times New Roman" w:hAnsi="Calibri"/>
          <w:color w:val="4A4A4A"/>
          <w:sz w:val="21"/>
          <w:szCs w:val="21"/>
          <w:lang w:eastAsia="en-GB"/>
        </w:rPr>
        <w:t xml:space="preserve"> </w:t>
      </w:r>
    </w:p>
    <w:p w14:paraId="26C61C4D" w14:textId="2F82F9FB" w:rsidR="004C2C3F" w:rsidRPr="009C0A11" w:rsidRDefault="004C2CC7" w:rsidP="002501D2">
      <w:pPr>
        <w:shd w:val="clear" w:color="auto" w:fill="FFFFFF"/>
        <w:spacing w:after="0"/>
        <w:jc w:val="both"/>
        <w:rPr>
          <w:rFonts w:ascii="Calibri" w:eastAsia="Times New Roman" w:hAnsi="Calibri"/>
          <w:color w:val="4A4A4A"/>
          <w:sz w:val="21"/>
          <w:szCs w:val="21"/>
          <w:lang w:eastAsia="en-GB"/>
        </w:rPr>
      </w:pPr>
      <w:r w:rsidRPr="009C0A11">
        <w:rPr>
          <w:rFonts w:ascii="Calibri" w:eastAsia="Times New Roman" w:hAnsi="Calibri"/>
          <w:color w:val="4A4A4A"/>
          <w:sz w:val="21"/>
          <w:szCs w:val="21"/>
          <w:lang w:eastAsia="en-GB"/>
        </w:rPr>
        <w:lastRenderedPageBreak/>
        <w:t>The definition of ODA has evolved over time, reflecting changes in the global development landscape and the priorities of donor countries. Initially, it was based on the principle of "principal developmental motivation" and a degree of concessionality</w:t>
      </w:r>
      <w:r w:rsidR="00742DFB" w:rsidRPr="009C0A11">
        <w:rPr>
          <w:rFonts w:ascii="Calibri" w:eastAsia="Times New Roman" w:hAnsi="Calibri"/>
          <w:color w:val="4A4A4A"/>
          <w:sz w:val="21"/>
          <w:szCs w:val="21"/>
          <w:lang w:eastAsia="en-GB"/>
        </w:rPr>
        <w:t xml:space="preserve">. </w:t>
      </w:r>
      <w:r w:rsidRPr="009C0A11">
        <w:rPr>
          <w:rFonts w:ascii="Calibri" w:eastAsia="Times New Roman" w:hAnsi="Calibri"/>
          <w:color w:val="4A4A4A"/>
          <w:sz w:val="21"/>
          <w:szCs w:val="21"/>
          <w:lang w:eastAsia="en-GB"/>
        </w:rPr>
        <w:t xml:space="preserve"> </w:t>
      </w:r>
      <w:r w:rsidR="00742DFB" w:rsidRPr="009C0A11">
        <w:rPr>
          <w:rFonts w:ascii="Calibri" w:eastAsia="Times New Roman" w:hAnsi="Calibri"/>
          <w:color w:val="4A4A4A"/>
          <w:sz w:val="21"/>
          <w:szCs w:val="21"/>
          <w:lang w:eastAsia="en-GB"/>
        </w:rPr>
        <w:t xml:space="preserve">However, </w:t>
      </w:r>
      <w:r w:rsidRPr="009C0A11">
        <w:rPr>
          <w:rFonts w:ascii="Calibri" w:eastAsia="Times New Roman" w:hAnsi="Calibri"/>
          <w:color w:val="4A4A4A"/>
          <w:sz w:val="21"/>
          <w:szCs w:val="21"/>
          <w:lang w:eastAsia="en-GB"/>
        </w:rPr>
        <w:t xml:space="preserve">it has since expanded to include a </w:t>
      </w:r>
      <w:r w:rsidR="00742DFB" w:rsidRPr="009C0A11">
        <w:rPr>
          <w:rFonts w:ascii="Calibri" w:eastAsia="Times New Roman" w:hAnsi="Calibri"/>
          <w:color w:val="4A4A4A"/>
          <w:sz w:val="21"/>
          <w:szCs w:val="21"/>
          <w:lang w:eastAsia="en-GB"/>
        </w:rPr>
        <w:t xml:space="preserve">broader </w:t>
      </w:r>
      <w:r w:rsidRPr="009C0A11">
        <w:rPr>
          <w:rFonts w:ascii="Calibri" w:eastAsia="Times New Roman" w:hAnsi="Calibri"/>
          <w:color w:val="4A4A4A"/>
          <w:sz w:val="21"/>
          <w:szCs w:val="21"/>
          <w:lang w:eastAsia="en-GB"/>
        </w:rPr>
        <w:t xml:space="preserve">range of activities and modalities. Today, ODA </w:t>
      </w:r>
      <w:r w:rsidR="00742DFB" w:rsidRPr="009C0A11">
        <w:rPr>
          <w:rFonts w:ascii="Calibri" w:eastAsia="Times New Roman" w:hAnsi="Calibri"/>
          <w:color w:val="4A4A4A"/>
          <w:sz w:val="21"/>
          <w:szCs w:val="21"/>
          <w:lang w:eastAsia="en-GB"/>
        </w:rPr>
        <w:t xml:space="preserve">remains </w:t>
      </w:r>
      <w:r w:rsidRPr="009C0A11">
        <w:rPr>
          <w:rFonts w:ascii="Calibri" w:eastAsia="Times New Roman" w:hAnsi="Calibri"/>
          <w:color w:val="4A4A4A"/>
          <w:sz w:val="21"/>
          <w:szCs w:val="21"/>
          <w:lang w:eastAsia="en-GB"/>
        </w:rPr>
        <w:t xml:space="preserve">a key </w:t>
      </w:r>
      <w:r w:rsidR="00742DFB" w:rsidRPr="009C0A11">
        <w:rPr>
          <w:rFonts w:ascii="Calibri" w:eastAsia="Times New Roman" w:hAnsi="Calibri"/>
          <w:color w:val="4A4A4A"/>
          <w:sz w:val="21"/>
          <w:szCs w:val="21"/>
          <w:lang w:eastAsia="en-GB"/>
        </w:rPr>
        <w:t xml:space="preserve">pillar </w:t>
      </w:r>
      <w:r w:rsidRPr="009C0A11">
        <w:rPr>
          <w:rFonts w:ascii="Calibri" w:eastAsia="Times New Roman" w:hAnsi="Calibri"/>
          <w:color w:val="4A4A4A"/>
          <w:sz w:val="21"/>
          <w:szCs w:val="21"/>
          <w:lang w:eastAsia="en-GB"/>
        </w:rPr>
        <w:t xml:space="preserve">of international development efforts, with donor countries and multilateral organizations providing billions of </w:t>
      </w:r>
      <w:r w:rsidR="00EA4C7A" w:rsidRPr="009C0A11">
        <w:rPr>
          <w:rFonts w:ascii="Calibri" w:eastAsia="Times New Roman" w:hAnsi="Calibri"/>
          <w:color w:val="4A4A4A"/>
          <w:sz w:val="21"/>
          <w:szCs w:val="21"/>
          <w:lang w:eastAsia="en-GB"/>
        </w:rPr>
        <w:t xml:space="preserve">US </w:t>
      </w:r>
      <w:r w:rsidRPr="009C0A11">
        <w:rPr>
          <w:rFonts w:ascii="Calibri" w:eastAsia="Times New Roman" w:hAnsi="Calibri"/>
          <w:color w:val="4A4A4A"/>
          <w:sz w:val="21"/>
          <w:szCs w:val="21"/>
          <w:lang w:eastAsia="en-GB"/>
        </w:rPr>
        <w:t>dollars</w:t>
      </w:r>
      <w:r w:rsidR="004C2C3F" w:rsidRPr="009C0A11">
        <w:rPr>
          <w:rFonts w:ascii="Calibri" w:eastAsia="Times New Roman" w:hAnsi="Calibri"/>
          <w:color w:val="4A4A4A"/>
          <w:sz w:val="21"/>
          <w:szCs w:val="21"/>
          <w:lang w:eastAsia="en-GB"/>
        </w:rPr>
        <w:t xml:space="preserve"> annually</w:t>
      </w:r>
      <w:r w:rsidRPr="009C0A11">
        <w:rPr>
          <w:rFonts w:ascii="Calibri" w:eastAsia="Times New Roman" w:hAnsi="Calibri"/>
          <w:color w:val="4A4A4A"/>
          <w:sz w:val="21"/>
          <w:szCs w:val="21"/>
          <w:lang w:eastAsia="en-GB"/>
        </w:rPr>
        <w:t xml:space="preserve"> in assistance.</w:t>
      </w:r>
      <w:r w:rsidR="00EA4C7A" w:rsidRPr="009C0A11">
        <w:rPr>
          <w:rFonts w:ascii="Calibri" w:eastAsia="Times New Roman" w:hAnsi="Calibri"/>
          <w:color w:val="4A4A4A"/>
          <w:sz w:val="21"/>
          <w:szCs w:val="21"/>
          <w:lang w:eastAsia="en-GB"/>
        </w:rPr>
        <w:t xml:space="preserve"> </w:t>
      </w:r>
    </w:p>
    <w:p w14:paraId="42A212E0" w14:textId="75DDB136" w:rsidR="008A0864" w:rsidRPr="009C0A11" w:rsidRDefault="00EA4C7A" w:rsidP="009A7363">
      <w:pPr>
        <w:shd w:val="clear" w:color="auto" w:fill="FFFFFF"/>
        <w:spacing w:after="0"/>
        <w:jc w:val="both"/>
        <w:rPr>
          <w:rFonts w:ascii="Calibri" w:eastAsia="Times New Roman" w:hAnsi="Calibri"/>
          <w:color w:val="4A4A4A"/>
          <w:sz w:val="21"/>
          <w:szCs w:val="21"/>
          <w:lang w:eastAsia="en-GB"/>
        </w:rPr>
      </w:pPr>
      <w:r w:rsidRPr="009C0A11">
        <w:rPr>
          <w:rFonts w:ascii="Calibri" w:eastAsia="Times New Roman" w:hAnsi="Calibri"/>
          <w:color w:val="4A4A4A"/>
          <w:sz w:val="21"/>
          <w:szCs w:val="21"/>
          <w:lang w:eastAsia="en-GB"/>
        </w:rPr>
        <w:t>.</w:t>
      </w:r>
      <w:r w:rsidR="004C2C3F" w:rsidRPr="009C0A11">
        <w:rPr>
          <w:rFonts w:ascii="Calibri" w:eastAsia="Times New Roman" w:hAnsi="Calibri"/>
          <w:color w:val="4A4A4A"/>
          <w:sz w:val="21"/>
          <w:szCs w:val="21"/>
          <w:lang w:eastAsia="en-GB"/>
        </w:rPr>
        <w:t xml:space="preserve"> E</w:t>
      </w:r>
      <w:r w:rsidR="004C2CC7" w:rsidRPr="009C0A11">
        <w:rPr>
          <w:rFonts w:ascii="Calibri" w:eastAsia="Times New Roman" w:hAnsi="Calibri"/>
          <w:color w:val="4A4A4A"/>
          <w:sz w:val="21"/>
          <w:szCs w:val="21"/>
          <w:lang w:eastAsia="en-GB"/>
        </w:rPr>
        <w:t>valuating the effectiveness of ODA</w:t>
      </w:r>
      <w:r w:rsidR="004C2C3F" w:rsidRPr="009C0A11">
        <w:rPr>
          <w:rFonts w:ascii="Calibri" w:eastAsia="Times New Roman" w:hAnsi="Calibri"/>
          <w:color w:val="4A4A4A"/>
          <w:sz w:val="21"/>
          <w:szCs w:val="21"/>
          <w:lang w:eastAsia="en-GB"/>
        </w:rPr>
        <w:t>-funded</w:t>
      </w:r>
      <w:r w:rsidR="004C2CC7" w:rsidRPr="009C0A11">
        <w:rPr>
          <w:rFonts w:ascii="Calibri" w:eastAsia="Times New Roman" w:hAnsi="Calibri"/>
          <w:color w:val="4A4A4A"/>
          <w:sz w:val="21"/>
          <w:szCs w:val="21"/>
          <w:lang w:eastAsia="en-GB"/>
        </w:rPr>
        <w:t xml:space="preserve"> projects and programs is critical to ensuring that the resources </w:t>
      </w:r>
      <w:r w:rsidR="00CD24E2" w:rsidRPr="009C0A11">
        <w:rPr>
          <w:rFonts w:ascii="Calibri" w:eastAsia="Times New Roman" w:hAnsi="Calibri"/>
          <w:color w:val="4A4A4A"/>
          <w:sz w:val="21"/>
          <w:szCs w:val="21"/>
          <w:lang w:eastAsia="en-GB"/>
        </w:rPr>
        <w:t>are used</w:t>
      </w:r>
      <w:r w:rsidR="004C2CC7" w:rsidRPr="009C0A11">
        <w:rPr>
          <w:rFonts w:ascii="Calibri" w:eastAsia="Times New Roman" w:hAnsi="Calibri"/>
          <w:color w:val="4A4A4A"/>
          <w:sz w:val="21"/>
          <w:szCs w:val="21"/>
          <w:lang w:eastAsia="en-GB"/>
        </w:rPr>
        <w:t xml:space="preserve"> effectively and efficiently to achieve </w:t>
      </w:r>
      <w:r w:rsidR="004C2C3F" w:rsidRPr="009C0A11">
        <w:rPr>
          <w:rFonts w:ascii="Calibri" w:eastAsia="Times New Roman" w:hAnsi="Calibri"/>
          <w:color w:val="4A4A4A"/>
          <w:sz w:val="21"/>
          <w:szCs w:val="21"/>
          <w:lang w:eastAsia="en-GB"/>
        </w:rPr>
        <w:t xml:space="preserve">their intended </w:t>
      </w:r>
      <w:r w:rsidR="004C2CC7" w:rsidRPr="009C0A11">
        <w:rPr>
          <w:rFonts w:ascii="Calibri" w:eastAsia="Times New Roman" w:hAnsi="Calibri"/>
          <w:color w:val="4A4A4A"/>
          <w:sz w:val="21"/>
          <w:szCs w:val="21"/>
          <w:lang w:eastAsia="en-GB"/>
        </w:rPr>
        <w:t>development outcomes</w:t>
      </w:r>
      <w:r w:rsidR="00A1202F" w:rsidRPr="009C0A11">
        <w:rPr>
          <w:rFonts w:ascii="Calibri" w:eastAsia="Times New Roman" w:hAnsi="Calibri"/>
          <w:color w:val="4A4A4A"/>
          <w:sz w:val="21"/>
          <w:szCs w:val="21"/>
          <w:lang w:eastAsia="en-GB"/>
        </w:rPr>
        <w:t>.</w:t>
      </w:r>
      <w:r w:rsidR="00312909" w:rsidRPr="009C0A11">
        <w:rPr>
          <w:rFonts w:ascii="Calibri" w:eastAsia="Times New Roman" w:hAnsi="Calibri"/>
          <w:color w:val="4A4A4A"/>
          <w:sz w:val="21"/>
          <w:szCs w:val="21"/>
          <w:lang w:eastAsia="en-GB"/>
        </w:rPr>
        <w:t xml:space="preserve"> </w:t>
      </w:r>
    </w:p>
    <w:p w14:paraId="448BB8CC" w14:textId="1078C83D" w:rsidR="004C2C3F" w:rsidRPr="009C0A11" w:rsidRDefault="008A0864" w:rsidP="007E2FB8">
      <w:pPr>
        <w:shd w:val="clear" w:color="auto" w:fill="FFFFFF"/>
        <w:spacing w:after="0"/>
        <w:jc w:val="both"/>
        <w:rPr>
          <w:rFonts w:ascii="Calibri" w:eastAsia="Times New Roman" w:hAnsi="Calibri"/>
          <w:color w:val="4A4A4A"/>
          <w:sz w:val="21"/>
          <w:szCs w:val="21"/>
          <w:lang w:eastAsia="en-GB"/>
        </w:rPr>
      </w:pPr>
      <w:r w:rsidRPr="009C0A11">
        <w:rPr>
          <w:rFonts w:ascii="Calibri" w:eastAsia="Times New Roman" w:hAnsi="Calibri"/>
          <w:color w:val="4A4A4A"/>
          <w:sz w:val="21"/>
          <w:szCs w:val="21"/>
          <w:lang w:eastAsia="en-GB"/>
        </w:rPr>
        <w:t>As urbaniz</w:t>
      </w:r>
      <w:r w:rsidR="004C2C3F" w:rsidRPr="009C0A11">
        <w:rPr>
          <w:rFonts w:ascii="Calibri" w:eastAsia="Times New Roman" w:hAnsi="Calibri"/>
          <w:color w:val="4A4A4A"/>
          <w:sz w:val="21"/>
          <w:szCs w:val="21"/>
          <w:lang w:eastAsia="en-GB"/>
        </w:rPr>
        <w:t>ation accelerates globally</w:t>
      </w:r>
      <w:r w:rsidRPr="009C0A11">
        <w:rPr>
          <w:rFonts w:ascii="Calibri" w:eastAsia="Times New Roman" w:hAnsi="Calibri"/>
          <w:color w:val="4A4A4A"/>
          <w:sz w:val="21"/>
          <w:szCs w:val="21"/>
          <w:lang w:eastAsia="en-GB"/>
        </w:rPr>
        <w:t xml:space="preserve">, ODA </w:t>
      </w:r>
      <w:r w:rsidR="00CD24E2" w:rsidRPr="009C0A11">
        <w:rPr>
          <w:rFonts w:ascii="Calibri" w:eastAsia="Times New Roman" w:hAnsi="Calibri"/>
          <w:color w:val="4A4A4A"/>
          <w:sz w:val="21"/>
          <w:szCs w:val="21"/>
          <w:lang w:eastAsia="en-GB"/>
        </w:rPr>
        <w:t>has increasingly</w:t>
      </w:r>
      <w:r w:rsidR="004C2C3F" w:rsidRPr="009C0A11">
        <w:rPr>
          <w:rFonts w:ascii="Calibri" w:eastAsia="Times New Roman" w:hAnsi="Calibri"/>
          <w:color w:val="4A4A4A"/>
          <w:sz w:val="21"/>
          <w:szCs w:val="21"/>
          <w:lang w:eastAsia="en-GB"/>
        </w:rPr>
        <w:t xml:space="preserve"> </w:t>
      </w:r>
      <w:r w:rsidRPr="009C0A11">
        <w:rPr>
          <w:rFonts w:ascii="Calibri" w:eastAsia="Times New Roman" w:hAnsi="Calibri"/>
          <w:color w:val="4A4A4A"/>
          <w:sz w:val="21"/>
          <w:szCs w:val="21"/>
          <w:lang w:eastAsia="en-GB"/>
        </w:rPr>
        <w:t>been leveraged to support sustainable urban development initiatives. This include</w:t>
      </w:r>
      <w:r w:rsidR="006D6D48" w:rsidRPr="009C0A11">
        <w:rPr>
          <w:rFonts w:ascii="Calibri" w:eastAsia="Times New Roman" w:hAnsi="Calibri"/>
          <w:color w:val="4A4A4A"/>
          <w:sz w:val="21"/>
          <w:szCs w:val="21"/>
          <w:lang w:eastAsia="en-GB"/>
        </w:rPr>
        <w:t>s</w:t>
      </w:r>
      <w:r w:rsidRPr="009C0A11">
        <w:rPr>
          <w:rFonts w:ascii="Calibri" w:eastAsia="Times New Roman" w:hAnsi="Calibri"/>
          <w:color w:val="4A4A4A"/>
          <w:sz w:val="21"/>
          <w:szCs w:val="21"/>
          <w:lang w:eastAsia="en-GB"/>
        </w:rPr>
        <w:t xml:space="preserve"> investments in renewable energy, green infrastructure,</w:t>
      </w:r>
      <w:r w:rsidR="006D6D48" w:rsidRPr="009C0A11">
        <w:rPr>
          <w:rFonts w:ascii="Calibri" w:eastAsia="Times New Roman" w:hAnsi="Calibri"/>
          <w:color w:val="4A4A4A"/>
          <w:sz w:val="21"/>
          <w:szCs w:val="21"/>
          <w:lang w:eastAsia="en-GB"/>
        </w:rPr>
        <w:t xml:space="preserve"> housing</w:t>
      </w:r>
      <w:r w:rsidRPr="009C0A11">
        <w:rPr>
          <w:rFonts w:ascii="Calibri" w:eastAsia="Times New Roman" w:hAnsi="Calibri"/>
          <w:color w:val="4A4A4A"/>
          <w:sz w:val="21"/>
          <w:szCs w:val="21"/>
          <w:lang w:eastAsia="en-GB"/>
        </w:rPr>
        <w:t xml:space="preserve"> and climate change adaptation measures. By </w:t>
      </w:r>
      <w:r w:rsidR="004C2C3F" w:rsidRPr="009C0A11">
        <w:rPr>
          <w:rFonts w:ascii="Calibri" w:eastAsia="Times New Roman" w:hAnsi="Calibri"/>
          <w:color w:val="4A4A4A"/>
          <w:sz w:val="21"/>
          <w:szCs w:val="21"/>
          <w:lang w:eastAsia="en-GB"/>
        </w:rPr>
        <w:t>fostering</w:t>
      </w:r>
      <w:r w:rsidRPr="009C0A11">
        <w:rPr>
          <w:rFonts w:ascii="Calibri" w:eastAsia="Times New Roman" w:hAnsi="Calibri"/>
          <w:color w:val="4A4A4A"/>
          <w:sz w:val="21"/>
          <w:szCs w:val="21"/>
          <w:lang w:eastAsia="en-GB"/>
        </w:rPr>
        <w:t xml:space="preserve"> more sustainable and resilient cities, ODA </w:t>
      </w:r>
      <w:r w:rsidR="004C2C3F" w:rsidRPr="009C0A11">
        <w:rPr>
          <w:rFonts w:ascii="Calibri" w:eastAsia="Times New Roman" w:hAnsi="Calibri"/>
          <w:color w:val="4A4A4A"/>
          <w:sz w:val="21"/>
          <w:szCs w:val="21"/>
          <w:lang w:eastAsia="en-GB"/>
        </w:rPr>
        <w:t>plays a vital role in</w:t>
      </w:r>
      <w:r w:rsidRPr="009C0A11">
        <w:rPr>
          <w:rFonts w:ascii="Calibri" w:eastAsia="Times New Roman" w:hAnsi="Calibri"/>
          <w:color w:val="4A4A4A"/>
          <w:sz w:val="21"/>
          <w:szCs w:val="21"/>
          <w:lang w:eastAsia="en-GB"/>
        </w:rPr>
        <w:t xml:space="preserve"> address</w:t>
      </w:r>
      <w:r w:rsidR="004C2C3F" w:rsidRPr="009C0A11">
        <w:rPr>
          <w:rFonts w:ascii="Calibri" w:eastAsia="Times New Roman" w:hAnsi="Calibri"/>
          <w:color w:val="4A4A4A"/>
          <w:sz w:val="21"/>
          <w:szCs w:val="21"/>
          <w:lang w:eastAsia="en-GB"/>
        </w:rPr>
        <w:t xml:space="preserve">ing </w:t>
      </w:r>
      <w:r w:rsidRPr="009C0A11">
        <w:rPr>
          <w:rFonts w:ascii="Calibri" w:eastAsia="Times New Roman" w:hAnsi="Calibri"/>
          <w:color w:val="4A4A4A"/>
          <w:sz w:val="21"/>
          <w:szCs w:val="21"/>
          <w:lang w:eastAsia="en-GB"/>
        </w:rPr>
        <w:t xml:space="preserve">pressing environmental and social challenges </w:t>
      </w:r>
      <w:r w:rsidR="00CD24E2" w:rsidRPr="009C0A11">
        <w:rPr>
          <w:rFonts w:ascii="Calibri" w:eastAsia="Times New Roman" w:hAnsi="Calibri"/>
          <w:color w:val="4A4A4A"/>
          <w:sz w:val="21"/>
          <w:szCs w:val="21"/>
          <w:lang w:eastAsia="en-GB"/>
        </w:rPr>
        <w:t>in developing</w:t>
      </w:r>
      <w:r w:rsidRPr="009C0A11">
        <w:rPr>
          <w:rFonts w:ascii="Calibri" w:eastAsia="Times New Roman" w:hAnsi="Calibri"/>
          <w:color w:val="4A4A4A"/>
          <w:sz w:val="21"/>
          <w:szCs w:val="21"/>
          <w:lang w:eastAsia="en-GB"/>
        </w:rPr>
        <w:t xml:space="preserve"> </w:t>
      </w:r>
      <w:r w:rsidR="00CD24E2" w:rsidRPr="009C0A11">
        <w:rPr>
          <w:rFonts w:ascii="Calibri" w:eastAsia="Times New Roman" w:hAnsi="Calibri"/>
          <w:color w:val="4A4A4A"/>
          <w:sz w:val="21"/>
          <w:szCs w:val="21"/>
          <w:lang w:eastAsia="en-GB"/>
        </w:rPr>
        <w:t>countries.</w:t>
      </w:r>
      <w:r w:rsidR="006D6D48" w:rsidRPr="009C0A11">
        <w:rPr>
          <w:rFonts w:ascii="Calibri" w:eastAsia="Times New Roman" w:hAnsi="Calibri"/>
          <w:color w:val="4A4A4A"/>
          <w:sz w:val="21"/>
          <w:szCs w:val="21"/>
          <w:lang w:eastAsia="en-GB"/>
        </w:rPr>
        <w:t xml:space="preserve"> </w:t>
      </w:r>
    </w:p>
    <w:p w14:paraId="3318EC2B" w14:textId="7B535B66" w:rsidR="00312909" w:rsidRPr="00312909" w:rsidRDefault="00312909" w:rsidP="007E2FB8">
      <w:pPr>
        <w:shd w:val="clear" w:color="auto" w:fill="FFFFFF"/>
        <w:spacing w:after="0"/>
        <w:jc w:val="both"/>
        <w:rPr>
          <w:rFonts w:ascii="Calibri" w:eastAsia="Times New Roman" w:hAnsi="Calibri"/>
          <w:color w:val="4A4A4A"/>
          <w:sz w:val="21"/>
          <w:szCs w:val="21"/>
          <w:lang w:eastAsia="en-GB"/>
        </w:rPr>
      </w:pPr>
      <w:r w:rsidRPr="009C0A11">
        <w:rPr>
          <w:rFonts w:ascii="Calibri" w:eastAsia="Times New Roman" w:hAnsi="Calibri"/>
          <w:color w:val="4A4A4A"/>
          <w:sz w:val="21"/>
          <w:szCs w:val="21"/>
          <w:lang w:eastAsia="en-GB"/>
        </w:rPr>
        <w:t>One</w:t>
      </w:r>
      <w:r w:rsidR="004E407A" w:rsidRPr="009C0A11">
        <w:rPr>
          <w:rFonts w:ascii="Calibri" w:eastAsia="Times New Roman" w:hAnsi="Calibri"/>
          <w:color w:val="4A4A4A"/>
          <w:sz w:val="21"/>
          <w:szCs w:val="21"/>
          <w:lang w:eastAsia="en-GB"/>
        </w:rPr>
        <w:t xml:space="preserve"> key</w:t>
      </w:r>
      <w:r w:rsidRPr="009C0A11">
        <w:rPr>
          <w:rFonts w:ascii="Calibri" w:eastAsia="Times New Roman" w:hAnsi="Calibri"/>
          <w:color w:val="4A4A4A"/>
          <w:sz w:val="21"/>
          <w:szCs w:val="21"/>
          <w:lang w:eastAsia="en-GB"/>
        </w:rPr>
        <w:t xml:space="preserve"> area where ODA has been particularly </w:t>
      </w:r>
      <w:r w:rsidR="004C2C3F" w:rsidRPr="009C0A11">
        <w:rPr>
          <w:rFonts w:ascii="Calibri" w:eastAsia="Times New Roman" w:hAnsi="Calibri"/>
          <w:color w:val="4A4A4A"/>
          <w:sz w:val="21"/>
          <w:szCs w:val="21"/>
          <w:lang w:eastAsia="en-GB"/>
        </w:rPr>
        <w:t xml:space="preserve">impactful </w:t>
      </w:r>
      <w:r w:rsidRPr="009C0A11">
        <w:rPr>
          <w:rFonts w:ascii="Calibri" w:eastAsia="Times New Roman" w:hAnsi="Calibri"/>
          <w:color w:val="4A4A4A"/>
          <w:sz w:val="21"/>
          <w:szCs w:val="21"/>
          <w:lang w:eastAsia="en-GB"/>
        </w:rPr>
        <w:t xml:space="preserve">is in the provision of housing infrastructure. </w:t>
      </w:r>
      <w:r w:rsidR="004C2C3F" w:rsidRPr="009C0A11">
        <w:rPr>
          <w:rFonts w:ascii="Calibri" w:eastAsia="Times New Roman" w:hAnsi="Calibri"/>
          <w:color w:val="4A4A4A"/>
          <w:sz w:val="21"/>
          <w:szCs w:val="21"/>
          <w:lang w:eastAsia="en-GB"/>
        </w:rPr>
        <w:t xml:space="preserve">Expanding </w:t>
      </w:r>
      <w:r w:rsidRPr="009C0A11">
        <w:rPr>
          <w:rFonts w:ascii="Calibri" w:eastAsia="Times New Roman" w:hAnsi="Calibri"/>
          <w:color w:val="4A4A4A"/>
          <w:sz w:val="21"/>
          <w:szCs w:val="21"/>
          <w:lang w:eastAsia="en-GB"/>
        </w:rPr>
        <w:t xml:space="preserve">access to affordable and quality housing </w:t>
      </w:r>
      <w:r w:rsidR="001E29E0" w:rsidRPr="009C0A11">
        <w:rPr>
          <w:rFonts w:ascii="Calibri" w:eastAsia="Times New Roman" w:hAnsi="Calibri"/>
          <w:color w:val="4A4A4A"/>
          <w:sz w:val="21"/>
          <w:szCs w:val="21"/>
          <w:lang w:eastAsia="en-GB"/>
        </w:rPr>
        <w:t>not only promotes</w:t>
      </w:r>
      <w:r w:rsidR="00D55060" w:rsidRPr="009C0A11">
        <w:rPr>
          <w:rFonts w:ascii="Calibri" w:eastAsia="Times New Roman" w:hAnsi="Calibri"/>
          <w:color w:val="4A4A4A"/>
          <w:sz w:val="21"/>
          <w:szCs w:val="21"/>
          <w:lang w:eastAsia="en-GB"/>
        </w:rPr>
        <w:t xml:space="preserve"> enjoyment</w:t>
      </w:r>
      <w:r w:rsidR="001E29E0" w:rsidRPr="009C0A11">
        <w:rPr>
          <w:rFonts w:ascii="Calibri" w:eastAsia="Times New Roman" w:hAnsi="Calibri"/>
          <w:color w:val="4A4A4A"/>
          <w:sz w:val="21"/>
          <w:szCs w:val="21"/>
          <w:lang w:eastAsia="en-GB"/>
        </w:rPr>
        <w:t xml:space="preserve"> the universal right to a standard of living adequate for the health and </w:t>
      </w:r>
      <w:proofErr w:type="gramStart"/>
      <w:r w:rsidR="001E29E0" w:rsidRPr="009C0A11">
        <w:rPr>
          <w:rFonts w:ascii="Calibri" w:eastAsia="Times New Roman" w:hAnsi="Calibri"/>
          <w:color w:val="4A4A4A"/>
          <w:sz w:val="21"/>
          <w:szCs w:val="21"/>
          <w:lang w:eastAsia="en-GB"/>
        </w:rPr>
        <w:t>well-being, but</w:t>
      </w:r>
      <w:proofErr w:type="gramEnd"/>
      <w:r w:rsidR="001E29E0" w:rsidRPr="009C0A11">
        <w:rPr>
          <w:rFonts w:ascii="Calibri" w:eastAsia="Times New Roman" w:hAnsi="Calibri"/>
          <w:color w:val="4A4A4A"/>
          <w:sz w:val="21"/>
          <w:szCs w:val="21"/>
          <w:lang w:eastAsia="en-GB"/>
        </w:rPr>
        <w:t xml:space="preserve"> also unlocks access to other human rights – particularly pertaining to special care and assistance to which motherhood and children are entitled</w:t>
      </w:r>
      <w:r w:rsidRPr="009C0A11">
        <w:rPr>
          <w:rFonts w:ascii="Calibri" w:eastAsia="Times New Roman" w:hAnsi="Calibri"/>
          <w:color w:val="4A4A4A"/>
          <w:sz w:val="21"/>
          <w:szCs w:val="21"/>
          <w:lang w:eastAsia="en-GB"/>
        </w:rPr>
        <w:t xml:space="preserve">, </w:t>
      </w:r>
      <w:r w:rsidR="004C2C3F" w:rsidRPr="009C0A11">
        <w:rPr>
          <w:rFonts w:ascii="Calibri" w:eastAsia="Times New Roman" w:hAnsi="Calibri"/>
          <w:color w:val="4A4A4A"/>
          <w:sz w:val="21"/>
          <w:szCs w:val="21"/>
          <w:lang w:eastAsia="en-GB"/>
        </w:rPr>
        <w:t>while enhancing</w:t>
      </w:r>
      <w:r w:rsidRPr="009C0A11">
        <w:rPr>
          <w:rFonts w:ascii="Calibri" w:eastAsia="Times New Roman" w:hAnsi="Calibri"/>
          <w:color w:val="4A4A4A"/>
          <w:sz w:val="21"/>
          <w:szCs w:val="21"/>
          <w:lang w:eastAsia="en-GB"/>
        </w:rPr>
        <w:t xml:space="preserve"> economic and social well-being. ODA has been </w:t>
      </w:r>
      <w:r w:rsidR="004E407A" w:rsidRPr="009C0A11">
        <w:rPr>
          <w:rFonts w:ascii="Calibri" w:eastAsia="Times New Roman" w:hAnsi="Calibri"/>
          <w:color w:val="4A4A4A"/>
          <w:sz w:val="21"/>
          <w:szCs w:val="21"/>
          <w:lang w:eastAsia="en-GB"/>
        </w:rPr>
        <w:t xml:space="preserve">instrumental in </w:t>
      </w:r>
      <w:r w:rsidRPr="009C0A11">
        <w:rPr>
          <w:rFonts w:ascii="Calibri" w:eastAsia="Times New Roman" w:hAnsi="Calibri"/>
          <w:color w:val="4A4A4A"/>
          <w:sz w:val="21"/>
          <w:szCs w:val="21"/>
          <w:lang w:eastAsia="en-GB"/>
        </w:rPr>
        <w:t>support</w:t>
      </w:r>
      <w:r w:rsidR="004E407A" w:rsidRPr="009C0A11">
        <w:rPr>
          <w:rFonts w:ascii="Calibri" w:eastAsia="Times New Roman" w:hAnsi="Calibri"/>
          <w:color w:val="4A4A4A"/>
          <w:sz w:val="21"/>
          <w:szCs w:val="21"/>
          <w:lang w:eastAsia="en-GB"/>
        </w:rPr>
        <w:t>ing</w:t>
      </w:r>
      <w:r w:rsidRPr="009C0A11">
        <w:rPr>
          <w:rFonts w:ascii="Calibri" w:eastAsia="Times New Roman" w:hAnsi="Calibri"/>
          <w:color w:val="4A4A4A"/>
          <w:sz w:val="21"/>
          <w:szCs w:val="21"/>
          <w:lang w:eastAsia="en-GB"/>
        </w:rPr>
        <w:t xml:space="preserve"> the construction of new housing </w:t>
      </w:r>
      <w:r w:rsidR="00CD24E2" w:rsidRPr="009C0A11">
        <w:rPr>
          <w:rFonts w:ascii="Calibri" w:eastAsia="Times New Roman" w:hAnsi="Calibri"/>
          <w:color w:val="4A4A4A"/>
          <w:sz w:val="21"/>
          <w:szCs w:val="21"/>
          <w:lang w:eastAsia="en-GB"/>
        </w:rPr>
        <w:t>units, upgrading</w:t>
      </w:r>
      <w:r w:rsidRPr="009C0A11">
        <w:rPr>
          <w:rFonts w:ascii="Calibri" w:eastAsia="Times New Roman" w:hAnsi="Calibri"/>
          <w:color w:val="4A4A4A"/>
          <w:sz w:val="21"/>
          <w:szCs w:val="21"/>
          <w:lang w:eastAsia="en-GB"/>
        </w:rPr>
        <w:t xml:space="preserve"> of informal settlements, and </w:t>
      </w:r>
      <w:r w:rsidR="004E407A" w:rsidRPr="009C0A11">
        <w:rPr>
          <w:rFonts w:ascii="Calibri" w:eastAsia="Times New Roman" w:hAnsi="Calibri"/>
          <w:color w:val="4A4A4A"/>
          <w:sz w:val="21"/>
          <w:szCs w:val="21"/>
          <w:lang w:eastAsia="en-GB"/>
        </w:rPr>
        <w:t>ensuring access to essential</w:t>
      </w:r>
      <w:r w:rsidRPr="009C0A11">
        <w:rPr>
          <w:rFonts w:ascii="Calibri" w:eastAsia="Times New Roman" w:hAnsi="Calibri"/>
          <w:color w:val="4A4A4A"/>
          <w:sz w:val="21"/>
          <w:szCs w:val="21"/>
          <w:lang w:eastAsia="en-GB"/>
        </w:rPr>
        <w:t xml:space="preserve"> basic services such as water and sanitation.</w:t>
      </w:r>
    </w:p>
    <w:p w14:paraId="073816DD" w14:textId="45BAEB52" w:rsidR="006060D8" w:rsidRPr="006060D8" w:rsidRDefault="006060D8" w:rsidP="006060D8">
      <w:pPr>
        <w:shd w:val="clear" w:color="auto" w:fill="FFFFFF"/>
        <w:spacing w:after="0"/>
        <w:rPr>
          <w:rFonts w:ascii="Calibri" w:eastAsia="Times New Roman" w:hAnsi="Calibri" w:cs="Times New Roman"/>
          <w:color w:val="4A4A4A"/>
          <w:sz w:val="21"/>
          <w:szCs w:val="21"/>
          <w:lang w:eastAsia="en-GB"/>
        </w:rPr>
      </w:pPr>
    </w:p>
    <w:p w14:paraId="2D976B70"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p>
    <w:p w14:paraId="25017E15" w14:textId="77777777" w:rsidR="00D339E2" w:rsidRPr="00D339E2" w:rsidRDefault="00D339E2" w:rsidP="00D339E2">
      <w:pPr>
        <w:shd w:val="clear" w:color="auto" w:fill="FFFFFF"/>
        <w:spacing w:after="0"/>
        <w:rPr>
          <w:rFonts w:ascii="Calibri" w:eastAsia="Times New Roman" w:hAnsi="Calibri" w:cs="Times New Roman"/>
          <w:color w:val="4A4A4A"/>
          <w:sz w:val="21"/>
          <w:szCs w:val="21"/>
          <w:lang w:eastAsia="en-GB"/>
        </w:rPr>
      </w:pPr>
      <w:r w:rsidRPr="00D339E2">
        <w:rPr>
          <w:rFonts w:ascii="Calibri" w:eastAsia="Times New Roman" w:hAnsi="Calibri" w:cs="Times New Roman"/>
          <w:b/>
          <w:bCs/>
          <w:color w:val="4A4A4A"/>
          <w:sz w:val="21"/>
          <w:szCs w:val="21"/>
          <w:lang w:eastAsia="en-GB"/>
        </w:rPr>
        <w:t>Concepts:</w:t>
      </w:r>
    </w:p>
    <w:p w14:paraId="4B9D9280" w14:textId="7ED0E4C2" w:rsidR="004E407A" w:rsidRPr="009C0A11" w:rsidRDefault="00767A0D" w:rsidP="004E407A">
      <w:pPr>
        <w:jc w:val="both"/>
        <w:rPr>
          <w:rFonts w:eastAsia="Times New Roman" w:cs="Times New Roman"/>
          <w:color w:val="4A4A4A"/>
          <w:sz w:val="21"/>
          <w:szCs w:val="21"/>
          <w:lang w:eastAsia="en-GB"/>
        </w:rPr>
      </w:pPr>
      <w:bookmarkStart w:id="5" w:name="_Hlk60657172"/>
      <w:r w:rsidRPr="009C0A11">
        <w:rPr>
          <w:rFonts w:eastAsia="Times New Roman" w:cs="Times New Roman"/>
          <w:b/>
          <w:bCs/>
          <w:color w:val="4A4A4A"/>
          <w:sz w:val="21"/>
          <w:szCs w:val="21"/>
          <w:lang w:eastAsia="en-GB"/>
        </w:rPr>
        <w:t>Total official development Assistance</w:t>
      </w:r>
      <w:r w:rsidR="00317887" w:rsidRPr="009C0A11">
        <w:rPr>
          <w:rFonts w:eastAsia="Times New Roman" w:cs="Times New Roman"/>
          <w:color w:val="4A4A4A"/>
          <w:sz w:val="21"/>
          <w:szCs w:val="21"/>
          <w:lang w:eastAsia="en-GB"/>
        </w:rPr>
        <w:t>: Since 20</w:t>
      </w:r>
      <w:r w:rsidR="00A732E8" w:rsidRPr="009C0A11">
        <w:rPr>
          <w:rFonts w:eastAsia="Times New Roman" w:cs="Times New Roman"/>
          <w:color w:val="4A4A4A"/>
          <w:sz w:val="21"/>
          <w:szCs w:val="21"/>
          <w:lang w:eastAsia="en-GB"/>
        </w:rPr>
        <w:t>22</w:t>
      </w:r>
      <w:r w:rsidR="00317887" w:rsidRPr="009C0A11">
        <w:rPr>
          <w:rFonts w:eastAsia="Times New Roman" w:cs="Times New Roman"/>
          <w:color w:val="4A4A4A"/>
          <w:sz w:val="21"/>
          <w:szCs w:val="21"/>
          <w:lang w:eastAsia="en-GB"/>
        </w:rPr>
        <w:t xml:space="preserve"> UN-Habitat and </w:t>
      </w:r>
      <w:r w:rsidR="004E407A" w:rsidRPr="009C0A11">
        <w:rPr>
          <w:rFonts w:eastAsia="Times New Roman" w:cs="Times New Roman"/>
          <w:color w:val="4A4A4A"/>
          <w:sz w:val="21"/>
          <w:szCs w:val="21"/>
          <w:lang w:eastAsia="en-GB"/>
        </w:rPr>
        <w:t xml:space="preserve">its </w:t>
      </w:r>
      <w:r w:rsidR="00317887" w:rsidRPr="009C0A11">
        <w:rPr>
          <w:rFonts w:eastAsia="Times New Roman" w:cs="Times New Roman"/>
          <w:color w:val="4A4A4A"/>
          <w:sz w:val="21"/>
          <w:szCs w:val="21"/>
          <w:lang w:eastAsia="en-GB"/>
        </w:rPr>
        <w:t xml:space="preserve">partners </w:t>
      </w:r>
      <w:r w:rsidR="004E407A" w:rsidRPr="009C0A11">
        <w:rPr>
          <w:rFonts w:eastAsia="Times New Roman" w:cs="Times New Roman"/>
          <w:color w:val="4A4A4A"/>
          <w:sz w:val="21"/>
          <w:szCs w:val="21"/>
          <w:lang w:eastAsia="en-GB"/>
        </w:rPr>
        <w:t xml:space="preserve">facilitated </w:t>
      </w:r>
      <w:r w:rsidR="00317887" w:rsidRPr="009C0A11">
        <w:rPr>
          <w:rFonts w:eastAsia="Times New Roman" w:cs="Times New Roman"/>
          <w:color w:val="4A4A4A"/>
          <w:sz w:val="21"/>
          <w:szCs w:val="21"/>
          <w:lang w:eastAsia="en-GB"/>
        </w:rPr>
        <w:t xml:space="preserve">consultations and discussions to </w:t>
      </w:r>
      <w:r w:rsidR="004E407A" w:rsidRPr="009C0A11">
        <w:rPr>
          <w:rFonts w:eastAsia="Times New Roman" w:cs="Times New Roman"/>
          <w:color w:val="4A4A4A"/>
          <w:sz w:val="21"/>
          <w:szCs w:val="21"/>
          <w:lang w:eastAsia="en-GB"/>
        </w:rPr>
        <w:t>refine a</w:t>
      </w:r>
      <w:r w:rsidR="00317887" w:rsidRPr="009C0A11">
        <w:rPr>
          <w:rFonts w:eastAsia="Times New Roman" w:cs="Times New Roman"/>
          <w:color w:val="4A4A4A"/>
          <w:sz w:val="21"/>
          <w:szCs w:val="21"/>
          <w:lang w:eastAsia="en-GB"/>
        </w:rPr>
        <w:t xml:space="preserve"> set of meaningful definitions that would </w:t>
      </w:r>
      <w:r w:rsidR="004E407A" w:rsidRPr="009C0A11">
        <w:rPr>
          <w:rFonts w:eastAsia="Times New Roman" w:cs="Times New Roman"/>
          <w:color w:val="4A4A4A"/>
          <w:sz w:val="21"/>
          <w:szCs w:val="21"/>
          <w:lang w:eastAsia="en-GB"/>
        </w:rPr>
        <w:t>enhance</w:t>
      </w:r>
      <w:r w:rsidR="00317887" w:rsidRPr="009C0A11">
        <w:rPr>
          <w:rFonts w:eastAsia="Times New Roman" w:cs="Times New Roman"/>
          <w:color w:val="4A4A4A"/>
          <w:sz w:val="21"/>
          <w:szCs w:val="21"/>
          <w:lang w:eastAsia="en-GB"/>
        </w:rPr>
        <w:t xml:space="preserve"> the global monitoring and reporting process</w:t>
      </w:r>
      <w:r w:rsidR="008702C8" w:rsidRPr="009C0A11">
        <w:rPr>
          <w:rFonts w:eastAsia="Times New Roman" w:cs="Times New Roman"/>
          <w:color w:val="4A4A4A"/>
          <w:sz w:val="21"/>
          <w:szCs w:val="21"/>
          <w:lang w:eastAsia="en-GB"/>
        </w:rPr>
        <w:t xml:space="preserve"> of ODA </w:t>
      </w:r>
      <w:r w:rsidR="004E407A" w:rsidRPr="009C0A11">
        <w:rPr>
          <w:rFonts w:eastAsia="Times New Roman" w:cs="Times New Roman"/>
          <w:color w:val="4A4A4A"/>
          <w:sz w:val="21"/>
          <w:szCs w:val="21"/>
          <w:lang w:eastAsia="en-GB"/>
        </w:rPr>
        <w:t>allocated</w:t>
      </w:r>
      <w:r w:rsidR="008702C8" w:rsidRPr="009C0A11">
        <w:rPr>
          <w:rFonts w:eastAsia="Times New Roman" w:cs="Times New Roman"/>
          <w:color w:val="4A4A4A"/>
          <w:sz w:val="21"/>
          <w:szCs w:val="21"/>
          <w:lang w:eastAsia="en-GB"/>
        </w:rPr>
        <w:t xml:space="preserve"> to infrastructure support</w:t>
      </w:r>
      <w:r w:rsidR="004E407A" w:rsidRPr="009C0A11">
        <w:rPr>
          <w:rFonts w:eastAsia="Times New Roman" w:cs="Times New Roman"/>
          <w:color w:val="4A4A4A"/>
          <w:sz w:val="21"/>
          <w:szCs w:val="21"/>
          <w:lang w:eastAsia="en-GB"/>
        </w:rPr>
        <w:t>ing</w:t>
      </w:r>
      <w:r w:rsidR="008702C8" w:rsidRPr="009C0A11">
        <w:rPr>
          <w:rFonts w:eastAsia="Times New Roman" w:cs="Times New Roman"/>
          <w:color w:val="4A4A4A"/>
          <w:sz w:val="21"/>
          <w:szCs w:val="21"/>
          <w:lang w:eastAsia="en-GB"/>
        </w:rPr>
        <w:t xml:space="preserve"> sustainable </w:t>
      </w:r>
      <w:r w:rsidR="00A732E8" w:rsidRPr="009C0A11">
        <w:rPr>
          <w:rFonts w:eastAsia="Times New Roman" w:cs="Times New Roman"/>
          <w:color w:val="4A4A4A"/>
          <w:sz w:val="21"/>
          <w:szCs w:val="21"/>
          <w:lang w:eastAsia="en-GB"/>
        </w:rPr>
        <w:t>urban development</w:t>
      </w:r>
      <w:r w:rsidR="00317887" w:rsidRPr="009C0A11">
        <w:rPr>
          <w:rFonts w:eastAsia="Times New Roman" w:cs="Times New Roman"/>
          <w:color w:val="4A4A4A"/>
          <w:sz w:val="21"/>
          <w:szCs w:val="21"/>
          <w:lang w:eastAsia="en-GB"/>
        </w:rPr>
        <w:t xml:space="preserve">. </w:t>
      </w:r>
      <w:r w:rsidR="004272C2" w:rsidRPr="009C0A11">
        <w:rPr>
          <w:rFonts w:eastAsia="Times New Roman" w:cs="Times New Roman"/>
          <w:color w:val="4A4A4A"/>
          <w:sz w:val="21"/>
          <w:szCs w:val="21"/>
          <w:lang w:eastAsia="en-GB"/>
        </w:rPr>
        <w:t xml:space="preserve"> </w:t>
      </w:r>
    </w:p>
    <w:p w14:paraId="5EA2238A" w14:textId="00E05462" w:rsidR="00373912" w:rsidRPr="00373912" w:rsidRDefault="00373912" w:rsidP="009A7363">
      <w:pPr>
        <w:jc w:val="both"/>
        <w:rPr>
          <w:rFonts w:eastAsia="Times New Roman" w:cs="Times New Roman"/>
          <w:color w:val="4A4A4A"/>
          <w:sz w:val="21"/>
          <w:szCs w:val="21"/>
          <w:lang w:eastAsia="en-GB"/>
        </w:rPr>
      </w:pPr>
      <w:r w:rsidRPr="009C0A11">
        <w:rPr>
          <w:rFonts w:eastAsia="Times New Roman"/>
          <w:color w:val="4A4A4A"/>
          <w:sz w:val="21"/>
          <w:szCs w:val="21"/>
          <w:lang w:eastAsia="en-GB"/>
        </w:rPr>
        <w:t xml:space="preserve">Total ODA is defined as the flows of official financing administered with the </w:t>
      </w:r>
      <w:r w:rsidR="004E407A" w:rsidRPr="009C0A11">
        <w:rPr>
          <w:rFonts w:eastAsia="Times New Roman"/>
          <w:color w:val="4A4A4A"/>
          <w:sz w:val="21"/>
          <w:szCs w:val="21"/>
          <w:lang w:eastAsia="en-GB"/>
        </w:rPr>
        <w:t xml:space="preserve">primary objective of </w:t>
      </w:r>
      <w:r w:rsidRPr="009C0A11">
        <w:rPr>
          <w:rFonts w:eastAsia="Times New Roman"/>
          <w:color w:val="4A4A4A"/>
          <w:sz w:val="21"/>
          <w:szCs w:val="21"/>
          <w:lang w:eastAsia="en-GB"/>
        </w:rPr>
        <w:t>promotin</w:t>
      </w:r>
      <w:r w:rsidR="004E407A" w:rsidRPr="009C0A11">
        <w:rPr>
          <w:rFonts w:eastAsia="Times New Roman"/>
          <w:color w:val="4A4A4A"/>
          <w:sz w:val="21"/>
          <w:szCs w:val="21"/>
          <w:lang w:eastAsia="en-GB"/>
        </w:rPr>
        <w:t>g</w:t>
      </w:r>
      <w:r w:rsidRPr="009C0A11">
        <w:rPr>
          <w:rFonts w:eastAsia="Times New Roman"/>
          <w:color w:val="4A4A4A"/>
          <w:sz w:val="21"/>
          <w:szCs w:val="21"/>
          <w:lang w:eastAsia="en-GB"/>
        </w:rPr>
        <w:t xml:space="preserve"> the economic development and welfare of developing </w:t>
      </w:r>
      <w:r w:rsidR="00CD24E2" w:rsidRPr="009C0A11">
        <w:rPr>
          <w:rFonts w:eastAsia="Times New Roman"/>
          <w:color w:val="4A4A4A"/>
          <w:sz w:val="21"/>
          <w:szCs w:val="21"/>
          <w:lang w:eastAsia="en-GB"/>
        </w:rPr>
        <w:t>countries,</w:t>
      </w:r>
      <w:r w:rsidRPr="009C0A11">
        <w:rPr>
          <w:rFonts w:eastAsia="Times New Roman"/>
          <w:color w:val="4A4A4A"/>
          <w:sz w:val="21"/>
          <w:szCs w:val="21"/>
          <w:lang w:eastAsia="en-GB"/>
        </w:rPr>
        <w:t xml:space="preserve"> and which are concessional in character with a grant element of at least 25 per cent. ODA can take</w:t>
      </w:r>
      <w:r w:rsidR="004E407A" w:rsidRPr="009C0A11">
        <w:rPr>
          <w:rFonts w:eastAsia="Times New Roman"/>
          <w:color w:val="4A4A4A"/>
          <w:sz w:val="21"/>
          <w:szCs w:val="21"/>
          <w:lang w:eastAsia="en-GB"/>
        </w:rPr>
        <w:t xml:space="preserve"> various</w:t>
      </w:r>
      <w:r w:rsidRPr="009C0A11">
        <w:rPr>
          <w:rFonts w:eastAsia="Times New Roman"/>
          <w:color w:val="4A4A4A"/>
          <w:sz w:val="21"/>
          <w:szCs w:val="21"/>
          <w:lang w:eastAsia="en-GB"/>
        </w:rPr>
        <w:t xml:space="preserve"> form</w:t>
      </w:r>
      <w:r w:rsidR="004E407A" w:rsidRPr="009C0A11">
        <w:rPr>
          <w:rFonts w:eastAsia="Times New Roman"/>
          <w:color w:val="4A4A4A"/>
          <w:sz w:val="21"/>
          <w:szCs w:val="21"/>
          <w:lang w:eastAsia="en-GB"/>
        </w:rPr>
        <w:t>s</w:t>
      </w:r>
      <w:r w:rsidR="00FD6869" w:rsidRPr="009C0A11">
        <w:rPr>
          <w:rFonts w:eastAsia="Times New Roman"/>
          <w:color w:val="4A4A4A"/>
          <w:sz w:val="21"/>
          <w:szCs w:val="21"/>
          <w:lang w:eastAsia="en-GB"/>
        </w:rPr>
        <w:t>, including</w:t>
      </w:r>
      <w:r w:rsidRPr="009C0A11">
        <w:rPr>
          <w:rFonts w:eastAsia="Times New Roman"/>
          <w:color w:val="4A4A4A"/>
          <w:sz w:val="21"/>
          <w:szCs w:val="21"/>
          <w:lang w:eastAsia="en-GB"/>
        </w:rPr>
        <w:t xml:space="preserve"> grants</w:t>
      </w:r>
      <w:r w:rsidR="00FD6869" w:rsidRPr="009C0A11">
        <w:rPr>
          <w:rFonts w:eastAsia="Times New Roman"/>
          <w:color w:val="4A4A4A"/>
          <w:sz w:val="21"/>
          <w:szCs w:val="21"/>
          <w:lang w:eastAsia="en-GB"/>
        </w:rPr>
        <w:t xml:space="preserve">, </w:t>
      </w:r>
      <w:r w:rsidRPr="009C0A11">
        <w:rPr>
          <w:rFonts w:eastAsia="Times New Roman"/>
          <w:color w:val="4A4A4A"/>
          <w:sz w:val="21"/>
          <w:szCs w:val="21"/>
          <w:lang w:eastAsia="en-GB"/>
        </w:rPr>
        <w:t>concessional loans</w:t>
      </w:r>
      <w:r w:rsidR="00FD6869" w:rsidRPr="009C0A11">
        <w:rPr>
          <w:rFonts w:eastAsia="Times New Roman"/>
          <w:color w:val="4A4A4A"/>
          <w:sz w:val="21"/>
          <w:szCs w:val="21"/>
          <w:lang w:eastAsia="en-GB"/>
        </w:rPr>
        <w:t>,</w:t>
      </w:r>
      <w:r w:rsidRPr="009C0A11">
        <w:rPr>
          <w:rFonts w:eastAsia="Times New Roman"/>
          <w:color w:val="4A4A4A"/>
          <w:sz w:val="21"/>
          <w:szCs w:val="21"/>
          <w:lang w:eastAsia="en-GB"/>
        </w:rPr>
        <w:t xml:space="preserve"> and technical assistance. </w:t>
      </w:r>
      <w:r w:rsidR="00FD6869" w:rsidRPr="009C0A11">
        <w:rPr>
          <w:rFonts w:eastAsia="Times New Roman"/>
          <w:color w:val="4A4A4A"/>
          <w:sz w:val="21"/>
          <w:szCs w:val="21"/>
          <w:lang w:eastAsia="en-GB"/>
        </w:rPr>
        <w:t xml:space="preserve">Notably </w:t>
      </w:r>
      <w:r w:rsidRPr="009C0A11">
        <w:rPr>
          <w:rFonts w:eastAsia="Times New Roman" w:cs="Times New Roman"/>
          <w:color w:val="4A4A4A"/>
          <w:sz w:val="21"/>
          <w:szCs w:val="21"/>
          <w:lang w:eastAsia="en-GB"/>
        </w:rPr>
        <w:t>Official development assistance focuses</w:t>
      </w:r>
      <w:r w:rsidR="00FD6869" w:rsidRPr="009C0A11">
        <w:rPr>
          <w:rFonts w:eastAsia="Times New Roman" w:cs="Times New Roman"/>
          <w:color w:val="4A4A4A"/>
          <w:sz w:val="21"/>
          <w:szCs w:val="21"/>
          <w:lang w:eastAsia="en-GB"/>
        </w:rPr>
        <w:t xml:space="preserve"> solely on</w:t>
      </w:r>
      <w:r w:rsidRPr="009C0A11">
        <w:rPr>
          <w:rFonts w:eastAsia="Times New Roman" w:cs="Times New Roman"/>
          <w:color w:val="4A4A4A"/>
          <w:sz w:val="21"/>
          <w:szCs w:val="21"/>
          <w:lang w:eastAsia="en-GB"/>
        </w:rPr>
        <w:t xml:space="preserve"> development </w:t>
      </w:r>
      <w:r w:rsidR="00FD6869" w:rsidRPr="009C0A11">
        <w:rPr>
          <w:rFonts w:eastAsia="Times New Roman" w:cs="Times New Roman"/>
          <w:color w:val="4A4A4A"/>
          <w:sz w:val="21"/>
          <w:szCs w:val="21"/>
          <w:lang w:eastAsia="en-GB"/>
        </w:rPr>
        <w:t xml:space="preserve">efforts </w:t>
      </w:r>
      <w:r w:rsidRPr="009C0A11">
        <w:rPr>
          <w:rFonts w:eastAsia="Times New Roman" w:cs="Times New Roman"/>
          <w:color w:val="4A4A4A"/>
          <w:sz w:val="21"/>
          <w:szCs w:val="21"/>
          <w:lang w:eastAsia="en-GB"/>
        </w:rPr>
        <w:t xml:space="preserve">and </w:t>
      </w:r>
      <w:r w:rsidR="00FD6869" w:rsidRPr="009C0A11">
        <w:rPr>
          <w:rFonts w:eastAsia="Times New Roman" w:cs="Times New Roman"/>
          <w:color w:val="4A4A4A"/>
          <w:sz w:val="21"/>
          <w:szCs w:val="21"/>
          <w:lang w:eastAsia="en-GB"/>
        </w:rPr>
        <w:t xml:space="preserve">explicitly </w:t>
      </w:r>
      <w:r w:rsidRPr="009C0A11">
        <w:rPr>
          <w:rFonts w:eastAsia="Times New Roman" w:cs="Times New Roman"/>
          <w:color w:val="4A4A4A"/>
          <w:sz w:val="21"/>
          <w:szCs w:val="21"/>
          <w:lang w:eastAsia="en-GB"/>
        </w:rPr>
        <w:t>excludes military aid.</w:t>
      </w:r>
      <w:r w:rsidRPr="00373912">
        <w:rPr>
          <w:rFonts w:eastAsia="Times New Roman" w:cs="Times New Roman"/>
          <w:color w:val="4A4A4A"/>
          <w:sz w:val="21"/>
          <w:szCs w:val="21"/>
          <w:lang w:eastAsia="en-GB"/>
        </w:rPr>
        <w:t xml:space="preserve"> </w:t>
      </w:r>
    </w:p>
    <w:p w14:paraId="5AD2D5FA" w14:textId="17505820" w:rsidR="00D339E2" w:rsidRPr="00D339E2" w:rsidRDefault="00317887" w:rsidP="0051250C">
      <w:pPr>
        <w:rPr>
          <w:rFonts w:ascii="Calibri" w:eastAsia="Times New Roman" w:hAnsi="Calibri" w:cs="Times New Roman"/>
          <w:b/>
          <w:bCs/>
          <w:color w:val="4A4A4A"/>
          <w:sz w:val="21"/>
          <w:szCs w:val="21"/>
          <w:lang w:eastAsia="en-GB"/>
        </w:rPr>
      </w:pPr>
      <w:r w:rsidRPr="00393098">
        <w:rPr>
          <w:rFonts w:eastAsia="Times New Roman" w:cs="Times New Roman"/>
          <w:color w:val="4A4A4A"/>
          <w:sz w:val="21"/>
          <w:szCs w:val="21"/>
          <w:lang w:eastAsia="en-GB"/>
        </w:rPr>
        <w:t xml:space="preserve"> </w:t>
      </w:r>
      <w:bookmarkEnd w:id="5"/>
      <w:r w:rsidR="00D339E2" w:rsidRPr="00D339E2">
        <w:rPr>
          <w:rFonts w:ascii="Calibri" w:eastAsia="Times New Roman" w:hAnsi="Calibri" w:cs="Times New Roman"/>
          <w:b/>
          <w:bCs/>
          <w:color w:val="4A4A4A"/>
          <w:sz w:val="21"/>
          <w:szCs w:val="21"/>
          <w:lang w:eastAsia="en-GB"/>
        </w:rPr>
        <w:t>Other concepts</w:t>
      </w:r>
    </w:p>
    <w:p w14:paraId="0A35120F" w14:textId="77777777" w:rsidR="00FD6869" w:rsidRDefault="00767A0D" w:rsidP="004E407A">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b/>
          <w:bCs/>
          <w:color w:val="4A4A4A"/>
          <w:sz w:val="21"/>
          <w:szCs w:val="21"/>
          <w:lang w:eastAsia="en-GB"/>
        </w:rPr>
        <w:t>Other official flows</w:t>
      </w:r>
      <w:r w:rsidR="00FD6869">
        <w:rPr>
          <w:rFonts w:ascii="Calibri" w:eastAsia="Times New Roman" w:hAnsi="Calibri" w:cs="Times New Roman"/>
          <w:b/>
          <w:bCs/>
          <w:color w:val="4A4A4A"/>
          <w:sz w:val="21"/>
          <w:szCs w:val="21"/>
          <w:lang w:eastAsia="en-GB"/>
        </w:rPr>
        <w:t xml:space="preserve"> (OOF)</w:t>
      </w:r>
      <w:r w:rsidR="00D339E2" w:rsidRPr="00D339E2">
        <w:rPr>
          <w:rFonts w:ascii="Calibri" w:eastAsia="Times New Roman" w:hAnsi="Calibri" w:cs="Times New Roman"/>
          <w:b/>
          <w:bCs/>
          <w:color w:val="4A4A4A"/>
          <w:sz w:val="21"/>
          <w:szCs w:val="21"/>
          <w:lang w:eastAsia="en-GB"/>
        </w:rPr>
        <w:t>:</w:t>
      </w:r>
      <w:r w:rsidR="00D339E2" w:rsidRPr="00D339E2">
        <w:rPr>
          <w:rFonts w:ascii="Calibri" w:eastAsia="Times New Roman" w:hAnsi="Calibri" w:cs="Times New Roman"/>
          <w:color w:val="4A4A4A"/>
          <w:sz w:val="21"/>
          <w:szCs w:val="21"/>
          <w:lang w:eastAsia="en-GB"/>
        </w:rPr>
        <w:t xml:space="preserve"> </w:t>
      </w:r>
    </w:p>
    <w:p w14:paraId="76DC6912" w14:textId="43A4D578" w:rsidR="00634215" w:rsidRPr="00634215" w:rsidRDefault="00634215" w:rsidP="009A7363">
      <w:pPr>
        <w:shd w:val="clear" w:color="auto" w:fill="FFFFFF"/>
        <w:spacing w:after="0"/>
        <w:jc w:val="both"/>
        <w:rPr>
          <w:rFonts w:ascii="Calibri" w:eastAsia="Times New Roman" w:hAnsi="Calibri"/>
          <w:color w:val="4A4A4A"/>
          <w:sz w:val="21"/>
          <w:szCs w:val="21"/>
          <w:lang w:eastAsia="en-GB"/>
        </w:rPr>
      </w:pPr>
      <w:r w:rsidRPr="009C0A11">
        <w:rPr>
          <w:rFonts w:ascii="Calibri" w:eastAsia="Times New Roman" w:hAnsi="Calibri"/>
          <w:color w:val="4A4A4A"/>
          <w:sz w:val="21"/>
          <w:szCs w:val="21"/>
          <w:lang w:eastAsia="en-GB"/>
        </w:rPr>
        <w:t xml:space="preserve">Other official development assistance flows refer to official sector transactions that do not </w:t>
      </w:r>
      <w:r w:rsidR="00FD6869" w:rsidRPr="009C0A11">
        <w:rPr>
          <w:rFonts w:ascii="Calibri" w:eastAsia="Times New Roman" w:hAnsi="Calibri"/>
          <w:color w:val="4A4A4A"/>
          <w:sz w:val="21"/>
          <w:szCs w:val="21"/>
          <w:lang w:eastAsia="en-GB"/>
        </w:rPr>
        <w:t>qualify</w:t>
      </w:r>
      <w:r w:rsidRPr="009C0A11">
        <w:rPr>
          <w:rFonts w:ascii="Calibri" w:eastAsia="Times New Roman" w:hAnsi="Calibri"/>
          <w:color w:val="4A4A4A"/>
          <w:sz w:val="21"/>
          <w:szCs w:val="21"/>
          <w:lang w:eastAsia="en-GB"/>
        </w:rPr>
        <w:t xml:space="preserve"> as official development assistance</w:t>
      </w:r>
      <w:r w:rsidR="00FD6869" w:rsidRPr="009C0A11">
        <w:rPr>
          <w:rFonts w:ascii="Calibri" w:eastAsia="Times New Roman" w:hAnsi="Calibri"/>
          <w:color w:val="4A4A4A"/>
          <w:sz w:val="21"/>
          <w:szCs w:val="21"/>
          <w:lang w:eastAsia="en-GB"/>
        </w:rPr>
        <w:t xml:space="preserve"> (ODA). This may be for two reasons: </w:t>
      </w:r>
      <w:r w:rsidR="00CD24E2" w:rsidRPr="009C0A11">
        <w:rPr>
          <w:rFonts w:ascii="Calibri" w:eastAsia="Times New Roman" w:hAnsi="Calibri"/>
          <w:color w:val="4A4A4A"/>
          <w:sz w:val="21"/>
          <w:szCs w:val="21"/>
          <w:lang w:eastAsia="en-GB"/>
        </w:rPr>
        <w:t>either they</w:t>
      </w:r>
      <w:r w:rsidRPr="009C0A11">
        <w:rPr>
          <w:rFonts w:ascii="Calibri" w:eastAsia="Times New Roman" w:hAnsi="Calibri"/>
          <w:color w:val="4A4A4A"/>
          <w:sz w:val="21"/>
          <w:szCs w:val="21"/>
          <w:lang w:eastAsia="en-GB"/>
        </w:rPr>
        <w:t xml:space="preserve"> are not primarily aimed at development, or they have a grant element of less than 25 percent</w:t>
      </w:r>
      <w:r w:rsidR="0051250C" w:rsidRPr="009C0A11">
        <w:rPr>
          <w:rFonts w:ascii="Calibri" w:eastAsia="Times New Roman" w:hAnsi="Calibri"/>
          <w:color w:val="4A4A4A"/>
          <w:sz w:val="21"/>
          <w:szCs w:val="21"/>
          <w:lang w:eastAsia="en-GB"/>
        </w:rPr>
        <w:t>.</w:t>
      </w:r>
    </w:p>
    <w:p w14:paraId="153B09C3" w14:textId="3A862AC3" w:rsidR="00D51E7C" w:rsidRPr="00A96255" w:rsidRDefault="00D51E7C" w:rsidP="00576CFA">
      <w:pPr>
        <w:pStyle w:val="MText"/>
      </w:pPr>
    </w:p>
    <w:p w14:paraId="479477D7" w14:textId="356F3593" w:rsidR="004C53A8" w:rsidRPr="006E7107" w:rsidRDefault="004C53A8" w:rsidP="009A7363">
      <w:pPr>
        <w:shd w:val="clear" w:color="auto" w:fill="FFFFFF"/>
        <w:spacing w:after="0"/>
        <w:jc w:val="both"/>
        <w:rPr>
          <w:rFonts w:eastAsia="Times New Roman" w:cs="Times New Roman"/>
          <w:color w:val="4A4A4A"/>
          <w:sz w:val="21"/>
          <w:szCs w:val="21"/>
          <w:lang w:eastAsia="en-GB"/>
        </w:rPr>
      </w:pPr>
      <w:r w:rsidRPr="006E7107">
        <w:rPr>
          <w:rFonts w:eastAsia="Times New Roman" w:cs="Times New Roman"/>
          <w:color w:val="4A4A4A"/>
          <w:sz w:val="21"/>
          <w:szCs w:val="21"/>
          <w:lang w:eastAsia="en-GB"/>
        </w:rPr>
        <w:t>Other official flows (</w:t>
      </w:r>
      <w:r w:rsidR="00CD24E2" w:rsidRPr="006E7107">
        <w:rPr>
          <w:rFonts w:eastAsia="Times New Roman" w:cs="Times New Roman"/>
          <w:color w:val="4A4A4A"/>
          <w:sz w:val="21"/>
          <w:szCs w:val="21"/>
          <w:lang w:eastAsia="en-GB"/>
        </w:rPr>
        <w:t>OOF)</w:t>
      </w:r>
      <w:r w:rsidR="00CD24E2">
        <w:rPr>
          <w:rFonts w:eastAsia="Times New Roman" w:cs="Times New Roman"/>
          <w:color w:val="4A4A4A"/>
          <w:sz w:val="21"/>
          <w:szCs w:val="21"/>
          <w:lang w:eastAsia="en-GB"/>
        </w:rPr>
        <w:t xml:space="preserve"> </w:t>
      </w:r>
      <w:r w:rsidR="00CD24E2" w:rsidRPr="006E7107">
        <w:rPr>
          <w:rFonts w:eastAsia="Times New Roman" w:cs="Times New Roman"/>
          <w:color w:val="4A4A4A"/>
          <w:sz w:val="21"/>
          <w:szCs w:val="21"/>
          <w:lang w:eastAsia="en-GB"/>
        </w:rPr>
        <w:t>(</w:t>
      </w:r>
      <w:r w:rsidRPr="006E7107">
        <w:rPr>
          <w:rFonts w:eastAsia="Times New Roman" w:cs="Times New Roman"/>
          <w:color w:val="4A4A4A"/>
          <w:sz w:val="21"/>
          <w:szCs w:val="21"/>
          <w:lang w:eastAsia="en-GB"/>
        </w:rPr>
        <w:t xml:space="preserve">excluding officially supported export credits) are defined as transactions </w:t>
      </w:r>
      <w:r w:rsidR="00FD6869">
        <w:rPr>
          <w:rFonts w:eastAsia="Times New Roman" w:cs="Times New Roman"/>
          <w:color w:val="4A4A4A"/>
          <w:sz w:val="21"/>
          <w:szCs w:val="21"/>
          <w:lang w:eastAsia="en-GB"/>
        </w:rPr>
        <w:t xml:space="preserve">undertaken </w:t>
      </w:r>
      <w:r w:rsidRPr="006E7107">
        <w:rPr>
          <w:rFonts w:eastAsia="Times New Roman" w:cs="Times New Roman"/>
          <w:color w:val="4A4A4A"/>
          <w:sz w:val="21"/>
          <w:szCs w:val="21"/>
          <w:lang w:eastAsia="en-GB"/>
        </w:rPr>
        <w:t>by the official sector which do not meet ODA</w:t>
      </w:r>
      <w:r w:rsidR="004E2E54">
        <w:rPr>
          <w:rFonts w:eastAsia="Times New Roman" w:cs="Times New Roman"/>
          <w:color w:val="4A4A4A"/>
          <w:sz w:val="21"/>
          <w:szCs w:val="21"/>
          <w:lang w:eastAsia="en-GB"/>
        </w:rPr>
        <w:t xml:space="preserve"> eligibility criteria. This could be</w:t>
      </w:r>
      <w:r w:rsidRPr="006E7107">
        <w:rPr>
          <w:rFonts w:eastAsia="Times New Roman" w:cs="Times New Roman"/>
          <w:color w:val="4A4A4A"/>
          <w:sz w:val="21"/>
          <w:szCs w:val="21"/>
          <w:lang w:eastAsia="en-GB"/>
        </w:rPr>
        <w:t xml:space="preserve"> because they </w:t>
      </w:r>
      <w:r w:rsidR="004E2E54">
        <w:rPr>
          <w:rFonts w:eastAsia="Times New Roman" w:cs="Times New Roman"/>
          <w:color w:val="4A4A4A"/>
          <w:sz w:val="21"/>
          <w:szCs w:val="21"/>
          <w:lang w:eastAsia="en-GB"/>
        </w:rPr>
        <w:t xml:space="preserve">lack a </w:t>
      </w:r>
      <w:r w:rsidRPr="006E7107">
        <w:rPr>
          <w:rFonts w:eastAsia="Times New Roman" w:cs="Times New Roman"/>
          <w:color w:val="4A4A4A"/>
          <w:sz w:val="21"/>
          <w:szCs w:val="21"/>
          <w:lang w:eastAsia="en-GB"/>
        </w:rPr>
        <w:t>primar</w:t>
      </w:r>
      <w:r w:rsidR="004E2E54">
        <w:rPr>
          <w:rFonts w:eastAsia="Times New Roman" w:cs="Times New Roman"/>
          <w:color w:val="4A4A4A"/>
          <w:sz w:val="21"/>
          <w:szCs w:val="21"/>
          <w:lang w:eastAsia="en-GB"/>
        </w:rPr>
        <w:t>y</w:t>
      </w:r>
      <w:r w:rsidRPr="006E7107">
        <w:rPr>
          <w:rFonts w:eastAsia="Times New Roman" w:cs="Times New Roman"/>
          <w:color w:val="4A4A4A"/>
          <w:sz w:val="21"/>
          <w:szCs w:val="21"/>
          <w:lang w:eastAsia="en-GB"/>
        </w:rPr>
        <w:t xml:space="preserve"> development</w:t>
      </w:r>
      <w:r w:rsidR="004E2E54">
        <w:rPr>
          <w:rFonts w:eastAsia="Times New Roman" w:cs="Times New Roman"/>
          <w:color w:val="4A4A4A"/>
          <w:sz w:val="21"/>
          <w:szCs w:val="21"/>
          <w:lang w:eastAsia="en-GB"/>
        </w:rPr>
        <w:t xml:space="preserve"> focus</w:t>
      </w:r>
      <w:r w:rsidRPr="006E7107">
        <w:rPr>
          <w:rFonts w:eastAsia="Times New Roman" w:cs="Times New Roman"/>
          <w:color w:val="4A4A4A"/>
          <w:sz w:val="21"/>
          <w:szCs w:val="21"/>
          <w:lang w:eastAsia="en-GB"/>
        </w:rPr>
        <w:t>, or because they are not sufficiently concessional</w:t>
      </w:r>
      <w:r w:rsidR="004E2E54">
        <w:rPr>
          <w:rFonts w:eastAsia="Times New Roman" w:cs="Times New Roman"/>
          <w:color w:val="4A4A4A"/>
          <w:sz w:val="21"/>
          <w:szCs w:val="21"/>
          <w:lang w:eastAsia="en-GB"/>
        </w:rPr>
        <w:t xml:space="preserve"> in nature</w:t>
      </w:r>
      <w:r w:rsidRPr="006E7107">
        <w:rPr>
          <w:rFonts w:eastAsia="Times New Roman" w:cs="Times New Roman"/>
          <w:color w:val="4A4A4A"/>
          <w:sz w:val="21"/>
          <w:szCs w:val="21"/>
          <w:lang w:eastAsia="en-GB"/>
        </w:rPr>
        <w:t>.</w:t>
      </w:r>
    </w:p>
    <w:p w14:paraId="25C65DA8" w14:textId="0E120BC0" w:rsidR="004C53A8" w:rsidRPr="006E7107" w:rsidRDefault="004C53A8" w:rsidP="009A7363">
      <w:pPr>
        <w:shd w:val="clear" w:color="auto" w:fill="FFFFFF"/>
        <w:spacing w:after="0"/>
        <w:jc w:val="both"/>
        <w:rPr>
          <w:rFonts w:eastAsia="Times New Roman" w:cs="Times New Roman"/>
          <w:color w:val="4A4A4A"/>
          <w:sz w:val="21"/>
          <w:szCs w:val="21"/>
          <w:lang w:eastAsia="en-GB"/>
        </w:rPr>
      </w:pPr>
      <w:r w:rsidRPr="006E7107">
        <w:rPr>
          <w:rFonts w:eastAsia="Times New Roman" w:cs="Times New Roman"/>
          <w:color w:val="4A4A4A"/>
          <w:sz w:val="21"/>
          <w:szCs w:val="21"/>
          <w:lang w:eastAsia="en-GB"/>
        </w:rPr>
        <w:t>(</w:t>
      </w:r>
      <w:r w:rsidR="004E2E54">
        <w:rPr>
          <w:rFonts w:eastAsia="Times New Roman" w:cs="Times New Roman"/>
          <w:color w:val="4A4A4A"/>
          <w:sz w:val="21"/>
          <w:szCs w:val="21"/>
          <w:lang w:eastAsia="en-GB"/>
        </w:rPr>
        <w:t>For more details, s</w:t>
      </w:r>
      <w:r w:rsidRPr="006E7107">
        <w:rPr>
          <w:rFonts w:eastAsia="Times New Roman" w:cs="Times New Roman"/>
          <w:color w:val="4A4A4A"/>
          <w:sz w:val="21"/>
          <w:szCs w:val="21"/>
          <w:lang w:eastAsia="en-GB"/>
        </w:rPr>
        <w:t xml:space="preserve">ee </w:t>
      </w:r>
      <w:hyperlink r:id="rId12" w:history="1">
        <w:r w:rsidR="00C83B8E" w:rsidRPr="00D24D5C">
          <w:rPr>
            <w:rStyle w:val="Hyperlink"/>
          </w:rPr>
          <w:t>https://www.oecd.org/en/data/indicators/other-official-flows-oof.html</w:t>
        </w:r>
      </w:hyperlink>
      <w:r w:rsidR="00C83B8E">
        <w:t xml:space="preserve"> </w:t>
      </w:r>
      <w:r w:rsidR="00BF0AFA">
        <w:rPr>
          <w:rFonts w:eastAsia="Times New Roman" w:cs="Times New Roman"/>
          <w:color w:val="4A4A4A"/>
          <w:sz w:val="21"/>
          <w:szCs w:val="21"/>
          <w:lang w:eastAsia="en-GB"/>
        </w:rPr>
        <w:t>)</w:t>
      </w:r>
    </w:p>
    <w:p w14:paraId="4603B4BF" w14:textId="77777777" w:rsidR="004C53A8" w:rsidRPr="006E7107" w:rsidRDefault="004C53A8" w:rsidP="004C53A8">
      <w:pPr>
        <w:shd w:val="clear" w:color="auto" w:fill="FFFFFF"/>
        <w:spacing w:after="0"/>
        <w:rPr>
          <w:rFonts w:eastAsia="Times New Roman" w:cs="Times New Roman"/>
          <w:color w:val="4A4A4A"/>
          <w:sz w:val="21"/>
          <w:szCs w:val="21"/>
          <w:lang w:eastAsia="en-GB"/>
        </w:rPr>
      </w:pPr>
    </w:p>
    <w:p w14:paraId="1739DE81" w14:textId="32DEE983" w:rsidR="004C53A8" w:rsidRPr="006E7107" w:rsidRDefault="004C53A8" w:rsidP="004C53A8">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Support to infrastructure includes all </w:t>
      </w:r>
      <w:r w:rsidR="00DB72D0">
        <w:rPr>
          <w:rFonts w:eastAsia="Times New Roman" w:cs="Times New Roman"/>
          <w:color w:val="4A4A4A"/>
          <w:sz w:val="21"/>
          <w:szCs w:val="21"/>
          <w:lang w:eastAsia="en-GB"/>
        </w:rPr>
        <w:t>Creditor Reporti</w:t>
      </w:r>
      <w:r w:rsidR="00994DA2">
        <w:rPr>
          <w:rFonts w:eastAsia="Times New Roman" w:cs="Times New Roman"/>
          <w:color w:val="4A4A4A"/>
          <w:sz w:val="21"/>
          <w:szCs w:val="21"/>
          <w:lang w:eastAsia="en-GB"/>
        </w:rPr>
        <w:t xml:space="preserve">ng </w:t>
      </w:r>
      <w:r w:rsidR="00DB72D0">
        <w:rPr>
          <w:rFonts w:eastAsia="Times New Roman" w:cs="Times New Roman"/>
          <w:color w:val="4A4A4A"/>
          <w:sz w:val="21"/>
          <w:szCs w:val="21"/>
          <w:lang w:eastAsia="en-GB"/>
        </w:rPr>
        <w:t>System</w:t>
      </w:r>
      <w:r w:rsidR="00994DA2">
        <w:rPr>
          <w:rFonts w:eastAsia="Times New Roman" w:cs="Times New Roman"/>
          <w:color w:val="4A4A4A"/>
          <w:sz w:val="21"/>
          <w:szCs w:val="21"/>
          <w:lang w:eastAsia="en-GB"/>
        </w:rPr>
        <w:t xml:space="preserve"> (</w:t>
      </w:r>
      <w:r w:rsidRPr="006E7107">
        <w:rPr>
          <w:rFonts w:eastAsia="Times New Roman" w:cs="Times New Roman"/>
          <w:color w:val="4A4A4A"/>
          <w:sz w:val="21"/>
          <w:szCs w:val="21"/>
          <w:lang w:eastAsia="en-GB"/>
        </w:rPr>
        <w:t>CRS</w:t>
      </w:r>
      <w:r w:rsidR="00994DA2">
        <w:rPr>
          <w:rFonts w:eastAsia="Times New Roman" w:cs="Times New Roman"/>
          <w:color w:val="4A4A4A"/>
          <w:sz w:val="21"/>
          <w:szCs w:val="21"/>
          <w:lang w:eastAsia="en-GB"/>
        </w:rPr>
        <w:t>)</w:t>
      </w:r>
      <w:r w:rsidRPr="006E7107">
        <w:rPr>
          <w:rFonts w:eastAsia="Times New Roman" w:cs="Times New Roman"/>
          <w:color w:val="4A4A4A"/>
          <w:sz w:val="21"/>
          <w:szCs w:val="21"/>
          <w:lang w:eastAsia="en-GB"/>
        </w:rPr>
        <w:t xml:space="preserve"> sector codes in the 200 series (see here</w:t>
      </w:r>
      <w:r w:rsidR="00BF0AFA" w:rsidRPr="00BF0AFA">
        <w:rPr>
          <w:rFonts w:ascii="Arial" w:hAnsi="Arial" w:cs="Arial"/>
          <w:sz w:val="20"/>
          <w:szCs w:val="20"/>
        </w:rPr>
        <w:t xml:space="preserve"> </w:t>
      </w:r>
      <w:hyperlink r:id="rId13" w:history="1">
        <w:r w:rsidR="00BF0AFA" w:rsidRPr="00BF0AFA">
          <w:rPr>
            <w:rStyle w:val="Hyperlink"/>
            <w:rFonts w:eastAsia="Times New Roman" w:cs="Times New Roman"/>
            <w:sz w:val="21"/>
            <w:szCs w:val="21"/>
            <w:lang w:eastAsia="en-GB"/>
          </w:rPr>
          <w:t>https://web-archive.oecd.org/temp/2019-03-28/80638-purposecodessectorclassification.htm</w:t>
        </w:r>
      </w:hyperlink>
      <w:r w:rsidRPr="006E7107">
        <w:rPr>
          <w:rFonts w:eastAsia="Times New Roman" w:cs="Times New Roman"/>
          <w:color w:val="4A4A4A"/>
          <w:sz w:val="21"/>
          <w:szCs w:val="21"/>
          <w:lang w:eastAsia="en-GB"/>
        </w:rPr>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895D2DF" w:rsidR="00EC2915" w:rsidRDefault="00AF45D0" w:rsidP="00576CFA">
      <w:pPr>
        <w:pStyle w:val="MText"/>
      </w:pPr>
      <w:r w:rsidRPr="009C0A11">
        <w:lastRenderedPageBreak/>
        <w:t xml:space="preserve">Total in US Dollars </w:t>
      </w:r>
      <w:r w:rsidR="007C5569" w:rsidRPr="009C0A11">
        <w:t>received</w:t>
      </w:r>
    </w:p>
    <w:p w14:paraId="64EBBD09" w14:textId="77777777" w:rsidR="00797876" w:rsidRPr="00A96255" w:rsidRDefault="00797876"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727BAA9" w14:textId="56435B63" w:rsidR="00326670" w:rsidRPr="009C0A11" w:rsidRDefault="0060224D" w:rsidP="004E407A">
      <w:pPr>
        <w:pStyle w:val="MText"/>
        <w:jc w:val="both"/>
        <w:rPr>
          <w:rFonts w:ascii="Calibri" w:hAnsi="Calibri"/>
        </w:rPr>
      </w:pPr>
      <w:r w:rsidRPr="009C0A11">
        <w:rPr>
          <w:rFonts w:ascii="Calibri" w:hAnsi="Calibri"/>
        </w:rPr>
        <w:t xml:space="preserve">The main sources of data on ODA are the </w:t>
      </w:r>
      <w:r w:rsidR="00C83B8E" w:rsidRPr="009C0A11">
        <w:rPr>
          <w:rFonts w:ascii="Calibri" w:hAnsi="Calibri"/>
        </w:rPr>
        <w:t xml:space="preserve">(Organisation for Economic Co-operation and </w:t>
      </w:r>
      <w:proofErr w:type="gramStart"/>
      <w:r w:rsidR="00C83B8E" w:rsidRPr="009C0A11">
        <w:rPr>
          <w:rFonts w:ascii="Calibri" w:hAnsi="Calibri"/>
        </w:rPr>
        <w:t>Development)</w:t>
      </w:r>
      <w:r w:rsidRPr="009C0A11">
        <w:rPr>
          <w:rFonts w:ascii="Calibri" w:hAnsi="Calibri"/>
        </w:rPr>
        <w:t>OECD</w:t>
      </w:r>
      <w:proofErr w:type="gramEnd"/>
      <w:r w:rsidRPr="009C0A11">
        <w:rPr>
          <w:rFonts w:ascii="Calibri" w:hAnsi="Calibri"/>
        </w:rPr>
        <w:t xml:space="preserve"> Development Assistance Committee</w:t>
      </w:r>
      <w:r w:rsidR="00326670" w:rsidRPr="009C0A11">
        <w:rPr>
          <w:rFonts w:ascii="Calibri" w:hAnsi="Calibri"/>
        </w:rPr>
        <w:t xml:space="preserve"> (OECD/DAC)</w:t>
      </w:r>
      <w:r w:rsidRPr="009C0A11">
        <w:rPr>
          <w:rFonts w:ascii="Calibri" w:hAnsi="Calibri"/>
        </w:rPr>
        <w:t xml:space="preserve"> and the World Bank. These organizations collect and publish detailed information on ODA flows, including</w:t>
      </w:r>
      <w:r w:rsidR="00326670" w:rsidRPr="009C0A11">
        <w:rPr>
          <w:rFonts w:ascii="Calibri" w:hAnsi="Calibri"/>
        </w:rPr>
        <w:t>:</w:t>
      </w:r>
    </w:p>
    <w:p w14:paraId="7DD40463" w14:textId="4BAAF6CD" w:rsidR="0060224D" w:rsidRDefault="0060224D" w:rsidP="009A7363">
      <w:pPr>
        <w:pStyle w:val="MText"/>
        <w:jc w:val="both"/>
        <w:rPr>
          <w:rFonts w:ascii="Calibri" w:hAnsi="Calibri"/>
        </w:rPr>
      </w:pPr>
      <w:r w:rsidRPr="009C0A11">
        <w:rPr>
          <w:rFonts w:ascii="Calibri" w:hAnsi="Calibri"/>
        </w:rPr>
        <w:t xml:space="preserve">the amounts provided by </w:t>
      </w:r>
      <w:r w:rsidR="00326670" w:rsidRPr="009C0A11">
        <w:rPr>
          <w:rFonts w:ascii="Calibri" w:hAnsi="Calibri"/>
        </w:rPr>
        <w:t xml:space="preserve">various </w:t>
      </w:r>
      <w:r w:rsidRPr="009C0A11">
        <w:rPr>
          <w:rFonts w:ascii="Calibri" w:hAnsi="Calibri"/>
        </w:rPr>
        <w:t xml:space="preserve">donor countries and organizations, the sectors and regions receiving assistance, and the terms and conditions </w:t>
      </w:r>
      <w:r w:rsidR="00326670" w:rsidRPr="009C0A11">
        <w:rPr>
          <w:rFonts w:ascii="Calibri" w:hAnsi="Calibri"/>
        </w:rPr>
        <w:t xml:space="preserve">under which </w:t>
      </w:r>
      <w:r w:rsidRPr="009C0A11">
        <w:rPr>
          <w:rFonts w:ascii="Calibri" w:hAnsi="Calibri"/>
        </w:rPr>
        <w:t>the aid</w:t>
      </w:r>
      <w:r w:rsidR="00326670" w:rsidRPr="009C0A11">
        <w:rPr>
          <w:rFonts w:ascii="Calibri" w:hAnsi="Calibri"/>
        </w:rPr>
        <w:t xml:space="preserve"> is provided</w:t>
      </w:r>
      <w:r w:rsidRPr="009C0A11">
        <w:rPr>
          <w:rFonts w:ascii="Calibri" w:hAnsi="Calibri"/>
        </w:rPr>
        <w:t>.</w:t>
      </w:r>
    </w:p>
    <w:p w14:paraId="47106012" w14:textId="77777777" w:rsidR="00244046" w:rsidRDefault="00244046" w:rsidP="0060224D">
      <w:pPr>
        <w:pStyle w:val="MText"/>
        <w:rPr>
          <w:rFonts w:ascii="Calibri" w:hAnsi="Calibri"/>
        </w:rPr>
      </w:pPr>
    </w:p>
    <w:p w14:paraId="227416EF" w14:textId="291712F9" w:rsidR="00244046" w:rsidRPr="006E7107" w:rsidRDefault="00244046" w:rsidP="009A7363">
      <w:pPr>
        <w:shd w:val="clear" w:color="auto" w:fill="FFFFFF"/>
        <w:spacing w:after="0"/>
        <w:jc w:val="both"/>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The OECD/DAC has been collecting data on official and private resource flows from 1960 at an aggregate level and </w:t>
      </w:r>
      <w:r w:rsidR="00DB72D0">
        <w:rPr>
          <w:rFonts w:eastAsia="Times New Roman" w:cs="Times New Roman"/>
          <w:color w:val="4A4A4A"/>
          <w:sz w:val="21"/>
          <w:szCs w:val="21"/>
          <w:lang w:eastAsia="en-GB"/>
        </w:rPr>
        <w:t xml:space="preserve">since </w:t>
      </w:r>
      <w:r w:rsidRPr="006E7107">
        <w:rPr>
          <w:rFonts w:eastAsia="Times New Roman" w:cs="Times New Roman"/>
          <w:color w:val="4A4A4A"/>
          <w:sz w:val="21"/>
          <w:szCs w:val="21"/>
          <w:lang w:eastAsia="en-GB"/>
        </w:rPr>
        <w:t>1973 at an activity level through the Creditor Reporting System (CRS</w:t>
      </w:r>
      <w:r w:rsidR="00DB72D0">
        <w:rPr>
          <w:rFonts w:eastAsia="Times New Roman" w:cs="Times New Roman"/>
          <w:color w:val="4A4A4A"/>
          <w:sz w:val="21"/>
          <w:szCs w:val="21"/>
          <w:lang w:eastAsia="en-GB"/>
        </w:rPr>
        <w:t>). CRS</w:t>
      </w:r>
      <w:r w:rsidRPr="006E7107">
        <w:rPr>
          <w:rFonts w:eastAsia="Times New Roman" w:cs="Times New Roman"/>
          <w:color w:val="4A4A4A"/>
          <w:sz w:val="21"/>
          <w:szCs w:val="21"/>
          <w:lang w:eastAsia="en-GB"/>
        </w:rPr>
        <w:t xml:space="preserve"> data are considered complete from 1995 for commitments at an activity level and</w:t>
      </w:r>
      <w:r w:rsidR="00DB72D0">
        <w:rPr>
          <w:rFonts w:eastAsia="Times New Roman" w:cs="Times New Roman"/>
          <w:color w:val="4A4A4A"/>
          <w:sz w:val="21"/>
          <w:szCs w:val="21"/>
          <w:lang w:eastAsia="en-GB"/>
        </w:rPr>
        <w:t xml:space="preserve"> from</w:t>
      </w:r>
      <w:r w:rsidRPr="006E7107">
        <w:rPr>
          <w:rFonts w:eastAsia="Times New Roman" w:cs="Times New Roman"/>
          <w:color w:val="4A4A4A"/>
          <w:sz w:val="21"/>
          <w:szCs w:val="21"/>
          <w:lang w:eastAsia="en-GB"/>
        </w:rPr>
        <w:t xml:space="preserve"> 2002 for disbursements. </w:t>
      </w:r>
    </w:p>
    <w:p w14:paraId="5AA098A1" w14:textId="77777777" w:rsidR="00244046" w:rsidRPr="006E7107" w:rsidRDefault="00244046" w:rsidP="009A7363">
      <w:pPr>
        <w:shd w:val="clear" w:color="auto" w:fill="FFFFFF"/>
        <w:spacing w:after="0"/>
        <w:jc w:val="both"/>
        <w:rPr>
          <w:rFonts w:eastAsia="Times New Roman" w:cs="Times New Roman"/>
          <w:color w:val="4A4A4A"/>
          <w:sz w:val="21"/>
          <w:szCs w:val="21"/>
          <w:lang w:eastAsia="en-GB"/>
        </w:rPr>
      </w:pPr>
    </w:p>
    <w:p w14:paraId="5E0C2F1B" w14:textId="40B06F4F" w:rsidR="00244046" w:rsidRPr="006E7107" w:rsidRDefault="00244046" w:rsidP="009A7363">
      <w:pPr>
        <w:shd w:val="clear" w:color="auto" w:fill="FFFFFF"/>
        <w:spacing w:after="0"/>
        <w:jc w:val="both"/>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The data are reported by donors according to the same standards and methodologies (see here: </w:t>
      </w:r>
      <w:proofErr w:type="gramStart"/>
      <w:r w:rsidR="00BF0AFA" w:rsidRPr="00BF0AFA">
        <w:rPr>
          <w:rFonts w:eastAsia="Times New Roman" w:cs="Times New Roman"/>
          <w:color w:val="4A4A4A"/>
          <w:sz w:val="21"/>
          <w:szCs w:val="21"/>
          <w:lang w:eastAsia="en-GB"/>
        </w:rPr>
        <w:t>https://www.oecd.org/en/topics/oda-trends-and-statistics.html</w:t>
      </w:r>
      <w:r w:rsidR="002773C7">
        <w:rPr>
          <w:rFonts w:eastAsia="Times New Roman" w:cs="Times New Roman"/>
          <w:color w:val="4A4A4A"/>
          <w:sz w:val="21"/>
          <w:szCs w:val="21"/>
          <w:lang w:eastAsia="en-GB"/>
        </w:rPr>
        <w:t xml:space="preserve"> </w:t>
      </w:r>
      <w:r w:rsidRPr="006E7107">
        <w:rPr>
          <w:rFonts w:eastAsia="Times New Roman" w:cs="Times New Roman"/>
          <w:color w:val="4A4A4A"/>
          <w:sz w:val="21"/>
          <w:szCs w:val="21"/>
          <w:lang w:eastAsia="en-GB"/>
        </w:rPr>
        <w:t>)</w:t>
      </w:r>
      <w:proofErr w:type="gramEnd"/>
      <w:r w:rsidRPr="006E7107">
        <w:rPr>
          <w:rFonts w:eastAsia="Times New Roman" w:cs="Times New Roman"/>
          <w:color w:val="4A4A4A"/>
          <w:sz w:val="21"/>
          <w:szCs w:val="21"/>
          <w:lang w:eastAsia="en-GB"/>
        </w:rPr>
        <w:t>.</w:t>
      </w:r>
    </w:p>
    <w:p w14:paraId="1477F7C0" w14:textId="77777777" w:rsidR="00244046" w:rsidRPr="006E7107" w:rsidRDefault="00244046" w:rsidP="009A7363">
      <w:pPr>
        <w:shd w:val="clear" w:color="auto" w:fill="FFFFFF"/>
        <w:spacing w:after="0"/>
        <w:jc w:val="both"/>
        <w:rPr>
          <w:rFonts w:eastAsia="Times New Roman" w:cs="Times New Roman"/>
          <w:color w:val="4A4A4A"/>
          <w:sz w:val="21"/>
          <w:szCs w:val="21"/>
          <w:lang w:eastAsia="en-GB"/>
        </w:rPr>
      </w:pPr>
    </w:p>
    <w:p w14:paraId="59684B87" w14:textId="4B0678D7" w:rsidR="00244046" w:rsidRPr="006E7107" w:rsidRDefault="002773C7" w:rsidP="009A7363">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ODA d</w:t>
      </w:r>
      <w:r w:rsidR="00244046" w:rsidRPr="006E7107">
        <w:rPr>
          <w:rFonts w:eastAsia="Times New Roman" w:cs="Times New Roman"/>
          <w:color w:val="4A4A4A"/>
          <w:sz w:val="21"/>
          <w:szCs w:val="21"/>
          <w:lang w:eastAsia="en-GB"/>
        </w:rPr>
        <w:t xml:space="preserve">ata are </w:t>
      </w:r>
      <w:r w:rsidR="00CD24E2" w:rsidRPr="006E7107">
        <w:rPr>
          <w:rFonts w:eastAsia="Times New Roman" w:cs="Times New Roman"/>
          <w:color w:val="4A4A4A"/>
          <w:sz w:val="21"/>
          <w:szCs w:val="21"/>
          <w:lang w:eastAsia="en-GB"/>
        </w:rPr>
        <w:t>reported annually</w:t>
      </w:r>
      <w:r>
        <w:rPr>
          <w:rFonts w:eastAsia="Times New Roman" w:cs="Times New Roman"/>
          <w:color w:val="4A4A4A"/>
          <w:sz w:val="21"/>
          <w:szCs w:val="21"/>
          <w:lang w:eastAsia="en-GB"/>
        </w:rPr>
        <w:t xml:space="preserve"> on a</w:t>
      </w:r>
      <w:r w:rsidR="00244046" w:rsidRPr="006E7107">
        <w:rPr>
          <w:rFonts w:eastAsia="Times New Roman" w:cs="Times New Roman"/>
          <w:color w:val="4A4A4A"/>
          <w:sz w:val="21"/>
          <w:szCs w:val="21"/>
          <w:lang w:eastAsia="en-GB"/>
        </w:rPr>
        <w:t xml:space="preserve"> calendar year basis by statistical reporters in national administrations</w:t>
      </w:r>
      <w:r>
        <w:rPr>
          <w:rFonts w:eastAsia="Times New Roman" w:cs="Times New Roman"/>
          <w:color w:val="4A4A4A"/>
          <w:sz w:val="21"/>
          <w:szCs w:val="21"/>
          <w:lang w:eastAsia="en-GB"/>
        </w:rPr>
        <w:t>, including</w:t>
      </w:r>
      <w:r w:rsidR="00244046" w:rsidRPr="006E7107">
        <w:rPr>
          <w:rFonts w:eastAsia="Times New Roman" w:cs="Times New Roman"/>
          <w:color w:val="4A4A4A"/>
          <w:sz w:val="21"/>
          <w:szCs w:val="21"/>
          <w:lang w:eastAsia="en-GB"/>
        </w:rPr>
        <w:t xml:space="preserve"> aid agencies, </w:t>
      </w:r>
      <w:r>
        <w:rPr>
          <w:rFonts w:eastAsia="Times New Roman" w:cs="Times New Roman"/>
          <w:color w:val="4A4A4A"/>
          <w:sz w:val="21"/>
          <w:szCs w:val="21"/>
          <w:lang w:eastAsia="en-GB"/>
        </w:rPr>
        <w:t>and m</w:t>
      </w:r>
      <w:r w:rsidR="00244046" w:rsidRPr="006E7107">
        <w:rPr>
          <w:rFonts w:eastAsia="Times New Roman" w:cs="Times New Roman"/>
          <w:color w:val="4A4A4A"/>
          <w:sz w:val="21"/>
          <w:szCs w:val="21"/>
          <w:lang w:eastAsia="en-GB"/>
        </w:rPr>
        <w:t xml:space="preserve">inistries </w:t>
      </w:r>
      <w:r>
        <w:rPr>
          <w:rFonts w:eastAsia="Times New Roman" w:cs="Times New Roman"/>
          <w:color w:val="4A4A4A"/>
          <w:sz w:val="21"/>
          <w:szCs w:val="21"/>
          <w:lang w:eastAsia="en-GB"/>
        </w:rPr>
        <w:t>responsible for f</w:t>
      </w:r>
      <w:r w:rsidR="00244046" w:rsidRPr="006E7107">
        <w:rPr>
          <w:rFonts w:eastAsia="Times New Roman" w:cs="Times New Roman"/>
          <w:color w:val="4A4A4A"/>
          <w:sz w:val="21"/>
          <w:szCs w:val="21"/>
          <w:lang w:eastAsia="en-GB"/>
        </w:rPr>
        <w:t xml:space="preserve">oreign </w:t>
      </w:r>
      <w:r>
        <w:rPr>
          <w:rFonts w:eastAsia="Times New Roman" w:cs="Times New Roman"/>
          <w:color w:val="4A4A4A"/>
          <w:sz w:val="21"/>
          <w:szCs w:val="21"/>
          <w:lang w:eastAsia="en-GB"/>
        </w:rPr>
        <w:t>a</w:t>
      </w:r>
      <w:r w:rsidR="00244046" w:rsidRPr="006E7107">
        <w:rPr>
          <w:rFonts w:eastAsia="Times New Roman" w:cs="Times New Roman"/>
          <w:color w:val="4A4A4A"/>
          <w:sz w:val="21"/>
          <w:szCs w:val="21"/>
          <w:lang w:eastAsia="en-GB"/>
        </w:rPr>
        <w:t>ffairs or Finance, etc.</w:t>
      </w:r>
    </w:p>
    <w:p w14:paraId="436F5DF3" w14:textId="77777777" w:rsidR="00244046" w:rsidRPr="0060224D" w:rsidRDefault="00244046" w:rsidP="0060224D">
      <w:pPr>
        <w:pStyle w:val="MText"/>
        <w:rPr>
          <w:rFonts w:ascii="Calibri" w:hAnsi="Calibri"/>
        </w:rPr>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5D822B3" w14:textId="2768106B" w:rsidR="002773C7" w:rsidRPr="009C0A11" w:rsidRDefault="002773C7" w:rsidP="00CB0899">
      <w:pPr>
        <w:pStyle w:val="MText"/>
        <w:jc w:val="both"/>
      </w:pPr>
      <w:r w:rsidRPr="009C0A11">
        <w:t>D</w:t>
      </w:r>
      <w:r w:rsidR="00073FAC" w:rsidRPr="009C0A11">
        <w:t xml:space="preserve">ata on </w:t>
      </w:r>
      <w:r w:rsidRPr="009C0A11">
        <w:t>ODA</w:t>
      </w:r>
      <w:r w:rsidR="00073FAC" w:rsidRPr="009C0A11">
        <w:t xml:space="preserve"> is collected through a standardized reporting system administered by the OECD</w:t>
      </w:r>
      <w:r w:rsidR="008362C4" w:rsidRPr="009C0A11">
        <w:t>’s</w:t>
      </w:r>
      <w:r w:rsidR="00073FAC" w:rsidRPr="009C0A11">
        <w:t xml:space="preserve"> Development Assistance Committee</w:t>
      </w:r>
      <w:r w:rsidRPr="009C0A11">
        <w:t xml:space="preserve"> (OECD/DAC)</w:t>
      </w:r>
      <w:r w:rsidR="00073FAC" w:rsidRPr="009C0A11">
        <w:t xml:space="preserve">. </w:t>
      </w:r>
    </w:p>
    <w:p w14:paraId="218207C7" w14:textId="709BD3DE" w:rsidR="002773C7" w:rsidRPr="009C0A11" w:rsidRDefault="00073FAC" w:rsidP="00CB0899">
      <w:pPr>
        <w:pStyle w:val="MText"/>
        <w:jc w:val="both"/>
      </w:pPr>
      <w:r w:rsidRPr="009C0A11">
        <w:t xml:space="preserve">Donor countries and multilateral organizations that are members of the DAC are required to report their ODA transactions </w:t>
      </w:r>
      <w:r w:rsidR="002773C7" w:rsidRPr="009C0A11">
        <w:t>annually</w:t>
      </w:r>
      <w:r w:rsidRPr="009C0A11">
        <w:t>, providing detailed information on the type, purpose, and terms of the assistance</w:t>
      </w:r>
      <w:r w:rsidR="002773C7" w:rsidRPr="009C0A11">
        <w:t xml:space="preserve"> provided</w:t>
      </w:r>
      <w:r w:rsidRPr="009C0A11">
        <w:t>.</w:t>
      </w:r>
      <w:r w:rsidR="00656069" w:rsidRPr="009C0A11">
        <w:t xml:space="preserve"> </w:t>
      </w:r>
    </w:p>
    <w:p w14:paraId="7625FB7E" w14:textId="114FAFEB" w:rsidR="00595BE3" w:rsidRPr="009C0A11" w:rsidRDefault="00595BE3" w:rsidP="00CB0899">
      <w:pPr>
        <w:pStyle w:val="MText"/>
        <w:jc w:val="both"/>
      </w:pPr>
    </w:p>
    <w:p w14:paraId="5BE4843C" w14:textId="391C7BF9" w:rsidR="00073FAC" w:rsidRPr="00073FAC" w:rsidRDefault="00656069" w:rsidP="00CB0899">
      <w:pPr>
        <w:pStyle w:val="MText"/>
        <w:jc w:val="both"/>
      </w:pPr>
      <w:r w:rsidRPr="009C0A11">
        <w:t>From the data tables</w:t>
      </w:r>
      <w:r w:rsidR="00CB0899" w:rsidRPr="009C0A11">
        <w:t>,</w:t>
      </w:r>
      <w:r w:rsidRPr="009C0A11">
        <w:t xml:space="preserve"> sector specific data that is earmarked for infra</w:t>
      </w:r>
      <w:r w:rsidR="000936E0" w:rsidRPr="009C0A11">
        <w:t>str</w:t>
      </w:r>
      <w:r w:rsidRPr="009C0A11">
        <w:t>u</w:t>
      </w:r>
      <w:r w:rsidR="000936E0" w:rsidRPr="009C0A11">
        <w:t>c</w:t>
      </w:r>
      <w:r w:rsidRPr="009C0A11">
        <w:t>ture proj</w:t>
      </w:r>
      <w:r w:rsidR="000936E0" w:rsidRPr="009C0A11">
        <w:t>e</w:t>
      </w:r>
      <w:r w:rsidRPr="009C0A11">
        <w:t>cts will be extracted</w:t>
      </w:r>
      <w:r w:rsidR="00CB0899" w:rsidRPr="009C0A11">
        <w:t xml:space="preserve"> for </w:t>
      </w:r>
      <w:r w:rsidR="00595BE3" w:rsidRPr="009C0A11">
        <w:t xml:space="preserve">recipient </w:t>
      </w:r>
      <w:r w:rsidR="00CB0899" w:rsidRPr="009C0A11">
        <w:t>countries</w:t>
      </w:r>
      <w:r w:rsidR="00595BE3" w:rsidRPr="009C0A11">
        <w:t>,</w:t>
      </w:r>
      <w:r w:rsidR="00CB0899" w:rsidRPr="009C0A11">
        <w:t xml:space="preserve"> </w:t>
      </w:r>
      <w:r w:rsidR="00334B9F" w:rsidRPr="009C0A11">
        <w:t>while</w:t>
      </w:r>
      <w:r w:rsidR="00CB0899" w:rsidRPr="009C0A11">
        <w:t xml:space="preserve"> country</w:t>
      </w:r>
      <w:r w:rsidR="00595BE3" w:rsidRPr="009C0A11">
        <w:t>-level ODA</w:t>
      </w:r>
      <w:r w:rsidR="00CB0899" w:rsidRPr="009C0A11">
        <w:t xml:space="preserve"> totals </w:t>
      </w:r>
      <w:r w:rsidR="00595BE3" w:rsidRPr="009C0A11">
        <w:t xml:space="preserve">will be </w:t>
      </w:r>
      <w:r w:rsidR="00CB0899" w:rsidRPr="009C0A11">
        <w:t>compiled separately.</w:t>
      </w:r>
      <w:r w:rsidR="00CB0899">
        <w:t xml:space="preserve"> </w:t>
      </w:r>
      <w:r>
        <w:t xml:space="preserve"> </w:t>
      </w:r>
    </w:p>
    <w:p w14:paraId="5823FBC8" w14:textId="361847AB" w:rsidR="00576CFA" w:rsidRPr="00A96255" w:rsidRDefault="00576CFA" w:rsidP="00576CFA">
      <w:pPr>
        <w:pStyle w:val="MText"/>
      </w:pPr>
    </w:p>
    <w:p w14:paraId="227F56CD" w14:textId="77777777" w:rsidR="00797876" w:rsidRPr="00A96255" w:rsidRDefault="00797876"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6817B36" w14:textId="111D108A" w:rsidR="003C6A86" w:rsidRPr="003C6A86" w:rsidRDefault="00247FED" w:rsidP="003C6A86">
      <w:pPr>
        <w:shd w:val="clear" w:color="auto" w:fill="FFFFFF"/>
        <w:spacing w:after="0"/>
        <w:rPr>
          <w:rFonts w:ascii="Calibri" w:eastAsia="Times New Roman" w:hAnsi="Calibri" w:cs="Times New Roman"/>
          <w:color w:val="4A4A4A"/>
          <w:sz w:val="21"/>
          <w:szCs w:val="21"/>
          <w:lang w:eastAsia="en-GB"/>
        </w:rPr>
      </w:pPr>
      <w:r w:rsidRPr="006E7107">
        <w:rPr>
          <w:rFonts w:eastAsia="Times New Roman" w:cs="Times New Roman"/>
          <w:color w:val="4A4A4A"/>
          <w:sz w:val="21"/>
          <w:szCs w:val="21"/>
          <w:lang w:eastAsia="en-GB"/>
        </w:rPr>
        <w:t xml:space="preserve">Data are </w:t>
      </w:r>
      <w:r w:rsidRPr="009C0A11">
        <w:rPr>
          <w:rFonts w:eastAsia="Times New Roman" w:cs="Times New Roman"/>
          <w:color w:val="4A4A4A"/>
          <w:sz w:val="21"/>
          <w:szCs w:val="21"/>
          <w:lang w:eastAsia="en-GB"/>
        </w:rPr>
        <w:t xml:space="preserve">published </w:t>
      </w:r>
      <w:r w:rsidR="00595BE3" w:rsidRPr="009C0A11">
        <w:rPr>
          <w:rFonts w:eastAsia="Times New Roman" w:cs="Times New Roman"/>
          <w:color w:val="4A4A4A"/>
          <w:sz w:val="21"/>
          <w:szCs w:val="21"/>
          <w:lang w:eastAsia="en-GB"/>
        </w:rPr>
        <w:t>annually</w:t>
      </w:r>
      <w:r w:rsidRPr="009C0A11">
        <w:rPr>
          <w:rFonts w:eastAsia="Times New Roman" w:cs="Times New Roman"/>
          <w:color w:val="4A4A4A"/>
          <w:sz w:val="21"/>
          <w:szCs w:val="21"/>
          <w:lang w:eastAsia="en-GB"/>
        </w:rPr>
        <w:t xml:space="preserve"> in December</w:t>
      </w:r>
      <w:r w:rsidR="00595BE3" w:rsidRPr="009C0A11">
        <w:rPr>
          <w:rFonts w:eastAsia="Times New Roman" w:cs="Times New Roman"/>
          <w:color w:val="4A4A4A"/>
          <w:sz w:val="21"/>
          <w:szCs w:val="21"/>
          <w:lang w:eastAsia="en-GB"/>
        </w:rPr>
        <w:t>, covering ODA</w:t>
      </w:r>
      <w:r w:rsidRPr="009C0A11">
        <w:rPr>
          <w:rFonts w:eastAsia="Times New Roman" w:cs="Times New Roman"/>
          <w:color w:val="4A4A4A"/>
          <w:sz w:val="21"/>
          <w:szCs w:val="21"/>
          <w:lang w:eastAsia="en-GB"/>
        </w:rPr>
        <w:t xml:space="preserve"> flows </w:t>
      </w:r>
      <w:r w:rsidR="00595BE3" w:rsidRPr="009C0A11">
        <w:rPr>
          <w:rFonts w:eastAsia="Times New Roman" w:cs="Times New Roman"/>
          <w:color w:val="4A4A4A"/>
          <w:sz w:val="21"/>
          <w:szCs w:val="21"/>
          <w:lang w:eastAsia="en-GB"/>
        </w:rPr>
        <w:t xml:space="preserve">from </w:t>
      </w:r>
      <w:r w:rsidRPr="009C0A11">
        <w:rPr>
          <w:rFonts w:eastAsia="Times New Roman" w:cs="Times New Roman"/>
          <w:color w:val="4A4A4A"/>
          <w:sz w:val="21"/>
          <w:szCs w:val="21"/>
          <w:lang w:eastAsia="en-GB"/>
        </w:rPr>
        <w:t xml:space="preserve">the previous year. </w:t>
      </w:r>
      <w:r w:rsidR="003C6A86" w:rsidRPr="009C0A11">
        <w:rPr>
          <w:rFonts w:ascii="Calibri" w:eastAsia="Times New Roman" w:hAnsi="Calibri" w:cs="Times New Roman"/>
          <w:color w:val="4A4A4A"/>
          <w:sz w:val="21"/>
          <w:szCs w:val="21"/>
          <w:lang w:eastAsia="en-GB"/>
        </w:rPr>
        <w:t>The monitoring of th</w:t>
      </w:r>
      <w:r w:rsidR="00595BE3" w:rsidRPr="009C0A11">
        <w:rPr>
          <w:rFonts w:ascii="Calibri" w:eastAsia="Times New Roman" w:hAnsi="Calibri" w:cs="Times New Roman"/>
          <w:color w:val="4A4A4A"/>
          <w:sz w:val="21"/>
          <w:szCs w:val="21"/>
          <w:lang w:eastAsia="en-GB"/>
        </w:rPr>
        <w:t>is</w:t>
      </w:r>
      <w:r w:rsidR="003C6A86" w:rsidRPr="009C0A11">
        <w:rPr>
          <w:rFonts w:ascii="Calibri" w:eastAsia="Times New Roman" w:hAnsi="Calibri" w:cs="Times New Roman"/>
          <w:color w:val="4A4A4A"/>
          <w:sz w:val="21"/>
          <w:szCs w:val="21"/>
          <w:lang w:eastAsia="en-GB"/>
        </w:rPr>
        <w:t xml:space="preserve"> indicator </w:t>
      </w:r>
      <w:r w:rsidR="00595BE3" w:rsidRPr="009C0A11">
        <w:rPr>
          <w:rFonts w:ascii="Calibri" w:eastAsia="Times New Roman" w:hAnsi="Calibri" w:cs="Times New Roman"/>
          <w:color w:val="4A4A4A"/>
          <w:sz w:val="21"/>
          <w:szCs w:val="21"/>
          <w:lang w:eastAsia="en-GB"/>
        </w:rPr>
        <w:t xml:space="preserve">is conducted </w:t>
      </w:r>
      <w:r w:rsidR="003C6A86" w:rsidRPr="009C0A11">
        <w:rPr>
          <w:rFonts w:ascii="Calibri" w:eastAsia="Times New Roman" w:hAnsi="Calibri" w:cs="Times New Roman"/>
          <w:color w:val="4A4A4A"/>
          <w:sz w:val="21"/>
          <w:szCs w:val="21"/>
          <w:lang w:eastAsia="en-GB"/>
        </w:rPr>
        <w:t xml:space="preserve">at regular </w:t>
      </w:r>
      <w:r w:rsidR="00595BE3" w:rsidRPr="009C0A11">
        <w:rPr>
          <w:rFonts w:ascii="Calibri" w:eastAsia="Times New Roman" w:hAnsi="Calibri" w:cs="Times New Roman"/>
          <w:color w:val="4A4A4A"/>
          <w:sz w:val="21"/>
          <w:szCs w:val="21"/>
          <w:lang w:eastAsia="en-GB"/>
        </w:rPr>
        <w:t xml:space="preserve">two-year </w:t>
      </w:r>
      <w:r w:rsidR="003C6A86" w:rsidRPr="009C0A11">
        <w:rPr>
          <w:rFonts w:ascii="Calibri" w:eastAsia="Times New Roman" w:hAnsi="Calibri" w:cs="Times New Roman"/>
          <w:color w:val="4A4A4A"/>
          <w:sz w:val="21"/>
          <w:szCs w:val="21"/>
          <w:lang w:eastAsia="en-GB"/>
        </w:rPr>
        <w:t xml:space="preserve">intervals, allowing for </w:t>
      </w:r>
      <w:r w:rsidR="00CB0899" w:rsidRPr="009C0A11">
        <w:rPr>
          <w:rFonts w:ascii="Calibri" w:eastAsia="Times New Roman" w:hAnsi="Calibri" w:cs="Times New Roman"/>
          <w:color w:val="4A4A4A"/>
          <w:sz w:val="21"/>
          <w:szCs w:val="21"/>
          <w:lang w:eastAsia="en-GB"/>
        </w:rPr>
        <w:t>two</w:t>
      </w:r>
      <w:r w:rsidR="003C6A86" w:rsidRPr="009C0A11">
        <w:rPr>
          <w:rFonts w:ascii="Calibri" w:eastAsia="Times New Roman" w:hAnsi="Calibri" w:cs="Times New Roman"/>
          <w:color w:val="4A4A4A"/>
          <w:sz w:val="21"/>
          <w:szCs w:val="21"/>
          <w:lang w:eastAsia="en-GB"/>
        </w:rPr>
        <w:t xml:space="preserve"> (</w:t>
      </w:r>
      <w:r w:rsidR="00CB0899" w:rsidRPr="009C0A11">
        <w:rPr>
          <w:rFonts w:ascii="Calibri" w:eastAsia="Times New Roman" w:hAnsi="Calibri" w:cs="Times New Roman"/>
          <w:color w:val="4A4A4A"/>
          <w:sz w:val="21"/>
          <w:szCs w:val="21"/>
          <w:lang w:eastAsia="en-GB"/>
        </w:rPr>
        <w:t>2</w:t>
      </w:r>
      <w:r w:rsidR="003C6A86" w:rsidRPr="009C0A11">
        <w:rPr>
          <w:rFonts w:ascii="Calibri" w:eastAsia="Times New Roman" w:hAnsi="Calibri" w:cs="Times New Roman"/>
          <w:color w:val="4A4A4A"/>
          <w:sz w:val="21"/>
          <w:szCs w:val="21"/>
          <w:lang w:eastAsia="en-GB"/>
        </w:rPr>
        <w:t>) reporting points until the year 2030.</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2870FB2" w14:textId="73C5D7CB" w:rsidR="00797876" w:rsidRPr="00A96255" w:rsidRDefault="00797876" w:rsidP="00797876">
      <w:pPr>
        <w:pStyle w:val="MText"/>
      </w:pPr>
      <w:r w:rsidRPr="009C0A11">
        <w:t>Data for indicator 11</w:t>
      </w:r>
      <w:r w:rsidR="00CB0899" w:rsidRPr="009C0A11">
        <w:t>c</w:t>
      </w:r>
      <w:r w:rsidRPr="009C0A11">
        <w:t>.</w:t>
      </w:r>
      <w:r w:rsidR="00672391" w:rsidRPr="009C0A11">
        <w:t>1</w:t>
      </w:r>
      <w:r w:rsidRPr="009C0A11">
        <w:t xml:space="preserve"> will be released </w:t>
      </w:r>
      <w:r w:rsidR="00595BE3" w:rsidRPr="009C0A11">
        <w:t>annually</w:t>
      </w:r>
      <w:r w:rsidRPr="009C0A11">
        <w:t xml:space="preserve">, to </w:t>
      </w:r>
      <w:r w:rsidR="00A17B04" w:rsidRPr="009C0A11">
        <w:t>account for</w:t>
      </w:r>
      <w:r w:rsidR="000651E5" w:rsidRPr="009C0A11">
        <w:t xml:space="preserve"> the </w:t>
      </w:r>
      <w:r w:rsidR="00595BE3" w:rsidRPr="009C0A11">
        <w:t>limited remaining years until the 2030 endline.</w:t>
      </w:r>
    </w:p>
    <w:p w14:paraId="118DFE1E" w14:textId="77777777" w:rsidR="00797876" w:rsidRPr="00A96255" w:rsidRDefault="00797876"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CD244F2" w14:textId="529F11A9" w:rsidR="003C6A86" w:rsidRPr="003C6A86" w:rsidRDefault="003C6A86" w:rsidP="003C6A86">
      <w:pPr>
        <w:shd w:val="clear" w:color="auto" w:fill="FFFFFF"/>
        <w:spacing w:after="0"/>
        <w:rPr>
          <w:rFonts w:ascii="Calibri" w:eastAsia="Times New Roman" w:hAnsi="Calibri" w:cs="Times New Roman"/>
          <w:color w:val="4A4A4A"/>
          <w:sz w:val="21"/>
          <w:szCs w:val="21"/>
          <w:lang w:eastAsia="en-GB"/>
        </w:rPr>
      </w:pPr>
      <w:r w:rsidRPr="009C0A11">
        <w:rPr>
          <w:rFonts w:ascii="Calibri" w:eastAsia="Times New Roman" w:hAnsi="Calibri" w:cs="Times New Roman"/>
          <w:color w:val="4A4A4A"/>
          <w:sz w:val="21"/>
          <w:szCs w:val="21"/>
          <w:lang w:eastAsia="en-GB"/>
        </w:rPr>
        <w:t>National statistical organisations</w:t>
      </w:r>
      <w:r w:rsidR="00F04A4E" w:rsidRPr="009C0A11">
        <w:rPr>
          <w:rFonts w:ascii="Calibri" w:eastAsia="Times New Roman" w:hAnsi="Calibri" w:cs="Times New Roman"/>
          <w:color w:val="4A4A4A"/>
          <w:sz w:val="21"/>
          <w:szCs w:val="21"/>
          <w:lang w:eastAsia="en-GB"/>
        </w:rPr>
        <w:t xml:space="preserve"> are expected to provide this data on behalf of the</w:t>
      </w:r>
      <w:r w:rsidR="00595BE3" w:rsidRPr="009C0A11">
        <w:rPr>
          <w:rFonts w:ascii="Calibri" w:eastAsia="Times New Roman" w:hAnsi="Calibri" w:cs="Times New Roman"/>
          <w:color w:val="4A4A4A"/>
          <w:sz w:val="21"/>
          <w:szCs w:val="21"/>
          <w:lang w:eastAsia="en-GB"/>
        </w:rPr>
        <w:t>ir respective</w:t>
      </w:r>
      <w:r w:rsidR="00F04A4E" w:rsidRPr="009C0A11">
        <w:rPr>
          <w:rFonts w:ascii="Calibri" w:eastAsia="Times New Roman" w:hAnsi="Calibri" w:cs="Times New Roman"/>
          <w:color w:val="4A4A4A"/>
          <w:sz w:val="21"/>
          <w:szCs w:val="21"/>
          <w:lang w:eastAsia="en-GB"/>
        </w:rPr>
        <w:t xml:space="preserve"> countries</w:t>
      </w:r>
      <w:r w:rsidRPr="009C0A11">
        <w:rPr>
          <w:rFonts w:ascii="Calibri" w:eastAsia="Times New Roman" w:hAnsi="Calibri" w:cs="Times New Roman"/>
          <w:color w:val="4A4A4A"/>
          <w:sz w:val="21"/>
          <w:szCs w:val="21"/>
          <w:lang w:eastAsia="en-GB"/>
        </w:rP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BA27A04" w14:textId="3E79B1BE" w:rsidR="003C6A86" w:rsidRPr="009C0A11" w:rsidRDefault="003C6A86" w:rsidP="003C6A86">
      <w:pPr>
        <w:shd w:val="clear" w:color="auto" w:fill="FFFFFF"/>
        <w:spacing w:after="0"/>
        <w:rPr>
          <w:rFonts w:ascii="Calibri" w:eastAsia="Times New Roman" w:hAnsi="Calibri" w:cs="Times New Roman"/>
          <w:color w:val="4A4A4A"/>
          <w:sz w:val="21"/>
          <w:szCs w:val="21"/>
          <w:lang w:eastAsia="en-GB"/>
        </w:rPr>
      </w:pPr>
      <w:r w:rsidRPr="009C0A11">
        <w:rPr>
          <w:rFonts w:ascii="Calibri" w:eastAsia="Times New Roman" w:hAnsi="Calibri" w:cs="Times New Roman"/>
          <w:color w:val="4A4A4A"/>
          <w:sz w:val="21"/>
          <w:szCs w:val="21"/>
          <w:lang w:eastAsia="en-GB"/>
        </w:rPr>
        <w:t>UN-Habitat</w:t>
      </w:r>
      <w:r w:rsidR="008D6D83" w:rsidRPr="009C0A11">
        <w:rPr>
          <w:rFonts w:ascii="Calibri" w:eastAsia="Times New Roman" w:hAnsi="Calibri" w:cs="Times New Roman"/>
          <w:color w:val="4A4A4A"/>
          <w:sz w:val="21"/>
          <w:szCs w:val="21"/>
          <w:lang w:eastAsia="en-GB"/>
        </w:rPr>
        <w:t xml:space="preserve">, </w:t>
      </w:r>
      <w:r w:rsidR="009B330C" w:rsidRPr="009C0A11">
        <w:rPr>
          <w:rFonts w:ascii="Calibri" w:eastAsia="Times New Roman" w:hAnsi="Calibri" w:cs="Times New Roman"/>
          <w:color w:val="4A4A4A"/>
          <w:sz w:val="21"/>
          <w:szCs w:val="21"/>
          <w:lang w:eastAsia="en-GB"/>
        </w:rPr>
        <w:t>OECD</w:t>
      </w:r>
      <w:r w:rsidR="00093433" w:rsidRPr="009C0A11">
        <w:rPr>
          <w:rFonts w:ascii="Calibri" w:eastAsia="Times New Roman" w:hAnsi="Calibri" w:cs="Times New Roman"/>
          <w:color w:val="4A4A4A"/>
          <w:sz w:val="21"/>
          <w:szCs w:val="21"/>
          <w:lang w:eastAsia="en-GB"/>
        </w:rPr>
        <w:t>,</w:t>
      </w:r>
      <w:r w:rsidR="009B330C" w:rsidRPr="009C0A11">
        <w:rPr>
          <w:rFonts w:ascii="Calibri" w:eastAsia="Times New Roman" w:hAnsi="Calibri" w:cs="Times New Roman"/>
          <w:color w:val="4A4A4A"/>
          <w:sz w:val="21"/>
          <w:szCs w:val="21"/>
          <w:lang w:eastAsia="en-GB"/>
        </w:rPr>
        <w:t xml:space="preserve"> </w:t>
      </w:r>
      <w:r w:rsidR="00093433" w:rsidRPr="009C0A11">
        <w:rPr>
          <w:rFonts w:ascii="Calibri" w:eastAsia="Times New Roman" w:hAnsi="Calibri" w:cs="Times New Roman"/>
          <w:color w:val="4A4A4A"/>
          <w:sz w:val="21"/>
          <w:szCs w:val="21"/>
          <w:lang w:eastAsia="en-GB"/>
        </w:rPr>
        <w:t xml:space="preserve">the </w:t>
      </w:r>
      <w:r w:rsidR="009B330C" w:rsidRPr="009C0A11">
        <w:rPr>
          <w:rFonts w:ascii="Calibri" w:eastAsia="Times New Roman" w:hAnsi="Calibri" w:cs="Times New Roman"/>
          <w:color w:val="4A4A4A"/>
          <w:sz w:val="21"/>
          <w:szCs w:val="21"/>
          <w:lang w:eastAsia="en-GB"/>
        </w:rPr>
        <w:t>World Bank</w:t>
      </w:r>
      <w:r w:rsidRPr="009C0A11">
        <w:rPr>
          <w:rFonts w:ascii="Calibri" w:eastAsia="Times New Roman" w:hAnsi="Calibri" w:cs="Times New Roman"/>
          <w:color w:val="4A4A4A"/>
          <w:sz w:val="21"/>
          <w:szCs w:val="21"/>
          <w:lang w:eastAsia="en-GB"/>
        </w:rPr>
        <w:t xml:space="preserve"> and other partners are</w:t>
      </w:r>
      <w:r w:rsidR="004A1A6C" w:rsidRPr="009C0A11">
        <w:rPr>
          <w:rFonts w:ascii="Calibri" w:eastAsia="Times New Roman" w:hAnsi="Calibri" w:cs="Times New Roman"/>
          <w:color w:val="4A4A4A"/>
          <w:sz w:val="21"/>
          <w:szCs w:val="21"/>
          <w:lang w:eastAsia="en-GB"/>
        </w:rPr>
        <w:t xml:space="preserve"> and will continue</w:t>
      </w:r>
      <w:r w:rsidRPr="009C0A11">
        <w:rPr>
          <w:rFonts w:ascii="Calibri" w:eastAsia="Times New Roman" w:hAnsi="Calibri" w:cs="Times New Roman"/>
          <w:color w:val="4A4A4A"/>
          <w:sz w:val="21"/>
          <w:szCs w:val="21"/>
          <w:lang w:eastAsia="en-GB"/>
        </w:rPr>
        <w:t xml:space="preserve"> </w:t>
      </w:r>
      <w:r w:rsidR="00093433" w:rsidRPr="009C0A11">
        <w:rPr>
          <w:rFonts w:ascii="Calibri" w:eastAsia="Times New Roman" w:hAnsi="Calibri" w:cs="Times New Roman"/>
          <w:color w:val="4A4A4A"/>
          <w:sz w:val="21"/>
          <w:szCs w:val="21"/>
          <w:lang w:eastAsia="en-GB"/>
        </w:rPr>
        <w:t xml:space="preserve">actively </w:t>
      </w:r>
      <w:r w:rsidRPr="009C0A11">
        <w:rPr>
          <w:rFonts w:ascii="Calibri" w:eastAsia="Times New Roman" w:hAnsi="Calibri" w:cs="Times New Roman"/>
          <w:color w:val="4A4A4A"/>
          <w:sz w:val="21"/>
          <w:szCs w:val="21"/>
          <w:lang w:eastAsia="en-GB"/>
        </w:rPr>
        <w:t xml:space="preserve">supporting various components </w:t>
      </w:r>
      <w:r w:rsidR="00093433" w:rsidRPr="009C0A11">
        <w:rPr>
          <w:rFonts w:ascii="Calibri" w:eastAsia="Times New Roman" w:hAnsi="Calibri" w:cs="Times New Roman"/>
          <w:color w:val="4A4A4A"/>
          <w:sz w:val="21"/>
          <w:szCs w:val="21"/>
          <w:lang w:eastAsia="en-GB"/>
        </w:rPr>
        <w:t xml:space="preserve">related to reporting on this indicator, </w:t>
      </w:r>
      <w:r w:rsidR="00A17B04" w:rsidRPr="009C0A11">
        <w:rPr>
          <w:rFonts w:ascii="Calibri" w:eastAsia="Times New Roman" w:hAnsi="Calibri" w:cs="Times New Roman"/>
          <w:color w:val="4A4A4A"/>
          <w:sz w:val="21"/>
          <w:szCs w:val="21"/>
          <w:lang w:eastAsia="en-GB"/>
        </w:rPr>
        <w:t>including dissemination</w:t>
      </w:r>
      <w:r w:rsidR="009B330C" w:rsidRPr="009C0A11">
        <w:rPr>
          <w:rFonts w:ascii="Calibri" w:eastAsia="Times New Roman" w:hAnsi="Calibri" w:cs="Times New Roman"/>
          <w:color w:val="4A4A4A"/>
          <w:sz w:val="21"/>
          <w:szCs w:val="21"/>
          <w:lang w:eastAsia="en-GB"/>
        </w:rPr>
        <w:t xml:space="preserve"> </w:t>
      </w:r>
      <w:r w:rsidRPr="009C0A11">
        <w:rPr>
          <w:rFonts w:ascii="Calibri" w:eastAsia="Times New Roman" w:hAnsi="Calibri" w:cs="Times New Roman"/>
          <w:color w:val="4A4A4A"/>
          <w:sz w:val="21"/>
          <w:szCs w:val="21"/>
          <w:lang w:eastAsia="en-GB"/>
        </w:rPr>
        <w:t>and capacity strengthening</w:t>
      </w:r>
      <w:r w:rsidR="00093433" w:rsidRPr="009C0A11">
        <w:rPr>
          <w:rFonts w:ascii="Calibri" w:eastAsia="Times New Roman" w:hAnsi="Calibri" w:cs="Times New Roman"/>
          <w:color w:val="4A4A4A"/>
          <w:sz w:val="21"/>
          <w:szCs w:val="21"/>
          <w:lang w:eastAsia="en-GB"/>
        </w:rPr>
        <w:t xml:space="preserve"> efforts</w:t>
      </w:r>
      <w:r w:rsidRPr="009C0A11">
        <w:rPr>
          <w:rFonts w:ascii="Calibri" w:eastAsia="Times New Roman" w:hAnsi="Calibri" w:cs="Times New Roman"/>
          <w:color w:val="4A4A4A"/>
          <w:sz w:val="21"/>
          <w:szCs w:val="21"/>
          <w:lang w:eastAsia="en-GB"/>
        </w:rPr>
        <w:t>, etc)</w:t>
      </w:r>
      <w:r w:rsidR="00093433" w:rsidRPr="009C0A11">
        <w:rPr>
          <w:rFonts w:ascii="Calibri" w:eastAsia="Times New Roman" w:hAnsi="Calibri" w:cs="Times New Roman"/>
          <w:color w:val="4A4A4A"/>
          <w:sz w:val="21"/>
          <w:szCs w:val="21"/>
          <w:lang w:eastAsia="en-GB"/>
        </w:rPr>
        <w:t>.</w:t>
      </w:r>
    </w:p>
    <w:p w14:paraId="244C3CA1" w14:textId="07F4805C" w:rsidR="00093433" w:rsidRPr="009C0A11" w:rsidRDefault="009B39C4" w:rsidP="009B39C4">
      <w:pPr>
        <w:shd w:val="clear" w:color="auto" w:fill="FFFFFF"/>
        <w:spacing w:after="0"/>
        <w:jc w:val="both"/>
        <w:rPr>
          <w:rFonts w:ascii="Calibri" w:eastAsia="Times New Roman" w:hAnsi="Calibri" w:cs="Times New Roman"/>
          <w:color w:val="4A4A4A"/>
          <w:sz w:val="21"/>
          <w:szCs w:val="21"/>
          <w:lang w:eastAsia="en-GB"/>
        </w:rPr>
      </w:pPr>
      <w:r w:rsidRPr="009C0A11">
        <w:rPr>
          <w:rFonts w:ascii="Calibri" w:eastAsia="Times New Roman" w:hAnsi="Calibri" w:cs="Times New Roman"/>
          <w:color w:val="4A4A4A"/>
          <w:sz w:val="21"/>
          <w:szCs w:val="21"/>
          <w:lang w:eastAsia="en-GB"/>
        </w:rPr>
        <w:t>The data are aggregates of individual projects notified under the Creditor Reporting System</w:t>
      </w:r>
      <w:r w:rsidR="00093433" w:rsidRPr="009C0A11">
        <w:rPr>
          <w:rFonts w:ascii="Calibri" w:eastAsia="Times New Roman" w:hAnsi="Calibri" w:cs="Times New Roman"/>
          <w:color w:val="4A4A4A"/>
          <w:sz w:val="21"/>
          <w:szCs w:val="21"/>
          <w:lang w:eastAsia="en-GB"/>
        </w:rPr>
        <w:t xml:space="preserve"> (CRS)</w:t>
      </w:r>
      <w:r w:rsidRPr="009C0A11">
        <w:rPr>
          <w:rFonts w:ascii="Calibri" w:eastAsia="Times New Roman" w:hAnsi="Calibri" w:cs="Times New Roman"/>
          <w:color w:val="4A4A4A"/>
          <w:sz w:val="21"/>
          <w:szCs w:val="21"/>
          <w:lang w:eastAsia="en-GB"/>
        </w:rPr>
        <w:t>, supplemented by reporting on the sectoral distribution of technical co-operation, and on actual disbursements of food and emergency aid.</w:t>
      </w:r>
    </w:p>
    <w:p w14:paraId="0D2B9014" w14:textId="77777777" w:rsidR="009B39C4" w:rsidRPr="003C6A86" w:rsidRDefault="009B39C4" w:rsidP="003C6A86">
      <w:pPr>
        <w:shd w:val="clear" w:color="auto" w:fill="FFFFFF"/>
        <w:spacing w:after="0"/>
        <w:rPr>
          <w:rFonts w:ascii="Calibri" w:eastAsia="Times New Roman" w:hAnsi="Calibri" w:cs="Times New Roman"/>
          <w:color w:val="4A4A4A"/>
          <w:sz w:val="21"/>
          <w:szCs w:val="21"/>
          <w:lang w:eastAsia="en-GB"/>
        </w:rPr>
      </w:pPr>
    </w:p>
    <w:p w14:paraId="605E8F9D" w14:textId="403C4D55" w:rsidR="00576CFA" w:rsidRPr="00A96255" w:rsidRDefault="00576CFA"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89CDB6D" w14:textId="5D6E3CE9" w:rsidR="00093433" w:rsidRPr="009C0A11" w:rsidRDefault="00797876" w:rsidP="00B81E16">
      <w:pPr>
        <w:pStyle w:val="MText"/>
        <w:jc w:val="both"/>
      </w:pPr>
      <w:bookmarkStart w:id="6" w:name="_Hlk65069859"/>
      <w:r w:rsidRPr="009C0A11">
        <w:t>The United Nations Human Settlements Programme (UN-Habitat) is the specialized agency</w:t>
      </w:r>
      <w:r w:rsidR="00093433" w:rsidRPr="009C0A11">
        <w:t xml:space="preserve"> within the United Nations system</w:t>
      </w:r>
      <w:r w:rsidRPr="009C0A11">
        <w:t xml:space="preserve"> </w:t>
      </w:r>
      <w:r w:rsidR="00093433" w:rsidRPr="009C0A11">
        <w:t xml:space="preserve">responsible </w:t>
      </w:r>
      <w:r w:rsidRPr="009C0A11">
        <w:t xml:space="preserve">for sustainable urbanization and human </w:t>
      </w:r>
      <w:r w:rsidR="00A17B04" w:rsidRPr="009C0A11">
        <w:t>settlements.</w:t>
      </w:r>
      <w:r w:rsidRPr="009C0A11">
        <w:t xml:space="preserve">  The mandate derives from the priorities established in relevant General Assembly resolutions and decisions, including</w:t>
      </w:r>
      <w:r w:rsidR="00093433" w:rsidRPr="009C0A11">
        <w:t>:</w:t>
      </w:r>
    </w:p>
    <w:p w14:paraId="16642B02" w14:textId="5F4930A8" w:rsidR="00093433" w:rsidRPr="009C0A11" w:rsidRDefault="00797876" w:rsidP="009A7363">
      <w:pPr>
        <w:pStyle w:val="MText"/>
        <w:numPr>
          <w:ilvl w:val="0"/>
          <w:numId w:val="12"/>
        </w:numPr>
        <w:jc w:val="both"/>
      </w:pPr>
      <w:r w:rsidRPr="009C0A11">
        <w:t xml:space="preserve">General Assembly </w:t>
      </w:r>
      <w:r w:rsidR="00093433" w:rsidRPr="009C0A11">
        <w:t>R</w:t>
      </w:r>
      <w:r w:rsidRPr="009C0A11">
        <w:t xml:space="preserve">esolution 3327 (XXIX), by which the </w:t>
      </w:r>
      <w:r w:rsidR="00093433" w:rsidRPr="009C0A11">
        <w:t>GA</w:t>
      </w:r>
      <w:r w:rsidRPr="009C0A11">
        <w:t xml:space="preserve"> established the United Nations Habitat and Human Settlements Foundation, and </w:t>
      </w:r>
    </w:p>
    <w:p w14:paraId="61AD06C4" w14:textId="4A6C4546" w:rsidR="00093433" w:rsidRPr="009C0A11" w:rsidRDefault="00093433" w:rsidP="009A7363">
      <w:pPr>
        <w:pStyle w:val="MText"/>
        <w:numPr>
          <w:ilvl w:val="0"/>
          <w:numId w:val="12"/>
        </w:numPr>
        <w:jc w:val="both"/>
      </w:pPr>
      <w:r w:rsidRPr="009C0A11">
        <w:t>General Assembly R</w:t>
      </w:r>
      <w:r w:rsidR="00797876" w:rsidRPr="009C0A11">
        <w:t xml:space="preserve">esolution 32/162 by which the </w:t>
      </w:r>
      <w:r w:rsidRPr="009C0A11">
        <w:t xml:space="preserve">GA </w:t>
      </w:r>
      <w:r w:rsidR="00797876" w:rsidRPr="009C0A11">
        <w:t xml:space="preserve">established the United Nations </w:t>
      </w:r>
      <w:r w:rsidR="008D6D83" w:rsidRPr="009C0A11">
        <w:t>Centre</w:t>
      </w:r>
      <w:r w:rsidR="00797876" w:rsidRPr="009C0A11">
        <w:t xml:space="preserve"> for Human Settlements (Habitat). </w:t>
      </w:r>
    </w:p>
    <w:p w14:paraId="2B86127B" w14:textId="282B7D44" w:rsidR="006F06BB" w:rsidRPr="009C0A11" w:rsidRDefault="00797876" w:rsidP="00B81E16">
      <w:pPr>
        <w:pStyle w:val="MText"/>
        <w:jc w:val="both"/>
      </w:pPr>
      <w:r w:rsidRPr="009C0A11">
        <w:t>In 2001, by its Resolution 56/206, the General Assembly transformed the Habitat into the secretariat of the United Nations Human Settlements Programme (UN-Habitat), mandate</w:t>
      </w:r>
      <w:r w:rsidR="006F06BB" w:rsidRPr="009C0A11">
        <w:t>d</w:t>
      </w:r>
      <w:r w:rsidRPr="009C0A11">
        <w:t xml:space="preserve"> to coordinate human settlements activities within the United Nations System. </w:t>
      </w:r>
    </w:p>
    <w:p w14:paraId="7D007C3C" w14:textId="6C7EB7F0" w:rsidR="00EC2915" w:rsidRPr="009C0A11" w:rsidRDefault="00797876" w:rsidP="00B81E16">
      <w:pPr>
        <w:pStyle w:val="MText"/>
        <w:jc w:val="both"/>
      </w:pPr>
      <w:r w:rsidRPr="009C0A11">
        <w:t xml:space="preserve">As such, UN-Habitat has been designated the overall coordinator of </w:t>
      </w:r>
      <w:r w:rsidR="00CE184C" w:rsidRPr="009C0A11">
        <w:t>SDG target</w:t>
      </w:r>
      <w:r w:rsidR="008D46DA" w:rsidRPr="009C0A11">
        <w:t xml:space="preserve"> </w:t>
      </w:r>
      <w:r w:rsidRPr="009C0A11">
        <w:t>11</w:t>
      </w:r>
      <w:r w:rsidR="008D46DA" w:rsidRPr="009C0A11">
        <w:t>c</w:t>
      </w:r>
      <w:r w:rsidRPr="009C0A11">
        <w:t xml:space="preserve">. </w:t>
      </w:r>
      <w:r w:rsidR="006F06BB" w:rsidRPr="009C0A11">
        <w:t xml:space="preserve">Additionally, </w:t>
      </w:r>
      <w:r w:rsidRPr="009C0A11">
        <w:t>UN-Habitat also</w:t>
      </w:r>
      <w:r w:rsidR="006F06BB" w:rsidRPr="009C0A11">
        <w:t xml:space="preserve"> leads</w:t>
      </w:r>
      <w:r w:rsidRPr="009C0A11">
        <w:t xml:space="preserve"> monitor</w:t>
      </w:r>
      <w:r w:rsidR="006F06BB" w:rsidRPr="009C0A11">
        <w:t>s</w:t>
      </w:r>
      <w:r w:rsidRPr="009C0A11">
        <w:t xml:space="preserve"> and reporting of </w:t>
      </w:r>
      <w:r w:rsidR="006F06BB" w:rsidRPr="009C0A11">
        <w:t>nine</w:t>
      </w:r>
      <w:r w:rsidR="00024188" w:rsidRPr="009C0A11">
        <w:t xml:space="preserve"> other indicators under Goal 11 and </w:t>
      </w:r>
      <w:r w:rsidR="006F06BB" w:rsidRPr="009C0A11">
        <w:t>four</w:t>
      </w:r>
      <w:r w:rsidRPr="009C0A11">
        <w:t xml:space="preserve"> </w:t>
      </w:r>
      <w:r w:rsidR="006F4ADF" w:rsidRPr="009C0A11">
        <w:t xml:space="preserve">other </w:t>
      </w:r>
      <w:r w:rsidRPr="009C0A11">
        <w:t xml:space="preserve">urban specific indicators </w:t>
      </w:r>
      <w:r w:rsidR="006F06BB" w:rsidRPr="009C0A11">
        <w:t>across other SDGs</w:t>
      </w:r>
      <w:r w:rsidRPr="009C0A11">
        <w:t>.</w:t>
      </w:r>
      <w:bookmarkEnd w:id="6"/>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2688937" w14:textId="5CD16D20" w:rsidR="006F06BB" w:rsidRPr="009C0A11" w:rsidRDefault="00212862" w:rsidP="00B81E16">
      <w:pPr>
        <w:shd w:val="clear" w:color="auto" w:fill="FFFFFF"/>
        <w:spacing w:after="0"/>
        <w:jc w:val="both"/>
        <w:rPr>
          <w:rFonts w:ascii="Calibri" w:eastAsia="Times New Roman" w:hAnsi="Calibri"/>
          <w:color w:val="4A4A4A"/>
          <w:sz w:val="21"/>
          <w:szCs w:val="21"/>
          <w:lang w:eastAsia="en-GB"/>
        </w:rPr>
      </w:pPr>
      <w:r w:rsidRPr="009C0A11">
        <w:rPr>
          <w:rFonts w:ascii="Calibri" w:eastAsia="Times New Roman" w:hAnsi="Calibri"/>
          <w:color w:val="4A4A4A"/>
          <w:sz w:val="21"/>
          <w:szCs w:val="21"/>
          <w:lang w:eastAsia="en-GB"/>
        </w:rPr>
        <w:t xml:space="preserve">The </w:t>
      </w:r>
      <w:r w:rsidR="00A17B04" w:rsidRPr="009C0A11">
        <w:rPr>
          <w:rFonts w:ascii="Calibri" w:eastAsia="Times New Roman" w:hAnsi="Calibri"/>
          <w:color w:val="4A4A4A"/>
          <w:sz w:val="21"/>
          <w:szCs w:val="21"/>
          <w:lang w:eastAsia="en-GB"/>
        </w:rPr>
        <w:t>concept of</w:t>
      </w:r>
      <w:r w:rsidRPr="009C0A11">
        <w:rPr>
          <w:rFonts w:ascii="Calibri" w:eastAsia="Times New Roman" w:hAnsi="Calibri"/>
          <w:color w:val="4A4A4A"/>
          <w:sz w:val="21"/>
          <w:szCs w:val="21"/>
          <w:lang w:eastAsia="en-GB"/>
        </w:rPr>
        <w:t xml:space="preserve"> </w:t>
      </w:r>
      <w:r w:rsidR="006F06BB" w:rsidRPr="009C0A11">
        <w:rPr>
          <w:rFonts w:ascii="Calibri" w:eastAsia="Times New Roman" w:hAnsi="Calibri"/>
          <w:color w:val="4A4A4A"/>
          <w:sz w:val="21"/>
          <w:szCs w:val="21"/>
          <w:lang w:eastAsia="en-GB"/>
        </w:rPr>
        <w:t>official development assistance (</w:t>
      </w:r>
      <w:r w:rsidRPr="009C0A11">
        <w:rPr>
          <w:rFonts w:ascii="Calibri" w:eastAsia="Times New Roman" w:hAnsi="Calibri"/>
          <w:color w:val="4A4A4A"/>
          <w:sz w:val="21"/>
          <w:szCs w:val="21"/>
          <w:lang w:eastAsia="en-GB"/>
        </w:rPr>
        <w:t>ODA</w:t>
      </w:r>
      <w:r w:rsidR="006F06BB" w:rsidRPr="009C0A11">
        <w:rPr>
          <w:rFonts w:ascii="Calibri" w:eastAsia="Times New Roman" w:hAnsi="Calibri"/>
          <w:color w:val="4A4A4A"/>
          <w:sz w:val="21"/>
          <w:szCs w:val="21"/>
          <w:lang w:eastAsia="en-GB"/>
        </w:rPr>
        <w:t>)</w:t>
      </w:r>
      <w:r w:rsidRPr="009C0A11">
        <w:rPr>
          <w:rFonts w:ascii="Calibri" w:eastAsia="Times New Roman" w:hAnsi="Calibri"/>
          <w:color w:val="4A4A4A"/>
          <w:sz w:val="21"/>
          <w:szCs w:val="21"/>
          <w:lang w:eastAsia="en-GB"/>
        </w:rPr>
        <w:t xml:space="preserve"> has evolved over time, reflecting </w:t>
      </w:r>
      <w:r w:rsidR="006F06BB" w:rsidRPr="009C0A11">
        <w:rPr>
          <w:rFonts w:ascii="Calibri" w:eastAsia="Times New Roman" w:hAnsi="Calibri"/>
          <w:color w:val="4A4A4A"/>
          <w:sz w:val="21"/>
          <w:szCs w:val="21"/>
          <w:lang w:eastAsia="en-GB"/>
        </w:rPr>
        <w:t>shifts</w:t>
      </w:r>
      <w:r w:rsidRPr="009C0A11">
        <w:rPr>
          <w:rFonts w:ascii="Calibri" w:eastAsia="Times New Roman" w:hAnsi="Calibri"/>
          <w:color w:val="4A4A4A"/>
          <w:sz w:val="21"/>
          <w:szCs w:val="21"/>
          <w:lang w:eastAsia="en-GB"/>
        </w:rPr>
        <w:t xml:space="preserve"> in the global development landscape and </w:t>
      </w:r>
      <w:r w:rsidR="006F06BB" w:rsidRPr="009C0A11">
        <w:rPr>
          <w:rFonts w:ascii="Calibri" w:eastAsia="Times New Roman" w:hAnsi="Calibri"/>
          <w:color w:val="4A4A4A"/>
          <w:sz w:val="21"/>
          <w:szCs w:val="21"/>
          <w:lang w:eastAsia="en-GB"/>
        </w:rPr>
        <w:t xml:space="preserve">changing </w:t>
      </w:r>
      <w:r w:rsidRPr="009C0A11">
        <w:rPr>
          <w:rFonts w:ascii="Calibri" w:eastAsia="Times New Roman" w:hAnsi="Calibri"/>
          <w:color w:val="4A4A4A"/>
          <w:sz w:val="21"/>
          <w:szCs w:val="21"/>
          <w:lang w:eastAsia="en-GB"/>
        </w:rPr>
        <w:t xml:space="preserve">priorities of donor countries. While ODA </w:t>
      </w:r>
      <w:r w:rsidR="006F06BB" w:rsidRPr="009C0A11">
        <w:rPr>
          <w:rFonts w:ascii="Calibri" w:eastAsia="Times New Roman" w:hAnsi="Calibri"/>
          <w:color w:val="4A4A4A"/>
          <w:sz w:val="21"/>
          <w:szCs w:val="21"/>
          <w:lang w:eastAsia="en-GB"/>
        </w:rPr>
        <w:t>remains a</w:t>
      </w:r>
      <w:r w:rsidRPr="009C0A11">
        <w:rPr>
          <w:rFonts w:ascii="Calibri" w:eastAsia="Times New Roman" w:hAnsi="Calibri"/>
          <w:color w:val="4A4A4A"/>
          <w:sz w:val="21"/>
          <w:szCs w:val="21"/>
          <w:lang w:eastAsia="en-GB"/>
        </w:rPr>
        <w:t xml:space="preserve"> critical source of development financing, its effectiveness depends on the quality of program implementation and the extent </w:t>
      </w:r>
      <w:r w:rsidR="006F06BB" w:rsidRPr="009C0A11">
        <w:rPr>
          <w:rFonts w:ascii="Calibri" w:eastAsia="Times New Roman" w:hAnsi="Calibri"/>
          <w:color w:val="4A4A4A"/>
          <w:sz w:val="21"/>
          <w:szCs w:val="21"/>
          <w:lang w:eastAsia="en-GB"/>
        </w:rPr>
        <w:t>of its alignment</w:t>
      </w:r>
      <w:r w:rsidRPr="009C0A11">
        <w:rPr>
          <w:rFonts w:ascii="Calibri" w:eastAsia="Times New Roman" w:hAnsi="Calibri"/>
          <w:color w:val="4A4A4A"/>
          <w:sz w:val="21"/>
          <w:szCs w:val="21"/>
          <w:lang w:eastAsia="en-GB"/>
        </w:rPr>
        <w:t xml:space="preserve"> with local development priorities. </w:t>
      </w:r>
    </w:p>
    <w:p w14:paraId="2A62F502" w14:textId="7C907CC8" w:rsidR="00212862" w:rsidRPr="009C0A11" w:rsidRDefault="006F06BB" w:rsidP="00B81E16">
      <w:pPr>
        <w:shd w:val="clear" w:color="auto" w:fill="FFFFFF"/>
        <w:spacing w:after="0"/>
        <w:jc w:val="both"/>
        <w:rPr>
          <w:rFonts w:ascii="Calibri" w:eastAsia="Times New Roman" w:hAnsi="Calibri" w:cs="Times New Roman"/>
          <w:color w:val="4A4A4A"/>
          <w:sz w:val="21"/>
          <w:szCs w:val="21"/>
          <w:lang w:eastAsia="en-GB"/>
        </w:rPr>
      </w:pPr>
      <w:r w:rsidRPr="009C0A11">
        <w:rPr>
          <w:rFonts w:ascii="Calibri" w:eastAsia="Times New Roman" w:hAnsi="Calibri"/>
          <w:color w:val="4A4A4A"/>
          <w:sz w:val="21"/>
          <w:szCs w:val="21"/>
          <w:lang w:eastAsia="en-GB"/>
        </w:rPr>
        <w:t xml:space="preserve">To ensure that ODA resources are used efficiently and effectively in achieving intended development outcomes, </w:t>
      </w:r>
      <w:r w:rsidR="00222773" w:rsidRPr="009C0A11">
        <w:rPr>
          <w:rFonts w:ascii="Calibri" w:eastAsia="Times New Roman" w:hAnsi="Calibri"/>
          <w:color w:val="4A4A4A"/>
          <w:sz w:val="21"/>
          <w:szCs w:val="21"/>
          <w:lang w:eastAsia="en-GB"/>
        </w:rPr>
        <w:t xml:space="preserve">rigorous </w:t>
      </w:r>
      <w:r w:rsidR="00222773" w:rsidRPr="009C0A11">
        <w:rPr>
          <w:rFonts w:ascii="Calibri" w:eastAsia="Times New Roman" w:hAnsi="Calibri" w:cs="Times New Roman"/>
          <w:color w:val="4A4A4A"/>
          <w:sz w:val="21"/>
          <w:szCs w:val="21"/>
          <w:lang w:eastAsia="en-GB"/>
        </w:rPr>
        <w:t>m</w:t>
      </w:r>
      <w:r w:rsidR="00212862" w:rsidRPr="009C0A11">
        <w:rPr>
          <w:rFonts w:ascii="Calibri" w:eastAsia="Times New Roman" w:hAnsi="Calibri" w:cs="Times New Roman"/>
          <w:color w:val="4A4A4A"/>
          <w:sz w:val="21"/>
          <w:szCs w:val="21"/>
          <w:lang w:eastAsia="en-GB"/>
        </w:rPr>
        <w:t>onitoring and evaluation of ODA programs is essential</w:t>
      </w:r>
      <w:r w:rsidR="00222773" w:rsidRPr="009C0A11">
        <w:rPr>
          <w:rFonts w:ascii="Calibri" w:eastAsia="Times New Roman" w:hAnsi="Calibri" w:cs="Times New Roman"/>
          <w:color w:val="4A4A4A"/>
          <w:sz w:val="21"/>
          <w:szCs w:val="21"/>
          <w:lang w:eastAsia="en-GB"/>
        </w:rPr>
        <w:t>.</w:t>
      </w:r>
    </w:p>
    <w:p w14:paraId="0F34D83C" w14:textId="315E1D14" w:rsidR="00D339E2" w:rsidRPr="009C0A11" w:rsidRDefault="00D339E2" w:rsidP="00D339E2">
      <w:pPr>
        <w:shd w:val="clear" w:color="auto" w:fill="FFFFFF"/>
        <w:spacing w:after="0"/>
        <w:rPr>
          <w:rFonts w:ascii="Calibri" w:eastAsia="Times New Roman" w:hAnsi="Calibri" w:cs="Times New Roman"/>
          <w:color w:val="4A4A4A"/>
          <w:sz w:val="21"/>
          <w:szCs w:val="21"/>
          <w:lang w:eastAsia="en-GB"/>
        </w:rPr>
      </w:pPr>
    </w:p>
    <w:p w14:paraId="6219C6FE" w14:textId="16E9F420" w:rsidR="00ED5F7D" w:rsidRPr="00ED5F7D" w:rsidRDefault="00ED5F7D" w:rsidP="00ED5F7D">
      <w:pPr>
        <w:shd w:val="clear" w:color="auto" w:fill="FFFFFF"/>
        <w:spacing w:after="0"/>
        <w:jc w:val="both"/>
        <w:rPr>
          <w:rFonts w:ascii="Calibri" w:eastAsia="Times New Roman" w:hAnsi="Calibri" w:cs="Times New Roman"/>
          <w:color w:val="4A4A4A"/>
          <w:sz w:val="21"/>
          <w:szCs w:val="21"/>
          <w:lang w:eastAsia="en-GB"/>
        </w:rPr>
      </w:pPr>
      <w:r w:rsidRPr="009C0A11">
        <w:rPr>
          <w:rFonts w:ascii="Calibri" w:eastAsia="Times New Roman" w:hAnsi="Calibri" w:cs="Times New Roman"/>
          <w:color w:val="4A4A4A"/>
          <w:sz w:val="21"/>
          <w:szCs w:val="21"/>
          <w:lang w:eastAsia="en-GB"/>
        </w:rPr>
        <w:t xml:space="preserve">Official development assistance (ODA) by sector is defined as the distribution of bilateral ODA commitments </w:t>
      </w:r>
      <w:r w:rsidR="00222773" w:rsidRPr="009C0A11">
        <w:rPr>
          <w:rFonts w:ascii="Calibri" w:eastAsia="Times New Roman" w:hAnsi="Calibri" w:cs="Times New Roman"/>
          <w:color w:val="4A4A4A"/>
          <w:sz w:val="21"/>
          <w:szCs w:val="21"/>
          <w:lang w:eastAsia="en-GB"/>
        </w:rPr>
        <w:t xml:space="preserve">categorized </w:t>
      </w:r>
      <w:r w:rsidRPr="009C0A11">
        <w:rPr>
          <w:rFonts w:ascii="Calibri" w:eastAsia="Times New Roman" w:hAnsi="Calibri" w:cs="Times New Roman"/>
          <w:color w:val="4A4A4A"/>
          <w:sz w:val="21"/>
          <w:szCs w:val="21"/>
          <w:lang w:eastAsia="en-GB"/>
        </w:rPr>
        <w:t>by economic sector. These data are aggregates of individual projects notified under the Creditor Reporting System, supplemented by reporting on the sectoral distribution of technical co-operation, and on actual disbursements of food and emergency aid. It does not refer to the type of goods or services provided. This indicator is measured in million USD constant prices, using 2021 as the base year.</w:t>
      </w:r>
    </w:p>
    <w:p w14:paraId="6944001D" w14:textId="77777777" w:rsidR="00ED5F7D" w:rsidRPr="00D339E2" w:rsidRDefault="00ED5F7D" w:rsidP="00D339E2">
      <w:pPr>
        <w:shd w:val="clear" w:color="auto" w:fill="FFFFFF"/>
        <w:spacing w:after="0"/>
        <w:rPr>
          <w:rFonts w:ascii="Calibri" w:eastAsia="Times New Roman" w:hAnsi="Calibri" w:cs="Times New Roman"/>
          <w:color w:val="4A4A4A"/>
          <w:sz w:val="21"/>
          <w:szCs w:val="21"/>
          <w:lang w:eastAsia="en-GB"/>
        </w:rPr>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E1BEA4" w14:textId="77777777" w:rsidR="001B49D8" w:rsidRPr="009C0A11" w:rsidRDefault="007D4FE6" w:rsidP="001B49D8">
      <w:pPr>
        <w:shd w:val="clear" w:color="auto" w:fill="FFFFFF"/>
        <w:spacing w:after="0"/>
        <w:jc w:val="both"/>
        <w:rPr>
          <w:rFonts w:ascii="Calibri" w:eastAsia="Times New Roman" w:hAnsi="Calibri" w:cs="Times New Roman"/>
          <w:color w:val="4A4A4A"/>
          <w:sz w:val="21"/>
          <w:szCs w:val="21"/>
          <w:lang w:eastAsia="en-GB"/>
        </w:rPr>
      </w:pPr>
      <w:r w:rsidRPr="009C0A11">
        <w:rPr>
          <w:rFonts w:ascii="Calibri" w:eastAsia="Times New Roman" w:hAnsi="Calibri" w:cs="Times New Roman"/>
          <w:color w:val="4A4A4A"/>
          <w:sz w:val="21"/>
          <w:szCs w:val="21"/>
          <w:lang w:eastAsia="en-GB"/>
        </w:rPr>
        <w:t>The indicator measures the availability of structures for monitoring and evaluation of official development assistance programmes, including regular reviews and systematic assessments of achievements and lessons learned.</w:t>
      </w:r>
      <w:r w:rsidR="001B49D8" w:rsidRPr="009C0A11">
        <w:rPr>
          <w:rFonts w:ascii="Calibri" w:eastAsia="Times New Roman" w:hAnsi="Calibri" w:cs="Times New Roman"/>
          <w:color w:val="4A4A4A"/>
          <w:sz w:val="21"/>
          <w:szCs w:val="21"/>
          <w:lang w:eastAsia="en-GB"/>
        </w:rPr>
        <w:t xml:space="preserve"> A high value indicates that the country is receiving a high volume of support for its ODA programmes. </w:t>
      </w:r>
    </w:p>
    <w:p w14:paraId="1C68F0A7" w14:textId="56849FFD" w:rsidR="00222773" w:rsidRPr="007B4FF9" w:rsidRDefault="00222773" w:rsidP="00222773">
      <w:pPr>
        <w:pStyle w:val="MText"/>
        <w:jc w:val="both"/>
      </w:pPr>
      <w:r w:rsidRPr="009C0A11">
        <w:t>The indicator only captures the amounts of funds received for ODA and does not directly measure the quality or impact of ODA programs. Additional data would be needed to assess the actual effectiveness of ODA in achieving development outcomes.</w:t>
      </w:r>
    </w:p>
    <w:p w14:paraId="2AB2BECF" w14:textId="77777777" w:rsidR="00222773" w:rsidRPr="00BB319E" w:rsidRDefault="00222773" w:rsidP="001B49D8">
      <w:pPr>
        <w:shd w:val="clear" w:color="auto" w:fill="FFFFFF"/>
        <w:spacing w:after="0"/>
        <w:jc w:val="both"/>
        <w:rPr>
          <w:rFonts w:ascii="Calibri" w:eastAsia="Times New Roman" w:hAnsi="Calibri" w:cs="Times New Roman"/>
          <w:color w:val="4A4A4A"/>
          <w:sz w:val="21"/>
          <w:szCs w:val="21"/>
          <w:lang w:eastAsia="en-GB"/>
        </w:rPr>
      </w:pP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F6A57D8" w14:textId="77777777" w:rsidR="000C3851" w:rsidRPr="009C0A11" w:rsidRDefault="000C3851" w:rsidP="000C3851">
      <w:pPr>
        <w:pStyle w:val="MText"/>
        <w:jc w:val="both"/>
      </w:pPr>
      <w:r w:rsidRPr="009C0A11">
        <w:t>The indicator measures the total volume of official development assistance (ODA</w:t>
      </w:r>
      <w:proofErr w:type="gramStart"/>
      <w:r w:rsidRPr="009C0A11">
        <w:t>)</w:t>
      </w:r>
      <w:proofErr w:type="gramEnd"/>
      <w:r w:rsidRPr="009C0A11">
        <w:t xml:space="preserve"> and other official flows (OOF) disbursed to support urban infrastructure projects in developing countries. The purpose is to track financial support for sustainable urban development in line with SDG Target 11.c.</w:t>
      </w:r>
    </w:p>
    <w:p w14:paraId="47211D1A" w14:textId="2F23DD0D" w:rsidR="004B39E6" w:rsidRPr="009C0A11" w:rsidRDefault="007B4FF9" w:rsidP="007B4FF9">
      <w:pPr>
        <w:pStyle w:val="MText"/>
        <w:jc w:val="both"/>
      </w:pPr>
      <w:r w:rsidRPr="009C0A11">
        <w:t>A high value for this indicator</w:t>
      </w:r>
      <w:r w:rsidR="00E175BB" w:rsidRPr="009C0A11">
        <w:t xml:space="preserve"> in comparison to the country’s GDP</w:t>
      </w:r>
      <w:r w:rsidRPr="009C0A11">
        <w:t xml:space="preserve"> suggests that the country </w:t>
      </w:r>
      <w:r w:rsidR="00E175BB" w:rsidRPr="009C0A11">
        <w:t>is receiving</w:t>
      </w:r>
      <w:r w:rsidRPr="009C0A11">
        <w:t xml:space="preserve"> </w:t>
      </w:r>
      <w:r w:rsidR="00E175BB" w:rsidRPr="009C0A11">
        <w:t>a high volume of</w:t>
      </w:r>
      <w:r w:rsidRPr="009C0A11">
        <w:t xml:space="preserve"> </w:t>
      </w:r>
      <w:r w:rsidR="00222773" w:rsidRPr="009C0A11">
        <w:t>ODA-funded</w:t>
      </w:r>
      <w:r w:rsidRPr="009C0A11">
        <w:t xml:space="preserve"> programmes</w:t>
      </w:r>
      <w:r w:rsidR="00222773" w:rsidRPr="009C0A11">
        <w:t>. However</w:t>
      </w:r>
      <w:r w:rsidRPr="009C0A11">
        <w:t xml:space="preserve">, </w:t>
      </w:r>
      <w:r w:rsidR="00222773" w:rsidRPr="009C0A11">
        <w:t>this</w:t>
      </w:r>
      <w:r w:rsidR="00000722" w:rsidRPr="009C0A11">
        <w:t xml:space="preserve"> does not </w:t>
      </w:r>
      <w:r w:rsidR="00222773" w:rsidRPr="009C0A11">
        <w:t xml:space="preserve">necessarily </w:t>
      </w:r>
      <w:r w:rsidR="00000722" w:rsidRPr="009C0A11">
        <w:t xml:space="preserve">translate into assurances that the </w:t>
      </w:r>
      <w:r w:rsidRPr="009C0A11">
        <w:t>ODA resources</w:t>
      </w:r>
      <w:r w:rsidR="00000722" w:rsidRPr="009C0A11">
        <w:t xml:space="preserve"> are being used effectively</w:t>
      </w:r>
      <w:r w:rsidR="00222773" w:rsidRPr="009C0A11">
        <w:t xml:space="preserve"> or that they are achieving their intended development outcomes</w:t>
      </w:r>
      <w:r w:rsidRPr="009C0A11">
        <w:t xml:space="preserve">. </w:t>
      </w:r>
    </w:p>
    <w:p w14:paraId="2382D76A" w14:textId="15FA8BC3" w:rsidR="004B39E6" w:rsidRPr="009C0A11" w:rsidRDefault="004B39E6" w:rsidP="004B39E6">
      <w:pPr>
        <w:pStyle w:val="MText"/>
        <w:jc w:val="both"/>
        <w:rPr>
          <w:b/>
          <w:bCs/>
        </w:rPr>
      </w:pPr>
    </w:p>
    <w:p w14:paraId="18AC6841" w14:textId="551C4E08" w:rsidR="004B39E6" w:rsidRPr="009C0A11" w:rsidRDefault="002B4ACF" w:rsidP="004B39E6">
      <w:pPr>
        <w:pStyle w:val="MText"/>
        <w:jc w:val="both"/>
        <w:rPr>
          <w:b/>
          <w:bCs/>
        </w:rPr>
      </w:pPr>
      <w:r w:rsidRPr="009C0A11">
        <w:rPr>
          <w:b/>
          <w:bCs/>
        </w:rPr>
        <w:t>Compututation Formula</w:t>
      </w:r>
    </w:p>
    <w:p w14:paraId="29283665" w14:textId="77777777" w:rsidR="004B39E6" w:rsidRPr="009C0A11" w:rsidRDefault="004B39E6" w:rsidP="004B39E6">
      <w:pPr>
        <w:pStyle w:val="MText"/>
        <w:jc w:val="both"/>
      </w:pPr>
      <w:r w:rsidRPr="009C0A11">
        <w:t>Let:</w:t>
      </w:r>
    </w:p>
    <w:p w14:paraId="06BB7DB0" w14:textId="6C1548DE" w:rsidR="004B39E6" w:rsidRPr="009C0A11" w:rsidRDefault="004B39E6" w:rsidP="004B39E6">
      <w:pPr>
        <w:pStyle w:val="MText"/>
        <w:numPr>
          <w:ilvl w:val="0"/>
          <w:numId w:val="14"/>
        </w:numPr>
        <w:jc w:val="both"/>
      </w:pPr>
      <w:proofErr w:type="gramStart"/>
      <w:r w:rsidRPr="009C0A11">
        <w:rPr>
          <w:rFonts w:ascii="Cambria Math" w:hAnsi="Cambria Math"/>
        </w:rPr>
        <w:t>ODA</w:t>
      </w:r>
      <w:r w:rsidRPr="009C0A11">
        <w:rPr>
          <w:rFonts w:ascii="Cambria Math" w:hAnsi="Cambria Math"/>
          <w:vertAlign w:val="subscript"/>
        </w:rPr>
        <w:t>i,j</w:t>
      </w:r>
      <w:proofErr w:type="gramEnd"/>
      <w:r w:rsidRPr="009C0A11">
        <w:rPr>
          <w:rFonts w:ascii="Cambria Math" w:hAnsi="Cambria Math"/>
          <w:vertAlign w:val="subscript"/>
        </w:rPr>
        <w:t>,t</w:t>
      </w:r>
      <w:r w:rsidRPr="009C0A11">
        <w:t xml:space="preserve"> = ODA disbursed by donor</w:t>
      </w:r>
      <w:r w:rsidR="000C3851" w:rsidRPr="009C0A11">
        <w:t xml:space="preserve"> </w:t>
      </w:r>
      <w:r w:rsidRPr="009C0A11">
        <w:rPr>
          <w:rFonts w:ascii="Cambria Math" w:hAnsi="Cambria Math"/>
        </w:rPr>
        <w:t>i</w:t>
      </w:r>
      <w:r w:rsidRPr="009C0A11">
        <w:t xml:space="preserve"> to recipient country j in year t for eligible urban infrastructure sectors</w:t>
      </w:r>
    </w:p>
    <w:p w14:paraId="61D176DE" w14:textId="127FD387" w:rsidR="004B39E6" w:rsidRPr="009C0A11" w:rsidRDefault="004B39E6" w:rsidP="004B39E6">
      <w:pPr>
        <w:pStyle w:val="MText"/>
        <w:numPr>
          <w:ilvl w:val="0"/>
          <w:numId w:val="14"/>
        </w:numPr>
        <w:jc w:val="both"/>
      </w:pPr>
      <w:proofErr w:type="gramStart"/>
      <w:r w:rsidRPr="009C0A11">
        <w:rPr>
          <w:rFonts w:ascii="Cambria Math" w:hAnsi="Cambria Math"/>
        </w:rPr>
        <w:t>OOF</w:t>
      </w:r>
      <w:r w:rsidRPr="009C0A11">
        <w:rPr>
          <w:rFonts w:ascii="Cambria Math" w:hAnsi="Cambria Math"/>
          <w:vertAlign w:val="subscript"/>
        </w:rPr>
        <w:t>i,j</w:t>
      </w:r>
      <w:proofErr w:type="gramEnd"/>
      <w:r w:rsidRPr="009C0A11">
        <w:rPr>
          <w:rFonts w:ascii="Cambria Math" w:hAnsi="Cambria Math"/>
          <w:vertAlign w:val="subscript"/>
        </w:rPr>
        <w:t>,t</w:t>
      </w:r>
      <w:r w:rsidRPr="009C0A11">
        <w:t xml:space="preserve"> = Other official flows by donor i to recipient country j in year t for eligible urban infrastructure sectors</w:t>
      </w:r>
    </w:p>
    <w:p w14:paraId="3BCA09C0" w14:textId="14986747" w:rsidR="004B39E6" w:rsidRPr="009C0A11" w:rsidRDefault="004B39E6" w:rsidP="004B39E6">
      <w:pPr>
        <w:pStyle w:val="MText"/>
        <w:numPr>
          <w:ilvl w:val="0"/>
          <w:numId w:val="14"/>
        </w:numPr>
        <w:jc w:val="both"/>
      </w:pPr>
      <w:proofErr w:type="gramStart"/>
      <w:r w:rsidRPr="009C0A11">
        <w:rPr>
          <w:rFonts w:ascii="Cambria Math" w:hAnsi="Cambria Math"/>
        </w:rPr>
        <w:t>UF</w:t>
      </w:r>
      <w:r w:rsidRPr="009C0A11">
        <w:rPr>
          <w:rFonts w:ascii="Cambria Math" w:hAnsi="Cambria Math"/>
          <w:vertAlign w:val="subscript"/>
        </w:rPr>
        <w:t>i,j</w:t>
      </w:r>
      <w:proofErr w:type="gramEnd"/>
      <w:r w:rsidRPr="009C0A11">
        <w:rPr>
          <w:rFonts w:ascii="Cambria Math" w:hAnsi="Cambria Math"/>
          <w:vertAlign w:val="subscript"/>
        </w:rPr>
        <w:t>,t</w:t>
      </w:r>
      <w:r w:rsidRPr="009C0A11">
        <w:t xml:space="preserve"> = Total urban infrastructure funding from official sources </w:t>
      </w:r>
      <w:r w:rsidRPr="009C0A11">
        <w:rPr>
          <w:rFonts w:ascii="Cambria Math" w:hAnsi="Cambria Math"/>
        </w:rPr>
        <w:t xml:space="preserve">= </w:t>
      </w:r>
      <w:proofErr w:type="gramStart"/>
      <w:r w:rsidRPr="009C0A11">
        <w:rPr>
          <w:rFonts w:ascii="Cambria Math" w:hAnsi="Cambria Math"/>
        </w:rPr>
        <w:t>ODA</w:t>
      </w:r>
      <w:r w:rsidRPr="009C0A11">
        <w:rPr>
          <w:rFonts w:ascii="Cambria Math" w:hAnsi="Cambria Math"/>
          <w:vertAlign w:val="subscript"/>
        </w:rPr>
        <w:t>i,j</w:t>
      </w:r>
      <w:proofErr w:type="gramEnd"/>
      <w:r w:rsidRPr="009C0A11">
        <w:rPr>
          <w:rFonts w:ascii="Cambria Math" w:hAnsi="Cambria Math"/>
          <w:vertAlign w:val="subscript"/>
        </w:rPr>
        <w:t>,t</w:t>
      </w:r>
      <w:r w:rsidR="000E49A2" w:rsidRPr="009C0A11">
        <w:rPr>
          <w:rFonts w:ascii="Cambria Math" w:hAnsi="Cambria Math"/>
          <w:vertAlign w:val="subscript"/>
        </w:rPr>
        <w:t xml:space="preserve"> </w:t>
      </w:r>
      <w:r w:rsidRPr="009C0A11">
        <w:rPr>
          <w:rFonts w:ascii="Cambria Math" w:hAnsi="Cambria Math"/>
        </w:rPr>
        <w:t>+</w:t>
      </w:r>
      <w:r w:rsidR="000E49A2" w:rsidRPr="009C0A11">
        <w:rPr>
          <w:rFonts w:ascii="Cambria Math" w:hAnsi="Cambria Math"/>
        </w:rPr>
        <w:t xml:space="preserve"> </w:t>
      </w:r>
      <w:proofErr w:type="gramStart"/>
      <w:r w:rsidRPr="009C0A11">
        <w:rPr>
          <w:rFonts w:ascii="Cambria Math" w:hAnsi="Cambria Math"/>
        </w:rPr>
        <w:t>OOF</w:t>
      </w:r>
      <w:r w:rsidRPr="009C0A11">
        <w:rPr>
          <w:rFonts w:ascii="Cambria Math" w:hAnsi="Cambria Math"/>
          <w:vertAlign w:val="subscript"/>
        </w:rPr>
        <w:t>i,j</w:t>
      </w:r>
      <w:proofErr w:type="gramEnd"/>
      <w:r w:rsidRPr="009C0A11">
        <w:rPr>
          <w:rFonts w:ascii="Cambria Math" w:hAnsi="Cambria Math"/>
          <w:vertAlign w:val="subscript"/>
        </w:rPr>
        <w:t>,t</w:t>
      </w:r>
    </w:p>
    <w:p w14:paraId="47C3B9D6" w14:textId="77777777" w:rsidR="000E49A2" w:rsidRPr="009C0A11" w:rsidRDefault="000E49A2" w:rsidP="002B4ACF">
      <w:pPr>
        <w:pStyle w:val="MText"/>
        <w:ind w:left="720"/>
        <w:jc w:val="both"/>
      </w:pPr>
    </w:p>
    <w:p w14:paraId="50E4E231" w14:textId="0060B8FB" w:rsidR="004B39E6" w:rsidRPr="009C0A11" w:rsidRDefault="004B39E6" w:rsidP="004B39E6">
      <w:pPr>
        <w:pStyle w:val="MText"/>
        <w:jc w:val="both"/>
      </w:pPr>
      <w:r w:rsidRPr="009C0A11">
        <w:t>Then, the total value for indicator 11.c.1</w:t>
      </w:r>
      <w:r w:rsidR="000E49A2" w:rsidRPr="009C0A11">
        <w:t xml:space="preserve"> for country j</w:t>
      </w:r>
      <w:r w:rsidRPr="009C0A11">
        <w:t xml:space="preserve"> </w:t>
      </w:r>
      <w:proofErr w:type="gramStart"/>
      <w:r w:rsidRPr="009C0A11">
        <w:t>in a given year</w:t>
      </w:r>
      <w:proofErr w:type="gramEnd"/>
      <w:r w:rsidRPr="009C0A11">
        <w:t xml:space="preserve"> t is calculated as:</w:t>
      </w:r>
    </w:p>
    <w:p w14:paraId="5FC14D06" w14:textId="77777777" w:rsidR="002B4ACF" w:rsidRPr="009C0A11" w:rsidRDefault="002B4ACF" w:rsidP="004B39E6">
      <w:pPr>
        <w:pStyle w:val="MText"/>
        <w:jc w:val="both"/>
      </w:pPr>
    </w:p>
    <w:p w14:paraId="304805F1" w14:textId="28C8005E" w:rsidR="000E49A2" w:rsidRPr="002B4ACF" w:rsidRDefault="000E49A2" w:rsidP="004B39E6">
      <w:pPr>
        <w:pStyle w:val="MText"/>
        <w:jc w:val="both"/>
      </w:pPr>
      <m:oMathPara>
        <m:oMath>
          <m:r>
            <w:rPr>
              <w:rFonts w:ascii="Cambria Math" w:hAnsi="Cambria Math" w:hint="eastAsia"/>
            </w:rPr>
            <m:t>Indicator</m:t>
          </m:r>
          <m:r>
            <w:rPr>
              <w:rFonts w:ascii="Cambria Math" w:hAnsi="Cambria Math"/>
            </w:rPr>
            <m:t xml:space="preserve"> </m:t>
          </m:r>
          <m:r>
            <w:rPr>
              <w:rFonts w:ascii="Cambria Math" w:hAnsi="Cambria Math" w:hint="eastAsia"/>
            </w:rPr>
            <m:t>11.c.1t=</m:t>
          </m:r>
          <m:nary>
            <m:naryPr>
              <m:chr m:val="∑"/>
              <m:supHide m:val="1"/>
              <m:ctrlPr>
                <w:rPr>
                  <w:rFonts w:ascii="Cambria Math" w:hAnsi="Cambria Math"/>
                </w:rPr>
              </m:ctrlPr>
            </m:naryPr>
            <m:sub>
              <m:r>
                <w:rPr>
                  <w:rFonts w:ascii="Cambria Math" w:hAnsi="Cambria Math" w:hint="eastAsia"/>
                </w:rPr>
                <m:t>i</m:t>
              </m:r>
              <m:ctrlPr>
                <w:rPr>
                  <w:rFonts w:ascii="Cambria Math" w:hAnsi="Cambria Math"/>
                  <w:i/>
                </w:rPr>
              </m:ctrlPr>
            </m:sub>
            <m:sup>
              <m:ctrlPr>
                <w:rPr>
                  <w:rFonts w:ascii="Cambria Math" w:hAnsi="Cambria Math"/>
                  <w:i/>
                </w:rPr>
              </m:ctrlPr>
            </m:sup>
            <m:e>
              <m:nary>
                <m:naryPr>
                  <m:chr m:val="∑"/>
                  <m:supHide m:val="1"/>
                  <m:ctrlPr>
                    <w:rPr>
                      <w:rFonts w:ascii="Cambria Math" w:hAnsi="Cambria Math"/>
                    </w:rPr>
                  </m:ctrlPr>
                </m:naryPr>
                <m:sub>
                  <m:r>
                    <w:rPr>
                      <w:rFonts w:ascii="Cambria Math" w:hAnsi="Cambria Math" w:hint="eastAsia"/>
                    </w:rPr>
                    <m:t>j</m:t>
                  </m:r>
                  <m:ctrlPr>
                    <w:rPr>
                      <w:rFonts w:ascii="Cambria Math" w:hAnsi="Cambria Math"/>
                      <w:i/>
                    </w:rPr>
                  </m:ctrlPr>
                </m:sub>
                <m:sup>
                  <m:ctrlPr>
                    <w:rPr>
                      <w:rFonts w:ascii="Cambria Math" w:hAnsi="Cambria Math"/>
                      <w:i/>
                    </w:rPr>
                  </m:ctrlPr>
                </m:sup>
                <m:e>
                  <m:d>
                    <m:dPr>
                      <m:ctrlPr>
                        <w:rPr>
                          <w:rFonts w:ascii="Cambria Math" w:hAnsi="Cambria Math"/>
                        </w:rPr>
                      </m:ctrlPr>
                    </m:dPr>
                    <m:e>
                      <m:r>
                        <w:rPr>
                          <w:rFonts w:ascii="Cambria Math" w:hAnsi="Cambria Math" w:hint="eastAsia"/>
                        </w:rPr>
                        <m:t>OD</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i,j,t</m:t>
                          </m:r>
                        </m:sub>
                      </m:sSub>
                      <m:r>
                        <w:rPr>
                          <w:rFonts w:ascii="Cambria Math" w:hAnsi="Cambria Math" w:hint="eastAsia"/>
                        </w:rPr>
                        <m:t>+OO</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i,j,t</m:t>
                          </m:r>
                        </m:sub>
                      </m:sSub>
                      <m:ctrlPr>
                        <w:rPr>
                          <w:rFonts w:ascii="Cambria Math" w:hAnsi="Cambria Math"/>
                          <w:i/>
                        </w:rPr>
                      </m:ctrlPr>
                    </m:e>
                  </m:d>
                  <m:ctrlPr>
                    <w:rPr>
                      <w:rFonts w:ascii="Cambria Math" w:hAnsi="Cambria Math"/>
                      <w:i/>
                    </w:rPr>
                  </m:ctrlPr>
                </m:e>
              </m:nary>
              <m:ctrlPr>
                <w:rPr>
                  <w:rFonts w:ascii="Cambria Math" w:hAnsi="Cambria Math"/>
                  <w:i/>
                </w:rPr>
              </m:ctrlPr>
            </m:e>
          </m:nary>
        </m:oMath>
      </m:oMathPara>
    </w:p>
    <w:p w14:paraId="0D2B45EF" w14:textId="0C2987B6" w:rsidR="004B39E6" w:rsidRPr="009C0A11" w:rsidRDefault="004B39E6" w:rsidP="004B39E6">
      <w:pPr>
        <w:pStyle w:val="MText"/>
        <w:jc w:val="both"/>
      </w:pPr>
      <w:r w:rsidRPr="009C0A11">
        <w:t>Where:</w:t>
      </w:r>
    </w:p>
    <w:p w14:paraId="5026A423" w14:textId="5CA47AE6" w:rsidR="004B39E6" w:rsidRPr="009C0A11" w:rsidRDefault="000E49A2" w:rsidP="004B39E6">
      <w:pPr>
        <w:pStyle w:val="MText"/>
        <w:numPr>
          <w:ilvl w:val="0"/>
          <w:numId w:val="15"/>
        </w:numPr>
        <w:jc w:val="both"/>
      </w:pPr>
      <w:r w:rsidRPr="009C0A11">
        <w:t>i</w:t>
      </w:r>
      <w:r w:rsidR="004B39E6" w:rsidRPr="009C0A11">
        <w:t xml:space="preserve"> = donor countries or agencies reporting to the OECD-DAC</w:t>
      </w:r>
    </w:p>
    <w:p w14:paraId="7573A309" w14:textId="70ACC5BE" w:rsidR="004B39E6" w:rsidRPr="009C0A11" w:rsidRDefault="004B39E6" w:rsidP="004B39E6">
      <w:pPr>
        <w:pStyle w:val="MText"/>
        <w:numPr>
          <w:ilvl w:val="0"/>
          <w:numId w:val="15"/>
        </w:numPr>
        <w:jc w:val="both"/>
      </w:pPr>
      <w:r w:rsidRPr="009C0A11">
        <w:rPr>
          <w:rFonts w:ascii="Cambria Math" w:hAnsi="Cambria Math"/>
        </w:rPr>
        <w:t>j</w:t>
      </w:r>
      <w:r w:rsidR="000E49A2" w:rsidRPr="009C0A11">
        <w:t xml:space="preserve"> </w:t>
      </w:r>
      <w:r w:rsidRPr="009C0A11">
        <w:t>= least developed or other recipient countries</w:t>
      </w:r>
    </w:p>
    <w:p w14:paraId="704285AE" w14:textId="36D9D8A4" w:rsidR="004B39E6" w:rsidRPr="009C0A11" w:rsidRDefault="004B39E6" w:rsidP="004B39E6">
      <w:pPr>
        <w:pStyle w:val="MText"/>
        <w:numPr>
          <w:ilvl w:val="0"/>
          <w:numId w:val="15"/>
        </w:numPr>
        <w:jc w:val="both"/>
      </w:pPr>
      <w:r w:rsidRPr="009C0A11">
        <w:rPr>
          <w:rFonts w:ascii="Cambria Math" w:hAnsi="Cambria Math"/>
        </w:rPr>
        <w:t>t</w:t>
      </w:r>
      <w:r w:rsidRPr="009C0A11">
        <w:t xml:space="preserve"> = reporting year</w:t>
      </w:r>
    </w:p>
    <w:p w14:paraId="430F5654" w14:textId="77777777" w:rsidR="004B39E6" w:rsidRPr="009C0A11" w:rsidRDefault="004B39E6" w:rsidP="004B39E6">
      <w:pPr>
        <w:pStyle w:val="MText"/>
        <w:jc w:val="both"/>
      </w:pPr>
      <w:r w:rsidRPr="009C0A11">
        <w:t xml:space="preserve">All monetary values are expressed in </w:t>
      </w:r>
      <w:r w:rsidRPr="009C0A11">
        <w:rPr>
          <w:b/>
          <w:bCs/>
        </w:rPr>
        <w:t>million USD at constant 2021 prices</w:t>
      </w:r>
      <w:r w:rsidRPr="009C0A11">
        <w:t>.</w:t>
      </w:r>
    </w:p>
    <w:p w14:paraId="5BEC3190" w14:textId="77777777" w:rsidR="000E49A2" w:rsidRPr="009C0A11" w:rsidRDefault="000E49A2" w:rsidP="004B39E6">
      <w:pPr>
        <w:pStyle w:val="MText"/>
        <w:jc w:val="both"/>
      </w:pPr>
    </w:p>
    <w:p w14:paraId="3E6FA091" w14:textId="77777777" w:rsidR="004B39E6" w:rsidRPr="009C0A11" w:rsidRDefault="004B39E6" w:rsidP="004B39E6">
      <w:pPr>
        <w:pStyle w:val="MText"/>
        <w:jc w:val="both"/>
        <w:rPr>
          <w:b/>
          <w:bCs/>
        </w:rPr>
      </w:pPr>
      <w:r w:rsidRPr="009C0A11">
        <w:rPr>
          <w:b/>
          <w:bCs/>
        </w:rPr>
        <w:t>Step-by-Step Computation Process</w:t>
      </w:r>
    </w:p>
    <w:p w14:paraId="5B6FC286" w14:textId="77777777" w:rsidR="004B39E6" w:rsidRPr="009C0A11" w:rsidRDefault="004B39E6" w:rsidP="00AD3133">
      <w:pPr>
        <w:pStyle w:val="MText"/>
        <w:numPr>
          <w:ilvl w:val="0"/>
          <w:numId w:val="16"/>
        </w:numPr>
      </w:pPr>
      <w:r w:rsidRPr="009C0A11">
        <w:rPr>
          <w:b/>
          <w:bCs/>
        </w:rPr>
        <w:t>Data Extraction</w:t>
      </w:r>
      <w:r w:rsidRPr="009C0A11">
        <w:t>:</w:t>
      </w:r>
      <w:r w:rsidRPr="009C0A11">
        <w:br/>
        <w:t>Extract project-level data from the OECD Creditor Reporting System (CRS) database, filtered by:</w:t>
      </w:r>
    </w:p>
    <w:p w14:paraId="69868570" w14:textId="77777777" w:rsidR="004B39E6" w:rsidRPr="009C0A11" w:rsidRDefault="004B39E6" w:rsidP="004B39E6">
      <w:pPr>
        <w:pStyle w:val="MText"/>
        <w:numPr>
          <w:ilvl w:val="1"/>
          <w:numId w:val="16"/>
        </w:numPr>
        <w:jc w:val="both"/>
      </w:pPr>
      <w:r w:rsidRPr="009C0A11">
        <w:t>Sector codes relevant to urban infrastructure (CRS 200 series)</w:t>
      </w:r>
    </w:p>
    <w:p w14:paraId="68BA1611" w14:textId="77777777" w:rsidR="004B39E6" w:rsidRPr="009C0A11" w:rsidRDefault="004B39E6" w:rsidP="004B39E6">
      <w:pPr>
        <w:pStyle w:val="MText"/>
        <w:numPr>
          <w:ilvl w:val="1"/>
          <w:numId w:val="16"/>
        </w:numPr>
        <w:jc w:val="both"/>
      </w:pPr>
      <w:r w:rsidRPr="009C0A11">
        <w:t>Purpose codes aligned with housing, urban transport, water/sanitation, waste management, energy for urban areas, etc.</w:t>
      </w:r>
    </w:p>
    <w:p w14:paraId="45ED7818" w14:textId="77777777" w:rsidR="004B39E6" w:rsidRPr="009C0A11" w:rsidRDefault="004B39E6" w:rsidP="004B39E6">
      <w:pPr>
        <w:pStyle w:val="MText"/>
        <w:numPr>
          <w:ilvl w:val="0"/>
          <w:numId w:val="16"/>
        </w:numPr>
        <w:jc w:val="both"/>
      </w:pPr>
      <w:r w:rsidRPr="009C0A11">
        <w:rPr>
          <w:b/>
          <w:bCs/>
        </w:rPr>
        <w:t>Classification</w:t>
      </w:r>
      <w:r w:rsidRPr="009C0A11">
        <w:t>:</w:t>
      </w:r>
    </w:p>
    <w:p w14:paraId="42251C77" w14:textId="77777777" w:rsidR="004B39E6" w:rsidRPr="009C0A11" w:rsidRDefault="004B39E6" w:rsidP="004B39E6">
      <w:pPr>
        <w:pStyle w:val="MText"/>
        <w:numPr>
          <w:ilvl w:val="1"/>
          <w:numId w:val="16"/>
        </w:numPr>
        <w:jc w:val="both"/>
      </w:pPr>
      <w:r w:rsidRPr="009C0A11">
        <w:t>Distinguish between ODA and OOF using grant element thresholds (≥25% for ODA).</w:t>
      </w:r>
    </w:p>
    <w:p w14:paraId="24C1E2B7" w14:textId="77777777" w:rsidR="004B39E6" w:rsidRPr="009C0A11" w:rsidRDefault="004B39E6" w:rsidP="004B39E6">
      <w:pPr>
        <w:pStyle w:val="MText"/>
        <w:numPr>
          <w:ilvl w:val="1"/>
          <w:numId w:val="16"/>
        </w:numPr>
        <w:jc w:val="both"/>
      </w:pPr>
      <w:r w:rsidRPr="009C0A11">
        <w:t>Identify urban infrastructure by matching keywords in project titles/descriptions or sector codes.</w:t>
      </w:r>
    </w:p>
    <w:p w14:paraId="3FFB9350" w14:textId="77777777" w:rsidR="009C0A11" w:rsidRDefault="004B39E6" w:rsidP="004B39E6">
      <w:pPr>
        <w:pStyle w:val="MText"/>
        <w:numPr>
          <w:ilvl w:val="0"/>
          <w:numId w:val="16"/>
        </w:numPr>
        <w:jc w:val="both"/>
      </w:pPr>
      <w:r w:rsidRPr="009C0A11">
        <w:rPr>
          <w:b/>
          <w:bCs/>
        </w:rPr>
        <w:t>Currency</w:t>
      </w:r>
      <w:r w:rsidR="009C0A11">
        <w:rPr>
          <w:b/>
          <w:bCs/>
        </w:rPr>
        <w:t xml:space="preserve"> </w:t>
      </w:r>
      <w:r w:rsidRPr="009C0A11">
        <w:rPr>
          <w:b/>
          <w:bCs/>
        </w:rPr>
        <w:t>Adjustment</w:t>
      </w:r>
      <w:r w:rsidRPr="009C0A11">
        <w:t>:</w:t>
      </w:r>
    </w:p>
    <w:p w14:paraId="3D234605" w14:textId="2E605076" w:rsidR="004B39E6" w:rsidRPr="009C0A11" w:rsidRDefault="004B39E6" w:rsidP="009C0A11">
      <w:pPr>
        <w:pStyle w:val="MText"/>
        <w:numPr>
          <w:ilvl w:val="1"/>
          <w:numId w:val="16"/>
        </w:numPr>
        <w:jc w:val="both"/>
      </w:pPr>
      <w:r w:rsidRPr="009C0A11">
        <w:t>Convert all financial amounts to constant 2021 USD using OECD’s deflator tables.</w:t>
      </w:r>
    </w:p>
    <w:p w14:paraId="0D4208DC" w14:textId="77777777" w:rsidR="004B39E6" w:rsidRPr="009C0A11" w:rsidRDefault="004B39E6" w:rsidP="004B39E6">
      <w:pPr>
        <w:pStyle w:val="MText"/>
        <w:numPr>
          <w:ilvl w:val="0"/>
          <w:numId w:val="16"/>
        </w:numPr>
        <w:jc w:val="both"/>
      </w:pPr>
      <w:r w:rsidRPr="009C0A11">
        <w:rPr>
          <w:b/>
          <w:bCs/>
        </w:rPr>
        <w:t>Aggregation</w:t>
      </w:r>
      <w:r w:rsidRPr="009C0A11">
        <w:t>:</w:t>
      </w:r>
    </w:p>
    <w:p w14:paraId="395A87A2" w14:textId="77777777" w:rsidR="004B39E6" w:rsidRPr="009C0A11" w:rsidRDefault="004B39E6" w:rsidP="004B39E6">
      <w:pPr>
        <w:pStyle w:val="MText"/>
        <w:numPr>
          <w:ilvl w:val="1"/>
          <w:numId w:val="16"/>
        </w:numPr>
        <w:jc w:val="both"/>
      </w:pPr>
      <w:r w:rsidRPr="009C0A11">
        <w:t>Aggregate amounts by donor, recipient, year, and sector.</w:t>
      </w:r>
    </w:p>
    <w:p w14:paraId="61123607" w14:textId="77777777" w:rsidR="004B39E6" w:rsidRPr="009C0A11" w:rsidRDefault="004B39E6" w:rsidP="004B39E6">
      <w:pPr>
        <w:pStyle w:val="MText"/>
        <w:numPr>
          <w:ilvl w:val="1"/>
          <w:numId w:val="16"/>
        </w:numPr>
        <w:jc w:val="both"/>
      </w:pPr>
      <w:r w:rsidRPr="009C0A11">
        <w:t>Produce totals by country, region, and globally.</w:t>
      </w:r>
    </w:p>
    <w:p w14:paraId="12AFA521" w14:textId="77777777" w:rsidR="004B39E6" w:rsidRPr="009C0A11" w:rsidRDefault="004B39E6" w:rsidP="004B39E6">
      <w:pPr>
        <w:pStyle w:val="MText"/>
        <w:numPr>
          <w:ilvl w:val="0"/>
          <w:numId w:val="16"/>
        </w:numPr>
        <w:jc w:val="both"/>
      </w:pPr>
      <w:r w:rsidRPr="009C0A11">
        <w:rPr>
          <w:b/>
          <w:bCs/>
        </w:rPr>
        <w:t>Disaggregation Options</w:t>
      </w:r>
      <w:r w:rsidRPr="009C0A11">
        <w:t xml:space="preserve"> (for further analysis):</w:t>
      </w:r>
    </w:p>
    <w:p w14:paraId="775E9CC1" w14:textId="77777777" w:rsidR="004B39E6" w:rsidRPr="009C0A11" w:rsidRDefault="004B39E6" w:rsidP="004B39E6">
      <w:pPr>
        <w:pStyle w:val="MText"/>
        <w:numPr>
          <w:ilvl w:val="1"/>
          <w:numId w:val="16"/>
        </w:numPr>
        <w:jc w:val="both"/>
      </w:pPr>
      <w:r w:rsidRPr="009C0A11">
        <w:t>By type of flow: ODA vs OOF</w:t>
      </w:r>
    </w:p>
    <w:p w14:paraId="03B09A0B" w14:textId="77777777" w:rsidR="004B39E6" w:rsidRPr="009C0A11" w:rsidRDefault="004B39E6" w:rsidP="004B39E6">
      <w:pPr>
        <w:pStyle w:val="MText"/>
        <w:numPr>
          <w:ilvl w:val="1"/>
          <w:numId w:val="16"/>
        </w:numPr>
        <w:jc w:val="both"/>
      </w:pPr>
      <w:r w:rsidRPr="009C0A11">
        <w:t>By type of aid: grant, loan, technical assistance</w:t>
      </w:r>
    </w:p>
    <w:p w14:paraId="29124A46" w14:textId="77777777" w:rsidR="004B39E6" w:rsidRPr="009C0A11" w:rsidRDefault="004B39E6" w:rsidP="004B39E6">
      <w:pPr>
        <w:pStyle w:val="MText"/>
        <w:numPr>
          <w:ilvl w:val="1"/>
          <w:numId w:val="16"/>
        </w:numPr>
        <w:jc w:val="both"/>
      </w:pPr>
      <w:r w:rsidRPr="009C0A11">
        <w:t>By type of infrastructure (housing, sanitation, energy, etc.)</w:t>
      </w:r>
    </w:p>
    <w:p w14:paraId="3DB834B3" w14:textId="77777777" w:rsidR="004B39E6" w:rsidRPr="009C0A11" w:rsidRDefault="004B39E6" w:rsidP="004B39E6">
      <w:pPr>
        <w:pStyle w:val="MText"/>
        <w:numPr>
          <w:ilvl w:val="1"/>
          <w:numId w:val="16"/>
        </w:numPr>
        <w:jc w:val="both"/>
      </w:pPr>
      <w:r w:rsidRPr="009C0A11">
        <w:t>By donor or recipient country</w:t>
      </w:r>
    </w:p>
    <w:p w14:paraId="23B6BB79" w14:textId="77777777" w:rsidR="00870476" w:rsidRPr="009C0A11" w:rsidRDefault="00870476" w:rsidP="004B39E6">
      <w:pPr>
        <w:pStyle w:val="MText"/>
        <w:jc w:val="both"/>
        <w:rPr>
          <w:b/>
          <w:bCs/>
        </w:rPr>
      </w:pPr>
    </w:p>
    <w:p w14:paraId="5ECA85A0" w14:textId="0E2B06F6" w:rsidR="004B39E6" w:rsidRPr="009C0A11" w:rsidRDefault="004B39E6" w:rsidP="004B39E6">
      <w:pPr>
        <w:pStyle w:val="MText"/>
        <w:jc w:val="both"/>
        <w:rPr>
          <w:b/>
          <w:bCs/>
        </w:rPr>
      </w:pPr>
      <w:r w:rsidRPr="009C0A11">
        <w:rPr>
          <w:b/>
          <w:bCs/>
        </w:rPr>
        <w:t>Example Tabular Demonstration</w:t>
      </w:r>
    </w:p>
    <w:p w14:paraId="490C14B8" w14:textId="77777777" w:rsidR="002B4ACF" w:rsidRPr="009C0A11" w:rsidRDefault="002B4ACF" w:rsidP="004B39E6">
      <w:pPr>
        <w:pStyle w:val="MText"/>
        <w:jc w:val="both"/>
        <w:rPr>
          <w:b/>
          <w:bCs/>
        </w:rPr>
      </w:pPr>
    </w:p>
    <w:tbl>
      <w:tblPr>
        <w:tblStyle w:val="TableGrid"/>
        <w:tblW w:w="9493" w:type="dxa"/>
        <w:tblLook w:val="04A0" w:firstRow="1" w:lastRow="0" w:firstColumn="1" w:lastColumn="0" w:noHBand="0" w:noVBand="1"/>
      </w:tblPr>
      <w:tblGrid>
        <w:gridCol w:w="1275"/>
        <w:gridCol w:w="1277"/>
        <w:gridCol w:w="845"/>
        <w:gridCol w:w="1134"/>
        <w:gridCol w:w="1276"/>
        <w:gridCol w:w="1932"/>
        <w:gridCol w:w="1754"/>
      </w:tblGrid>
      <w:tr w:rsidR="00870476" w:rsidRPr="009C0A11" w14:paraId="76F827A4" w14:textId="77777777" w:rsidTr="00870476">
        <w:tc>
          <w:tcPr>
            <w:tcW w:w="1275" w:type="dxa"/>
            <w:vAlign w:val="center"/>
          </w:tcPr>
          <w:p w14:paraId="505EDB0D" w14:textId="6CB8C9D8" w:rsidR="00870476" w:rsidRPr="009C0A11" w:rsidRDefault="00870476" w:rsidP="00870476">
            <w:pPr>
              <w:pStyle w:val="MText"/>
              <w:shd w:val="clear" w:color="auto" w:fill="auto"/>
              <w:jc w:val="both"/>
              <w:rPr>
                <w:b/>
                <w:bCs/>
              </w:rPr>
            </w:pPr>
            <w:r w:rsidRPr="009C0A11">
              <w:rPr>
                <w:b/>
                <w:bCs/>
              </w:rPr>
              <w:t>Donor Country</w:t>
            </w:r>
          </w:p>
        </w:tc>
        <w:tc>
          <w:tcPr>
            <w:tcW w:w="1277" w:type="dxa"/>
            <w:vAlign w:val="center"/>
          </w:tcPr>
          <w:p w14:paraId="6206720A" w14:textId="0824476D" w:rsidR="00870476" w:rsidRPr="009C0A11" w:rsidRDefault="00870476" w:rsidP="00870476">
            <w:pPr>
              <w:pStyle w:val="MText"/>
              <w:shd w:val="clear" w:color="auto" w:fill="auto"/>
              <w:jc w:val="both"/>
              <w:rPr>
                <w:b/>
                <w:bCs/>
              </w:rPr>
            </w:pPr>
            <w:r w:rsidRPr="009C0A11">
              <w:rPr>
                <w:b/>
                <w:bCs/>
              </w:rPr>
              <w:t>Recipient Country</w:t>
            </w:r>
          </w:p>
        </w:tc>
        <w:tc>
          <w:tcPr>
            <w:tcW w:w="845" w:type="dxa"/>
            <w:vAlign w:val="center"/>
          </w:tcPr>
          <w:p w14:paraId="2C51CE30" w14:textId="72D4E00F" w:rsidR="00870476" w:rsidRPr="009C0A11" w:rsidRDefault="00870476" w:rsidP="00870476">
            <w:pPr>
              <w:pStyle w:val="MText"/>
              <w:shd w:val="clear" w:color="auto" w:fill="auto"/>
              <w:jc w:val="both"/>
              <w:rPr>
                <w:b/>
                <w:bCs/>
              </w:rPr>
            </w:pPr>
            <w:r w:rsidRPr="009C0A11">
              <w:rPr>
                <w:b/>
                <w:bCs/>
              </w:rPr>
              <w:t>Year</w:t>
            </w:r>
          </w:p>
        </w:tc>
        <w:tc>
          <w:tcPr>
            <w:tcW w:w="1134" w:type="dxa"/>
            <w:vAlign w:val="center"/>
          </w:tcPr>
          <w:p w14:paraId="595FD822" w14:textId="6BA499E1" w:rsidR="00870476" w:rsidRPr="009C0A11" w:rsidRDefault="00870476" w:rsidP="00870476">
            <w:pPr>
              <w:pStyle w:val="MText"/>
              <w:shd w:val="clear" w:color="auto" w:fill="auto"/>
              <w:jc w:val="both"/>
              <w:rPr>
                <w:b/>
                <w:bCs/>
              </w:rPr>
            </w:pPr>
            <w:r w:rsidRPr="009C0A11">
              <w:rPr>
                <w:b/>
                <w:bCs/>
              </w:rPr>
              <w:t>Type of Flow</w:t>
            </w:r>
          </w:p>
        </w:tc>
        <w:tc>
          <w:tcPr>
            <w:tcW w:w="1276" w:type="dxa"/>
            <w:vAlign w:val="center"/>
          </w:tcPr>
          <w:p w14:paraId="4CF3823E" w14:textId="24B04573" w:rsidR="00870476" w:rsidRPr="009C0A11" w:rsidRDefault="00870476" w:rsidP="00870476">
            <w:pPr>
              <w:pStyle w:val="MText"/>
              <w:shd w:val="clear" w:color="auto" w:fill="auto"/>
              <w:jc w:val="both"/>
              <w:rPr>
                <w:b/>
                <w:bCs/>
              </w:rPr>
            </w:pPr>
            <w:r w:rsidRPr="009C0A11">
              <w:rPr>
                <w:b/>
                <w:bCs/>
              </w:rPr>
              <w:t>Sector Code</w:t>
            </w:r>
          </w:p>
        </w:tc>
        <w:tc>
          <w:tcPr>
            <w:tcW w:w="1932" w:type="dxa"/>
            <w:vAlign w:val="center"/>
          </w:tcPr>
          <w:p w14:paraId="34D861F6" w14:textId="1965183C" w:rsidR="00870476" w:rsidRPr="009C0A11" w:rsidRDefault="00870476" w:rsidP="00870476">
            <w:pPr>
              <w:pStyle w:val="MText"/>
              <w:shd w:val="clear" w:color="auto" w:fill="auto"/>
              <w:jc w:val="both"/>
              <w:rPr>
                <w:b/>
                <w:bCs/>
              </w:rPr>
            </w:pPr>
            <w:r w:rsidRPr="009C0A11">
              <w:rPr>
                <w:b/>
                <w:bCs/>
              </w:rPr>
              <w:t>Sector Description</w:t>
            </w:r>
          </w:p>
        </w:tc>
        <w:tc>
          <w:tcPr>
            <w:tcW w:w="1754" w:type="dxa"/>
            <w:vAlign w:val="center"/>
          </w:tcPr>
          <w:p w14:paraId="6C32E13F" w14:textId="565F65E6" w:rsidR="00870476" w:rsidRPr="009C0A11" w:rsidRDefault="00870476" w:rsidP="00870476">
            <w:pPr>
              <w:pStyle w:val="MText"/>
              <w:shd w:val="clear" w:color="auto" w:fill="auto"/>
              <w:jc w:val="both"/>
              <w:rPr>
                <w:b/>
                <w:bCs/>
              </w:rPr>
            </w:pPr>
            <w:r w:rsidRPr="009C0A11">
              <w:rPr>
                <w:b/>
                <w:bCs/>
              </w:rPr>
              <w:t>Amount (USD million, 2021 constant)</w:t>
            </w:r>
          </w:p>
        </w:tc>
      </w:tr>
      <w:tr w:rsidR="00870476" w:rsidRPr="009C0A11" w14:paraId="103DB38F" w14:textId="77777777" w:rsidTr="00870476">
        <w:tc>
          <w:tcPr>
            <w:tcW w:w="1275" w:type="dxa"/>
            <w:vAlign w:val="center"/>
          </w:tcPr>
          <w:p w14:paraId="2915C53A" w14:textId="24D519EC" w:rsidR="00870476" w:rsidRPr="009C0A11" w:rsidRDefault="00870476" w:rsidP="00870476">
            <w:pPr>
              <w:pStyle w:val="MText"/>
              <w:shd w:val="clear" w:color="auto" w:fill="auto"/>
              <w:jc w:val="both"/>
              <w:rPr>
                <w:b/>
                <w:bCs/>
              </w:rPr>
            </w:pPr>
            <w:r w:rsidRPr="009C0A11">
              <w:t>Germany</w:t>
            </w:r>
          </w:p>
        </w:tc>
        <w:tc>
          <w:tcPr>
            <w:tcW w:w="1277" w:type="dxa"/>
            <w:vAlign w:val="center"/>
          </w:tcPr>
          <w:p w14:paraId="433C0548" w14:textId="1E5045C2" w:rsidR="00870476" w:rsidRPr="009C0A11" w:rsidRDefault="00870476" w:rsidP="00870476">
            <w:pPr>
              <w:pStyle w:val="MText"/>
              <w:shd w:val="clear" w:color="auto" w:fill="auto"/>
              <w:jc w:val="both"/>
              <w:rPr>
                <w:b/>
                <w:bCs/>
              </w:rPr>
            </w:pPr>
            <w:r w:rsidRPr="009C0A11">
              <w:t>Rwanda</w:t>
            </w:r>
          </w:p>
        </w:tc>
        <w:tc>
          <w:tcPr>
            <w:tcW w:w="845" w:type="dxa"/>
            <w:vAlign w:val="center"/>
          </w:tcPr>
          <w:p w14:paraId="70A3725F" w14:textId="0890E0D9" w:rsidR="00870476" w:rsidRPr="009C0A11" w:rsidRDefault="00870476" w:rsidP="00870476">
            <w:pPr>
              <w:pStyle w:val="MText"/>
              <w:shd w:val="clear" w:color="auto" w:fill="auto"/>
              <w:jc w:val="both"/>
              <w:rPr>
                <w:b/>
                <w:bCs/>
              </w:rPr>
            </w:pPr>
            <w:r w:rsidRPr="009C0A11">
              <w:t>2024</w:t>
            </w:r>
          </w:p>
        </w:tc>
        <w:tc>
          <w:tcPr>
            <w:tcW w:w="1134" w:type="dxa"/>
            <w:vAlign w:val="center"/>
          </w:tcPr>
          <w:p w14:paraId="496790D6" w14:textId="390E8F3E" w:rsidR="00870476" w:rsidRPr="009C0A11" w:rsidRDefault="00870476" w:rsidP="00870476">
            <w:pPr>
              <w:pStyle w:val="MText"/>
              <w:shd w:val="clear" w:color="auto" w:fill="auto"/>
              <w:jc w:val="both"/>
              <w:rPr>
                <w:b/>
                <w:bCs/>
              </w:rPr>
            </w:pPr>
            <w:r w:rsidRPr="009C0A11">
              <w:t>ODA</w:t>
            </w:r>
          </w:p>
        </w:tc>
        <w:tc>
          <w:tcPr>
            <w:tcW w:w="1276" w:type="dxa"/>
            <w:vAlign w:val="center"/>
          </w:tcPr>
          <w:p w14:paraId="252C31FE" w14:textId="7E9A1004" w:rsidR="00870476" w:rsidRPr="009C0A11" w:rsidRDefault="00870476" w:rsidP="00870476">
            <w:pPr>
              <w:pStyle w:val="MText"/>
              <w:shd w:val="clear" w:color="auto" w:fill="auto"/>
              <w:jc w:val="both"/>
              <w:rPr>
                <w:b/>
                <w:bCs/>
              </w:rPr>
            </w:pPr>
            <w:r w:rsidRPr="009C0A11">
              <w:t>43030</w:t>
            </w:r>
          </w:p>
        </w:tc>
        <w:tc>
          <w:tcPr>
            <w:tcW w:w="1932" w:type="dxa"/>
            <w:vAlign w:val="center"/>
          </w:tcPr>
          <w:p w14:paraId="2B86A55B" w14:textId="77656921" w:rsidR="00870476" w:rsidRPr="009C0A11" w:rsidRDefault="00870476" w:rsidP="00870476">
            <w:pPr>
              <w:pStyle w:val="MText"/>
              <w:shd w:val="clear" w:color="auto" w:fill="auto"/>
              <w:jc w:val="both"/>
              <w:rPr>
                <w:b/>
                <w:bCs/>
              </w:rPr>
            </w:pPr>
            <w:r w:rsidRPr="009C0A11">
              <w:t>Urban Housing</w:t>
            </w:r>
          </w:p>
        </w:tc>
        <w:tc>
          <w:tcPr>
            <w:tcW w:w="1754" w:type="dxa"/>
            <w:vAlign w:val="center"/>
          </w:tcPr>
          <w:p w14:paraId="678263DB" w14:textId="087F049D" w:rsidR="00870476" w:rsidRPr="009C0A11" w:rsidRDefault="00870476" w:rsidP="00870476">
            <w:pPr>
              <w:pStyle w:val="MText"/>
              <w:shd w:val="clear" w:color="auto" w:fill="auto"/>
              <w:jc w:val="both"/>
              <w:rPr>
                <w:b/>
                <w:bCs/>
              </w:rPr>
            </w:pPr>
            <w:r w:rsidRPr="009C0A11">
              <w:t>12.5</w:t>
            </w:r>
          </w:p>
        </w:tc>
      </w:tr>
      <w:tr w:rsidR="00870476" w:rsidRPr="009C0A11" w14:paraId="40638647" w14:textId="77777777" w:rsidTr="00870476">
        <w:tc>
          <w:tcPr>
            <w:tcW w:w="1275" w:type="dxa"/>
            <w:vAlign w:val="center"/>
          </w:tcPr>
          <w:p w14:paraId="2A1E371D" w14:textId="0BE0A4A0" w:rsidR="00870476" w:rsidRPr="009C0A11" w:rsidRDefault="00870476" w:rsidP="00870476">
            <w:pPr>
              <w:pStyle w:val="MText"/>
              <w:shd w:val="clear" w:color="auto" w:fill="auto"/>
              <w:jc w:val="both"/>
              <w:rPr>
                <w:b/>
                <w:bCs/>
              </w:rPr>
            </w:pPr>
            <w:r w:rsidRPr="009C0A11">
              <w:t>Japan</w:t>
            </w:r>
          </w:p>
        </w:tc>
        <w:tc>
          <w:tcPr>
            <w:tcW w:w="1277" w:type="dxa"/>
            <w:vAlign w:val="center"/>
          </w:tcPr>
          <w:p w14:paraId="643515EB" w14:textId="44183A55" w:rsidR="00870476" w:rsidRPr="009C0A11" w:rsidRDefault="00870476" w:rsidP="00870476">
            <w:pPr>
              <w:pStyle w:val="MText"/>
              <w:shd w:val="clear" w:color="auto" w:fill="auto"/>
              <w:jc w:val="both"/>
              <w:rPr>
                <w:b/>
                <w:bCs/>
              </w:rPr>
            </w:pPr>
            <w:r w:rsidRPr="009C0A11">
              <w:t>Rwanda</w:t>
            </w:r>
          </w:p>
        </w:tc>
        <w:tc>
          <w:tcPr>
            <w:tcW w:w="845" w:type="dxa"/>
            <w:vAlign w:val="center"/>
          </w:tcPr>
          <w:p w14:paraId="6396D606" w14:textId="7082AF29" w:rsidR="00870476" w:rsidRPr="009C0A11" w:rsidRDefault="00870476" w:rsidP="00870476">
            <w:pPr>
              <w:pStyle w:val="MText"/>
              <w:shd w:val="clear" w:color="auto" w:fill="auto"/>
              <w:jc w:val="both"/>
              <w:rPr>
                <w:b/>
                <w:bCs/>
              </w:rPr>
            </w:pPr>
            <w:r w:rsidRPr="009C0A11">
              <w:t>2024</w:t>
            </w:r>
          </w:p>
        </w:tc>
        <w:tc>
          <w:tcPr>
            <w:tcW w:w="1134" w:type="dxa"/>
            <w:vAlign w:val="center"/>
          </w:tcPr>
          <w:p w14:paraId="2C9D9579" w14:textId="6086A164" w:rsidR="00870476" w:rsidRPr="009C0A11" w:rsidRDefault="00870476" w:rsidP="00870476">
            <w:pPr>
              <w:pStyle w:val="MText"/>
              <w:shd w:val="clear" w:color="auto" w:fill="auto"/>
              <w:jc w:val="both"/>
              <w:rPr>
                <w:b/>
                <w:bCs/>
              </w:rPr>
            </w:pPr>
            <w:r w:rsidRPr="009C0A11">
              <w:t>OOF</w:t>
            </w:r>
          </w:p>
        </w:tc>
        <w:tc>
          <w:tcPr>
            <w:tcW w:w="1276" w:type="dxa"/>
            <w:vAlign w:val="center"/>
          </w:tcPr>
          <w:p w14:paraId="347C0F03" w14:textId="27EA6FF1" w:rsidR="00870476" w:rsidRPr="009C0A11" w:rsidRDefault="00870476" w:rsidP="00870476">
            <w:pPr>
              <w:pStyle w:val="MText"/>
              <w:shd w:val="clear" w:color="auto" w:fill="auto"/>
              <w:jc w:val="both"/>
              <w:rPr>
                <w:b/>
                <w:bCs/>
              </w:rPr>
            </w:pPr>
            <w:r w:rsidRPr="009C0A11">
              <w:t>21020</w:t>
            </w:r>
          </w:p>
        </w:tc>
        <w:tc>
          <w:tcPr>
            <w:tcW w:w="1932" w:type="dxa"/>
            <w:vAlign w:val="center"/>
          </w:tcPr>
          <w:p w14:paraId="1658A794" w14:textId="67D538A1" w:rsidR="00870476" w:rsidRPr="009C0A11" w:rsidRDefault="00870476" w:rsidP="00870476">
            <w:pPr>
              <w:pStyle w:val="MText"/>
              <w:shd w:val="clear" w:color="auto" w:fill="auto"/>
              <w:jc w:val="both"/>
              <w:rPr>
                <w:b/>
                <w:bCs/>
              </w:rPr>
            </w:pPr>
            <w:r w:rsidRPr="009C0A11">
              <w:t>Urban Transport</w:t>
            </w:r>
          </w:p>
        </w:tc>
        <w:tc>
          <w:tcPr>
            <w:tcW w:w="1754" w:type="dxa"/>
            <w:vAlign w:val="center"/>
          </w:tcPr>
          <w:p w14:paraId="6221A929" w14:textId="79EA6EA6" w:rsidR="00870476" w:rsidRPr="009C0A11" w:rsidRDefault="00870476" w:rsidP="00870476">
            <w:pPr>
              <w:pStyle w:val="MText"/>
              <w:shd w:val="clear" w:color="auto" w:fill="auto"/>
              <w:jc w:val="both"/>
              <w:rPr>
                <w:b/>
                <w:bCs/>
              </w:rPr>
            </w:pPr>
            <w:r w:rsidRPr="009C0A11">
              <w:t>18.7</w:t>
            </w:r>
          </w:p>
        </w:tc>
      </w:tr>
      <w:tr w:rsidR="00870476" w:rsidRPr="009C0A11" w14:paraId="1EF9C5D4" w14:textId="77777777" w:rsidTr="00870476">
        <w:tc>
          <w:tcPr>
            <w:tcW w:w="1275" w:type="dxa"/>
            <w:vAlign w:val="center"/>
          </w:tcPr>
          <w:p w14:paraId="45231959" w14:textId="31A3C14E" w:rsidR="00870476" w:rsidRPr="009C0A11" w:rsidRDefault="00870476" w:rsidP="00870476">
            <w:pPr>
              <w:pStyle w:val="MText"/>
              <w:shd w:val="clear" w:color="auto" w:fill="auto"/>
              <w:jc w:val="both"/>
              <w:rPr>
                <w:b/>
                <w:bCs/>
              </w:rPr>
            </w:pPr>
            <w:r w:rsidRPr="009C0A11">
              <w:t>USA</w:t>
            </w:r>
          </w:p>
        </w:tc>
        <w:tc>
          <w:tcPr>
            <w:tcW w:w="1277" w:type="dxa"/>
            <w:vAlign w:val="center"/>
          </w:tcPr>
          <w:p w14:paraId="6E905714" w14:textId="723B8F7F" w:rsidR="00870476" w:rsidRPr="009C0A11" w:rsidRDefault="00870476" w:rsidP="00870476">
            <w:pPr>
              <w:pStyle w:val="MText"/>
              <w:shd w:val="clear" w:color="auto" w:fill="auto"/>
              <w:jc w:val="both"/>
              <w:rPr>
                <w:b/>
                <w:bCs/>
              </w:rPr>
            </w:pPr>
            <w:r w:rsidRPr="009C0A11">
              <w:t>Rwanda</w:t>
            </w:r>
          </w:p>
        </w:tc>
        <w:tc>
          <w:tcPr>
            <w:tcW w:w="845" w:type="dxa"/>
            <w:vAlign w:val="center"/>
          </w:tcPr>
          <w:p w14:paraId="32697BC0" w14:textId="71FCE3E2" w:rsidR="00870476" w:rsidRPr="009C0A11" w:rsidRDefault="00870476" w:rsidP="00870476">
            <w:pPr>
              <w:pStyle w:val="MText"/>
              <w:shd w:val="clear" w:color="auto" w:fill="auto"/>
              <w:jc w:val="both"/>
              <w:rPr>
                <w:b/>
                <w:bCs/>
              </w:rPr>
            </w:pPr>
            <w:r w:rsidRPr="009C0A11">
              <w:t>2024</w:t>
            </w:r>
          </w:p>
        </w:tc>
        <w:tc>
          <w:tcPr>
            <w:tcW w:w="1134" w:type="dxa"/>
            <w:vAlign w:val="center"/>
          </w:tcPr>
          <w:p w14:paraId="13BD345E" w14:textId="0DBF52E9" w:rsidR="00870476" w:rsidRPr="009C0A11" w:rsidRDefault="00870476" w:rsidP="00870476">
            <w:pPr>
              <w:pStyle w:val="MText"/>
              <w:shd w:val="clear" w:color="auto" w:fill="auto"/>
              <w:jc w:val="both"/>
              <w:rPr>
                <w:b/>
                <w:bCs/>
              </w:rPr>
            </w:pPr>
            <w:r w:rsidRPr="009C0A11">
              <w:t>ODA</w:t>
            </w:r>
          </w:p>
        </w:tc>
        <w:tc>
          <w:tcPr>
            <w:tcW w:w="1276" w:type="dxa"/>
            <w:vAlign w:val="center"/>
          </w:tcPr>
          <w:p w14:paraId="5C8EB5CA" w14:textId="7FDC6738" w:rsidR="00870476" w:rsidRPr="009C0A11" w:rsidRDefault="00870476" w:rsidP="00870476">
            <w:pPr>
              <w:pStyle w:val="MText"/>
              <w:shd w:val="clear" w:color="auto" w:fill="auto"/>
              <w:jc w:val="both"/>
              <w:rPr>
                <w:b/>
                <w:bCs/>
              </w:rPr>
            </w:pPr>
            <w:r w:rsidRPr="009C0A11">
              <w:t>14030</w:t>
            </w:r>
          </w:p>
        </w:tc>
        <w:tc>
          <w:tcPr>
            <w:tcW w:w="1932" w:type="dxa"/>
            <w:vAlign w:val="center"/>
          </w:tcPr>
          <w:p w14:paraId="69E0F6B3" w14:textId="4570C07C" w:rsidR="00870476" w:rsidRPr="009C0A11" w:rsidRDefault="00870476" w:rsidP="00870476">
            <w:pPr>
              <w:pStyle w:val="MText"/>
              <w:shd w:val="clear" w:color="auto" w:fill="auto"/>
              <w:jc w:val="both"/>
              <w:rPr>
                <w:b/>
                <w:bCs/>
              </w:rPr>
            </w:pPr>
            <w:r w:rsidRPr="009C0A11">
              <w:t>Water and Sanitation</w:t>
            </w:r>
          </w:p>
        </w:tc>
        <w:tc>
          <w:tcPr>
            <w:tcW w:w="1754" w:type="dxa"/>
            <w:vAlign w:val="center"/>
          </w:tcPr>
          <w:p w14:paraId="76651594" w14:textId="119539AE" w:rsidR="00870476" w:rsidRPr="009C0A11" w:rsidRDefault="00870476" w:rsidP="00870476">
            <w:pPr>
              <w:pStyle w:val="MText"/>
              <w:shd w:val="clear" w:color="auto" w:fill="auto"/>
              <w:jc w:val="both"/>
              <w:rPr>
                <w:b/>
                <w:bCs/>
              </w:rPr>
            </w:pPr>
            <w:r w:rsidRPr="009C0A11">
              <w:t>10.2</w:t>
            </w:r>
          </w:p>
        </w:tc>
      </w:tr>
      <w:tr w:rsidR="00870476" w:rsidRPr="009C0A11" w14:paraId="1BB530F6" w14:textId="77777777" w:rsidTr="00870476">
        <w:tc>
          <w:tcPr>
            <w:tcW w:w="1275" w:type="dxa"/>
            <w:vAlign w:val="center"/>
          </w:tcPr>
          <w:p w14:paraId="6995689C" w14:textId="24D27984" w:rsidR="00870476" w:rsidRPr="009C0A11" w:rsidRDefault="00870476" w:rsidP="00870476">
            <w:pPr>
              <w:pStyle w:val="MText"/>
              <w:shd w:val="clear" w:color="auto" w:fill="auto"/>
              <w:jc w:val="both"/>
              <w:rPr>
                <w:b/>
                <w:bCs/>
              </w:rPr>
            </w:pPr>
            <w:r w:rsidRPr="009C0A11">
              <w:t>France</w:t>
            </w:r>
          </w:p>
        </w:tc>
        <w:tc>
          <w:tcPr>
            <w:tcW w:w="1277" w:type="dxa"/>
            <w:vAlign w:val="center"/>
          </w:tcPr>
          <w:p w14:paraId="23DB1E9C" w14:textId="398C845C" w:rsidR="00870476" w:rsidRPr="009C0A11" w:rsidRDefault="00870476" w:rsidP="00870476">
            <w:pPr>
              <w:pStyle w:val="MText"/>
              <w:shd w:val="clear" w:color="auto" w:fill="auto"/>
              <w:jc w:val="both"/>
              <w:rPr>
                <w:b/>
                <w:bCs/>
              </w:rPr>
            </w:pPr>
            <w:r w:rsidRPr="009C0A11">
              <w:t>Rwanda</w:t>
            </w:r>
          </w:p>
        </w:tc>
        <w:tc>
          <w:tcPr>
            <w:tcW w:w="845" w:type="dxa"/>
            <w:vAlign w:val="center"/>
          </w:tcPr>
          <w:p w14:paraId="28321CC4" w14:textId="5EBE9B3B" w:rsidR="00870476" w:rsidRPr="009C0A11" w:rsidRDefault="00870476" w:rsidP="00870476">
            <w:pPr>
              <w:pStyle w:val="MText"/>
              <w:shd w:val="clear" w:color="auto" w:fill="auto"/>
              <w:jc w:val="both"/>
              <w:rPr>
                <w:b/>
                <w:bCs/>
              </w:rPr>
            </w:pPr>
            <w:r w:rsidRPr="009C0A11">
              <w:t>2024</w:t>
            </w:r>
          </w:p>
        </w:tc>
        <w:tc>
          <w:tcPr>
            <w:tcW w:w="1134" w:type="dxa"/>
            <w:vAlign w:val="center"/>
          </w:tcPr>
          <w:p w14:paraId="258659BB" w14:textId="51561028" w:rsidR="00870476" w:rsidRPr="009C0A11" w:rsidRDefault="00870476" w:rsidP="00870476">
            <w:pPr>
              <w:pStyle w:val="MText"/>
              <w:shd w:val="clear" w:color="auto" w:fill="auto"/>
              <w:jc w:val="both"/>
              <w:rPr>
                <w:b/>
                <w:bCs/>
              </w:rPr>
            </w:pPr>
            <w:r w:rsidRPr="009C0A11">
              <w:t>ODA</w:t>
            </w:r>
          </w:p>
        </w:tc>
        <w:tc>
          <w:tcPr>
            <w:tcW w:w="1276" w:type="dxa"/>
            <w:vAlign w:val="center"/>
          </w:tcPr>
          <w:p w14:paraId="2E2D1C33" w14:textId="6DB6B3AF" w:rsidR="00870476" w:rsidRPr="009C0A11" w:rsidRDefault="00870476" w:rsidP="00870476">
            <w:pPr>
              <w:pStyle w:val="MText"/>
              <w:shd w:val="clear" w:color="auto" w:fill="auto"/>
              <w:jc w:val="both"/>
              <w:rPr>
                <w:b/>
                <w:bCs/>
              </w:rPr>
            </w:pPr>
            <w:r w:rsidRPr="009C0A11">
              <w:t>23010</w:t>
            </w:r>
          </w:p>
        </w:tc>
        <w:tc>
          <w:tcPr>
            <w:tcW w:w="1932" w:type="dxa"/>
            <w:vAlign w:val="center"/>
          </w:tcPr>
          <w:p w14:paraId="139F8C06" w14:textId="151822A9" w:rsidR="00870476" w:rsidRPr="009C0A11" w:rsidRDefault="00870476" w:rsidP="00870476">
            <w:pPr>
              <w:pStyle w:val="MText"/>
              <w:shd w:val="clear" w:color="auto" w:fill="auto"/>
              <w:jc w:val="both"/>
              <w:rPr>
                <w:b/>
                <w:bCs/>
              </w:rPr>
            </w:pPr>
            <w:r w:rsidRPr="009C0A11">
              <w:t>Energy Infrastructure</w:t>
            </w:r>
          </w:p>
        </w:tc>
        <w:tc>
          <w:tcPr>
            <w:tcW w:w="1754" w:type="dxa"/>
            <w:vAlign w:val="center"/>
          </w:tcPr>
          <w:p w14:paraId="6ACB7E32" w14:textId="59F65807" w:rsidR="00870476" w:rsidRPr="009C0A11" w:rsidRDefault="00870476" w:rsidP="00870476">
            <w:pPr>
              <w:pStyle w:val="MText"/>
              <w:shd w:val="clear" w:color="auto" w:fill="auto"/>
              <w:jc w:val="both"/>
              <w:rPr>
                <w:b/>
                <w:bCs/>
              </w:rPr>
            </w:pPr>
            <w:r w:rsidRPr="009C0A11">
              <w:t>5.8</w:t>
            </w:r>
          </w:p>
        </w:tc>
      </w:tr>
      <w:tr w:rsidR="00870476" w:rsidRPr="009C0A11" w14:paraId="2F76EC87" w14:textId="77777777" w:rsidTr="00870476">
        <w:tc>
          <w:tcPr>
            <w:tcW w:w="1275" w:type="dxa"/>
            <w:vAlign w:val="center"/>
          </w:tcPr>
          <w:p w14:paraId="3BADF613" w14:textId="5A9BEBF1" w:rsidR="00870476" w:rsidRPr="009C0A11" w:rsidRDefault="00870476" w:rsidP="00870476">
            <w:pPr>
              <w:pStyle w:val="MText"/>
              <w:shd w:val="clear" w:color="auto" w:fill="auto"/>
              <w:jc w:val="both"/>
              <w:rPr>
                <w:b/>
                <w:bCs/>
              </w:rPr>
            </w:pPr>
            <w:r w:rsidRPr="009C0A11">
              <w:rPr>
                <w:b/>
                <w:bCs/>
              </w:rPr>
              <w:t>Total</w:t>
            </w:r>
          </w:p>
        </w:tc>
        <w:tc>
          <w:tcPr>
            <w:tcW w:w="1277" w:type="dxa"/>
            <w:vAlign w:val="center"/>
          </w:tcPr>
          <w:p w14:paraId="1BC611A5" w14:textId="77777777" w:rsidR="00870476" w:rsidRPr="009C0A11" w:rsidRDefault="00870476" w:rsidP="00870476">
            <w:pPr>
              <w:pStyle w:val="MText"/>
              <w:shd w:val="clear" w:color="auto" w:fill="auto"/>
              <w:jc w:val="both"/>
              <w:rPr>
                <w:b/>
                <w:bCs/>
              </w:rPr>
            </w:pPr>
          </w:p>
        </w:tc>
        <w:tc>
          <w:tcPr>
            <w:tcW w:w="845" w:type="dxa"/>
            <w:vAlign w:val="center"/>
          </w:tcPr>
          <w:p w14:paraId="189F9925" w14:textId="77777777" w:rsidR="00870476" w:rsidRPr="009C0A11" w:rsidRDefault="00870476" w:rsidP="00870476">
            <w:pPr>
              <w:pStyle w:val="MText"/>
              <w:shd w:val="clear" w:color="auto" w:fill="auto"/>
              <w:jc w:val="both"/>
              <w:rPr>
                <w:b/>
                <w:bCs/>
              </w:rPr>
            </w:pPr>
          </w:p>
        </w:tc>
        <w:tc>
          <w:tcPr>
            <w:tcW w:w="1134" w:type="dxa"/>
            <w:vAlign w:val="center"/>
          </w:tcPr>
          <w:p w14:paraId="3DC2EEBE" w14:textId="77777777" w:rsidR="00870476" w:rsidRPr="009C0A11" w:rsidRDefault="00870476" w:rsidP="00870476">
            <w:pPr>
              <w:pStyle w:val="MText"/>
              <w:shd w:val="clear" w:color="auto" w:fill="auto"/>
              <w:jc w:val="both"/>
              <w:rPr>
                <w:b/>
                <w:bCs/>
              </w:rPr>
            </w:pPr>
          </w:p>
        </w:tc>
        <w:tc>
          <w:tcPr>
            <w:tcW w:w="1276" w:type="dxa"/>
            <w:vAlign w:val="center"/>
          </w:tcPr>
          <w:p w14:paraId="7A4DC1BE" w14:textId="77777777" w:rsidR="00870476" w:rsidRPr="009C0A11" w:rsidRDefault="00870476" w:rsidP="00870476">
            <w:pPr>
              <w:pStyle w:val="MText"/>
              <w:shd w:val="clear" w:color="auto" w:fill="auto"/>
              <w:jc w:val="both"/>
              <w:rPr>
                <w:b/>
                <w:bCs/>
              </w:rPr>
            </w:pPr>
          </w:p>
        </w:tc>
        <w:tc>
          <w:tcPr>
            <w:tcW w:w="1932" w:type="dxa"/>
            <w:vAlign w:val="center"/>
          </w:tcPr>
          <w:p w14:paraId="140E843F" w14:textId="77777777" w:rsidR="00870476" w:rsidRPr="009C0A11" w:rsidRDefault="00870476" w:rsidP="00870476">
            <w:pPr>
              <w:pStyle w:val="MText"/>
              <w:shd w:val="clear" w:color="auto" w:fill="auto"/>
              <w:jc w:val="both"/>
              <w:rPr>
                <w:b/>
                <w:bCs/>
              </w:rPr>
            </w:pPr>
          </w:p>
        </w:tc>
        <w:tc>
          <w:tcPr>
            <w:tcW w:w="1754" w:type="dxa"/>
            <w:vAlign w:val="center"/>
          </w:tcPr>
          <w:p w14:paraId="0BF41FDC" w14:textId="2AB76FDE" w:rsidR="00870476" w:rsidRPr="009C0A11" w:rsidRDefault="00870476" w:rsidP="00870476">
            <w:pPr>
              <w:pStyle w:val="MText"/>
              <w:shd w:val="clear" w:color="auto" w:fill="auto"/>
              <w:jc w:val="both"/>
              <w:rPr>
                <w:b/>
                <w:bCs/>
              </w:rPr>
            </w:pPr>
            <w:r w:rsidRPr="009C0A11">
              <w:rPr>
                <w:b/>
                <w:bCs/>
              </w:rPr>
              <w:t>47.2</w:t>
            </w:r>
          </w:p>
        </w:tc>
      </w:tr>
    </w:tbl>
    <w:p w14:paraId="3435D384" w14:textId="77777777" w:rsidR="002B4ACF" w:rsidRPr="009C0A11" w:rsidRDefault="002B4ACF" w:rsidP="004B39E6">
      <w:pPr>
        <w:pStyle w:val="MText"/>
        <w:jc w:val="both"/>
        <w:rPr>
          <w:b/>
          <w:bCs/>
        </w:rPr>
      </w:pPr>
    </w:p>
    <w:p w14:paraId="6EB19E52" w14:textId="77777777" w:rsidR="004B39E6" w:rsidRPr="009C0A11" w:rsidRDefault="004B39E6" w:rsidP="007B4FF9">
      <w:pPr>
        <w:pStyle w:val="MText"/>
        <w:jc w:val="both"/>
      </w:pPr>
    </w:p>
    <w:p w14:paraId="1938CA99" w14:textId="1A6DD27F" w:rsidR="00870476" w:rsidRPr="009C0A11" w:rsidRDefault="007B4FF9" w:rsidP="00870476">
      <w:pPr>
        <w:pStyle w:val="MText"/>
        <w:jc w:val="both"/>
        <w:rPr>
          <w:b/>
          <w:bCs/>
        </w:rPr>
      </w:pPr>
      <w:r w:rsidRPr="009C0A11">
        <w:rPr>
          <w:b/>
          <w:bCs/>
        </w:rPr>
        <w:t>Limitations and exceptions</w:t>
      </w:r>
    </w:p>
    <w:p w14:paraId="32C0FECA" w14:textId="4CBB9C0C" w:rsidR="00870476" w:rsidRPr="009C0A11" w:rsidRDefault="00870476" w:rsidP="00870476">
      <w:pPr>
        <w:pStyle w:val="MText"/>
        <w:numPr>
          <w:ilvl w:val="0"/>
          <w:numId w:val="17"/>
        </w:numPr>
        <w:jc w:val="both"/>
      </w:pPr>
      <w:r w:rsidRPr="009C0A11">
        <w:t>This indicator captures financial volumes only; it does not measure impact or implementation quality. Additional data would be needed to assess the actual effectiveness of ODA in achieving development outcomes.</w:t>
      </w:r>
    </w:p>
    <w:p w14:paraId="30FB5D26" w14:textId="77777777" w:rsidR="00870476" w:rsidRPr="009C0A11" w:rsidRDefault="00870476" w:rsidP="00870476">
      <w:pPr>
        <w:pStyle w:val="MText"/>
        <w:numPr>
          <w:ilvl w:val="0"/>
          <w:numId w:val="17"/>
        </w:numPr>
        <w:jc w:val="both"/>
      </w:pPr>
      <w:r w:rsidRPr="009C0A11">
        <w:t>It relies on accurate donor reporting through the CRS.</w:t>
      </w:r>
    </w:p>
    <w:p w14:paraId="3631534C" w14:textId="77777777" w:rsidR="00870476" w:rsidRPr="009C0A11" w:rsidRDefault="00870476" w:rsidP="00870476">
      <w:pPr>
        <w:pStyle w:val="MText"/>
        <w:numPr>
          <w:ilvl w:val="0"/>
          <w:numId w:val="17"/>
        </w:numPr>
        <w:jc w:val="both"/>
      </w:pPr>
      <w:r w:rsidRPr="009C0A11">
        <w:t>Discrepancies in sector tagging or project descriptions may affect identification of urban infrastructure-related funding.</w:t>
      </w:r>
    </w:p>
    <w:p w14:paraId="1D5551F2" w14:textId="77777777" w:rsidR="00870476" w:rsidRPr="009C0A11" w:rsidRDefault="00870476" w:rsidP="00870476">
      <w:pPr>
        <w:pStyle w:val="MText"/>
        <w:numPr>
          <w:ilvl w:val="0"/>
          <w:numId w:val="17"/>
        </w:numPr>
        <w:jc w:val="both"/>
      </w:pPr>
      <w:r w:rsidRPr="009C0A11">
        <w:t>Proxy methods may be used when CRS sector codes are too broad (e.g., using keywords to identify urban relevance).</w:t>
      </w:r>
    </w:p>
    <w:p w14:paraId="6D356164" w14:textId="77777777" w:rsidR="00870476" w:rsidRPr="009C0A11" w:rsidRDefault="00870476" w:rsidP="00870476">
      <w:pPr>
        <w:pStyle w:val="MText"/>
        <w:jc w:val="both"/>
        <w:rPr>
          <w:b/>
          <w:bCs/>
        </w:rPr>
      </w:pPr>
      <w:r w:rsidRPr="009C0A11">
        <w:rPr>
          <w:b/>
          <w:bCs/>
        </w:rPr>
        <w:t>Alignment with Other Indicators</w:t>
      </w:r>
    </w:p>
    <w:p w14:paraId="33E6272D" w14:textId="77777777" w:rsidR="00870476" w:rsidRPr="009C0A11" w:rsidRDefault="00870476" w:rsidP="00870476">
      <w:pPr>
        <w:pStyle w:val="MText"/>
        <w:jc w:val="both"/>
      </w:pPr>
      <w:r w:rsidRPr="009C0A11">
        <w:t>This method complements:</w:t>
      </w:r>
    </w:p>
    <w:p w14:paraId="1F79A7EA" w14:textId="77777777" w:rsidR="00870476" w:rsidRPr="009C0A11" w:rsidRDefault="00870476" w:rsidP="00870476">
      <w:pPr>
        <w:pStyle w:val="MText"/>
        <w:numPr>
          <w:ilvl w:val="0"/>
          <w:numId w:val="18"/>
        </w:numPr>
        <w:jc w:val="both"/>
      </w:pPr>
      <w:r w:rsidRPr="009C0A11">
        <w:rPr>
          <w:b/>
          <w:bCs/>
        </w:rPr>
        <w:t>Indicator 9.a.1</w:t>
      </w:r>
      <w:r w:rsidRPr="009C0A11">
        <w:t xml:space="preserve"> (total ODA and OOF to infrastructure generally)</w:t>
      </w:r>
    </w:p>
    <w:p w14:paraId="192B8930" w14:textId="77777777" w:rsidR="00870476" w:rsidRPr="009C0A11" w:rsidRDefault="00870476" w:rsidP="00870476">
      <w:pPr>
        <w:pStyle w:val="MText"/>
        <w:numPr>
          <w:ilvl w:val="0"/>
          <w:numId w:val="18"/>
        </w:numPr>
        <w:jc w:val="both"/>
      </w:pPr>
      <w:r w:rsidRPr="009C0A11">
        <w:rPr>
          <w:b/>
          <w:bCs/>
        </w:rPr>
        <w:t>Indicator 11.1.1</w:t>
      </w:r>
      <w:r w:rsidRPr="009C0A11">
        <w:t xml:space="preserve"> (housing adequacy)</w:t>
      </w:r>
    </w:p>
    <w:p w14:paraId="662A3F3F" w14:textId="5C6B3628" w:rsidR="007B4FF9" w:rsidRPr="007B4FF9" w:rsidRDefault="007B4FF9" w:rsidP="007B4FF9">
      <w:pPr>
        <w:pStyle w:val="MText"/>
        <w:jc w:val="both"/>
      </w:pPr>
      <w:r w:rsidRPr="009C0A11">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662C5F6" w14:textId="228F6229" w:rsidR="00797876" w:rsidRPr="007951A7" w:rsidRDefault="00797876" w:rsidP="009A7363">
      <w:pPr>
        <w:jc w:val="both"/>
        <w:rPr>
          <w:rFonts w:eastAsia="Times New Roman" w:cstheme="minorHAnsi"/>
          <w:sz w:val="21"/>
          <w:szCs w:val="21"/>
        </w:rPr>
      </w:pPr>
      <w:bookmarkStart w:id="7" w:name="_Hlk61882272"/>
      <w:bookmarkStart w:id="8" w:name="_Hlk65069889"/>
      <w:r w:rsidRPr="009C0A11">
        <w:rPr>
          <w:rFonts w:eastAsia="Times New Roman" w:cstheme="minorHAnsi"/>
          <w:sz w:val="21"/>
          <w:szCs w:val="21"/>
        </w:rPr>
        <w:t xml:space="preserve">As part of the validation process, UN-Habitat developed a </w:t>
      </w:r>
      <w:r w:rsidR="00222773" w:rsidRPr="009C0A11">
        <w:rPr>
          <w:rFonts w:eastAsia="Times New Roman" w:cstheme="minorHAnsi"/>
          <w:sz w:val="21"/>
          <w:szCs w:val="21"/>
        </w:rPr>
        <w:t xml:space="preserve">standardized </w:t>
      </w:r>
      <w:r w:rsidRPr="009C0A11">
        <w:rPr>
          <w:rFonts w:eastAsia="Times New Roman" w:cstheme="minorHAnsi"/>
          <w:sz w:val="21"/>
          <w:szCs w:val="21"/>
        </w:rPr>
        <w:t xml:space="preserve">template to compile data generated by countries through the National Statistics Offices </w:t>
      </w:r>
      <w:r w:rsidR="00222773" w:rsidRPr="009C0A11">
        <w:rPr>
          <w:rFonts w:eastAsia="Times New Roman" w:cstheme="minorHAnsi"/>
          <w:sz w:val="21"/>
          <w:szCs w:val="21"/>
        </w:rPr>
        <w:t xml:space="preserve">(NSOs) </w:t>
      </w:r>
      <w:r w:rsidRPr="009C0A11">
        <w:rPr>
          <w:rFonts w:eastAsia="Times New Roman" w:cstheme="minorHAnsi"/>
          <w:sz w:val="21"/>
          <w:szCs w:val="21"/>
        </w:rPr>
        <w:t>as well as other government agencies responsible for official statistics.</w:t>
      </w:r>
      <w:r w:rsidR="00BF0AFA" w:rsidRPr="009C0A11">
        <w:rPr>
          <w:rFonts w:eastAsia="Times New Roman" w:cstheme="minorHAnsi"/>
          <w:sz w:val="21"/>
          <w:szCs w:val="21"/>
        </w:rPr>
        <w:t xml:space="preserve"> These template</w:t>
      </w:r>
      <w:r w:rsidR="009C0A11">
        <w:rPr>
          <w:rFonts w:eastAsia="Times New Roman" w:cstheme="minorHAnsi"/>
          <w:sz w:val="21"/>
          <w:szCs w:val="21"/>
        </w:rPr>
        <w:t>s</w:t>
      </w:r>
      <w:r w:rsidR="00BF0AFA" w:rsidRPr="009C0A11">
        <w:rPr>
          <w:rFonts w:eastAsia="Times New Roman" w:cstheme="minorHAnsi"/>
          <w:sz w:val="21"/>
          <w:szCs w:val="21"/>
        </w:rPr>
        <w:t xml:space="preserve"> are dispatched every August to October for countries to compile the relevant data.</w:t>
      </w:r>
      <w:bookmarkEnd w:id="7"/>
    </w:p>
    <w:bookmarkEnd w:id="8"/>
    <w:p w14:paraId="0025F830" w14:textId="77777777" w:rsidR="00F719A8" w:rsidRPr="007951A7"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771ACE4" w14:textId="1A7A670E" w:rsidR="00797876" w:rsidRDefault="00797876" w:rsidP="009A7363">
      <w:pPr>
        <w:pStyle w:val="MText"/>
        <w:jc w:val="both"/>
      </w:pPr>
      <w:r w:rsidRPr="009C0A11">
        <w:t xml:space="preserve">Any adjustment to the data </w:t>
      </w:r>
      <w:r w:rsidR="00270B20" w:rsidRPr="009C0A11">
        <w:t>will be</w:t>
      </w:r>
      <w:r w:rsidRPr="009C0A11">
        <w:t xml:space="preserve"> jointly agreed after consultations with the relevant national agencies that share the data points for reporting.</w:t>
      </w:r>
    </w:p>
    <w:p w14:paraId="77E7ED05" w14:textId="77777777" w:rsidR="00797876" w:rsidRPr="00A96255" w:rsidRDefault="00797876"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7F2E9433" w14:textId="77777777" w:rsidR="00D339E2" w:rsidRPr="009123EC" w:rsidRDefault="00D339E2" w:rsidP="00D339E2">
      <w:pPr>
        <w:shd w:val="clear" w:color="auto" w:fill="FFFFFF"/>
        <w:spacing w:after="0"/>
        <w:rPr>
          <w:rFonts w:ascii="Calibri" w:eastAsia="Times New Roman" w:hAnsi="Calibri" w:cs="Times New Roman"/>
          <w:color w:val="4A4A4A"/>
          <w:sz w:val="21"/>
          <w:szCs w:val="21"/>
          <w:lang w:eastAsia="en-GB"/>
        </w:rPr>
      </w:pPr>
      <w:r w:rsidRPr="009123EC">
        <w:rPr>
          <w:rFonts w:ascii="Calibri" w:eastAsia="Times New Roman" w:hAnsi="Calibri" w:cs="Times New Roman"/>
          <w:b/>
          <w:bCs/>
          <w:color w:val="4A4A4A"/>
          <w:sz w:val="21"/>
          <w:szCs w:val="21"/>
          <w:lang w:eastAsia="en-GB"/>
        </w:rPr>
        <w:t>Treatment of missing values:</w:t>
      </w:r>
    </w:p>
    <w:p w14:paraId="04748E1F" w14:textId="45825E35" w:rsidR="00D51E7C" w:rsidRDefault="00D339E2" w:rsidP="009A7363">
      <w:pPr>
        <w:shd w:val="clear" w:color="auto" w:fill="FFFFFF"/>
        <w:spacing w:after="0"/>
        <w:jc w:val="both"/>
        <w:rPr>
          <w:rFonts w:ascii="Calibri" w:eastAsia="Times New Roman" w:hAnsi="Calibri" w:cs="Times New Roman"/>
          <w:color w:val="4A4A4A"/>
          <w:sz w:val="21"/>
          <w:szCs w:val="21"/>
          <w:lang w:eastAsia="en-GB"/>
        </w:rPr>
      </w:pPr>
      <w:r w:rsidRPr="009123EC">
        <w:rPr>
          <w:rFonts w:ascii="Calibri" w:eastAsia="Times New Roman" w:hAnsi="Calibri" w:cs="Times New Roman"/>
          <w:color w:val="4A4A4A"/>
          <w:sz w:val="21"/>
          <w:szCs w:val="21"/>
          <w:lang w:eastAsia="en-GB"/>
        </w:rPr>
        <w:t xml:space="preserve">All </w:t>
      </w:r>
      <w:r w:rsidR="00483EFF" w:rsidRPr="009123EC">
        <w:rPr>
          <w:rFonts w:ascii="Calibri" w:eastAsia="Times New Roman" w:hAnsi="Calibri" w:cs="Times New Roman"/>
          <w:color w:val="4A4A4A"/>
          <w:sz w:val="21"/>
          <w:szCs w:val="21"/>
          <w:lang w:eastAsia="en-GB"/>
        </w:rPr>
        <w:t xml:space="preserve">relevant </w:t>
      </w:r>
      <w:r w:rsidRPr="009123EC">
        <w:rPr>
          <w:rFonts w:ascii="Calibri" w:eastAsia="Times New Roman" w:hAnsi="Calibri" w:cs="Times New Roman"/>
          <w:color w:val="4A4A4A"/>
          <w:sz w:val="21"/>
          <w:szCs w:val="21"/>
          <w:lang w:eastAsia="en-GB"/>
        </w:rPr>
        <w:t xml:space="preserve">countries are expected to fully report on this </w:t>
      </w:r>
      <w:r w:rsidR="009D1C12" w:rsidRPr="009123EC">
        <w:rPr>
          <w:rFonts w:ascii="Calibri" w:eastAsia="Times New Roman" w:hAnsi="Calibri" w:cs="Times New Roman"/>
          <w:color w:val="4A4A4A"/>
          <w:sz w:val="21"/>
          <w:szCs w:val="21"/>
          <w:lang w:eastAsia="en-GB"/>
        </w:rPr>
        <w:t>national</w:t>
      </w:r>
      <w:r w:rsidRPr="009123EC">
        <w:rPr>
          <w:rFonts w:ascii="Calibri" w:eastAsia="Times New Roman" w:hAnsi="Calibri" w:cs="Times New Roman"/>
          <w:color w:val="4A4A4A"/>
          <w:sz w:val="21"/>
          <w:szCs w:val="21"/>
          <w:lang w:eastAsia="en-GB"/>
        </w:rPr>
        <w:t xml:space="preserve"> indicator more consistently after 2-4 years post 20</w:t>
      </w:r>
      <w:r w:rsidR="009D1C12" w:rsidRPr="009123EC">
        <w:rPr>
          <w:rFonts w:ascii="Calibri" w:eastAsia="Times New Roman" w:hAnsi="Calibri" w:cs="Times New Roman"/>
          <w:color w:val="4A4A4A"/>
          <w:sz w:val="21"/>
          <w:szCs w:val="21"/>
          <w:lang w:eastAsia="en-GB"/>
        </w:rPr>
        <w:t>24</w:t>
      </w:r>
      <w:r w:rsidRPr="009123EC">
        <w:rPr>
          <w:rFonts w:ascii="Calibri" w:eastAsia="Times New Roman" w:hAnsi="Calibri" w:cs="Times New Roman"/>
          <w:color w:val="4A4A4A"/>
          <w:sz w:val="21"/>
          <w:szCs w:val="21"/>
          <w:lang w:eastAsia="en-GB"/>
        </w:rPr>
        <w:t>.</w:t>
      </w:r>
    </w:p>
    <w:p w14:paraId="7B135E2D" w14:textId="4D8762D7" w:rsidR="009123EC" w:rsidRPr="007951A7" w:rsidRDefault="009123EC" w:rsidP="009A736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Any missing values will be noted and explained in the country-level metadata.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201790E" w14:textId="140BAD0B" w:rsidR="00483EFF" w:rsidRPr="009C0A11" w:rsidRDefault="00483EFF" w:rsidP="004E407A">
      <w:pPr>
        <w:pStyle w:val="MText"/>
        <w:jc w:val="both"/>
      </w:pPr>
      <w:r w:rsidRPr="009C0A11">
        <w:t>G</w:t>
      </w:r>
      <w:r w:rsidR="005E2B6A" w:rsidRPr="009C0A11">
        <w:t>lobal</w:t>
      </w:r>
      <w:r w:rsidRPr="009C0A11">
        <w:t xml:space="preserve"> and </w:t>
      </w:r>
      <w:r w:rsidR="005E2B6A" w:rsidRPr="009C0A11">
        <w:t xml:space="preserve">regional </w:t>
      </w:r>
      <w:r w:rsidRPr="009C0A11">
        <w:t xml:space="preserve">data </w:t>
      </w:r>
      <w:r w:rsidR="005E2B6A" w:rsidRPr="009C0A11">
        <w:t>will be estimated from national figures</w:t>
      </w:r>
      <w:r w:rsidRPr="009C0A11">
        <w:t xml:space="preserve">, using a </w:t>
      </w:r>
      <w:r w:rsidR="00C1678D" w:rsidRPr="009C0A11">
        <w:t xml:space="preserve">weighted </w:t>
      </w:r>
      <w:r w:rsidR="005E2B6A" w:rsidRPr="009C0A11">
        <w:t xml:space="preserve">aggregation </w:t>
      </w:r>
      <w:r w:rsidRPr="009C0A11">
        <w:t xml:space="preserve">based on the </w:t>
      </w:r>
      <w:r w:rsidR="005E2B6A" w:rsidRPr="009C0A11">
        <w:t xml:space="preserve">performance </w:t>
      </w:r>
      <w:r w:rsidRPr="009C0A11">
        <w:t xml:space="preserve">of </w:t>
      </w:r>
      <w:r w:rsidR="005E2B6A" w:rsidRPr="009C0A11">
        <w:t xml:space="preserve">urban areas or a sample of </w:t>
      </w:r>
      <w:r w:rsidRPr="009C0A11">
        <w:t xml:space="preserve">countries with </w:t>
      </w:r>
      <w:r w:rsidR="005E2B6A" w:rsidRPr="009C0A11">
        <w:t>nationally representative</w:t>
      </w:r>
      <w:r w:rsidR="004F07ED" w:rsidRPr="009C0A11">
        <w:t xml:space="preserve"> </w:t>
      </w:r>
      <w:r w:rsidRPr="009C0A11">
        <w:t>data</w:t>
      </w:r>
      <w:r w:rsidR="005E2B6A" w:rsidRPr="009C0A11">
        <w:t xml:space="preserve">. </w:t>
      </w:r>
    </w:p>
    <w:p w14:paraId="36C8E372" w14:textId="71B58E64" w:rsidR="00A71BAF" w:rsidRPr="009C0A11" w:rsidRDefault="00C1678D" w:rsidP="004E407A">
      <w:pPr>
        <w:pStyle w:val="MText"/>
        <w:jc w:val="both"/>
      </w:pPr>
      <w:r w:rsidRPr="009C0A11">
        <w:t xml:space="preserve">Weighting </w:t>
      </w:r>
      <w:r w:rsidR="00B74448" w:rsidRPr="009C0A11">
        <w:t xml:space="preserve">for regional and global averages </w:t>
      </w:r>
      <w:r w:rsidR="00A71BAF" w:rsidRPr="009C0A11">
        <w:t xml:space="preserve">will be conducted </w:t>
      </w:r>
      <w:r w:rsidRPr="009C0A11">
        <w:t>using</w:t>
      </w:r>
      <w:r w:rsidR="00B74448" w:rsidRPr="009C0A11">
        <w:t xml:space="preserve"> </w:t>
      </w:r>
      <w:r w:rsidRPr="009C0A11">
        <w:t>urban population sizes from the World Urbanization Prospects</w:t>
      </w:r>
      <w:r w:rsidR="005E2B6A" w:rsidRPr="009C0A11">
        <w:t>.</w:t>
      </w:r>
    </w:p>
    <w:p w14:paraId="5DAA2600" w14:textId="5A5525B4" w:rsidR="005E2B6A" w:rsidRPr="00A96255" w:rsidRDefault="005E2B6A" w:rsidP="009A7363">
      <w:pPr>
        <w:pStyle w:val="MText"/>
        <w:jc w:val="both"/>
      </w:pPr>
      <w:r w:rsidRPr="009C0A11">
        <w:t>Global monitoring will be led by UN-Habitat</w:t>
      </w:r>
      <w:r w:rsidR="00A71BAF" w:rsidRPr="009C0A11">
        <w:t>,</w:t>
      </w:r>
      <w:r w:rsidRPr="009C0A11">
        <w:t xml:space="preserve"> with support </w:t>
      </w:r>
      <w:r w:rsidR="00A71BAF" w:rsidRPr="009C0A11">
        <w:t>from</w:t>
      </w:r>
      <w:r w:rsidRPr="009C0A11">
        <w:t xml:space="preserve"> partners</w:t>
      </w:r>
      <w:r w:rsidR="00A71BAF" w:rsidRPr="009C0A11">
        <w:t xml:space="preserve"> organizations</w:t>
      </w:r>
      <w:r w:rsidRPr="009C0A11">
        <w:t xml:space="preserve"> and regional commissions.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95FCA39" w14:textId="5D2487D0" w:rsidR="00E51B92" w:rsidRDefault="00E51B92" w:rsidP="009A7363">
      <w:pPr>
        <w:pStyle w:val="MText"/>
        <w:jc w:val="both"/>
      </w:pPr>
      <w:r w:rsidRPr="009C0A11">
        <w:t xml:space="preserve">UN-Habitat has developed a step-by-step data compilation and computation methodological document, </w:t>
      </w:r>
      <w:r w:rsidR="00C40E97" w:rsidRPr="009C0A11">
        <w:t xml:space="preserve">which </w:t>
      </w:r>
      <w:r w:rsidR="00BF0AFA" w:rsidRPr="009C0A11">
        <w:t>will be</w:t>
      </w:r>
      <w:r w:rsidRPr="009C0A11">
        <w:t xml:space="preserve"> available here: </w:t>
      </w:r>
      <w:hyperlink r:id="rId14" w:history="1">
        <w:r w:rsidR="00BF0AFA" w:rsidRPr="009C0A11">
          <w:rPr>
            <w:rStyle w:val="Hyperlink"/>
          </w:rPr>
          <w:t>https://unhabitat.org/sites/default/files/2025/08/indicator_11c.pdf</w:t>
        </w:r>
      </w:hyperlink>
      <w:r w:rsidR="00BF0AFA" w:rsidRPr="009C0A11">
        <w:t xml:space="preserve"> from June 2025</w:t>
      </w:r>
      <w:r w:rsidR="00C40E97" w:rsidRPr="009C0A11">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5D7B2F92" w:rsidR="00EC2915" w:rsidRDefault="007252B9" w:rsidP="009A7363">
      <w:pPr>
        <w:pStyle w:val="MText"/>
        <w:jc w:val="both"/>
      </w:pPr>
      <w:r w:rsidRPr="009C0A11">
        <w:t>To ensure consistency in data production across countries, UN-Habitat has developed detailed step-by-step tutorials on the computation of indicator 11</w:t>
      </w:r>
      <w:r w:rsidR="00235C1D" w:rsidRPr="009C0A11">
        <w:t>c</w:t>
      </w:r>
      <w:r w:rsidRPr="009C0A11">
        <w:t>, which further explain the steps presented in this metadata</w:t>
      </w:r>
      <w:r w:rsidR="00BF0AFA" w:rsidRPr="009C0A11">
        <w:t xml:space="preserve"> and will be accessible at: </w:t>
      </w:r>
      <w:hyperlink r:id="rId15" w:history="1">
        <w:r w:rsidR="00BF0AFA" w:rsidRPr="009C0A11">
          <w:rPr>
            <w:rStyle w:val="Hyperlink"/>
          </w:rPr>
          <w:t>https://unhabitat.org/sites/default/files/2025/08/indicator_11c.pdf</w:t>
        </w:r>
      </w:hyperlink>
      <w:r w:rsidR="00BF0AFA" w:rsidRPr="009C0A11">
        <w:t xml:space="preserve"> from June 2025.</w:t>
      </w:r>
    </w:p>
    <w:p w14:paraId="52AE7EC8" w14:textId="77777777" w:rsidR="007252B9" w:rsidRPr="00A96255" w:rsidRDefault="007252B9"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C03F37A" w14:textId="38AAF289" w:rsidR="00F9393D" w:rsidRPr="009C0A11" w:rsidRDefault="005E2B6A" w:rsidP="004E407A">
      <w:pPr>
        <w:jc w:val="both"/>
        <w:rPr>
          <w:sz w:val="21"/>
          <w:szCs w:val="21"/>
          <w:lang w:val="en-US"/>
        </w:rPr>
      </w:pPr>
      <w:r w:rsidRPr="009C0A11">
        <w:rPr>
          <w:sz w:val="21"/>
          <w:szCs w:val="21"/>
          <w:lang w:val="en-US"/>
        </w:rPr>
        <w:t>UN-Habitat maintains the global urban indicators database</w:t>
      </w:r>
      <w:r w:rsidR="009E33FE" w:rsidRPr="009C0A11">
        <w:rPr>
          <w:sz w:val="21"/>
          <w:szCs w:val="21"/>
          <w:lang w:val="en-US"/>
        </w:rPr>
        <w:t>, which serves as a key resource for</w:t>
      </w:r>
      <w:r w:rsidRPr="009C0A11">
        <w:rPr>
          <w:sz w:val="21"/>
          <w:szCs w:val="21"/>
          <w:lang w:val="en-US"/>
        </w:rPr>
        <w:t xml:space="preserve"> </w:t>
      </w:r>
      <w:proofErr w:type="gramStart"/>
      <w:r w:rsidRPr="009C0A11">
        <w:rPr>
          <w:sz w:val="21"/>
          <w:szCs w:val="21"/>
          <w:lang w:val="en-US"/>
        </w:rPr>
        <w:t>monitoring of</w:t>
      </w:r>
      <w:proofErr w:type="gramEnd"/>
      <w:r w:rsidRPr="009C0A11">
        <w:rPr>
          <w:sz w:val="21"/>
          <w:szCs w:val="21"/>
          <w:lang w:val="en-US"/>
        </w:rPr>
        <w:t xml:space="preserve"> the urban metrics drawn from</w:t>
      </w:r>
      <w:r w:rsidR="009E33FE" w:rsidRPr="009C0A11">
        <w:rPr>
          <w:sz w:val="21"/>
          <w:szCs w:val="21"/>
          <w:lang w:val="en-US"/>
        </w:rPr>
        <w:t xml:space="preserve"> the Sustainable Development Goals (</w:t>
      </w:r>
      <w:r w:rsidRPr="009C0A11">
        <w:rPr>
          <w:sz w:val="21"/>
          <w:szCs w:val="21"/>
          <w:lang w:val="en-US"/>
        </w:rPr>
        <w:t>SDGs</w:t>
      </w:r>
      <w:r w:rsidR="009E33FE" w:rsidRPr="009C0A11">
        <w:rPr>
          <w:sz w:val="21"/>
          <w:szCs w:val="21"/>
          <w:lang w:val="en-US"/>
        </w:rPr>
        <w:t>)</w:t>
      </w:r>
      <w:r w:rsidRPr="009C0A11">
        <w:rPr>
          <w:sz w:val="21"/>
          <w:szCs w:val="21"/>
          <w:lang w:val="en-US"/>
        </w:rPr>
        <w:t xml:space="preserve">, </w:t>
      </w:r>
      <w:r w:rsidR="009E33FE" w:rsidRPr="009C0A11">
        <w:rPr>
          <w:sz w:val="21"/>
          <w:szCs w:val="21"/>
          <w:lang w:val="en-US"/>
        </w:rPr>
        <w:t>the New Urban Agenda (</w:t>
      </w:r>
      <w:r w:rsidRPr="009C0A11">
        <w:rPr>
          <w:sz w:val="21"/>
          <w:szCs w:val="21"/>
          <w:lang w:val="en-US"/>
        </w:rPr>
        <w:t>NUA</w:t>
      </w:r>
      <w:r w:rsidR="009E33FE" w:rsidRPr="009C0A11">
        <w:rPr>
          <w:sz w:val="21"/>
          <w:szCs w:val="21"/>
          <w:lang w:val="en-US"/>
        </w:rPr>
        <w:t>)</w:t>
      </w:r>
      <w:r w:rsidRPr="009C0A11">
        <w:rPr>
          <w:sz w:val="21"/>
          <w:szCs w:val="21"/>
          <w:lang w:val="en-US"/>
        </w:rPr>
        <w:t>, flagship reports (e.g. World Cities Report)</w:t>
      </w:r>
      <w:r w:rsidR="009E33FE" w:rsidRPr="009C0A11">
        <w:rPr>
          <w:sz w:val="21"/>
          <w:szCs w:val="21"/>
          <w:lang w:val="en-US"/>
        </w:rPr>
        <w:t>,</w:t>
      </w:r>
      <w:r w:rsidRPr="009C0A11">
        <w:rPr>
          <w:sz w:val="21"/>
          <w:szCs w:val="21"/>
          <w:lang w:val="en-US"/>
        </w:rPr>
        <w:t xml:space="preserve"> and other official reporting</w:t>
      </w:r>
      <w:r w:rsidR="009E33FE" w:rsidRPr="009C0A11">
        <w:rPr>
          <w:sz w:val="21"/>
          <w:szCs w:val="21"/>
          <w:lang w:val="en-US"/>
        </w:rPr>
        <w:t xml:space="preserve"> mechanisms</w:t>
      </w:r>
      <w:r w:rsidRPr="009C0A11">
        <w:rPr>
          <w:sz w:val="21"/>
          <w:szCs w:val="21"/>
          <w:lang w:val="en-US"/>
        </w:rPr>
        <w:t xml:space="preserve">. In general, for all new data, a thorough review </w:t>
      </w:r>
      <w:r w:rsidR="009E33FE" w:rsidRPr="009C0A11">
        <w:rPr>
          <w:sz w:val="21"/>
          <w:szCs w:val="21"/>
          <w:lang w:val="en-US"/>
        </w:rPr>
        <w:t xml:space="preserve">process </w:t>
      </w:r>
      <w:r w:rsidRPr="009C0A11">
        <w:rPr>
          <w:sz w:val="21"/>
          <w:szCs w:val="21"/>
          <w:lang w:val="en-US"/>
        </w:rPr>
        <w:t xml:space="preserve">is </w:t>
      </w:r>
      <w:r w:rsidR="009E33FE" w:rsidRPr="009C0A11">
        <w:rPr>
          <w:sz w:val="21"/>
          <w:szCs w:val="21"/>
          <w:lang w:val="en-US"/>
        </w:rPr>
        <w:t xml:space="preserve">conducted by technical staff in the Data and Analytics Unit (DAU) </w:t>
      </w:r>
      <w:r w:rsidRPr="009C0A11">
        <w:rPr>
          <w:sz w:val="21"/>
          <w:szCs w:val="21"/>
          <w:lang w:val="en-US"/>
        </w:rPr>
        <w:t xml:space="preserve">to </w:t>
      </w:r>
      <w:r w:rsidR="009E33FE" w:rsidRPr="009C0A11">
        <w:rPr>
          <w:sz w:val="21"/>
          <w:szCs w:val="21"/>
          <w:lang w:val="en-US"/>
        </w:rPr>
        <w:t>ensure</w:t>
      </w:r>
      <w:r w:rsidRPr="009C0A11">
        <w:rPr>
          <w:sz w:val="21"/>
          <w:szCs w:val="21"/>
          <w:lang w:val="en-US"/>
        </w:rPr>
        <w:t xml:space="preserve"> consistency</w:t>
      </w:r>
      <w:r w:rsidR="009E33FE" w:rsidRPr="009C0A11">
        <w:rPr>
          <w:sz w:val="21"/>
          <w:szCs w:val="21"/>
          <w:lang w:val="en-US"/>
        </w:rPr>
        <w:t>, accuracy,</w:t>
      </w:r>
      <w:r w:rsidRPr="009C0A11">
        <w:rPr>
          <w:sz w:val="21"/>
          <w:szCs w:val="21"/>
          <w:lang w:val="en-US"/>
        </w:rPr>
        <w:t xml:space="preserve"> and overall data </w:t>
      </w:r>
      <w:proofErr w:type="gramStart"/>
      <w:r w:rsidRPr="009C0A11">
        <w:rPr>
          <w:sz w:val="21"/>
          <w:szCs w:val="21"/>
          <w:lang w:val="en-US"/>
        </w:rPr>
        <w:t>quality by</w:t>
      </w:r>
      <w:proofErr w:type="gramEnd"/>
      <w:r w:rsidRPr="009C0A11">
        <w:rPr>
          <w:sz w:val="21"/>
          <w:szCs w:val="21"/>
          <w:lang w:val="en-US"/>
        </w:rPr>
        <w:t xml:space="preserve"> before publication in the database. This ensures that only the most accurate and reliable information </w:t>
      </w:r>
      <w:r w:rsidR="00F9393D" w:rsidRPr="009C0A11">
        <w:rPr>
          <w:sz w:val="21"/>
          <w:szCs w:val="21"/>
          <w:lang w:val="en-US"/>
        </w:rPr>
        <w:t xml:space="preserve">is </w:t>
      </w:r>
      <w:r w:rsidRPr="009C0A11">
        <w:rPr>
          <w:sz w:val="21"/>
          <w:szCs w:val="21"/>
          <w:lang w:val="en-US"/>
        </w:rPr>
        <w:t xml:space="preserve">included in the database. </w:t>
      </w:r>
    </w:p>
    <w:p w14:paraId="0CEECAF0" w14:textId="0EA39F0C" w:rsidR="005E2B6A" w:rsidRPr="007951A7" w:rsidRDefault="005E2B6A" w:rsidP="009A7363">
      <w:pPr>
        <w:jc w:val="both"/>
        <w:rPr>
          <w:sz w:val="21"/>
          <w:szCs w:val="21"/>
          <w:lang w:val="en-US"/>
        </w:rPr>
      </w:pPr>
      <w:r w:rsidRPr="009C0A11">
        <w:rPr>
          <w:sz w:val="21"/>
          <w:szCs w:val="21"/>
          <w:lang w:val="en-US"/>
        </w:rPr>
        <w:t xml:space="preserve">Key </w:t>
      </w:r>
      <w:r w:rsidR="00F9393D" w:rsidRPr="009C0A11">
        <w:rPr>
          <w:sz w:val="21"/>
          <w:szCs w:val="21"/>
          <w:lang w:val="en-US"/>
        </w:rPr>
        <w:t xml:space="preserve">quality assurance </w:t>
      </w:r>
      <w:r w:rsidRPr="009C0A11">
        <w:rPr>
          <w:sz w:val="21"/>
          <w:szCs w:val="21"/>
          <w:lang w:val="en-US"/>
        </w:rPr>
        <w:t xml:space="preserve">elements considered in the review </w:t>
      </w:r>
      <w:proofErr w:type="gramStart"/>
      <w:r w:rsidRPr="009C0A11">
        <w:rPr>
          <w:sz w:val="21"/>
          <w:szCs w:val="21"/>
          <w:lang w:val="en-US"/>
        </w:rPr>
        <w:t>include:</w:t>
      </w:r>
      <w:proofErr w:type="gramEnd"/>
      <w:r w:rsidRPr="009C0A11">
        <w:rPr>
          <w:sz w:val="21"/>
          <w:szCs w:val="21"/>
          <w:lang w:val="en-US"/>
        </w:rPr>
        <w:t xml:space="preserve"> proper documentation of data sources; representativeness of data at national level</w:t>
      </w:r>
      <w:r w:rsidR="00F9393D" w:rsidRPr="009C0A11">
        <w:rPr>
          <w:sz w:val="21"/>
          <w:szCs w:val="21"/>
          <w:lang w:val="en-US"/>
        </w:rPr>
        <w:t>;</w:t>
      </w:r>
      <w:r w:rsidRPr="009C0A11">
        <w:rPr>
          <w:sz w:val="21"/>
          <w:szCs w:val="21"/>
          <w:lang w:val="en-US"/>
        </w:rPr>
        <w:t xml:space="preserve"> use of appropriate methodology for data collection and analysis (e.g. appropriate sampling process, values based on valid sample sizes)</w:t>
      </w:r>
      <w:r w:rsidR="00F9393D" w:rsidRPr="009C0A11">
        <w:rPr>
          <w:sz w:val="21"/>
          <w:szCs w:val="21"/>
          <w:lang w:val="en-US"/>
        </w:rPr>
        <w:t>;</w:t>
      </w:r>
      <w:r w:rsidRPr="009C0A11">
        <w:rPr>
          <w:sz w:val="21"/>
          <w:szCs w:val="21"/>
          <w:lang w:val="en-US"/>
        </w:rPr>
        <w:t xml:space="preserve"> </w:t>
      </w:r>
      <w:r w:rsidR="00F9393D" w:rsidRPr="009C0A11">
        <w:rPr>
          <w:sz w:val="21"/>
          <w:szCs w:val="21"/>
          <w:lang w:val="en-US"/>
        </w:rPr>
        <w:t>adherence to standardized</w:t>
      </w:r>
      <w:r w:rsidRPr="009C0A11">
        <w:rPr>
          <w:sz w:val="21"/>
          <w:szCs w:val="21"/>
          <w:lang w:val="en-US"/>
        </w:rPr>
        <w:t xml:space="preserve"> concepts and definitions</w:t>
      </w:r>
      <w:r w:rsidR="00F9393D" w:rsidRPr="009C0A11">
        <w:rPr>
          <w:sz w:val="21"/>
          <w:szCs w:val="21"/>
          <w:lang w:val="en-US"/>
        </w:rPr>
        <w:t>;</w:t>
      </w:r>
      <w:r w:rsidRPr="009C0A11">
        <w:rPr>
          <w:sz w:val="21"/>
          <w:szCs w:val="21"/>
          <w:lang w:val="en-US"/>
        </w:rPr>
        <w:t xml:space="preserve"> consistency of data trends with previously published/reported estimates for the indicator.</w:t>
      </w:r>
    </w:p>
    <w:p w14:paraId="4B0503E9" w14:textId="77777777" w:rsidR="00216900" w:rsidRPr="00A96255" w:rsidRDefault="00216900"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B678C07" w14:textId="05D72459" w:rsidR="00BC208B" w:rsidRPr="009C0A11" w:rsidRDefault="005E2B6A" w:rsidP="004E407A">
      <w:pPr>
        <w:pStyle w:val="MText"/>
        <w:jc w:val="both"/>
      </w:pPr>
      <w:r w:rsidRPr="009C0A11">
        <w:t xml:space="preserve">Once data is received from member </w:t>
      </w:r>
      <w:r w:rsidR="00F9393D" w:rsidRPr="009C0A11">
        <w:t>S</w:t>
      </w:r>
      <w:r w:rsidRPr="009C0A11">
        <w:t xml:space="preserve">tates, UN-Habitat </w:t>
      </w:r>
      <w:r w:rsidR="00F9393D" w:rsidRPr="009C0A11">
        <w:t>conducts a systematic</w:t>
      </w:r>
      <w:r w:rsidR="00BC208B" w:rsidRPr="009C0A11">
        <w:t xml:space="preserve"> quality assessment</w:t>
      </w:r>
      <w:r w:rsidR="00F9393D" w:rsidRPr="009C0A11">
        <w:t xml:space="preserve"> </w:t>
      </w:r>
      <w:r w:rsidRPr="009C0A11">
        <w:t>us</w:t>
      </w:r>
      <w:r w:rsidR="00BC208B" w:rsidRPr="009C0A11">
        <w:t>ing</w:t>
      </w:r>
      <w:r w:rsidRPr="009C0A11">
        <w:t xml:space="preserve"> a</w:t>
      </w:r>
      <w:r w:rsidR="00BC208B" w:rsidRPr="009C0A11">
        <w:t>n indicator-specific</w:t>
      </w:r>
      <w:r w:rsidRPr="009C0A11">
        <w:t xml:space="preserve"> checklist </w:t>
      </w:r>
      <w:r w:rsidR="00BC208B" w:rsidRPr="009C0A11">
        <w:t>to evaluate:</w:t>
      </w:r>
    </w:p>
    <w:p w14:paraId="33F92616" w14:textId="09299C31" w:rsidR="00BC208B" w:rsidRPr="009C0A11" w:rsidRDefault="005E2B6A" w:rsidP="009A7363">
      <w:pPr>
        <w:pStyle w:val="MText"/>
        <w:ind w:left="720"/>
        <w:jc w:val="both"/>
      </w:pPr>
      <w:r w:rsidRPr="009C0A11">
        <w:t xml:space="preserve">a) </w:t>
      </w:r>
      <w:r w:rsidR="00BC208B" w:rsidRPr="009C0A11">
        <w:t xml:space="preserve">Compliance with </w:t>
      </w:r>
      <w:r w:rsidRPr="009C0A11">
        <w:t xml:space="preserve">metadata provisions, and </w:t>
      </w:r>
    </w:p>
    <w:p w14:paraId="710EB362" w14:textId="7BDEE5C5" w:rsidR="00BC208B" w:rsidRPr="009C0A11" w:rsidRDefault="005E2B6A" w:rsidP="009A7363">
      <w:pPr>
        <w:pStyle w:val="MText"/>
        <w:ind w:left="720"/>
        <w:jc w:val="both"/>
      </w:pPr>
      <w:r w:rsidRPr="009C0A11">
        <w:t xml:space="preserve">b) </w:t>
      </w:r>
      <w:r w:rsidR="00BC208B" w:rsidRPr="009C0A11">
        <w:t>A</w:t>
      </w:r>
      <w:r w:rsidRPr="009C0A11">
        <w:t xml:space="preserve">ccuracy of the data sources used for the indicator computation. </w:t>
      </w:r>
    </w:p>
    <w:p w14:paraId="7A55BC51" w14:textId="26C25AFE" w:rsidR="005E2B6A" w:rsidRDefault="005E2B6A" w:rsidP="009A7363">
      <w:pPr>
        <w:pStyle w:val="MText"/>
        <w:jc w:val="both"/>
      </w:pPr>
      <w:r w:rsidRPr="009C0A11">
        <w:t>Both components are captured in the reporting template shared with National Statistical Offices</w:t>
      </w:r>
      <w:r w:rsidR="00BC208B" w:rsidRPr="009C0A11">
        <w:t xml:space="preserve"> (NSOs)</w:t>
      </w:r>
      <w:r w:rsidRPr="009C0A11">
        <w:t>, which helps to assess whether computation was done using the proposed indicator inputs or proxies</w:t>
      </w:r>
      <w:r w:rsidR="00BC208B" w:rsidRPr="009C0A11">
        <w:t>, as well as gather</w:t>
      </w:r>
      <w:r w:rsidRPr="009C0A11">
        <w:t xml:space="preserve"> information </w:t>
      </w:r>
      <w:r w:rsidR="00BC208B" w:rsidRPr="009C0A11">
        <w:t>on</w:t>
      </w:r>
      <w:r w:rsidRPr="009C0A11">
        <w:t xml:space="preserve"> whether national data for the indicator was </w:t>
      </w:r>
      <w:r w:rsidR="00BC208B" w:rsidRPr="009C0A11">
        <w:t xml:space="preserve">derived </w:t>
      </w:r>
      <w:r w:rsidRPr="009C0A11">
        <w:t xml:space="preserve">from a representative sample of the country’s </w:t>
      </w:r>
      <w:r w:rsidR="002033EB" w:rsidRPr="009C0A11">
        <w:t xml:space="preserve">national </w:t>
      </w:r>
      <w:r w:rsidRPr="009C0A11">
        <w:t>systems.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643A55D7" w:rsidR="00576CFA" w:rsidRPr="009C0A11" w:rsidRDefault="00D51E7C" w:rsidP="00576CFA">
      <w:pPr>
        <w:pStyle w:val="MText"/>
        <w:rPr>
          <w:b/>
          <w:bCs/>
        </w:rPr>
      </w:pPr>
      <w:r w:rsidRPr="009C0A11">
        <w:rPr>
          <w:b/>
          <w:bCs/>
        </w:rPr>
        <w:t>Data availability:</w:t>
      </w:r>
    </w:p>
    <w:p w14:paraId="19279880" w14:textId="77777777" w:rsidR="003C6A86" w:rsidRPr="00C019E5" w:rsidRDefault="003C6A86" w:rsidP="00576CFA">
      <w:pPr>
        <w:pStyle w:val="MText"/>
        <w:rPr>
          <w:highlight w:val="cyan"/>
        </w:rPr>
      </w:pPr>
    </w:p>
    <w:p w14:paraId="760C013A" w14:textId="2A9F5C1A" w:rsidR="00D51E7C" w:rsidRPr="009C0A11" w:rsidRDefault="00D51E7C" w:rsidP="00BC208B">
      <w:pPr>
        <w:pStyle w:val="MText"/>
        <w:jc w:val="both"/>
      </w:pPr>
      <w:r w:rsidRPr="009C0A11">
        <w:t>Time series:</w:t>
      </w:r>
      <w:r w:rsidR="00BE4548" w:rsidRPr="009C0A11">
        <w:t xml:space="preserve"> Available data cover the period starting 20</w:t>
      </w:r>
      <w:r w:rsidR="00BB097A" w:rsidRPr="009C0A11">
        <w:t>02</w:t>
      </w:r>
      <w:r w:rsidR="00BE4548" w:rsidRPr="009C0A11">
        <w:t xml:space="preserve">. </w:t>
      </w:r>
      <w:r w:rsidR="00BC208B" w:rsidRPr="009C0A11">
        <w:t xml:space="preserve">The length of the time series varies significantly between countries due to differences in capacity and effort in collecting and </w:t>
      </w:r>
      <w:r w:rsidR="001C70E4" w:rsidRPr="009C0A11">
        <w:t>analysing</w:t>
      </w:r>
      <w:r w:rsidR="00BC208B" w:rsidRPr="009C0A11">
        <w:t xml:space="preserve"> this type of data.</w:t>
      </w:r>
    </w:p>
    <w:p w14:paraId="72C7C370" w14:textId="063256CC" w:rsidR="00D51E7C" w:rsidRPr="009C0A11" w:rsidRDefault="00D51E7C" w:rsidP="00576CFA">
      <w:pPr>
        <w:pStyle w:val="MText"/>
      </w:pPr>
      <w:r w:rsidRPr="009C0A11">
        <w:t>Disaggregation:</w:t>
      </w:r>
    </w:p>
    <w:p w14:paraId="23138A40" w14:textId="63A2C4B8" w:rsidR="00BC208B" w:rsidRPr="009C0A11" w:rsidRDefault="00C17649" w:rsidP="004E407A">
      <w:pPr>
        <w:pStyle w:val="MText"/>
        <w:jc w:val="both"/>
      </w:pPr>
      <w:r w:rsidRPr="009C0A11">
        <w:t xml:space="preserve">This indicator can be disaggregated by </w:t>
      </w:r>
      <w:r w:rsidR="00BC208B" w:rsidRPr="009C0A11">
        <w:t xml:space="preserve">various dimensions, </w:t>
      </w:r>
      <w:r w:rsidR="00A17B04" w:rsidRPr="009C0A11">
        <w:t>including</w:t>
      </w:r>
      <w:r w:rsidR="00BC208B" w:rsidRPr="009C0A11">
        <w:t>:</w:t>
      </w:r>
    </w:p>
    <w:p w14:paraId="0084E811" w14:textId="1C59B615" w:rsidR="00BC208B" w:rsidRPr="009C0A11" w:rsidRDefault="00BC208B" w:rsidP="009A7363">
      <w:pPr>
        <w:pStyle w:val="MText"/>
        <w:numPr>
          <w:ilvl w:val="0"/>
          <w:numId w:val="13"/>
        </w:numPr>
        <w:jc w:val="both"/>
      </w:pPr>
      <w:r w:rsidRPr="009C0A11">
        <w:t>T</w:t>
      </w:r>
      <w:r w:rsidR="00C17649" w:rsidRPr="009C0A11">
        <w:t>ype of flow (ODA or</w:t>
      </w:r>
      <w:r w:rsidRPr="009C0A11">
        <w:t xml:space="preserve"> Other Official Flows – </w:t>
      </w:r>
      <w:r w:rsidR="00C17649" w:rsidRPr="009C0A11">
        <w:t>OOF),</w:t>
      </w:r>
    </w:p>
    <w:p w14:paraId="156A980C" w14:textId="14A4FA3A" w:rsidR="00BC208B" w:rsidRPr="009C0A11" w:rsidRDefault="00BC208B" w:rsidP="009A7363">
      <w:pPr>
        <w:pStyle w:val="MText"/>
        <w:numPr>
          <w:ilvl w:val="0"/>
          <w:numId w:val="13"/>
        </w:numPr>
        <w:jc w:val="both"/>
      </w:pPr>
      <w:r w:rsidRPr="009C0A11">
        <w:t>B</w:t>
      </w:r>
      <w:r w:rsidR="00C17649" w:rsidRPr="009C0A11">
        <w:t>y donor</w:t>
      </w:r>
      <w:r w:rsidRPr="009C0A11">
        <w:t xml:space="preserve"> country or organization</w:t>
      </w:r>
      <w:r w:rsidR="00C17649" w:rsidRPr="009C0A11">
        <w:t>,</w:t>
      </w:r>
    </w:p>
    <w:p w14:paraId="1A906CBB" w14:textId="1820483B" w:rsidR="00BC208B" w:rsidRPr="009C0A11" w:rsidRDefault="00BC208B" w:rsidP="009A7363">
      <w:pPr>
        <w:pStyle w:val="MText"/>
        <w:numPr>
          <w:ilvl w:val="0"/>
          <w:numId w:val="13"/>
        </w:numPr>
        <w:jc w:val="both"/>
      </w:pPr>
      <w:r w:rsidRPr="009C0A11">
        <w:t xml:space="preserve">By </w:t>
      </w:r>
      <w:r w:rsidR="00C17649" w:rsidRPr="009C0A11">
        <w:t>recipient country,</w:t>
      </w:r>
    </w:p>
    <w:p w14:paraId="7A9CA832" w14:textId="297FCC03" w:rsidR="00BC208B" w:rsidRPr="009C0A11" w:rsidRDefault="00BC208B" w:rsidP="009A7363">
      <w:pPr>
        <w:pStyle w:val="MText"/>
        <w:numPr>
          <w:ilvl w:val="0"/>
          <w:numId w:val="13"/>
        </w:numPr>
        <w:jc w:val="both"/>
      </w:pPr>
      <w:r w:rsidRPr="009C0A11">
        <w:t>T</w:t>
      </w:r>
      <w:r w:rsidR="00C17649" w:rsidRPr="009C0A11">
        <w:t>ype of finance,</w:t>
      </w:r>
    </w:p>
    <w:p w14:paraId="6B9BFE03" w14:textId="330C02AF" w:rsidR="00BC208B" w:rsidRPr="009C0A11" w:rsidRDefault="00BC208B" w:rsidP="009A7363">
      <w:pPr>
        <w:pStyle w:val="MText"/>
        <w:numPr>
          <w:ilvl w:val="0"/>
          <w:numId w:val="13"/>
        </w:numPr>
        <w:jc w:val="both"/>
      </w:pPr>
      <w:r w:rsidRPr="009C0A11">
        <w:t>T</w:t>
      </w:r>
      <w:r w:rsidR="00C17649" w:rsidRPr="009C0A11">
        <w:t>ype of aid</w:t>
      </w:r>
      <w:r w:rsidR="00870476" w:rsidRPr="009C0A11">
        <w:t>: grant, loan, technical assistance</w:t>
      </w:r>
      <w:r w:rsidR="00C17649" w:rsidRPr="009C0A11">
        <w:t xml:space="preserve"> </w:t>
      </w:r>
    </w:p>
    <w:p w14:paraId="11F693E3" w14:textId="77777777" w:rsidR="00870476" w:rsidRPr="009C0A11" w:rsidRDefault="00BC208B" w:rsidP="00870476">
      <w:pPr>
        <w:pStyle w:val="MText"/>
        <w:numPr>
          <w:ilvl w:val="0"/>
          <w:numId w:val="13"/>
        </w:numPr>
        <w:jc w:val="both"/>
      </w:pPr>
      <w:r w:rsidRPr="009C0A11">
        <w:t>S</w:t>
      </w:r>
      <w:r w:rsidR="00C17649" w:rsidRPr="009C0A11">
        <w:t>ub-sector, etc.</w:t>
      </w:r>
    </w:p>
    <w:p w14:paraId="08C0C806" w14:textId="0B63E28B" w:rsidR="00870476" w:rsidRPr="009C0A11" w:rsidRDefault="00870476" w:rsidP="00AD3133">
      <w:pPr>
        <w:pStyle w:val="MText"/>
        <w:numPr>
          <w:ilvl w:val="0"/>
          <w:numId w:val="13"/>
        </w:numPr>
        <w:jc w:val="both"/>
      </w:pPr>
      <w:r w:rsidRPr="009C0A11">
        <w:t>By type of infrastructure (housing, sanitation, energy, etc.)</w:t>
      </w:r>
    </w:p>
    <w:p w14:paraId="448B67CC" w14:textId="77777777" w:rsidR="00870476" w:rsidRPr="006E7107" w:rsidRDefault="00870476" w:rsidP="00AD3133">
      <w:pPr>
        <w:pStyle w:val="MText"/>
        <w:ind w:left="720"/>
        <w:jc w:val="both"/>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5F68CAA7" w:rsidR="00D51E7C" w:rsidRDefault="001C70E4" w:rsidP="00576CFA">
      <w:pPr>
        <w:pStyle w:val="MText"/>
      </w:pPr>
      <w:r>
        <w:t>N</w:t>
      </w:r>
      <w:r w:rsidR="009C0A11">
        <w:t>ot applicable</w:t>
      </w:r>
    </w:p>
    <w:p w14:paraId="22E7D33C" w14:textId="77777777" w:rsidR="00D339E2" w:rsidRPr="00D339E2" w:rsidRDefault="00D339E2" w:rsidP="00D339E2">
      <w:pPr>
        <w:shd w:val="clear" w:color="auto" w:fill="FFFFFF"/>
        <w:spacing w:after="0"/>
        <w:rPr>
          <w:rFonts w:ascii="Calibri" w:eastAsia="Times New Roman" w:hAnsi="Calibri" w:cs="Times New Roman"/>
          <w:b/>
          <w:bCs/>
          <w:color w:val="4A4A4A"/>
          <w:sz w:val="21"/>
          <w:szCs w:val="21"/>
          <w:lang w:eastAsia="en-GB"/>
        </w:rPr>
      </w:pPr>
    </w:p>
    <w:p w14:paraId="76DF099C" w14:textId="703C09F1" w:rsidR="00382CF3" w:rsidRPr="008910E5" w:rsidRDefault="00576CFA" w:rsidP="000412A0">
      <w:pPr>
        <w:pStyle w:val="MHeader"/>
        <w:spacing w:after="100"/>
        <w:rPr>
          <w:lang w:val="en-US"/>
        </w:rPr>
      </w:pPr>
      <w:r w:rsidRPr="008910E5">
        <w:rPr>
          <w:lang w:val="en-US"/>
        </w:rPr>
        <w:t xml:space="preserve">7. References and Documentation </w:t>
      </w:r>
      <w:r>
        <w:rPr>
          <w:color w:val="B4B4B4"/>
          <w:sz w:val="20"/>
        </w:rPr>
        <w:t>(OTHER_DOC)</w:t>
      </w:r>
    </w:p>
    <w:p w14:paraId="03198FA1" w14:textId="77777777" w:rsidR="003C6A86" w:rsidRPr="00C52D18" w:rsidRDefault="003C6A86" w:rsidP="009A7363">
      <w:pPr>
        <w:shd w:val="clear" w:color="auto" w:fill="FFFFFF"/>
        <w:spacing w:after="0"/>
        <w:jc w:val="both"/>
      </w:pPr>
      <w:r w:rsidRPr="008910E5">
        <w:rPr>
          <w:lang w:val="en-US"/>
        </w:rPr>
        <w:t xml:space="preserve">UN-Habitat. </w:t>
      </w:r>
      <w:r w:rsidRPr="00C52D18">
        <w:t>Planning Sustainable Cities: Global Report on Human Settlements 2009. Pages 93-109.</w:t>
      </w:r>
    </w:p>
    <w:p w14:paraId="06A7D74D" w14:textId="77777777" w:rsidR="003C6A86" w:rsidRPr="003C6A86" w:rsidRDefault="003C6A86" w:rsidP="009A7363">
      <w:pPr>
        <w:shd w:val="clear" w:color="auto" w:fill="FFFFFF"/>
        <w:spacing w:after="0"/>
        <w:jc w:val="both"/>
        <w:rPr>
          <w:rFonts w:ascii="Calibri" w:eastAsia="Times New Roman" w:hAnsi="Calibri" w:cs="Times New Roman"/>
          <w:color w:val="4A4A4A"/>
          <w:sz w:val="21"/>
          <w:szCs w:val="21"/>
          <w:lang w:eastAsia="en-GB"/>
        </w:rPr>
      </w:pPr>
    </w:p>
    <w:p w14:paraId="384B0992" w14:textId="60A69D10" w:rsidR="00186795" w:rsidRDefault="00C52D18" w:rsidP="009A7363">
      <w:pPr>
        <w:jc w:val="both"/>
      </w:pPr>
      <w:r w:rsidRPr="00C52D18">
        <w:t>Official development assistance (ODA) by sector is defined as the distribution of bilateral ODA commitments by economic sector.</w:t>
      </w:r>
      <w:r>
        <w:t xml:space="preserve"> </w:t>
      </w:r>
      <w:hyperlink r:id="rId16" w:history="1">
        <w:r w:rsidRPr="00987C53">
          <w:rPr>
            <w:rStyle w:val="Hyperlink"/>
          </w:rPr>
          <w:t>https://www.oecd.org/en/data/indicators/oda-by-sector.html</w:t>
        </w:r>
      </w:hyperlink>
    </w:p>
    <w:p w14:paraId="3732E756" w14:textId="174D3BD2" w:rsidR="00D81952" w:rsidRPr="006E7107" w:rsidRDefault="00D81952" w:rsidP="00D81952">
      <w:pPr>
        <w:keepNext/>
        <w:keepLines/>
        <w:shd w:val="clear" w:color="auto" w:fill="FFFFFF"/>
        <w:spacing w:after="0"/>
        <w:rPr>
          <w:rFonts w:eastAsia="Times New Roman" w:cs="Times New Roman"/>
          <w:color w:val="4A4A4A"/>
          <w:sz w:val="21"/>
          <w:szCs w:val="21"/>
          <w:lang w:eastAsia="en-GB"/>
        </w:rPr>
      </w:pPr>
      <w:r w:rsidRPr="006E7107">
        <w:rPr>
          <w:rFonts w:eastAsia="Times New Roman" w:cs="Times New Roman"/>
          <w:b/>
          <w:bCs/>
          <w:color w:val="4A4A4A"/>
          <w:sz w:val="21"/>
          <w:szCs w:val="21"/>
          <w:lang w:eastAsia="en-GB"/>
        </w:rPr>
        <w:t>URL</w:t>
      </w:r>
      <w:r w:rsidR="001B1E36">
        <w:rPr>
          <w:rFonts w:eastAsia="Times New Roman" w:cs="Times New Roman"/>
          <w:b/>
          <w:bCs/>
          <w:color w:val="4A4A4A"/>
          <w:sz w:val="21"/>
          <w:szCs w:val="21"/>
          <w:lang w:eastAsia="en-GB"/>
        </w:rPr>
        <w:t xml:space="preserve"> OECD</w:t>
      </w:r>
      <w:r w:rsidRPr="006E7107">
        <w:rPr>
          <w:rFonts w:eastAsia="Times New Roman" w:cs="Times New Roman"/>
          <w:b/>
          <w:bCs/>
          <w:color w:val="4A4A4A"/>
          <w:sz w:val="21"/>
          <w:szCs w:val="21"/>
          <w:lang w:eastAsia="en-GB"/>
        </w:rPr>
        <w:t>:</w:t>
      </w:r>
    </w:p>
    <w:p w14:paraId="36E19E1E" w14:textId="77777777" w:rsidR="00D81952" w:rsidRPr="006E7107" w:rsidRDefault="00D81952" w:rsidP="009A7363">
      <w:pPr>
        <w:keepNext/>
        <w:keepLines/>
        <w:shd w:val="clear" w:color="auto" w:fill="FFFFFF"/>
        <w:spacing w:after="0"/>
        <w:jc w:val="both"/>
        <w:rPr>
          <w:rFonts w:eastAsia="Times New Roman" w:cs="Times New Roman"/>
          <w:color w:val="4A4A4A"/>
          <w:sz w:val="21"/>
          <w:szCs w:val="21"/>
          <w:lang w:eastAsia="en-GB"/>
        </w:rPr>
      </w:pPr>
      <w:r w:rsidRPr="006E7107">
        <w:rPr>
          <w:rFonts w:eastAsia="Times New Roman" w:cs="Times New Roman"/>
          <w:color w:val="4A4A4A"/>
          <w:sz w:val="21"/>
          <w:szCs w:val="21"/>
          <w:lang w:eastAsia="en-GB"/>
        </w:rPr>
        <w:t>www.oecd.org/dac/stats</w:t>
      </w:r>
    </w:p>
    <w:p w14:paraId="028F410C" w14:textId="33F5443A" w:rsidR="00D81952" w:rsidRPr="0019422B" w:rsidRDefault="00C324BD" w:rsidP="009A7363">
      <w:pPr>
        <w:shd w:val="clear" w:color="auto" w:fill="FFFFFF"/>
        <w:spacing w:after="0"/>
        <w:jc w:val="both"/>
        <w:rPr>
          <w:rFonts w:eastAsia="Times New Roman" w:cs="Times New Roman"/>
          <w:color w:val="4A4A4A"/>
          <w:sz w:val="21"/>
          <w:szCs w:val="21"/>
          <w:lang w:eastAsia="en-GB"/>
        </w:rPr>
      </w:pPr>
      <w:hyperlink r:id="rId17" w:history="1">
        <w:r w:rsidRPr="00A34E66">
          <w:rPr>
            <w:rStyle w:val="Hyperlink"/>
            <w:rFonts w:eastAsia="Times New Roman" w:cs="Times New Roman"/>
            <w:sz w:val="21"/>
            <w:szCs w:val="21"/>
            <w:lang w:eastAsia="en-GB"/>
          </w:rPr>
          <w:t>http://www.oecd.org/dac/stats/methodology.htm</w:t>
        </w:r>
      </w:hyperlink>
      <w:r>
        <w:rPr>
          <w:rFonts w:eastAsia="Times New Roman" w:cs="Times New Roman"/>
          <w:color w:val="4A4A4A"/>
          <w:sz w:val="21"/>
          <w:szCs w:val="21"/>
          <w:lang w:eastAsia="en-GB"/>
        </w:rPr>
        <w:t xml:space="preserve"> </w:t>
      </w:r>
    </w:p>
    <w:p w14:paraId="176511AD" w14:textId="1B63E00F" w:rsidR="003010A1" w:rsidRDefault="003010A1" w:rsidP="00F9393D"/>
    <w:sectPr w:rsidR="003010A1">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7A436" w14:textId="77777777" w:rsidR="000C4190" w:rsidRDefault="000C4190" w:rsidP="00573C0B">
      <w:pPr>
        <w:spacing w:after="0" w:line="240" w:lineRule="auto"/>
      </w:pPr>
      <w:r>
        <w:separator/>
      </w:r>
    </w:p>
  </w:endnote>
  <w:endnote w:type="continuationSeparator" w:id="0">
    <w:p w14:paraId="431AE00E" w14:textId="77777777" w:rsidR="000C4190" w:rsidRDefault="000C4190" w:rsidP="00573C0B">
      <w:pPr>
        <w:spacing w:after="0" w:line="240" w:lineRule="auto"/>
      </w:pPr>
      <w:r>
        <w:continuationSeparator/>
      </w:r>
    </w:p>
  </w:endnote>
  <w:endnote w:type="continuationNotice" w:id="1">
    <w:p w14:paraId="4D943053" w14:textId="77777777" w:rsidR="000C4190" w:rsidRDefault="000C41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6F94C" w14:textId="77777777" w:rsidR="000C4190" w:rsidRDefault="000C4190" w:rsidP="00573C0B">
      <w:pPr>
        <w:spacing w:after="0" w:line="240" w:lineRule="auto"/>
      </w:pPr>
      <w:r>
        <w:separator/>
      </w:r>
    </w:p>
  </w:footnote>
  <w:footnote w:type="continuationSeparator" w:id="0">
    <w:p w14:paraId="39957001" w14:textId="77777777" w:rsidR="000C4190" w:rsidRDefault="000C4190" w:rsidP="00573C0B">
      <w:pPr>
        <w:spacing w:after="0" w:line="240" w:lineRule="auto"/>
      </w:pPr>
      <w:r>
        <w:continuationSeparator/>
      </w:r>
    </w:p>
  </w:footnote>
  <w:footnote w:type="continuationNotice" w:id="1">
    <w:p w14:paraId="781FFD8F" w14:textId="77777777" w:rsidR="000C4190" w:rsidRDefault="000C41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11A79207" w:rsidR="00077F46" w:rsidRPr="00757E8A" w:rsidRDefault="009C0A11" w:rsidP="009C0A11">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r>
      <w:rPr>
        <w:color w:val="404040" w:themeColor="text1" w:themeTint="BF"/>
        <w:sz w:val="18"/>
        <w:szCs w:val="18"/>
      </w:rPr>
      <w:t xml:space="preserve"> 2025-04-</w:t>
    </w:r>
    <w:bookmarkEnd w:id="9"/>
    <w:bookmarkEnd w:id="10"/>
    <w:bookmarkEnd w:id="11"/>
    <w:bookmarkEnd w:id="12"/>
    <w:bookmarkEnd w:id="13"/>
    <w:bookmarkEnd w:id="14"/>
    <w:r w:rsidR="008910E5">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F0B"/>
    <w:multiLevelType w:val="hybridMultilevel"/>
    <w:tmpl w:val="7A20B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201C3"/>
    <w:multiLevelType w:val="hybridMultilevel"/>
    <w:tmpl w:val="69BCB1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E79451A"/>
    <w:multiLevelType w:val="multilevel"/>
    <w:tmpl w:val="6512F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31C0D"/>
    <w:multiLevelType w:val="multilevel"/>
    <w:tmpl w:val="C8F2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D3B70"/>
    <w:multiLevelType w:val="hybridMultilevel"/>
    <w:tmpl w:val="D1401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D78A5"/>
    <w:multiLevelType w:val="multilevel"/>
    <w:tmpl w:val="5020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FD450C"/>
    <w:multiLevelType w:val="hybridMultilevel"/>
    <w:tmpl w:val="4ADAF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7AB49AB"/>
    <w:multiLevelType w:val="hybridMultilevel"/>
    <w:tmpl w:val="E78EB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A6C4DAF"/>
    <w:multiLevelType w:val="hybridMultilevel"/>
    <w:tmpl w:val="3FDC4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70C43"/>
    <w:multiLevelType w:val="multilevel"/>
    <w:tmpl w:val="2186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667EB"/>
    <w:multiLevelType w:val="hybridMultilevel"/>
    <w:tmpl w:val="63F058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6E5E5FE6"/>
    <w:multiLevelType w:val="multilevel"/>
    <w:tmpl w:val="9256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37F16"/>
    <w:multiLevelType w:val="hybridMultilevel"/>
    <w:tmpl w:val="67AE1466"/>
    <w:lvl w:ilvl="0" w:tplc="0409000F">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8917925">
    <w:abstractNumId w:val="11"/>
  </w:num>
  <w:num w:numId="2" w16cid:durableId="906038372">
    <w:abstractNumId w:val="5"/>
  </w:num>
  <w:num w:numId="3" w16cid:durableId="1185559364">
    <w:abstractNumId w:val="16"/>
  </w:num>
  <w:num w:numId="4" w16cid:durableId="467286542">
    <w:abstractNumId w:val="7"/>
  </w:num>
  <w:num w:numId="5" w16cid:durableId="13672938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5511942">
    <w:abstractNumId w:val="9"/>
  </w:num>
  <w:num w:numId="7" w16cid:durableId="1838114951">
    <w:abstractNumId w:val="1"/>
  </w:num>
  <w:num w:numId="8" w16cid:durableId="16072278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6054051">
    <w:abstractNumId w:val="8"/>
  </w:num>
  <w:num w:numId="10" w16cid:durableId="6364982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1143100">
    <w:abstractNumId w:val="13"/>
  </w:num>
  <w:num w:numId="12" w16cid:durableId="909922292">
    <w:abstractNumId w:val="0"/>
  </w:num>
  <w:num w:numId="13" w16cid:durableId="1793941297">
    <w:abstractNumId w:val="4"/>
  </w:num>
  <w:num w:numId="14" w16cid:durableId="1187869689">
    <w:abstractNumId w:val="3"/>
  </w:num>
  <w:num w:numId="15" w16cid:durableId="649216394">
    <w:abstractNumId w:val="12"/>
  </w:num>
  <w:num w:numId="16" w16cid:durableId="755053201">
    <w:abstractNumId w:val="2"/>
  </w:num>
  <w:num w:numId="17" w16cid:durableId="429008251">
    <w:abstractNumId w:val="14"/>
  </w:num>
  <w:num w:numId="18" w16cid:durableId="1825392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722"/>
    <w:rsid w:val="000070BA"/>
    <w:rsid w:val="000173F9"/>
    <w:rsid w:val="00024188"/>
    <w:rsid w:val="0002707E"/>
    <w:rsid w:val="000412A0"/>
    <w:rsid w:val="00047DDA"/>
    <w:rsid w:val="00052CFA"/>
    <w:rsid w:val="00052E54"/>
    <w:rsid w:val="0005455A"/>
    <w:rsid w:val="000651E5"/>
    <w:rsid w:val="00071F07"/>
    <w:rsid w:val="00073FAC"/>
    <w:rsid w:val="0007759D"/>
    <w:rsid w:val="000777AB"/>
    <w:rsid w:val="00077F46"/>
    <w:rsid w:val="00090FB1"/>
    <w:rsid w:val="00092894"/>
    <w:rsid w:val="00093433"/>
    <w:rsid w:val="000936E0"/>
    <w:rsid w:val="00096186"/>
    <w:rsid w:val="000A72E4"/>
    <w:rsid w:val="000B0E2F"/>
    <w:rsid w:val="000B2430"/>
    <w:rsid w:val="000C10A3"/>
    <w:rsid w:val="000C32BF"/>
    <w:rsid w:val="000C3851"/>
    <w:rsid w:val="000C4190"/>
    <w:rsid w:val="000D0B30"/>
    <w:rsid w:val="000E21F1"/>
    <w:rsid w:val="000E49A2"/>
    <w:rsid w:val="000F703E"/>
    <w:rsid w:val="00115AE6"/>
    <w:rsid w:val="00120E86"/>
    <w:rsid w:val="00125DE9"/>
    <w:rsid w:val="001332E0"/>
    <w:rsid w:val="00134DE7"/>
    <w:rsid w:val="001469D0"/>
    <w:rsid w:val="001617FB"/>
    <w:rsid w:val="001635DB"/>
    <w:rsid w:val="00165030"/>
    <w:rsid w:val="00172FBD"/>
    <w:rsid w:val="00185354"/>
    <w:rsid w:val="001854DC"/>
    <w:rsid w:val="00186795"/>
    <w:rsid w:val="00194D09"/>
    <w:rsid w:val="001A7D5C"/>
    <w:rsid w:val="001B1E36"/>
    <w:rsid w:val="001B49D8"/>
    <w:rsid w:val="001B60AA"/>
    <w:rsid w:val="001B63C8"/>
    <w:rsid w:val="001C1972"/>
    <w:rsid w:val="001C421F"/>
    <w:rsid w:val="001C70E4"/>
    <w:rsid w:val="001D360D"/>
    <w:rsid w:val="001D75D5"/>
    <w:rsid w:val="001E29E0"/>
    <w:rsid w:val="001F3E3C"/>
    <w:rsid w:val="002033EB"/>
    <w:rsid w:val="00212862"/>
    <w:rsid w:val="00215438"/>
    <w:rsid w:val="00216900"/>
    <w:rsid w:val="00222773"/>
    <w:rsid w:val="00235C1D"/>
    <w:rsid w:val="00244046"/>
    <w:rsid w:val="00247FED"/>
    <w:rsid w:val="002501D2"/>
    <w:rsid w:val="00251C50"/>
    <w:rsid w:val="00252CB5"/>
    <w:rsid w:val="00261A8D"/>
    <w:rsid w:val="00270312"/>
    <w:rsid w:val="00270B20"/>
    <w:rsid w:val="002773C7"/>
    <w:rsid w:val="00281307"/>
    <w:rsid w:val="00283C1C"/>
    <w:rsid w:val="00291A00"/>
    <w:rsid w:val="00291A11"/>
    <w:rsid w:val="00294719"/>
    <w:rsid w:val="002A315C"/>
    <w:rsid w:val="002A3342"/>
    <w:rsid w:val="002A620E"/>
    <w:rsid w:val="002A64BA"/>
    <w:rsid w:val="002B4989"/>
    <w:rsid w:val="002B4ACF"/>
    <w:rsid w:val="002C2510"/>
    <w:rsid w:val="002C299B"/>
    <w:rsid w:val="002C41C3"/>
    <w:rsid w:val="002C4791"/>
    <w:rsid w:val="002D714E"/>
    <w:rsid w:val="002E53C3"/>
    <w:rsid w:val="002F1468"/>
    <w:rsid w:val="002F5F0C"/>
    <w:rsid w:val="003010A1"/>
    <w:rsid w:val="00301552"/>
    <w:rsid w:val="00312909"/>
    <w:rsid w:val="00317887"/>
    <w:rsid w:val="003265EB"/>
    <w:rsid w:val="00326670"/>
    <w:rsid w:val="00334B9F"/>
    <w:rsid w:val="003358CD"/>
    <w:rsid w:val="0034329E"/>
    <w:rsid w:val="00343FAA"/>
    <w:rsid w:val="003459DE"/>
    <w:rsid w:val="00347F5E"/>
    <w:rsid w:val="00353C98"/>
    <w:rsid w:val="00371A20"/>
    <w:rsid w:val="00373912"/>
    <w:rsid w:val="003821B4"/>
    <w:rsid w:val="00382CF3"/>
    <w:rsid w:val="00386871"/>
    <w:rsid w:val="00387D52"/>
    <w:rsid w:val="003A7CEA"/>
    <w:rsid w:val="003C6A86"/>
    <w:rsid w:val="003E62EC"/>
    <w:rsid w:val="003F0BD3"/>
    <w:rsid w:val="003F278A"/>
    <w:rsid w:val="003F7A02"/>
    <w:rsid w:val="0042164B"/>
    <w:rsid w:val="00422EA5"/>
    <w:rsid w:val="00422EFA"/>
    <w:rsid w:val="004272C2"/>
    <w:rsid w:val="0042791F"/>
    <w:rsid w:val="004456ED"/>
    <w:rsid w:val="00475BB4"/>
    <w:rsid w:val="0048045A"/>
    <w:rsid w:val="00483EFF"/>
    <w:rsid w:val="004841B8"/>
    <w:rsid w:val="004930F2"/>
    <w:rsid w:val="00494989"/>
    <w:rsid w:val="004A1A6C"/>
    <w:rsid w:val="004B0F1C"/>
    <w:rsid w:val="004B39E6"/>
    <w:rsid w:val="004B7207"/>
    <w:rsid w:val="004C2C3F"/>
    <w:rsid w:val="004C2CC7"/>
    <w:rsid w:val="004C53A8"/>
    <w:rsid w:val="004D5652"/>
    <w:rsid w:val="004E018B"/>
    <w:rsid w:val="004E2E54"/>
    <w:rsid w:val="004E407A"/>
    <w:rsid w:val="004F07ED"/>
    <w:rsid w:val="004F22FB"/>
    <w:rsid w:val="004F2EE6"/>
    <w:rsid w:val="00502DBA"/>
    <w:rsid w:val="005040C4"/>
    <w:rsid w:val="00507637"/>
    <w:rsid w:val="00507852"/>
    <w:rsid w:val="0051250C"/>
    <w:rsid w:val="00514BBC"/>
    <w:rsid w:val="00514DBF"/>
    <w:rsid w:val="00550921"/>
    <w:rsid w:val="00563712"/>
    <w:rsid w:val="00570E8C"/>
    <w:rsid w:val="00573631"/>
    <w:rsid w:val="00573C0B"/>
    <w:rsid w:val="005768D7"/>
    <w:rsid w:val="00576CFA"/>
    <w:rsid w:val="0058556D"/>
    <w:rsid w:val="00592AF2"/>
    <w:rsid w:val="005947AD"/>
    <w:rsid w:val="00595BE3"/>
    <w:rsid w:val="00597748"/>
    <w:rsid w:val="005979E8"/>
    <w:rsid w:val="005C2CF2"/>
    <w:rsid w:val="005D0AF4"/>
    <w:rsid w:val="005E2B6A"/>
    <w:rsid w:val="005E54BD"/>
    <w:rsid w:val="005F6CCA"/>
    <w:rsid w:val="0060224D"/>
    <w:rsid w:val="006060D8"/>
    <w:rsid w:val="006104AF"/>
    <w:rsid w:val="00621893"/>
    <w:rsid w:val="00634215"/>
    <w:rsid w:val="006351E1"/>
    <w:rsid w:val="00640B40"/>
    <w:rsid w:val="006447B1"/>
    <w:rsid w:val="00654035"/>
    <w:rsid w:val="00656069"/>
    <w:rsid w:val="00662775"/>
    <w:rsid w:val="00672391"/>
    <w:rsid w:val="006852FC"/>
    <w:rsid w:val="006A186B"/>
    <w:rsid w:val="006B40AB"/>
    <w:rsid w:val="006B5DC5"/>
    <w:rsid w:val="006C4BFD"/>
    <w:rsid w:val="006C7D30"/>
    <w:rsid w:val="006D6350"/>
    <w:rsid w:val="006D6D48"/>
    <w:rsid w:val="006E3C08"/>
    <w:rsid w:val="006F06BB"/>
    <w:rsid w:val="006F361E"/>
    <w:rsid w:val="006F4ADF"/>
    <w:rsid w:val="00700ACF"/>
    <w:rsid w:val="00712487"/>
    <w:rsid w:val="007252B9"/>
    <w:rsid w:val="00742DFB"/>
    <w:rsid w:val="007530CA"/>
    <w:rsid w:val="00756D68"/>
    <w:rsid w:val="007578D9"/>
    <w:rsid w:val="00757E8A"/>
    <w:rsid w:val="00763E43"/>
    <w:rsid w:val="00764EB5"/>
    <w:rsid w:val="00767577"/>
    <w:rsid w:val="00767A0D"/>
    <w:rsid w:val="00777666"/>
    <w:rsid w:val="00777A95"/>
    <w:rsid w:val="00782416"/>
    <w:rsid w:val="00783767"/>
    <w:rsid w:val="007951A7"/>
    <w:rsid w:val="00797876"/>
    <w:rsid w:val="007B0364"/>
    <w:rsid w:val="007B4FF9"/>
    <w:rsid w:val="007C5569"/>
    <w:rsid w:val="007D0981"/>
    <w:rsid w:val="007D1929"/>
    <w:rsid w:val="007D4FE6"/>
    <w:rsid w:val="007E2FB8"/>
    <w:rsid w:val="007F76AA"/>
    <w:rsid w:val="00803CF1"/>
    <w:rsid w:val="008104BB"/>
    <w:rsid w:val="008117DB"/>
    <w:rsid w:val="008249C5"/>
    <w:rsid w:val="008362C4"/>
    <w:rsid w:val="00844381"/>
    <w:rsid w:val="00851EF8"/>
    <w:rsid w:val="008526F9"/>
    <w:rsid w:val="0085285E"/>
    <w:rsid w:val="00853023"/>
    <w:rsid w:val="008534D4"/>
    <w:rsid w:val="008702C8"/>
    <w:rsid w:val="00870476"/>
    <w:rsid w:val="00881E28"/>
    <w:rsid w:val="00887B6E"/>
    <w:rsid w:val="008910E5"/>
    <w:rsid w:val="00894C4B"/>
    <w:rsid w:val="00896858"/>
    <w:rsid w:val="00897316"/>
    <w:rsid w:val="008A0864"/>
    <w:rsid w:val="008A12E3"/>
    <w:rsid w:val="008A42FA"/>
    <w:rsid w:val="008B0AC7"/>
    <w:rsid w:val="008B4119"/>
    <w:rsid w:val="008B60D8"/>
    <w:rsid w:val="008C2335"/>
    <w:rsid w:val="008C67C1"/>
    <w:rsid w:val="008D1D39"/>
    <w:rsid w:val="008D3D85"/>
    <w:rsid w:val="008D46DA"/>
    <w:rsid w:val="008D6D83"/>
    <w:rsid w:val="008F07D2"/>
    <w:rsid w:val="008F70BF"/>
    <w:rsid w:val="009123EC"/>
    <w:rsid w:val="009133D9"/>
    <w:rsid w:val="00917851"/>
    <w:rsid w:val="00917F65"/>
    <w:rsid w:val="009311E7"/>
    <w:rsid w:val="00942694"/>
    <w:rsid w:val="00977E84"/>
    <w:rsid w:val="00994DA2"/>
    <w:rsid w:val="009A7363"/>
    <w:rsid w:val="009A7E3A"/>
    <w:rsid w:val="009B1265"/>
    <w:rsid w:val="009B330C"/>
    <w:rsid w:val="009B39C4"/>
    <w:rsid w:val="009B4A15"/>
    <w:rsid w:val="009B5693"/>
    <w:rsid w:val="009C0A11"/>
    <w:rsid w:val="009C61A2"/>
    <w:rsid w:val="009C78E4"/>
    <w:rsid w:val="009D1C12"/>
    <w:rsid w:val="009D687E"/>
    <w:rsid w:val="009E33FE"/>
    <w:rsid w:val="009F6DE7"/>
    <w:rsid w:val="00A0064E"/>
    <w:rsid w:val="00A10583"/>
    <w:rsid w:val="00A1202F"/>
    <w:rsid w:val="00A17B04"/>
    <w:rsid w:val="00A37FCB"/>
    <w:rsid w:val="00A405F1"/>
    <w:rsid w:val="00A54863"/>
    <w:rsid w:val="00A55E6D"/>
    <w:rsid w:val="00A61D74"/>
    <w:rsid w:val="00A70107"/>
    <w:rsid w:val="00A712C8"/>
    <w:rsid w:val="00A71BAF"/>
    <w:rsid w:val="00A732E8"/>
    <w:rsid w:val="00A8688B"/>
    <w:rsid w:val="00A91163"/>
    <w:rsid w:val="00A9286F"/>
    <w:rsid w:val="00A96255"/>
    <w:rsid w:val="00AB285B"/>
    <w:rsid w:val="00AC7927"/>
    <w:rsid w:val="00AD1C8E"/>
    <w:rsid w:val="00AD2A94"/>
    <w:rsid w:val="00AD3133"/>
    <w:rsid w:val="00AF45D0"/>
    <w:rsid w:val="00AF5552"/>
    <w:rsid w:val="00AF5CB4"/>
    <w:rsid w:val="00AF5ED1"/>
    <w:rsid w:val="00AF71D6"/>
    <w:rsid w:val="00AF7A86"/>
    <w:rsid w:val="00B216EE"/>
    <w:rsid w:val="00B3175F"/>
    <w:rsid w:val="00B31E2C"/>
    <w:rsid w:val="00B329B0"/>
    <w:rsid w:val="00B402D8"/>
    <w:rsid w:val="00B416E3"/>
    <w:rsid w:val="00B4237C"/>
    <w:rsid w:val="00B42FE8"/>
    <w:rsid w:val="00B52AFD"/>
    <w:rsid w:val="00B54077"/>
    <w:rsid w:val="00B74448"/>
    <w:rsid w:val="00B8087E"/>
    <w:rsid w:val="00B811BB"/>
    <w:rsid w:val="00B81E16"/>
    <w:rsid w:val="00B83443"/>
    <w:rsid w:val="00BB097A"/>
    <w:rsid w:val="00BB319E"/>
    <w:rsid w:val="00BB646E"/>
    <w:rsid w:val="00BC208B"/>
    <w:rsid w:val="00BC7F65"/>
    <w:rsid w:val="00BD1BA1"/>
    <w:rsid w:val="00BE4548"/>
    <w:rsid w:val="00BE466E"/>
    <w:rsid w:val="00BF0AFA"/>
    <w:rsid w:val="00C001B8"/>
    <w:rsid w:val="00C019E5"/>
    <w:rsid w:val="00C1678D"/>
    <w:rsid w:val="00C17649"/>
    <w:rsid w:val="00C324BD"/>
    <w:rsid w:val="00C35BC4"/>
    <w:rsid w:val="00C40E97"/>
    <w:rsid w:val="00C412B8"/>
    <w:rsid w:val="00C43F5B"/>
    <w:rsid w:val="00C52D18"/>
    <w:rsid w:val="00C535A6"/>
    <w:rsid w:val="00C55CF8"/>
    <w:rsid w:val="00C83B8E"/>
    <w:rsid w:val="00C90317"/>
    <w:rsid w:val="00C97A39"/>
    <w:rsid w:val="00CA6E40"/>
    <w:rsid w:val="00CB0899"/>
    <w:rsid w:val="00CB4371"/>
    <w:rsid w:val="00CC38FC"/>
    <w:rsid w:val="00CC516D"/>
    <w:rsid w:val="00CD24E2"/>
    <w:rsid w:val="00CE184C"/>
    <w:rsid w:val="00D24330"/>
    <w:rsid w:val="00D339E2"/>
    <w:rsid w:val="00D40056"/>
    <w:rsid w:val="00D45C2A"/>
    <w:rsid w:val="00D51E7C"/>
    <w:rsid w:val="00D5301A"/>
    <w:rsid w:val="00D54F29"/>
    <w:rsid w:val="00D55060"/>
    <w:rsid w:val="00D7020C"/>
    <w:rsid w:val="00D70AD9"/>
    <w:rsid w:val="00D72152"/>
    <w:rsid w:val="00D759C4"/>
    <w:rsid w:val="00D81952"/>
    <w:rsid w:val="00D94BA5"/>
    <w:rsid w:val="00D9510F"/>
    <w:rsid w:val="00D9728C"/>
    <w:rsid w:val="00DA615C"/>
    <w:rsid w:val="00DB5CF9"/>
    <w:rsid w:val="00DB72D0"/>
    <w:rsid w:val="00DC7729"/>
    <w:rsid w:val="00DD1BC6"/>
    <w:rsid w:val="00DE5DC3"/>
    <w:rsid w:val="00E00D8A"/>
    <w:rsid w:val="00E1050F"/>
    <w:rsid w:val="00E11604"/>
    <w:rsid w:val="00E11D92"/>
    <w:rsid w:val="00E130A0"/>
    <w:rsid w:val="00E16148"/>
    <w:rsid w:val="00E175BB"/>
    <w:rsid w:val="00E210C4"/>
    <w:rsid w:val="00E23DB7"/>
    <w:rsid w:val="00E46D96"/>
    <w:rsid w:val="00E51B92"/>
    <w:rsid w:val="00E52CCA"/>
    <w:rsid w:val="00E66409"/>
    <w:rsid w:val="00E81D5B"/>
    <w:rsid w:val="00E976B9"/>
    <w:rsid w:val="00EA05D3"/>
    <w:rsid w:val="00EA195C"/>
    <w:rsid w:val="00EA4C7A"/>
    <w:rsid w:val="00EB19AD"/>
    <w:rsid w:val="00EB2F31"/>
    <w:rsid w:val="00EB3B31"/>
    <w:rsid w:val="00EB6493"/>
    <w:rsid w:val="00EC2915"/>
    <w:rsid w:val="00ED05A9"/>
    <w:rsid w:val="00ED1BA0"/>
    <w:rsid w:val="00ED5F7D"/>
    <w:rsid w:val="00EE35C4"/>
    <w:rsid w:val="00EF3415"/>
    <w:rsid w:val="00F04A4E"/>
    <w:rsid w:val="00F17257"/>
    <w:rsid w:val="00F220B3"/>
    <w:rsid w:val="00F34BC5"/>
    <w:rsid w:val="00F34D24"/>
    <w:rsid w:val="00F41278"/>
    <w:rsid w:val="00F4130B"/>
    <w:rsid w:val="00F41BCD"/>
    <w:rsid w:val="00F556A2"/>
    <w:rsid w:val="00F62250"/>
    <w:rsid w:val="00F67806"/>
    <w:rsid w:val="00F707E4"/>
    <w:rsid w:val="00F719A8"/>
    <w:rsid w:val="00F81228"/>
    <w:rsid w:val="00F878B9"/>
    <w:rsid w:val="00F9393D"/>
    <w:rsid w:val="00F975CD"/>
    <w:rsid w:val="00FA7112"/>
    <w:rsid w:val="00FB24E8"/>
    <w:rsid w:val="00FB3B2B"/>
    <w:rsid w:val="00FC18DA"/>
    <w:rsid w:val="00FC3917"/>
    <w:rsid w:val="00FD0845"/>
    <w:rsid w:val="00FD60DA"/>
    <w:rsid w:val="00FD6869"/>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4B39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B39E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D339E2"/>
    <w:pPr>
      <w:spacing w:after="0" w:line="240" w:lineRule="auto"/>
    </w:pPr>
    <w:rPr>
      <w:rFonts w:ascii="Calibri" w:eastAsia="SimSun" w:hAnsi="Calibri" w:cs="Arial"/>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D339E2"/>
    <w:rPr>
      <w:rFonts w:ascii="Calibri" w:eastAsia="SimSun" w:hAnsi="Calibri" w:cs="Arial"/>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D339E2"/>
    <w:rPr>
      <w:vertAlign w:val="superscript"/>
    </w:rPr>
  </w:style>
  <w:style w:type="character" w:customStyle="1" w:styleId="normaltextrun">
    <w:name w:val="normaltextrun"/>
    <w:basedOn w:val="DefaultParagraphFont"/>
    <w:rsid w:val="00797876"/>
  </w:style>
  <w:style w:type="paragraph" w:customStyle="1" w:styleId="paragraph">
    <w:name w:val="paragraph"/>
    <w:basedOn w:val="Normal"/>
    <w:rsid w:val="0079787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317887"/>
    <w:pPr>
      <w:spacing w:after="160" w:line="240" w:lineRule="exact"/>
      <w:jc w:val="both"/>
    </w:pPr>
    <w:rPr>
      <w:vertAlign w:val="superscript"/>
    </w:rPr>
  </w:style>
  <w:style w:type="paragraph" w:styleId="Revision">
    <w:name w:val="Revision"/>
    <w:hidden/>
    <w:uiPriority w:val="99"/>
    <w:semiHidden/>
    <w:rsid w:val="001635DB"/>
    <w:pPr>
      <w:spacing w:after="0" w:line="240" w:lineRule="auto"/>
    </w:pPr>
  </w:style>
  <w:style w:type="paragraph" w:styleId="NormalWeb">
    <w:name w:val="Normal (Web)"/>
    <w:basedOn w:val="Normal"/>
    <w:uiPriority w:val="99"/>
    <w:semiHidden/>
    <w:unhideWhenUsed/>
    <w:rsid w:val="00AC792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A4C7A"/>
    <w:rPr>
      <w:color w:val="800080" w:themeColor="followedHyperlink"/>
      <w:u w:val="single"/>
    </w:rPr>
  </w:style>
  <w:style w:type="character" w:customStyle="1" w:styleId="Heading3Char">
    <w:name w:val="Heading 3 Char"/>
    <w:basedOn w:val="DefaultParagraphFont"/>
    <w:link w:val="Heading3"/>
    <w:uiPriority w:val="9"/>
    <w:semiHidden/>
    <w:rsid w:val="004B39E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B39E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5453">
      <w:bodyDiv w:val="1"/>
      <w:marLeft w:val="0"/>
      <w:marRight w:val="0"/>
      <w:marTop w:val="0"/>
      <w:marBottom w:val="0"/>
      <w:divBdr>
        <w:top w:val="none" w:sz="0" w:space="0" w:color="auto"/>
        <w:left w:val="none" w:sz="0" w:space="0" w:color="auto"/>
        <w:bottom w:val="none" w:sz="0" w:space="0" w:color="auto"/>
        <w:right w:val="none" w:sz="0" w:space="0" w:color="auto"/>
      </w:divBdr>
    </w:div>
    <w:div w:id="34670582">
      <w:bodyDiv w:val="1"/>
      <w:marLeft w:val="0"/>
      <w:marRight w:val="0"/>
      <w:marTop w:val="0"/>
      <w:marBottom w:val="0"/>
      <w:divBdr>
        <w:top w:val="none" w:sz="0" w:space="0" w:color="auto"/>
        <w:left w:val="none" w:sz="0" w:space="0" w:color="auto"/>
        <w:bottom w:val="none" w:sz="0" w:space="0" w:color="auto"/>
        <w:right w:val="none" w:sz="0" w:space="0" w:color="auto"/>
      </w:divBdr>
    </w:div>
    <w:div w:id="84616627">
      <w:bodyDiv w:val="1"/>
      <w:marLeft w:val="0"/>
      <w:marRight w:val="0"/>
      <w:marTop w:val="0"/>
      <w:marBottom w:val="0"/>
      <w:divBdr>
        <w:top w:val="none" w:sz="0" w:space="0" w:color="auto"/>
        <w:left w:val="none" w:sz="0" w:space="0" w:color="auto"/>
        <w:bottom w:val="none" w:sz="0" w:space="0" w:color="auto"/>
        <w:right w:val="none" w:sz="0" w:space="0" w:color="auto"/>
      </w:divBdr>
    </w:div>
    <w:div w:id="126365197">
      <w:bodyDiv w:val="1"/>
      <w:marLeft w:val="0"/>
      <w:marRight w:val="0"/>
      <w:marTop w:val="0"/>
      <w:marBottom w:val="0"/>
      <w:divBdr>
        <w:top w:val="none" w:sz="0" w:space="0" w:color="auto"/>
        <w:left w:val="none" w:sz="0" w:space="0" w:color="auto"/>
        <w:bottom w:val="none" w:sz="0" w:space="0" w:color="auto"/>
        <w:right w:val="none" w:sz="0" w:space="0" w:color="auto"/>
      </w:divBdr>
    </w:div>
    <w:div w:id="170608138">
      <w:bodyDiv w:val="1"/>
      <w:marLeft w:val="0"/>
      <w:marRight w:val="0"/>
      <w:marTop w:val="0"/>
      <w:marBottom w:val="0"/>
      <w:divBdr>
        <w:top w:val="none" w:sz="0" w:space="0" w:color="auto"/>
        <w:left w:val="none" w:sz="0" w:space="0" w:color="auto"/>
        <w:bottom w:val="none" w:sz="0" w:space="0" w:color="auto"/>
        <w:right w:val="none" w:sz="0" w:space="0" w:color="auto"/>
      </w:divBdr>
    </w:div>
    <w:div w:id="204605936">
      <w:bodyDiv w:val="1"/>
      <w:marLeft w:val="0"/>
      <w:marRight w:val="0"/>
      <w:marTop w:val="0"/>
      <w:marBottom w:val="0"/>
      <w:divBdr>
        <w:top w:val="none" w:sz="0" w:space="0" w:color="auto"/>
        <w:left w:val="none" w:sz="0" w:space="0" w:color="auto"/>
        <w:bottom w:val="none" w:sz="0" w:space="0" w:color="auto"/>
        <w:right w:val="none" w:sz="0" w:space="0" w:color="auto"/>
      </w:divBdr>
    </w:div>
    <w:div w:id="223680019">
      <w:bodyDiv w:val="1"/>
      <w:marLeft w:val="0"/>
      <w:marRight w:val="0"/>
      <w:marTop w:val="0"/>
      <w:marBottom w:val="0"/>
      <w:divBdr>
        <w:top w:val="none" w:sz="0" w:space="0" w:color="auto"/>
        <w:left w:val="none" w:sz="0" w:space="0" w:color="auto"/>
        <w:bottom w:val="none" w:sz="0" w:space="0" w:color="auto"/>
        <w:right w:val="none" w:sz="0" w:space="0" w:color="auto"/>
      </w:divBdr>
    </w:div>
    <w:div w:id="237518282">
      <w:bodyDiv w:val="1"/>
      <w:marLeft w:val="0"/>
      <w:marRight w:val="0"/>
      <w:marTop w:val="0"/>
      <w:marBottom w:val="0"/>
      <w:divBdr>
        <w:top w:val="none" w:sz="0" w:space="0" w:color="auto"/>
        <w:left w:val="none" w:sz="0" w:space="0" w:color="auto"/>
        <w:bottom w:val="none" w:sz="0" w:space="0" w:color="auto"/>
        <w:right w:val="none" w:sz="0" w:space="0" w:color="auto"/>
      </w:divBdr>
    </w:div>
    <w:div w:id="249504500">
      <w:bodyDiv w:val="1"/>
      <w:marLeft w:val="0"/>
      <w:marRight w:val="0"/>
      <w:marTop w:val="0"/>
      <w:marBottom w:val="0"/>
      <w:divBdr>
        <w:top w:val="none" w:sz="0" w:space="0" w:color="auto"/>
        <w:left w:val="none" w:sz="0" w:space="0" w:color="auto"/>
        <w:bottom w:val="none" w:sz="0" w:space="0" w:color="auto"/>
        <w:right w:val="none" w:sz="0" w:space="0" w:color="auto"/>
      </w:divBdr>
    </w:div>
    <w:div w:id="339624016">
      <w:bodyDiv w:val="1"/>
      <w:marLeft w:val="0"/>
      <w:marRight w:val="0"/>
      <w:marTop w:val="0"/>
      <w:marBottom w:val="0"/>
      <w:divBdr>
        <w:top w:val="none" w:sz="0" w:space="0" w:color="auto"/>
        <w:left w:val="none" w:sz="0" w:space="0" w:color="auto"/>
        <w:bottom w:val="none" w:sz="0" w:space="0" w:color="auto"/>
        <w:right w:val="none" w:sz="0" w:space="0" w:color="auto"/>
      </w:divBdr>
    </w:div>
    <w:div w:id="383719584">
      <w:bodyDiv w:val="1"/>
      <w:marLeft w:val="0"/>
      <w:marRight w:val="0"/>
      <w:marTop w:val="0"/>
      <w:marBottom w:val="0"/>
      <w:divBdr>
        <w:top w:val="none" w:sz="0" w:space="0" w:color="auto"/>
        <w:left w:val="none" w:sz="0" w:space="0" w:color="auto"/>
        <w:bottom w:val="none" w:sz="0" w:space="0" w:color="auto"/>
        <w:right w:val="none" w:sz="0" w:space="0" w:color="auto"/>
      </w:divBdr>
    </w:div>
    <w:div w:id="435515529">
      <w:bodyDiv w:val="1"/>
      <w:marLeft w:val="0"/>
      <w:marRight w:val="0"/>
      <w:marTop w:val="0"/>
      <w:marBottom w:val="0"/>
      <w:divBdr>
        <w:top w:val="none" w:sz="0" w:space="0" w:color="auto"/>
        <w:left w:val="none" w:sz="0" w:space="0" w:color="auto"/>
        <w:bottom w:val="none" w:sz="0" w:space="0" w:color="auto"/>
        <w:right w:val="none" w:sz="0" w:space="0" w:color="auto"/>
      </w:divBdr>
    </w:div>
    <w:div w:id="494227262">
      <w:bodyDiv w:val="1"/>
      <w:marLeft w:val="0"/>
      <w:marRight w:val="0"/>
      <w:marTop w:val="0"/>
      <w:marBottom w:val="0"/>
      <w:divBdr>
        <w:top w:val="none" w:sz="0" w:space="0" w:color="auto"/>
        <w:left w:val="none" w:sz="0" w:space="0" w:color="auto"/>
        <w:bottom w:val="none" w:sz="0" w:space="0" w:color="auto"/>
        <w:right w:val="none" w:sz="0" w:space="0" w:color="auto"/>
      </w:divBdr>
    </w:div>
    <w:div w:id="543174634">
      <w:bodyDiv w:val="1"/>
      <w:marLeft w:val="0"/>
      <w:marRight w:val="0"/>
      <w:marTop w:val="0"/>
      <w:marBottom w:val="0"/>
      <w:divBdr>
        <w:top w:val="none" w:sz="0" w:space="0" w:color="auto"/>
        <w:left w:val="none" w:sz="0" w:space="0" w:color="auto"/>
        <w:bottom w:val="none" w:sz="0" w:space="0" w:color="auto"/>
        <w:right w:val="none" w:sz="0" w:space="0" w:color="auto"/>
      </w:divBdr>
    </w:div>
    <w:div w:id="595600919">
      <w:bodyDiv w:val="1"/>
      <w:marLeft w:val="0"/>
      <w:marRight w:val="0"/>
      <w:marTop w:val="0"/>
      <w:marBottom w:val="0"/>
      <w:divBdr>
        <w:top w:val="none" w:sz="0" w:space="0" w:color="auto"/>
        <w:left w:val="none" w:sz="0" w:space="0" w:color="auto"/>
        <w:bottom w:val="none" w:sz="0" w:space="0" w:color="auto"/>
        <w:right w:val="none" w:sz="0" w:space="0" w:color="auto"/>
      </w:divBdr>
    </w:div>
    <w:div w:id="681127483">
      <w:bodyDiv w:val="1"/>
      <w:marLeft w:val="0"/>
      <w:marRight w:val="0"/>
      <w:marTop w:val="0"/>
      <w:marBottom w:val="0"/>
      <w:divBdr>
        <w:top w:val="none" w:sz="0" w:space="0" w:color="auto"/>
        <w:left w:val="none" w:sz="0" w:space="0" w:color="auto"/>
        <w:bottom w:val="none" w:sz="0" w:space="0" w:color="auto"/>
        <w:right w:val="none" w:sz="0" w:space="0" w:color="auto"/>
      </w:divBdr>
    </w:div>
    <w:div w:id="733285010">
      <w:bodyDiv w:val="1"/>
      <w:marLeft w:val="0"/>
      <w:marRight w:val="0"/>
      <w:marTop w:val="0"/>
      <w:marBottom w:val="0"/>
      <w:divBdr>
        <w:top w:val="none" w:sz="0" w:space="0" w:color="auto"/>
        <w:left w:val="none" w:sz="0" w:space="0" w:color="auto"/>
        <w:bottom w:val="none" w:sz="0" w:space="0" w:color="auto"/>
        <w:right w:val="none" w:sz="0" w:space="0" w:color="auto"/>
      </w:divBdr>
    </w:div>
    <w:div w:id="779909913">
      <w:bodyDiv w:val="1"/>
      <w:marLeft w:val="0"/>
      <w:marRight w:val="0"/>
      <w:marTop w:val="0"/>
      <w:marBottom w:val="0"/>
      <w:divBdr>
        <w:top w:val="none" w:sz="0" w:space="0" w:color="auto"/>
        <w:left w:val="none" w:sz="0" w:space="0" w:color="auto"/>
        <w:bottom w:val="none" w:sz="0" w:space="0" w:color="auto"/>
        <w:right w:val="none" w:sz="0" w:space="0" w:color="auto"/>
      </w:divBdr>
    </w:div>
    <w:div w:id="826478655">
      <w:bodyDiv w:val="1"/>
      <w:marLeft w:val="0"/>
      <w:marRight w:val="0"/>
      <w:marTop w:val="0"/>
      <w:marBottom w:val="0"/>
      <w:divBdr>
        <w:top w:val="none" w:sz="0" w:space="0" w:color="auto"/>
        <w:left w:val="none" w:sz="0" w:space="0" w:color="auto"/>
        <w:bottom w:val="none" w:sz="0" w:space="0" w:color="auto"/>
        <w:right w:val="none" w:sz="0" w:space="0" w:color="auto"/>
      </w:divBdr>
    </w:div>
    <w:div w:id="833836992">
      <w:bodyDiv w:val="1"/>
      <w:marLeft w:val="0"/>
      <w:marRight w:val="0"/>
      <w:marTop w:val="0"/>
      <w:marBottom w:val="0"/>
      <w:divBdr>
        <w:top w:val="none" w:sz="0" w:space="0" w:color="auto"/>
        <w:left w:val="none" w:sz="0" w:space="0" w:color="auto"/>
        <w:bottom w:val="none" w:sz="0" w:space="0" w:color="auto"/>
        <w:right w:val="none" w:sz="0" w:space="0" w:color="auto"/>
      </w:divBdr>
    </w:div>
    <w:div w:id="839010069">
      <w:bodyDiv w:val="1"/>
      <w:marLeft w:val="0"/>
      <w:marRight w:val="0"/>
      <w:marTop w:val="0"/>
      <w:marBottom w:val="0"/>
      <w:divBdr>
        <w:top w:val="none" w:sz="0" w:space="0" w:color="auto"/>
        <w:left w:val="none" w:sz="0" w:space="0" w:color="auto"/>
        <w:bottom w:val="none" w:sz="0" w:space="0" w:color="auto"/>
        <w:right w:val="none" w:sz="0" w:space="0" w:color="auto"/>
      </w:divBdr>
    </w:div>
    <w:div w:id="875314790">
      <w:bodyDiv w:val="1"/>
      <w:marLeft w:val="0"/>
      <w:marRight w:val="0"/>
      <w:marTop w:val="0"/>
      <w:marBottom w:val="0"/>
      <w:divBdr>
        <w:top w:val="none" w:sz="0" w:space="0" w:color="auto"/>
        <w:left w:val="none" w:sz="0" w:space="0" w:color="auto"/>
        <w:bottom w:val="none" w:sz="0" w:space="0" w:color="auto"/>
        <w:right w:val="none" w:sz="0" w:space="0" w:color="auto"/>
      </w:divBdr>
    </w:div>
    <w:div w:id="987518592">
      <w:bodyDiv w:val="1"/>
      <w:marLeft w:val="0"/>
      <w:marRight w:val="0"/>
      <w:marTop w:val="0"/>
      <w:marBottom w:val="0"/>
      <w:divBdr>
        <w:top w:val="none" w:sz="0" w:space="0" w:color="auto"/>
        <w:left w:val="none" w:sz="0" w:space="0" w:color="auto"/>
        <w:bottom w:val="none" w:sz="0" w:space="0" w:color="auto"/>
        <w:right w:val="none" w:sz="0" w:space="0" w:color="auto"/>
      </w:divBdr>
    </w:div>
    <w:div w:id="1000352418">
      <w:bodyDiv w:val="1"/>
      <w:marLeft w:val="0"/>
      <w:marRight w:val="0"/>
      <w:marTop w:val="0"/>
      <w:marBottom w:val="0"/>
      <w:divBdr>
        <w:top w:val="none" w:sz="0" w:space="0" w:color="auto"/>
        <w:left w:val="none" w:sz="0" w:space="0" w:color="auto"/>
        <w:bottom w:val="none" w:sz="0" w:space="0" w:color="auto"/>
        <w:right w:val="none" w:sz="0" w:space="0" w:color="auto"/>
      </w:divBdr>
    </w:div>
    <w:div w:id="1031808220">
      <w:bodyDiv w:val="1"/>
      <w:marLeft w:val="0"/>
      <w:marRight w:val="0"/>
      <w:marTop w:val="0"/>
      <w:marBottom w:val="0"/>
      <w:divBdr>
        <w:top w:val="none" w:sz="0" w:space="0" w:color="auto"/>
        <w:left w:val="none" w:sz="0" w:space="0" w:color="auto"/>
        <w:bottom w:val="none" w:sz="0" w:space="0" w:color="auto"/>
        <w:right w:val="none" w:sz="0" w:space="0" w:color="auto"/>
      </w:divBdr>
    </w:div>
    <w:div w:id="103515797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1897551">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6742951">
      <w:bodyDiv w:val="1"/>
      <w:marLeft w:val="0"/>
      <w:marRight w:val="0"/>
      <w:marTop w:val="0"/>
      <w:marBottom w:val="0"/>
      <w:divBdr>
        <w:top w:val="none" w:sz="0" w:space="0" w:color="auto"/>
        <w:left w:val="none" w:sz="0" w:space="0" w:color="auto"/>
        <w:bottom w:val="none" w:sz="0" w:space="0" w:color="auto"/>
        <w:right w:val="none" w:sz="0" w:space="0" w:color="auto"/>
      </w:divBdr>
    </w:div>
    <w:div w:id="1237208374">
      <w:bodyDiv w:val="1"/>
      <w:marLeft w:val="0"/>
      <w:marRight w:val="0"/>
      <w:marTop w:val="0"/>
      <w:marBottom w:val="0"/>
      <w:divBdr>
        <w:top w:val="none" w:sz="0" w:space="0" w:color="auto"/>
        <w:left w:val="none" w:sz="0" w:space="0" w:color="auto"/>
        <w:bottom w:val="none" w:sz="0" w:space="0" w:color="auto"/>
        <w:right w:val="none" w:sz="0" w:space="0" w:color="auto"/>
      </w:divBdr>
    </w:div>
    <w:div w:id="1278366338">
      <w:bodyDiv w:val="1"/>
      <w:marLeft w:val="0"/>
      <w:marRight w:val="0"/>
      <w:marTop w:val="0"/>
      <w:marBottom w:val="0"/>
      <w:divBdr>
        <w:top w:val="none" w:sz="0" w:space="0" w:color="auto"/>
        <w:left w:val="none" w:sz="0" w:space="0" w:color="auto"/>
        <w:bottom w:val="none" w:sz="0" w:space="0" w:color="auto"/>
        <w:right w:val="none" w:sz="0" w:space="0" w:color="auto"/>
      </w:divBdr>
    </w:div>
    <w:div w:id="1316033700">
      <w:bodyDiv w:val="1"/>
      <w:marLeft w:val="0"/>
      <w:marRight w:val="0"/>
      <w:marTop w:val="0"/>
      <w:marBottom w:val="0"/>
      <w:divBdr>
        <w:top w:val="none" w:sz="0" w:space="0" w:color="auto"/>
        <w:left w:val="none" w:sz="0" w:space="0" w:color="auto"/>
        <w:bottom w:val="none" w:sz="0" w:space="0" w:color="auto"/>
        <w:right w:val="none" w:sz="0" w:space="0" w:color="auto"/>
      </w:divBdr>
    </w:div>
    <w:div w:id="1327905834">
      <w:bodyDiv w:val="1"/>
      <w:marLeft w:val="0"/>
      <w:marRight w:val="0"/>
      <w:marTop w:val="0"/>
      <w:marBottom w:val="0"/>
      <w:divBdr>
        <w:top w:val="none" w:sz="0" w:space="0" w:color="auto"/>
        <w:left w:val="none" w:sz="0" w:space="0" w:color="auto"/>
        <w:bottom w:val="none" w:sz="0" w:space="0" w:color="auto"/>
        <w:right w:val="none" w:sz="0" w:space="0" w:color="auto"/>
      </w:divBdr>
    </w:div>
    <w:div w:id="1416785457">
      <w:bodyDiv w:val="1"/>
      <w:marLeft w:val="0"/>
      <w:marRight w:val="0"/>
      <w:marTop w:val="0"/>
      <w:marBottom w:val="0"/>
      <w:divBdr>
        <w:top w:val="none" w:sz="0" w:space="0" w:color="auto"/>
        <w:left w:val="none" w:sz="0" w:space="0" w:color="auto"/>
        <w:bottom w:val="none" w:sz="0" w:space="0" w:color="auto"/>
        <w:right w:val="none" w:sz="0" w:space="0" w:color="auto"/>
      </w:divBdr>
    </w:div>
    <w:div w:id="1430540492">
      <w:bodyDiv w:val="1"/>
      <w:marLeft w:val="0"/>
      <w:marRight w:val="0"/>
      <w:marTop w:val="0"/>
      <w:marBottom w:val="0"/>
      <w:divBdr>
        <w:top w:val="none" w:sz="0" w:space="0" w:color="auto"/>
        <w:left w:val="none" w:sz="0" w:space="0" w:color="auto"/>
        <w:bottom w:val="none" w:sz="0" w:space="0" w:color="auto"/>
        <w:right w:val="none" w:sz="0" w:space="0" w:color="auto"/>
      </w:divBdr>
    </w:div>
    <w:div w:id="1510561686">
      <w:bodyDiv w:val="1"/>
      <w:marLeft w:val="0"/>
      <w:marRight w:val="0"/>
      <w:marTop w:val="0"/>
      <w:marBottom w:val="0"/>
      <w:divBdr>
        <w:top w:val="none" w:sz="0" w:space="0" w:color="auto"/>
        <w:left w:val="none" w:sz="0" w:space="0" w:color="auto"/>
        <w:bottom w:val="none" w:sz="0" w:space="0" w:color="auto"/>
        <w:right w:val="none" w:sz="0" w:space="0" w:color="auto"/>
      </w:divBdr>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
    <w:div w:id="1543133213">
      <w:bodyDiv w:val="1"/>
      <w:marLeft w:val="0"/>
      <w:marRight w:val="0"/>
      <w:marTop w:val="0"/>
      <w:marBottom w:val="0"/>
      <w:divBdr>
        <w:top w:val="none" w:sz="0" w:space="0" w:color="auto"/>
        <w:left w:val="none" w:sz="0" w:space="0" w:color="auto"/>
        <w:bottom w:val="none" w:sz="0" w:space="0" w:color="auto"/>
        <w:right w:val="none" w:sz="0" w:space="0" w:color="auto"/>
      </w:divBdr>
    </w:div>
    <w:div w:id="1544323019">
      <w:bodyDiv w:val="1"/>
      <w:marLeft w:val="0"/>
      <w:marRight w:val="0"/>
      <w:marTop w:val="0"/>
      <w:marBottom w:val="0"/>
      <w:divBdr>
        <w:top w:val="none" w:sz="0" w:space="0" w:color="auto"/>
        <w:left w:val="none" w:sz="0" w:space="0" w:color="auto"/>
        <w:bottom w:val="none" w:sz="0" w:space="0" w:color="auto"/>
        <w:right w:val="none" w:sz="0" w:space="0" w:color="auto"/>
      </w:divBdr>
    </w:div>
    <w:div w:id="1608391019">
      <w:bodyDiv w:val="1"/>
      <w:marLeft w:val="0"/>
      <w:marRight w:val="0"/>
      <w:marTop w:val="0"/>
      <w:marBottom w:val="0"/>
      <w:divBdr>
        <w:top w:val="none" w:sz="0" w:space="0" w:color="auto"/>
        <w:left w:val="none" w:sz="0" w:space="0" w:color="auto"/>
        <w:bottom w:val="none" w:sz="0" w:space="0" w:color="auto"/>
        <w:right w:val="none" w:sz="0" w:space="0" w:color="auto"/>
      </w:divBdr>
    </w:div>
    <w:div w:id="1670788008">
      <w:bodyDiv w:val="1"/>
      <w:marLeft w:val="0"/>
      <w:marRight w:val="0"/>
      <w:marTop w:val="0"/>
      <w:marBottom w:val="0"/>
      <w:divBdr>
        <w:top w:val="none" w:sz="0" w:space="0" w:color="auto"/>
        <w:left w:val="none" w:sz="0" w:space="0" w:color="auto"/>
        <w:bottom w:val="none" w:sz="0" w:space="0" w:color="auto"/>
        <w:right w:val="none" w:sz="0" w:space="0" w:color="auto"/>
      </w:divBdr>
    </w:div>
    <w:div w:id="1682586115">
      <w:bodyDiv w:val="1"/>
      <w:marLeft w:val="0"/>
      <w:marRight w:val="0"/>
      <w:marTop w:val="0"/>
      <w:marBottom w:val="0"/>
      <w:divBdr>
        <w:top w:val="none" w:sz="0" w:space="0" w:color="auto"/>
        <w:left w:val="none" w:sz="0" w:space="0" w:color="auto"/>
        <w:bottom w:val="none" w:sz="0" w:space="0" w:color="auto"/>
        <w:right w:val="none" w:sz="0" w:space="0" w:color="auto"/>
      </w:divBdr>
    </w:div>
    <w:div w:id="1745369839">
      <w:bodyDiv w:val="1"/>
      <w:marLeft w:val="0"/>
      <w:marRight w:val="0"/>
      <w:marTop w:val="0"/>
      <w:marBottom w:val="0"/>
      <w:divBdr>
        <w:top w:val="none" w:sz="0" w:space="0" w:color="auto"/>
        <w:left w:val="none" w:sz="0" w:space="0" w:color="auto"/>
        <w:bottom w:val="none" w:sz="0" w:space="0" w:color="auto"/>
        <w:right w:val="none" w:sz="0" w:space="0" w:color="auto"/>
      </w:divBdr>
    </w:div>
    <w:div w:id="1865172798">
      <w:bodyDiv w:val="1"/>
      <w:marLeft w:val="0"/>
      <w:marRight w:val="0"/>
      <w:marTop w:val="0"/>
      <w:marBottom w:val="0"/>
      <w:divBdr>
        <w:top w:val="none" w:sz="0" w:space="0" w:color="auto"/>
        <w:left w:val="none" w:sz="0" w:space="0" w:color="auto"/>
        <w:bottom w:val="none" w:sz="0" w:space="0" w:color="auto"/>
        <w:right w:val="none" w:sz="0" w:space="0" w:color="auto"/>
      </w:divBdr>
    </w:div>
    <w:div w:id="1931502675">
      <w:bodyDiv w:val="1"/>
      <w:marLeft w:val="0"/>
      <w:marRight w:val="0"/>
      <w:marTop w:val="0"/>
      <w:marBottom w:val="0"/>
      <w:divBdr>
        <w:top w:val="none" w:sz="0" w:space="0" w:color="auto"/>
        <w:left w:val="none" w:sz="0" w:space="0" w:color="auto"/>
        <w:bottom w:val="none" w:sz="0" w:space="0" w:color="auto"/>
        <w:right w:val="none" w:sz="0" w:space="0" w:color="auto"/>
      </w:divBdr>
    </w:div>
    <w:div w:id="1931618997">
      <w:bodyDiv w:val="1"/>
      <w:marLeft w:val="0"/>
      <w:marRight w:val="0"/>
      <w:marTop w:val="0"/>
      <w:marBottom w:val="0"/>
      <w:divBdr>
        <w:top w:val="none" w:sz="0" w:space="0" w:color="auto"/>
        <w:left w:val="none" w:sz="0" w:space="0" w:color="auto"/>
        <w:bottom w:val="none" w:sz="0" w:space="0" w:color="auto"/>
        <w:right w:val="none" w:sz="0" w:space="0" w:color="auto"/>
      </w:divBdr>
    </w:div>
    <w:div w:id="1974209621">
      <w:bodyDiv w:val="1"/>
      <w:marLeft w:val="0"/>
      <w:marRight w:val="0"/>
      <w:marTop w:val="0"/>
      <w:marBottom w:val="0"/>
      <w:divBdr>
        <w:top w:val="none" w:sz="0" w:space="0" w:color="auto"/>
        <w:left w:val="none" w:sz="0" w:space="0" w:color="auto"/>
        <w:bottom w:val="none" w:sz="0" w:space="0" w:color="auto"/>
        <w:right w:val="none" w:sz="0" w:space="0" w:color="auto"/>
      </w:divBdr>
    </w:div>
    <w:div w:id="2037153166">
      <w:bodyDiv w:val="1"/>
      <w:marLeft w:val="0"/>
      <w:marRight w:val="0"/>
      <w:marTop w:val="0"/>
      <w:marBottom w:val="0"/>
      <w:divBdr>
        <w:top w:val="none" w:sz="0" w:space="0" w:color="auto"/>
        <w:left w:val="none" w:sz="0" w:space="0" w:color="auto"/>
        <w:bottom w:val="none" w:sz="0" w:space="0" w:color="auto"/>
        <w:right w:val="none" w:sz="0" w:space="0" w:color="auto"/>
      </w:divBdr>
    </w:div>
    <w:div w:id="2064987674">
      <w:bodyDiv w:val="1"/>
      <w:marLeft w:val="0"/>
      <w:marRight w:val="0"/>
      <w:marTop w:val="0"/>
      <w:marBottom w:val="0"/>
      <w:divBdr>
        <w:top w:val="none" w:sz="0" w:space="0" w:color="auto"/>
        <w:left w:val="none" w:sz="0" w:space="0" w:color="auto"/>
        <w:bottom w:val="none" w:sz="0" w:space="0" w:color="auto"/>
        <w:right w:val="none" w:sz="0" w:space="0" w:color="auto"/>
      </w:divBdr>
    </w:div>
    <w:div w:id="210760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archive.oecd.org/temp/2019-03-28/80638-purposecodessectorclassification.ht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oecd.org/en/data/indicators/other-official-flows-oof.html" TargetMode="External"/><Relationship Id="rId17" Type="http://schemas.openxmlformats.org/officeDocument/2006/relationships/hyperlink" Target="http://www.oecd.org/dac/stats/methodology.htm" TargetMode="External"/><Relationship Id="rId2" Type="http://schemas.openxmlformats.org/officeDocument/2006/relationships/customXml" Target="../customXml/item2.xml"/><Relationship Id="rId16" Type="http://schemas.openxmlformats.org/officeDocument/2006/relationships/hyperlink" Target="https://www.oecd.org/en/data/indicators/oda-by-sector.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ecd.org/en/topics/policy-issues/official-development-assistance-oda.html" TargetMode="External"/><Relationship Id="rId5" Type="http://schemas.openxmlformats.org/officeDocument/2006/relationships/numbering" Target="numbering.xml"/><Relationship Id="rId15" Type="http://schemas.openxmlformats.org/officeDocument/2006/relationships/hyperlink" Target="https://unhabitat.org/sites/default/files/2025/08/indicator_11c.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habitat.org/sites/default/files/2025/08/indicator_11c.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9CDEB3AA-D545-4DEB-928F-3EFDFFF34080}"/>
      </w:docPartPr>
      <w:docPartBody>
        <w:p w:rsidR="009956B8" w:rsidRDefault="009956B8">
          <w:r w:rsidRPr="000472A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B8"/>
    <w:rsid w:val="00115AE6"/>
    <w:rsid w:val="00281307"/>
    <w:rsid w:val="004F22FB"/>
    <w:rsid w:val="009956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6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1F5227-619E-457B-933A-7385F84F7AB4}">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purl.org/dc/dcmitype/"/>
    <ds:schemaRef ds:uri="http://schemas.microsoft.com/office/2006/documentManagement/types"/>
    <ds:schemaRef ds:uri="http://purl.org/dc/terms/"/>
    <ds:schemaRef ds:uri="http://schemas.microsoft.com/office/2006/metadata/properties"/>
    <ds:schemaRef ds:uri="http://www.w3.org/XML/1998/namespace"/>
    <ds:schemaRef ds:uri="d114b01d-ae01-4749-b845-9d88e7ef5c0e"/>
    <ds:schemaRef ds:uri="http://schemas.microsoft.com/office/infopath/2007/PartnerControls"/>
    <ds:schemaRef ds:uri="http://schemas.openxmlformats.org/package/2006/metadata/core-properties"/>
    <ds:schemaRef ds:uri="f2d2d782-0088-4826-96df-71eba56e6d2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9</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8</cp:revision>
  <cp:lastPrinted>2025-04-23T03:15:00Z</cp:lastPrinted>
  <dcterms:created xsi:type="dcterms:W3CDTF">2025-04-02T12:24:00Z</dcterms:created>
  <dcterms:modified xsi:type="dcterms:W3CDTF">2025-04-23T03:15:00Z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