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6BD779B" w14:textId="77777777" w:rsidR="00457A1B" w:rsidRPr="00573631" w:rsidRDefault="00457A1B" w:rsidP="00457A1B">
      <w:pPr>
        <w:pStyle w:val="MGTHeader"/>
      </w:pPr>
      <w:r w:rsidRPr="00573631">
        <w:t xml:space="preserve">Goal </w:t>
      </w:r>
      <w:r>
        <w:t xml:space="preserve">12: </w:t>
      </w:r>
      <w:r w:rsidRPr="00371B8A">
        <w:t>Ensure sustainable consumption and production patterns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1BE046B9" w14:textId="42344F67" w:rsidR="00917230" w:rsidRPr="00932560" w:rsidRDefault="00917230" w:rsidP="00917230">
      <w:pPr>
        <w:pStyle w:val="MGTHeader"/>
        <w:rPr>
          <w:rFonts w:ascii="Calibri" w:hAnsi="Calibri"/>
        </w:rPr>
      </w:pPr>
      <w:r w:rsidRPr="00932560">
        <w:rPr>
          <w:rFonts w:ascii="Calibri" w:hAnsi="Calibri"/>
          <w:color w:val="444444"/>
        </w:rPr>
        <w:t xml:space="preserve">Target </w:t>
      </w:r>
      <w:r w:rsidRPr="00E242BF">
        <w:t>12.3</w:t>
      </w:r>
      <w:r w:rsidR="423083C5" w:rsidRPr="5744B854">
        <w:rPr>
          <w:rFonts w:ascii="Calibri" w:eastAsia="Calibri" w:hAnsi="Calibri" w:cs="Calibri"/>
          <w:color w:val="444444"/>
        </w:rPr>
        <w:t>:</w:t>
      </w:r>
      <w:r w:rsidRPr="00E242BF">
        <w:t xml:space="preserve"> By 2030, halve per capita global food waste at the retail and consumer levels and reduce food losses along production and supply chains, including post-harvest losses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F8C7CA6" w14:textId="47884A51" w:rsidR="00D559C2" w:rsidRPr="00983836" w:rsidRDefault="00B90252" w:rsidP="000530FE">
      <w:pPr>
        <w:pStyle w:val="MIndHeader"/>
        <w:rPr>
          <w:i/>
          <w:iCs/>
          <w:sz w:val="21"/>
          <w:szCs w:val="21"/>
        </w:rPr>
      </w:pPr>
      <w:r w:rsidRPr="00932560">
        <w:rPr>
          <w:rFonts w:ascii="Calibri" w:hAnsi="Calibri"/>
          <w:color w:val="444444"/>
          <w:sz w:val="21"/>
        </w:rPr>
        <w:t>Indicator 12.3.1</w:t>
      </w:r>
      <w:r w:rsidR="3DBC518C" w:rsidRPr="5744B854">
        <w:rPr>
          <w:rFonts w:ascii="Calibri" w:eastAsia="Calibri" w:hAnsi="Calibri" w:cs="Calibri"/>
          <w:color w:val="444444"/>
          <w:sz w:val="21"/>
          <w:szCs w:val="21"/>
        </w:rPr>
        <w:t>:</w:t>
      </w:r>
      <w:r w:rsidRPr="00932560">
        <w:rPr>
          <w:rFonts w:ascii="Calibri" w:hAnsi="Calibri"/>
          <w:color w:val="444444"/>
          <w:sz w:val="21"/>
        </w:rPr>
        <w:t xml:space="preserve"> (a) Food loss index and (b) food waste index</w:t>
      </w:r>
    </w:p>
    <w:p w14:paraId="37E5E4F6" w14:textId="77777777" w:rsidR="00D24330" w:rsidRPr="00983836" w:rsidRDefault="00D24330" w:rsidP="00D24330">
      <w:pPr>
        <w:pStyle w:val="MIndHeader"/>
        <w:rPr>
          <w:lang w:val="en-US"/>
        </w:rPr>
      </w:pPr>
      <w:r w:rsidRPr="00983836">
        <w:rPr>
          <w:lang w:val="en-US"/>
        </w:rPr>
        <w:t xml:space="preserve">0.d. Series </w:t>
      </w:r>
      <w:r>
        <w:rPr>
          <w:color w:val="B4B4B4"/>
          <w:sz w:val="20"/>
        </w:rPr>
        <w:t>(SDG_SERIES_DESCR)</w:t>
      </w:r>
    </w:p>
    <w:p w14:paraId="0281F34A" w14:textId="77777777" w:rsidR="00B05131" w:rsidRPr="00B05131" w:rsidRDefault="00B05131" w:rsidP="00B05131">
      <w:pPr>
        <w:pStyle w:val="MGTHeader"/>
        <w:rPr>
          <w:rFonts w:cstheme="minorHAnsi"/>
        </w:rPr>
      </w:pPr>
      <w:r w:rsidRPr="00B05131">
        <w:rPr>
          <w:rFonts w:cstheme="minorHAnsi"/>
        </w:rPr>
        <w:t>AG_FOOD_WST - Food waste [12.3.1]</w:t>
      </w:r>
    </w:p>
    <w:p w14:paraId="5A9FB4E5" w14:textId="0AC4FBF1" w:rsidR="00DC29CE" w:rsidRPr="00983836" w:rsidRDefault="00B05131" w:rsidP="00CC0E21">
      <w:pPr>
        <w:pStyle w:val="MGTHeader"/>
        <w:rPr>
          <w:rFonts w:cstheme="minorHAnsi"/>
        </w:rPr>
      </w:pPr>
      <w:r w:rsidRPr="00B05131">
        <w:rPr>
          <w:rFonts w:cstheme="minorHAnsi"/>
        </w:rPr>
        <w:t>AG_FOOD_WST_PC - Food waste per capita [12.3.1]</w:t>
      </w:r>
    </w:p>
    <w:p w14:paraId="157DACE7" w14:textId="77777777" w:rsidR="00D24330" w:rsidRPr="00983836" w:rsidRDefault="00D24330" w:rsidP="00D24330">
      <w:pPr>
        <w:pStyle w:val="MIndHeader"/>
        <w:rPr>
          <w:lang w:val="en-US"/>
        </w:rPr>
      </w:pPr>
      <w:r w:rsidRPr="00983836">
        <w:rPr>
          <w:lang w:val="en-US"/>
        </w:rPr>
        <w:t xml:space="preserve">0.e. Metadata update </w:t>
      </w:r>
      <w:r>
        <w:rPr>
          <w:color w:val="B4B4B4"/>
          <w:sz w:val="20"/>
        </w:rPr>
        <w:t>(META_LAST_UPDATE)</w:t>
      </w:r>
    </w:p>
    <w:sdt>
      <w:sdtPr>
        <w:rPr>
          <w:lang w:val="en-US"/>
        </w:rPr>
        <w:id w:val="-1803215203"/>
        <w:placeholder>
          <w:docPart w:val="DefaultPlaceholder_-1854013437"/>
        </w:placeholder>
        <w:date w:fullDate="2024-07-29T00:00:00Z">
          <w:dateFormat w:val="yyyy-MM-dd"/>
          <w:lid w:val="en-US"/>
          <w:storeMappedDataAs w:val="dateTime"/>
          <w:calendar w:val="gregorian"/>
        </w:date>
      </w:sdtPr>
      <w:sdtContent>
        <w:p w14:paraId="03424B60" w14:textId="4201FEE7" w:rsidR="00D24330" w:rsidRPr="00983836" w:rsidRDefault="00D334B7"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E438887" w14:textId="5E929E2B" w:rsidR="00801B8C" w:rsidRPr="00573631" w:rsidRDefault="00801B8C" w:rsidP="008F37C6">
      <w:pPr>
        <w:pStyle w:val="MGTHeader"/>
      </w:pPr>
      <w:r>
        <w:t>11.6.1,</w:t>
      </w:r>
      <w:r w:rsidR="00E71452">
        <w:t xml:space="preserve"> 12.3.1</w:t>
      </w:r>
      <w:r w:rsidR="000F4FE2">
        <w:t>(</w:t>
      </w:r>
      <w:r w:rsidR="00E71452">
        <w:t>a</w:t>
      </w:r>
      <w:r w:rsidR="000F4FE2">
        <w:t>)</w:t>
      </w:r>
      <w:r w:rsidR="00E71452">
        <w:t>,</w:t>
      </w:r>
      <w:r>
        <w:t xml:space="preserve"> 12.5.1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67B54EC0" w14:textId="5924DB9E" w:rsidR="00493F8B" w:rsidRPr="00526F55" w:rsidRDefault="00493F8B" w:rsidP="00D23179">
      <w:pPr>
        <w:pStyle w:val="MGTHeader"/>
        <w:rPr>
          <w:lang w:val="en-US"/>
        </w:rPr>
      </w:pPr>
      <w:r w:rsidRPr="00526F55">
        <w:rPr>
          <w:lang w:val="en-US"/>
        </w:rPr>
        <w:t xml:space="preserve">United Nations Environment Programme (UNEP) </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F062A65" w14:textId="760A13FD" w:rsidR="00493F8B" w:rsidRDefault="00493F8B" w:rsidP="00493F8B">
      <w:pPr>
        <w:shd w:val="clear" w:color="auto" w:fill="FFFFFF"/>
        <w:spacing w:after="0"/>
        <w:rPr>
          <w:rFonts w:eastAsia="Times New Roman" w:cs="Times New Roman"/>
          <w:color w:val="4A4A4A"/>
          <w:sz w:val="21"/>
          <w:szCs w:val="21"/>
          <w:lang w:val="en-US" w:eastAsia="en-GB"/>
        </w:rPr>
      </w:pPr>
      <w:r w:rsidRPr="00526F55">
        <w:rPr>
          <w:rFonts w:eastAsia="Times New Roman" w:cs="Times New Roman"/>
          <w:color w:val="4A4A4A"/>
          <w:sz w:val="21"/>
          <w:szCs w:val="21"/>
          <w:lang w:val="en-US" w:eastAsia="en-GB"/>
        </w:rPr>
        <w:t xml:space="preserve">United Nations Environment Programme (UNEP) </w:t>
      </w:r>
    </w:p>
    <w:p w14:paraId="6C56A031" w14:textId="77777777" w:rsidR="008F37C6" w:rsidRPr="00526F55" w:rsidRDefault="008F37C6" w:rsidP="00493F8B">
      <w:pPr>
        <w:shd w:val="clear" w:color="auto" w:fill="FFFFFF"/>
        <w:spacing w:after="0"/>
        <w:rPr>
          <w:rFonts w:eastAsia="Times New Roman" w:cs="Times New Roman"/>
          <w:color w:val="4A4A4A"/>
          <w:sz w:val="21"/>
          <w:szCs w:val="21"/>
          <w:lang w:val="en-US" w:eastAsia="en-GB"/>
        </w:rPr>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0E5F2C8" w14:textId="77777777" w:rsidR="008F37C6" w:rsidRPr="00983836" w:rsidRDefault="00D51E7C" w:rsidP="008F37C6">
      <w:pPr>
        <w:pStyle w:val="MText"/>
        <w:rPr>
          <w:color w:val="595959" w:themeColor="text1" w:themeTint="A6"/>
        </w:rPr>
      </w:pPr>
      <w:r w:rsidRPr="00932560">
        <w:rPr>
          <w:b/>
        </w:rPr>
        <w:t>Definitions:</w:t>
      </w:r>
    </w:p>
    <w:p w14:paraId="3BFFD967" w14:textId="03A548FE" w:rsidR="00A478EA" w:rsidRDefault="00A478EA" w:rsidP="00A478EA">
      <w:pPr>
        <w:shd w:val="clear" w:color="auto" w:fill="FFFFFF"/>
        <w:spacing w:after="0"/>
        <w:jc w:val="both"/>
        <w:rPr>
          <w:color w:val="595959" w:themeColor="text1" w:themeTint="A6"/>
          <w:sz w:val="21"/>
        </w:rPr>
      </w:pPr>
      <w:r w:rsidRPr="00983836">
        <w:rPr>
          <w:b/>
          <w:bCs/>
          <w:color w:val="595959" w:themeColor="text1" w:themeTint="A6"/>
          <w:sz w:val="21"/>
        </w:rPr>
        <w:t>Food waste</w:t>
      </w:r>
      <w:r>
        <w:rPr>
          <w:color w:val="595959" w:themeColor="text1" w:themeTint="A6"/>
          <w:sz w:val="21"/>
        </w:rPr>
        <w:t xml:space="preserve"> </w:t>
      </w:r>
      <w:r w:rsidR="00D120FE">
        <w:rPr>
          <w:color w:val="595959" w:themeColor="text1" w:themeTint="A6"/>
          <w:sz w:val="21"/>
        </w:rPr>
        <w:t>is f</w:t>
      </w:r>
      <w:r w:rsidRPr="00A478EA">
        <w:rPr>
          <w:color w:val="595959" w:themeColor="text1" w:themeTint="A6"/>
          <w:sz w:val="21"/>
        </w:rPr>
        <w:t>ood and associated inedible parts removed from the human food supply chain in the following sectors: retail and other distribution of food; food service (restaurants, schools, hospitals, other canteens, etc.); and households. “Removed from the human food supply chain” means one of the following end destinations: landfill, controlled combustion, sewer, litter/discards/ refuse, co/anaerobic digestion, compost/aerobic digestion or land application.</w:t>
      </w:r>
    </w:p>
    <w:p w14:paraId="76EDFD94" w14:textId="77777777" w:rsidR="00D95E15" w:rsidRPr="00A478EA" w:rsidRDefault="00D95E15" w:rsidP="00A478EA">
      <w:pPr>
        <w:shd w:val="clear" w:color="auto" w:fill="FFFFFF"/>
        <w:spacing w:after="0"/>
        <w:jc w:val="both"/>
        <w:rPr>
          <w:color w:val="595959" w:themeColor="text1" w:themeTint="A6"/>
          <w:sz w:val="21"/>
        </w:rPr>
      </w:pPr>
    </w:p>
    <w:p w14:paraId="33C551A7" w14:textId="02FE6717" w:rsidR="00C52EA4" w:rsidRDefault="00C52EA4" w:rsidP="00826939">
      <w:pPr>
        <w:shd w:val="clear" w:color="auto" w:fill="FFFFFF"/>
        <w:spacing w:after="0"/>
        <w:jc w:val="both"/>
        <w:rPr>
          <w:color w:val="595959" w:themeColor="text1" w:themeTint="A6"/>
          <w:sz w:val="21"/>
        </w:rPr>
      </w:pPr>
      <w:r w:rsidRPr="00983836">
        <w:rPr>
          <w:color w:val="595959" w:themeColor="text1" w:themeTint="A6"/>
          <w:sz w:val="21"/>
        </w:rPr>
        <w:t xml:space="preserve">The indicator aims to measure the total amount of food that is wasted in tonnes. It complements SDG 12.3.1(a) on Food Loss (which is under the custodianship of FAO). Both indicators look to divide the food value chain and measure the efficiency of the food system. </w:t>
      </w:r>
    </w:p>
    <w:p w14:paraId="6DD19352" w14:textId="77777777" w:rsidR="0028666E" w:rsidRPr="00983836" w:rsidRDefault="0028666E" w:rsidP="00983836">
      <w:pPr>
        <w:shd w:val="clear" w:color="auto" w:fill="FFFFFF"/>
        <w:spacing w:after="0"/>
        <w:jc w:val="both"/>
        <w:rPr>
          <w:color w:val="595959" w:themeColor="text1" w:themeTint="A6"/>
          <w:sz w:val="21"/>
        </w:rPr>
      </w:pPr>
    </w:p>
    <w:p w14:paraId="33DA3070" w14:textId="6630AE66" w:rsidR="00C52EA4" w:rsidRDefault="0028666E" w:rsidP="00C52EA4">
      <w:pPr>
        <w:shd w:val="clear" w:color="auto" w:fill="FFFFFF"/>
        <w:spacing w:after="0"/>
        <w:rPr>
          <w:color w:val="595959" w:themeColor="text1" w:themeTint="A6"/>
        </w:rPr>
      </w:pPr>
      <w:r w:rsidRPr="0028666E">
        <w:rPr>
          <w:color w:val="595959" w:themeColor="text1" w:themeTint="A6"/>
        </w:rPr>
        <w:lastRenderedPageBreak/>
        <w:t>The food waste indicator is calculated at two levels, which are presented in Table 1 below.</w:t>
      </w:r>
    </w:p>
    <w:p w14:paraId="3368918C" w14:textId="14A73718" w:rsidR="00CC48F9" w:rsidRDefault="00CC48F9" w:rsidP="00C52EA4">
      <w:pPr>
        <w:shd w:val="clear" w:color="auto" w:fill="FFFFFF"/>
        <w:spacing w:after="0"/>
        <w:rPr>
          <w:color w:val="595959" w:themeColor="text1" w:themeTint="A6"/>
        </w:rPr>
      </w:pPr>
    </w:p>
    <w:p w14:paraId="6DF93ECD" w14:textId="6D60CD9E" w:rsidR="00CC48F9" w:rsidRPr="00983836" w:rsidRDefault="00CC48F9" w:rsidP="00C52EA4">
      <w:pPr>
        <w:shd w:val="clear" w:color="auto" w:fill="FFFFFF"/>
        <w:spacing w:after="0"/>
        <w:rPr>
          <w:i/>
          <w:iCs/>
          <w:color w:val="595959" w:themeColor="text1" w:themeTint="A6"/>
        </w:rPr>
      </w:pPr>
      <w:r w:rsidRPr="00983836">
        <w:rPr>
          <w:i/>
          <w:iCs/>
          <w:color w:val="595959" w:themeColor="text1" w:themeTint="A6"/>
        </w:rPr>
        <w:t>Table 1: Two levels of</w:t>
      </w:r>
      <w:r w:rsidR="00BB148E" w:rsidRPr="00983836">
        <w:rPr>
          <w:i/>
          <w:iCs/>
          <w:color w:val="595959" w:themeColor="text1" w:themeTint="A6"/>
        </w:rPr>
        <w:t xml:space="preserve"> indicator 12.3.1(b) on food waste</w:t>
      </w:r>
    </w:p>
    <w:tbl>
      <w:tblPr>
        <w:tblStyle w:val="TableGrid"/>
        <w:tblW w:w="9072" w:type="dxa"/>
        <w:tblLook w:val="04A0" w:firstRow="1" w:lastRow="0" w:firstColumn="1" w:lastColumn="0" w:noHBand="0" w:noVBand="1"/>
      </w:tblPr>
      <w:tblGrid>
        <w:gridCol w:w="3681"/>
        <w:gridCol w:w="5391"/>
      </w:tblGrid>
      <w:tr w:rsidR="00BC0398" w:rsidRPr="00D6001B" w14:paraId="72B9E45D" w14:textId="77777777" w:rsidTr="00983836">
        <w:tc>
          <w:tcPr>
            <w:tcW w:w="3681" w:type="dxa"/>
          </w:tcPr>
          <w:p w14:paraId="4E8FC0D1" w14:textId="740B92EE" w:rsidR="00BC0398" w:rsidRPr="00362C7B" w:rsidRDefault="00BC0398" w:rsidP="00136558">
            <w:pPr>
              <w:rPr>
                <w:rFonts w:cstheme="minorHAnsi"/>
                <w:b/>
                <w:sz w:val="21"/>
              </w:rPr>
            </w:pPr>
            <w:r w:rsidRPr="00362C7B">
              <w:rPr>
                <w:rFonts w:cstheme="minorHAnsi"/>
                <w:b/>
                <w:sz w:val="21"/>
              </w:rPr>
              <w:t>Name</w:t>
            </w:r>
          </w:p>
        </w:tc>
        <w:tc>
          <w:tcPr>
            <w:tcW w:w="5391" w:type="dxa"/>
          </w:tcPr>
          <w:p w14:paraId="5480F813" w14:textId="0B59B8ED" w:rsidR="00BC0398" w:rsidRPr="00362C7B" w:rsidRDefault="0067119D" w:rsidP="00136558">
            <w:pPr>
              <w:rPr>
                <w:rFonts w:cstheme="minorHAnsi"/>
                <w:b/>
                <w:sz w:val="21"/>
              </w:rPr>
            </w:pPr>
            <w:r w:rsidRPr="00362C7B">
              <w:rPr>
                <w:rFonts w:cstheme="minorHAnsi"/>
                <w:b/>
                <w:sz w:val="21"/>
              </w:rPr>
              <w:t>Measurement</w:t>
            </w:r>
          </w:p>
        </w:tc>
      </w:tr>
      <w:tr w:rsidR="00C52EA4" w:rsidRPr="00D6001B" w14:paraId="24BFC6A9" w14:textId="77777777" w:rsidTr="00983836">
        <w:tc>
          <w:tcPr>
            <w:tcW w:w="3681" w:type="dxa"/>
          </w:tcPr>
          <w:p w14:paraId="23A8FBDD" w14:textId="77777777" w:rsidR="000A529D" w:rsidRPr="00362C7B" w:rsidRDefault="000A529D" w:rsidP="004C3ECE">
            <w:pPr>
              <w:pStyle w:val="Pa21"/>
              <w:spacing w:after="40"/>
              <w:rPr>
                <w:rFonts w:asciiTheme="minorHAnsi" w:hAnsiTheme="minorHAnsi" w:cstheme="minorHAnsi"/>
                <w:bCs/>
                <w:i/>
                <w:iCs/>
                <w:sz w:val="21"/>
                <w:szCs w:val="21"/>
              </w:rPr>
            </w:pPr>
            <w:r w:rsidRPr="00362C7B">
              <w:rPr>
                <w:rFonts w:asciiTheme="minorHAnsi" w:hAnsiTheme="minorHAnsi" w:cstheme="minorHAnsi"/>
                <w:bCs/>
                <w:sz w:val="21"/>
              </w:rPr>
              <w:t>Level I indicator:</w:t>
            </w:r>
            <w:r w:rsidRPr="00362C7B">
              <w:rPr>
                <w:rFonts w:asciiTheme="minorHAnsi" w:hAnsiTheme="minorHAnsi" w:cstheme="minorHAnsi"/>
                <w:bCs/>
                <w:i/>
                <w:iCs/>
                <w:sz w:val="21"/>
                <w:szCs w:val="21"/>
              </w:rPr>
              <w:t xml:space="preserve"> </w:t>
            </w:r>
          </w:p>
          <w:p w14:paraId="237FCB4A" w14:textId="38A817E2" w:rsidR="004C3ECE" w:rsidRPr="00362C7B" w:rsidRDefault="004C3ECE" w:rsidP="004C3ECE">
            <w:pPr>
              <w:pStyle w:val="Pa21"/>
              <w:spacing w:after="40"/>
              <w:rPr>
                <w:rFonts w:asciiTheme="minorHAnsi" w:hAnsiTheme="minorHAnsi" w:cstheme="minorHAnsi"/>
                <w:sz w:val="21"/>
                <w:szCs w:val="21"/>
              </w:rPr>
            </w:pPr>
            <w:r w:rsidRPr="00362C7B">
              <w:rPr>
                <w:rFonts w:asciiTheme="minorHAnsi" w:hAnsiTheme="minorHAnsi" w:cstheme="minorHAnsi"/>
                <w:i/>
                <w:iCs/>
                <w:sz w:val="21"/>
                <w:szCs w:val="21"/>
              </w:rPr>
              <w:t xml:space="preserve">Food waste estimates for each sector </w:t>
            </w:r>
          </w:p>
          <w:p w14:paraId="607AC077" w14:textId="7B10A24D" w:rsidR="00C52EA4" w:rsidRPr="00362C7B" w:rsidRDefault="00C52EA4" w:rsidP="00136558">
            <w:pPr>
              <w:rPr>
                <w:rFonts w:cstheme="minorHAnsi"/>
                <w:i/>
                <w:sz w:val="21"/>
              </w:rPr>
            </w:pPr>
          </w:p>
        </w:tc>
        <w:tc>
          <w:tcPr>
            <w:tcW w:w="5391" w:type="dxa"/>
          </w:tcPr>
          <w:p w14:paraId="10A7B13F" w14:textId="77777777" w:rsidR="00246718" w:rsidRPr="00D6001B" w:rsidRDefault="00246718" w:rsidP="00246718">
            <w:pPr>
              <w:pStyle w:val="Pa21"/>
              <w:spacing w:after="40"/>
              <w:rPr>
                <w:rFonts w:asciiTheme="minorHAnsi" w:hAnsiTheme="minorHAnsi" w:cstheme="minorHAnsi"/>
                <w:color w:val="000000"/>
                <w:sz w:val="21"/>
                <w:szCs w:val="21"/>
              </w:rPr>
            </w:pPr>
            <w:r w:rsidRPr="00D6001B">
              <w:rPr>
                <w:rFonts w:asciiTheme="minorHAnsi" w:hAnsiTheme="minorHAnsi" w:cstheme="minorHAnsi"/>
                <w:color w:val="000000"/>
                <w:sz w:val="21"/>
                <w:szCs w:val="21"/>
              </w:rPr>
              <w:t xml:space="preserve">Existing data and extrapolation to other countries </w:t>
            </w:r>
          </w:p>
          <w:p w14:paraId="603678A9" w14:textId="482F6F44" w:rsidR="00C52EA4" w:rsidRPr="00D6001B" w:rsidRDefault="00C52EA4" w:rsidP="00136558">
            <w:pPr>
              <w:rPr>
                <w:rFonts w:cstheme="minorHAnsi"/>
                <w:color w:val="4A4A4A"/>
                <w:sz w:val="21"/>
                <w:szCs w:val="21"/>
              </w:rPr>
            </w:pPr>
          </w:p>
        </w:tc>
      </w:tr>
      <w:tr w:rsidR="00C52EA4" w:rsidRPr="00D6001B" w14:paraId="621C94EC" w14:textId="77777777" w:rsidTr="00983836">
        <w:tc>
          <w:tcPr>
            <w:tcW w:w="3681" w:type="dxa"/>
          </w:tcPr>
          <w:p w14:paraId="174808EB" w14:textId="792FBDD7" w:rsidR="000A529D" w:rsidRPr="00362C7B" w:rsidRDefault="000A529D" w:rsidP="00324D8C">
            <w:pPr>
              <w:pStyle w:val="Pa21"/>
              <w:spacing w:after="40"/>
              <w:rPr>
                <w:rFonts w:asciiTheme="minorHAnsi" w:hAnsiTheme="minorHAnsi" w:cstheme="minorHAnsi"/>
                <w:bCs/>
                <w:i/>
                <w:iCs/>
                <w:sz w:val="21"/>
                <w:szCs w:val="21"/>
              </w:rPr>
            </w:pPr>
            <w:r w:rsidRPr="00362C7B">
              <w:rPr>
                <w:rFonts w:asciiTheme="minorHAnsi" w:hAnsiTheme="minorHAnsi" w:cstheme="minorHAnsi"/>
                <w:bCs/>
                <w:sz w:val="21"/>
              </w:rPr>
              <w:t>Level II indicator:</w:t>
            </w:r>
          </w:p>
          <w:p w14:paraId="11891C2F" w14:textId="43FB35B4" w:rsidR="00324D8C" w:rsidRPr="00362C7B" w:rsidRDefault="00324D8C" w:rsidP="00324D8C">
            <w:pPr>
              <w:pStyle w:val="Pa21"/>
              <w:spacing w:after="40"/>
              <w:rPr>
                <w:rFonts w:asciiTheme="minorHAnsi" w:hAnsiTheme="minorHAnsi" w:cstheme="minorHAnsi"/>
                <w:sz w:val="21"/>
                <w:szCs w:val="21"/>
              </w:rPr>
            </w:pPr>
            <w:r w:rsidRPr="00362C7B">
              <w:rPr>
                <w:rFonts w:asciiTheme="minorHAnsi" w:hAnsiTheme="minorHAnsi" w:cstheme="minorHAnsi"/>
                <w:i/>
                <w:iCs/>
                <w:sz w:val="21"/>
                <w:szCs w:val="21"/>
              </w:rPr>
              <w:t xml:space="preserve">Food waste generation tracked at a national level </w:t>
            </w:r>
          </w:p>
          <w:p w14:paraId="7F20E99F" w14:textId="374BB48B" w:rsidR="00C52EA4" w:rsidRPr="00362C7B" w:rsidRDefault="00C52EA4" w:rsidP="00136558">
            <w:pPr>
              <w:rPr>
                <w:rFonts w:cstheme="minorHAnsi"/>
                <w:i/>
                <w:sz w:val="21"/>
              </w:rPr>
            </w:pPr>
          </w:p>
        </w:tc>
        <w:tc>
          <w:tcPr>
            <w:tcW w:w="5391" w:type="dxa"/>
          </w:tcPr>
          <w:p w14:paraId="629051E5" w14:textId="43C8B583" w:rsidR="00F24462" w:rsidRPr="00D6001B" w:rsidRDefault="00F24462" w:rsidP="00F24462">
            <w:pPr>
              <w:pStyle w:val="Pa21"/>
              <w:spacing w:after="40"/>
              <w:rPr>
                <w:rFonts w:asciiTheme="minorHAnsi" w:hAnsiTheme="minorHAnsi" w:cstheme="minorHAnsi"/>
                <w:color w:val="000000"/>
                <w:sz w:val="21"/>
                <w:szCs w:val="21"/>
              </w:rPr>
            </w:pPr>
            <w:r w:rsidRPr="00D6001B">
              <w:rPr>
                <w:rFonts w:asciiTheme="minorHAnsi" w:hAnsiTheme="minorHAnsi" w:cstheme="minorHAnsi"/>
                <w:color w:val="000000"/>
                <w:sz w:val="21"/>
                <w:szCs w:val="21"/>
              </w:rPr>
              <w:t>Direct measurement of food waste in retail, food service and households</w:t>
            </w:r>
            <w:r w:rsidR="00DB322F" w:rsidRPr="00D6001B">
              <w:rPr>
                <w:rFonts w:asciiTheme="minorHAnsi" w:hAnsiTheme="minorHAnsi" w:cstheme="minorHAnsi"/>
                <w:color w:val="000000"/>
                <w:sz w:val="21"/>
                <w:szCs w:val="21"/>
              </w:rPr>
              <w:t xml:space="preserve"> at the national level</w:t>
            </w:r>
            <w:r w:rsidRPr="00D6001B">
              <w:rPr>
                <w:rFonts w:asciiTheme="minorHAnsi" w:hAnsiTheme="minorHAnsi" w:cstheme="minorHAnsi"/>
                <w:color w:val="000000"/>
                <w:sz w:val="21"/>
                <w:szCs w:val="21"/>
              </w:rPr>
              <w:t xml:space="preserve">. Sufficiently accurate for tracking. </w:t>
            </w:r>
          </w:p>
          <w:p w14:paraId="2CAF74B2" w14:textId="6E59F735" w:rsidR="00C52EA4" w:rsidRPr="00983836" w:rsidRDefault="00C52EA4" w:rsidP="00136558">
            <w:pPr>
              <w:rPr>
                <w:rFonts w:cstheme="minorHAnsi"/>
                <w:color w:val="4A4A4A"/>
                <w:sz w:val="21"/>
              </w:rPr>
            </w:pPr>
          </w:p>
        </w:tc>
      </w:tr>
    </w:tbl>
    <w:p w14:paraId="7D8A0DC7" w14:textId="77777777" w:rsidR="00C52EA4" w:rsidRDefault="00C52EA4" w:rsidP="00C52EA4">
      <w:pPr>
        <w:shd w:val="clear" w:color="auto" w:fill="FFFFFF"/>
        <w:spacing w:after="0"/>
        <w:rPr>
          <w:color w:val="595959" w:themeColor="text1" w:themeTint="A6"/>
        </w:rPr>
      </w:pPr>
    </w:p>
    <w:p w14:paraId="5F9C9E25" w14:textId="77777777" w:rsidR="008F37C6" w:rsidRPr="00983836" w:rsidRDefault="00D51E7C" w:rsidP="00851CF2">
      <w:pPr>
        <w:pStyle w:val="MText"/>
        <w:rPr>
          <w:i/>
        </w:rPr>
      </w:pPr>
      <w:r w:rsidRPr="00932560">
        <w:rPr>
          <w:b/>
        </w:rPr>
        <w:t>Concepts:</w:t>
      </w:r>
    </w:p>
    <w:p w14:paraId="197F7B7A" w14:textId="603EB52F" w:rsidR="005F7447" w:rsidRDefault="005F7447" w:rsidP="00983836">
      <w:pPr>
        <w:spacing w:after="0"/>
        <w:jc w:val="both"/>
        <w:rPr>
          <w:rFonts w:eastAsia="Times New Roman" w:cs="Times New Roman"/>
          <w:i/>
          <w:iCs/>
          <w:color w:val="4A4A4A"/>
          <w:sz w:val="21"/>
          <w:szCs w:val="21"/>
          <w:lang w:eastAsia="en-GB"/>
        </w:rPr>
      </w:pPr>
      <w:r w:rsidRPr="00C27990">
        <w:rPr>
          <w:rFonts w:eastAsia="Times New Roman" w:cs="Times New Roman"/>
          <w:i/>
          <w:iCs/>
          <w:color w:val="4A4A4A"/>
          <w:sz w:val="21"/>
          <w:szCs w:val="21"/>
          <w:lang w:eastAsia="en-GB"/>
        </w:rPr>
        <w:t xml:space="preserve">Food: </w:t>
      </w:r>
      <w:r w:rsidRPr="00C27990">
        <w:rPr>
          <w:rFonts w:eastAsia="Times New Roman" w:cs="Times New Roman"/>
          <w:color w:val="4A4A4A"/>
          <w:sz w:val="21"/>
          <w:szCs w:val="21"/>
          <w:lang w:eastAsia="en-GB"/>
        </w:rPr>
        <w:t>Any substance</w:t>
      </w:r>
      <w:r w:rsidR="00851CF2">
        <w:rPr>
          <w:rFonts w:eastAsia="Times New Roman" w:cs="Times New Roman"/>
          <w:color w:val="4A4A4A"/>
          <w:sz w:val="21"/>
          <w:szCs w:val="21"/>
          <w:lang w:eastAsia="en-GB"/>
        </w:rPr>
        <w:t xml:space="preserve"> </w:t>
      </w:r>
      <w:r w:rsidRPr="00C27990">
        <w:rPr>
          <w:rFonts w:eastAsia="Times New Roman" w:cs="Times New Roman"/>
          <w:color w:val="4A4A4A"/>
          <w:sz w:val="21"/>
          <w:szCs w:val="21"/>
          <w:lang w:eastAsia="en-GB"/>
        </w:rPr>
        <w:t>—</w:t>
      </w:r>
      <w:r w:rsidR="00851CF2">
        <w:rPr>
          <w:rFonts w:eastAsia="Times New Roman" w:cs="Times New Roman"/>
          <w:color w:val="4A4A4A"/>
          <w:sz w:val="21"/>
          <w:szCs w:val="21"/>
          <w:lang w:eastAsia="en-GB"/>
        </w:rPr>
        <w:t xml:space="preserve"> </w:t>
      </w:r>
      <w:r w:rsidRPr="00C27990">
        <w:rPr>
          <w:rFonts w:eastAsia="Times New Roman" w:cs="Times New Roman"/>
          <w:color w:val="4A4A4A"/>
          <w:sz w:val="21"/>
          <w:szCs w:val="21"/>
          <w:lang w:eastAsia="en-GB"/>
        </w:rPr>
        <w:t>whether processed, semi-processed, or raw</w:t>
      </w:r>
      <w:r w:rsidR="00851CF2">
        <w:rPr>
          <w:rFonts w:eastAsia="Times New Roman" w:cs="Times New Roman"/>
          <w:color w:val="4A4A4A"/>
          <w:sz w:val="21"/>
          <w:szCs w:val="21"/>
          <w:lang w:eastAsia="en-GB"/>
        </w:rPr>
        <w:t xml:space="preserve"> </w:t>
      </w:r>
      <w:r w:rsidRPr="00C27990">
        <w:rPr>
          <w:rFonts w:eastAsia="Times New Roman" w:cs="Times New Roman"/>
          <w:color w:val="4A4A4A"/>
          <w:sz w:val="21"/>
          <w:szCs w:val="21"/>
          <w:lang w:eastAsia="en-GB"/>
        </w:rPr>
        <w:t>—</w:t>
      </w:r>
      <w:r w:rsidR="00851CF2">
        <w:rPr>
          <w:rFonts w:eastAsia="Times New Roman" w:cs="Times New Roman"/>
          <w:color w:val="4A4A4A"/>
          <w:sz w:val="21"/>
          <w:szCs w:val="21"/>
          <w:lang w:eastAsia="en-GB"/>
        </w:rPr>
        <w:t xml:space="preserve"> </w:t>
      </w:r>
      <w:r w:rsidRPr="00C27990">
        <w:rPr>
          <w:rFonts w:eastAsia="Times New Roman" w:cs="Times New Roman"/>
          <w:color w:val="4A4A4A"/>
          <w:sz w:val="21"/>
          <w:szCs w:val="21"/>
          <w:lang w:eastAsia="en-GB"/>
        </w:rPr>
        <w:t>that is intended for human consumption. “Food” includes drink and any substance that has been used in the manufacture, preparation, or treatment of food. “Food” also includes material that has spoiled and is therefore no longer fit for human consumption. It does not include cosmetics, tobacco, or substances used only as drugs. It does not include processing agents used along the food supply chain, for example, water to clean or cook raw materials in factories or at home.</w:t>
      </w:r>
    </w:p>
    <w:p w14:paraId="4AB0C565" w14:textId="77777777" w:rsidR="005F7447" w:rsidRPr="00983836" w:rsidRDefault="005F7447" w:rsidP="00983836">
      <w:pPr>
        <w:spacing w:after="0"/>
        <w:jc w:val="both"/>
      </w:pPr>
    </w:p>
    <w:p w14:paraId="7A9197DE" w14:textId="77777777" w:rsidR="005F7447" w:rsidRDefault="005F7447" w:rsidP="00983836">
      <w:pPr>
        <w:spacing w:after="0"/>
        <w:jc w:val="both"/>
        <w:rPr>
          <w:rFonts w:eastAsia="Times New Roman" w:cs="Times New Roman"/>
          <w:i/>
          <w:iCs/>
          <w:color w:val="4A4A4A"/>
          <w:sz w:val="21"/>
          <w:szCs w:val="21"/>
          <w:lang w:eastAsia="en-GB"/>
        </w:rPr>
      </w:pPr>
      <w:r w:rsidRPr="00C27990">
        <w:rPr>
          <w:rFonts w:eastAsia="Times New Roman" w:cs="Times New Roman"/>
          <w:i/>
          <w:iCs/>
          <w:color w:val="4A4A4A"/>
          <w:sz w:val="21"/>
          <w:szCs w:val="21"/>
          <w:lang w:eastAsia="en-GB"/>
        </w:rPr>
        <w:t xml:space="preserve">Inedible (or non-edible) parts: </w:t>
      </w:r>
      <w:r w:rsidRPr="00C27990">
        <w:rPr>
          <w:rFonts w:eastAsia="Times New Roman" w:cs="Times New Roman"/>
          <w:color w:val="4A4A4A"/>
          <w:sz w:val="21"/>
          <w:szCs w:val="21"/>
          <w:lang w:eastAsia="en-GB"/>
        </w:rPr>
        <w:t>Components associated with a food that, in a particular food supply chain, are not intended to be consumed by humans. Examples of inedible parts associated with food could include bones, rinds, and pits/stones. “Inedible parts” do not include packaging. What is considered inedible varies among users (e.g., chicken feet are consumed in some food supply chains but not others), changes over time, and is influenced by a range of variables including culture, socio-economic factors, availability, price, technological advances, international trade, and geography.</w:t>
      </w:r>
      <w:r w:rsidRPr="00C27990">
        <w:rPr>
          <w:rFonts w:eastAsia="Times New Roman" w:cs="Times New Roman"/>
          <w:i/>
          <w:iCs/>
          <w:color w:val="4A4A4A"/>
          <w:sz w:val="21"/>
          <w:szCs w:val="21"/>
          <w:lang w:eastAsia="en-GB"/>
        </w:rPr>
        <w:t xml:space="preserve"> </w:t>
      </w:r>
    </w:p>
    <w:p w14:paraId="3E7C1A3B" w14:textId="77777777" w:rsidR="005F7447" w:rsidRDefault="005F7447" w:rsidP="00983836">
      <w:pPr>
        <w:spacing w:after="0"/>
        <w:jc w:val="both"/>
        <w:rPr>
          <w:rFonts w:eastAsia="Times New Roman" w:cs="Times New Roman"/>
          <w:i/>
          <w:iCs/>
          <w:color w:val="4A4A4A"/>
          <w:sz w:val="21"/>
          <w:szCs w:val="21"/>
          <w:lang w:eastAsia="en-GB"/>
        </w:rPr>
      </w:pPr>
    </w:p>
    <w:p w14:paraId="3A072991" w14:textId="77777777" w:rsidR="005F7447" w:rsidRDefault="005F7447" w:rsidP="00983836">
      <w:pPr>
        <w:spacing w:after="0"/>
        <w:jc w:val="both"/>
        <w:rPr>
          <w:rFonts w:eastAsia="Times New Roman" w:cs="Times New Roman"/>
          <w:color w:val="4A4A4A"/>
          <w:sz w:val="21"/>
          <w:szCs w:val="21"/>
          <w:lang w:eastAsia="en-GB"/>
        </w:rPr>
      </w:pPr>
      <w:r w:rsidRPr="00C27990">
        <w:rPr>
          <w:rFonts w:eastAsia="Times New Roman" w:cs="Times New Roman"/>
          <w:i/>
          <w:iCs/>
          <w:color w:val="4A4A4A"/>
          <w:sz w:val="21"/>
          <w:szCs w:val="21"/>
          <w:lang w:eastAsia="en-GB"/>
        </w:rPr>
        <w:t>Municipal Solid Waste (MSW)</w:t>
      </w:r>
      <w:r w:rsidRPr="00C27990">
        <w:rPr>
          <w:rFonts w:eastAsia="Times New Roman" w:cs="Times New Roman"/>
          <w:color w:val="4A4A4A"/>
          <w:sz w:val="21"/>
          <w:szCs w:val="21"/>
          <w:lang w:eastAsia="en-GB"/>
        </w:rPr>
        <w:t xml:space="preserve"> includes waste originating from households, commerce</w:t>
      </w:r>
      <w:r>
        <w:rPr>
          <w:rFonts w:eastAsia="Times New Roman" w:cs="Times New Roman"/>
          <w:color w:val="4A4A4A"/>
          <w:sz w:val="21"/>
          <w:szCs w:val="21"/>
          <w:lang w:eastAsia="en-GB"/>
        </w:rPr>
        <w:t>,</w:t>
      </w:r>
      <w:r w:rsidRPr="00C27990">
        <w:rPr>
          <w:rFonts w:eastAsia="Times New Roman" w:cs="Times New Roman"/>
          <w:color w:val="4A4A4A"/>
          <w:sz w:val="21"/>
          <w:szCs w:val="21"/>
          <w:lang w:eastAsia="en-GB"/>
        </w:rPr>
        <w:t xml:space="preserve"> and trade, small businesses, office buildings and institutions (schools, hospitals, government buildings). It also includes bulky waste (e.g., old furniture, mattresses) and waste from selected municipal services, e.g., waste from park and garden maintenance, waste from street cleaning services (street sweepings, the content of litter containers, market cleansing waste), if managed as waste. Further information on municipal solid waste is defined in the SDG indicator methodology for 11.6.1.</w:t>
      </w:r>
    </w:p>
    <w:p w14:paraId="153B09C3" w14:textId="3FD27B3D" w:rsidR="00D51E7C" w:rsidRPr="00A96255" w:rsidRDefault="00D51E7C"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399A264" w14:textId="487A6084" w:rsidR="00620198" w:rsidRPr="00207BC4" w:rsidRDefault="00620198" w:rsidP="00620198">
      <w:pPr>
        <w:pStyle w:val="MText"/>
      </w:pPr>
      <w:r>
        <w:t>Percent</w:t>
      </w:r>
      <w:r w:rsidRPr="00207BC4">
        <w:t xml:space="preserve"> </w:t>
      </w:r>
      <w:r w:rsidR="00CF17B5">
        <w:t>(%)</w:t>
      </w:r>
    </w:p>
    <w:p w14:paraId="548E9AAA" w14:textId="47F7CBBE" w:rsidR="00EC2915" w:rsidRDefault="00620198" w:rsidP="00576CFA">
      <w:pPr>
        <w:pStyle w:val="MText"/>
      </w:pPr>
      <w:r>
        <w:t>Tonnes</w:t>
      </w:r>
    </w:p>
    <w:p w14:paraId="4C650ABF" w14:textId="2464C035" w:rsidR="00620198" w:rsidRDefault="00620198" w:rsidP="00576CFA">
      <w:pPr>
        <w:pStyle w:val="MText"/>
      </w:pPr>
      <w:r>
        <w:t>KG</w:t>
      </w:r>
    </w:p>
    <w:p w14:paraId="482E8A0B" w14:textId="77777777" w:rsidR="003049F0" w:rsidRPr="00A96255" w:rsidRDefault="003049F0" w:rsidP="00576CFA">
      <w:pPr>
        <w:pStyle w:val="MText"/>
      </w:pPr>
    </w:p>
    <w:p w14:paraId="651AA7AC" w14:textId="0B50B189" w:rsidR="00DA615C" w:rsidRPr="00A96255" w:rsidRDefault="008B0AC7" w:rsidP="00F719A8">
      <w:pPr>
        <w:pStyle w:val="MHeader2"/>
      </w:pPr>
      <w:r w:rsidRPr="00A96255">
        <w:t xml:space="preserve">2.c. Classifications </w:t>
      </w:r>
      <w:r>
        <w:rPr>
          <w:color w:val="B4B4B4"/>
          <w:sz w:val="20"/>
        </w:rPr>
        <w:t>(CLASS_SYSTEM)</w:t>
      </w:r>
    </w:p>
    <w:p w14:paraId="5B315497" w14:textId="77777777" w:rsidR="00D66965" w:rsidRDefault="00D66965" w:rsidP="00983836">
      <w:pPr>
        <w:pStyle w:val="MText"/>
        <w:numPr>
          <w:ilvl w:val="0"/>
          <w:numId w:val="16"/>
        </w:numPr>
        <w:jc w:val="both"/>
      </w:pPr>
      <w:r>
        <w:t>International Standard Industrial Classification of All Economic Activities (ISIC), Rev.4.</w:t>
      </w:r>
    </w:p>
    <w:p w14:paraId="123172F4" w14:textId="59D17448" w:rsidR="00F719A8" w:rsidRPr="00983836" w:rsidRDefault="00D66965" w:rsidP="00983836">
      <w:pPr>
        <w:pStyle w:val="MText"/>
        <w:numPr>
          <w:ilvl w:val="0"/>
          <w:numId w:val="16"/>
        </w:numPr>
        <w:jc w:val="both"/>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r>
        <w:rPr>
          <w:rStyle w:val="normaltextrun"/>
          <w:rFonts w:ascii="Calibri" w:hAnsi="Calibri" w:cs="Calibri"/>
          <w:shd w:val="clear" w:color="auto" w:fill="FFFFFF"/>
        </w:rPr>
        <w:t>.</w:t>
      </w:r>
    </w:p>
    <w:p w14:paraId="0935ED01" w14:textId="77777777" w:rsidR="00723D60" w:rsidRPr="00983836" w:rsidRDefault="00723D60" w:rsidP="00576CFA">
      <w:pPr>
        <w:pStyle w:val="MText"/>
        <w:rPr>
          <w:lang w:val="en-US"/>
        </w:rPr>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lastRenderedPageBreak/>
        <w:t xml:space="preserve">3.a. Data sources </w:t>
      </w:r>
      <w:r>
        <w:rPr>
          <w:color w:val="B4B4B4"/>
          <w:sz w:val="20"/>
        </w:rPr>
        <w:t>(SOURCE_TYPE)</w:t>
      </w:r>
    </w:p>
    <w:p w14:paraId="5C2CE305" w14:textId="2787A999" w:rsidR="00E41DDD" w:rsidRDefault="00C25E3A">
      <w:pPr>
        <w:shd w:val="clear" w:color="auto" w:fill="FFFFFF"/>
        <w:spacing w:after="0"/>
        <w:jc w:val="both"/>
        <w:rPr>
          <w:color w:val="4A4A4A"/>
          <w:sz w:val="21"/>
        </w:rPr>
      </w:pPr>
      <w:r>
        <w:rPr>
          <w:color w:val="4A4A4A"/>
          <w:sz w:val="21"/>
        </w:rPr>
        <w:t xml:space="preserve">Level </w:t>
      </w:r>
      <w:r w:rsidR="00E41DDD">
        <w:rPr>
          <w:color w:val="4A4A4A"/>
          <w:sz w:val="21"/>
        </w:rPr>
        <w:t xml:space="preserve">1 indicator: </w:t>
      </w:r>
      <w:r w:rsidR="00224C23">
        <w:rPr>
          <w:color w:val="4A4A4A"/>
          <w:sz w:val="21"/>
        </w:rPr>
        <w:t>I</w:t>
      </w:r>
      <w:r w:rsidR="00B72E73">
        <w:rPr>
          <w:color w:val="4A4A4A"/>
          <w:sz w:val="21"/>
        </w:rPr>
        <w:t>ndicators</w:t>
      </w:r>
      <w:r w:rsidR="00E41DDD">
        <w:rPr>
          <w:color w:val="4A4A4A"/>
          <w:sz w:val="21"/>
        </w:rPr>
        <w:t xml:space="preserve"> </w:t>
      </w:r>
      <w:r w:rsidR="00224C23">
        <w:rPr>
          <w:color w:val="4A4A4A"/>
          <w:sz w:val="21"/>
        </w:rPr>
        <w:t xml:space="preserve">estimated by </w:t>
      </w:r>
      <w:r w:rsidR="00981FC5">
        <w:rPr>
          <w:color w:val="4A4A4A"/>
          <w:sz w:val="21"/>
        </w:rPr>
        <w:t xml:space="preserve">international organisations </w:t>
      </w:r>
      <w:r w:rsidR="000252DE">
        <w:rPr>
          <w:color w:val="4A4A4A"/>
          <w:sz w:val="21"/>
        </w:rPr>
        <w:t>using country data from different sources.</w:t>
      </w:r>
    </w:p>
    <w:p w14:paraId="13DCA1D6" w14:textId="7AD3DA03" w:rsidR="00C00FA2" w:rsidRPr="00ED7ED0" w:rsidRDefault="000252DE" w:rsidP="00983836">
      <w:pPr>
        <w:shd w:val="clear" w:color="auto" w:fill="FFFFFF"/>
        <w:spacing w:after="0"/>
        <w:jc w:val="both"/>
        <w:rPr>
          <w:color w:val="4A4A4A"/>
          <w:sz w:val="21"/>
        </w:rPr>
      </w:pPr>
      <w:r>
        <w:rPr>
          <w:color w:val="4A4A4A"/>
          <w:sz w:val="21"/>
        </w:rPr>
        <w:t xml:space="preserve">Level 2 indicator: </w:t>
      </w:r>
      <w:r w:rsidR="00C00FA2" w:rsidRPr="00ED7ED0">
        <w:rPr>
          <w:color w:val="4A4A4A"/>
          <w:sz w:val="21"/>
        </w:rPr>
        <w:t xml:space="preserve">Data provided by national governments, including </w:t>
      </w:r>
      <w:r w:rsidR="003049F0">
        <w:rPr>
          <w:rFonts w:eastAsia="Times New Roman" w:cs="Times New Roman"/>
          <w:color w:val="4A4A4A"/>
          <w:sz w:val="21"/>
          <w:szCs w:val="21"/>
          <w:lang w:eastAsia="en-GB"/>
        </w:rPr>
        <w:t>National Statistic</w:t>
      </w:r>
      <w:r w:rsidR="00EA5972">
        <w:rPr>
          <w:rFonts w:eastAsia="Times New Roman" w:cs="Times New Roman"/>
          <w:color w:val="4A4A4A"/>
          <w:sz w:val="21"/>
          <w:szCs w:val="21"/>
          <w:lang w:eastAsia="en-GB"/>
        </w:rPr>
        <w:t>al</w:t>
      </w:r>
      <w:r w:rsidR="003049F0">
        <w:rPr>
          <w:rFonts w:eastAsia="Times New Roman" w:cs="Times New Roman"/>
          <w:color w:val="4A4A4A"/>
          <w:sz w:val="21"/>
          <w:szCs w:val="21"/>
          <w:lang w:eastAsia="en-GB"/>
        </w:rPr>
        <w:t xml:space="preserve"> Office</w:t>
      </w:r>
      <w:r w:rsidR="00FC2063">
        <w:rPr>
          <w:rFonts w:eastAsia="Times New Roman" w:cs="Times New Roman"/>
          <w:color w:val="4A4A4A"/>
          <w:sz w:val="21"/>
          <w:szCs w:val="21"/>
          <w:lang w:eastAsia="en-GB"/>
        </w:rPr>
        <w:t>s</w:t>
      </w:r>
      <w:r w:rsidR="003049F0">
        <w:rPr>
          <w:rFonts w:eastAsia="Times New Roman" w:cs="Times New Roman"/>
          <w:color w:val="4A4A4A"/>
          <w:sz w:val="21"/>
          <w:szCs w:val="21"/>
          <w:lang w:eastAsia="en-GB"/>
        </w:rPr>
        <w:t xml:space="preserve"> (</w:t>
      </w:r>
      <w:r w:rsidR="00C00FA2" w:rsidRPr="00ED7ED0">
        <w:rPr>
          <w:color w:val="4A4A4A"/>
          <w:sz w:val="21"/>
        </w:rPr>
        <w:t>NSOs</w:t>
      </w:r>
      <w:r w:rsidR="003049F0">
        <w:rPr>
          <w:rFonts w:eastAsia="Times New Roman" w:cs="Times New Roman"/>
          <w:color w:val="4A4A4A"/>
          <w:sz w:val="21"/>
          <w:szCs w:val="21"/>
          <w:lang w:eastAsia="en-GB"/>
        </w:rPr>
        <w:t>)</w:t>
      </w:r>
      <w:r w:rsidR="00FC2063">
        <w:rPr>
          <w:rFonts w:eastAsia="Times New Roman" w:cs="Times New Roman"/>
          <w:color w:val="4A4A4A"/>
          <w:sz w:val="21"/>
          <w:szCs w:val="21"/>
          <w:lang w:eastAsia="en-GB"/>
        </w:rPr>
        <w:t>,</w:t>
      </w:r>
      <w:r w:rsidR="00C00FA2" w:rsidRPr="00ED7ED0">
        <w:rPr>
          <w:color w:val="4A4A4A"/>
          <w:sz w:val="21"/>
        </w:rPr>
        <w:t xml:space="preserve"> Ministries of Environment</w:t>
      </w:r>
      <w:r w:rsidR="00FC2063">
        <w:rPr>
          <w:color w:val="4A4A4A"/>
          <w:sz w:val="21"/>
        </w:rPr>
        <w:t xml:space="preserve"> and other relevant </w:t>
      </w:r>
      <w:r w:rsidR="00202365">
        <w:rPr>
          <w:color w:val="4A4A4A"/>
          <w:sz w:val="21"/>
        </w:rPr>
        <w:t>organizations</w:t>
      </w:r>
      <w:r w:rsidR="003049F0">
        <w:rPr>
          <w:rFonts w:eastAsia="Times New Roman" w:cs="Times New Roman"/>
          <w:color w:val="4A4A4A"/>
          <w:sz w:val="21"/>
          <w:szCs w:val="21"/>
          <w:lang w:eastAsia="en-GB"/>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BD74C5B" w14:textId="5D0FD5E2" w:rsidR="00784B83" w:rsidRDefault="00AF357D" w:rsidP="00983836">
      <w:pPr>
        <w:pStyle w:val="MText"/>
      </w:pPr>
      <w:r>
        <w:t xml:space="preserve">Level 2 indicator: </w:t>
      </w:r>
      <w:r w:rsidR="00784B83">
        <w:t xml:space="preserve">The United </w:t>
      </w:r>
      <w:r w:rsidR="00ED347D">
        <w:t>Nations Environment Programme (</w:t>
      </w:r>
      <w:r w:rsidR="00D96151">
        <w:t>UNEP</w:t>
      </w:r>
      <w:r w:rsidR="00ED347D">
        <w:t>)</w:t>
      </w:r>
      <w:r w:rsidR="00D96151">
        <w:t xml:space="preserve"> plan</w:t>
      </w:r>
      <w:r w:rsidR="00D73E7A">
        <w:t>s</w:t>
      </w:r>
      <w:r w:rsidR="00D96151">
        <w:t xml:space="preserve"> </w:t>
      </w:r>
      <w:r w:rsidR="00650991">
        <w:t>to</w:t>
      </w:r>
      <w:r w:rsidR="00D63419">
        <w:t xml:space="preserve"> pilot </w:t>
      </w:r>
      <w:r w:rsidR="00650991">
        <w:t>n</w:t>
      </w:r>
      <w:r w:rsidR="00650991" w:rsidRPr="00480CDE">
        <w:t>ational data</w:t>
      </w:r>
      <w:r w:rsidR="00650991">
        <w:t xml:space="preserve"> </w:t>
      </w:r>
      <w:r w:rsidR="00D63419">
        <w:t xml:space="preserve">collection in 2023. </w:t>
      </w:r>
    </w:p>
    <w:p w14:paraId="02D98633" w14:textId="77777777" w:rsidR="00784B83" w:rsidRDefault="00784B83" w:rsidP="00983836">
      <w:pPr>
        <w:pStyle w:val="MText"/>
      </w:pPr>
    </w:p>
    <w:p w14:paraId="2D9E2826" w14:textId="09BC06B5" w:rsidR="005965CF" w:rsidRPr="00983836" w:rsidRDefault="000B0072" w:rsidP="00983836">
      <w:pPr>
        <w:pStyle w:val="GHFeaturedlist"/>
        <w:numPr>
          <w:ilvl w:val="0"/>
          <w:numId w:val="0"/>
        </w:numPr>
        <w:spacing w:after="0" w:line="276" w:lineRule="auto"/>
        <w:contextualSpacing w:val="0"/>
        <w:rPr>
          <w:rFonts w:asciiTheme="minorHAnsi" w:hAnsiTheme="minorHAnsi" w:cstheme="minorHAnsi"/>
          <w:color w:val="595959" w:themeColor="text1" w:themeTint="A6"/>
          <w:sz w:val="21"/>
          <w:szCs w:val="21"/>
        </w:rPr>
      </w:pPr>
      <w:r>
        <w:rPr>
          <w:rFonts w:ascii="Calibri" w:hAnsi="Calibri"/>
          <w:color w:val="595959" w:themeColor="text1" w:themeTint="A6"/>
          <w:sz w:val="21"/>
        </w:rPr>
        <w:t>UNEP</w:t>
      </w:r>
      <w:r w:rsidR="00784B83">
        <w:rPr>
          <w:rFonts w:ascii="Calibri" w:hAnsi="Calibri"/>
          <w:color w:val="595959" w:themeColor="text1" w:themeTint="A6"/>
          <w:sz w:val="21"/>
        </w:rPr>
        <w:t xml:space="preserve"> and UNSD</w:t>
      </w:r>
      <w:r>
        <w:rPr>
          <w:rFonts w:ascii="Calibri" w:hAnsi="Calibri"/>
          <w:color w:val="595959" w:themeColor="text1" w:themeTint="A6"/>
          <w:sz w:val="21"/>
        </w:rPr>
        <w:t xml:space="preserve"> </w:t>
      </w:r>
      <w:r w:rsidR="00784B83">
        <w:rPr>
          <w:rFonts w:ascii="Calibri" w:hAnsi="Calibri"/>
          <w:color w:val="595959" w:themeColor="text1" w:themeTint="A6"/>
          <w:sz w:val="21"/>
        </w:rPr>
        <w:t>are</w:t>
      </w:r>
      <w:r>
        <w:rPr>
          <w:rFonts w:ascii="Calibri" w:hAnsi="Calibri"/>
          <w:color w:val="595959" w:themeColor="text1" w:themeTint="A6"/>
          <w:sz w:val="21"/>
        </w:rPr>
        <w:t xml:space="preserve"> exploring the </w:t>
      </w:r>
      <w:r w:rsidR="00EC6CB6" w:rsidRPr="00EC6CB6">
        <w:rPr>
          <w:rFonts w:ascii="Calibri" w:hAnsi="Calibri"/>
          <w:color w:val="595959" w:themeColor="text1" w:themeTint="A6"/>
          <w:sz w:val="21"/>
        </w:rPr>
        <w:t xml:space="preserve">possibility of </w:t>
      </w:r>
      <w:r>
        <w:rPr>
          <w:rFonts w:ascii="Calibri" w:hAnsi="Calibri"/>
          <w:color w:val="595959" w:themeColor="text1" w:themeTint="A6"/>
          <w:sz w:val="21"/>
        </w:rPr>
        <w:t>us</w:t>
      </w:r>
      <w:r w:rsidR="00EC6CB6">
        <w:rPr>
          <w:rFonts w:ascii="Calibri" w:hAnsi="Calibri"/>
          <w:color w:val="595959" w:themeColor="text1" w:themeTint="A6"/>
          <w:sz w:val="21"/>
        </w:rPr>
        <w:t>ing</w:t>
      </w:r>
      <w:r>
        <w:rPr>
          <w:rFonts w:ascii="Calibri" w:hAnsi="Calibri"/>
          <w:color w:val="595959" w:themeColor="text1" w:themeTint="A6"/>
          <w:sz w:val="21"/>
        </w:rPr>
        <w:t xml:space="preserve"> the UNSD/UNEP Questionnaire on Environment Statistics for </w:t>
      </w:r>
      <w:r w:rsidR="00784B83">
        <w:rPr>
          <w:rFonts w:ascii="Calibri" w:hAnsi="Calibri"/>
          <w:color w:val="595959" w:themeColor="text1" w:themeTint="A6"/>
          <w:sz w:val="21"/>
        </w:rPr>
        <w:t xml:space="preserve">future </w:t>
      </w:r>
      <w:r>
        <w:rPr>
          <w:rFonts w:ascii="Calibri" w:hAnsi="Calibri"/>
          <w:color w:val="595959" w:themeColor="text1" w:themeTint="A6"/>
          <w:sz w:val="21"/>
        </w:rPr>
        <w:t xml:space="preserve">data collection.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CC77AA3" w:rsidR="00576CFA" w:rsidRPr="00A96255" w:rsidRDefault="0061041E" w:rsidP="00983836">
      <w:pPr>
        <w:pStyle w:val="MText"/>
        <w:jc w:val="both"/>
      </w:pPr>
      <w:bookmarkStart w:id="5" w:name="_Hlk122599948"/>
      <w:r>
        <w:rPr>
          <w:rFonts w:cstheme="minorHAnsi"/>
        </w:rPr>
        <w:t xml:space="preserve">Level 2 indicator:  </w:t>
      </w:r>
      <w:r w:rsidR="009F54AE">
        <w:t xml:space="preserve">First data collection in 2023. </w:t>
      </w:r>
      <w:r w:rsidR="00B80FDC" w:rsidRPr="00B80FDC">
        <w:t xml:space="preserve">Thereafter, the data collection calendar will be harmonized with </w:t>
      </w:r>
      <w:r w:rsidR="002E1330">
        <w:t>t</w:t>
      </w:r>
      <w:r w:rsidR="00757B96" w:rsidRPr="00A64F71">
        <w:t xml:space="preserve">he UNSD/UNEP Questionnaire </w:t>
      </w:r>
      <w:r w:rsidR="006757CA">
        <w:rPr>
          <w:rFonts w:ascii="Calibri" w:hAnsi="Calibri"/>
          <w:color w:val="595959" w:themeColor="text1" w:themeTint="A6"/>
        </w:rPr>
        <w:t>on Environment Statistics</w:t>
      </w:r>
      <w:r w:rsidR="006757CA">
        <w:t xml:space="preserve"> </w:t>
      </w:r>
      <w:r w:rsidR="00F30520">
        <w:t>(</w:t>
      </w:r>
      <w:r w:rsidR="00757B96" w:rsidRPr="00A64F71">
        <w:t>every 2 years</w:t>
      </w:r>
      <w:r w:rsidR="00F30520">
        <w:t>)</w:t>
      </w:r>
      <w:r w:rsidR="00757B96" w:rsidRPr="00A64F71">
        <w:t>.</w:t>
      </w:r>
      <w:bookmarkEnd w:id="5"/>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261EB39A" w14:textId="4EA19BA3" w:rsidR="005A0EFF" w:rsidRDefault="006B683E" w:rsidP="00983836">
      <w:pPr>
        <w:pStyle w:val="ListParagraph"/>
        <w:keepNext/>
        <w:keepLines/>
        <w:shd w:val="clear" w:color="auto" w:fill="FFFFFF"/>
        <w:spacing w:after="0"/>
        <w:ind w:left="0"/>
        <w:jc w:val="both"/>
        <w:rPr>
          <w:rFonts w:eastAsia="Times New Roman" w:cs="Times New Roman"/>
          <w:color w:val="4A4A4A"/>
          <w:sz w:val="21"/>
          <w:szCs w:val="21"/>
          <w:lang w:eastAsia="en-GB"/>
        </w:rPr>
      </w:pPr>
      <w:r>
        <w:rPr>
          <w:rFonts w:eastAsia="Times New Roman" w:cs="Times New Roman"/>
          <w:color w:val="4A4A4A"/>
          <w:sz w:val="21"/>
          <w:szCs w:val="21"/>
          <w:lang w:eastAsia="en-GB"/>
        </w:rPr>
        <w:t>Level 1 indica</w:t>
      </w:r>
      <w:r w:rsidR="006A6EFC">
        <w:rPr>
          <w:rFonts w:eastAsia="Times New Roman" w:cs="Times New Roman"/>
          <w:color w:val="4A4A4A"/>
          <w:sz w:val="21"/>
          <w:szCs w:val="21"/>
          <w:lang w:eastAsia="en-GB"/>
        </w:rPr>
        <w:t xml:space="preserve">tor: </w:t>
      </w:r>
      <w:r w:rsidR="005A0EFF" w:rsidRPr="008F37C6">
        <w:rPr>
          <w:rFonts w:eastAsia="Times New Roman" w:cs="Times New Roman"/>
          <w:color w:val="4A4A4A"/>
          <w:sz w:val="21"/>
          <w:szCs w:val="21"/>
          <w:lang w:eastAsia="en-GB"/>
        </w:rPr>
        <w:t>First reporting cycle</w:t>
      </w:r>
      <w:r w:rsidR="006A6EFC">
        <w:rPr>
          <w:rFonts w:eastAsia="Times New Roman" w:cs="Times New Roman"/>
          <w:color w:val="4A4A4A"/>
          <w:sz w:val="21"/>
          <w:szCs w:val="21"/>
          <w:lang w:eastAsia="en-GB"/>
        </w:rPr>
        <w:t xml:space="preserve"> in</w:t>
      </w:r>
      <w:r w:rsidR="005A0EFF" w:rsidRPr="008F37C6">
        <w:rPr>
          <w:rFonts w:eastAsia="Times New Roman" w:cs="Times New Roman"/>
          <w:color w:val="4A4A4A"/>
          <w:sz w:val="21"/>
          <w:szCs w:val="21"/>
          <w:lang w:eastAsia="en-GB"/>
        </w:rPr>
        <w:t xml:space="preserve"> 202</w:t>
      </w:r>
      <w:r w:rsidR="00620198">
        <w:rPr>
          <w:rFonts w:eastAsia="Times New Roman" w:cs="Times New Roman"/>
          <w:color w:val="4A4A4A"/>
          <w:sz w:val="21"/>
          <w:szCs w:val="21"/>
          <w:lang w:eastAsia="en-GB"/>
        </w:rPr>
        <w:t>1</w:t>
      </w:r>
      <w:r w:rsidR="006A6EFC">
        <w:rPr>
          <w:rFonts w:eastAsia="Times New Roman" w:cs="Times New Roman"/>
          <w:color w:val="4A4A4A"/>
          <w:sz w:val="21"/>
          <w:szCs w:val="21"/>
          <w:lang w:eastAsia="en-GB"/>
        </w:rPr>
        <w:t xml:space="preserve">. </w:t>
      </w:r>
    </w:p>
    <w:p w14:paraId="25409FAB" w14:textId="651B024A" w:rsidR="006A6EFC" w:rsidRPr="008F37C6" w:rsidRDefault="006A6EFC" w:rsidP="00983836">
      <w:pPr>
        <w:pStyle w:val="ListParagraph"/>
        <w:keepNext/>
        <w:keepLines/>
        <w:shd w:val="clear" w:color="auto" w:fill="FFFFFF"/>
        <w:spacing w:after="0"/>
        <w:ind w:left="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Level 2 indicator: </w:t>
      </w:r>
      <w:r w:rsidRPr="006A6EFC">
        <w:rPr>
          <w:rFonts w:eastAsia="Times New Roman" w:cs="Times New Roman"/>
          <w:color w:val="4A4A4A"/>
          <w:sz w:val="21"/>
          <w:szCs w:val="21"/>
          <w:lang w:eastAsia="en-GB"/>
        </w:rPr>
        <w:t>First data</w:t>
      </w:r>
      <w:r>
        <w:rPr>
          <w:rFonts w:eastAsia="Times New Roman" w:cs="Times New Roman"/>
          <w:color w:val="4A4A4A"/>
          <w:sz w:val="21"/>
          <w:szCs w:val="21"/>
          <w:lang w:eastAsia="en-GB"/>
        </w:rPr>
        <w:t xml:space="preserve"> reporting</w:t>
      </w:r>
      <w:r w:rsidRPr="006A6EFC">
        <w:rPr>
          <w:rFonts w:eastAsia="Times New Roman" w:cs="Times New Roman"/>
          <w:color w:val="4A4A4A"/>
          <w:sz w:val="21"/>
          <w:szCs w:val="21"/>
          <w:lang w:eastAsia="en-GB"/>
        </w:rPr>
        <w:t xml:space="preserve"> in 2023. Thereafter, the data collection calendar will be harmonized with </w:t>
      </w:r>
      <w:r w:rsidR="00205841">
        <w:rPr>
          <w:rFonts w:eastAsia="Times New Roman" w:cs="Times New Roman"/>
          <w:color w:val="4A4A4A"/>
          <w:sz w:val="21"/>
          <w:szCs w:val="21"/>
          <w:lang w:eastAsia="en-GB"/>
        </w:rPr>
        <w:t>t</w:t>
      </w:r>
      <w:r w:rsidRPr="006A6EFC">
        <w:rPr>
          <w:rFonts w:eastAsia="Times New Roman" w:cs="Times New Roman"/>
          <w:color w:val="4A4A4A"/>
          <w:sz w:val="21"/>
          <w:szCs w:val="21"/>
          <w:lang w:eastAsia="en-GB"/>
        </w:rPr>
        <w:t>he UNSD/UNEP Questionnaire on Environment Statistics (is every 2 years).</w:t>
      </w:r>
    </w:p>
    <w:p w14:paraId="02BB43D2" w14:textId="77777777" w:rsidR="00982D93" w:rsidRDefault="00982D93" w:rsidP="00F827EB">
      <w:pPr>
        <w:pStyle w:val="MText"/>
      </w:pPr>
    </w:p>
    <w:p w14:paraId="3A4F3065" w14:textId="2F4EF289" w:rsidR="00E46D96" w:rsidRPr="00A96255" w:rsidRDefault="00E46D96" w:rsidP="00F719A8">
      <w:pPr>
        <w:pStyle w:val="MHeader2"/>
      </w:pPr>
      <w:r w:rsidRPr="00A96255">
        <w:t xml:space="preserve">3.e. Data providers </w:t>
      </w:r>
      <w:r>
        <w:rPr>
          <w:color w:val="B4B4B4"/>
          <w:sz w:val="20"/>
        </w:rPr>
        <w:t>(DATA_SOURCE)</w:t>
      </w:r>
    </w:p>
    <w:p w14:paraId="7AE9BDAF" w14:textId="28DC8B7E" w:rsidR="00762973" w:rsidRDefault="00762973" w:rsidP="0076297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w:t>
      </w:r>
      <w:r w:rsidR="00E37550">
        <w:rPr>
          <w:rFonts w:eastAsia="Times New Roman" w:cs="Times New Roman"/>
          <w:color w:val="4A4A4A"/>
          <w:sz w:val="21"/>
          <w:szCs w:val="21"/>
          <w:lang w:eastAsia="en-GB"/>
        </w:rPr>
        <w:t>Office</w:t>
      </w:r>
      <w:r w:rsidR="00F5272B">
        <w:rPr>
          <w:rFonts w:eastAsia="Times New Roman" w:cs="Times New Roman"/>
          <w:color w:val="4A4A4A"/>
          <w:sz w:val="21"/>
          <w:szCs w:val="21"/>
          <w:lang w:eastAsia="en-GB"/>
        </w:rPr>
        <w:t xml:space="preserve">s, relevant ministries and </w:t>
      </w:r>
      <w:r w:rsidR="000F0ED8">
        <w:rPr>
          <w:rFonts w:eastAsia="Times New Roman" w:cs="Times New Roman"/>
          <w:color w:val="4A4A4A"/>
          <w:sz w:val="21"/>
          <w:szCs w:val="21"/>
          <w:lang w:eastAsia="en-GB"/>
        </w:rPr>
        <w:t>other oranizations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7C8B259" w:rsidR="00EC2915" w:rsidRDefault="00C0316E" w:rsidP="00576CFA">
      <w:pPr>
        <w:pStyle w:val="MText"/>
        <w:rPr>
          <w:lang w:val="en-US"/>
        </w:rPr>
      </w:pPr>
      <w:r>
        <w:rPr>
          <w:lang w:val="en-US"/>
        </w:rPr>
        <w:t>United Nations Statistics Division (</w:t>
      </w:r>
      <w:r w:rsidR="00324E8C" w:rsidRPr="00526F55">
        <w:rPr>
          <w:lang w:val="en-US"/>
        </w:rPr>
        <w:t>UNSD</w:t>
      </w:r>
      <w:r>
        <w:rPr>
          <w:lang w:val="en-US"/>
        </w:rPr>
        <w:t>)</w:t>
      </w:r>
      <w:r w:rsidR="00324E8C" w:rsidRPr="00526F55">
        <w:rPr>
          <w:lang w:val="en-US"/>
        </w:rPr>
        <w:t xml:space="preserve"> and </w:t>
      </w:r>
      <w:r w:rsidRPr="00526F55">
        <w:rPr>
          <w:lang w:val="en-US"/>
        </w:rPr>
        <w:t xml:space="preserve">United Nations Environment Programme </w:t>
      </w:r>
      <w:r>
        <w:rPr>
          <w:lang w:val="en-US"/>
        </w:rPr>
        <w:t>(</w:t>
      </w:r>
      <w:r w:rsidR="00324E8C" w:rsidRPr="00526F55">
        <w:rPr>
          <w:lang w:val="en-US"/>
        </w:rPr>
        <w:t>UNEP</w:t>
      </w:r>
      <w:r>
        <w:rPr>
          <w:lang w:val="en-US"/>
        </w:rPr>
        <w:t>)</w:t>
      </w:r>
    </w:p>
    <w:p w14:paraId="74B3224F" w14:textId="77777777" w:rsidR="00324E8C" w:rsidRPr="00A96255" w:rsidRDefault="00324E8C"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602F04A" w14:textId="68151463" w:rsidR="00A86359" w:rsidRDefault="005F10BF" w:rsidP="00983836">
      <w:pPr>
        <w:pStyle w:val="MText"/>
        <w:jc w:val="both"/>
      </w:pPr>
      <w:r>
        <w:t xml:space="preserve">The </w:t>
      </w:r>
      <w:r w:rsidRPr="00F242F7">
        <w:t>United Nations Environment Programme</w:t>
      </w:r>
      <w:r w:rsidRPr="00136C3E">
        <w:t xml:space="preserve"> </w:t>
      </w:r>
      <w:r>
        <w:t>(</w:t>
      </w:r>
      <w:r w:rsidRPr="00136C3E">
        <w:t>UNEP</w:t>
      </w:r>
      <w:r w:rsidR="00CA05B7">
        <w:t xml:space="preserve">) </w:t>
      </w:r>
      <w:r>
        <w:t>was</w:t>
      </w:r>
      <w:r w:rsidRPr="00136C3E">
        <w:t xml:space="preserve"> mandated as Custodian Agenc</w:t>
      </w:r>
      <w:r>
        <w:t>ies</w:t>
      </w:r>
      <w:r w:rsidRPr="00136C3E">
        <w:t xml:space="preserve"> for indicator </w:t>
      </w:r>
      <w:r>
        <w:t>1</w:t>
      </w:r>
      <w:r w:rsidR="00CA05B7">
        <w:t>2</w:t>
      </w:r>
      <w:r>
        <w:t>.</w:t>
      </w:r>
      <w:r w:rsidR="00CA05B7">
        <w:t>3</w:t>
      </w:r>
      <w:r>
        <w:t>.1</w:t>
      </w:r>
      <w:r w:rsidR="00CA05B7">
        <w:t>(b)</w:t>
      </w:r>
      <w:r>
        <w:t xml:space="preserve"> </w:t>
      </w:r>
      <w:r w:rsidRPr="00136C3E">
        <w:t xml:space="preserve">by the Inter-agency and Expert Group on SDG Indicators. </w:t>
      </w:r>
      <w:r w:rsidR="00086DD3">
        <w:t>In addition</w:t>
      </w:r>
      <w:r w:rsidR="00E16BEA">
        <w:t>, t</w:t>
      </w:r>
      <w:r w:rsidR="00FF3067">
        <w:t>he</w:t>
      </w:r>
      <w:r w:rsidR="00A86359">
        <w:t xml:space="preserve"> United Nations Environment Assembly</w:t>
      </w:r>
      <w:r w:rsidR="007365CF">
        <w:t xml:space="preserve"> </w:t>
      </w:r>
      <w:r w:rsidR="00A86359">
        <w:t xml:space="preserve">urged Member States to establish mechanisms for measuring food loss and waste, and requested support in providing technical assistance that would allow countries to make measure and make progress. </w:t>
      </w:r>
    </w:p>
    <w:p w14:paraId="4B56754F" w14:textId="77777777" w:rsidR="00A86359" w:rsidRPr="00A96255" w:rsidRDefault="00A86359"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C9C342E" w14:textId="7C38ED48" w:rsidR="00E570E6" w:rsidRDefault="00E570E6" w:rsidP="00983836">
      <w:pPr>
        <w:pStyle w:val="MText"/>
        <w:jc w:val="both"/>
      </w:pPr>
      <w:r w:rsidRPr="00E47B01">
        <w:t xml:space="preserve">The 2030 Agenda </w:t>
      </w:r>
      <w:r w:rsidR="00877953">
        <w:t xml:space="preserve">for </w:t>
      </w:r>
      <w:r w:rsidR="00877953" w:rsidRPr="00E47B01">
        <w:t xml:space="preserve">Sustainable Development </w:t>
      </w:r>
      <w:r w:rsidRPr="00E47B01">
        <w:t xml:space="preserve">has emphasized the importance of sustainable production and consumption systems as efficient food systems, on the supply side and the consumption side, </w:t>
      </w:r>
      <w:r w:rsidRPr="00E47B01">
        <w:lastRenderedPageBreak/>
        <w:t xml:space="preserve">contribute to food security and sustainability of natural resource since agriculture is a major user of land and water. </w:t>
      </w:r>
    </w:p>
    <w:p w14:paraId="39E932F4" w14:textId="1041642E" w:rsidR="00110A0F" w:rsidRDefault="00110A0F" w:rsidP="00983836">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According to an FAO publication in 2011, approximately one-third of all food is lost or wasted. This results in economic loss and increased pressure on food systems. Reducing food waste is critical to maximizing the value of agricultural land and ensuring that natural resources are used in a sustainable way. This indicator will not only help countries identify where food is lost and wasted but </w:t>
      </w:r>
      <w:r w:rsidR="00E741DC">
        <w:rPr>
          <w:rFonts w:eastAsia="Times New Roman" w:cs="Times New Roman"/>
          <w:bCs/>
          <w:color w:val="4A4A4A"/>
          <w:sz w:val="21"/>
          <w:szCs w:val="21"/>
          <w:lang w:eastAsia="en-GB"/>
        </w:rPr>
        <w:t xml:space="preserve">it </w:t>
      </w:r>
      <w:r>
        <w:rPr>
          <w:rFonts w:eastAsia="Times New Roman" w:cs="Times New Roman"/>
          <w:bCs/>
          <w:color w:val="4A4A4A"/>
          <w:sz w:val="21"/>
          <w:szCs w:val="21"/>
          <w:lang w:eastAsia="en-GB"/>
        </w:rPr>
        <w:t xml:space="preserve">can </w:t>
      </w:r>
      <w:r w:rsidR="00E741DC">
        <w:rPr>
          <w:rFonts w:eastAsia="Times New Roman" w:cs="Times New Roman"/>
          <w:bCs/>
          <w:color w:val="4A4A4A"/>
          <w:sz w:val="21"/>
          <w:szCs w:val="21"/>
          <w:lang w:eastAsia="en-GB"/>
        </w:rPr>
        <w:t xml:space="preserve">also </w:t>
      </w:r>
      <w:r>
        <w:rPr>
          <w:rFonts w:eastAsia="Times New Roman" w:cs="Times New Roman"/>
          <w:bCs/>
          <w:color w:val="4A4A4A"/>
          <w:sz w:val="21"/>
          <w:szCs w:val="21"/>
          <w:lang w:eastAsia="en-GB"/>
        </w:rPr>
        <w:t>provide information which Governments, citizens</w:t>
      </w:r>
      <w:r w:rsidR="00397C48">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and the private sector can </w:t>
      </w:r>
      <w:r w:rsidR="00E741DC">
        <w:rPr>
          <w:rFonts w:eastAsia="Times New Roman" w:cs="Times New Roman"/>
          <w:bCs/>
          <w:color w:val="4A4A4A"/>
          <w:sz w:val="21"/>
          <w:szCs w:val="21"/>
          <w:lang w:eastAsia="en-GB"/>
        </w:rPr>
        <w:t xml:space="preserve">use </w:t>
      </w:r>
      <w:r>
        <w:rPr>
          <w:rFonts w:eastAsia="Times New Roman" w:cs="Times New Roman"/>
          <w:bCs/>
          <w:color w:val="4A4A4A"/>
          <w:sz w:val="21"/>
          <w:szCs w:val="21"/>
          <w:lang w:eastAsia="en-GB"/>
        </w:rPr>
        <w:t>to reduce food waste.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109BFD5" w14:textId="37AD0224" w:rsidR="00292A1D" w:rsidRDefault="00292A1D" w:rsidP="00983836">
      <w:pPr>
        <w:shd w:val="clear" w:color="auto" w:fill="FFFFFF"/>
        <w:spacing w:after="0"/>
        <w:jc w:val="both"/>
        <w:rPr>
          <w:rFonts w:eastAsia="Times New Roman" w:cs="Times New Roman"/>
          <w:color w:val="4A4A4A"/>
          <w:sz w:val="21"/>
          <w:szCs w:val="21"/>
          <w:lang w:eastAsia="en-GB"/>
        </w:rPr>
      </w:pPr>
      <w:r w:rsidRPr="00C27990">
        <w:rPr>
          <w:rFonts w:eastAsia="Times New Roman" w:cs="Times New Roman"/>
          <w:color w:val="4A4A4A"/>
          <w:sz w:val="21"/>
          <w:szCs w:val="21"/>
          <w:lang w:eastAsia="en-GB"/>
        </w:rPr>
        <w:t xml:space="preserve">The challenge resulting from the flexible approach to presenting a methodology is one of consistency and comparability. Can one compare between levels or across methods? Not directly and not without caveats. It is possible to compare at regional levels where </w:t>
      </w:r>
      <w:r>
        <w:rPr>
          <w:rFonts w:eastAsia="Times New Roman" w:cs="Times New Roman"/>
          <w:color w:val="4A4A4A"/>
          <w:sz w:val="21"/>
          <w:szCs w:val="21"/>
          <w:lang w:eastAsia="en-GB"/>
        </w:rPr>
        <w:t xml:space="preserve">the </w:t>
      </w:r>
      <w:r w:rsidRPr="00C27990">
        <w:rPr>
          <w:rFonts w:eastAsia="Times New Roman" w:cs="Times New Roman"/>
          <w:color w:val="4A4A4A"/>
          <w:sz w:val="21"/>
          <w:szCs w:val="21"/>
          <w:lang w:eastAsia="en-GB"/>
        </w:rPr>
        <w:t>random error is relatively high (e.g. around 25%) for each country but it would not be appropriate to compare countries against each other unless there was a much greater difference in their estimates than the combined amount of error. The approach to consistency is one of transparency against a framework.</w:t>
      </w:r>
    </w:p>
    <w:p w14:paraId="2E1121B3" w14:textId="77777777" w:rsidR="00292A1D" w:rsidRPr="00983836" w:rsidRDefault="00292A1D" w:rsidP="00983836">
      <w:pPr>
        <w:pStyle w:val="NoSpacing"/>
        <w:jc w:val="both"/>
      </w:pPr>
    </w:p>
    <w:p w14:paraId="6246A944" w14:textId="77777777" w:rsidR="00292A1D" w:rsidRPr="00D41B24" w:rsidRDefault="00292A1D" w:rsidP="00983836">
      <w:pPr>
        <w:shd w:val="clear" w:color="auto" w:fill="FFFFFF"/>
        <w:spacing w:after="0"/>
        <w:jc w:val="both"/>
        <w:rPr>
          <w:rFonts w:eastAsia="Times New Roman" w:cs="Times New Roman"/>
          <w:color w:val="4A4A4A"/>
          <w:sz w:val="21"/>
          <w:szCs w:val="21"/>
          <w:lang w:eastAsia="en-GB"/>
        </w:rPr>
      </w:pPr>
      <w:r w:rsidRPr="00D41B24">
        <w:rPr>
          <w:rFonts w:eastAsia="Times New Roman" w:cs="Times New Roman"/>
          <w:color w:val="4A4A4A"/>
          <w:sz w:val="21"/>
          <w:szCs w:val="21"/>
          <w:lang w:eastAsia="en-GB"/>
        </w:rPr>
        <w:t>Different methods of quantification can also be used for other relevant and related purposes (for example, “where are the greatest opportunities within the waste that is produced to reduce it?”). Taking in-home consumption as an example, it is difficult to obtain reasons for discarding food (and therefore the opportunities for influencing citizen behaviour) without the use of diaries or ethnography. However, direct weighing of waste volumes could give a significantly more accurate quantity.</w:t>
      </w:r>
    </w:p>
    <w:p w14:paraId="0915BAAA" w14:textId="77777777" w:rsidR="00292A1D" w:rsidRPr="00F827EB" w:rsidRDefault="00292A1D" w:rsidP="00F827EB">
      <w:pPr>
        <w:shd w:val="clear" w:color="auto" w:fill="FFFFFF"/>
        <w:spacing w:after="0"/>
        <w:rPr>
          <w:color w:val="4A4A4A"/>
          <w:sz w:val="21"/>
          <w:szCs w:val="21"/>
        </w:rPr>
      </w:pPr>
    </w:p>
    <w:p w14:paraId="79EEEE38" w14:textId="5CAA373B" w:rsidR="00E1050F" w:rsidRPr="00A96255" w:rsidRDefault="00E1050F" w:rsidP="00F719A8">
      <w:pPr>
        <w:pStyle w:val="MHeader2"/>
      </w:pPr>
      <w:r w:rsidRPr="00A96255">
        <w:t xml:space="preserve">4.c. Method of computation </w:t>
      </w:r>
      <w:r>
        <w:rPr>
          <w:color w:val="B4B4B4"/>
          <w:sz w:val="20"/>
        </w:rPr>
        <w:t>(DATA_COMP)</w:t>
      </w:r>
    </w:p>
    <w:p w14:paraId="30EFA0A1" w14:textId="77777777" w:rsidR="006D20CF" w:rsidRPr="00983836" w:rsidRDefault="006D20CF" w:rsidP="00983836">
      <w:pPr>
        <w:shd w:val="clear" w:color="auto" w:fill="FFFFFF"/>
        <w:spacing w:after="0"/>
        <w:jc w:val="both"/>
        <w:rPr>
          <w:color w:val="595959" w:themeColor="text1" w:themeTint="A6"/>
          <w:sz w:val="21"/>
        </w:rPr>
      </w:pPr>
      <w:r w:rsidRPr="00983836">
        <w:rPr>
          <w:color w:val="595959" w:themeColor="text1" w:themeTint="A6"/>
          <w:sz w:val="21"/>
        </w:rPr>
        <w:t>For the purpose of this indicator, the methodology aims to estimate the amount of food in total waste stream.</w:t>
      </w:r>
    </w:p>
    <w:p w14:paraId="73F20B90" w14:textId="77777777" w:rsidR="006D20CF" w:rsidRPr="00983836" w:rsidRDefault="006D20CF" w:rsidP="00983836">
      <w:pPr>
        <w:shd w:val="clear" w:color="auto" w:fill="FFFFFF"/>
        <w:spacing w:after="0"/>
        <w:jc w:val="both"/>
        <w:rPr>
          <w:color w:val="595959" w:themeColor="text1" w:themeTint="A6"/>
          <w:sz w:val="21"/>
        </w:rPr>
      </w:pPr>
    </w:p>
    <w:p w14:paraId="492727F4" w14:textId="0012F812" w:rsidR="00FF7495" w:rsidRDefault="006D20CF" w:rsidP="002363EE">
      <w:pPr>
        <w:shd w:val="clear" w:color="auto" w:fill="FFFFFF"/>
        <w:spacing w:after="0"/>
        <w:jc w:val="both"/>
        <w:rPr>
          <w:color w:val="595959" w:themeColor="text1" w:themeTint="A6"/>
          <w:sz w:val="21"/>
        </w:rPr>
      </w:pPr>
      <w:r w:rsidRPr="00983836">
        <w:rPr>
          <w:b/>
          <w:bCs/>
          <w:color w:val="595959" w:themeColor="text1" w:themeTint="A6"/>
          <w:sz w:val="21"/>
        </w:rPr>
        <w:t>For level 1</w:t>
      </w:r>
      <w:r w:rsidRPr="00983836">
        <w:rPr>
          <w:color w:val="595959" w:themeColor="text1" w:themeTint="A6"/>
          <w:sz w:val="21"/>
        </w:rPr>
        <w:t xml:space="preserve">, the global </w:t>
      </w:r>
      <w:r w:rsidR="00092E8C" w:rsidRPr="00983836">
        <w:rPr>
          <w:color w:val="595959" w:themeColor="text1" w:themeTint="A6"/>
          <w:sz w:val="21"/>
        </w:rPr>
        <w:t>modelling</w:t>
      </w:r>
      <w:r w:rsidRPr="00983836">
        <w:rPr>
          <w:color w:val="595959" w:themeColor="text1" w:themeTint="A6"/>
          <w:sz w:val="21"/>
        </w:rPr>
        <w:t xml:space="preserve"> approach estimate</w:t>
      </w:r>
      <w:r w:rsidR="008D302D">
        <w:rPr>
          <w:color w:val="595959" w:themeColor="text1" w:themeTint="A6"/>
          <w:sz w:val="21"/>
        </w:rPr>
        <w:t>s</w:t>
      </w:r>
      <w:r w:rsidRPr="00983836">
        <w:rPr>
          <w:color w:val="595959" w:themeColor="text1" w:themeTint="A6"/>
          <w:sz w:val="21"/>
        </w:rPr>
        <w:t xml:space="preserve"> a proportion of food in the total waste stream data (e.g</w:t>
      </w:r>
      <w:r w:rsidRPr="00983836">
        <w:rPr>
          <w:color w:val="595959" w:themeColor="text1" w:themeTint="A6"/>
          <w:sz w:val="21"/>
          <w:szCs w:val="21"/>
        </w:rPr>
        <w:t>.</w:t>
      </w:r>
      <w:r w:rsidR="00BA0A05" w:rsidRPr="00983836">
        <w:rPr>
          <w:color w:val="595959" w:themeColor="text1" w:themeTint="A6"/>
          <w:sz w:val="21"/>
          <w:szCs w:val="21"/>
        </w:rPr>
        <w:t>,</w:t>
      </w:r>
      <w:r w:rsidRPr="00983836">
        <w:rPr>
          <w:color w:val="595959" w:themeColor="text1" w:themeTint="A6"/>
          <w:sz w:val="21"/>
        </w:rPr>
        <w:t xml:space="preserve"> municipal solid waste </w:t>
      </w:r>
      <w:r w:rsidR="00900ABF">
        <w:rPr>
          <w:color w:val="595959" w:themeColor="text1" w:themeTint="A6"/>
          <w:sz w:val="21"/>
          <w:szCs w:val="21"/>
        </w:rPr>
        <w:t>(</w:t>
      </w:r>
      <w:r w:rsidRPr="00983836">
        <w:rPr>
          <w:color w:val="595959" w:themeColor="text1" w:themeTint="A6"/>
          <w:sz w:val="21"/>
        </w:rPr>
        <w:t>MSW</w:t>
      </w:r>
      <w:r w:rsidR="00900ABF">
        <w:rPr>
          <w:color w:val="595959" w:themeColor="text1" w:themeTint="A6"/>
          <w:sz w:val="21"/>
          <w:szCs w:val="21"/>
        </w:rPr>
        <w:t>)</w:t>
      </w:r>
      <w:r w:rsidRPr="00983836">
        <w:rPr>
          <w:color w:val="595959" w:themeColor="text1" w:themeTint="A6"/>
          <w:sz w:val="21"/>
          <w:szCs w:val="21"/>
        </w:rPr>
        <w:t>)</w:t>
      </w:r>
      <w:r w:rsidRPr="00983836">
        <w:rPr>
          <w:color w:val="595959" w:themeColor="text1" w:themeTint="A6"/>
          <w:sz w:val="21"/>
        </w:rPr>
        <w:t xml:space="preserve"> and appl</w:t>
      </w:r>
      <w:r w:rsidR="00756501">
        <w:rPr>
          <w:color w:val="595959" w:themeColor="text1" w:themeTint="A6"/>
          <w:sz w:val="21"/>
        </w:rPr>
        <w:t>ies</w:t>
      </w:r>
      <w:r w:rsidRPr="00983836">
        <w:rPr>
          <w:color w:val="595959" w:themeColor="text1" w:themeTint="A6"/>
          <w:sz w:val="21"/>
        </w:rPr>
        <w:t xml:space="preserve"> the proportion to the total. The work on this model utilize</w:t>
      </w:r>
      <w:r w:rsidR="00480B5B">
        <w:rPr>
          <w:color w:val="595959" w:themeColor="text1" w:themeTint="A6"/>
          <w:sz w:val="21"/>
        </w:rPr>
        <w:t>s</w:t>
      </w:r>
      <w:r w:rsidRPr="00983836">
        <w:rPr>
          <w:color w:val="595959" w:themeColor="text1" w:themeTint="A6"/>
          <w:sz w:val="21"/>
        </w:rPr>
        <w:t xml:space="preserve"> the existing efforts to compile information for SDG 11.6.1 on </w:t>
      </w:r>
      <w:r w:rsidR="000015FD">
        <w:rPr>
          <w:color w:val="595959" w:themeColor="text1" w:themeTint="A6"/>
          <w:sz w:val="21"/>
          <w:szCs w:val="21"/>
        </w:rPr>
        <w:t>MSW</w:t>
      </w:r>
      <w:r w:rsidRPr="00983836">
        <w:rPr>
          <w:color w:val="595959" w:themeColor="text1" w:themeTint="A6"/>
          <w:sz w:val="21"/>
        </w:rPr>
        <w:t xml:space="preserve"> management and utilize</w:t>
      </w:r>
      <w:r w:rsidR="00480B5B">
        <w:rPr>
          <w:color w:val="595959" w:themeColor="text1" w:themeTint="A6"/>
          <w:sz w:val="21"/>
        </w:rPr>
        <w:t>s</w:t>
      </w:r>
      <w:r w:rsidRPr="00983836">
        <w:rPr>
          <w:color w:val="595959" w:themeColor="text1" w:themeTint="A6"/>
          <w:sz w:val="21"/>
        </w:rPr>
        <w:t xml:space="preserve"> existing information on global waste, including World Bank publication “What a Waste 2.0, A Global Snapshot of Solid Waste Management to 2050”. Some countries publish data on the ratio of food waste to the total MSW. The existing data </w:t>
      </w:r>
      <w:r w:rsidR="00BE7723">
        <w:rPr>
          <w:color w:val="595959" w:themeColor="text1" w:themeTint="A6"/>
          <w:sz w:val="21"/>
        </w:rPr>
        <w:t>are</w:t>
      </w:r>
      <w:r w:rsidRPr="00983836">
        <w:rPr>
          <w:color w:val="595959" w:themeColor="text1" w:themeTint="A6"/>
          <w:sz w:val="21"/>
        </w:rPr>
        <w:t xml:space="preserve"> used to create a regional coefficient for each SDG sub-region. These regional coefficients then applie</w:t>
      </w:r>
      <w:r w:rsidR="00FF7495">
        <w:rPr>
          <w:color w:val="595959" w:themeColor="text1" w:themeTint="A6"/>
          <w:sz w:val="21"/>
        </w:rPr>
        <w:t>s</w:t>
      </w:r>
      <w:r w:rsidRPr="00983836">
        <w:rPr>
          <w:color w:val="595959" w:themeColor="text1" w:themeTint="A6"/>
          <w:sz w:val="21"/>
        </w:rPr>
        <w:t xml:space="preserve"> to the data for 11.6.1 and </w:t>
      </w:r>
      <w:r w:rsidR="00DE4D8A">
        <w:rPr>
          <w:color w:val="595959" w:themeColor="text1" w:themeTint="A6"/>
          <w:sz w:val="21"/>
          <w:szCs w:val="21"/>
        </w:rPr>
        <w:t>“</w:t>
      </w:r>
      <w:r w:rsidRPr="00983836">
        <w:rPr>
          <w:color w:val="595959" w:themeColor="text1" w:themeTint="A6"/>
          <w:sz w:val="21"/>
        </w:rPr>
        <w:t>What a Waste</w:t>
      </w:r>
      <w:r w:rsidR="00DE4D8A">
        <w:rPr>
          <w:color w:val="595959" w:themeColor="text1" w:themeTint="A6"/>
          <w:sz w:val="21"/>
          <w:szCs w:val="21"/>
        </w:rPr>
        <w:t>”</w:t>
      </w:r>
      <w:r w:rsidRPr="00983836">
        <w:rPr>
          <w:color w:val="595959" w:themeColor="text1" w:themeTint="A6"/>
          <w:sz w:val="21"/>
        </w:rPr>
        <w:t xml:space="preserve"> data to fill data gaps. </w:t>
      </w:r>
    </w:p>
    <w:p w14:paraId="4B8963C6" w14:textId="77777777" w:rsidR="00FF7495" w:rsidRDefault="00FF7495" w:rsidP="002363EE">
      <w:pPr>
        <w:shd w:val="clear" w:color="auto" w:fill="FFFFFF"/>
        <w:spacing w:after="0"/>
        <w:jc w:val="both"/>
        <w:rPr>
          <w:color w:val="595959" w:themeColor="text1" w:themeTint="A6"/>
          <w:sz w:val="21"/>
        </w:rPr>
      </w:pPr>
    </w:p>
    <w:p w14:paraId="27B293AB" w14:textId="73A0A3BF" w:rsidR="006D20CF" w:rsidRPr="00983836" w:rsidRDefault="006D20CF" w:rsidP="00983836">
      <w:pPr>
        <w:shd w:val="clear" w:color="auto" w:fill="FFFFFF"/>
        <w:spacing w:after="0"/>
        <w:jc w:val="both"/>
        <w:rPr>
          <w:color w:val="595959" w:themeColor="text1" w:themeTint="A6"/>
          <w:sz w:val="21"/>
        </w:rPr>
      </w:pPr>
      <w:r w:rsidRPr="00983836">
        <w:rPr>
          <w:color w:val="595959" w:themeColor="text1" w:themeTint="A6"/>
          <w:sz w:val="21"/>
          <w:szCs w:val="21"/>
        </w:rPr>
        <w:t>Not</w:t>
      </w:r>
      <w:r w:rsidR="000015FD">
        <w:rPr>
          <w:color w:val="595959" w:themeColor="text1" w:themeTint="A6"/>
          <w:sz w:val="21"/>
          <w:szCs w:val="21"/>
        </w:rPr>
        <w:t>e</w:t>
      </w:r>
      <w:r w:rsidRPr="00983836">
        <w:rPr>
          <w:color w:val="595959" w:themeColor="text1" w:themeTint="A6"/>
          <w:sz w:val="21"/>
        </w:rPr>
        <w:t xml:space="preserve"> that when a country reports data then no global estimation will be done, the country data will be used directly.</w:t>
      </w:r>
    </w:p>
    <w:p w14:paraId="08D7C072" w14:textId="346F009B" w:rsidR="006D20CF" w:rsidRPr="00983836" w:rsidRDefault="006D20CF" w:rsidP="00983836">
      <w:pPr>
        <w:shd w:val="clear" w:color="auto" w:fill="FFFFFF"/>
        <w:spacing w:after="0"/>
        <w:jc w:val="both"/>
        <w:rPr>
          <w:color w:val="595959" w:themeColor="text1" w:themeTint="A6"/>
          <w:sz w:val="21"/>
        </w:rPr>
      </w:pPr>
    </w:p>
    <w:p w14:paraId="57FE872A" w14:textId="74B6D2C4" w:rsidR="006D20CF" w:rsidRDefault="006D20CF" w:rsidP="00983836">
      <w:pPr>
        <w:shd w:val="clear" w:color="auto" w:fill="FFFFFF"/>
        <w:spacing w:after="0"/>
        <w:jc w:val="both"/>
        <w:rPr>
          <w:color w:val="595959" w:themeColor="text1" w:themeTint="A6"/>
        </w:rPr>
      </w:pPr>
      <w:r w:rsidRPr="00983836">
        <w:rPr>
          <w:b/>
          <w:bCs/>
          <w:color w:val="595959" w:themeColor="text1" w:themeTint="A6"/>
          <w:sz w:val="21"/>
        </w:rPr>
        <w:t>For level 2</w:t>
      </w:r>
      <w:r w:rsidRPr="00983836">
        <w:rPr>
          <w:color w:val="595959" w:themeColor="text1" w:themeTint="A6"/>
          <w:sz w:val="21"/>
        </w:rPr>
        <w:t>, countries should identify the scope of which stages of the supply chain can be covered and estimate the total amount of food wasted for each supply chain stream. The amount of food waste within a stage of the food supply chain shall be established by measuring food waste generated by a sample of food business operators or households in accordance with any of the following methods</w:t>
      </w:r>
      <w:r w:rsidR="00CF7E05" w:rsidRPr="00983836">
        <w:rPr>
          <w:color w:val="595959" w:themeColor="text1" w:themeTint="A6"/>
          <w:sz w:val="21"/>
          <w:szCs w:val="21"/>
        </w:rPr>
        <w:t>,</w:t>
      </w:r>
      <w:r w:rsidRPr="00983836">
        <w:rPr>
          <w:color w:val="595959" w:themeColor="text1" w:themeTint="A6"/>
          <w:sz w:val="21"/>
        </w:rPr>
        <w:t xml:space="preserve"> or a combination of those methods</w:t>
      </w:r>
      <w:r w:rsidR="00CF7E05" w:rsidRPr="00983836">
        <w:rPr>
          <w:color w:val="595959" w:themeColor="text1" w:themeTint="A6"/>
          <w:sz w:val="21"/>
          <w:szCs w:val="21"/>
        </w:rPr>
        <w:t>,</w:t>
      </w:r>
      <w:r w:rsidRPr="00983836">
        <w:rPr>
          <w:color w:val="595959" w:themeColor="text1" w:themeTint="A6"/>
          <w:sz w:val="21"/>
        </w:rPr>
        <w:t xml:space="preserve"> or any other method equivalent in terms of relevance, representativeness</w:t>
      </w:r>
      <w:r w:rsidR="008C7014" w:rsidRPr="00983836">
        <w:rPr>
          <w:color w:val="595959" w:themeColor="text1" w:themeTint="A6"/>
          <w:sz w:val="21"/>
          <w:szCs w:val="21"/>
        </w:rPr>
        <w:t>,</w:t>
      </w:r>
      <w:r w:rsidRPr="00983836">
        <w:rPr>
          <w:color w:val="595959" w:themeColor="text1" w:themeTint="A6"/>
          <w:sz w:val="21"/>
        </w:rPr>
        <w:t xml:space="preserve"> and reliability.</w:t>
      </w:r>
    </w:p>
    <w:p w14:paraId="6195AC9B" w14:textId="334F2C21" w:rsidR="006D20CF" w:rsidRPr="00983836" w:rsidRDefault="00316A01" w:rsidP="006D20CF">
      <w:pPr>
        <w:shd w:val="clear" w:color="auto" w:fill="FFFFFF"/>
        <w:spacing w:after="0"/>
        <w:rPr>
          <w:i/>
          <w:iCs/>
          <w:color w:val="595959" w:themeColor="text1" w:themeTint="A6"/>
        </w:rPr>
      </w:pPr>
      <w:r w:rsidRPr="00983836">
        <w:rPr>
          <w:i/>
          <w:iCs/>
          <w:color w:val="595959" w:themeColor="text1" w:themeTint="A6"/>
        </w:rPr>
        <w:t xml:space="preserve">Table 2: </w:t>
      </w:r>
      <w:r w:rsidR="00CF7255" w:rsidRPr="00983836">
        <w:rPr>
          <w:i/>
          <w:iCs/>
          <w:color w:val="595959" w:themeColor="text1" w:themeTint="A6"/>
        </w:rPr>
        <w:t xml:space="preserve">Methods of measurement of food waste </w:t>
      </w:r>
      <w:r w:rsidR="00E0028F">
        <w:rPr>
          <w:i/>
          <w:iCs/>
          <w:color w:val="595959" w:themeColor="text1" w:themeTint="A6"/>
        </w:rPr>
        <w:t>at</w:t>
      </w:r>
      <w:r w:rsidR="00CF7255" w:rsidRPr="00983836">
        <w:rPr>
          <w:i/>
          <w:iCs/>
          <w:color w:val="595959" w:themeColor="text1" w:themeTint="A6"/>
        </w:rPr>
        <w:t xml:space="preserve"> different s</w:t>
      </w:r>
      <w:r w:rsidR="0007514A" w:rsidRPr="00983836">
        <w:rPr>
          <w:i/>
          <w:iCs/>
          <w:color w:val="595959" w:themeColor="text1" w:themeTint="A6"/>
        </w:rPr>
        <w:t>tages of the food supply chain</w:t>
      </w:r>
    </w:p>
    <w:tbl>
      <w:tblPr>
        <w:tblStyle w:val="TableGrid"/>
        <w:tblW w:w="0" w:type="auto"/>
        <w:tblLook w:val="04A0" w:firstRow="1" w:lastRow="0" w:firstColumn="1" w:lastColumn="0" w:noHBand="0" w:noVBand="1"/>
      </w:tblPr>
      <w:tblGrid>
        <w:gridCol w:w="1482"/>
        <w:gridCol w:w="1412"/>
        <w:gridCol w:w="1275"/>
        <w:gridCol w:w="1238"/>
        <w:gridCol w:w="1168"/>
        <w:gridCol w:w="1209"/>
        <w:gridCol w:w="1232"/>
      </w:tblGrid>
      <w:tr w:rsidR="00AF1BAC" w:rsidRPr="00CF3EFF" w14:paraId="10A996CE" w14:textId="77777777" w:rsidTr="00265F98">
        <w:tc>
          <w:tcPr>
            <w:tcW w:w="1456" w:type="dxa"/>
          </w:tcPr>
          <w:p w14:paraId="259AFE12" w14:textId="31DC4043" w:rsidR="00AF1BAC" w:rsidRPr="00CF3EFF" w:rsidRDefault="00AF1BAC" w:rsidP="006D20CF">
            <w:pPr>
              <w:rPr>
                <w:rFonts w:cstheme="minorHAnsi"/>
                <w:color w:val="595959" w:themeColor="text1" w:themeTint="A6"/>
                <w:sz w:val="21"/>
                <w:szCs w:val="21"/>
              </w:rPr>
            </w:pPr>
            <w:r w:rsidRPr="00D421A9">
              <w:rPr>
                <w:rFonts w:cstheme="minorHAnsi"/>
                <w:b/>
                <w:color w:val="4A4A4A"/>
                <w:sz w:val="21"/>
                <w:szCs w:val="21"/>
              </w:rPr>
              <w:t>Stages of the food supply chain</w:t>
            </w:r>
          </w:p>
        </w:tc>
        <w:tc>
          <w:tcPr>
            <w:tcW w:w="7560" w:type="dxa"/>
            <w:gridSpan w:val="6"/>
          </w:tcPr>
          <w:p w14:paraId="6C338CB3" w14:textId="5C121AE5" w:rsidR="00AF1BAC" w:rsidRPr="00CF3EFF" w:rsidRDefault="00AF1BAC" w:rsidP="006D20CF">
            <w:pPr>
              <w:rPr>
                <w:rFonts w:cstheme="minorHAnsi"/>
                <w:color w:val="595959" w:themeColor="text1" w:themeTint="A6"/>
                <w:sz w:val="21"/>
                <w:szCs w:val="21"/>
              </w:rPr>
            </w:pPr>
            <w:r w:rsidRPr="00D421A9">
              <w:rPr>
                <w:rFonts w:cstheme="minorHAnsi"/>
                <w:b/>
                <w:color w:val="4A4A4A"/>
                <w:sz w:val="21"/>
                <w:szCs w:val="21"/>
              </w:rPr>
              <w:t>Methods of measurement</w:t>
            </w:r>
          </w:p>
        </w:tc>
      </w:tr>
      <w:tr w:rsidR="00F64917" w:rsidRPr="00CF3EFF" w14:paraId="69E1CB5C" w14:textId="77777777" w:rsidTr="00D421A9">
        <w:tc>
          <w:tcPr>
            <w:tcW w:w="1456" w:type="dxa"/>
          </w:tcPr>
          <w:p w14:paraId="550B2657" w14:textId="13848641" w:rsidR="00F64917" w:rsidRPr="00CF3EFF" w:rsidRDefault="00F64917"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lastRenderedPageBreak/>
              <w:t xml:space="preserve">Manufacturing / processing (if included) </w:t>
            </w:r>
          </w:p>
        </w:tc>
        <w:tc>
          <w:tcPr>
            <w:tcW w:w="1317" w:type="dxa"/>
            <w:vMerge w:val="restart"/>
          </w:tcPr>
          <w:p w14:paraId="27CAB8B7" w14:textId="09BD6EBF" w:rsidR="00F64917" w:rsidRPr="00CF3EFF" w:rsidRDefault="00F64917"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t xml:space="preserve">Direct measurement (for food-only waste streams) </w:t>
            </w:r>
          </w:p>
        </w:tc>
        <w:tc>
          <w:tcPr>
            <w:tcW w:w="1248" w:type="dxa"/>
            <w:vMerge w:val="restart"/>
          </w:tcPr>
          <w:p w14:paraId="271D078B" w14:textId="58A6A994" w:rsidR="00F64917" w:rsidRPr="00CF3EFF" w:rsidRDefault="00F64917"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t xml:space="preserve">Waste composition analysis (for waste streams in which food is mixed with non-food) </w:t>
            </w:r>
          </w:p>
        </w:tc>
        <w:tc>
          <w:tcPr>
            <w:tcW w:w="1248" w:type="dxa"/>
            <w:vMerge w:val="restart"/>
          </w:tcPr>
          <w:p w14:paraId="1FB728C7" w14:textId="1BB477EA" w:rsidR="00F64917" w:rsidRPr="00CF3EFF" w:rsidRDefault="00F64917"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t xml:space="preserve">Volumetric assessment </w:t>
            </w:r>
          </w:p>
        </w:tc>
        <w:tc>
          <w:tcPr>
            <w:tcW w:w="1249" w:type="dxa"/>
            <w:vMerge w:val="restart"/>
          </w:tcPr>
          <w:p w14:paraId="50A4267F" w14:textId="506221DA" w:rsidR="00F64917" w:rsidRPr="00CF3EFF" w:rsidRDefault="00F64917"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t xml:space="preserve">Mass Balance </w:t>
            </w:r>
          </w:p>
        </w:tc>
        <w:tc>
          <w:tcPr>
            <w:tcW w:w="1249" w:type="dxa"/>
            <w:shd w:val="clear" w:color="auto" w:fill="808080" w:themeFill="background1" w:themeFillShade="80"/>
          </w:tcPr>
          <w:p w14:paraId="4465A590" w14:textId="77777777" w:rsidR="00F64917" w:rsidRPr="00CF3EFF" w:rsidRDefault="00F64917" w:rsidP="006D20CF">
            <w:pPr>
              <w:rPr>
                <w:rFonts w:cstheme="minorHAnsi"/>
                <w:color w:val="595959" w:themeColor="text1" w:themeTint="A6"/>
                <w:sz w:val="21"/>
                <w:szCs w:val="21"/>
              </w:rPr>
            </w:pPr>
          </w:p>
        </w:tc>
        <w:tc>
          <w:tcPr>
            <w:tcW w:w="1249" w:type="dxa"/>
            <w:vMerge w:val="restart"/>
            <w:shd w:val="clear" w:color="auto" w:fill="808080" w:themeFill="background1" w:themeFillShade="80"/>
          </w:tcPr>
          <w:p w14:paraId="0A8D4D79" w14:textId="77777777" w:rsidR="00F64917" w:rsidRPr="00CF3EFF" w:rsidRDefault="00F64917" w:rsidP="006D20CF">
            <w:pPr>
              <w:rPr>
                <w:rFonts w:cstheme="minorHAnsi"/>
                <w:color w:val="595959" w:themeColor="text1" w:themeTint="A6"/>
                <w:sz w:val="21"/>
                <w:szCs w:val="21"/>
              </w:rPr>
            </w:pPr>
          </w:p>
        </w:tc>
      </w:tr>
      <w:tr w:rsidR="00F64917" w:rsidRPr="00D421A9" w14:paraId="59F17298" w14:textId="77777777" w:rsidTr="00D421A9">
        <w:tc>
          <w:tcPr>
            <w:tcW w:w="1456" w:type="dxa"/>
          </w:tcPr>
          <w:p w14:paraId="16436F4D" w14:textId="099499DE" w:rsidR="00F64917" w:rsidRPr="00CF3EFF" w:rsidRDefault="00F64917"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t xml:space="preserve">Retail and other distribution of food </w:t>
            </w:r>
          </w:p>
        </w:tc>
        <w:tc>
          <w:tcPr>
            <w:tcW w:w="1317" w:type="dxa"/>
            <w:vMerge/>
          </w:tcPr>
          <w:p w14:paraId="34119F83" w14:textId="77777777" w:rsidR="00F64917" w:rsidRPr="00983836" w:rsidRDefault="00F64917" w:rsidP="006D20CF">
            <w:pPr>
              <w:rPr>
                <w:rFonts w:cstheme="minorHAnsi"/>
                <w:color w:val="595959" w:themeColor="text1" w:themeTint="A6"/>
                <w:sz w:val="21"/>
                <w:szCs w:val="21"/>
              </w:rPr>
            </w:pPr>
          </w:p>
        </w:tc>
        <w:tc>
          <w:tcPr>
            <w:tcW w:w="1248" w:type="dxa"/>
            <w:vMerge/>
          </w:tcPr>
          <w:p w14:paraId="23212375" w14:textId="77777777" w:rsidR="00F64917" w:rsidRPr="00983836" w:rsidRDefault="00F64917" w:rsidP="006D20CF">
            <w:pPr>
              <w:rPr>
                <w:rFonts w:cstheme="minorHAnsi"/>
                <w:color w:val="595959" w:themeColor="text1" w:themeTint="A6"/>
                <w:sz w:val="21"/>
                <w:szCs w:val="21"/>
              </w:rPr>
            </w:pPr>
          </w:p>
        </w:tc>
        <w:tc>
          <w:tcPr>
            <w:tcW w:w="1248" w:type="dxa"/>
            <w:vMerge/>
          </w:tcPr>
          <w:p w14:paraId="495A0231" w14:textId="77777777" w:rsidR="00F64917" w:rsidRPr="00983836" w:rsidRDefault="00F64917" w:rsidP="006D20CF">
            <w:pPr>
              <w:rPr>
                <w:rFonts w:cstheme="minorHAnsi"/>
                <w:color w:val="595959" w:themeColor="text1" w:themeTint="A6"/>
                <w:sz w:val="21"/>
                <w:szCs w:val="21"/>
              </w:rPr>
            </w:pPr>
          </w:p>
        </w:tc>
        <w:tc>
          <w:tcPr>
            <w:tcW w:w="1249" w:type="dxa"/>
            <w:vMerge/>
          </w:tcPr>
          <w:p w14:paraId="1D12DE9B" w14:textId="77777777" w:rsidR="00F64917" w:rsidRPr="00983836" w:rsidRDefault="00F64917" w:rsidP="006D20CF">
            <w:pPr>
              <w:rPr>
                <w:rFonts w:cstheme="minorHAnsi"/>
                <w:color w:val="595959" w:themeColor="text1" w:themeTint="A6"/>
                <w:sz w:val="21"/>
                <w:szCs w:val="21"/>
              </w:rPr>
            </w:pPr>
          </w:p>
        </w:tc>
        <w:tc>
          <w:tcPr>
            <w:tcW w:w="1249" w:type="dxa"/>
            <w:vMerge w:val="restart"/>
          </w:tcPr>
          <w:p w14:paraId="77F29AC0" w14:textId="4205F53B" w:rsidR="00F64917" w:rsidRPr="00CF3EFF" w:rsidRDefault="00F64917"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t xml:space="preserve">Counting/ scanning </w:t>
            </w:r>
          </w:p>
        </w:tc>
        <w:tc>
          <w:tcPr>
            <w:tcW w:w="1249" w:type="dxa"/>
            <w:vMerge/>
            <w:shd w:val="clear" w:color="auto" w:fill="808080" w:themeFill="background1" w:themeFillShade="80"/>
          </w:tcPr>
          <w:p w14:paraId="3127ABAA" w14:textId="77777777" w:rsidR="00F64917" w:rsidRPr="00983836" w:rsidRDefault="00F64917" w:rsidP="006D20CF">
            <w:pPr>
              <w:rPr>
                <w:rFonts w:cstheme="minorHAnsi"/>
                <w:color w:val="595959" w:themeColor="text1" w:themeTint="A6"/>
                <w:sz w:val="21"/>
                <w:szCs w:val="21"/>
              </w:rPr>
            </w:pPr>
          </w:p>
        </w:tc>
      </w:tr>
      <w:tr w:rsidR="005A274C" w:rsidRPr="00D421A9" w14:paraId="15C5EEA6" w14:textId="77777777" w:rsidTr="00D421A9">
        <w:tc>
          <w:tcPr>
            <w:tcW w:w="1456" w:type="dxa"/>
          </w:tcPr>
          <w:p w14:paraId="1EC62942" w14:textId="54BA7670" w:rsidR="005A274C" w:rsidRPr="00CF3EFF" w:rsidRDefault="005A274C"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t xml:space="preserve">Food service (out-of-home consumption in restaurants, schools, hospitals, other canteens, etc.) </w:t>
            </w:r>
          </w:p>
        </w:tc>
        <w:tc>
          <w:tcPr>
            <w:tcW w:w="1317" w:type="dxa"/>
            <w:vMerge/>
          </w:tcPr>
          <w:p w14:paraId="33297C01" w14:textId="77777777" w:rsidR="005A274C" w:rsidRPr="00983836" w:rsidRDefault="005A274C" w:rsidP="006D20CF">
            <w:pPr>
              <w:rPr>
                <w:rFonts w:cstheme="minorHAnsi"/>
                <w:color w:val="595959" w:themeColor="text1" w:themeTint="A6"/>
                <w:sz w:val="21"/>
                <w:szCs w:val="21"/>
              </w:rPr>
            </w:pPr>
          </w:p>
        </w:tc>
        <w:tc>
          <w:tcPr>
            <w:tcW w:w="1248" w:type="dxa"/>
            <w:vMerge/>
          </w:tcPr>
          <w:p w14:paraId="59870096" w14:textId="77777777" w:rsidR="005A274C" w:rsidRPr="00983836" w:rsidRDefault="005A274C" w:rsidP="006D20CF">
            <w:pPr>
              <w:rPr>
                <w:rFonts w:cstheme="minorHAnsi"/>
                <w:color w:val="595959" w:themeColor="text1" w:themeTint="A6"/>
                <w:sz w:val="21"/>
                <w:szCs w:val="21"/>
              </w:rPr>
            </w:pPr>
          </w:p>
        </w:tc>
        <w:tc>
          <w:tcPr>
            <w:tcW w:w="1248" w:type="dxa"/>
            <w:vMerge/>
          </w:tcPr>
          <w:p w14:paraId="2B2E6C9C" w14:textId="77777777" w:rsidR="005A274C" w:rsidRPr="00983836" w:rsidRDefault="005A274C" w:rsidP="006D20CF">
            <w:pPr>
              <w:rPr>
                <w:rFonts w:cstheme="minorHAnsi"/>
                <w:color w:val="595959" w:themeColor="text1" w:themeTint="A6"/>
                <w:sz w:val="21"/>
                <w:szCs w:val="21"/>
              </w:rPr>
            </w:pPr>
          </w:p>
        </w:tc>
        <w:tc>
          <w:tcPr>
            <w:tcW w:w="1249" w:type="dxa"/>
            <w:vMerge w:val="restart"/>
            <w:shd w:val="clear" w:color="auto" w:fill="808080" w:themeFill="background1" w:themeFillShade="80"/>
          </w:tcPr>
          <w:p w14:paraId="2F0968A7" w14:textId="77777777" w:rsidR="005A274C" w:rsidRPr="00983836" w:rsidRDefault="005A274C" w:rsidP="006D20CF">
            <w:pPr>
              <w:rPr>
                <w:rFonts w:cstheme="minorHAnsi"/>
                <w:color w:val="595959" w:themeColor="text1" w:themeTint="A6"/>
                <w:sz w:val="21"/>
                <w:szCs w:val="21"/>
              </w:rPr>
            </w:pPr>
          </w:p>
        </w:tc>
        <w:tc>
          <w:tcPr>
            <w:tcW w:w="1249" w:type="dxa"/>
            <w:vMerge/>
          </w:tcPr>
          <w:p w14:paraId="17008931" w14:textId="77777777" w:rsidR="005A274C" w:rsidRPr="00983836" w:rsidRDefault="005A274C" w:rsidP="006D20CF">
            <w:pPr>
              <w:rPr>
                <w:rFonts w:cstheme="minorHAnsi"/>
                <w:color w:val="595959" w:themeColor="text1" w:themeTint="A6"/>
                <w:sz w:val="21"/>
                <w:szCs w:val="21"/>
              </w:rPr>
            </w:pPr>
          </w:p>
        </w:tc>
        <w:tc>
          <w:tcPr>
            <w:tcW w:w="1249" w:type="dxa"/>
            <w:vMerge w:val="restart"/>
          </w:tcPr>
          <w:p w14:paraId="0A9BCAF6" w14:textId="5D9656B9" w:rsidR="005A274C" w:rsidRPr="00CF3EFF" w:rsidRDefault="005A274C" w:rsidP="005A274C">
            <w:pPr>
              <w:pStyle w:val="Pa21"/>
              <w:spacing w:after="40"/>
              <w:rPr>
                <w:rFonts w:asciiTheme="minorHAnsi" w:hAnsiTheme="minorHAnsi" w:cstheme="minorHAnsi"/>
                <w:color w:val="000000"/>
                <w:sz w:val="21"/>
                <w:szCs w:val="21"/>
              </w:rPr>
            </w:pPr>
            <w:r w:rsidRPr="00CF3EFF">
              <w:rPr>
                <w:rFonts w:asciiTheme="minorHAnsi" w:hAnsiTheme="minorHAnsi" w:cstheme="minorHAnsi"/>
                <w:color w:val="000000"/>
                <w:sz w:val="21"/>
                <w:szCs w:val="21"/>
              </w:rPr>
              <w:t xml:space="preserve">Diaries (for material going down sewer, home composted or fed to animals </w:t>
            </w:r>
          </w:p>
        </w:tc>
      </w:tr>
      <w:tr w:rsidR="005A274C" w:rsidRPr="00CF3EFF" w14:paraId="6886899B" w14:textId="77777777" w:rsidTr="00D421A9">
        <w:tc>
          <w:tcPr>
            <w:tcW w:w="1456" w:type="dxa"/>
          </w:tcPr>
          <w:p w14:paraId="65612162" w14:textId="1888FDC6" w:rsidR="005A274C" w:rsidRPr="00CF3EFF" w:rsidRDefault="005A274C" w:rsidP="006D20CF">
            <w:pPr>
              <w:rPr>
                <w:rFonts w:cstheme="minorHAnsi"/>
                <w:color w:val="595959" w:themeColor="text1" w:themeTint="A6"/>
                <w:sz w:val="21"/>
                <w:szCs w:val="21"/>
              </w:rPr>
            </w:pPr>
            <w:r w:rsidRPr="00D421A9">
              <w:rPr>
                <w:rFonts w:cstheme="minorHAnsi"/>
                <w:color w:val="4A4A4A"/>
                <w:sz w:val="21"/>
                <w:szCs w:val="21"/>
              </w:rPr>
              <w:t>Households</w:t>
            </w:r>
          </w:p>
        </w:tc>
        <w:tc>
          <w:tcPr>
            <w:tcW w:w="1317" w:type="dxa"/>
            <w:vMerge/>
          </w:tcPr>
          <w:p w14:paraId="5A4A8697" w14:textId="77777777" w:rsidR="005A274C" w:rsidRPr="00CF3EFF" w:rsidRDefault="005A274C" w:rsidP="006D20CF">
            <w:pPr>
              <w:rPr>
                <w:rFonts w:cstheme="minorHAnsi"/>
                <w:color w:val="595959" w:themeColor="text1" w:themeTint="A6"/>
                <w:sz w:val="21"/>
                <w:szCs w:val="21"/>
              </w:rPr>
            </w:pPr>
          </w:p>
        </w:tc>
        <w:tc>
          <w:tcPr>
            <w:tcW w:w="1248" w:type="dxa"/>
            <w:vMerge/>
          </w:tcPr>
          <w:p w14:paraId="781A2E76" w14:textId="77777777" w:rsidR="005A274C" w:rsidRPr="00CF3EFF" w:rsidRDefault="005A274C" w:rsidP="006D20CF">
            <w:pPr>
              <w:rPr>
                <w:rFonts w:cstheme="minorHAnsi"/>
                <w:color w:val="595959" w:themeColor="text1" w:themeTint="A6"/>
                <w:sz w:val="21"/>
                <w:szCs w:val="21"/>
              </w:rPr>
            </w:pPr>
          </w:p>
        </w:tc>
        <w:tc>
          <w:tcPr>
            <w:tcW w:w="1248" w:type="dxa"/>
            <w:vMerge/>
          </w:tcPr>
          <w:p w14:paraId="1F755C61" w14:textId="77777777" w:rsidR="005A274C" w:rsidRPr="00CF3EFF" w:rsidRDefault="005A274C" w:rsidP="006D20CF">
            <w:pPr>
              <w:rPr>
                <w:rFonts w:cstheme="minorHAnsi"/>
                <w:color w:val="595959" w:themeColor="text1" w:themeTint="A6"/>
                <w:sz w:val="21"/>
                <w:szCs w:val="21"/>
              </w:rPr>
            </w:pPr>
          </w:p>
        </w:tc>
        <w:tc>
          <w:tcPr>
            <w:tcW w:w="1249" w:type="dxa"/>
            <w:vMerge/>
            <w:shd w:val="clear" w:color="auto" w:fill="808080" w:themeFill="background1" w:themeFillShade="80"/>
          </w:tcPr>
          <w:p w14:paraId="7465C449" w14:textId="77777777" w:rsidR="005A274C" w:rsidRPr="00CF3EFF" w:rsidRDefault="005A274C" w:rsidP="006D20CF">
            <w:pPr>
              <w:rPr>
                <w:rFonts w:cstheme="minorHAnsi"/>
                <w:color w:val="595959" w:themeColor="text1" w:themeTint="A6"/>
                <w:sz w:val="21"/>
                <w:szCs w:val="21"/>
              </w:rPr>
            </w:pPr>
          </w:p>
        </w:tc>
        <w:tc>
          <w:tcPr>
            <w:tcW w:w="1249" w:type="dxa"/>
            <w:shd w:val="clear" w:color="auto" w:fill="808080" w:themeFill="background1" w:themeFillShade="80"/>
          </w:tcPr>
          <w:p w14:paraId="7F28168F" w14:textId="77777777" w:rsidR="005A274C" w:rsidRPr="00CF3EFF" w:rsidRDefault="005A274C" w:rsidP="006D20CF">
            <w:pPr>
              <w:rPr>
                <w:rFonts w:cstheme="minorHAnsi"/>
                <w:color w:val="595959" w:themeColor="text1" w:themeTint="A6"/>
                <w:sz w:val="21"/>
                <w:szCs w:val="21"/>
              </w:rPr>
            </w:pPr>
          </w:p>
        </w:tc>
        <w:tc>
          <w:tcPr>
            <w:tcW w:w="1249" w:type="dxa"/>
            <w:vMerge/>
          </w:tcPr>
          <w:p w14:paraId="3FF65779" w14:textId="77777777" w:rsidR="005A274C" w:rsidRPr="00CF3EFF" w:rsidRDefault="005A274C" w:rsidP="006D20CF">
            <w:pPr>
              <w:rPr>
                <w:rFonts w:cstheme="minorHAnsi"/>
                <w:color w:val="595959" w:themeColor="text1" w:themeTint="A6"/>
                <w:sz w:val="21"/>
                <w:szCs w:val="21"/>
              </w:rPr>
            </w:pPr>
          </w:p>
        </w:tc>
      </w:tr>
    </w:tbl>
    <w:p w14:paraId="36E70824" w14:textId="77777777" w:rsidR="00DB18EB" w:rsidRDefault="00DB18EB" w:rsidP="006D20CF">
      <w:pPr>
        <w:shd w:val="clear" w:color="auto" w:fill="FFFFFF"/>
        <w:spacing w:after="0"/>
        <w:rPr>
          <w:color w:val="595959" w:themeColor="text1" w:themeTint="A6"/>
        </w:rPr>
      </w:pPr>
    </w:p>
    <w:p w14:paraId="2177047D" w14:textId="77777777" w:rsidR="0097758D" w:rsidRPr="00983836" w:rsidRDefault="0097758D" w:rsidP="00983836">
      <w:pPr>
        <w:spacing w:after="0" w:line="240" w:lineRule="auto"/>
        <w:jc w:val="both"/>
        <w:rPr>
          <w:rFonts w:ascii="Calibri" w:hAnsi="Calibri"/>
          <w:color w:val="4A4A4A"/>
          <w:sz w:val="21"/>
        </w:rPr>
      </w:pPr>
      <w:r w:rsidRPr="00983836">
        <w:rPr>
          <w:rFonts w:ascii="Calibri" w:hAnsi="Calibri"/>
          <w:color w:val="4A4A4A"/>
          <w:sz w:val="21"/>
        </w:rPr>
        <w:t>The food waste index is calculated according to the following approach:</w:t>
      </w:r>
    </w:p>
    <w:p w14:paraId="6DF40281" w14:textId="77777777" w:rsidR="0097758D" w:rsidRPr="00983836" w:rsidRDefault="0097758D" w:rsidP="00983836">
      <w:pPr>
        <w:spacing w:after="0" w:line="240" w:lineRule="auto"/>
        <w:ind w:left="360"/>
        <w:jc w:val="both"/>
        <w:rPr>
          <w:rFonts w:ascii="Calibri" w:hAnsi="Calibri"/>
          <w:color w:val="4A4A4A"/>
          <w:sz w:val="21"/>
        </w:rPr>
      </w:pPr>
    </w:p>
    <w:p w14:paraId="4510F990" w14:textId="12DBE074" w:rsidR="0097758D" w:rsidRPr="00983836" w:rsidRDefault="00000000" w:rsidP="00983836">
      <w:pPr>
        <w:jc w:val="both"/>
        <w:rPr>
          <w:rFonts w:ascii="Calibri" w:hAnsi="Calibri"/>
          <w:color w:val="4A4A4A"/>
          <w:sz w:val="21"/>
        </w:rPr>
      </w:pPr>
      <m:oMathPara>
        <m:oMath>
          <m:sSub>
            <m:sSubPr>
              <m:ctrlPr>
                <w:rPr>
                  <w:rFonts w:ascii="Cambria Math" w:hAnsi="Cambria Math"/>
                  <w:i/>
                  <w:color w:val="4A4A4A"/>
                  <w:sz w:val="21"/>
                </w:rPr>
              </m:ctrlPr>
            </m:sSubPr>
            <m:e>
              <m:r>
                <w:rPr>
                  <w:rFonts w:ascii="Cambria Math" w:hAnsi="Cambria Math"/>
                  <w:color w:val="4A4A4A"/>
                  <w:sz w:val="21"/>
                </w:rPr>
                <m:t>Food waste per capita</m:t>
              </m:r>
            </m:e>
            <m:sub>
              <m:r>
                <w:rPr>
                  <w:rFonts w:ascii="Cambria Math" w:hAnsi="Cambria Math"/>
                  <w:color w:val="4A4A4A"/>
                  <w:sz w:val="21"/>
                </w:rPr>
                <m:t>t</m:t>
              </m:r>
            </m:sub>
          </m:sSub>
          <m:r>
            <w:rPr>
              <w:rFonts w:ascii="Cambria Math" w:hAnsi="Cambria Math"/>
              <w:color w:val="4A4A4A"/>
              <w:sz w:val="21"/>
            </w:rPr>
            <m:t>=</m:t>
          </m:r>
          <m:f>
            <m:fPr>
              <m:ctrlPr>
                <w:rPr>
                  <w:rFonts w:ascii="Cambria Math" w:hAnsi="Cambria Math"/>
                  <w:i/>
                  <w:color w:val="4A4A4A"/>
                  <w:sz w:val="21"/>
                </w:rPr>
              </m:ctrlPr>
            </m:fPr>
            <m:num>
              <m:sSub>
                <m:sSubPr>
                  <m:ctrlPr>
                    <w:rPr>
                      <w:rFonts w:ascii="Cambria Math" w:hAnsi="Cambria Math"/>
                      <w:i/>
                      <w:color w:val="4A4A4A"/>
                      <w:sz w:val="21"/>
                    </w:rPr>
                  </m:ctrlPr>
                </m:sSubPr>
                <m:e>
                  <m:r>
                    <w:rPr>
                      <w:rFonts w:ascii="Cambria Math" w:hAnsi="Cambria Math"/>
                      <w:color w:val="4A4A4A"/>
                      <w:sz w:val="21"/>
                    </w:rPr>
                    <m:t>Total foodwaste</m:t>
                  </m:r>
                </m:e>
                <m:sub>
                  <m:r>
                    <w:rPr>
                      <w:rFonts w:ascii="Cambria Math" w:hAnsi="Cambria Math"/>
                      <w:color w:val="4A4A4A"/>
                      <w:sz w:val="21"/>
                    </w:rPr>
                    <m:t>t</m:t>
                  </m:r>
                </m:sub>
              </m:sSub>
            </m:num>
            <m:den>
              <m:sSub>
                <m:sSubPr>
                  <m:ctrlPr>
                    <w:rPr>
                      <w:rFonts w:ascii="Cambria Math" w:hAnsi="Cambria Math"/>
                      <w:i/>
                      <w:color w:val="4A4A4A"/>
                      <w:sz w:val="21"/>
                    </w:rPr>
                  </m:ctrlPr>
                </m:sSubPr>
                <m:e>
                  <m:r>
                    <w:rPr>
                      <w:rFonts w:ascii="Cambria Math" w:hAnsi="Cambria Math"/>
                      <w:color w:val="4A4A4A"/>
                      <w:sz w:val="21"/>
                    </w:rPr>
                    <m:t>Annual Average Population</m:t>
                  </m:r>
                </m:e>
                <m:sub>
                  <m:r>
                    <w:rPr>
                      <w:rFonts w:ascii="Cambria Math" w:hAnsi="Cambria Math"/>
                      <w:color w:val="4A4A4A"/>
                      <w:sz w:val="21"/>
                    </w:rPr>
                    <m:t>t</m:t>
                  </m:r>
                </m:sub>
              </m:sSub>
            </m:den>
          </m:f>
        </m:oMath>
      </m:oMathPara>
    </w:p>
    <w:p w14:paraId="538CC289" w14:textId="4C1EA1BE" w:rsidR="00585A92" w:rsidRPr="00983836" w:rsidRDefault="0097758D" w:rsidP="00983836">
      <w:pPr>
        <w:spacing w:after="0"/>
        <w:ind w:firstLine="720"/>
        <w:jc w:val="both"/>
        <w:rPr>
          <w:rFonts w:ascii="Calibri" w:hAnsi="Calibri"/>
          <w:color w:val="4A4A4A"/>
          <w:sz w:val="21"/>
        </w:rPr>
      </w:pPr>
      <w:r w:rsidRPr="00983836">
        <w:rPr>
          <w:rFonts w:ascii="Calibri" w:hAnsi="Calibri"/>
          <w:color w:val="4A4A4A"/>
          <w:sz w:val="21"/>
        </w:rPr>
        <w:t>where:</w:t>
      </w:r>
      <w:r w:rsidR="00585A92" w:rsidRPr="00983836">
        <w:rPr>
          <w:rFonts w:ascii="Calibri" w:hAnsi="Calibri"/>
          <w:color w:val="4A4A4A"/>
          <w:sz w:val="21"/>
        </w:rPr>
        <w:t xml:space="preserve"> </w:t>
      </w:r>
    </w:p>
    <w:p w14:paraId="1A17379B" w14:textId="5A0FED4A" w:rsidR="0097758D" w:rsidRPr="00983836" w:rsidRDefault="0097758D" w:rsidP="00983836">
      <w:pPr>
        <w:spacing w:after="0"/>
        <w:ind w:left="720" w:firstLine="450"/>
        <w:jc w:val="both"/>
        <w:rPr>
          <w:rFonts w:ascii="Calibri" w:hAnsi="Calibri"/>
          <w:color w:val="4A4A4A"/>
          <w:sz w:val="21"/>
        </w:rPr>
      </w:pPr>
      <w:r w:rsidRPr="00983836">
        <w:rPr>
          <w:rFonts w:ascii="Calibri" w:hAnsi="Calibri"/>
          <w:i/>
          <w:iCs/>
          <w:color w:val="4A4A4A"/>
          <w:sz w:val="21"/>
        </w:rPr>
        <w:t>t</w:t>
      </w:r>
      <w:r w:rsidRPr="00983836">
        <w:rPr>
          <w:rFonts w:ascii="Calibri" w:hAnsi="Calibri"/>
          <w:color w:val="4A4A4A"/>
          <w:sz w:val="21"/>
        </w:rPr>
        <w:t xml:space="preserve"> = year </w:t>
      </w:r>
    </w:p>
    <w:p w14:paraId="07BCE4BE" w14:textId="159D50C6" w:rsidR="0097758D" w:rsidRPr="00983836" w:rsidRDefault="00683A41" w:rsidP="00983836">
      <w:pPr>
        <w:spacing w:after="0"/>
        <w:ind w:left="720" w:firstLine="450"/>
        <w:jc w:val="both"/>
        <w:rPr>
          <w:rFonts w:ascii="Calibri" w:hAnsi="Calibri"/>
          <w:color w:val="4A4A4A"/>
          <w:sz w:val="21"/>
        </w:rPr>
      </w:pPr>
      <w:r w:rsidRPr="00983836">
        <w:rPr>
          <w:rFonts w:ascii="Calibri" w:hAnsi="Calibri"/>
          <w:i/>
          <w:iCs/>
          <w:color w:val="4A4A4A"/>
          <w:sz w:val="21"/>
        </w:rPr>
        <w:t>T</w:t>
      </w:r>
      <w:r w:rsidR="0097758D" w:rsidRPr="00983836">
        <w:rPr>
          <w:rFonts w:ascii="Calibri" w:hAnsi="Calibri"/>
          <w:i/>
          <w:iCs/>
          <w:color w:val="4A4A4A"/>
          <w:sz w:val="21"/>
        </w:rPr>
        <w:t>otal food waste</w:t>
      </w:r>
      <w:r w:rsidR="0097758D" w:rsidRPr="00983836">
        <w:rPr>
          <w:rFonts w:ascii="Calibri" w:hAnsi="Calibri"/>
          <w:color w:val="4A4A4A"/>
          <w:sz w:val="21"/>
        </w:rPr>
        <w:t xml:space="preserve"> is the sum of waste in </w:t>
      </w:r>
      <w:r w:rsidR="00E4427B">
        <w:rPr>
          <w:rFonts w:ascii="Calibri" w:hAnsi="Calibri"/>
          <w:color w:val="4A4A4A"/>
          <w:sz w:val="21"/>
        </w:rPr>
        <w:t>three</w:t>
      </w:r>
      <w:r w:rsidR="00E4427B" w:rsidRPr="00983836">
        <w:rPr>
          <w:rFonts w:ascii="Calibri" w:hAnsi="Calibri"/>
          <w:color w:val="4A4A4A"/>
          <w:sz w:val="21"/>
        </w:rPr>
        <w:t xml:space="preserve"> </w:t>
      </w:r>
      <w:r w:rsidR="0097758D" w:rsidRPr="00983836">
        <w:rPr>
          <w:rFonts w:ascii="Calibri" w:hAnsi="Calibri"/>
          <w:color w:val="4A4A4A"/>
          <w:sz w:val="21"/>
        </w:rPr>
        <w:t>sectors in a given year as per the formula below:</w:t>
      </w:r>
    </w:p>
    <w:p w14:paraId="749FFFAC" w14:textId="77777777" w:rsidR="0097758D" w:rsidRPr="00983836" w:rsidRDefault="0097758D" w:rsidP="00983836">
      <w:pPr>
        <w:spacing w:after="0" w:line="240" w:lineRule="auto"/>
        <w:ind w:left="720" w:firstLine="450"/>
        <w:jc w:val="both"/>
        <w:rPr>
          <w:rFonts w:ascii="Calibri" w:hAnsi="Calibri"/>
          <w:color w:val="4A4A4A"/>
          <w:sz w:val="21"/>
        </w:rPr>
      </w:pPr>
    </w:p>
    <w:p w14:paraId="39206198" w14:textId="6F366DE1" w:rsidR="0097758D" w:rsidRPr="00983836" w:rsidRDefault="00000000" w:rsidP="00983836">
      <w:pPr>
        <w:jc w:val="both"/>
        <w:rPr>
          <w:rFonts w:ascii="Calibri" w:hAnsi="Calibri"/>
          <w:color w:val="4A4A4A"/>
          <w:sz w:val="21"/>
        </w:rPr>
      </w:pPr>
      <m:oMathPara>
        <m:oMath>
          <m:sSub>
            <m:sSubPr>
              <m:ctrlPr>
                <w:rPr>
                  <w:rFonts w:ascii="Cambria Math" w:hAnsi="Cambria Math"/>
                  <w:i/>
                  <w:color w:val="4A4A4A"/>
                  <w:sz w:val="21"/>
                </w:rPr>
              </m:ctrlPr>
            </m:sSubPr>
            <m:e>
              <m:r>
                <w:rPr>
                  <w:rFonts w:ascii="Cambria Math" w:hAnsi="Cambria Math"/>
                  <w:color w:val="4A4A4A"/>
                  <w:sz w:val="21"/>
                </w:rPr>
                <m:t>Total food waste</m:t>
              </m:r>
            </m:e>
            <m:sub>
              <m:r>
                <w:rPr>
                  <w:rFonts w:ascii="Cambria Math" w:hAnsi="Cambria Math"/>
                  <w:color w:val="4A4A4A"/>
                  <w:sz w:val="21"/>
                </w:rPr>
                <m:t>t</m:t>
              </m:r>
            </m:sub>
          </m:sSub>
          <m:r>
            <w:rPr>
              <w:rFonts w:ascii="Cambria Math" w:hAnsi="Cambria Math"/>
              <w:color w:val="4A4A4A"/>
              <w:sz w:val="21"/>
            </w:rPr>
            <m:t xml:space="preserve">= </m:t>
          </m:r>
          <m:sSub>
            <m:sSubPr>
              <m:ctrlPr>
                <w:rPr>
                  <w:rFonts w:ascii="Cambria Math" w:hAnsi="Cambria Math"/>
                  <w:i/>
                  <w:color w:val="4A4A4A"/>
                  <w:sz w:val="21"/>
                </w:rPr>
              </m:ctrlPr>
            </m:sSubPr>
            <m:e>
              <m:r>
                <w:rPr>
                  <w:rFonts w:ascii="Cambria Math" w:hAnsi="Cambria Math"/>
                  <w:color w:val="4A4A4A"/>
                  <w:sz w:val="21"/>
                </w:rPr>
                <m:t>FW</m:t>
              </m:r>
            </m:e>
            <m:sub>
              <m:sSub>
                <m:sSubPr>
                  <m:ctrlPr>
                    <w:rPr>
                      <w:rFonts w:ascii="Cambria Math" w:hAnsi="Cambria Math"/>
                      <w:i/>
                      <w:color w:val="4A4A4A"/>
                      <w:sz w:val="21"/>
                    </w:rPr>
                  </m:ctrlPr>
                </m:sSubPr>
                <m:e>
                  <m:r>
                    <w:rPr>
                      <w:rFonts w:ascii="Cambria Math" w:hAnsi="Cambria Math"/>
                      <w:color w:val="4A4A4A"/>
                      <w:sz w:val="21"/>
                    </w:rPr>
                    <m:t>Households</m:t>
                  </m:r>
                </m:e>
                <m:sub>
                  <m:r>
                    <w:rPr>
                      <w:rFonts w:ascii="Cambria Math" w:hAnsi="Cambria Math"/>
                      <w:color w:val="4A4A4A"/>
                      <w:sz w:val="21"/>
                    </w:rPr>
                    <m:t>t</m:t>
                  </m:r>
                </m:sub>
              </m:sSub>
              <m:r>
                <w:rPr>
                  <w:rFonts w:ascii="Cambria Math" w:hAnsi="Cambria Math"/>
                  <w:color w:val="4A4A4A"/>
                  <w:sz w:val="21"/>
                </w:rPr>
                <m:t xml:space="preserve"> </m:t>
              </m:r>
            </m:sub>
          </m:sSub>
          <m:r>
            <w:rPr>
              <w:rFonts w:ascii="Cambria Math" w:hAnsi="Cambria Math"/>
              <w:color w:val="4A4A4A"/>
              <w:sz w:val="21"/>
            </w:rPr>
            <m:t xml:space="preserve">+ </m:t>
          </m:r>
          <m:sSub>
            <m:sSubPr>
              <m:ctrlPr>
                <w:rPr>
                  <w:rFonts w:ascii="Cambria Math" w:hAnsi="Cambria Math"/>
                  <w:i/>
                  <w:color w:val="4A4A4A"/>
                  <w:sz w:val="21"/>
                </w:rPr>
              </m:ctrlPr>
            </m:sSubPr>
            <m:e>
              <m:r>
                <w:rPr>
                  <w:rFonts w:ascii="Cambria Math" w:hAnsi="Cambria Math"/>
                  <w:color w:val="4A4A4A"/>
                  <w:sz w:val="21"/>
                </w:rPr>
                <m:t>FW</m:t>
              </m:r>
            </m:e>
            <m:sub>
              <m:sSub>
                <m:sSubPr>
                  <m:ctrlPr>
                    <w:rPr>
                      <w:rFonts w:ascii="Cambria Math" w:hAnsi="Cambria Math"/>
                      <w:i/>
                      <w:color w:val="4A4A4A"/>
                      <w:sz w:val="21"/>
                    </w:rPr>
                  </m:ctrlPr>
                </m:sSubPr>
                <m:e>
                  <m:r>
                    <w:rPr>
                      <w:rFonts w:ascii="Cambria Math" w:hAnsi="Cambria Math"/>
                      <w:color w:val="4A4A4A"/>
                      <w:sz w:val="21"/>
                    </w:rPr>
                    <m:t xml:space="preserve">Food service </m:t>
                  </m:r>
                </m:e>
                <m:sub>
                  <m:r>
                    <w:rPr>
                      <w:rFonts w:ascii="Cambria Math" w:hAnsi="Cambria Math"/>
                      <w:color w:val="4A4A4A"/>
                      <w:sz w:val="21"/>
                    </w:rPr>
                    <m:t>t</m:t>
                  </m:r>
                </m:sub>
              </m:sSub>
            </m:sub>
          </m:sSub>
          <m:r>
            <w:rPr>
              <w:rFonts w:ascii="Cambria Math" w:hAnsi="Cambria Math"/>
              <w:color w:val="4A4A4A"/>
              <w:sz w:val="21"/>
            </w:rPr>
            <m:t xml:space="preserve">+ </m:t>
          </m:r>
          <m:sSub>
            <m:sSubPr>
              <m:ctrlPr>
                <w:rPr>
                  <w:rFonts w:ascii="Cambria Math" w:hAnsi="Cambria Math"/>
                  <w:i/>
                  <w:color w:val="4A4A4A"/>
                  <w:sz w:val="21"/>
                </w:rPr>
              </m:ctrlPr>
            </m:sSubPr>
            <m:e>
              <m:r>
                <w:rPr>
                  <w:rFonts w:ascii="Cambria Math" w:hAnsi="Cambria Math"/>
                  <w:color w:val="4A4A4A"/>
                  <w:sz w:val="21"/>
                </w:rPr>
                <m:t>FW</m:t>
              </m:r>
            </m:e>
            <m:sub>
              <m:sSub>
                <m:sSubPr>
                  <m:ctrlPr>
                    <w:rPr>
                      <w:rFonts w:ascii="Cambria Math" w:hAnsi="Cambria Math"/>
                      <w:i/>
                      <w:color w:val="4A4A4A"/>
                      <w:sz w:val="21"/>
                    </w:rPr>
                  </m:ctrlPr>
                </m:sSubPr>
                <m:e>
                  <m:r>
                    <w:rPr>
                      <w:rFonts w:ascii="Cambria Math" w:hAnsi="Cambria Math"/>
                      <w:color w:val="4A4A4A"/>
                      <w:sz w:val="21"/>
                    </w:rPr>
                    <m:t>Retail</m:t>
                  </m:r>
                </m:e>
                <m:sub>
                  <m:r>
                    <w:rPr>
                      <w:rFonts w:ascii="Cambria Math" w:hAnsi="Cambria Math"/>
                      <w:color w:val="4A4A4A"/>
                      <w:sz w:val="21"/>
                    </w:rPr>
                    <m:t>t</m:t>
                  </m:r>
                </m:sub>
              </m:sSub>
            </m:sub>
          </m:sSub>
        </m:oMath>
      </m:oMathPara>
    </w:p>
    <w:p w14:paraId="45167CE8" w14:textId="77777777" w:rsidR="00585A92" w:rsidRPr="00983836" w:rsidRDefault="00585A92" w:rsidP="00983836">
      <w:pPr>
        <w:spacing w:after="0" w:line="240" w:lineRule="auto"/>
        <w:jc w:val="both"/>
        <w:rPr>
          <w:rFonts w:ascii="Calibri" w:hAnsi="Calibri"/>
          <w:color w:val="4A4A4A"/>
          <w:sz w:val="21"/>
        </w:rPr>
      </w:pPr>
    </w:p>
    <w:p w14:paraId="62ECABBD" w14:textId="3FD6B379" w:rsidR="0097758D" w:rsidRPr="00983836" w:rsidRDefault="0097758D" w:rsidP="00983836">
      <w:pPr>
        <w:spacing w:after="0"/>
        <w:jc w:val="both"/>
        <w:rPr>
          <w:rFonts w:ascii="Calibri" w:hAnsi="Calibri"/>
          <w:color w:val="4A4A4A"/>
          <w:sz w:val="21"/>
        </w:rPr>
      </w:pPr>
      <w:r w:rsidRPr="00983836">
        <w:rPr>
          <w:rFonts w:ascii="Calibri" w:hAnsi="Calibri"/>
          <w:color w:val="4A4A4A"/>
          <w:sz w:val="21"/>
        </w:rPr>
        <w:t>The Food Waste Index for the year in question is then calculated as food waste per capita in that year divided by food waste per capita in a baseline year (</w:t>
      </w:r>
      <w:r w:rsidRPr="00983836">
        <w:rPr>
          <w:rFonts w:ascii="Calibri" w:hAnsi="Calibri"/>
          <w:i/>
          <w:color w:val="4A4A4A"/>
          <w:sz w:val="21"/>
        </w:rPr>
        <w:t>t</w:t>
      </w:r>
      <w:r w:rsidRPr="00983836">
        <w:rPr>
          <w:rFonts w:ascii="Calibri" w:hAnsi="Calibri"/>
          <w:i/>
          <w:color w:val="4A4A4A"/>
          <w:sz w:val="21"/>
          <w:vertAlign w:val="subscript"/>
        </w:rPr>
        <w:t>0</w:t>
      </w:r>
      <w:r w:rsidRPr="00983836">
        <w:rPr>
          <w:rFonts w:ascii="Calibri" w:hAnsi="Calibri"/>
          <w:color w:val="4A4A4A"/>
          <w:sz w:val="21"/>
        </w:rPr>
        <w:t>) multiplied by 100 to express the result as a percentage:</w:t>
      </w:r>
    </w:p>
    <w:p w14:paraId="2C856008" w14:textId="77777777" w:rsidR="0097758D" w:rsidRPr="00983836" w:rsidRDefault="0097758D" w:rsidP="00983836">
      <w:pPr>
        <w:spacing w:after="0" w:line="240" w:lineRule="auto"/>
        <w:ind w:left="360"/>
        <w:jc w:val="both"/>
        <w:rPr>
          <w:rFonts w:ascii="Calibri" w:hAnsi="Calibri"/>
          <w:color w:val="4A4A4A"/>
          <w:sz w:val="21"/>
        </w:rPr>
      </w:pPr>
    </w:p>
    <w:p w14:paraId="6A89839E" w14:textId="4027CC67" w:rsidR="00576CFA" w:rsidRPr="00983836" w:rsidRDefault="00000000" w:rsidP="00983836">
      <w:pPr>
        <w:jc w:val="both"/>
        <w:rPr>
          <w:rFonts w:ascii="Calibri" w:hAnsi="Calibri"/>
          <w:color w:val="4A4A4A"/>
          <w:sz w:val="21"/>
        </w:rPr>
      </w:pPr>
      <m:oMathPara>
        <m:oMath>
          <m:sSub>
            <m:sSubPr>
              <m:ctrlPr>
                <w:rPr>
                  <w:rFonts w:ascii="Cambria Math" w:hAnsi="Cambria Math"/>
                  <w:i/>
                  <w:color w:val="4A4A4A"/>
                  <w:sz w:val="21"/>
                </w:rPr>
              </m:ctrlPr>
            </m:sSubPr>
            <m:e>
              <m:r>
                <w:rPr>
                  <w:rFonts w:ascii="Cambria Math" w:hAnsi="Cambria Math"/>
                  <w:color w:val="4A4A4A"/>
                  <w:sz w:val="21"/>
                </w:rPr>
                <m:t>Food Waste Index</m:t>
              </m:r>
            </m:e>
            <m:sub>
              <m:r>
                <w:rPr>
                  <w:rFonts w:ascii="Cambria Math" w:hAnsi="Cambria Math"/>
                  <w:color w:val="4A4A4A"/>
                  <w:sz w:val="21"/>
                </w:rPr>
                <m:t>t</m:t>
              </m:r>
            </m:sub>
          </m:sSub>
          <m:r>
            <w:rPr>
              <w:rFonts w:ascii="Cambria Math" w:hAnsi="Cambria Math"/>
              <w:color w:val="4A4A4A"/>
              <w:sz w:val="21"/>
            </w:rPr>
            <m:t xml:space="preserve">= </m:t>
          </m:r>
          <m:f>
            <m:fPr>
              <m:ctrlPr>
                <w:rPr>
                  <w:rFonts w:ascii="Cambria Math" w:hAnsi="Cambria Math"/>
                  <w:i/>
                  <w:color w:val="4A4A4A"/>
                  <w:sz w:val="21"/>
                </w:rPr>
              </m:ctrlPr>
            </m:fPr>
            <m:num>
              <m:sSub>
                <m:sSubPr>
                  <m:ctrlPr>
                    <w:rPr>
                      <w:rFonts w:ascii="Cambria Math" w:hAnsi="Cambria Math"/>
                      <w:i/>
                      <w:color w:val="4A4A4A"/>
                      <w:sz w:val="21"/>
                    </w:rPr>
                  </m:ctrlPr>
                </m:sSubPr>
                <m:e>
                  <m:r>
                    <w:rPr>
                      <w:rFonts w:ascii="Cambria Math" w:hAnsi="Cambria Math"/>
                      <w:color w:val="4A4A4A"/>
                      <w:sz w:val="21"/>
                    </w:rPr>
                    <m:t>Food waste per capita</m:t>
                  </m:r>
                </m:e>
                <m:sub>
                  <m:r>
                    <w:rPr>
                      <w:rFonts w:ascii="Cambria Math" w:hAnsi="Cambria Math"/>
                      <w:color w:val="4A4A4A"/>
                      <w:sz w:val="21"/>
                    </w:rPr>
                    <m:t>t</m:t>
                  </m:r>
                </m:sub>
              </m:sSub>
              <m:r>
                <w:rPr>
                  <w:rFonts w:ascii="Cambria Math" w:hAnsi="Cambria Math"/>
                  <w:color w:val="4A4A4A"/>
                  <w:sz w:val="21"/>
                </w:rPr>
                <m:t xml:space="preserve"> </m:t>
              </m:r>
            </m:num>
            <m:den>
              <m:sSub>
                <m:sSubPr>
                  <m:ctrlPr>
                    <w:rPr>
                      <w:rFonts w:ascii="Cambria Math" w:hAnsi="Cambria Math"/>
                      <w:i/>
                      <w:color w:val="4A4A4A"/>
                      <w:sz w:val="21"/>
                    </w:rPr>
                  </m:ctrlPr>
                </m:sSubPr>
                <m:e>
                  <m:r>
                    <w:rPr>
                      <w:rFonts w:ascii="Cambria Math" w:hAnsi="Cambria Math"/>
                      <w:color w:val="4A4A4A"/>
                      <w:sz w:val="21"/>
                    </w:rPr>
                    <m:t>Food waste per capita</m:t>
                  </m:r>
                </m:e>
                <m:sub>
                  <m:sSub>
                    <m:sSubPr>
                      <m:ctrlPr>
                        <w:rPr>
                          <w:rFonts w:ascii="Cambria Math" w:hAnsi="Cambria Math"/>
                          <w:i/>
                          <w:color w:val="4A4A4A"/>
                          <w:sz w:val="21"/>
                        </w:rPr>
                      </m:ctrlPr>
                    </m:sSubPr>
                    <m:e>
                      <m:r>
                        <w:rPr>
                          <w:rFonts w:ascii="Cambria Math" w:hAnsi="Cambria Math"/>
                          <w:color w:val="4A4A4A"/>
                          <w:sz w:val="21"/>
                        </w:rPr>
                        <m:t>t</m:t>
                      </m:r>
                    </m:e>
                    <m:sub>
                      <m:r>
                        <w:rPr>
                          <w:rFonts w:ascii="Cambria Math" w:hAnsi="Cambria Math"/>
                          <w:color w:val="4A4A4A"/>
                          <w:sz w:val="21"/>
                        </w:rPr>
                        <m:t>0</m:t>
                      </m:r>
                    </m:sub>
                  </m:sSub>
                </m:sub>
              </m:sSub>
            </m:den>
          </m:f>
          <m:r>
            <w:rPr>
              <w:rFonts w:ascii="Cambria Math" w:hAnsi="Cambria Math"/>
              <w:color w:val="4A4A4A"/>
              <w:sz w:val="21"/>
            </w:rPr>
            <m:t xml:space="preserve"> × 100</m:t>
          </m:r>
        </m:oMath>
      </m:oMathPara>
    </w:p>
    <w:p w14:paraId="61BCA7AE" w14:textId="77777777" w:rsidR="006749DD" w:rsidRPr="00983836" w:rsidRDefault="006749DD" w:rsidP="00983836">
      <w:pPr>
        <w:spacing w:after="0"/>
        <w:jc w:val="both"/>
        <w:rPr>
          <w:rFonts w:ascii="Calibri" w:hAnsi="Calibri"/>
          <w:color w:val="4A4A4A"/>
          <w:sz w:val="21"/>
        </w:rPr>
      </w:pPr>
      <w:r w:rsidRPr="00983836">
        <w:rPr>
          <w:rFonts w:ascii="Calibri" w:hAnsi="Calibri"/>
          <w:color w:val="4A4A4A"/>
          <w:sz w:val="21"/>
        </w:rPr>
        <w:t>In countries where it is not possible to obtain the detailed data necessary to estimate total food waste using the formula above, a simplified approach to calculating food waste per capita may be taken:</w:t>
      </w:r>
    </w:p>
    <w:p w14:paraId="1D79A876" w14:textId="77777777" w:rsidR="006749DD" w:rsidRPr="00983836" w:rsidRDefault="006749DD" w:rsidP="00983836">
      <w:pPr>
        <w:jc w:val="both"/>
        <w:rPr>
          <w:rFonts w:ascii="Calibri" w:hAnsi="Calibri"/>
          <w:color w:val="4A4A4A"/>
          <w:sz w:val="21"/>
        </w:rPr>
      </w:pPr>
    </w:p>
    <w:p w14:paraId="5F408012" w14:textId="46677ECC" w:rsidR="006749DD" w:rsidRPr="00983836" w:rsidRDefault="00000000" w:rsidP="00983836">
      <w:pPr>
        <w:ind w:left="360"/>
        <w:jc w:val="both"/>
        <w:rPr>
          <w:rFonts w:ascii="Calibri" w:hAnsi="Calibri"/>
          <w:color w:val="4A4A4A"/>
          <w:sz w:val="21"/>
        </w:rPr>
      </w:pPr>
      <m:oMathPara>
        <m:oMath>
          <m:sSub>
            <m:sSubPr>
              <m:ctrlPr>
                <w:rPr>
                  <w:rFonts w:ascii="Cambria Math" w:hAnsi="Cambria Math"/>
                  <w:i/>
                  <w:color w:val="4A4A4A"/>
                  <w:sz w:val="21"/>
                </w:rPr>
              </m:ctrlPr>
            </m:sSubPr>
            <m:e>
              <m:r>
                <w:rPr>
                  <w:rFonts w:ascii="Cambria Math" w:hAnsi="Cambria Math"/>
                  <w:color w:val="4A4A4A"/>
                  <w:sz w:val="21"/>
                </w:rPr>
                <m:t>Food waste per capita</m:t>
              </m:r>
            </m:e>
            <m:sub>
              <m:sSub>
                <m:sSubPr>
                  <m:ctrlPr>
                    <w:rPr>
                      <w:rFonts w:ascii="Cambria Math" w:hAnsi="Cambria Math"/>
                      <w:i/>
                      <w:color w:val="4A4A4A"/>
                      <w:sz w:val="21"/>
                    </w:rPr>
                  </m:ctrlPr>
                </m:sSubPr>
                <m:e>
                  <m:r>
                    <w:rPr>
                      <w:rFonts w:ascii="Cambria Math" w:hAnsi="Cambria Math"/>
                      <w:color w:val="4A4A4A"/>
                      <w:sz w:val="21"/>
                    </w:rPr>
                    <m:t>t</m:t>
                  </m:r>
                </m:e>
                <m:sub>
                  <m:r>
                    <w:rPr>
                      <w:rFonts w:ascii="Cambria Math" w:hAnsi="Cambria Math"/>
                      <w:color w:val="4A4A4A"/>
                      <w:sz w:val="21"/>
                    </w:rPr>
                    <m:t>simp</m:t>
                  </m:r>
                </m:sub>
              </m:sSub>
            </m:sub>
          </m:sSub>
          <m:r>
            <w:rPr>
              <w:rFonts w:ascii="Cambria Math" w:hAnsi="Cambria Math"/>
              <w:color w:val="4A4A4A"/>
              <w:sz w:val="21"/>
            </w:rPr>
            <m:t>=</m:t>
          </m:r>
          <m:f>
            <m:fPr>
              <m:ctrlPr>
                <w:rPr>
                  <w:rFonts w:ascii="Cambria Math" w:hAnsi="Cambria Math"/>
                  <w:i/>
                  <w:color w:val="4A4A4A"/>
                  <w:sz w:val="21"/>
                </w:rPr>
              </m:ctrlPr>
            </m:fPr>
            <m:num>
              <m:sSub>
                <m:sSubPr>
                  <m:ctrlPr>
                    <w:rPr>
                      <w:rFonts w:ascii="Cambria Math" w:hAnsi="Cambria Math"/>
                      <w:i/>
                      <w:color w:val="4A4A4A"/>
                      <w:sz w:val="21"/>
                    </w:rPr>
                  </m:ctrlPr>
                </m:sSubPr>
                <m:e>
                  <m:r>
                    <w:rPr>
                      <w:rFonts w:ascii="Cambria Math" w:hAnsi="Cambria Math"/>
                      <w:color w:val="4A4A4A"/>
                      <w:sz w:val="21"/>
                    </w:rPr>
                    <m:t>MS</m:t>
                  </m:r>
                  <m:r>
                    <w:rPr>
                      <w:rFonts w:ascii="Calibri" w:hAnsi="Calibri"/>
                      <w:color w:val="4A4A4A"/>
                      <w:sz w:val="21"/>
                    </w:rPr>
                    <m:t>W</m:t>
                  </m:r>
                  <m:r>
                    <w:rPr>
                      <w:rFonts w:ascii="Cambria Math" w:hAnsi="Cambria Math"/>
                      <w:color w:val="4A4A4A"/>
                      <w:sz w:val="21"/>
                    </w:rPr>
                    <m:t xml:space="preserve"> generated</m:t>
                  </m:r>
                </m:e>
                <m:sub>
                  <m:r>
                    <w:rPr>
                      <w:rFonts w:ascii="Cambria Math" w:hAnsi="Cambria Math"/>
                      <w:color w:val="4A4A4A"/>
                      <w:sz w:val="21"/>
                    </w:rPr>
                    <m:t>t</m:t>
                  </m:r>
                </m:sub>
              </m:sSub>
              <m:r>
                <w:rPr>
                  <w:rFonts w:ascii="Cambria Math" w:hAnsi="Cambria Math"/>
                  <w:color w:val="4A4A4A"/>
                  <w:sz w:val="21"/>
                </w:rPr>
                <m:t xml:space="preserve"> × </m:t>
              </m:r>
              <m:sSub>
                <m:sSubPr>
                  <m:ctrlPr>
                    <w:rPr>
                      <w:rFonts w:ascii="Cambria Math" w:hAnsi="Cambria Math"/>
                      <w:i/>
                      <w:color w:val="4A4A4A"/>
                      <w:sz w:val="21"/>
                    </w:rPr>
                  </m:ctrlPr>
                </m:sSubPr>
                <m:e>
                  <m:r>
                    <w:rPr>
                      <w:rFonts w:ascii="Cambria Math" w:hAnsi="Cambria Math"/>
                      <w:color w:val="4A4A4A"/>
                      <w:sz w:val="21"/>
                    </w:rPr>
                    <m:t>Share of food waste</m:t>
                  </m:r>
                </m:e>
                <m:sub>
                  <m:r>
                    <w:rPr>
                      <w:rFonts w:ascii="Cambria Math" w:hAnsi="Cambria Math"/>
                      <w:color w:val="4A4A4A"/>
                      <w:sz w:val="21"/>
                    </w:rPr>
                    <m:t>t</m:t>
                  </m:r>
                </m:sub>
              </m:sSub>
            </m:num>
            <m:den>
              <m:sSub>
                <m:sSubPr>
                  <m:ctrlPr>
                    <w:rPr>
                      <w:rFonts w:ascii="Cambria Math" w:hAnsi="Cambria Math"/>
                      <w:i/>
                      <w:color w:val="4A4A4A"/>
                      <w:sz w:val="21"/>
                    </w:rPr>
                  </m:ctrlPr>
                </m:sSubPr>
                <m:e>
                  <m:r>
                    <w:rPr>
                      <w:rFonts w:ascii="Cambria Math" w:hAnsi="Cambria Math"/>
                      <w:color w:val="4A4A4A"/>
                      <w:sz w:val="21"/>
                    </w:rPr>
                    <m:t>Annual Average Population</m:t>
                  </m:r>
                </m:e>
                <m:sub>
                  <m:r>
                    <w:rPr>
                      <w:rFonts w:ascii="Cambria Math" w:hAnsi="Cambria Math"/>
                      <w:color w:val="4A4A4A"/>
                      <w:sz w:val="21"/>
                    </w:rPr>
                    <m:t>t</m:t>
                  </m:r>
                </m:sub>
              </m:sSub>
            </m:den>
          </m:f>
        </m:oMath>
      </m:oMathPara>
    </w:p>
    <w:p w14:paraId="2956F843" w14:textId="3A277E98" w:rsidR="006749DD" w:rsidRPr="00983836" w:rsidRDefault="006749DD" w:rsidP="00983836">
      <w:pPr>
        <w:spacing w:after="0"/>
        <w:ind w:left="360"/>
        <w:jc w:val="both"/>
        <w:rPr>
          <w:rFonts w:ascii="Calibri" w:hAnsi="Calibri"/>
          <w:color w:val="4A4A4A"/>
          <w:sz w:val="21"/>
        </w:rPr>
      </w:pPr>
      <w:r w:rsidRPr="00983836">
        <w:rPr>
          <w:rFonts w:ascii="Calibri" w:hAnsi="Calibri"/>
          <w:color w:val="4A4A4A"/>
          <w:sz w:val="21"/>
        </w:rPr>
        <w:t>where:</w:t>
      </w:r>
    </w:p>
    <w:p w14:paraId="087EEA20" w14:textId="77777777" w:rsidR="006749DD" w:rsidRPr="00983836" w:rsidRDefault="006749DD" w:rsidP="00983836">
      <w:pPr>
        <w:spacing w:after="0"/>
        <w:ind w:left="360" w:firstLine="360"/>
        <w:jc w:val="both"/>
        <w:rPr>
          <w:rFonts w:ascii="Calibri" w:hAnsi="Calibri"/>
          <w:color w:val="4A4A4A"/>
          <w:sz w:val="21"/>
        </w:rPr>
      </w:pPr>
      <w:r w:rsidRPr="00983836">
        <w:rPr>
          <w:rFonts w:ascii="Calibri" w:hAnsi="Calibri"/>
          <w:i/>
          <w:color w:val="4A4A4A"/>
          <w:sz w:val="21"/>
        </w:rPr>
        <w:t>t</w:t>
      </w:r>
      <w:r w:rsidRPr="00983836">
        <w:rPr>
          <w:rFonts w:ascii="Calibri" w:hAnsi="Calibri"/>
          <w:color w:val="4A4A4A"/>
          <w:sz w:val="21"/>
        </w:rPr>
        <w:t xml:space="preserve"> = year</w:t>
      </w:r>
    </w:p>
    <w:p w14:paraId="07E8818E" w14:textId="77777777" w:rsidR="006749DD" w:rsidRPr="00983836" w:rsidRDefault="00000000" w:rsidP="00983836">
      <w:pPr>
        <w:spacing w:after="0"/>
        <w:ind w:left="720"/>
        <w:jc w:val="both"/>
        <w:rPr>
          <w:rFonts w:ascii="Calibri" w:hAnsi="Calibri"/>
          <w:color w:val="4A4A4A"/>
          <w:sz w:val="21"/>
        </w:rPr>
      </w:pPr>
      <m:oMath>
        <m:sSub>
          <m:sSubPr>
            <m:ctrlPr>
              <w:rPr>
                <w:rFonts w:ascii="Cambria Math" w:hAnsi="Cambria Math"/>
                <w:i/>
                <w:color w:val="4A4A4A"/>
                <w:sz w:val="21"/>
              </w:rPr>
            </m:ctrlPr>
          </m:sSubPr>
          <m:e>
            <m:r>
              <w:rPr>
                <w:rFonts w:ascii="Cambria Math" w:hAnsi="Cambria Math"/>
                <w:color w:val="4A4A4A"/>
                <w:sz w:val="21"/>
              </w:rPr>
              <m:t>MSW generated</m:t>
            </m:r>
          </m:e>
          <m:sub>
            <m:r>
              <w:rPr>
                <w:rFonts w:ascii="Cambria Math" w:hAnsi="Cambria Math"/>
                <w:color w:val="4A4A4A"/>
                <w:sz w:val="21"/>
              </w:rPr>
              <m:t>t</m:t>
            </m:r>
          </m:sub>
        </m:sSub>
      </m:oMath>
      <w:r w:rsidR="006749DD" w:rsidRPr="00983836">
        <w:rPr>
          <w:rFonts w:ascii="Calibri" w:hAnsi="Calibri"/>
          <w:color w:val="4A4A4A"/>
          <w:sz w:val="21"/>
        </w:rPr>
        <w:t xml:space="preserve"> is total municipal solid waste generated in a given year (as calculated for Indicator 11.6.1)</w:t>
      </w:r>
    </w:p>
    <w:p w14:paraId="7DBED356" w14:textId="77777777" w:rsidR="006749DD" w:rsidRPr="00983836" w:rsidRDefault="00000000" w:rsidP="00983836">
      <w:pPr>
        <w:spacing w:after="0"/>
        <w:ind w:left="720"/>
        <w:jc w:val="both"/>
        <w:rPr>
          <w:rFonts w:ascii="Calibri" w:hAnsi="Calibri"/>
          <w:color w:val="4A4A4A"/>
          <w:sz w:val="21"/>
          <w:lang w:val="en-US"/>
        </w:rPr>
      </w:pPr>
      <m:oMath>
        <m:sSub>
          <m:sSubPr>
            <m:ctrlPr>
              <w:rPr>
                <w:rFonts w:ascii="Cambria Math" w:hAnsi="Cambria Math"/>
                <w:i/>
                <w:color w:val="4A4A4A"/>
                <w:sz w:val="21"/>
              </w:rPr>
            </m:ctrlPr>
          </m:sSubPr>
          <m:e>
            <m:r>
              <w:rPr>
                <w:rFonts w:ascii="Cambria Math" w:hAnsi="Cambria Math"/>
                <w:color w:val="4A4A4A"/>
                <w:sz w:val="21"/>
              </w:rPr>
              <m:t>Share of food waste</m:t>
            </m:r>
          </m:e>
          <m:sub>
            <m:r>
              <w:rPr>
                <w:rFonts w:ascii="Cambria Math" w:hAnsi="Cambria Math"/>
                <w:color w:val="4A4A4A"/>
                <w:sz w:val="21"/>
              </w:rPr>
              <m:t>t</m:t>
            </m:r>
          </m:sub>
        </m:sSub>
      </m:oMath>
      <w:r w:rsidR="006749DD" w:rsidRPr="00983836">
        <w:rPr>
          <w:rFonts w:ascii="Calibri" w:hAnsi="Calibri"/>
          <w:color w:val="4A4A4A"/>
          <w:sz w:val="21"/>
        </w:rPr>
        <w:t xml:space="preserve"> is the proportion of total MSW made up of food waste in the year, which can be estimated from waste composition studies</w:t>
      </w:r>
    </w:p>
    <w:p w14:paraId="1CBE97A2" w14:textId="77777777" w:rsidR="006749DD" w:rsidRPr="00983836" w:rsidRDefault="006749DD" w:rsidP="00983836">
      <w:pPr>
        <w:pStyle w:val="NoSpacing"/>
        <w:jc w:val="both"/>
      </w:pPr>
    </w:p>
    <w:p w14:paraId="56CBF266" w14:textId="593988AA" w:rsidR="006749DD" w:rsidRPr="00983836" w:rsidRDefault="006749DD" w:rsidP="00983836">
      <w:pPr>
        <w:spacing w:after="0"/>
        <w:jc w:val="both"/>
        <w:rPr>
          <w:rFonts w:ascii="Calibri" w:hAnsi="Calibri"/>
          <w:color w:val="4A4A4A"/>
          <w:sz w:val="21"/>
        </w:rPr>
      </w:pPr>
      <w:r w:rsidRPr="00983836">
        <w:rPr>
          <w:rFonts w:ascii="Calibri" w:hAnsi="Calibri"/>
          <w:color w:val="4A4A4A"/>
          <w:sz w:val="21"/>
        </w:rPr>
        <w:lastRenderedPageBreak/>
        <w:t>The food waste index for the year is then calculated using the simplified estimate of food waste per capita in the same formula as above</w:t>
      </w:r>
      <w:r w:rsidR="00DE4D8A">
        <w:rPr>
          <w:rFonts w:ascii="Calibri" w:hAnsi="Calibri"/>
          <w:color w:val="4A4A4A"/>
          <w:sz w:val="21"/>
          <w:szCs w:val="21"/>
        </w:rPr>
        <w:t>:</w:t>
      </w:r>
      <w:r w:rsidRPr="00983836">
        <w:rPr>
          <w:rFonts w:ascii="Calibri" w:hAnsi="Calibri"/>
          <w:color w:val="4A4A4A"/>
          <w:sz w:val="21"/>
        </w:rPr>
        <w:t xml:space="preserve"> </w:t>
      </w:r>
    </w:p>
    <w:p w14:paraId="691F1702" w14:textId="77777777" w:rsidR="006749DD" w:rsidRPr="00983836" w:rsidRDefault="006749DD" w:rsidP="00983836">
      <w:pPr>
        <w:spacing w:after="0" w:line="240" w:lineRule="auto"/>
        <w:ind w:left="360" w:firstLine="360"/>
        <w:jc w:val="both"/>
        <w:rPr>
          <w:rFonts w:ascii="Calibri" w:hAnsi="Calibri"/>
          <w:i/>
          <w:color w:val="4A4A4A"/>
          <w:sz w:val="21"/>
        </w:rPr>
      </w:pPr>
    </w:p>
    <w:p w14:paraId="68C28D67" w14:textId="77777777" w:rsidR="006749DD" w:rsidRPr="00983836" w:rsidRDefault="00000000" w:rsidP="00983836">
      <w:pPr>
        <w:ind w:left="360"/>
        <w:jc w:val="both"/>
        <w:rPr>
          <w:rFonts w:ascii="Calibri" w:hAnsi="Calibri"/>
          <w:color w:val="4A4A4A"/>
          <w:sz w:val="21"/>
        </w:rPr>
      </w:pPr>
      <m:oMathPara>
        <m:oMath>
          <m:sSub>
            <m:sSubPr>
              <m:ctrlPr>
                <w:rPr>
                  <w:rFonts w:ascii="Cambria Math" w:hAnsi="Cambria Math"/>
                  <w:i/>
                  <w:color w:val="4A4A4A"/>
                  <w:sz w:val="21"/>
                </w:rPr>
              </m:ctrlPr>
            </m:sSubPr>
            <m:e>
              <m:r>
                <w:rPr>
                  <w:rFonts w:ascii="Cambria Math" w:hAnsi="Cambria Math"/>
                  <w:color w:val="4A4A4A"/>
                  <w:sz w:val="21"/>
                </w:rPr>
                <m:t>Food Waste Index</m:t>
              </m:r>
            </m:e>
            <m:sub>
              <m:sSub>
                <m:sSubPr>
                  <m:ctrlPr>
                    <w:rPr>
                      <w:rFonts w:ascii="Cambria Math" w:hAnsi="Cambria Math"/>
                      <w:i/>
                      <w:color w:val="4A4A4A"/>
                      <w:sz w:val="21"/>
                    </w:rPr>
                  </m:ctrlPr>
                </m:sSubPr>
                <m:e>
                  <m:r>
                    <w:rPr>
                      <w:rFonts w:ascii="Cambria Math" w:hAnsi="Cambria Math"/>
                      <w:color w:val="4A4A4A"/>
                      <w:sz w:val="21"/>
                    </w:rPr>
                    <m:t>t</m:t>
                  </m:r>
                </m:e>
                <m:sub>
                  <m:r>
                    <w:rPr>
                      <w:rFonts w:ascii="Cambria Math" w:hAnsi="Cambria Math"/>
                      <w:color w:val="4A4A4A"/>
                      <w:sz w:val="21"/>
                    </w:rPr>
                    <m:t>simp</m:t>
                  </m:r>
                </m:sub>
              </m:sSub>
            </m:sub>
          </m:sSub>
          <m:r>
            <w:rPr>
              <w:rFonts w:ascii="Cambria Math" w:hAnsi="Cambria Math"/>
              <w:color w:val="4A4A4A"/>
              <w:sz w:val="21"/>
            </w:rPr>
            <m:t xml:space="preserve">= </m:t>
          </m:r>
          <m:f>
            <m:fPr>
              <m:ctrlPr>
                <w:rPr>
                  <w:rFonts w:ascii="Cambria Math" w:hAnsi="Cambria Math"/>
                  <w:i/>
                  <w:color w:val="4A4A4A"/>
                  <w:sz w:val="21"/>
                </w:rPr>
              </m:ctrlPr>
            </m:fPr>
            <m:num>
              <m:sSub>
                <m:sSubPr>
                  <m:ctrlPr>
                    <w:rPr>
                      <w:rFonts w:ascii="Cambria Math" w:hAnsi="Cambria Math"/>
                      <w:i/>
                      <w:color w:val="4A4A4A"/>
                      <w:sz w:val="21"/>
                    </w:rPr>
                  </m:ctrlPr>
                </m:sSubPr>
                <m:e>
                  <m:r>
                    <w:rPr>
                      <w:rFonts w:ascii="Cambria Math" w:hAnsi="Cambria Math"/>
                      <w:color w:val="4A4A4A"/>
                      <w:sz w:val="21"/>
                    </w:rPr>
                    <m:t>Food waste per capita</m:t>
                  </m:r>
                </m:e>
                <m:sub>
                  <m:sSub>
                    <m:sSubPr>
                      <m:ctrlPr>
                        <w:rPr>
                          <w:rFonts w:ascii="Cambria Math" w:hAnsi="Cambria Math"/>
                          <w:i/>
                          <w:color w:val="4A4A4A"/>
                          <w:sz w:val="21"/>
                        </w:rPr>
                      </m:ctrlPr>
                    </m:sSubPr>
                    <m:e>
                      <m:r>
                        <w:rPr>
                          <w:rFonts w:ascii="Cambria Math" w:hAnsi="Cambria Math"/>
                          <w:color w:val="4A4A4A"/>
                          <w:sz w:val="21"/>
                        </w:rPr>
                        <m:t>t</m:t>
                      </m:r>
                    </m:e>
                    <m:sub>
                      <m:r>
                        <w:rPr>
                          <w:rFonts w:ascii="Cambria Math" w:hAnsi="Cambria Math"/>
                          <w:color w:val="4A4A4A"/>
                          <w:sz w:val="21"/>
                        </w:rPr>
                        <m:t>simp</m:t>
                      </m:r>
                    </m:sub>
                  </m:sSub>
                </m:sub>
              </m:sSub>
              <m:r>
                <w:rPr>
                  <w:rFonts w:ascii="Cambria Math" w:hAnsi="Cambria Math"/>
                  <w:color w:val="4A4A4A"/>
                  <w:sz w:val="21"/>
                </w:rPr>
                <m:t xml:space="preserve"> </m:t>
              </m:r>
            </m:num>
            <m:den>
              <m:sSub>
                <m:sSubPr>
                  <m:ctrlPr>
                    <w:rPr>
                      <w:rFonts w:ascii="Cambria Math" w:hAnsi="Cambria Math"/>
                      <w:i/>
                      <w:color w:val="4A4A4A"/>
                      <w:sz w:val="21"/>
                    </w:rPr>
                  </m:ctrlPr>
                </m:sSubPr>
                <m:e>
                  <m:r>
                    <w:rPr>
                      <w:rFonts w:ascii="Cambria Math" w:hAnsi="Cambria Math"/>
                      <w:color w:val="4A4A4A"/>
                      <w:sz w:val="21"/>
                    </w:rPr>
                    <m:t>Food waste pe</m:t>
                  </m:r>
                  <m:r>
                    <w:rPr>
                      <w:rFonts w:ascii="Calibri" w:hAnsi="Calibri"/>
                      <w:color w:val="4A4A4A"/>
                      <w:sz w:val="21"/>
                    </w:rPr>
                    <m:t>r</m:t>
                  </m:r>
                  <m:r>
                    <w:rPr>
                      <w:rFonts w:ascii="Cambria Math" w:hAnsi="Cambria Math"/>
                      <w:color w:val="4A4A4A"/>
                      <w:sz w:val="21"/>
                    </w:rPr>
                    <m:t xml:space="preserve"> capita</m:t>
                  </m:r>
                </m:e>
                <m:sub>
                  <m:sSub>
                    <m:sSubPr>
                      <m:ctrlPr>
                        <w:rPr>
                          <w:rFonts w:ascii="Cambria Math" w:hAnsi="Cambria Math"/>
                          <w:i/>
                          <w:color w:val="4A4A4A"/>
                          <w:sz w:val="21"/>
                        </w:rPr>
                      </m:ctrlPr>
                    </m:sSubPr>
                    <m:e>
                      <m:sSub>
                        <m:sSubPr>
                          <m:ctrlPr>
                            <w:rPr>
                              <w:rFonts w:ascii="Cambria Math" w:hAnsi="Cambria Math"/>
                              <w:i/>
                              <w:color w:val="4A4A4A"/>
                              <w:sz w:val="21"/>
                            </w:rPr>
                          </m:ctrlPr>
                        </m:sSubPr>
                        <m:e>
                          <m:r>
                            <w:rPr>
                              <w:rFonts w:ascii="Cambria Math" w:hAnsi="Cambria Math"/>
                              <w:color w:val="4A4A4A"/>
                              <w:sz w:val="21"/>
                            </w:rPr>
                            <m:t>t</m:t>
                          </m:r>
                        </m:e>
                        <m:sub>
                          <m:r>
                            <w:rPr>
                              <w:rFonts w:ascii="Cambria Math" w:hAnsi="Cambria Math"/>
                              <w:color w:val="4A4A4A"/>
                              <w:sz w:val="21"/>
                            </w:rPr>
                            <m:t>0</m:t>
                          </m:r>
                        </m:sub>
                      </m:sSub>
                    </m:e>
                    <m:sub>
                      <m:r>
                        <w:rPr>
                          <w:rFonts w:ascii="Cambria Math" w:hAnsi="Cambria Math"/>
                          <w:color w:val="4A4A4A"/>
                          <w:sz w:val="21"/>
                        </w:rPr>
                        <m:t>simp</m:t>
                      </m:r>
                    </m:sub>
                  </m:sSub>
                </m:sub>
              </m:sSub>
            </m:den>
          </m:f>
          <m:r>
            <w:rPr>
              <w:rFonts w:ascii="Cambria Math" w:hAnsi="Cambria Math"/>
              <w:color w:val="4A4A4A"/>
              <w:sz w:val="21"/>
            </w:rPr>
            <m:t xml:space="preserve"> × 100</m:t>
          </m:r>
        </m:oMath>
      </m:oMathPara>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071B1AA" w14:textId="1B78E66F" w:rsidR="00620198" w:rsidRPr="00A96255" w:rsidRDefault="005928F6" w:rsidP="00983836">
      <w:pPr>
        <w:pStyle w:val="MText"/>
        <w:jc w:val="both"/>
      </w:pPr>
      <w:r>
        <w:rPr>
          <w:lang w:val="en-US"/>
        </w:rPr>
        <w:t xml:space="preserve">The United </w:t>
      </w:r>
      <w:r w:rsidR="00CC0E21">
        <w:rPr>
          <w:lang w:val="en-US"/>
        </w:rPr>
        <w:t>N</w:t>
      </w:r>
      <w:r>
        <w:rPr>
          <w:lang w:val="en-US"/>
        </w:rPr>
        <w:t>ations Environment Programme (UNEP) and t</w:t>
      </w:r>
      <w:r w:rsidR="001705A1">
        <w:rPr>
          <w:lang w:val="en-US"/>
        </w:rPr>
        <w:t xml:space="preserve">he </w:t>
      </w:r>
      <w:r w:rsidR="00DD0C24">
        <w:rPr>
          <w:lang w:val="en-US"/>
        </w:rPr>
        <w:t>United Nations Statistics Division (</w:t>
      </w:r>
      <w:r w:rsidR="00620198" w:rsidRPr="00833B26">
        <w:rPr>
          <w:rFonts w:ascii="Calibri" w:hAnsi="Calibri"/>
          <w:color w:val="595959" w:themeColor="text1" w:themeTint="A6"/>
        </w:rPr>
        <w:t>UNSD</w:t>
      </w:r>
      <w:r w:rsidR="00DD0C24">
        <w:rPr>
          <w:rFonts w:ascii="Calibri" w:hAnsi="Calibri"/>
          <w:color w:val="595959" w:themeColor="text1" w:themeTint="A6"/>
        </w:rPr>
        <w:t>)</w:t>
      </w:r>
      <w:r w:rsidR="00620198" w:rsidRPr="00833B26">
        <w:rPr>
          <w:rFonts w:ascii="Calibri" w:hAnsi="Calibri"/>
          <w:color w:val="595959" w:themeColor="text1" w:themeTint="A6"/>
        </w:rPr>
        <w:t xml:space="preserve"> carries out extensive data validation procedures that include built-in automated procedures, manual checks and cross-references to national sources of data. Communication is carried out with countries for clarification and validation of data. </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6A18EF4" w14:textId="312D16C1" w:rsidR="00AF6801" w:rsidRDefault="002D45D0" w:rsidP="00983836">
      <w:pPr>
        <w:pStyle w:val="MText"/>
        <w:jc w:val="both"/>
      </w:pPr>
      <w:r>
        <w:t>N</w:t>
      </w:r>
      <w:r w:rsidR="00EF4696">
        <w:t xml:space="preserve">o </w:t>
      </w:r>
      <w:r w:rsidR="00C8547E">
        <w:t>adjustments are made.</w:t>
      </w:r>
    </w:p>
    <w:p w14:paraId="0A7F6848" w14:textId="77777777" w:rsidR="00AF6801" w:rsidRPr="00A96255" w:rsidRDefault="00AF6801"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0607A0C" w14:textId="1952188A" w:rsidR="00415D71" w:rsidRPr="00331D4D" w:rsidRDefault="00415D71" w:rsidP="00415D7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w:t>
      </w:r>
      <w:r w:rsidRPr="00331D4D">
        <w:rPr>
          <w:rFonts w:eastAsia="Times New Roman" w:cs="Times New Roman"/>
          <w:color w:val="4A4A4A"/>
          <w:sz w:val="21"/>
          <w:szCs w:val="21"/>
          <w:lang w:eastAsia="en-GB"/>
        </w:rPr>
        <w:t>issing values are not imputed</w:t>
      </w:r>
      <w:r>
        <w:rPr>
          <w:rFonts w:eastAsia="Times New Roman" w:cs="Times New Roman"/>
          <w:color w:val="4A4A4A"/>
          <w:sz w:val="21"/>
          <w:szCs w:val="21"/>
          <w:lang w:eastAsia="en-GB"/>
        </w:rPr>
        <w:t xml:space="preserve"> for national figures</w:t>
      </w:r>
      <w:r w:rsidRPr="00331D4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However, UNEP is using a global </w:t>
      </w:r>
      <w:r w:rsidR="00AB7104">
        <w:rPr>
          <w:rFonts w:eastAsia="Times New Roman" w:cs="Times New Roman"/>
          <w:color w:val="4A4A4A"/>
          <w:sz w:val="21"/>
          <w:szCs w:val="21"/>
          <w:lang w:eastAsia="en-GB"/>
        </w:rPr>
        <w:t>modelling</w:t>
      </w:r>
      <w:r>
        <w:rPr>
          <w:rFonts w:eastAsia="Times New Roman" w:cs="Times New Roman"/>
          <w:color w:val="4A4A4A"/>
          <w:sz w:val="21"/>
          <w:szCs w:val="21"/>
          <w:lang w:eastAsia="en-GB"/>
        </w:rPr>
        <w:t xml:space="preserve"> approach for level 1 (this is due to the lack of data on this topic and the interest in having data that can be used for high-level tracking).</w:t>
      </w:r>
    </w:p>
    <w:p w14:paraId="67043C18" w14:textId="288244DA" w:rsidR="00D51E7C" w:rsidRDefault="00D51E7C" w:rsidP="00DA615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23691F8" w14:textId="053141C4" w:rsidR="00463D56" w:rsidRPr="00331D4D" w:rsidRDefault="00463D56" w:rsidP="00463D56">
      <w:pPr>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w:t>
      </w:r>
      <w:r w:rsidRPr="006931AC">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will be</w:t>
      </w:r>
      <w:r w:rsidRPr="006931AC">
        <w:rPr>
          <w:rFonts w:eastAsia="Times New Roman" w:cs="Times New Roman"/>
          <w:bCs/>
          <w:color w:val="4A4A4A"/>
          <w:sz w:val="21"/>
          <w:szCs w:val="21"/>
          <w:lang w:eastAsia="en-GB"/>
        </w:rPr>
        <w:t xml:space="preserve"> aggregated at the sub-regional, regional and global levels</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For the aggregation methods, please see</w:t>
      </w:r>
      <w:r w:rsidR="00AF54B9">
        <w:rPr>
          <w:rFonts w:eastAsia="Times New Roman" w:cs="Times New Roman"/>
          <w:bCs/>
          <w:color w:val="4A4A4A"/>
          <w:sz w:val="21"/>
          <w:szCs w:val="21"/>
          <w:lang w:eastAsia="en-GB"/>
        </w:rPr>
        <w:t>:</w:t>
      </w:r>
      <w:r w:rsidRPr="00331D4D">
        <w:rPr>
          <w:rFonts w:eastAsia="Times New Roman" w:cs="Times New Roman"/>
          <w:bCs/>
          <w:color w:val="4A4A4A"/>
          <w:sz w:val="21"/>
          <w:szCs w:val="21"/>
          <w:lang w:eastAsia="en-GB"/>
        </w:rPr>
        <w:t xml:space="preserve"> </w:t>
      </w:r>
      <w:hyperlink r:id="rId11" w:history="1">
        <w:r w:rsidR="00AB7104" w:rsidRPr="00AB7104">
          <w:rPr>
            <w:rStyle w:val="Hyperlink"/>
            <w:rFonts w:eastAsia="Times New Roman" w:cs="Times New Roman"/>
            <w:bCs/>
            <w:sz w:val="21"/>
            <w:szCs w:val="21"/>
            <w:lang w:eastAsia="en-GB"/>
          </w:rPr>
          <w:t>http://</w:t>
        </w:r>
        <w:r w:rsidR="00AB7104" w:rsidRPr="00F218CA">
          <w:rPr>
            <w:rStyle w:val="Hyperlink"/>
            <w:rFonts w:eastAsia="Times New Roman" w:cs="Times New Roman"/>
            <w:bCs/>
            <w:sz w:val="21"/>
            <w:szCs w:val="21"/>
            <w:lang w:eastAsia="en-GB"/>
          </w:rPr>
          <w:t>wesr.unep.org/media/docs/graphs/aggregation_methods.pdf</w:t>
        </w:r>
      </w:hyperlink>
      <w:r w:rsidRPr="00331D4D">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4144505" w14:textId="4EF96D89" w:rsidR="00D460EA" w:rsidRDefault="00000000" w:rsidP="00983836">
      <w:pPr>
        <w:pStyle w:val="MText"/>
        <w:numPr>
          <w:ilvl w:val="0"/>
          <w:numId w:val="17"/>
        </w:numPr>
        <w:rPr>
          <w:color w:val="595959" w:themeColor="text1" w:themeTint="A6"/>
        </w:rPr>
      </w:pPr>
      <w:hyperlink r:id="rId12" w:history="1">
        <w:r w:rsidR="007D1D44" w:rsidRPr="003E1BF5">
          <w:rPr>
            <w:rStyle w:val="Hyperlink"/>
          </w:rPr>
          <w:t>UNEP (2021). Food Waste Index Report 2021</w:t>
        </w:r>
      </w:hyperlink>
      <w:r w:rsidR="007D1D44" w:rsidRPr="007D1D44">
        <w:rPr>
          <w:color w:val="595959" w:themeColor="text1" w:themeTint="A6"/>
        </w:rPr>
        <w:t>.</w:t>
      </w:r>
    </w:p>
    <w:p w14:paraId="02011E0A" w14:textId="082CE2AE" w:rsidR="00B678EF" w:rsidRDefault="00000000" w:rsidP="00983836">
      <w:pPr>
        <w:pStyle w:val="MText"/>
        <w:numPr>
          <w:ilvl w:val="0"/>
          <w:numId w:val="17"/>
        </w:numPr>
        <w:rPr>
          <w:color w:val="595959" w:themeColor="text1" w:themeTint="A6"/>
        </w:rPr>
      </w:pPr>
      <w:hyperlink r:id="rId13" w:history="1">
        <w:r w:rsidR="007D1D44" w:rsidRPr="00A02EFB">
          <w:rPr>
            <w:rStyle w:val="Hyperlink"/>
          </w:rPr>
          <w:t xml:space="preserve">UNEP (2021). </w:t>
        </w:r>
        <w:r w:rsidR="00B678EF" w:rsidRPr="00A02EFB">
          <w:rPr>
            <w:rStyle w:val="Hyperlink"/>
          </w:rPr>
          <w:t>Global Chemicals and Waste Indicator Review Document</w:t>
        </w:r>
      </w:hyperlink>
      <w:r w:rsidR="004D2F59">
        <w:rPr>
          <w:color w:val="595959" w:themeColor="text1" w:themeTint="A6"/>
        </w:rPr>
        <w:t>.</w:t>
      </w:r>
      <w:r w:rsidR="00B678EF">
        <w:rPr>
          <w:color w:val="595959" w:themeColor="text1" w:themeTint="A6"/>
        </w:rPr>
        <w:t xml:space="preserve"> </w:t>
      </w:r>
    </w:p>
    <w:p w14:paraId="435186E9" w14:textId="77777777" w:rsidR="00B678EF" w:rsidRPr="00A96255" w:rsidRDefault="00B678EF"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49AB238E" w:rsidR="00EC2915" w:rsidRDefault="00112E7B" w:rsidP="00983836">
      <w:pPr>
        <w:pStyle w:val="MText"/>
        <w:jc w:val="both"/>
      </w:pPr>
      <w:r w:rsidRPr="00112E7B">
        <w:t>Quality management is provided by the United Nations Environment Programme (UNEP)</w:t>
      </w:r>
      <w:r>
        <w:t xml:space="preserve"> and the United </w:t>
      </w:r>
      <w:r w:rsidR="00DC4CBF">
        <w:t>N</w:t>
      </w:r>
      <w:r>
        <w:t>ations statistics Division (UNSD)</w:t>
      </w:r>
      <w:r w:rsidRPr="00112E7B">
        <w:t>.</w:t>
      </w:r>
    </w:p>
    <w:p w14:paraId="77FF8F50" w14:textId="77777777" w:rsidR="00D10B5A" w:rsidRPr="00A96255" w:rsidRDefault="00D10B5A" w:rsidP="00983836">
      <w:pPr>
        <w:pStyle w:val="MText"/>
        <w:jc w:val="both"/>
      </w:pPr>
    </w:p>
    <w:p w14:paraId="17B979CA" w14:textId="449C0153" w:rsidR="00E1050F" w:rsidRPr="00A96255" w:rsidRDefault="00E1050F" w:rsidP="00983836">
      <w:pPr>
        <w:pStyle w:val="MHeader2"/>
        <w:jc w:val="both"/>
      </w:pPr>
      <w:r w:rsidRPr="00A96255">
        <w:t xml:space="preserve">4.j Quality assurance </w:t>
      </w:r>
      <w:r>
        <w:rPr>
          <w:color w:val="B4B4B4"/>
          <w:sz w:val="20"/>
        </w:rPr>
        <w:t>(QUALITY_ASSURE)</w:t>
      </w:r>
    </w:p>
    <w:p w14:paraId="7A95B4DA" w14:textId="1F227C78" w:rsidR="00FA7428" w:rsidRDefault="00FA7428" w:rsidP="00983836">
      <w:pPr>
        <w:pStyle w:val="MText"/>
        <w:jc w:val="both"/>
      </w:pPr>
      <w:r w:rsidRPr="009171FC">
        <w:t xml:space="preserve">Quality </w:t>
      </w:r>
      <w:r>
        <w:t>assurance</w:t>
      </w:r>
      <w:r w:rsidRPr="009171FC">
        <w:t xml:space="preserve"> is provided by the United Nations Environment Programme (UNEP)</w:t>
      </w:r>
      <w:r>
        <w:t xml:space="preserve"> </w:t>
      </w:r>
      <w:r w:rsidR="00DC4CBF">
        <w:t xml:space="preserve">and the United Nations statistics Division (UNSD) </w:t>
      </w:r>
      <w:r>
        <w:t>in cooperation with the countries that provide these data.</w:t>
      </w:r>
    </w:p>
    <w:p w14:paraId="03EF3244" w14:textId="77777777" w:rsidR="00EC2915" w:rsidRPr="00A96255" w:rsidRDefault="00EC2915" w:rsidP="00983836">
      <w:pPr>
        <w:pStyle w:val="MText"/>
        <w:jc w:val="both"/>
      </w:pPr>
    </w:p>
    <w:p w14:paraId="34ADD322" w14:textId="1A21C057" w:rsidR="00E1050F" w:rsidRPr="00A96255" w:rsidRDefault="00576CFA" w:rsidP="00983836">
      <w:pPr>
        <w:pStyle w:val="MHeader2"/>
        <w:jc w:val="both"/>
      </w:pPr>
      <w:r w:rsidRPr="00A96255">
        <w:t xml:space="preserve">4.k Quality assessment </w:t>
      </w:r>
      <w:r>
        <w:rPr>
          <w:color w:val="B4B4B4"/>
          <w:sz w:val="20"/>
        </w:rPr>
        <w:t>(QUALITY_ASSMNT)</w:t>
      </w:r>
    </w:p>
    <w:p w14:paraId="6CE3FEAD" w14:textId="6D473B22" w:rsidR="00DC4CBF" w:rsidRDefault="00DC4CBF" w:rsidP="00983836">
      <w:pPr>
        <w:pStyle w:val="MText"/>
        <w:jc w:val="both"/>
      </w:pPr>
      <w:r w:rsidRPr="00281C7F">
        <w:t xml:space="preserve">Quality </w:t>
      </w:r>
      <w:r>
        <w:t>assessment</w:t>
      </w:r>
      <w:r w:rsidRPr="00281C7F">
        <w:t xml:space="preserve"> is provided</w:t>
      </w:r>
      <w:r>
        <w:t xml:space="preserve"> by t</w:t>
      </w:r>
      <w:r w:rsidRPr="00281C7F">
        <w:t>he United Nations Environment Programme (UNEP)</w:t>
      </w:r>
      <w:r>
        <w:t xml:space="preserve"> and the United Nations statistics Division (UNSD).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08178EA1" w14:textId="77777777" w:rsidR="00955B3D" w:rsidRPr="00983836" w:rsidRDefault="00D51E7C" w:rsidP="00955B3D">
      <w:pPr>
        <w:pStyle w:val="MText"/>
      </w:pPr>
      <w:r w:rsidRPr="00932560">
        <w:rPr>
          <w:b/>
        </w:rPr>
        <w:t>Data availability:</w:t>
      </w:r>
    </w:p>
    <w:p w14:paraId="1CBF2DBC" w14:textId="53DF8FFD" w:rsidR="00B359CE" w:rsidRDefault="00B359CE" w:rsidP="00983836">
      <w:pPr>
        <w:pStyle w:val="MText"/>
        <w:jc w:val="both"/>
      </w:pPr>
      <w:r>
        <w:t xml:space="preserve">Level 1 </w:t>
      </w:r>
      <w:r w:rsidR="00CC2433">
        <w:t>indicator</w:t>
      </w:r>
      <w:r>
        <w:t xml:space="preserve">: modelled data </w:t>
      </w:r>
      <w:r w:rsidR="00F61F85">
        <w:t>are</w:t>
      </w:r>
      <w:r w:rsidR="004E7AF2">
        <w:t xml:space="preserve"> available for all countries.</w:t>
      </w:r>
    </w:p>
    <w:p w14:paraId="2E5A9DB8" w14:textId="3D00E316" w:rsidR="001D56E7" w:rsidRPr="00955B3D" w:rsidRDefault="004E7AF2" w:rsidP="00983836">
      <w:pPr>
        <w:pStyle w:val="MText"/>
        <w:jc w:val="both"/>
      </w:pPr>
      <w:r>
        <w:t xml:space="preserve">Level 2 </w:t>
      </w:r>
      <w:r w:rsidR="00CC2433">
        <w:t>indicator</w:t>
      </w:r>
      <w:r>
        <w:t xml:space="preserve">: </w:t>
      </w:r>
      <w:r w:rsidR="005A7B86">
        <w:t>forthcoming.</w:t>
      </w:r>
    </w:p>
    <w:p w14:paraId="2D0542F7" w14:textId="67540797" w:rsidR="00D51E7C" w:rsidRPr="00955B3D" w:rsidRDefault="00D51E7C" w:rsidP="00983836">
      <w:pPr>
        <w:pStyle w:val="MText"/>
        <w:jc w:val="both"/>
      </w:pPr>
    </w:p>
    <w:p w14:paraId="1DC90B1B" w14:textId="77777777" w:rsidR="00955B3D" w:rsidRPr="00983836" w:rsidRDefault="00D51E7C" w:rsidP="00983836">
      <w:pPr>
        <w:pStyle w:val="MText"/>
        <w:jc w:val="both"/>
      </w:pPr>
      <w:r w:rsidRPr="00932560">
        <w:rPr>
          <w:b/>
        </w:rPr>
        <w:t>Time series:</w:t>
      </w:r>
    </w:p>
    <w:p w14:paraId="2DACEEC1" w14:textId="76A813A6" w:rsidR="00B80D8F" w:rsidRDefault="00B80D8F" w:rsidP="00983836">
      <w:pPr>
        <w:pStyle w:val="MText"/>
        <w:jc w:val="both"/>
      </w:pPr>
      <w:r>
        <w:t xml:space="preserve">Level 1 indicator: </w:t>
      </w:r>
      <w:r w:rsidR="008C40EB" w:rsidRPr="005515C7">
        <w:t xml:space="preserve">The data sets presented in the SDG database </w:t>
      </w:r>
      <w:r w:rsidR="00887C4B">
        <w:t>for 2019</w:t>
      </w:r>
      <w:r w:rsidR="008C40EB" w:rsidRPr="005515C7">
        <w:t>.</w:t>
      </w:r>
    </w:p>
    <w:p w14:paraId="5853D6F7" w14:textId="66148D78" w:rsidR="00D51E7C" w:rsidRPr="00955B3D" w:rsidRDefault="00FE456D" w:rsidP="00983836">
      <w:pPr>
        <w:pStyle w:val="MText"/>
        <w:jc w:val="both"/>
      </w:pPr>
      <w:r>
        <w:t>Level 2 indicators: F</w:t>
      </w:r>
      <w:r w:rsidR="00DB6FA7">
        <w:t>orthcoming</w:t>
      </w:r>
      <w:r w:rsidR="00E65862" w:rsidRPr="00955B3D">
        <w:t>.</w:t>
      </w:r>
    </w:p>
    <w:p w14:paraId="760C013A" w14:textId="4597FCBD" w:rsidR="00D51E7C" w:rsidRPr="00955B3D" w:rsidRDefault="00D51E7C" w:rsidP="00983836">
      <w:pPr>
        <w:pStyle w:val="MText"/>
        <w:jc w:val="both"/>
      </w:pPr>
    </w:p>
    <w:p w14:paraId="06360198" w14:textId="77777777" w:rsidR="00955B3D" w:rsidRPr="00983836" w:rsidRDefault="00D51E7C" w:rsidP="00983836">
      <w:pPr>
        <w:pStyle w:val="MText"/>
        <w:jc w:val="both"/>
        <w:rPr>
          <w:rFonts w:ascii="Calibri" w:eastAsia="MS PGothic" w:hAnsi="Calibri"/>
          <w:color w:val="595959" w:themeColor="text1" w:themeTint="A6"/>
        </w:rPr>
      </w:pPr>
      <w:r w:rsidRPr="00932560">
        <w:rPr>
          <w:b/>
        </w:rPr>
        <w:t>Disaggregation:</w:t>
      </w:r>
    </w:p>
    <w:p w14:paraId="7C8A478A" w14:textId="11552588" w:rsidR="003D432C" w:rsidRDefault="00C83AD2" w:rsidP="00983836">
      <w:pPr>
        <w:pStyle w:val="MText"/>
        <w:jc w:val="both"/>
        <w:rPr>
          <w:rFonts w:ascii="Calibri" w:eastAsia="MS PGothic" w:hAnsi="Calibri"/>
          <w:bCs/>
          <w:color w:val="595959" w:themeColor="text1" w:themeTint="A6"/>
          <w:szCs w:val="24"/>
          <w:lang w:eastAsia="en-US"/>
        </w:rPr>
      </w:pPr>
      <w:r w:rsidRPr="00955B3D">
        <w:rPr>
          <w:rFonts w:ascii="Calibri" w:eastAsia="MS PGothic" w:hAnsi="Calibri"/>
          <w:bCs/>
          <w:color w:val="595959" w:themeColor="text1" w:themeTint="A6"/>
          <w:szCs w:val="24"/>
          <w:lang w:eastAsia="en-US"/>
        </w:rPr>
        <w:t>Ideally, food waste would</w:t>
      </w:r>
      <w:r w:rsidRPr="00D41B24">
        <w:rPr>
          <w:rFonts w:ascii="Calibri" w:eastAsia="MS PGothic" w:hAnsi="Calibri"/>
          <w:bCs/>
          <w:color w:val="595959" w:themeColor="text1" w:themeTint="A6"/>
          <w:szCs w:val="24"/>
          <w:lang w:eastAsia="en-US"/>
        </w:rPr>
        <w:t xml:space="preserve"> be disaggregated by edible and inedible parts (Note that it is important to </w:t>
      </w:r>
      <w:r w:rsidR="00A17DEB">
        <w:rPr>
          <w:rFonts w:ascii="Calibri" w:eastAsia="MS PGothic" w:hAnsi="Calibri"/>
          <w:bCs/>
          <w:color w:val="595959" w:themeColor="text1" w:themeTint="A6"/>
          <w:szCs w:val="24"/>
          <w:lang w:eastAsia="en-US"/>
        </w:rPr>
        <w:t>consider</w:t>
      </w:r>
      <w:r w:rsidRPr="00D41B24">
        <w:rPr>
          <w:rFonts w:ascii="Calibri" w:eastAsia="MS PGothic" w:hAnsi="Calibri"/>
          <w:bCs/>
          <w:color w:val="595959" w:themeColor="text1" w:themeTint="A6"/>
          <w:szCs w:val="24"/>
          <w:lang w:eastAsia="en-US"/>
        </w:rPr>
        <w:t xml:space="preserve"> </w:t>
      </w:r>
      <w:r>
        <w:rPr>
          <w:rFonts w:ascii="Calibri" w:eastAsia="MS PGothic" w:hAnsi="Calibri"/>
          <w:bCs/>
          <w:color w:val="595959" w:themeColor="text1" w:themeTint="A6"/>
          <w:szCs w:val="24"/>
          <w:lang w:eastAsia="en-US"/>
        </w:rPr>
        <w:t xml:space="preserve">the </w:t>
      </w:r>
      <w:r w:rsidRPr="00D41B24">
        <w:rPr>
          <w:rFonts w:ascii="Calibri" w:eastAsia="MS PGothic" w:hAnsi="Calibri"/>
          <w:bCs/>
          <w:color w:val="595959" w:themeColor="text1" w:themeTint="A6"/>
          <w:szCs w:val="24"/>
          <w:lang w:eastAsia="en-US"/>
        </w:rPr>
        <w:t xml:space="preserve">difference between countries in terms of inedible parts. Nicholes et al. </w:t>
      </w:r>
      <w:r w:rsidR="008F6F93">
        <w:rPr>
          <w:rFonts w:ascii="Calibri" w:eastAsia="MS PGothic" w:hAnsi="Calibri"/>
          <w:bCs/>
          <w:color w:val="595959" w:themeColor="text1" w:themeTint="A6"/>
          <w:szCs w:val="24"/>
          <w:lang w:eastAsia="en-US"/>
        </w:rPr>
        <w:t>2019</w:t>
      </w:r>
      <w:r w:rsidR="00DC0B9A">
        <w:rPr>
          <w:rFonts w:ascii="Calibri" w:eastAsia="MS PGothic" w:hAnsi="Calibri"/>
          <w:bCs/>
          <w:color w:val="595959" w:themeColor="text1" w:themeTint="A6"/>
          <w:szCs w:val="24"/>
          <w:lang w:eastAsia="en-US"/>
        </w:rPr>
        <w:t xml:space="preserve"> </w:t>
      </w:r>
      <w:r w:rsidRPr="00D41B24">
        <w:rPr>
          <w:rFonts w:ascii="Calibri" w:eastAsia="MS PGothic" w:hAnsi="Calibri"/>
          <w:bCs/>
          <w:color w:val="595959" w:themeColor="text1" w:themeTint="A6"/>
          <w:szCs w:val="24"/>
          <w:lang w:eastAsia="en-US"/>
        </w:rPr>
        <w:t>provides some insight into differences between countries.</w:t>
      </w:r>
    </w:p>
    <w:p w14:paraId="53334213" w14:textId="77777777" w:rsidR="006138BA" w:rsidRDefault="006138BA" w:rsidP="00983836">
      <w:pPr>
        <w:pStyle w:val="MText"/>
        <w:jc w:val="both"/>
        <w:rPr>
          <w:rFonts w:ascii="Calibri" w:eastAsia="MS PGothic" w:hAnsi="Calibri"/>
          <w:bCs/>
          <w:color w:val="595959" w:themeColor="text1" w:themeTint="A6"/>
          <w:szCs w:val="24"/>
          <w:lang w:eastAsia="en-US"/>
        </w:rPr>
      </w:pPr>
    </w:p>
    <w:p w14:paraId="0C961DF6" w14:textId="15D549CE" w:rsidR="006138BA" w:rsidRDefault="006138BA" w:rsidP="00983836">
      <w:pPr>
        <w:pStyle w:val="MText"/>
        <w:jc w:val="both"/>
        <w:rPr>
          <w:rFonts w:ascii="Calibri" w:eastAsia="MS PGothic" w:hAnsi="Calibri"/>
          <w:bCs/>
          <w:color w:val="595959" w:themeColor="text1" w:themeTint="A6"/>
          <w:szCs w:val="24"/>
          <w:lang w:eastAsia="en-US"/>
        </w:rPr>
      </w:pPr>
      <w:r>
        <w:rPr>
          <w:rFonts w:ascii="Calibri" w:eastAsia="MS PGothic" w:hAnsi="Calibri"/>
          <w:bCs/>
          <w:color w:val="595959" w:themeColor="text1" w:themeTint="A6"/>
          <w:szCs w:val="24"/>
          <w:lang w:eastAsia="en-US"/>
        </w:rPr>
        <w:t xml:space="preserve">Food waste </w:t>
      </w:r>
      <w:r w:rsidR="00C670E3">
        <w:rPr>
          <w:rFonts w:ascii="Calibri" w:eastAsia="MS PGothic" w:hAnsi="Calibri"/>
          <w:bCs/>
          <w:color w:val="595959" w:themeColor="text1" w:themeTint="A6"/>
          <w:szCs w:val="24"/>
          <w:lang w:eastAsia="en-US"/>
        </w:rPr>
        <w:t>also would be disaggregated by</w:t>
      </w:r>
      <w:r>
        <w:rPr>
          <w:rFonts w:ascii="Calibri" w:eastAsia="MS PGothic" w:hAnsi="Calibri"/>
          <w:bCs/>
          <w:color w:val="595959" w:themeColor="text1" w:themeTint="A6"/>
          <w:szCs w:val="24"/>
          <w:lang w:eastAsia="en-US"/>
        </w:rPr>
        <w:t xml:space="preserve"> </w:t>
      </w:r>
      <w:r w:rsidR="002E5649">
        <w:rPr>
          <w:rFonts w:ascii="Calibri" w:eastAsia="MS PGothic" w:hAnsi="Calibri"/>
          <w:bCs/>
          <w:color w:val="595959" w:themeColor="text1" w:themeTint="A6"/>
          <w:szCs w:val="24"/>
          <w:lang w:eastAsia="en-US"/>
        </w:rPr>
        <w:t>lifecycle</w:t>
      </w:r>
      <w:r>
        <w:rPr>
          <w:rFonts w:ascii="Calibri" w:eastAsia="MS PGothic" w:hAnsi="Calibri"/>
          <w:bCs/>
          <w:color w:val="595959" w:themeColor="text1" w:themeTint="A6"/>
          <w:szCs w:val="24"/>
          <w:lang w:eastAsia="en-US"/>
        </w:rPr>
        <w:t xml:space="preserve"> stage</w:t>
      </w:r>
      <w:r w:rsidR="00083878">
        <w:rPr>
          <w:rFonts w:ascii="Calibri" w:eastAsia="MS PGothic" w:hAnsi="Calibri"/>
          <w:bCs/>
          <w:color w:val="595959" w:themeColor="text1" w:themeTint="A6"/>
          <w:szCs w:val="24"/>
          <w:lang w:eastAsia="en-US"/>
        </w:rPr>
        <w:t xml:space="preserve"> (or sector)</w:t>
      </w:r>
      <w:r>
        <w:rPr>
          <w:rFonts w:ascii="Calibri" w:eastAsia="MS PGothic" w:hAnsi="Calibri"/>
          <w:bCs/>
          <w:color w:val="595959" w:themeColor="text1" w:themeTint="A6"/>
          <w:szCs w:val="24"/>
          <w:lang w:eastAsia="en-US"/>
        </w:rPr>
        <w:t>: retail, food service, households.</w:t>
      </w:r>
    </w:p>
    <w:p w14:paraId="27EF23F1" w14:textId="0A8D7A32" w:rsidR="00C83AD2" w:rsidRPr="00D41B24" w:rsidRDefault="00C83AD2" w:rsidP="00983836">
      <w:pPr>
        <w:pStyle w:val="MText"/>
        <w:jc w:val="both"/>
        <w:rPr>
          <w:rFonts w:ascii="Calibri" w:eastAsia="MS PGothic" w:hAnsi="Calibri"/>
          <w:bCs/>
          <w:color w:val="595959" w:themeColor="text1" w:themeTint="A6"/>
          <w:szCs w:val="24"/>
          <w:lang w:eastAsia="en-US"/>
        </w:rPr>
      </w:pPr>
    </w:p>
    <w:p w14:paraId="1C428AF4" w14:textId="77777777" w:rsidR="00C83AD2" w:rsidRPr="00D41B24" w:rsidRDefault="00C83AD2" w:rsidP="00983836">
      <w:pPr>
        <w:shd w:val="clear" w:color="auto" w:fill="FFFFFF"/>
        <w:spacing w:after="0"/>
        <w:jc w:val="both"/>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 xml:space="preserve">Disaggregation of food waste by destination is important for understanding the best way to optimize the use of food waste for fertilizer. This includes: </w:t>
      </w:r>
    </w:p>
    <w:p w14:paraId="3FD9612C" w14:textId="77777777" w:rsidR="00C83AD2" w:rsidRPr="00D41B24" w:rsidRDefault="00C83AD2" w:rsidP="00983836">
      <w:pPr>
        <w:pStyle w:val="ListParagraph"/>
        <w:numPr>
          <w:ilvl w:val="0"/>
          <w:numId w:val="5"/>
        </w:numPr>
        <w:shd w:val="clear" w:color="auto" w:fill="FFFFFF"/>
        <w:spacing w:after="0"/>
        <w:jc w:val="both"/>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Co</w:t>
      </w:r>
      <w:r>
        <w:rPr>
          <w:rFonts w:ascii="Calibri" w:eastAsia="MS PGothic" w:hAnsi="Calibri" w:cs="Times New Roman"/>
          <w:bCs/>
          <w:color w:val="595959" w:themeColor="text1" w:themeTint="A6"/>
          <w:sz w:val="21"/>
          <w:szCs w:val="24"/>
          <w:lang w:eastAsia="en-US"/>
        </w:rPr>
        <w:t>-</w:t>
      </w:r>
      <w:r w:rsidRPr="00D41B24">
        <w:rPr>
          <w:rFonts w:ascii="Calibri" w:eastAsia="MS PGothic" w:hAnsi="Calibri" w:cs="Times New Roman"/>
          <w:bCs/>
          <w:color w:val="595959" w:themeColor="text1" w:themeTint="A6"/>
          <w:sz w:val="21"/>
          <w:szCs w:val="24"/>
          <w:lang w:eastAsia="en-US"/>
        </w:rPr>
        <w:t>digestion/anaerobic digestion,</w:t>
      </w:r>
    </w:p>
    <w:p w14:paraId="1171A71C" w14:textId="77777777" w:rsidR="00C83AD2" w:rsidRPr="00D41B24" w:rsidRDefault="00C83AD2" w:rsidP="00983836">
      <w:pPr>
        <w:pStyle w:val="ListParagraph"/>
        <w:numPr>
          <w:ilvl w:val="0"/>
          <w:numId w:val="5"/>
        </w:numPr>
        <w:shd w:val="clear" w:color="auto" w:fill="FFFFFF"/>
        <w:spacing w:after="0"/>
        <w:jc w:val="both"/>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Composting/aerobic process,</w:t>
      </w:r>
    </w:p>
    <w:p w14:paraId="502493A5" w14:textId="77777777" w:rsidR="00C83AD2" w:rsidRPr="00D41B24" w:rsidRDefault="00C83AD2" w:rsidP="00983836">
      <w:pPr>
        <w:pStyle w:val="ListParagraph"/>
        <w:numPr>
          <w:ilvl w:val="0"/>
          <w:numId w:val="5"/>
        </w:numPr>
        <w:shd w:val="clear" w:color="auto" w:fill="FFFFFF"/>
        <w:spacing w:after="0"/>
        <w:jc w:val="both"/>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Controlled combustion,</w:t>
      </w:r>
    </w:p>
    <w:p w14:paraId="2640FCCE" w14:textId="77777777" w:rsidR="00C83AD2" w:rsidRPr="00D41B24" w:rsidRDefault="00C83AD2" w:rsidP="00983836">
      <w:pPr>
        <w:pStyle w:val="ListParagraph"/>
        <w:numPr>
          <w:ilvl w:val="0"/>
          <w:numId w:val="5"/>
        </w:numPr>
        <w:shd w:val="clear" w:color="auto" w:fill="FFFFFF"/>
        <w:spacing w:after="0"/>
        <w:jc w:val="both"/>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Land application,</w:t>
      </w:r>
    </w:p>
    <w:p w14:paraId="262F38D7" w14:textId="77777777" w:rsidR="00C83AD2" w:rsidRPr="00D41B24" w:rsidRDefault="00C83AD2" w:rsidP="00983836">
      <w:pPr>
        <w:pStyle w:val="ListParagraph"/>
        <w:numPr>
          <w:ilvl w:val="0"/>
          <w:numId w:val="5"/>
        </w:numPr>
        <w:shd w:val="clear" w:color="auto" w:fill="FFFFFF"/>
        <w:spacing w:after="0"/>
        <w:jc w:val="both"/>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Landfill,</w:t>
      </w:r>
    </w:p>
    <w:p w14:paraId="7CA446F3" w14:textId="709594F2" w:rsidR="00C83AD2" w:rsidRPr="00D41B24" w:rsidRDefault="00C83AD2" w:rsidP="00983836">
      <w:pPr>
        <w:pStyle w:val="ListParagraph"/>
        <w:numPr>
          <w:ilvl w:val="0"/>
          <w:numId w:val="5"/>
        </w:numPr>
        <w:shd w:val="clear" w:color="auto" w:fill="FFFFFF"/>
        <w:spacing w:after="0"/>
        <w:jc w:val="both"/>
        <w:rPr>
          <w:rFonts w:ascii="Calibri" w:eastAsia="MS PGothic" w:hAnsi="Calibri" w:cs="Times New Roman"/>
          <w:bCs/>
          <w:color w:val="595959" w:themeColor="text1" w:themeTint="A6"/>
          <w:sz w:val="21"/>
          <w:szCs w:val="24"/>
          <w:lang w:eastAsia="en-US"/>
        </w:rPr>
      </w:pPr>
      <w:r w:rsidRPr="00D41B24">
        <w:rPr>
          <w:rFonts w:ascii="Calibri" w:eastAsia="MS PGothic" w:hAnsi="Calibri" w:cs="Times New Roman"/>
          <w:bCs/>
          <w:color w:val="595959" w:themeColor="text1" w:themeTint="A6"/>
          <w:sz w:val="21"/>
          <w:szCs w:val="24"/>
          <w:lang w:eastAsia="en-US"/>
        </w:rPr>
        <w:t>Refuse/discards/litter</w:t>
      </w:r>
      <w:r w:rsidR="003D432C">
        <w:rPr>
          <w:rFonts w:ascii="Calibri" w:eastAsia="MS PGothic" w:hAnsi="Calibri" w:cs="Times New Roman"/>
          <w:bCs/>
          <w:color w:val="595959" w:themeColor="text1" w:themeTint="A6"/>
          <w:sz w:val="21"/>
          <w:szCs w:val="24"/>
          <w:lang w:eastAsia="en-US"/>
        </w:rPr>
        <w:t>.</w:t>
      </w:r>
    </w:p>
    <w:p w14:paraId="42E8CA56" w14:textId="77777777" w:rsidR="00D51E7C" w:rsidRPr="00A96255" w:rsidRDefault="00D51E7C" w:rsidP="00576CFA">
      <w:pPr>
        <w:pStyle w:val="MText"/>
      </w:pPr>
    </w:p>
    <w:p w14:paraId="4D0520F7" w14:textId="0AF612B3"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AA93EDA" w14:textId="77777777" w:rsidR="00955B3D" w:rsidRPr="00983836" w:rsidRDefault="00D51E7C" w:rsidP="00983836">
      <w:pPr>
        <w:shd w:val="clear" w:color="auto" w:fill="FFFFFF" w:themeFill="background1"/>
        <w:spacing w:after="0"/>
        <w:jc w:val="both"/>
        <w:rPr>
          <w:color w:val="4A4A4A"/>
          <w:sz w:val="21"/>
        </w:rPr>
      </w:pPr>
      <w:r w:rsidRPr="00932560">
        <w:rPr>
          <w:b/>
          <w:color w:val="4A4A4A"/>
        </w:rPr>
        <w:t>Sources of discrepancies:</w:t>
      </w:r>
    </w:p>
    <w:p w14:paraId="116C3372" w14:textId="0323F403" w:rsidR="001372B5" w:rsidRPr="00C27990" w:rsidRDefault="001372B5" w:rsidP="00983836">
      <w:pPr>
        <w:shd w:val="clear" w:color="auto" w:fill="FFFFFF"/>
        <w:spacing w:after="0"/>
        <w:jc w:val="both"/>
        <w:rPr>
          <w:rFonts w:eastAsia="Times New Roman" w:cs="Times New Roman"/>
          <w:color w:val="4A4A4A"/>
          <w:sz w:val="21"/>
          <w:szCs w:val="21"/>
          <w:lang w:eastAsia="en-GB"/>
        </w:rPr>
      </w:pPr>
      <w:r w:rsidRPr="00955B3D">
        <w:rPr>
          <w:rFonts w:eastAsia="Times New Roman" w:cs="Times New Roman"/>
          <w:color w:val="4A4A4A"/>
          <w:sz w:val="21"/>
          <w:szCs w:val="21"/>
          <w:lang w:eastAsia="en-GB"/>
        </w:rPr>
        <w:t>As mentioned</w:t>
      </w:r>
      <w:r w:rsidR="003D432C">
        <w:rPr>
          <w:rFonts w:eastAsia="Times New Roman" w:cs="Times New Roman"/>
          <w:color w:val="4A4A4A"/>
          <w:sz w:val="21"/>
          <w:szCs w:val="21"/>
          <w:lang w:eastAsia="en-GB"/>
        </w:rPr>
        <w:t xml:space="preserve"> earlier in 3.a</w:t>
      </w:r>
      <w:r w:rsidRPr="00955B3D">
        <w:rPr>
          <w:rFonts w:eastAsia="Times New Roman" w:cs="Times New Roman"/>
          <w:color w:val="4A4A4A"/>
          <w:sz w:val="21"/>
          <w:szCs w:val="21"/>
          <w:lang w:eastAsia="en-GB"/>
        </w:rPr>
        <w:t xml:space="preserve">, waste statistics </w:t>
      </w:r>
      <w:r>
        <w:rPr>
          <w:rFonts w:eastAsia="Times New Roman" w:cs="Times New Roman"/>
          <w:color w:val="4A4A4A"/>
          <w:sz w:val="21"/>
          <w:szCs w:val="21"/>
          <w:lang w:eastAsia="en-GB"/>
        </w:rPr>
        <w:t xml:space="preserve">involve a large number of national and sub-national stakeholders which may create discrepancies. </w:t>
      </w:r>
      <w:r w:rsidRPr="00C27990">
        <w:rPr>
          <w:rFonts w:eastAsia="Times New Roman" w:cs="Times New Roman"/>
          <w:color w:val="4A4A4A"/>
          <w:sz w:val="21"/>
          <w:szCs w:val="21"/>
          <w:lang w:eastAsia="en-GB"/>
        </w:rPr>
        <w:t>Additionally, there are a number of challenges related to the following:</w:t>
      </w:r>
    </w:p>
    <w:p w14:paraId="7EFE45D9" w14:textId="357FFE60" w:rsidR="001372B5" w:rsidRPr="00D41B24" w:rsidRDefault="001372B5" w:rsidP="0098383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D41B24">
        <w:rPr>
          <w:rFonts w:eastAsia="Times New Roman" w:cs="Times New Roman"/>
          <w:color w:val="4A4A4A"/>
          <w:sz w:val="21"/>
          <w:szCs w:val="21"/>
          <w:lang w:eastAsia="en-GB"/>
        </w:rPr>
        <w:t>Variations in waste over time can have a significant impact on estimated quantities of waste when short studies (e.g. a week) are used to represent a longer time period (a year)</w:t>
      </w:r>
      <w:r w:rsidR="003D432C">
        <w:rPr>
          <w:rFonts w:eastAsia="Times New Roman" w:cs="Times New Roman"/>
          <w:color w:val="4A4A4A"/>
          <w:sz w:val="21"/>
          <w:szCs w:val="21"/>
          <w:lang w:eastAsia="en-GB"/>
        </w:rPr>
        <w:t>,</w:t>
      </w:r>
    </w:p>
    <w:p w14:paraId="7BCA80D4" w14:textId="0A4E8976" w:rsidR="001372B5" w:rsidRPr="00D41B24" w:rsidRDefault="001372B5" w:rsidP="0098383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D41B24">
        <w:rPr>
          <w:rFonts w:eastAsia="Times New Roman" w:cs="Times New Roman"/>
          <w:color w:val="4A4A4A"/>
          <w:sz w:val="21"/>
          <w:szCs w:val="21"/>
          <w:lang w:eastAsia="en-GB"/>
        </w:rPr>
        <w:t>The specific time of year when a study takes place which may affect the waste produced</w:t>
      </w:r>
      <w:r w:rsidR="003D432C">
        <w:rPr>
          <w:rFonts w:eastAsia="Times New Roman" w:cs="Times New Roman"/>
          <w:color w:val="4A4A4A"/>
          <w:sz w:val="21"/>
          <w:szCs w:val="21"/>
          <w:lang w:eastAsia="en-GB"/>
        </w:rPr>
        <w:t>,</w:t>
      </w:r>
    </w:p>
    <w:p w14:paraId="22BD2D8B" w14:textId="597DF36D" w:rsidR="001372B5" w:rsidRPr="00D41B24" w:rsidRDefault="001372B5" w:rsidP="0098383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D41B24">
        <w:rPr>
          <w:rFonts w:eastAsia="Times New Roman" w:cs="Times New Roman"/>
          <w:color w:val="4A4A4A"/>
          <w:sz w:val="21"/>
          <w:szCs w:val="21"/>
          <w:lang w:eastAsia="en-GB"/>
        </w:rPr>
        <w:t>Natural variation over time in amounts of waste generated by single entities (e.g.</w:t>
      </w:r>
      <w:r w:rsidR="00D91CE5">
        <w:rPr>
          <w:rFonts w:eastAsia="Times New Roman" w:cs="Times New Roman"/>
          <w:color w:val="4A4A4A"/>
          <w:sz w:val="21"/>
          <w:szCs w:val="21"/>
          <w:lang w:eastAsia="en-GB"/>
        </w:rPr>
        <w:t>,</w:t>
      </w:r>
      <w:r w:rsidRPr="00D41B24">
        <w:rPr>
          <w:rFonts w:eastAsia="Times New Roman" w:cs="Times New Roman"/>
          <w:color w:val="4A4A4A"/>
          <w:sz w:val="21"/>
          <w:szCs w:val="21"/>
          <w:lang w:eastAsia="en-GB"/>
        </w:rPr>
        <w:t xml:space="preserve"> households or restaurants)</w:t>
      </w:r>
      <w:r w:rsidR="003D432C">
        <w:rPr>
          <w:rFonts w:eastAsia="Times New Roman" w:cs="Times New Roman"/>
          <w:color w:val="4A4A4A"/>
          <w:sz w:val="21"/>
          <w:szCs w:val="21"/>
          <w:lang w:eastAsia="en-GB"/>
        </w:rPr>
        <w:t>,</w:t>
      </w:r>
      <w:r w:rsidRPr="00D41B24">
        <w:rPr>
          <w:rFonts w:eastAsia="Times New Roman" w:cs="Times New Roman"/>
          <w:color w:val="4A4A4A"/>
          <w:sz w:val="21"/>
          <w:szCs w:val="21"/>
          <w:lang w:eastAsia="en-GB"/>
        </w:rPr>
        <w:t xml:space="preserve"> </w:t>
      </w:r>
    </w:p>
    <w:p w14:paraId="4E88EFF5" w14:textId="77777777" w:rsidR="001372B5" w:rsidRPr="00D41B24" w:rsidRDefault="001372B5" w:rsidP="00983836">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D41B24">
        <w:rPr>
          <w:rFonts w:eastAsia="Times New Roman" w:cs="Times New Roman"/>
          <w:color w:val="4A4A4A"/>
          <w:sz w:val="21"/>
          <w:szCs w:val="21"/>
          <w:lang w:eastAsia="en-GB"/>
        </w:rPr>
        <w:t xml:space="preserve">At a national level, countries may have to rely on other entities to measure their own waste and report to the government, which would then be collated and analysed to estimate the total amount. How the data is collected would vary by </w:t>
      </w:r>
      <w:r>
        <w:rPr>
          <w:rFonts w:eastAsia="Times New Roman" w:cs="Times New Roman"/>
          <w:color w:val="4A4A4A"/>
          <w:sz w:val="21"/>
          <w:szCs w:val="21"/>
          <w:lang w:eastAsia="en-GB"/>
        </w:rPr>
        <w:t xml:space="preserve">the </w:t>
      </w:r>
      <w:r w:rsidRPr="00D41B24">
        <w:rPr>
          <w:rFonts w:eastAsia="Times New Roman" w:cs="Times New Roman"/>
          <w:color w:val="4A4A4A"/>
          <w:sz w:val="21"/>
          <w:szCs w:val="21"/>
          <w:lang w:eastAsia="en-GB"/>
        </w:rPr>
        <w:t xml:space="preserve">food chain stage as the way food waste is generated in each stage varies. For example, a large formal retailer (supermarket chain) may keep records of stock unsold and discarded which could be reported. On the other hand, a government requesting reporting from households may have to issue guidance to local municipalities and prescribe a quantification method e.g. a food waste diary. The reported quantities may require scaling if a government cannot obtain reports from the entire </w:t>
      </w:r>
      <w:r w:rsidRPr="00D41B24">
        <w:rPr>
          <w:rFonts w:eastAsia="Times New Roman" w:cs="Times New Roman"/>
          <w:color w:val="4A4A4A"/>
          <w:sz w:val="21"/>
          <w:szCs w:val="21"/>
          <w:lang w:eastAsia="en-GB"/>
        </w:rPr>
        <w:lastRenderedPageBreak/>
        <w:t>population of the food chain stage i.e. it is unlikely that every household in the country would report.</w:t>
      </w:r>
    </w:p>
    <w:p w14:paraId="3C2D4870" w14:textId="766A6843"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9D3F70F" w14:textId="69E2B66D" w:rsidR="00815702" w:rsidRDefault="00000000" w:rsidP="00815702">
      <w:pPr>
        <w:pStyle w:val="MText"/>
        <w:rPr>
          <w:color w:val="595959" w:themeColor="text1" w:themeTint="A6"/>
        </w:rPr>
      </w:pPr>
      <w:hyperlink r:id="rId14" w:history="1">
        <w:r w:rsidR="00815702" w:rsidRPr="003E1BF5">
          <w:rPr>
            <w:rStyle w:val="Hyperlink"/>
          </w:rPr>
          <w:t>UNEP (2021). Food Waste Index Report 2021</w:t>
        </w:r>
      </w:hyperlink>
      <w:r w:rsidR="00815702" w:rsidRPr="007D1D44">
        <w:rPr>
          <w:color w:val="595959" w:themeColor="text1" w:themeTint="A6"/>
        </w:rPr>
        <w:t>.</w:t>
      </w:r>
    </w:p>
    <w:p w14:paraId="397D71C7" w14:textId="77777777" w:rsidR="00815702" w:rsidRDefault="00815702" w:rsidP="00983836">
      <w:pPr>
        <w:pStyle w:val="MText"/>
        <w:rPr>
          <w:color w:val="595959" w:themeColor="text1" w:themeTint="A6"/>
        </w:rPr>
      </w:pPr>
    </w:p>
    <w:p w14:paraId="784C9140" w14:textId="23B9BBF0" w:rsidR="00815702" w:rsidRDefault="00000000" w:rsidP="00815702">
      <w:pPr>
        <w:spacing w:after="0" w:line="240" w:lineRule="auto"/>
        <w:rPr>
          <w:rFonts w:eastAsia="Times New Roman" w:cs="Times New Roman"/>
          <w:color w:val="4A4A4A"/>
          <w:sz w:val="21"/>
          <w:szCs w:val="21"/>
          <w:lang w:eastAsia="en-GB"/>
        </w:rPr>
      </w:pPr>
      <w:hyperlink r:id="rId15" w:history="1">
        <w:r w:rsidR="00815702" w:rsidRPr="00A02EFB">
          <w:rPr>
            <w:rStyle w:val="Hyperlink"/>
          </w:rPr>
          <w:t>UNEP (2021). Global Chemicals and Waste Indicator Review Document</w:t>
        </w:r>
      </w:hyperlink>
      <w:r w:rsidR="00815702">
        <w:rPr>
          <w:color w:val="595959" w:themeColor="text1" w:themeTint="A6"/>
        </w:rPr>
        <w:t>.</w:t>
      </w:r>
    </w:p>
    <w:p w14:paraId="2939E9BE" w14:textId="56D15A4C" w:rsidR="00916442" w:rsidRDefault="00916442" w:rsidP="00815702">
      <w:pPr>
        <w:spacing w:after="0" w:line="240" w:lineRule="auto"/>
        <w:rPr>
          <w:rFonts w:eastAsia="Times New Roman" w:cs="Times New Roman"/>
          <w:color w:val="4A4A4A"/>
          <w:sz w:val="21"/>
          <w:szCs w:val="21"/>
          <w:lang w:eastAsia="en-GB"/>
        </w:rPr>
      </w:pPr>
    </w:p>
    <w:p w14:paraId="022AEA7A" w14:textId="001ACF5F" w:rsidR="00B82DB3" w:rsidRPr="00983836" w:rsidRDefault="00B82DB3" w:rsidP="00983836">
      <w:pPr>
        <w:spacing w:after="0" w:line="240" w:lineRule="auto"/>
        <w:jc w:val="both"/>
        <w:rPr>
          <w:rFonts w:ascii="Calibri" w:eastAsia="Times New Roman" w:hAnsi="Calibri" w:cs="Calibri"/>
          <w:color w:val="4A4A4A"/>
          <w:sz w:val="21"/>
          <w:szCs w:val="21"/>
          <w:lang w:eastAsia="en-GB"/>
        </w:rPr>
      </w:pPr>
    </w:p>
    <w:p w14:paraId="1F922277" w14:textId="7DDDEF1A" w:rsidR="00B82DB3" w:rsidRPr="00983836" w:rsidRDefault="00B82DB3" w:rsidP="00983836">
      <w:pPr>
        <w:pStyle w:val="MText"/>
        <w:rPr>
          <w:lang w:val="en-US"/>
        </w:rPr>
      </w:pPr>
      <w:r w:rsidRPr="00983836">
        <w:rPr>
          <w:lang w:val="en-US"/>
        </w:rPr>
        <w:t>Nicholes, M. J., Quested, T. E., Reynolds, C., Gillick, S., &amp; Parry, A. D. (2019). Surely you don’t eat parsnip</w:t>
      </w:r>
      <w:r w:rsidR="00F87FAA" w:rsidRPr="00983836">
        <w:rPr>
          <w:lang w:val="en-US"/>
        </w:rPr>
        <w:t xml:space="preserve"> </w:t>
      </w:r>
      <w:r w:rsidRPr="00983836">
        <w:rPr>
          <w:lang w:val="en-US"/>
        </w:rPr>
        <w:t>skins? Categorising the edibility of food waste.</w:t>
      </w:r>
      <w:r w:rsidR="00F87FAA" w:rsidRPr="00983836">
        <w:rPr>
          <w:lang w:val="en-US"/>
        </w:rPr>
        <w:t xml:space="preserve"> </w:t>
      </w:r>
      <w:r w:rsidRPr="00983836">
        <w:rPr>
          <w:lang w:val="en-US"/>
        </w:rPr>
        <w:t>Resources, Conservation and Recycling, 147, 179–188.</w:t>
      </w:r>
      <w:r w:rsidR="00F87FAA" w:rsidRPr="00983836">
        <w:rPr>
          <w:lang w:val="en-US"/>
        </w:rPr>
        <w:t xml:space="preserve"> </w:t>
      </w:r>
      <w:r w:rsidRPr="00983836">
        <w:rPr>
          <w:lang w:val="en-US"/>
        </w:rPr>
        <w:t>https://doi.org/10.1016/j.resconrec.2019.03.004</w:t>
      </w:r>
    </w:p>
    <w:sectPr w:rsidR="00B82DB3" w:rsidRPr="00983836">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7B855" w14:textId="77777777" w:rsidR="00526799" w:rsidRDefault="00526799" w:rsidP="00573C0B">
      <w:pPr>
        <w:spacing w:after="0" w:line="240" w:lineRule="auto"/>
      </w:pPr>
      <w:r>
        <w:separator/>
      </w:r>
    </w:p>
  </w:endnote>
  <w:endnote w:type="continuationSeparator" w:id="0">
    <w:p w14:paraId="06785127" w14:textId="77777777" w:rsidR="00526799" w:rsidRDefault="00526799" w:rsidP="00573C0B">
      <w:pPr>
        <w:spacing w:after="0" w:line="240" w:lineRule="auto"/>
      </w:pPr>
      <w:r>
        <w:continuationSeparator/>
      </w:r>
    </w:p>
  </w:endnote>
  <w:endnote w:type="continuationNotice" w:id="1">
    <w:p w14:paraId="078F51B7" w14:textId="77777777" w:rsidR="00526799" w:rsidRDefault="005267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3CF0E" w14:textId="77777777" w:rsidR="00526799" w:rsidRDefault="00526799" w:rsidP="00573C0B">
      <w:pPr>
        <w:spacing w:after="0" w:line="240" w:lineRule="auto"/>
      </w:pPr>
      <w:r>
        <w:separator/>
      </w:r>
    </w:p>
  </w:footnote>
  <w:footnote w:type="continuationSeparator" w:id="0">
    <w:p w14:paraId="71FE8A97" w14:textId="77777777" w:rsidR="00526799" w:rsidRDefault="00526799" w:rsidP="00573C0B">
      <w:pPr>
        <w:spacing w:after="0" w:line="240" w:lineRule="auto"/>
      </w:pPr>
      <w:r>
        <w:continuationSeparator/>
      </w:r>
    </w:p>
  </w:footnote>
  <w:footnote w:type="continuationNotice" w:id="1">
    <w:p w14:paraId="222A5911" w14:textId="77777777" w:rsidR="00526799" w:rsidRDefault="005267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05558BE"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D0847">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pt;height:6.5pt" o:bullet="t">
        <v:imagedata r:id="rId1" o:title="Featured listfin"/>
      </v:shape>
    </w:pict>
  </w:numPicBullet>
  <w:abstractNum w:abstractNumId="0" w15:restartNumberingAfterBreak="0">
    <w:nsid w:val="01332701"/>
    <w:multiLevelType w:val="hybridMultilevel"/>
    <w:tmpl w:val="2B9C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552E0"/>
    <w:multiLevelType w:val="hybridMultilevel"/>
    <w:tmpl w:val="AF1673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D15F2"/>
    <w:multiLevelType w:val="hybridMultilevel"/>
    <w:tmpl w:val="13C00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31BD1"/>
    <w:multiLevelType w:val="hybridMultilevel"/>
    <w:tmpl w:val="B61E1C6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5F3C86"/>
    <w:multiLevelType w:val="hybridMultilevel"/>
    <w:tmpl w:val="67326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A72AF5"/>
    <w:multiLevelType w:val="hybridMultilevel"/>
    <w:tmpl w:val="7BD8899C"/>
    <w:lvl w:ilvl="0" w:tplc="07A46364">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9" w15:restartNumberingAfterBreak="0">
    <w:nsid w:val="50B746F5"/>
    <w:multiLevelType w:val="hybridMultilevel"/>
    <w:tmpl w:val="366C34D6"/>
    <w:lvl w:ilvl="0" w:tplc="07A46364">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E0D0D"/>
    <w:multiLevelType w:val="hybridMultilevel"/>
    <w:tmpl w:val="1D9072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860887"/>
    <w:multiLevelType w:val="hybridMultilevel"/>
    <w:tmpl w:val="28C6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B6C46"/>
    <w:multiLevelType w:val="hybridMultilevel"/>
    <w:tmpl w:val="CBEE0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023367"/>
    <w:multiLevelType w:val="hybridMultilevel"/>
    <w:tmpl w:val="6DFA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1D76C9"/>
    <w:multiLevelType w:val="hybridMultilevel"/>
    <w:tmpl w:val="BBB6A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403255">
    <w:abstractNumId w:val="10"/>
  </w:num>
  <w:num w:numId="2" w16cid:durableId="153375952">
    <w:abstractNumId w:val="4"/>
  </w:num>
  <w:num w:numId="3" w16cid:durableId="1837764500">
    <w:abstractNumId w:val="15"/>
  </w:num>
  <w:num w:numId="4" w16cid:durableId="493297861">
    <w:abstractNumId w:val="6"/>
  </w:num>
  <w:num w:numId="5" w16cid:durableId="322970711">
    <w:abstractNumId w:val="7"/>
  </w:num>
  <w:num w:numId="6" w16cid:durableId="1451244726">
    <w:abstractNumId w:val="9"/>
  </w:num>
  <w:num w:numId="7" w16cid:durableId="1942495615">
    <w:abstractNumId w:val="11"/>
  </w:num>
  <w:num w:numId="8" w16cid:durableId="1868716977">
    <w:abstractNumId w:val="8"/>
  </w:num>
  <w:num w:numId="9" w16cid:durableId="652487045">
    <w:abstractNumId w:val="13"/>
  </w:num>
  <w:num w:numId="10" w16cid:durableId="719935517">
    <w:abstractNumId w:val="5"/>
  </w:num>
  <w:num w:numId="11" w16cid:durableId="693264933">
    <w:abstractNumId w:val="0"/>
  </w:num>
  <w:num w:numId="12" w16cid:durableId="1728723464">
    <w:abstractNumId w:val="12"/>
  </w:num>
  <w:num w:numId="13" w16cid:durableId="507602647">
    <w:abstractNumId w:val="16"/>
  </w:num>
  <w:num w:numId="14" w16cid:durableId="710230246">
    <w:abstractNumId w:val="2"/>
  </w:num>
  <w:num w:numId="15" w16cid:durableId="425275516">
    <w:abstractNumId w:val="14"/>
  </w:num>
  <w:num w:numId="16" w16cid:durableId="1049453220">
    <w:abstractNumId w:val="1"/>
  </w:num>
  <w:num w:numId="17" w16cid:durableId="1359042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5FD"/>
    <w:rsid w:val="000070BA"/>
    <w:rsid w:val="000173F9"/>
    <w:rsid w:val="000252DE"/>
    <w:rsid w:val="00025621"/>
    <w:rsid w:val="00026BD7"/>
    <w:rsid w:val="000402EB"/>
    <w:rsid w:val="000412A0"/>
    <w:rsid w:val="00047DDA"/>
    <w:rsid w:val="000530FE"/>
    <w:rsid w:val="0005455A"/>
    <w:rsid w:val="00071F07"/>
    <w:rsid w:val="00072D1D"/>
    <w:rsid w:val="0007514A"/>
    <w:rsid w:val="0007759D"/>
    <w:rsid w:val="000777AB"/>
    <w:rsid w:val="00077F46"/>
    <w:rsid w:val="00083878"/>
    <w:rsid w:val="00086DD3"/>
    <w:rsid w:val="0008796F"/>
    <w:rsid w:val="00090FB1"/>
    <w:rsid w:val="00092E8C"/>
    <w:rsid w:val="00093A7C"/>
    <w:rsid w:val="00096186"/>
    <w:rsid w:val="000A529D"/>
    <w:rsid w:val="000A72E4"/>
    <w:rsid w:val="000B0072"/>
    <w:rsid w:val="000B0789"/>
    <w:rsid w:val="000B0E2F"/>
    <w:rsid w:val="000B2430"/>
    <w:rsid w:val="000C2A0F"/>
    <w:rsid w:val="000C2F10"/>
    <w:rsid w:val="000D0B30"/>
    <w:rsid w:val="000E21F1"/>
    <w:rsid w:val="000E75C0"/>
    <w:rsid w:val="000F0ED8"/>
    <w:rsid w:val="000F4FE2"/>
    <w:rsid w:val="000F703E"/>
    <w:rsid w:val="00110A0F"/>
    <w:rsid w:val="00112E7B"/>
    <w:rsid w:val="00120E86"/>
    <w:rsid w:val="0012305C"/>
    <w:rsid w:val="00125DE9"/>
    <w:rsid w:val="0012779E"/>
    <w:rsid w:val="001332E0"/>
    <w:rsid w:val="00134DE7"/>
    <w:rsid w:val="001372B5"/>
    <w:rsid w:val="001374FB"/>
    <w:rsid w:val="00162996"/>
    <w:rsid w:val="001705A1"/>
    <w:rsid w:val="00185354"/>
    <w:rsid w:val="001854DC"/>
    <w:rsid w:val="00186795"/>
    <w:rsid w:val="00194D09"/>
    <w:rsid w:val="00195860"/>
    <w:rsid w:val="001A17C1"/>
    <w:rsid w:val="001A54D6"/>
    <w:rsid w:val="001A7D5C"/>
    <w:rsid w:val="001B60AA"/>
    <w:rsid w:val="001B6333"/>
    <w:rsid w:val="001B63C8"/>
    <w:rsid w:val="001B6412"/>
    <w:rsid w:val="001C1972"/>
    <w:rsid w:val="001C421F"/>
    <w:rsid w:val="001D360D"/>
    <w:rsid w:val="001D56E7"/>
    <w:rsid w:val="001E1798"/>
    <w:rsid w:val="001E2601"/>
    <w:rsid w:val="001E63E5"/>
    <w:rsid w:val="00202365"/>
    <w:rsid w:val="00205841"/>
    <w:rsid w:val="00224C23"/>
    <w:rsid w:val="002363EE"/>
    <w:rsid w:val="0024164F"/>
    <w:rsid w:val="00246718"/>
    <w:rsid w:val="00261A8D"/>
    <w:rsid w:val="00264C25"/>
    <w:rsid w:val="00265F98"/>
    <w:rsid w:val="00266381"/>
    <w:rsid w:val="002714AE"/>
    <w:rsid w:val="00283C1C"/>
    <w:rsid w:val="0028666E"/>
    <w:rsid w:val="00291A00"/>
    <w:rsid w:val="00291A11"/>
    <w:rsid w:val="00292A1D"/>
    <w:rsid w:val="002A315C"/>
    <w:rsid w:val="002A3342"/>
    <w:rsid w:val="002A64BA"/>
    <w:rsid w:val="002B0255"/>
    <w:rsid w:val="002B04F5"/>
    <w:rsid w:val="002B4989"/>
    <w:rsid w:val="002B5B63"/>
    <w:rsid w:val="002B73C6"/>
    <w:rsid w:val="002C20FB"/>
    <w:rsid w:val="002C2510"/>
    <w:rsid w:val="002C76B6"/>
    <w:rsid w:val="002D1273"/>
    <w:rsid w:val="002D399D"/>
    <w:rsid w:val="002D45D0"/>
    <w:rsid w:val="002D714E"/>
    <w:rsid w:val="002E1330"/>
    <w:rsid w:val="002E53C3"/>
    <w:rsid w:val="002E5649"/>
    <w:rsid w:val="002E609B"/>
    <w:rsid w:val="002E666E"/>
    <w:rsid w:val="002F1468"/>
    <w:rsid w:val="002F5F0C"/>
    <w:rsid w:val="003013E8"/>
    <w:rsid w:val="003049F0"/>
    <w:rsid w:val="00315D2E"/>
    <w:rsid w:val="00316A01"/>
    <w:rsid w:val="00324D8C"/>
    <w:rsid w:val="00324E8C"/>
    <w:rsid w:val="003265EB"/>
    <w:rsid w:val="0034329E"/>
    <w:rsid w:val="00343FAA"/>
    <w:rsid w:val="00347F5E"/>
    <w:rsid w:val="00353C98"/>
    <w:rsid w:val="00361E4B"/>
    <w:rsid w:val="00362C7B"/>
    <w:rsid w:val="003714FA"/>
    <w:rsid w:val="00371A20"/>
    <w:rsid w:val="003821B4"/>
    <w:rsid w:val="00382CF3"/>
    <w:rsid w:val="00383D94"/>
    <w:rsid w:val="00387D52"/>
    <w:rsid w:val="00397C48"/>
    <w:rsid w:val="003A7CEA"/>
    <w:rsid w:val="003B5844"/>
    <w:rsid w:val="003B76FB"/>
    <w:rsid w:val="003D1806"/>
    <w:rsid w:val="003D4037"/>
    <w:rsid w:val="003D432C"/>
    <w:rsid w:val="003D58D8"/>
    <w:rsid w:val="003E1BF5"/>
    <w:rsid w:val="003F0BD3"/>
    <w:rsid w:val="003F278A"/>
    <w:rsid w:val="003F2D36"/>
    <w:rsid w:val="003F7A02"/>
    <w:rsid w:val="00415D71"/>
    <w:rsid w:val="00422EA5"/>
    <w:rsid w:val="00422EFA"/>
    <w:rsid w:val="0042791F"/>
    <w:rsid w:val="0043412C"/>
    <w:rsid w:val="004456ED"/>
    <w:rsid w:val="00457A1B"/>
    <w:rsid w:val="00463D56"/>
    <w:rsid w:val="004710D8"/>
    <w:rsid w:val="0048045A"/>
    <w:rsid w:val="00480B5B"/>
    <w:rsid w:val="004841B8"/>
    <w:rsid w:val="004930F2"/>
    <w:rsid w:val="00493F8B"/>
    <w:rsid w:val="004A2554"/>
    <w:rsid w:val="004B0F1C"/>
    <w:rsid w:val="004C3ECE"/>
    <w:rsid w:val="004C533E"/>
    <w:rsid w:val="004D2F59"/>
    <w:rsid w:val="004E7AF2"/>
    <w:rsid w:val="004F2EE6"/>
    <w:rsid w:val="004F3334"/>
    <w:rsid w:val="004F5752"/>
    <w:rsid w:val="00502DBA"/>
    <w:rsid w:val="005040C4"/>
    <w:rsid w:val="00507637"/>
    <w:rsid w:val="00507852"/>
    <w:rsid w:val="00514DBF"/>
    <w:rsid w:val="00526799"/>
    <w:rsid w:val="00526EB4"/>
    <w:rsid w:val="00532E66"/>
    <w:rsid w:val="00540623"/>
    <w:rsid w:val="00550921"/>
    <w:rsid w:val="00556BE7"/>
    <w:rsid w:val="00563712"/>
    <w:rsid w:val="00573631"/>
    <w:rsid w:val="00573C0B"/>
    <w:rsid w:val="00576CFA"/>
    <w:rsid w:val="00583450"/>
    <w:rsid w:val="00583E66"/>
    <w:rsid w:val="0058556D"/>
    <w:rsid w:val="00585A92"/>
    <w:rsid w:val="005862E0"/>
    <w:rsid w:val="0059015D"/>
    <w:rsid w:val="005928F6"/>
    <w:rsid w:val="00592AF2"/>
    <w:rsid w:val="005947AD"/>
    <w:rsid w:val="005965CF"/>
    <w:rsid w:val="00596701"/>
    <w:rsid w:val="00597748"/>
    <w:rsid w:val="005979E8"/>
    <w:rsid w:val="005A0EFF"/>
    <w:rsid w:val="005A274C"/>
    <w:rsid w:val="005A7B86"/>
    <w:rsid w:val="005D0AF4"/>
    <w:rsid w:val="005D2925"/>
    <w:rsid w:val="005E54BD"/>
    <w:rsid w:val="005F10BF"/>
    <w:rsid w:val="005F3357"/>
    <w:rsid w:val="005F5012"/>
    <w:rsid w:val="005F6275"/>
    <w:rsid w:val="005F6CCA"/>
    <w:rsid w:val="005F7447"/>
    <w:rsid w:val="0061041E"/>
    <w:rsid w:val="006104AF"/>
    <w:rsid w:val="00611B84"/>
    <w:rsid w:val="006138BA"/>
    <w:rsid w:val="00620198"/>
    <w:rsid w:val="00621893"/>
    <w:rsid w:val="00633AF4"/>
    <w:rsid w:val="006351E1"/>
    <w:rsid w:val="00636B8C"/>
    <w:rsid w:val="00641527"/>
    <w:rsid w:val="006447B1"/>
    <w:rsid w:val="00650991"/>
    <w:rsid w:val="00662775"/>
    <w:rsid w:val="0066649B"/>
    <w:rsid w:val="0067119D"/>
    <w:rsid w:val="00672A6F"/>
    <w:rsid w:val="006749DD"/>
    <w:rsid w:val="006757CA"/>
    <w:rsid w:val="00683A41"/>
    <w:rsid w:val="006852FC"/>
    <w:rsid w:val="006A6EFC"/>
    <w:rsid w:val="006B0B88"/>
    <w:rsid w:val="006B40AB"/>
    <w:rsid w:val="006B4E76"/>
    <w:rsid w:val="006B5DC5"/>
    <w:rsid w:val="006B683E"/>
    <w:rsid w:val="006B783E"/>
    <w:rsid w:val="006C4BFD"/>
    <w:rsid w:val="006C7D30"/>
    <w:rsid w:val="006D20CF"/>
    <w:rsid w:val="006D3B05"/>
    <w:rsid w:val="006E2884"/>
    <w:rsid w:val="006E3C08"/>
    <w:rsid w:val="00700ACF"/>
    <w:rsid w:val="00712487"/>
    <w:rsid w:val="00722189"/>
    <w:rsid w:val="00723D60"/>
    <w:rsid w:val="00731194"/>
    <w:rsid w:val="007365CF"/>
    <w:rsid w:val="00751D15"/>
    <w:rsid w:val="007530CA"/>
    <w:rsid w:val="00756501"/>
    <w:rsid w:val="00756D68"/>
    <w:rsid w:val="007578D9"/>
    <w:rsid w:val="00757B96"/>
    <w:rsid w:val="00757CF2"/>
    <w:rsid w:val="00757E8A"/>
    <w:rsid w:val="00762973"/>
    <w:rsid w:val="00763E43"/>
    <w:rsid w:val="00764EB5"/>
    <w:rsid w:val="00777A95"/>
    <w:rsid w:val="00782416"/>
    <w:rsid w:val="00784B83"/>
    <w:rsid w:val="007850BC"/>
    <w:rsid w:val="00786B92"/>
    <w:rsid w:val="0079084F"/>
    <w:rsid w:val="007B0364"/>
    <w:rsid w:val="007C2D7B"/>
    <w:rsid w:val="007C60EB"/>
    <w:rsid w:val="007D0981"/>
    <w:rsid w:val="007D0C3F"/>
    <w:rsid w:val="007D1929"/>
    <w:rsid w:val="007D1D44"/>
    <w:rsid w:val="007E7A8F"/>
    <w:rsid w:val="007F3B91"/>
    <w:rsid w:val="00801B8C"/>
    <w:rsid w:val="00803CF1"/>
    <w:rsid w:val="008104BB"/>
    <w:rsid w:val="008106CE"/>
    <w:rsid w:val="00815702"/>
    <w:rsid w:val="008249C5"/>
    <w:rsid w:val="00826939"/>
    <w:rsid w:val="00851CF2"/>
    <w:rsid w:val="008526F9"/>
    <w:rsid w:val="0085285E"/>
    <w:rsid w:val="00853023"/>
    <w:rsid w:val="008534D4"/>
    <w:rsid w:val="00862C3C"/>
    <w:rsid w:val="00862D2F"/>
    <w:rsid w:val="008719E3"/>
    <w:rsid w:val="00877953"/>
    <w:rsid w:val="00880FA1"/>
    <w:rsid w:val="00881E28"/>
    <w:rsid w:val="008838A3"/>
    <w:rsid w:val="00885A84"/>
    <w:rsid w:val="00887C4B"/>
    <w:rsid w:val="00887CF3"/>
    <w:rsid w:val="00894C4B"/>
    <w:rsid w:val="00895485"/>
    <w:rsid w:val="008A12E3"/>
    <w:rsid w:val="008A1A17"/>
    <w:rsid w:val="008A42FA"/>
    <w:rsid w:val="008B0AC7"/>
    <w:rsid w:val="008C14CC"/>
    <w:rsid w:val="008C2335"/>
    <w:rsid w:val="008C40EB"/>
    <w:rsid w:val="008C67C1"/>
    <w:rsid w:val="008C7014"/>
    <w:rsid w:val="008D1D39"/>
    <w:rsid w:val="008D302D"/>
    <w:rsid w:val="008F07D2"/>
    <w:rsid w:val="008F1032"/>
    <w:rsid w:val="008F37C6"/>
    <w:rsid w:val="008F6F93"/>
    <w:rsid w:val="00900ABF"/>
    <w:rsid w:val="00916442"/>
    <w:rsid w:val="00917230"/>
    <w:rsid w:val="00917851"/>
    <w:rsid w:val="00917F65"/>
    <w:rsid w:val="00924970"/>
    <w:rsid w:val="009303DE"/>
    <w:rsid w:val="009311E7"/>
    <w:rsid w:val="00932560"/>
    <w:rsid w:val="00942694"/>
    <w:rsid w:val="00955B3D"/>
    <w:rsid w:val="009622A1"/>
    <w:rsid w:val="0096248B"/>
    <w:rsid w:val="00963BBF"/>
    <w:rsid w:val="00976624"/>
    <w:rsid w:val="0097758D"/>
    <w:rsid w:val="00980DD8"/>
    <w:rsid w:val="00981FC5"/>
    <w:rsid w:val="00982D93"/>
    <w:rsid w:val="00983836"/>
    <w:rsid w:val="009A7E3A"/>
    <w:rsid w:val="009B1265"/>
    <w:rsid w:val="009B43F9"/>
    <w:rsid w:val="009B4A15"/>
    <w:rsid w:val="009B5693"/>
    <w:rsid w:val="009C61A2"/>
    <w:rsid w:val="009C78E4"/>
    <w:rsid w:val="009D28E3"/>
    <w:rsid w:val="009D687E"/>
    <w:rsid w:val="009F5340"/>
    <w:rsid w:val="009F54AE"/>
    <w:rsid w:val="009F6DE7"/>
    <w:rsid w:val="00A02EFB"/>
    <w:rsid w:val="00A041E0"/>
    <w:rsid w:val="00A05CD4"/>
    <w:rsid w:val="00A10583"/>
    <w:rsid w:val="00A17DEB"/>
    <w:rsid w:val="00A37FCB"/>
    <w:rsid w:val="00A478EA"/>
    <w:rsid w:val="00A54863"/>
    <w:rsid w:val="00A61D74"/>
    <w:rsid w:val="00A63199"/>
    <w:rsid w:val="00A86359"/>
    <w:rsid w:val="00A8688B"/>
    <w:rsid w:val="00A91163"/>
    <w:rsid w:val="00A9286F"/>
    <w:rsid w:val="00A96017"/>
    <w:rsid w:val="00A96255"/>
    <w:rsid w:val="00AB285B"/>
    <w:rsid w:val="00AB6986"/>
    <w:rsid w:val="00AB7104"/>
    <w:rsid w:val="00AF1049"/>
    <w:rsid w:val="00AF1BAC"/>
    <w:rsid w:val="00AF357D"/>
    <w:rsid w:val="00AF54B9"/>
    <w:rsid w:val="00AF5552"/>
    <w:rsid w:val="00AF5CB4"/>
    <w:rsid w:val="00AF5ED1"/>
    <w:rsid w:val="00AF6801"/>
    <w:rsid w:val="00AF71D6"/>
    <w:rsid w:val="00B05131"/>
    <w:rsid w:val="00B216EE"/>
    <w:rsid w:val="00B3175F"/>
    <w:rsid w:val="00B31E2C"/>
    <w:rsid w:val="00B329B0"/>
    <w:rsid w:val="00B359CE"/>
    <w:rsid w:val="00B36DA4"/>
    <w:rsid w:val="00B402D8"/>
    <w:rsid w:val="00B4237C"/>
    <w:rsid w:val="00B42FE8"/>
    <w:rsid w:val="00B433D0"/>
    <w:rsid w:val="00B52AFD"/>
    <w:rsid w:val="00B536A0"/>
    <w:rsid w:val="00B54077"/>
    <w:rsid w:val="00B678EF"/>
    <w:rsid w:val="00B729AA"/>
    <w:rsid w:val="00B72E73"/>
    <w:rsid w:val="00B8087E"/>
    <w:rsid w:val="00B80D8F"/>
    <w:rsid w:val="00B80FDC"/>
    <w:rsid w:val="00B81F23"/>
    <w:rsid w:val="00B82DB3"/>
    <w:rsid w:val="00B90252"/>
    <w:rsid w:val="00BA0A05"/>
    <w:rsid w:val="00BB148E"/>
    <w:rsid w:val="00BB646E"/>
    <w:rsid w:val="00BC0398"/>
    <w:rsid w:val="00BD15A6"/>
    <w:rsid w:val="00BD1BA1"/>
    <w:rsid w:val="00BD500F"/>
    <w:rsid w:val="00BE7723"/>
    <w:rsid w:val="00C00FA2"/>
    <w:rsid w:val="00C019E5"/>
    <w:rsid w:val="00C0316E"/>
    <w:rsid w:val="00C24C85"/>
    <w:rsid w:val="00C25E3A"/>
    <w:rsid w:val="00C35BC4"/>
    <w:rsid w:val="00C43F5B"/>
    <w:rsid w:val="00C52EA4"/>
    <w:rsid w:val="00C53828"/>
    <w:rsid w:val="00C670E3"/>
    <w:rsid w:val="00C8353C"/>
    <w:rsid w:val="00C83AD2"/>
    <w:rsid w:val="00C8547E"/>
    <w:rsid w:val="00CA05B7"/>
    <w:rsid w:val="00CB4371"/>
    <w:rsid w:val="00CC0E21"/>
    <w:rsid w:val="00CC2433"/>
    <w:rsid w:val="00CC48F9"/>
    <w:rsid w:val="00CC516D"/>
    <w:rsid w:val="00CD293A"/>
    <w:rsid w:val="00CF17B5"/>
    <w:rsid w:val="00CF3EFF"/>
    <w:rsid w:val="00CF7255"/>
    <w:rsid w:val="00CF7E05"/>
    <w:rsid w:val="00D10B5A"/>
    <w:rsid w:val="00D120FE"/>
    <w:rsid w:val="00D160AF"/>
    <w:rsid w:val="00D23179"/>
    <w:rsid w:val="00D24330"/>
    <w:rsid w:val="00D334B7"/>
    <w:rsid w:val="00D34538"/>
    <w:rsid w:val="00D40056"/>
    <w:rsid w:val="00D421A9"/>
    <w:rsid w:val="00D460EA"/>
    <w:rsid w:val="00D468B9"/>
    <w:rsid w:val="00D51E7C"/>
    <w:rsid w:val="00D52DF7"/>
    <w:rsid w:val="00D54F29"/>
    <w:rsid w:val="00D559C2"/>
    <w:rsid w:val="00D6001B"/>
    <w:rsid w:val="00D63419"/>
    <w:rsid w:val="00D66965"/>
    <w:rsid w:val="00D7020C"/>
    <w:rsid w:val="00D70AD9"/>
    <w:rsid w:val="00D72152"/>
    <w:rsid w:val="00D73E7A"/>
    <w:rsid w:val="00D76537"/>
    <w:rsid w:val="00D805E4"/>
    <w:rsid w:val="00D91CE5"/>
    <w:rsid w:val="00D94BA5"/>
    <w:rsid w:val="00D9510F"/>
    <w:rsid w:val="00D95E15"/>
    <w:rsid w:val="00D96151"/>
    <w:rsid w:val="00DA5BFC"/>
    <w:rsid w:val="00DA615C"/>
    <w:rsid w:val="00DB18EB"/>
    <w:rsid w:val="00DB322F"/>
    <w:rsid w:val="00DB6FA7"/>
    <w:rsid w:val="00DC0B9A"/>
    <w:rsid w:val="00DC29CE"/>
    <w:rsid w:val="00DC4169"/>
    <w:rsid w:val="00DC4CBF"/>
    <w:rsid w:val="00DD0C24"/>
    <w:rsid w:val="00DD1BC6"/>
    <w:rsid w:val="00DD265E"/>
    <w:rsid w:val="00DE4D8A"/>
    <w:rsid w:val="00DE5DC3"/>
    <w:rsid w:val="00DF40C2"/>
    <w:rsid w:val="00DF517A"/>
    <w:rsid w:val="00E0028F"/>
    <w:rsid w:val="00E00D8A"/>
    <w:rsid w:val="00E1050F"/>
    <w:rsid w:val="00E11604"/>
    <w:rsid w:val="00E117C6"/>
    <w:rsid w:val="00E11D92"/>
    <w:rsid w:val="00E130A0"/>
    <w:rsid w:val="00E1387F"/>
    <w:rsid w:val="00E16BEA"/>
    <w:rsid w:val="00E210C4"/>
    <w:rsid w:val="00E23DB7"/>
    <w:rsid w:val="00E242BF"/>
    <w:rsid w:val="00E322AB"/>
    <w:rsid w:val="00E37550"/>
    <w:rsid w:val="00E41DDD"/>
    <w:rsid w:val="00E4427B"/>
    <w:rsid w:val="00E46D96"/>
    <w:rsid w:val="00E47B01"/>
    <w:rsid w:val="00E52CCA"/>
    <w:rsid w:val="00E55689"/>
    <w:rsid w:val="00E570E6"/>
    <w:rsid w:val="00E638AB"/>
    <w:rsid w:val="00E65862"/>
    <w:rsid w:val="00E66409"/>
    <w:rsid w:val="00E7001E"/>
    <w:rsid w:val="00E71452"/>
    <w:rsid w:val="00E741DC"/>
    <w:rsid w:val="00E81D5B"/>
    <w:rsid w:val="00E87F0E"/>
    <w:rsid w:val="00E9011B"/>
    <w:rsid w:val="00E94D80"/>
    <w:rsid w:val="00E976B9"/>
    <w:rsid w:val="00E97CD3"/>
    <w:rsid w:val="00EA05D3"/>
    <w:rsid w:val="00EA5972"/>
    <w:rsid w:val="00EB0B6F"/>
    <w:rsid w:val="00EB0F28"/>
    <w:rsid w:val="00EB19AD"/>
    <w:rsid w:val="00EB2F31"/>
    <w:rsid w:val="00EB6493"/>
    <w:rsid w:val="00EC2915"/>
    <w:rsid w:val="00EC4BBE"/>
    <w:rsid w:val="00EC63A7"/>
    <w:rsid w:val="00EC6CB6"/>
    <w:rsid w:val="00ED05A9"/>
    <w:rsid w:val="00ED1BA0"/>
    <w:rsid w:val="00ED347D"/>
    <w:rsid w:val="00ED7ED0"/>
    <w:rsid w:val="00EF30CF"/>
    <w:rsid w:val="00EF4696"/>
    <w:rsid w:val="00F07E0A"/>
    <w:rsid w:val="00F14FDE"/>
    <w:rsid w:val="00F17257"/>
    <w:rsid w:val="00F24462"/>
    <w:rsid w:val="00F30520"/>
    <w:rsid w:val="00F34D24"/>
    <w:rsid w:val="00F34E7F"/>
    <w:rsid w:val="00F4130B"/>
    <w:rsid w:val="00F5272B"/>
    <w:rsid w:val="00F556A2"/>
    <w:rsid w:val="00F61F85"/>
    <w:rsid w:val="00F64917"/>
    <w:rsid w:val="00F719A8"/>
    <w:rsid w:val="00F827EB"/>
    <w:rsid w:val="00F878B9"/>
    <w:rsid w:val="00F87FAA"/>
    <w:rsid w:val="00F943A7"/>
    <w:rsid w:val="00FA282E"/>
    <w:rsid w:val="00FA7428"/>
    <w:rsid w:val="00FA7FDF"/>
    <w:rsid w:val="00FB24E8"/>
    <w:rsid w:val="00FB3B2B"/>
    <w:rsid w:val="00FC18DA"/>
    <w:rsid w:val="00FC1937"/>
    <w:rsid w:val="00FC2063"/>
    <w:rsid w:val="00FC3917"/>
    <w:rsid w:val="00FD0847"/>
    <w:rsid w:val="00FD60DA"/>
    <w:rsid w:val="00FE363E"/>
    <w:rsid w:val="00FE456D"/>
    <w:rsid w:val="00FE7A6F"/>
    <w:rsid w:val="00FF07B4"/>
    <w:rsid w:val="00FF3067"/>
    <w:rsid w:val="00FF7495"/>
    <w:rsid w:val="03963AAC"/>
    <w:rsid w:val="3DBC518C"/>
    <w:rsid w:val="423083C5"/>
    <w:rsid w:val="5744B854"/>
    <w:rsid w:val="7B6E3B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Heading 2_sj,Dot pt,No Spacing1,List Paragraph Char Char Char,Indicator Text,List Paragraph1,Numbered Para 1,Colorful List - Accent 11,Bullet 1,List Paragraph12,Bullet Points,Bullet Style,WB Para,MAIN CONTEN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Heading 2_sj Char,Dot pt Char,No Spacing1 Char,List Paragraph Char Char Char Char,Indicator Text Char,List Paragraph1 Char,Numbered Para 1 Char,Colorful List - Accent 11 Char,Bullet 1 Char"/>
    <w:link w:val="ListParagraph"/>
    <w:uiPriority w:val="34"/>
    <w:qFormat/>
    <w:rsid w:val="00C83AD2"/>
  </w:style>
  <w:style w:type="paragraph" w:customStyle="1" w:styleId="GHFeaturedlist">
    <w:name w:val="GH_Featured list"/>
    <w:basedOn w:val="Normal"/>
    <w:qFormat/>
    <w:rsid w:val="000B0072"/>
    <w:pPr>
      <w:numPr>
        <w:numId w:val="8"/>
      </w:numPr>
      <w:spacing w:after="180" w:line="360" w:lineRule="auto"/>
      <w:contextualSpacing/>
      <w:jc w:val="both"/>
    </w:pPr>
    <w:rPr>
      <w:rFonts w:ascii="Arial" w:eastAsia="MS PGothic" w:hAnsi="Arial" w:cs="Times New Roman"/>
      <w:sz w:val="18"/>
      <w:szCs w:val="24"/>
      <w:lang w:eastAsia="en-US"/>
    </w:rPr>
  </w:style>
  <w:style w:type="character" w:styleId="UnresolvedMention">
    <w:name w:val="Unresolved Mention"/>
    <w:basedOn w:val="DefaultParagraphFont"/>
    <w:uiPriority w:val="99"/>
    <w:rsid w:val="001A17C1"/>
    <w:rPr>
      <w:color w:val="605E5C"/>
      <w:shd w:val="clear" w:color="auto" w:fill="E1DFDD"/>
    </w:rPr>
  </w:style>
  <w:style w:type="paragraph" w:styleId="NoSpacing">
    <w:name w:val="No Spacing"/>
    <w:uiPriority w:val="1"/>
    <w:qFormat/>
    <w:rsid w:val="001A17C1"/>
    <w:pPr>
      <w:spacing w:after="0" w:line="240" w:lineRule="auto"/>
    </w:pPr>
  </w:style>
  <w:style w:type="paragraph" w:customStyle="1" w:styleId="Pa21">
    <w:name w:val="Pa21"/>
    <w:basedOn w:val="Normal"/>
    <w:next w:val="Normal"/>
    <w:uiPriority w:val="99"/>
    <w:rsid w:val="004C3ECE"/>
    <w:pPr>
      <w:autoSpaceDE w:val="0"/>
      <w:autoSpaceDN w:val="0"/>
      <w:adjustRightInd w:val="0"/>
      <w:spacing w:after="0" w:line="181" w:lineRule="atLeast"/>
    </w:pPr>
    <w:rPr>
      <w:rFonts w:ascii="Roboto" w:hAnsi="Roboto"/>
      <w:sz w:val="24"/>
      <w:szCs w:val="24"/>
      <w:lang w:val="en-US"/>
    </w:rPr>
  </w:style>
  <w:style w:type="paragraph" w:styleId="Revision">
    <w:name w:val="Revision"/>
    <w:hidden/>
    <w:uiPriority w:val="99"/>
    <w:semiHidden/>
    <w:rsid w:val="0012779E"/>
    <w:pPr>
      <w:spacing w:after="0" w:line="240" w:lineRule="auto"/>
    </w:pPr>
  </w:style>
  <w:style w:type="character" w:customStyle="1" w:styleId="normaltextrun">
    <w:name w:val="normaltextrun"/>
    <w:basedOn w:val="DefaultParagraphFont"/>
    <w:rsid w:val="00D6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8129">
      <w:bodyDiv w:val="1"/>
      <w:marLeft w:val="0"/>
      <w:marRight w:val="0"/>
      <w:marTop w:val="0"/>
      <w:marBottom w:val="0"/>
      <w:divBdr>
        <w:top w:val="none" w:sz="0" w:space="0" w:color="auto"/>
        <w:left w:val="none" w:sz="0" w:space="0" w:color="auto"/>
        <w:bottom w:val="none" w:sz="0" w:space="0" w:color="auto"/>
        <w:right w:val="none" w:sz="0" w:space="0" w:color="auto"/>
      </w:divBdr>
    </w:div>
    <w:div w:id="23255164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758457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ep.org/resources/publication/global-chemicals-and-waste-indicator-review-document"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nep.org/resources/report/unep-food-waste-index-report-202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sr.unep.org/media/docs/graphs/aggregation_methods.pdf" TargetMode="External"/><Relationship Id="rId5" Type="http://schemas.openxmlformats.org/officeDocument/2006/relationships/numbering" Target="numbering.xml"/><Relationship Id="rId15" Type="http://schemas.openxmlformats.org/officeDocument/2006/relationships/hyperlink" Target="https://www.unep.org/resources/publication/global-chemicals-and-waste-indicator-review-documen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ep.org/resources/report/unep-food-waste-index-report-202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36C65F8-671A-41B3-8FD9-7090680FAF9C}"/>
      </w:docPartPr>
      <w:docPartBody>
        <w:p w:rsidR="00C02308" w:rsidRDefault="00061406">
          <w:r w:rsidRPr="00424B2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06"/>
    <w:rsid w:val="00061406"/>
    <w:rsid w:val="003E18F4"/>
    <w:rsid w:val="008E4E39"/>
    <w:rsid w:val="00AD2660"/>
    <w:rsid w:val="00C023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4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BB5574-F9F0-4A7F-8D1E-49D2106505ED}">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12</cp:revision>
  <cp:lastPrinted>2016-07-16T14:25:00Z</cp:lastPrinted>
  <dcterms:created xsi:type="dcterms:W3CDTF">2024-07-05T17:51:00Z</dcterms:created>
  <dcterms:modified xsi:type="dcterms:W3CDTF">2024-07-25T21:55:00Z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