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65193AD" w14:textId="77777777" w:rsidR="00773C20" w:rsidRPr="00573631" w:rsidRDefault="00773C20" w:rsidP="00773C20">
      <w:pPr>
        <w:pStyle w:val="MGTHeader"/>
      </w:pPr>
      <w:r>
        <w:t xml:space="preserve">Goal 12: </w:t>
      </w:r>
      <w:r w:rsidRPr="008217D0">
        <w:t xml:space="preserve">Ensure sustainable consumption and production </w:t>
      </w:r>
      <w:proofErr w:type="gramStart"/>
      <w:r w:rsidRPr="008217D0">
        <w:t>patterns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46ACDC23" w14:textId="77777777" w:rsidR="000031AA" w:rsidRPr="006F4138" w:rsidRDefault="000031AA" w:rsidP="000E73B0">
      <w:pPr>
        <w:pStyle w:val="MGTHeader"/>
        <w:jc w:val="both"/>
      </w:pPr>
      <w:r w:rsidRPr="006F4138">
        <w:t>Target 12.c</w:t>
      </w:r>
      <w:r>
        <w:t>:</w:t>
      </w:r>
      <w:r w:rsidRPr="006F4138">
        <w:t xml:space="preserve"> </w:t>
      </w:r>
      <w:r w:rsidRPr="008217D0">
        <w:t>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14:paraId="3E67E7E0" w14:textId="77777777" w:rsidR="00D24330" w:rsidRPr="00A96255" w:rsidRDefault="00D24330" w:rsidP="00D24330">
      <w:pPr>
        <w:pStyle w:val="MIndHeader"/>
      </w:pPr>
      <w:r>
        <w:t xml:space="preserve">0.c. Indicator </w:t>
      </w:r>
      <w:r>
        <w:rPr>
          <w:color w:val="B4B4B4"/>
          <w:sz w:val="20"/>
        </w:rPr>
        <w:t>(SDG_INDICATOR)</w:t>
      </w:r>
    </w:p>
    <w:p w14:paraId="2308D12F" w14:textId="240D60E4" w:rsidR="4898429B" w:rsidRDefault="4898429B" w:rsidP="19B0AC28">
      <w:pPr>
        <w:pStyle w:val="MIndHeader"/>
        <w:rPr>
          <w:rFonts w:ascii="Calibri" w:hAnsi="Calibri"/>
          <w:sz w:val="21"/>
          <w:szCs w:val="21"/>
        </w:rPr>
      </w:pPr>
      <w:r w:rsidRPr="19B0AC28">
        <w:rPr>
          <w:rFonts w:ascii="Calibri" w:eastAsia="Calibri" w:hAnsi="Calibri" w:cs="Calibri"/>
          <w:color w:val="444444"/>
          <w:sz w:val="21"/>
          <w:szCs w:val="21"/>
        </w:rPr>
        <w:t xml:space="preserve">Indicator 12.c.1: </w:t>
      </w:r>
      <w:proofErr w:type="gramStart"/>
      <w:r w:rsidRPr="19B0AC28">
        <w:rPr>
          <w:rFonts w:ascii="Calibri" w:eastAsia="Calibri" w:hAnsi="Calibri" w:cs="Calibri"/>
          <w:color w:val="444444"/>
          <w:sz w:val="21"/>
          <w:szCs w:val="21"/>
        </w:rPr>
        <w:t>Amount</w:t>
      </w:r>
      <w:proofErr w:type="gramEnd"/>
      <w:r w:rsidRPr="19B0AC28">
        <w:rPr>
          <w:rFonts w:ascii="Calibri" w:eastAsia="Calibri" w:hAnsi="Calibri" w:cs="Calibri"/>
          <w:color w:val="444444"/>
          <w:sz w:val="21"/>
          <w:szCs w:val="21"/>
        </w:rPr>
        <w:t xml:space="preserve"> of fossil-fuel subsidies (production and consumption) per unit of GDP</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F132ECC" w14:textId="77777777" w:rsidR="00B47821" w:rsidRDefault="00B47821" w:rsidP="00B47821">
      <w:pPr>
        <w:pStyle w:val="MGTHeader"/>
      </w:pPr>
      <w:r>
        <w:t>ER_FFS_CMPT_CD - Fossil-fuel subsidies (consumption and production) [12.c.1]</w:t>
      </w:r>
    </w:p>
    <w:p w14:paraId="6DF70A45" w14:textId="77777777" w:rsidR="00B47821" w:rsidRDefault="00B47821" w:rsidP="00B47821">
      <w:pPr>
        <w:pStyle w:val="MGTHeader"/>
      </w:pPr>
      <w:r>
        <w:t>ER_FFS_CMPT_GDP - Fossil-fuel subsidies (consumption and production) as a proportion of total GDP [12.c.1]</w:t>
      </w:r>
    </w:p>
    <w:p w14:paraId="4A192F15" w14:textId="2889A94B" w:rsidR="00495F62" w:rsidRPr="00A96255" w:rsidRDefault="00B47821" w:rsidP="00B47821">
      <w:pPr>
        <w:pStyle w:val="MGTHeader"/>
      </w:pPr>
      <w:r>
        <w:t>ER_FFS_CMPT_PC_CD - Fossil-fuel subsidies (consumption and production) per capita [12.c.1]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747008400"/>
        <w:placeholder>
          <w:docPart w:val="DefaultPlaceholder_-1854013437"/>
        </w:placeholder>
        <w:date w:fullDate="2024-01-31T00:00:00Z">
          <w:dateFormat w:val="yyyy-MM-dd"/>
          <w:lid w:val="en-US"/>
          <w:storeMappedDataAs w:val="dateTime"/>
          <w:calendar w:val="gregorian"/>
        </w:date>
      </w:sdtPr>
      <w:sdtContent>
        <w:p w14:paraId="03424B60" w14:textId="11EFF6DC" w:rsidR="00D24330" w:rsidRPr="00A96255" w:rsidRDefault="00FC128A" w:rsidP="00D24330">
          <w:pPr>
            <w:pStyle w:val="MGTHeader"/>
          </w:pPr>
          <w:r>
            <w:rPr>
              <w:lang w:val="en-US"/>
            </w:rPr>
            <w:t>2024-01-31</w:t>
          </w:r>
        </w:p>
      </w:sdtContent>
    </w:sdt>
    <w:p w14:paraId="415C9FF1" w14:textId="77777777" w:rsidR="00D24330" w:rsidRPr="00A96255" w:rsidRDefault="00D24330" w:rsidP="00D24330">
      <w:pPr>
        <w:pStyle w:val="MIndHeader"/>
      </w:pPr>
      <w:r w:rsidRPr="00A96255">
        <w:t xml:space="preserve">0.f. Related indicators </w:t>
      </w:r>
      <w:r w:rsidRPr="000E73B0">
        <w:rPr>
          <w:color w:val="B4B4B4"/>
          <w:sz w:val="20"/>
        </w:rPr>
        <w:t>(SDG_RELATED_INDICATORS)</w:t>
      </w:r>
    </w:p>
    <w:p w14:paraId="21524279" w14:textId="532B43B7" w:rsidR="00D24330" w:rsidRPr="00A96255" w:rsidRDefault="007B22E5" w:rsidP="00D24330">
      <w:pPr>
        <w:pStyle w:val="MGTHeader"/>
      </w:pPr>
      <w:r>
        <w:t xml:space="preserve">12.1.1, </w:t>
      </w:r>
      <w:r w:rsidR="00AE0F2A">
        <w:t>8.4.1/12.2.1, 8.4.2/12.2.2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3CED35D" w:rsidR="00621893" w:rsidRPr="00A96255" w:rsidRDefault="00427100" w:rsidP="00D24330">
      <w:pPr>
        <w:pStyle w:val="MGTHeader"/>
        <w:rPr>
          <w:color w:val="4A4A4A"/>
        </w:rPr>
      </w:pPr>
      <w:r w:rsidRPr="00427100">
        <w:t>United Nations Environment Programme</w:t>
      </w:r>
      <w:r w:rsidR="005751C3">
        <w:t xml:space="preserve"> </w:t>
      </w:r>
      <w:r w:rsidR="001143D5">
        <w:t>(UNEP</w:t>
      </w:r>
      <w:r w:rsidRPr="00427100">
        <w:t>)</w:t>
      </w:r>
    </w:p>
    <w:p w14:paraId="19F29921" w14:textId="77777777" w:rsidR="008D1D39" w:rsidRPr="00E43963" w:rsidRDefault="008D1D39" w:rsidP="00573631">
      <w:pPr>
        <w:shd w:val="clear" w:color="auto" w:fill="FFFFFF"/>
        <w:spacing w:after="0"/>
        <w:rPr>
          <w:rFonts w:eastAsia="Times New Roman" w:cs="Times New Roman"/>
          <w:color w:val="4A4A4A"/>
          <w:sz w:val="21"/>
          <w:szCs w:val="21"/>
          <w:lang w:val="en-US"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110F9E7" w14:textId="799C0D49" w:rsidR="00E43963" w:rsidRPr="00741ECB" w:rsidRDefault="00E43963" w:rsidP="00E43963">
      <w:pPr>
        <w:shd w:val="clear" w:color="auto" w:fill="FFFFFF"/>
        <w:spacing w:after="0"/>
        <w:rPr>
          <w:rFonts w:eastAsia="Times New Roman" w:cs="Times New Roman"/>
          <w:color w:val="4A4A4A"/>
          <w:sz w:val="21"/>
          <w:szCs w:val="21"/>
          <w:lang w:eastAsia="en-GB"/>
        </w:rPr>
      </w:pPr>
      <w:r w:rsidRPr="00741ECB">
        <w:rPr>
          <w:rFonts w:eastAsia="Times New Roman" w:cs="Times New Roman"/>
          <w:color w:val="4A4A4A"/>
          <w:sz w:val="21"/>
          <w:szCs w:val="21"/>
          <w:lang w:eastAsia="en-GB"/>
        </w:rPr>
        <w:t>United Nations Environment Programme</w:t>
      </w:r>
      <w:r w:rsidR="005751C3">
        <w:rPr>
          <w:rFonts w:eastAsia="Times New Roman" w:cs="Times New Roman"/>
          <w:color w:val="4A4A4A"/>
          <w:sz w:val="21"/>
          <w:szCs w:val="21"/>
          <w:lang w:eastAsia="en-GB"/>
        </w:rPr>
        <w:t xml:space="preserve"> </w:t>
      </w:r>
      <w:r w:rsidR="001143D5" w:rsidRPr="00741ECB">
        <w:rPr>
          <w:rFonts w:eastAsia="Times New Roman" w:cs="Times New Roman"/>
          <w:color w:val="4A4A4A"/>
          <w:sz w:val="21"/>
          <w:szCs w:val="21"/>
          <w:lang w:eastAsia="en-GB"/>
        </w:rPr>
        <w:t>(UNEP</w:t>
      </w:r>
      <w:r w:rsidRPr="00741ECB">
        <w:rPr>
          <w:rFonts w:eastAsia="Times New Roman" w:cs="Times New Roman"/>
          <w:color w:val="4A4A4A"/>
          <w:sz w:val="21"/>
          <w:szCs w:val="21"/>
          <w:lang w:eastAsia="en-GB"/>
        </w:rPr>
        <w:t>)</w:t>
      </w:r>
    </w:p>
    <w:p w14:paraId="434FF9DF" w14:textId="77777777" w:rsidR="00E43963" w:rsidRPr="00741ECB" w:rsidRDefault="00E43963" w:rsidP="00E43963">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6DA30BA" w14:textId="77777777" w:rsidR="00427100" w:rsidRPr="00741ECB" w:rsidRDefault="00D51E7C" w:rsidP="00A2257D">
      <w:pPr>
        <w:pStyle w:val="MText"/>
        <w:rPr>
          <w:b/>
          <w:bCs/>
        </w:rPr>
      </w:pPr>
      <w:r w:rsidRPr="00741ECB">
        <w:rPr>
          <w:b/>
          <w:bCs/>
        </w:rPr>
        <w:t>Definitions:</w:t>
      </w:r>
    </w:p>
    <w:p w14:paraId="2651D2EE" w14:textId="2D9454EB" w:rsidR="00A2257D" w:rsidRPr="00202350" w:rsidRDefault="00A2257D" w:rsidP="000E73B0">
      <w:pPr>
        <w:pStyle w:val="MText"/>
        <w:jc w:val="both"/>
      </w:pPr>
      <w:proofErr w:type="gramStart"/>
      <w:r w:rsidRPr="00202350">
        <w:t>In order to</w:t>
      </w:r>
      <w:proofErr w:type="gramEnd"/>
      <w:r w:rsidRPr="00202350">
        <w:t xml:space="preserve"> measure fossil fuel subsidies at the national, regional and global level, three sub-indicators are recommended for reporting on this indicator: 1) direct transfer of government funds; 2) induced transfers (price support); and as an optional sub-indicator 3) tax expenditure, other revenue foregone, and under-pricing of goods and services. The definitions of the</w:t>
      </w:r>
      <w:r w:rsidR="000C23EA">
        <w:t xml:space="preserve"> International Energy Agency (</w:t>
      </w:r>
      <w:r w:rsidRPr="00202350">
        <w:t>IEA</w:t>
      </w:r>
      <w:r w:rsidR="000C23EA">
        <w:t>)</w:t>
      </w:r>
      <w:r w:rsidRPr="00202350">
        <w:t xml:space="preserve"> Statistical Manual (IEA, 2005) and the Agreement on Subsidies and Countervailing Measures (ASCM) under the World Trade </w:t>
      </w:r>
      <w:r w:rsidRPr="00202350">
        <w:lastRenderedPageBreak/>
        <w:t>Organization (WTO) (WTO, 1994) are used to define fossil fuel subsidies. Standardised descriptions from the United Nations Statistical Office’s Central Product Classification should be used to classify individual energy products. It is proposed to drop the wording “as a proportion of total national expenditure on fossil fuels” and thus this indicator is effectively "Amount of fossil fuel subsidies per unit of GDP (production and consumption)".</w:t>
      </w:r>
    </w:p>
    <w:p w14:paraId="2E9433A3" w14:textId="068DB734" w:rsidR="00D51E7C" w:rsidRPr="00202350" w:rsidRDefault="00D51E7C" w:rsidP="000E73B0">
      <w:pPr>
        <w:pStyle w:val="MText"/>
        <w:jc w:val="both"/>
      </w:pPr>
    </w:p>
    <w:p w14:paraId="6DB97651" w14:textId="77777777" w:rsidR="00427100" w:rsidRPr="00741ECB" w:rsidRDefault="00D51E7C" w:rsidP="00427100">
      <w:pPr>
        <w:pStyle w:val="MText"/>
        <w:rPr>
          <w:b/>
          <w:bCs/>
        </w:rPr>
      </w:pPr>
      <w:r w:rsidRPr="00741ECB">
        <w:rPr>
          <w:b/>
          <w:bCs/>
        </w:rPr>
        <w:t>Concepts:</w:t>
      </w:r>
    </w:p>
    <w:p w14:paraId="07F70BFE" w14:textId="6C78B4B5" w:rsidR="006A58F7" w:rsidRPr="00202350" w:rsidRDefault="006A58F7" w:rsidP="006A58F7">
      <w:pPr>
        <w:shd w:val="clear" w:color="auto" w:fill="FFFFFF"/>
        <w:spacing w:after="0"/>
        <w:jc w:val="both"/>
        <w:rPr>
          <w:rFonts w:eastAsia="Times New Roman" w:cs="Times New Roman"/>
          <w:color w:val="4A4A4A"/>
          <w:sz w:val="21"/>
          <w:szCs w:val="21"/>
          <w:lang w:eastAsia="en-GB"/>
        </w:rPr>
      </w:pPr>
      <w:r w:rsidRPr="00202350">
        <w:rPr>
          <w:rFonts w:eastAsia="Times New Roman" w:cs="Times New Roman"/>
          <w:color w:val="4A4A4A"/>
          <w:sz w:val="21"/>
          <w:szCs w:val="21"/>
          <w:lang w:eastAsia="en-GB"/>
        </w:rPr>
        <w:t>The concepts and definitions used in the methodology have been based on existing international frameworks and glossaries.</w:t>
      </w:r>
    </w:p>
    <w:p w14:paraId="2B93D4CF" w14:textId="7266702F" w:rsidR="006A58F7" w:rsidRPr="008217D0" w:rsidRDefault="006A58F7" w:rsidP="006A58F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202350">
        <w:rPr>
          <w:rFonts w:eastAsia="Times New Roman" w:cs="Times New Roman"/>
          <w:color w:val="4A4A4A"/>
          <w:sz w:val="21"/>
          <w:szCs w:val="21"/>
          <w:lang w:eastAsia="en-GB"/>
        </w:rPr>
        <w:t>Use definition of fossil fuels from</w:t>
      </w:r>
      <w:r w:rsidR="00FF2671">
        <w:rPr>
          <w:rFonts w:eastAsia="Times New Roman" w:cs="Times New Roman"/>
          <w:color w:val="4A4A4A"/>
          <w:sz w:val="21"/>
          <w:szCs w:val="21"/>
          <w:lang w:eastAsia="en-GB"/>
        </w:rPr>
        <w:t xml:space="preserve"> the</w:t>
      </w:r>
      <w:r w:rsidR="004E7D4E">
        <w:rPr>
          <w:rFonts w:eastAsia="Times New Roman" w:cs="Times New Roman"/>
          <w:color w:val="4A4A4A"/>
          <w:sz w:val="21"/>
          <w:szCs w:val="21"/>
          <w:lang w:eastAsia="en-GB"/>
        </w:rPr>
        <w:t xml:space="preserve"> </w:t>
      </w:r>
      <w:r w:rsidR="004E7D4E" w:rsidRPr="004E7D4E">
        <w:rPr>
          <w:rFonts w:eastAsia="Times New Roman" w:cs="Times New Roman"/>
          <w:color w:val="4A4A4A"/>
          <w:sz w:val="21"/>
          <w:szCs w:val="21"/>
          <w:lang w:eastAsia="en-GB"/>
        </w:rPr>
        <w:t>International Energy Agency</w:t>
      </w:r>
      <w:r w:rsidRPr="00202350">
        <w:rPr>
          <w:rFonts w:eastAsia="Times New Roman" w:cs="Times New Roman"/>
          <w:color w:val="4A4A4A"/>
          <w:sz w:val="21"/>
          <w:szCs w:val="21"/>
          <w:lang w:eastAsia="en-GB"/>
        </w:rPr>
        <w:t xml:space="preserve"> </w:t>
      </w:r>
      <w:r w:rsidR="004E7D4E">
        <w:rPr>
          <w:rFonts w:eastAsia="Times New Roman" w:cs="Times New Roman"/>
          <w:color w:val="4A4A4A"/>
          <w:sz w:val="21"/>
          <w:szCs w:val="21"/>
          <w:lang w:eastAsia="en-GB"/>
        </w:rPr>
        <w:t>(</w:t>
      </w:r>
      <w:r w:rsidRPr="00202350">
        <w:rPr>
          <w:rFonts w:eastAsia="Times New Roman" w:cs="Times New Roman"/>
          <w:color w:val="4A4A4A"/>
          <w:sz w:val="21"/>
          <w:szCs w:val="21"/>
          <w:lang w:eastAsia="en-GB"/>
        </w:rPr>
        <w:t>IEA</w:t>
      </w:r>
      <w:r w:rsidR="004E7D4E">
        <w:rPr>
          <w:rFonts w:eastAsia="Times New Roman" w:cs="Times New Roman"/>
          <w:color w:val="4A4A4A"/>
          <w:sz w:val="21"/>
          <w:szCs w:val="21"/>
          <w:lang w:eastAsia="en-GB"/>
        </w:rPr>
        <w:t>)</w:t>
      </w:r>
      <w:r w:rsidRPr="00202350">
        <w:rPr>
          <w:rFonts w:eastAsia="Times New Roman" w:cs="Times New Roman"/>
          <w:color w:val="4A4A4A"/>
          <w:sz w:val="21"/>
          <w:szCs w:val="21"/>
          <w:lang w:eastAsia="en-GB"/>
        </w:rPr>
        <w:t xml:space="preserve"> Statistics Manual, “Fossil fuels are taken from natural</w:t>
      </w:r>
      <w:r w:rsidRPr="008217D0">
        <w:rPr>
          <w:rFonts w:eastAsia="Times New Roman" w:cs="Times New Roman"/>
          <w:color w:val="4A4A4A"/>
          <w:sz w:val="21"/>
          <w:szCs w:val="21"/>
          <w:lang w:eastAsia="en-GB"/>
        </w:rPr>
        <w:t xml:space="preserve"> resources which were formed from biomass in the geological past. By extension, the term fossil is also applied to any secondary fuel manufactured from a fossil fuel.”</w:t>
      </w:r>
    </w:p>
    <w:p w14:paraId="6157D241" w14:textId="2E8A76A4" w:rsidR="006A58F7" w:rsidRPr="008217D0" w:rsidRDefault="006A58F7" w:rsidP="006A58F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Use the terms set out in</w:t>
      </w:r>
      <w:r w:rsidR="00FF2671">
        <w:rPr>
          <w:rFonts w:eastAsia="Times New Roman" w:cs="Times New Roman"/>
          <w:color w:val="4A4A4A"/>
          <w:sz w:val="21"/>
          <w:szCs w:val="21"/>
          <w:lang w:eastAsia="en-GB"/>
        </w:rPr>
        <w:t xml:space="preserve"> the</w:t>
      </w:r>
      <w:r w:rsidR="00970558">
        <w:rPr>
          <w:rFonts w:eastAsia="Times New Roman" w:cs="Times New Roman"/>
          <w:color w:val="4A4A4A"/>
          <w:sz w:val="21"/>
          <w:szCs w:val="21"/>
          <w:lang w:eastAsia="en-GB"/>
        </w:rPr>
        <w:t xml:space="preserve"> </w:t>
      </w:r>
      <w:r w:rsidR="00970558" w:rsidRPr="00970558">
        <w:rPr>
          <w:rFonts w:eastAsia="Times New Roman" w:cs="Times New Roman"/>
          <w:color w:val="4A4A4A"/>
          <w:sz w:val="21"/>
          <w:szCs w:val="21"/>
          <w:lang w:eastAsia="en-GB"/>
        </w:rPr>
        <w:t>Central Product Classification</w:t>
      </w:r>
      <w:r w:rsidRPr="008217D0">
        <w:rPr>
          <w:rFonts w:eastAsia="Times New Roman" w:cs="Times New Roman"/>
          <w:color w:val="4A4A4A"/>
          <w:sz w:val="21"/>
          <w:szCs w:val="21"/>
          <w:lang w:eastAsia="en-GB"/>
        </w:rPr>
        <w:t xml:space="preserve"> </w:t>
      </w:r>
      <w:r w:rsidR="00970558">
        <w:rPr>
          <w:rFonts w:eastAsia="Times New Roman" w:cs="Times New Roman"/>
          <w:color w:val="4A4A4A"/>
          <w:sz w:val="21"/>
          <w:szCs w:val="21"/>
          <w:lang w:eastAsia="en-GB"/>
        </w:rPr>
        <w:t>(</w:t>
      </w:r>
      <w:r w:rsidRPr="008217D0">
        <w:rPr>
          <w:rFonts w:eastAsia="Times New Roman" w:cs="Times New Roman"/>
          <w:color w:val="4A4A4A"/>
          <w:sz w:val="21"/>
          <w:szCs w:val="21"/>
          <w:lang w:eastAsia="en-GB"/>
        </w:rPr>
        <w:t>CPC</w:t>
      </w:r>
      <w:r w:rsidR="00970558">
        <w:rPr>
          <w:rFonts w:eastAsia="Times New Roman" w:cs="Times New Roman"/>
          <w:color w:val="4A4A4A"/>
          <w:sz w:val="21"/>
          <w:szCs w:val="21"/>
          <w:lang w:eastAsia="en-GB"/>
        </w:rPr>
        <w:t>)</w:t>
      </w:r>
      <w:r w:rsidR="00AA5DF2">
        <w:rPr>
          <w:rFonts w:eastAsia="Times New Roman" w:cs="Times New Roman"/>
          <w:color w:val="4A4A4A"/>
          <w:sz w:val="21"/>
          <w:szCs w:val="21"/>
          <w:lang w:eastAsia="en-GB"/>
        </w:rPr>
        <w:t xml:space="preserve">, </w:t>
      </w:r>
      <w:r w:rsidRPr="008217D0">
        <w:rPr>
          <w:rFonts w:eastAsia="Times New Roman" w:cs="Times New Roman"/>
          <w:color w:val="4A4A4A"/>
          <w:sz w:val="21"/>
          <w:szCs w:val="21"/>
          <w:lang w:eastAsia="en-GB"/>
        </w:rPr>
        <w:t>Rev. 2.1 for the statistical classificat</w:t>
      </w:r>
      <w:r>
        <w:rPr>
          <w:rFonts w:eastAsia="Times New Roman" w:cs="Times New Roman"/>
          <w:color w:val="4A4A4A"/>
          <w:sz w:val="21"/>
          <w:szCs w:val="21"/>
          <w:lang w:eastAsia="en-GB"/>
        </w:rPr>
        <w:t xml:space="preserve">ion of the individual products. </w:t>
      </w:r>
      <w:r w:rsidRPr="008217D0">
        <w:rPr>
          <w:rFonts w:eastAsia="Times New Roman" w:cs="Times New Roman"/>
          <w:color w:val="4A4A4A"/>
          <w:sz w:val="21"/>
          <w:szCs w:val="21"/>
          <w:lang w:eastAsia="en-GB"/>
        </w:rPr>
        <w:t>No other commonly accepted definition identified</w:t>
      </w:r>
      <w:r w:rsidR="00AA5DF2">
        <w:rPr>
          <w:rFonts w:eastAsia="Times New Roman" w:cs="Times New Roman"/>
          <w:color w:val="4A4A4A"/>
          <w:sz w:val="21"/>
          <w:szCs w:val="21"/>
          <w:lang w:eastAsia="en-GB"/>
        </w:rPr>
        <w:t>.</w:t>
      </w:r>
    </w:p>
    <w:p w14:paraId="0129E547" w14:textId="77777777" w:rsidR="006A58F7" w:rsidRPr="008217D0" w:rsidRDefault="006A58F7" w:rsidP="006A58F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 xml:space="preserve">Include electricity and heat generated from fossil fuels in the scope of fossil fuels. </w:t>
      </w:r>
    </w:p>
    <w:p w14:paraId="3F4D8A38" w14:textId="77777777" w:rsidR="006A58F7" w:rsidRPr="008217D0" w:rsidRDefault="006A58F7" w:rsidP="006A58F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Include non-energy uses with monitoring optional</w:t>
      </w:r>
      <w:r w:rsidRPr="008217D0">
        <w:rPr>
          <w:rFonts w:eastAsia="Times New Roman" w:cs="Times New Roman"/>
          <w:color w:val="4A4A4A"/>
          <w:sz w:val="21"/>
          <w:szCs w:val="21"/>
          <w:lang w:eastAsia="en-GB"/>
        </w:rPr>
        <w:tab/>
        <w:t>for the measuring of this indicator.</w:t>
      </w:r>
    </w:p>
    <w:p w14:paraId="1CBC4D61" w14:textId="77777777" w:rsidR="006A58F7" w:rsidRPr="008217D0" w:rsidRDefault="006A58F7" w:rsidP="006A58F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Additional details are provided in the methodological document entitled, Measuring Fossil Fuel Subsidies in the Context of the Sustainable Development Goals.</w:t>
      </w:r>
    </w:p>
    <w:p w14:paraId="6E54D3D6" w14:textId="266C0F56" w:rsidR="00EC2915" w:rsidRPr="00A96255" w:rsidRDefault="00EC2915" w:rsidP="00576CFA">
      <w:pPr>
        <w:pStyle w:val="MText"/>
      </w:pPr>
    </w:p>
    <w:p w14:paraId="7932F8BD" w14:textId="3B4C195C" w:rsidR="008B0AC7" w:rsidRPr="00A96255" w:rsidRDefault="00EB17AA" w:rsidP="00FA0EF3">
      <w:pPr>
        <w:pStyle w:val="MHeader2"/>
        <w:tabs>
          <w:tab w:val="left" w:pos="3733"/>
        </w:tabs>
      </w:pPr>
      <w:r w:rsidRPr="00EB17AA">
        <w:t xml:space="preserve">2.b. Unit of measure </w:t>
      </w:r>
      <w:r>
        <w:rPr>
          <w:color w:val="B4B4B4"/>
          <w:sz w:val="20"/>
        </w:rPr>
        <w:t>(UNIT_MEASURE)</w:t>
      </w:r>
    </w:p>
    <w:p w14:paraId="548E9AAA" w14:textId="22E99B3C" w:rsidR="00EC2915" w:rsidRDefault="006C3FCC" w:rsidP="000E73B0">
      <w:pPr>
        <w:pStyle w:val="MText"/>
        <w:jc w:val="both"/>
      </w:pPr>
      <w:r>
        <w:t xml:space="preserve">Percent (%) </w:t>
      </w:r>
      <w:r w:rsidR="009651AC">
        <w:t xml:space="preserve">- </w:t>
      </w:r>
      <w:r w:rsidR="001168CA">
        <w:t xml:space="preserve">for </w:t>
      </w:r>
      <w:r w:rsidR="00240305" w:rsidRPr="00240305">
        <w:t xml:space="preserve">Fossil-fuel subsidies (consumption and production) as a proportion of total </w:t>
      </w:r>
      <w:proofErr w:type="gramStart"/>
      <w:r w:rsidR="00240305" w:rsidRPr="00240305">
        <w:t>GDP</w:t>
      </w:r>
      <w:r w:rsidR="00880DFF">
        <w:t>;</w:t>
      </w:r>
      <w:proofErr w:type="gramEnd"/>
    </w:p>
    <w:p w14:paraId="332ECB95" w14:textId="0F5E7C4A" w:rsidR="001143D5" w:rsidRDefault="002B06F8" w:rsidP="000E73B0">
      <w:pPr>
        <w:pStyle w:val="MText"/>
        <w:jc w:val="both"/>
      </w:pPr>
      <w:r>
        <w:t xml:space="preserve">Billions of nominal </w:t>
      </w:r>
      <w:r w:rsidR="001143D5" w:rsidRPr="001143D5">
        <w:t>United States dollars</w:t>
      </w:r>
      <w:r w:rsidR="001143D5">
        <w:t xml:space="preserve"> </w:t>
      </w:r>
      <w:r w:rsidR="009651AC">
        <w:t xml:space="preserve">- </w:t>
      </w:r>
      <w:r>
        <w:t xml:space="preserve">for </w:t>
      </w:r>
      <w:r w:rsidR="00427123" w:rsidRPr="00427123">
        <w:t>Fossil-fuel subsidies (consumption and production</w:t>
      </w:r>
      <w:proofErr w:type="gramStart"/>
      <w:r w:rsidR="00427123" w:rsidRPr="00427123">
        <w:t>)</w:t>
      </w:r>
      <w:r w:rsidR="00427123">
        <w:t>;</w:t>
      </w:r>
      <w:proofErr w:type="gramEnd"/>
    </w:p>
    <w:p w14:paraId="31584166" w14:textId="7C8FE9EF" w:rsidR="001143D5" w:rsidRPr="00A96255" w:rsidRDefault="00405BE0" w:rsidP="000E73B0">
      <w:pPr>
        <w:pStyle w:val="MText"/>
        <w:jc w:val="both"/>
      </w:pPr>
      <w:r>
        <w:t xml:space="preserve">Nominal </w:t>
      </w:r>
      <w:r w:rsidR="001143D5" w:rsidRPr="001143D5">
        <w:t>United States dollars</w:t>
      </w:r>
      <w:r>
        <w:t xml:space="preserve"> </w:t>
      </w:r>
      <w:r w:rsidR="009651AC">
        <w:t xml:space="preserve">- </w:t>
      </w:r>
      <w:r>
        <w:t xml:space="preserve">for </w:t>
      </w:r>
      <w:r w:rsidR="00C735B7" w:rsidRPr="00C735B7">
        <w:t>Fossil-fuel subsidies (consumption and production) per capita</w:t>
      </w:r>
      <w:r w:rsidR="00C735B7">
        <w:t>.</w:t>
      </w:r>
    </w:p>
    <w:p w14:paraId="00319610" w14:textId="77777777" w:rsidR="00203B52" w:rsidRPr="00741ECB" w:rsidRDefault="00203B52" w:rsidP="00F719A8">
      <w:pPr>
        <w:pStyle w:val="MHeader2"/>
        <w:rPr>
          <w:sz w:val="21"/>
          <w:szCs w:val="21"/>
        </w:rPr>
      </w:pPr>
    </w:p>
    <w:p w14:paraId="651AA7AC" w14:textId="09F1114E" w:rsidR="00DA615C" w:rsidRPr="00A96255" w:rsidRDefault="008B0AC7" w:rsidP="00F719A8">
      <w:pPr>
        <w:pStyle w:val="MHeader2"/>
      </w:pPr>
      <w:r w:rsidRPr="00A96255">
        <w:t xml:space="preserve">2.c. Classifications </w:t>
      </w:r>
      <w:r w:rsidRPr="000E73B0">
        <w:rPr>
          <w:color w:val="B4B4B4"/>
          <w:sz w:val="20"/>
        </w:rPr>
        <w:t>(CLASS_SYSTEM)</w:t>
      </w:r>
    </w:p>
    <w:p w14:paraId="123172F4" w14:textId="46C58D97" w:rsidR="00F719A8" w:rsidRDefault="00AE05B9" w:rsidP="000E73B0">
      <w:pPr>
        <w:pStyle w:val="MText"/>
        <w:numPr>
          <w:ilvl w:val="0"/>
          <w:numId w:val="7"/>
        </w:numPr>
        <w:jc w:val="both"/>
      </w:pPr>
      <w:r>
        <w:t>Standard Country or Area Codes for Statistical Use (UN M49 classification of countries and regions)</w:t>
      </w:r>
    </w:p>
    <w:p w14:paraId="02DE7481" w14:textId="77777777" w:rsidR="005751C3" w:rsidRPr="00A96255" w:rsidRDefault="005751C3"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2F5F044" w14:textId="77777777" w:rsidR="0007607A" w:rsidRDefault="0007607A" w:rsidP="000E73B0">
      <w:pPr>
        <w:shd w:val="clear" w:color="auto" w:fill="FFFFFF"/>
        <w:spacing w:after="0"/>
        <w:jc w:val="both"/>
        <w:rPr>
          <w:rFonts w:eastAsia="Times New Roman" w:cs="Times New Roman"/>
          <w:color w:val="4A4A4A"/>
          <w:sz w:val="21"/>
          <w:szCs w:val="21"/>
          <w:lang w:eastAsia="en-GB"/>
        </w:rPr>
      </w:pPr>
      <w:r w:rsidRPr="00AB7DE6">
        <w:rPr>
          <w:rFonts w:eastAsia="Times New Roman" w:cs="Times New Roman"/>
          <w:color w:val="4A4A4A"/>
          <w:sz w:val="21"/>
          <w:szCs w:val="21"/>
          <w:lang w:eastAsia="en-GB"/>
        </w:rPr>
        <w:t>Direct transfers are generally reported in government budgets, and well documented in sectoral and Finance Ministries, broken down by programme if not by fuel. Those that meet the SNA definition of “subsidies” – i.e., subsidies on products, and other subsidies on production – can also be found in a country</w:t>
      </w:r>
      <w:r>
        <w:rPr>
          <w:rFonts w:eastAsia="Times New Roman" w:cs="Times New Roman"/>
          <w:color w:val="4A4A4A"/>
          <w:sz w:val="21"/>
          <w:szCs w:val="21"/>
          <w:lang w:eastAsia="en-GB"/>
        </w:rPr>
        <w:t xml:space="preserve">’s System of National Accounts. </w:t>
      </w:r>
      <w:r w:rsidRPr="00AB7DE6">
        <w:rPr>
          <w:rFonts w:eastAsia="Times New Roman" w:cs="Times New Roman"/>
          <w:color w:val="4A4A4A"/>
          <w:sz w:val="21"/>
          <w:szCs w:val="21"/>
          <w:lang w:eastAsia="en-GB"/>
        </w:rPr>
        <w:t>Budget documents are publicly avail</w:t>
      </w:r>
      <w:r>
        <w:rPr>
          <w:rFonts w:eastAsia="Times New Roman" w:cs="Times New Roman"/>
          <w:color w:val="4A4A4A"/>
          <w:sz w:val="21"/>
          <w:szCs w:val="21"/>
          <w:lang w:eastAsia="en-GB"/>
        </w:rPr>
        <w:t xml:space="preserve">able for most countries. </w:t>
      </w:r>
      <w:r w:rsidRPr="00AB7DE6">
        <w:rPr>
          <w:rFonts w:eastAsia="Times New Roman" w:cs="Times New Roman"/>
          <w:color w:val="4A4A4A"/>
          <w:sz w:val="21"/>
          <w:szCs w:val="21"/>
          <w:lang w:eastAsia="en-GB"/>
        </w:rPr>
        <w:t xml:space="preserve"> The degree to which information on individual programmes is itemized in those reports is highly variable, however. Support to corporations involved in energy production or transformation may sometimes be found in their annual reports, for example. In some cases, researchers may be able to obtain unpublished data from state-owned energy enterprises directly.</w:t>
      </w:r>
    </w:p>
    <w:p w14:paraId="100F4F3A" w14:textId="77777777" w:rsidR="0007607A" w:rsidRDefault="0007607A" w:rsidP="000E73B0">
      <w:pPr>
        <w:shd w:val="clear" w:color="auto" w:fill="FFFFFF"/>
        <w:spacing w:after="0"/>
        <w:jc w:val="both"/>
        <w:rPr>
          <w:rFonts w:eastAsia="Times New Roman" w:cs="Times New Roman"/>
          <w:color w:val="4A4A4A"/>
          <w:sz w:val="21"/>
          <w:szCs w:val="21"/>
          <w:lang w:eastAsia="en-GB"/>
        </w:rPr>
      </w:pPr>
    </w:p>
    <w:p w14:paraId="365F147A" w14:textId="380E6578" w:rsidR="0007607A" w:rsidRDefault="0007607A" w:rsidP="000E73B0">
      <w:pPr>
        <w:shd w:val="clear" w:color="auto" w:fill="FFFFFF"/>
        <w:spacing w:after="0"/>
        <w:jc w:val="both"/>
        <w:rPr>
          <w:rFonts w:eastAsia="Times New Roman" w:cs="Times New Roman"/>
          <w:color w:val="4A4A4A"/>
          <w:sz w:val="21"/>
          <w:szCs w:val="21"/>
          <w:lang w:eastAsia="en-GB"/>
        </w:rPr>
      </w:pPr>
      <w:r w:rsidRPr="00AB7DE6">
        <w:rPr>
          <w:rFonts w:eastAsia="Times New Roman" w:cs="Times New Roman"/>
          <w:color w:val="4A4A4A"/>
          <w:sz w:val="21"/>
          <w:szCs w:val="21"/>
          <w:lang w:eastAsia="en-GB"/>
        </w:rPr>
        <w:t>Induced transfer</w:t>
      </w:r>
      <w:r w:rsidR="00AC38EC">
        <w:rPr>
          <w:rFonts w:eastAsia="Times New Roman" w:cs="Times New Roman"/>
          <w:color w:val="4A4A4A"/>
          <w:sz w:val="21"/>
          <w:szCs w:val="21"/>
          <w:lang w:eastAsia="en-GB"/>
        </w:rPr>
        <w:t>s</w:t>
      </w:r>
      <w:r w:rsidRPr="00AB7DE6">
        <w:rPr>
          <w:rFonts w:eastAsia="Times New Roman" w:cs="Times New Roman"/>
          <w:color w:val="4A4A4A"/>
          <w:sz w:val="21"/>
          <w:szCs w:val="21"/>
          <w:lang w:eastAsia="en-GB"/>
        </w:rPr>
        <w:t xml:space="preserve"> are measured by calculating the price-gap between the producer or consumer price and a reference price and multiplying that differential by the affected volume produced or consumed. </w:t>
      </w:r>
    </w:p>
    <w:p w14:paraId="78A14CD5" w14:textId="77777777" w:rsidR="0007607A" w:rsidRDefault="0007607A" w:rsidP="000E73B0">
      <w:pPr>
        <w:shd w:val="clear" w:color="auto" w:fill="FFFFFF"/>
        <w:spacing w:after="0"/>
        <w:jc w:val="both"/>
        <w:rPr>
          <w:rFonts w:eastAsia="Times New Roman" w:cs="Times New Roman"/>
          <w:color w:val="4A4A4A"/>
          <w:sz w:val="21"/>
          <w:szCs w:val="21"/>
          <w:lang w:eastAsia="en-GB"/>
        </w:rPr>
      </w:pPr>
    </w:p>
    <w:p w14:paraId="5F0D7047" w14:textId="77777777" w:rsidR="0007607A" w:rsidRDefault="0007607A" w:rsidP="000E73B0">
      <w:pPr>
        <w:shd w:val="clear" w:color="auto" w:fill="FFFFFF"/>
        <w:spacing w:after="0"/>
        <w:jc w:val="both"/>
        <w:rPr>
          <w:rFonts w:eastAsia="Times New Roman" w:cs="Times New Roman"/>
          <w:color w:val="4A4A4A"/>
          <w:sz w:val="21"/>
          <w:szCs w:val="21"/>
          <w:lang w:eastAsia="en-GB"/>
        </w:rPr>
      </w:pPr>
      <w:r w:rsidRPr="00AB7DE6">
        <w:rPr>
          <w:rFonts w:eastAsia="Times New Roman" w:cs="Times New Roman"/>
          <w:color w:val="4A4A4A"/>
          <w:sz w:val="21"/>
          <w:szCs w:val="21"/>
          <w:lang w:eastAsia="en-GB"/>
        </w:rPr>
        <w:t xml:space="preserve">Measuring the value of special features introduced into the tax code to favour certain industries or activities of those industries (such as investment in productive capital) can be a complex endeavour. Some countries do this exercise </w:t>
      </w:r>
      <w:proofErr w:type="gramStart"/>
      <w:r w:rsidRPr="00AB7DE6">
        <w:rPr>
          <w:rFonts w:eastAsia="Times New Roman" w:cs="Times New Roman"/>
          <w:color w:val="4A4A4A"/>
          <w:sz w:val="21"/>
          <w:szCs w:val="21"/>
          <w:lang w:eastAsia="en-GB"/>
        </w:rPr>
        <w:t>already, and</w:t>
      </w:r>
      <w:proofErr w:type="gramEnd"/>
      <w:r w:rsidRPr="00AB7DE6">
        <w:rPr>
          <w:rFonts w:eastAsia="Times New Roman" w:cs="Times New Roman"/>
          <w:color w:val="4A4A4A"/>
          <w:sz w:val="21"/>
          <w:szCs w:val="21"/>
          <w:lang w:eastAsia="en-GB"/>
        </w:rPr>
        <w:t xml:space="preserve"> report the annual value of those tax features in their periodic tax-</w:t>
      </w:r>
      <w:r w:rsidRPr="00AB7DE6">
        <w:rPr>
          <w:rFonts w:eastAsia="Times New Roman" w:cs="Times New Roman"/>
          <w:color w:val="4A4A4A"/>
          <w:sz w:val="21"/>
          <w:szCs w:val="21"/>
          <w:lang w:eastAsia="en-GB"/>
        </w:rPr>
        <w:lastRenderedPageBreak/>
        <w:t>expenditure reports. Where that is not the case, the analysist must construct a model and estimate the difference in the revenues that would be owed to the government under the baseline conditions and with the special tax feature.</w:t>
      </w:r>
    </w:p>
    <w:p w14:paraId="21993906" w14:textId="77777777" w:rsidR="0007607A" w:rsidRDefault="0007607A" w:rsidP="000E73B0">
      <w:pPr>
        <w:shd w:val="clear" w:color="auto" w:fill="FFFFFF"/>
        <w:spacing w:after="0"/>
        <w:jc w:val="both"/>
        <w:rPr>
          <w:rFonts w:eastAsia="Times New Roman" w:cs="Times New Roman"/>
          <w:color w:val="4A4A4A"/>
          <w:sz w:val="21"/>
          <w:szCs w:val="21"/>
          <w:lang w:eastAsia="en-GB"/>
        </w:rPr>
      </w:pPr>
    </w:p>
    <w:p w14:paraId="0E2D5DDF" w14:textId="77777777" w:rsidR="0007607A" w:rsidRDefault="0007607A" w:rsidP="000E73B0">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Fossil fuel subsidies should be monitored on an annual basis.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34F55E5" w14:textId="1B5778F3" w:rsidR="00BA6F6A" w:rsidRDefault="00BA6F6A" w:rsidP="000E73B0">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eastAsia="en-GB"/>
        </w:rPr>
        <w:t>The data will be collected by U</w:t>
      </w:r>
      <w:r w:rsidR="00F20D3B">
        <w:rPr>
          <w:rFonts w:eastAsia="Times New Roman" w:cs="Times New Roman"/>
          <w:color w:val="4A4A4A"/>
          <w:sz w:val="21"/>
          <w:szCs w:val="21"/>
          <w:lang w:eastAsia="en-GB"/>
        </w:rPr>
        <w:t xml:space="preserve">nited </w:t>
      </w:r>
      <w:r>
        <w:rPr>
          <w:rFonts w:eastAsia="Times New Roman" w:cs="Times New Roman"/>
          <w:color w:val="4A4A4A"/>
          <w:sz w:val="21"/>
          <w:szCs w:val="21"/>
          <w:lang w:eastAsia="en-GB"/>
        </w:rPr>
        <w:t>N</w:t>
      </w:r>
      <w:r w:rsidR="00F20D3B">
        <w:rPr>
          <w:rFonts w:eastAsia="Times New Roman" w:cs="Times New Roman"/>
          <w:color w:val="4A4A4A"/>
          <w:sz w:val="21"/>
          <w:szCs w:val="21"/>
          <w:lang w:eastAsia="en-GB"/>
        </w:rPr>
        <w:t>ations</w:t>
      </w:r>
      <w:r>
        <w:rPr>
          <w:rFonts w:eastAsia="Times New Roman" w:cs="Times New Roman"/>
          <w:color w:val="4A4A4A"/>
          <w:sz w:val="21"/>
          <w:szCs w:val="21"/>
          <w:lang w:eastAsia="en-GB"/>
        </w:rPr>
        <w:t xml:space="preserve"> Environment</w:t>
      </w:r>
      <w:r w:rsidR="00F20D3B">
        <w:rPr>
          <w:rFonts w:eastAsia="Times New Roman" w:cs="Times New Roman"/>
          <w:color w:val="4A4A4A"/>
          <w:sz w:val="21"/>
          <w:szCs w:val="21"/>
          <w:lang w:eastAsia="en-GB"/>
        </w:rPr>
        <w:t xml:space="preserve"> Programme (UNEP)</w:t>
      </w:r>
      <w:r>
        <w:rPr>
          <w:rFonts w:eastAsia="Times New Roman" w:cs="Times New Roman"/>
          <w:color w:val="4A4A4A"/>
          <w:sz w:val="21"/>
          <w:szCs w:val="21"/>
          <w:lang w:eastAsia="en-GB"/>
        </w:rPr>
        <w:t xml:space="preserve"> through electronic reporting being developed by UN</w:t>
      </w:r>
      <w:r w:rsidR="00C068D0">
        <w:rPr>
          <w:rFonts w:eastAsia="Times New Roman" w:cs="Times New Roman"/>
          <w:color w:val="4A4A4A"/>
          <w:sz w:val="21"/>
          <w:szCs w:val="21"/>
          <w:lang w:eastAsia="en-GB"/>
        </w:rPr>
        <w:t>EP</w:t>
      </w:r>
      <w:r>
        <w:rPr>
          <w:rFonts w:eastAsia="Times New Roman" w:cs="Times New Roman"/>
          <w:color w:val="4A4A4A"/>
          <w:sz w:val="21"/>
          <w:szCs w:val="21"/>
          <w:lang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F531DF6" w14:textId="1AA7E2AF" w:rsidR="0079773C" w:rsidRDefault="00395B0F" w:rsidP="0079773C">
      <w:pPr>
        <w:keepNext/>
        <w:keepLines/>
        <w:shd w:val="clear" w:color="auto" w:fill="FFFFFF"/>
        <w:spacing w:after="0"/>
        <w:jc w:val="both"/>
        <w:rPr>
          <w:rFonts w:eastAsia="Times New Roman" w:cs="Times New Roman"/>
          <w:color w:val="4A4A4A"/>
          <w:sz w:val="21"/>
          <w:szCs w:val="21"/>
          <w:lang w:eastAsia="en-GB"/>
        </w:rPr>
      </w:pPr>
      <w:bookmarkStart w:id="5" w:name="_Hlk153191908"/>
      <w:r>
        <w:rPr>
          <w:rFonts w:eastAsia="Times New Roman" w:cs="Times New Roman"/>
          <w:color w:val="4A4A4A"/>
          <w:sz w:val="21"/>
          <w:szCs w:val="21"/>
          <w:lang w:eastAsia="en-GB"/>
        </w:rPr>
        <w:t xml:space="preserve">Data </w:t>
      </w:r>
      <w:r w:rsidR="0079773C">
        <w:rPr>
          <w:rFonts w:eastAsia="Times New Roman" w:cs="Times New Roman"/>
          <w:color w:val="4A4A4A"/>
          <w:sz w:val="21"/>
          <w:szCs w:val="21"/>
          <w:lang w:eastAsia="en-GB"/>
        </w:rPr>
        <w:t>reporting on induced transfers start</w:t>
      </w:r>
      <w:r>
        <w:rPr>
          <w:rFonts w:eastAsia="Times New Roman" w:cs="Times New Roman"/>
          <w:color w:val="4A4A4A"/>
          <w:sz w:val="21"/>
          <w:szCs w:val="21"/>
          <w:lang w:eastAsia="en-GB"/>
        </w:rPr>
        <w:t>ed</w:t>
      </w:r>
      <w:r w:rsidR="0079773C">
        <w:rPr>
          <w:rFonts w:eastAsia="Times New Roman" w:cs="Times New Roman"/>
          <w:color w:val="4A4A4A"/>
          <w:sz w:val="21"/>
          <w:szCs w:val="21"/>
          <w:lang w:eastAsia="en-GB"/>
        </w:rPr>
        <w:t xml:space="preserve"> in 2018</w:t>
      </w:r>
      <w:r w:rsidR="00FB44A6">
        <w:rPr>
          <w:rFonts w:eastAsia="Times New Roman" w:cs="Times New Roman"/>
          <w:color w:val="4A4A4A"/>
          <w:sz w:val="21"/>
          <w:szCs w:val="21"/>
          <w:lang w:eastAsia="en-GB"/>
        </w:rPr>
        <w:t xml:space="preserve"> and on </w:t>
      </w:r>
      <w:r w:rsidR="0079773C">
        <w:rPr>
          <w:rFonts w:eastAsia="Times New Roman" w:cs="Times New Roman"/>
          <w:color w:val="4A4A4A"/>
          <w:sz w:val="21"/>
          <w:szCs w:val="21"/>
          <w:lang w:eastAsia="en-GB"/>
        </w:rPr>
        <w:t xml:space="preserve">direct transfers and tax revenue foregone </w:t>
      </w:r>
      <w:r w:rsidR="00FB44A6">
        <w:rPr>
          <w:rFonts w:eastAsia="Times New Roman" w:cs="Times New Roman"/>
          <w:color w:val="4A4A4A"/>
          <w:sz w:val="21"/>
          <w:szCs w:val="21"/>
          <w:lang w:eastAsia="en-GB"/>
        </w:rPr>
        <w:t>in</w:t>
      </w:r>
      <w:r w:rsidR="0079773C">
        <w:rPr>
          <w:rFonts w:eastAsia="Times New Roman" w:cs="Times New Roman"/>
          <w:color w:val="4A4A4A"/>
          <w:sz w:val="21"/>
          <w:szCs w:val="21"/>
          <w:lang w:eastAsia="en-GB"/>
        </w:rPr>
        <w:t xml:space="preserve"> 2020</w:t>
      </w:r>
      <w:r w:rsidR="00FB44A6">
        <w:rPr>
          <w:rFonts w:eastAsia="Times New Roman" w:cs="Times New Roman"/>
          <w:color w:val="4A4A4A"/>
          <w:sz w:val="21"/>
          <w:szCs w:val="21"/>
          <w:lang w:eastAsia="en-GB"/>
        </w:rPr>
        <w:t xml:space="preserve"> and annually thereafter</w:t>
      </w:r>
      <w:bookmarkEnd w:id="5"/>
      <w:r w:rsidR="0079773C">
        <w:rPr>
          <w:rFonts w:eastAsia="Times New Roman"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21CE4734" w14:textId="77777777" w:rsidR="002D40C7" w:rsidRDefault="002D40C7" w:rsidP="002D40C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Annual.</w:t>
      </w:r>
    </w:p>
    <w:p w14:paraId="10426483" w14:textId="7179B5EA" w:rsidR="00673BAB" w:rsidRDefault="00673BAB" w:rsidP="00F719A8">
      <w:pPr>
        <w:pStyle w:val="MHeader2"/>
      </w:pPr>
    </w:p>
    <w:p w14:paraId="3A4F3065" w14:textId="5D909F76" w:rsidR="00E46D96" w:rsidRPr="00A96255" w:rsidRDefault="00E46D96" w:rsidP="00F719A8">
      <w:pPr>
        <w:pStyle w:val="MHeader2"/>
      </w:pPr>
      <w:r w:rsidRPr="00A96255">
        <w:t xml:space="preserve">3.e. Data providers </w:t>
      </w:r>
      <w:r>
        <w:rPr>
          <w:color w:val="B4B4B4"/>
          <w:sz w:val="20"/>
        </w:rPr>
        <w:t>(DATA_SOURCE)</w:t>
      </w:r>
    </w:p>
    <w:p w14:paraId="34FE7035" w14:textId="77777777" w:rsidR="0015214A" w:rsidRDefault="0015214A" w:rsidP="0015214A">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AB7DE6">
        <w:rPr>
          <w:rFonts w:eastAsia="Times New Roman" w:cs="Times New Roman"/>
          <w:color w:val="4A4A4A"/>
          <w:sz w:val="21"/>
          <w:szCs w:val="21"/>
          <w:lang w:eastAsia="en-GB"/>
        </w:rPr>
        <w:t>National Focal Points</w:t>
      </w:r>
      <w:r>
        <w:rPr>
          <w:rFonts w:eastAsia="Times New Roman" w:cs="Times New Roman"/>
          <w:color w:val="4A4A4A"/>
          <w:sz w:val="21"/>
          <w:szCs w:val="21"/>
          <w:lang w:eastAsia="en-GB"/>
        </w:rPr>
        <w:t xml:space="preserve"> from National Statistical Systems.</w:t>
      </w:r>
    </w:p>
    <w:p w14:paraId="0D2A6E67" w14:textId="78BB44C7" w:rsidR="0015214A" w:rsidRPr="00741ECB" w:rsidRDefault="008C64B2" w:rsidP="008C64B2">
      <w:pPr>
        <w:pStyle w:val="ListParagraph"/>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Estimate Providers – </w:t>
      </w:r>
      <w:r w:rsidR="006E2759">
        <w:rPr>
          <w:rFonts w:eastAsia="Times New Roman" w:cs="Times New Roman"/>
          <w:color w:val="4A4A4A"/>
          <w:sz w:val="21"/>
          <w:szCs w:val="21"/>
          <w:lang w:eastAsia="en-GB"/>
        </w:rPr>
        <w:t xml:space="preserve">the </w:t>
      </w:r>
      <w:r w:rsidR="001E77BB">
        <w:rPr>
          <w:rFonts w:eastAsia="Times New Roman" w:cs="Times New Roman"/>
          <w:color w:val="4A4A4A"/>
          <w:sz w:val="21"/>
          <w:szCs w:val="21"/>
          <w:lang w:eastAsia="en-GB"/>
        </w:rPr>
        <w:t>Organisation for Economic Co-operation and Development (</w:t>
      </w:r>
      <w:r w:rsidR="0015214A">
        <w:rPr>
          <w:rFonts w:eastAsia="Times New Roman" w:cs="Times New Roman"/>
          <w:color w:val="4A4A4A"/>
          <w:sz w:val="21"/>
          <w:szCs w:val="21"/>
          <w:lang w:eastAsia="en-GB"/>
        </w:rPr>
        <w:t>OECD</w:t>
      </w:r>
      <w:r w:rsidR="001E77BB">
        <w:rPr>
          <w:rFonts w:eastAsia="Times New Roman" w:cs="Times New Roman"/>
          <w:color w:val="4A4A4A"/>
          <w:sz w:val="21"/>
          <w:szCs w:val="21"/>
          <w:lang w:eastAsia="en-GB"/>
        </w:rPr>
        <w:t>)</w:t>
      </w:r>
      <w:r>
        <w:rPr>
          <w:rFonts w:eastAsia="Times New Roman" w:cs="Times New Roman"/>
          <w:color w:val="4A4A4A"/>
          <w:sz w:val="21"/>
          <w:szCs w:val="21"/>
          <w:lang w:eastAsia="en-GB"/>
        </w:rPr>
        <w:t>,</w:t>
      </w:r>
      <w:r w:rsidR="0015214A" w:rsidRPr="00741ECB">
        <w:rPr>
          <w:rFonts w:eastAsia="Times New Roman" w:cs="Times New Roman"/>
          <w:color w:val="4A4A4A"/>
          <w:sz w:val="21"/>
          <w:szCs w:val="21"/>
          <w:lang w:eastAsia="en-GB"/>
        </w:rPr>
        <w:t xml:space="preserve"> </w:t>
      </w:r>
      <w:r w:rsidR="006E2759">
        <w:rPr>
          <w:rFonts w:eastAsia="Times New Roman" w:cs="Times New Roman"/>
          <w:color w:val="4A4A4A"/>
          <w:sz w:val="21"/>
          <w:szCs w:val="21"/>
          <w:lang w:eastAsia="en-GB"/>
        </w:rPr>
        <w:t xml:space="preserve">the </w:t>
      </w:r>
      <w:r w:rsidR="001E77BB">
        <w:rPr>
          <w:rFonts w:eastAsia="Times New Roman" w:cs="Times New Roman"/>
          <w:color w:val="4A4A4A"/>
          <w:sz w:val="21"/>
          <w:szCs w:val="21"/>
          <w:lang w:eastAsia="en-GB"/>
        </w:rPr>
        <w:t>International Energy Agency (</w:t>
      </w:r>
      <w:r w:rsidR="0015214A" w:rsidRPr="00741ECB">
        <w:rPr>
          <w:rFonts w:eastAsia="Times New Roman" w:cs="Times New Roman"/>
          <w:color w:val="4A4A4A"/>
          <w:sz w:val="21"/>
          <w:szCs w:val="21"/>
          <w:lang w:eastAsia="en-GB"/>
        </w:rPr>
        <w:t>IEA</w:t>
      </w:r>
      <w:r w:rsidR="001E77B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and </w:t>
      </w:r>
      <w:r w:rsidR="001E77BB">
        <w:rPr>
          <w:rFonts w:eastAsia="Times New Roman" w:cs="Times New Roman"/>
          <w:color w:val="4A4A4A"/>
          <w:sz w:val="21"/>
          <w:szCs w:val="21"/>
          <w:lang w:eastAsia="en-GB"/>
        </w:rPr>
        <w:t>the International Monetary Fund (</w:t>
      </w:r>
      <w:r>
        <w:rPr>
          <w:rFonts w:eastAsia="Times New Roman" w:cs="Times New Roman"/>
          <w:color w:val="4A4A4A"/>
          <w:sz w:val="21"/>
          <w:szCs w:val="21"/>
          <w:lang w:eastAsia="en-GB"/>
        </w:rPr>
        <w:t>IMF</w:t>
      </w:r>
      <w:r w:rsidR="001E77BB">
        <w:rPr>
          <w:rFonts w:eastAsia="Times New Roman" w:cs="Times New Roman"/>
          <w:color w:val="4A4A4A"/>
          <w:sz w:val="21"/>
          <w:szCs w:val="21"/>
          <w:lang w:eastAsia="en-GB"/>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C6D4F80" w:rsidR="00576CFA" w:rsidRPr="00A96255" w:rsidRDefault="007D67B6" w:rsidP="00576CFA">
      <w:pPr>
        <w:pStyle w:val="MText"/>
      </w:pPr>
      <w:r w:rsidRPr="007D67B6">
        <w:rPr>
          <w:lang w:val="en-US"/>
        </w:rPr>
        <w:t xml:space="preserve">United Nations Environment </w:t>
      </w:r>
      <w:proofErr w:type="spellStart"/>
      <w:r w:rsidRPr="007D67B6">
        <w:rPr>
          <w:lang w:val="en-US"/>
        </w:rPr>
        <w:t>Programme</w:t>
      </w:r>
      <w:proofErr w:type="spellEnd"/>
      <w:r w:rsidR="008C64B2">
        <w:rPr>
          <w:lang w:val="en-US"/>
        </w:rPr>
        <w:t xml:space="preserve"> </w:t>
      </w:r>
      <w:r w:rsidR="001143D5">
        <w:rPr>
          <w:lang w:val="en-US"/>
        </w:rPr>
        <w:t>(UNEP</w:t>
      </w:r>
      <w:r w:rsidRPr="007D67B6">
        <w:rPr>
          <w:lang w:val="en-US"/>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509D4ADF" w:rsidR="00576CFA" w:rsidRPr="00A96255" w:rsidRDefault="00BB55EE" w:rsidP="000E73B0">
      <w:pPr>
        <w:pStyle w:val="MText"/>
        <w:jc w:val="both"/>
      </w:pPr>
      <w:r>
        <w:rPr>
          <w:lang w:val="en-US"/>
        </w:rPr>
        <w:t xml:space="preserve">The </w:t>
      </w:r>
      <w:r w:rsidR="001E77BB" w:rsidRPr="007D67B6">
        <w:rPr>
          <w:lang w:val="en-US"/>
        </w:rPr>
        <w:t xml:space="preserve">United Nations Environment </w:t>
      </w:r>
      <w:proofErr w:type="spellStart"/>
      <w:r w:rsidR="001E77BB" w:rsidRPr="007D67B6">
        <w:rPr>
          <w:lang w:val="en-US"/>
        </w:rPr>
        <w:t>Programme</w:t>
      </w:r>
      <w:proofErr w:type="spellEnd"/>
      <w:r w:rsidR="001E77BB">
        <w:t xml:space="preserve"> (</w:t>
      </w:r>
      <w:r w:rsidR="008C64B2">
        <w:t>UNEP</w:t>
      </w:r>
      <w:r w:rsidR="001E77BB">
        <w:t>)</w:t>
      </w:r>
      <w:r w:rsidR="008C64B2">
        <w:t xml:space="preserve"> has been assigned the role of custodian agency for this indicator under the SDG process.</w:t>
      </w:r>
    </w:p>
    <w:p w14:paraId="3D063F4C" w14:textId="517DC87E"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C237DF4" w14:textId="77777777" w:rsidR="00FD47C6" w:rsidRDefault="00FD47C6" w:rsidP="000E73B0">
      <w:pPr>
        <w:shd w:val="clear" w:color="auto" w:fill="FFFFFF"/>
        <w:spacing w:after="0"/>
        <w:jc w:val="both"/>
        <w:rPr>
          <w:rFonts w:eastAsia="Times New Roman" w:cs="Times New Roman"/>
          <w:color w:val="4A4A4A"/>
          <w:sz w:val="21"/>
          <w:szCs w:val="21"/>
          <w:lang w:eastAsia="en-GB"/>
        </w:rPr>
      </w:pPr>
      <w:r w:rsidRPr="00596C46">
        <w:rPr>
          <w:rFonts w:eastAsia="Times New Roman" w:cs="Times New Roman"/>
          <w:color w:val="4A4A4A"/>
          <w:sz w:val="21"/>
          <w:szCs w:val="21"/>
          <w:lang w:eastAsia="en-GB"/>
        </w:rPr>
        <w:t xml:space="preserve">The scale and impact of fossil fuel subsidies presents both challenges and opportunities for achieving the goals of the 2030 Agenda on Sustainable Development. For one, the use of fossil fuels, and their promotion through subsidy schemes, adversely affects the ability of governments to attain key goals, such as reducing poverty, improving health, reaching gender equality, providing access to energy, and addressing climate change. At the same time, there is a need to ensure that poor households that are particularly vulnerable to price increases obtain or retain access to energy. Energy-dependent sectors of the economy can be affected, particularly by abrupt changes in prices. Any successful reform therefore requires careful analysis and adapted mitigation measures. For another, reallocating fossil fuel subsidies to sectors that are relevant for development could give a boost to reaching the SDGs. </w:t>
      </w:r>
    </w:p>
    <w:p w14:paraId="68A3CFCE" w14:textId="77777777" w:rsidR="00FD47C6" w:rsidRDefault="00FD47C6" w:rsidP="000E73B0">
      <w:pPr>
        <w:shd w:val="clear" w:color="auto" w:fill="FFFFFF"/>
        <w:spacing w:after="0"/>
        <w:jc w:val="both"/>
        <w:rPr>
          <w:rFonts w:eastAsia="Times New Roman" w:cs="Times New Roman"/>
          <w:color w:val="4A4A4A"/>
          <w:sz w:val="21"/>
          <w:szCs w:val="21"/>
          <w:lang w:eastAsia="en-GB"/>
        </w:rPr>
      </w:pPr>
    </w:p>
    <w:p w14:paraId="6F680DB1" w14:textId="77777777" w:rsidR="00FD47C6" w:rsidRDefault="00FD47C6" w:rsidP="000E73B0">
      <w:pPr>
        <w:shd w:val="clear" w:color="auto" w:fill="FFFFFF"/>
        <w:spacing w:after="0"/>
        <w:jc w:val="both"/>
        <w:rPr>
          <w:rFonts w:eastAsia="Times New Roman" w:cs="Times New Roman"/>
          <w:color w:val="4A4A4A"/>
          <w:sz w:val="21"/>
          <w:szCs w:val="21"/>
          <w:lang w:eastAsia="en-GB"/>
        </w:rPr>
      </w:pPr>
      <w:r w:rsidRPr="00596C46">
        <w:rPr>
          <w:rFonts w:eastAsia="Times New Roman" w:cs="Times New Roman"/>
          <w:color w:val="4A4A4A"/>
          <w:sz w:val="21"/>
          <w:szCs w:val="21"/>
          <w:lang w:eastAsia="en-GB"/>
        </w:rPr>
        <w:lastRenderedPageBreak/>
        <w:t>Awareness and understanding of existing subsidies based on credible data is necessary to increase transparency and inform decision-making. Reporting against a global indicator</w:t>
      </w:r>
      <w:r>
        <w:rPr>
          <w:rFonts w:eastAsia="Times New Roman" w:cs="Times New Roman"/>
          <w:color w:val="4A4A4A"/>
          <w:sz w:val="21"/>
          <w:szCs w:val="21"/>
          <w:lang w:eastAsia="en-GB"/>
        </w:rPr>
        <w:t xml:space="preserve"> measuring consumer and producer fossil fuel subsidies</w:t>
      </w:r>
      <w:r w:rsidRPr="00596C46">
        <w:rPr>
          <w:rFonts w:eastAsia="Times New Roman" w:cs="Times New Roman"/>
          <w:color w:val="4A4A4A"/>
          <w:sz w:val="21"/>
          <w:szCs w:val="21"/>
          <w:lang w:eastAsia="en-GB"/>
        </w:rPr>
        <w:t xml:space="preserve"> provide</w:t>
      </w:r>
      <w:r>
        <w:rPr>
          <w:rFonts w:eastAsia="Times New Roman" w:cs="Times New Roman"/>
          <w:color w:val="4A4A4A"/>
          <w:sz w:val="21"/>
          <w:szCs w:val="21"/>
          <w:lang w:eastAsia="en-GB"/>
        </w:rPr>
        <w:t>s</w:t>
      </w:r>
      <w:r w:rsidRPr="00596C46">
        <w:rPr>
          <w:rFonts w:eastAsia="Times New Roman" w:cs="Times New Roman"/>
          <w:color w:val="4A4A4A"/>
          <w:sz w:val="21"/>
          <w:szCs w:val="21"/>
          <w:lang w:eastAsia="en-GB"/>
        </w:rPr>
        <w:t xml:space="preserve"> a global picture that encompasses both consu</w:t>
      </w:r>
      <w:r>
        <w:rPr>
          <w:rFonts w:eastAsia="Times New Roman" w:cs="Times New Roman"/>
          <w:color w:val="4A4A4A"/>
          <w:sz w:val="21"/>
          <w:szCs w:val="21"/>
          <w:lang w:eastAsia="en-GB"/>
        </w:rPr>
        <w:t xml:space="preserve">mer and producer subsidies. It </w:t>
      </w:r>
      <w:r w:rsidRPr="00596C46">
        <w:rPr>
          <w:rFonts w:eastAsia="Times New Roman" w:cs="Times New Roman"/>
          <w:color w:val="4A4A4A"/>
          <w:sz w:val="21"/>
          <w:szCs w:val="21"/>
          <w:lang w:eastAsia="en-GB"/>
        </w:rPr>
        <w:t>allow</w:t>
      </w:r>
      <w:r>
        <w:rPr>
          <w:rFonts w:eastAsia="Times New Roman" w:cs="Times New Roman"/>
          <w:color w:val="4A4A4A"/>
          <w:sz w:val="21"/>
          <w:szCs w:val="21"/>
          <w:lang w:eastAsia="en-GB"/>
        </w:rPr>
        <w:t>s</w:t>
      </w:r>
      <w:r w:rsidRPr="00596C46">
        <w:rPr>
          <w:rFonts w:eastAsia="Times New Roman" w:cs="Times New Roman"/>
          <w:color w:val="4A4A4A"/>
          <w:sz w:val="21"/>
          <w:szCs w:val="21"/>
          <w:lang w:eastAsia="en-GB"/>
        </w:rPr>
        <w:t xml:space="preserve"> for tracking of national and global trends and serve as an important guide for </w:t>
      </w:r>
      <w:proofErr w:type="gramStart"/>
      <w:r w:rsidRPr="00596C46">
        <w:rPr>
          <w:rFonts w:eastAsia="Times New Roman" w:cs="Times New Roman"/>
          <w:color w:val="4A4A4A"/>
          <w:sz w:val="21"/>
          <w:szCs w:val="21"/>
          <w:lang w:eastAsia="en-GB"/>
        </w:rPr>
        <w:t>policy-making</w:t>
      </w:r>
      <w:proofErr w:type="gramEnd"/>
      <w:r w:rsidRPr="00596C46">
        <w:rPr>
          <w:rFonts w:eastAsia="Times New Roman" w:cs="Times New Roman"/>
          <w:color w:val="4A4A4A"/>
          <w:sz w:val="21"/>
          <w:szCs w:val="21"/>
          <w:lang w:eastAsia="en-GB"/>
        </w:rPr>
        <w:t xml:space="preserve">. </w:t>
      </w:r>
    </w:p>
    <w:p w14:paraId="2CC74D62" w14:textId="77777777" w:rsidR="003A7370" w:rsidRPr="00741ECB" w:rsidRDefault="003A7370" w:rsidP="00F719A8">
      <w:pPr>
        <w:pStyle w:val="MHeader2"/>
        <w:rPr>
          <w:sz w:val="21"/>
          <w:szCs w:val="21"/>
        </w:rPr>
      </w:pPr>
    </w:p>
    <w:p w14:paraId="2529B069" w14:textId="0875DDB6" w:rsidR="00E1050F" w:rsidRPr="00A96255" w:rsidRDefault="00E1050F" w:rsidP="00F719A8">
      <w:pPr>
        <w:pStyle w:val="MHeader2"/>
      </w:pPr>
      <w:r w:rsidRPr="00A96255">
        <w:t xml:space="preserve">4.b. Comment and limitations </w:t>
      </w:r>
      <w:r>
        <w:rPr>
          <w:color w:val="B4B4B4"/>
          <w:sz w:val="20"/>
        </w:rPr>
        <w:t>(REC_USE_LIM)</w:t>
      </w:r>
    </w:p>
    <w:p w14:paraId="611CD585" w14:textId="77777777" w:rsidR="004B41D2" w:rsidRDefault="004B41D2" w:rsidP="000E73B0">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monitoring and reporting of SDG Indicator 12.c.1 </w:t>
      </w:r>
      <w:proofErr w:type="gramStart"/>
      <w:r>
        <w:rPr>
          <w:rFonts w:eastAsia="Times New Roman" w:cs="Times New Roman"/>
          <w:color w:val="4A4A4A"/>
          <w:sz w:val="21"/>
          <w:szCs w:val="21"/>
          <w:lang w:eastAsia="en-GB"/>
        </w:rPr>
        <w:t>requires</w:t>
      </w:r>
      <w:proofErr w:type="gramEnd"/>
      <w:r>
        <w:rPr>
          <w:rFonts w:eastAsia="Times New Roman" w:cs="Times New Roman"/>
          <w:color w:val="4A4A4A"/>
          <w:sz w:val="21"/>
          <w:szCs w:val="21"/>
          <w:lang w:eastAsia="en-GB"/>
        </w:rPr>
        <w:t xml:space="preserve"> capacity within national statistical systems to evaluate direct and indirect transfers of government funds. D</w:t>
      </w:r>
      <w:r w:rsidRPr="00B45432">
        <w:rPr>
          <w:rFonts w:eastAsia="Times New Roman" w:cs="Times New Roman"/>
          <w:color w:val="4A4A4A"/>
          <w:sz w:val="21"/>
          <w:szCs w:val="21"/>
          <w:lang w:eastAsia="en-GB"/>
        </w:rPr>
        <w:t>ata collection by the statistical agencies from the sectoral ministries and state-owned enterprises, including at the sub-national level, which depends on their capacity.</w:t>
      </w:r>
      <w:r>
        <w:rPr>
          <w:rFonts w:eastAsia="Times New Roman" w:cs="Times New Roman"/>
          <w:color w:val="4A4A4A"/>
          <w:sz w:val="21"/>
          <w:szCs w:val="21"/>
          <w:lang w:eastAsia="en-GB"/>
        </w:rPr>
        <w:t xml:space="preserve"> There is a need for additional training materials and sharing of experiences on the indicator.</w:t>
      </w:r>
    </w:p>
    <w:p w14:paraId="2A382795" w14:textId="77777777" w:rsidR="004B41D2" w:rsidRDefault="004B41D2" w:rsidP="000E73B0">
      <w:pPr>
        <w:shd w:val="clear" w:color="auto" w:fill="FFFFFF"/>
        <w:spacing w:after="0"/>
        <w:jc w:val="both"/>
        <w:rPr>
          <w:rFonts w:eastAsia="Times New Roman" w:cs="Times New Roman"/>
          <w:color w:val="4A4A4A"/>
          <w:sz w:val="21"/>
          <w:szCs w:val="21"/>
          <w:lang w:eastAsia="en-GB"/>
        </w:rPr>
      </w:pPr>
    </w:p>
    <w:p w14:paraId="475357EB" w14:textId="77777777" w:rsidR="004B41D2" w:rsidRDefault="004B41D2" w:rsidP="000E73B0">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indicator methodology utilizes a phased monitoring to allow for countries with different capacities to engage in monitoring 12.c.1. The two phases include global monitoring based on price gap estimates plus national monitoring of direct and indirect transfers with optional monitoring of tax expenditure foregone.</w:t>
      </w:r>
    </w:p>
    <w:p w14:paraId="3C369955" w14:textId="77777777" w:rsidR="00C41789" w:rsidRPr="00741ECB" w:rsidRDefault="00C41789" w:rsidP="00741ECB">
      <w:pPr>
        <w:shd w:val="clear" w:color="auto" w:fill="FFFFFF"/>
        <w:spacing w:after="0"/>
        <w:rPr>
          <w:sz w:val="21"/>
          <w:szCs w:val="21"/>
          <w:lang w:val="en-IE"/>
        </w:rPr>
      </w:pPr>
    </w:p>
    <w:p w14:paraId="79EEEE38" w14:textId="0440923B" w:rsidR="00E1050F" w:rsidRPr="00A96255" w:rsidRDefault="00E1050F" w:rsidP="00F719A8">
      <w:pPr>
        <w:pStyle w:val="MHeader2"/>
      </w:pPr>
      <w:r w:rsidRPr="00A96255">
        <w:t xml:space="preserve">4.c. Method of computation </w:t>
      </w:r>
      <w:r>
        <w:rPr>
          <w:color w:val="B4B4B4"/>
          <w:sz w:val="20"/>
        </w:rPr>
        <w:t>(DATA_COMP)</w:t>
      </w:r>
    </w:p>
    <w:p w14:paraId="1F3653B2" w14:textId="775C1EB7" w:rsidR="00060C63" w:rsidRPr="00B45432" w:rsidRDefault="00060C63" w:rsidP="000E73B0">
      <w:pPr>
        <w:pStyle w:val="MText"/>
        <w:jc w:val="both"/>
        <w:rPr>
          <w:lang w:val="en-IE"/>
        </w:rPr>
      </w:pPr>
      <w:r>
        <w:rPr>
          <w:lang w:val="en-IE"/>
        </w:rPr>
        <w:t>I</w:t>
      </w:r>
      <w:r w:rsidRPr="00B45432">
        <w:rPr>
          <w:lang w:val="en-IE"/>
        </w:rPr>
        <w:t>t is proposed that countries report on the subsidy categories listed below as sub-indicators</w:t>
      </w:r>
      <w:r w:rsidR="006E69EE">
        <w:rPr>
          <w:lang w:val="en-IE"/>
        </w:rPr>
        <w:t>:</w:t>
      </w:r>
    </w:p>
    <w:p w14:paraId="02359288" w14:textId="77777777" w:rsidR="00060C63" w:rsidRPr="00B45432" w:rsidRDefault="00060C63" w:rsidP="000E73B0">
      <w:pPr>
        <w:pStyle w:val="MText"/>
        <w:jc w:val="both"/>
        <w:rPr>
          <w:lang w:val="en-IE"/>
        </w:rPr>
      </w:pPr>
      <w:r w:rsidRPr="00B45432">
        <w:rPr>
          <w:lang w:val="en-IE"/>
        </w:rPr>
        <w:t>-</w:t>
      </w:r>
      <w:r w:rsidRPr="00B45432">
        <w:rPr>
          <w:lang w:val="en-IE"/>
        </w:rPr>
        <w:tab/>
        <w:t xml:space="preserve">Direct </w:t>
      </w:r>
      <w:proofErr w:type="gramStart"/>
      <w:r w:rsidRPr="00B45432">
        <w:rPr>
          <w:lang w:val="en-IE"/>
        </w:rPr>
        <w:t>transfers;</w:t>
      </w:r>
      <w:proofErr w:type="gramEnd"/>
      <w:r w:rsidRPr="00B45432">
        <w:rPr>
          <w:lang w:val="en-IE"/>
        </w:rPr>
        <w:t xml:space="preserve"> </w:t>
      </w:r>
    </w:p>
    <w:p w14:paraId="5C432E17" w14:textId="77777777" w:rsidR="00060C63" w:rsidRPr="00B45432" w:rsidRDefault="00060C63" w:rsidP="000E73B0">
      <w:pPr>
        <w:pStyle w:val="MText"/>
        <w:jc w:val="both"/>
        <w:rPr>
          <w:lang w:val="en-IE"/>
        </w:rPr>
      </w:pPr>
      <w:r w:rsidRPr="00B45432">
        <w:rPr>
          <w:lang w:val="en-IE"/>
        </w:rPr>
        <w:t>-</w:t>
      </w:r>
      <w:r w:rsidRPr="00B45432">
        <w:rPr>
          <w:lang w:val="en-IE"/>
        </w:rPr>
        <w:tab/>
        <w:t>Induced transfers (reporting on regulated prices and calculation of the total amount</w:t>
      </w:r>
      <w:proofErr w:type="gramStart"/>
      <w:r w:rsidRPr="00B45432">
        <w:rPr>
          <w:lang w:val="en-IE"/>
        </w:rPr>
        <w:t>);</w:t>
      </w:r>
      <w:proofErr w:type="gramEnd"/>
    </w:p>
    <w:p w14:paraId="184C1B86" w14:textId="77777777" w:rsidR="00060C63" w:rsidRDefault="00060C63" w:rsidP="000E73B0">
      <w:pPr>
        <w:pStyle w:val="MText"/>
        <w:jc w:val="both"/>
        <w:rPr>
          <w:lang w:val="en-IE"/>
        </w:rPr>
      </w:pPr>
      <w:r w:rsidRPr="00B45432">
        <w:rPr>
          <w:lang w:val="en-IE"/>
        </w:rPr>
        <w:t>-</w:t>
      </w:r>
      <w:r w:rsidRPr="00B45432">
        <w:rPr>
          <w:lang w:val="en-IE"/>
        </w:rPr>
        <w:tab/>
        <w:t xml:space="preserve">Tax expenditure, other government revenue foregone and under-pricing of goods and services, including risk (optional). </w:t>
      </w:r>
    </w:p>
    <w:p w14:paraId="3AC8B521" w14:textId="77777777" w:rsidR="00060C63" w:rsidRPr="00B45432" w:rsidRDefault="00060C63" w:rsidP="000E73B0">
      <w:pPr>
        <w:shd w:val="clear" w:color="auto" w:fill="FFFFFF"/>
        <w:spacing w:after="0"/>
        <w:jc w:val="both"/>
        <w:rPr>
          <w:sz w:val="21"/>
          <w:szCs w:val="21"/>
          <w:lang w:val="en-IE"/>
        </w:rPr>
      </w:pPr>
    </w:p>
    <w:p w14:paraId="40D97779" w14:textId="11F95089" w:rsidR="00060C63" w:rsidRDefault="00060C63" w:rsidP="000E73B0">
      <w:pPr>
        <w:pStyle w:val="MText"/>
        <w:jc w:val="both"/>
        <w:rPr>
          <w:lang w:val="en-IE"/>
        </w:rPr>
      </w:pPr>
      <w:r w:rsidRPr="00B45432">
        <w:rPr>
          <w:lang w:val="en-IE"/>
        </w:rPr>
        <w:t xml:space="preserve">The last category should be included as an optional sub-indicator. </w:t>
      </w:r>
      <w:r>
        <w:rPr>
          <w:lang w:val="en-IE"/>
        </w:rPr>
        <w:t xml:space="preserve">Each sub-indicator should be expressed in national currency or United States dollars in current prices. </w:t>
      </w:r>
      <w:r w:rsidR="0024194B">
        <w:rPr>
          <w:lang w:val="en-IE"/>
        </w:rPr>
        <w:t xml:space="preserve">The </w:t>
      </w:r>
      <w:r w:rsidR="001E77BB" w:rsidRPr="007D67B6">
        <w:rPr>
          <w:lang w:val="en-US"/>
        </w:rPr>
        <w:t xml:space="preserve">United Nations Environment </w:t>
      </w:r>
      <w:proofErr w:type="spellStart"/>
      <w:r w:rsidR="001E77BB" w:rsidRPr="007D67B6">
        <w:rPr>
          <w:lang w:val="en-US"/>
        </w:rPr>
        <w:t>Programme</w:t>
      </w:r>
      <w:proofErr w:type="spellEnd"/>
      <w:r w:rsidR="001E77BB">
        <w:rPr>
          <w:lang w:val="en-US"/>
        </w:rPr>
        <w:t xml:space="preserve"> (</w:t>
      </w:r>
      <w:proofErr w:type="gramStart"/>
      <w:r w:rsidR="001E77BB">
        <w:rPr>
          <w:lang w:val="en-US"/>
        </w:rPr>
        <w:t>UNEP</w:t>
      </w:r>
      <w:r w:rsidR="001E77BB" w:rsidRPr="007D67B6">
        <w:rPr>
          <w:lang w:val="en-US"/>
        </w:rPr>
        <w:t>)</w:t>
      </w:r>
      <w:r w:rsidR="001E77BB">
        <w:rPr>
          <w:lang w:val="en-US"/>
        </w:rPr>
        <w:t xml:space="preserve"> </w:t>
      </w:r>
      <w:r>
        <w:rPr>
          <w:lang w:val="en-IE"/>
        </w:rPr>
        <w:t xml:space="preserve"> use</w:t>
      </w:r>
      <w:r w:rsidR="006E69EE">
        <w:rPr>
          <w:lang w:val="en-IE"/>
        </w:rPr>
        <w:t>s</w:t>
      </w:r>
      <w:proofErr w:type="gramEnd"/>
      <w:r>
        <w:rPr>
          <w:lang w:val="en-IE"/>
        </w:rPr>
        <w:t xml:space="preserve"> market exchange rates to calculate between national currency and United States dollar. </w:t>
      </w:r>
    </w:p>
    <w:p w14:paraId="71C9378B" w14:textId="77777777" w:rsidR="00060C63" w:rsidRDefault="00060C63" w:rsidP="000E73B0">
      <w:pPr>
        <w:pStyle w:val="MText"/>
        <w:jc w:val="both"/>
        <w:rPr>
          <w:lang w:val="en-IE"/>
        </w:rPr>
      </w:pPr>
    </w:p>
    <w:p w14:paraId="4F64C07D" w14:textId="77777777" w:rsidR="00060C63" w:rsidRDefault="00060C63" w:rsidP="000E73B0">
      <w:pPr>
        <w:pStyle w:val="MText"/>
        <w:jc w:val="both"/>
        <w:rPr>
          <w:lang w:val="en-IE"/>
        </w:rPr>
      </w:pPr>
      <w:r w:rsidRPr="00B45432">
        <w:rPr>
          <w:lang w:val="en-IE"/>
        </w:rPr>
        <w:t xml:space="preserve">Care should be given if a country chooses to aggregate across the three sub-indicators </w:t>
      </w:r>
      <w:proofErr w:type="gramStart"/>
      <w:r w:rsidRPr="00B45432">
        <w:rPr>
          <w:lang w:val="en-IE"/>
        </w:rPr>
        <w:t>in order to</w:t>
      </w:r>
      <w:proofErr w:type="gramEnd"/>
      <w:r w:rsidRPr="00B45432">
        <w:rPr>
          <w:lang w:val="en-IE"/>
        </w:rPr>
        <w:t xml:space="preserve"> avoid double counting and all three sub-indicators should be publicly available to ensure transparency.</w:t>
      </w:r>
      <w:r>
        <w:rPr>
          <w:lang w:val="en-IE"/>
        </w:rPr>
        <w:t xml:space="preserve">  C</w:t>
      </w:r>
      <w:r w:rsidRPr="00B45432">
        <w:rPr>
          <w:lang w:val="en-IE"/>
        </w:rPr>
        <w:t xml:space="preserve">are needs to be taken when aggregating estimates of induced transfers with data on direct transfers and some measures in under-pricing of goods and services. </w:t>
      </w:r>
    </w:p>
    <w:p w14:paraId="673951F3" w14:textId="77777777" w:rsidR="00060C63" w:rsidRDefault="00060C63" w:rsidP="000E73B0">
      <w:pPr>
        <w:pStyle w:val="MText"/>
        <w:jc w:val="both"/>
        <w:rPr>
          <w:lang w:val="en-IE"/>
        </w:rPr>
      </w:pPr>
    </w:p>
    <w:p w14:paraId="1D09CF9D" w14:textId="086B64DC" w:rsidR="00060C63" w:rsidRPr="00AB7DE6" w:rsidRDefault="00060C63" w:rsidP="000E73B0">
      <w:pPr>
        <w:pStyle w:val="MText"/>
        <w:jc w:val="both"/>
        <w:rPr>
          <w:lang w:val="en-IE"/>
        </w:rPr>
      </w:pPr>
      <w:r w:rsidRPr="00AB7DE6">
        <w:rPr>
          <w:lang w:val="en-IE"/>
        </w:rPr>
        <w:t>Estimates of subsidies to consumers observable through price-gaps (i.e., consumer price support) have been calculated by several international organizations (</w:t>
      </w:r>
      <w:r w:rsidR="00834A0E">
        <w:rPr>
          <w:lang w:val="en-IE"/>
        </w:rPr>
        <w:t xml:space="preserve">the </w:t>
      </w:r>
      <w:r w:rsidR="003A69BB" w:rsidRPr="003A69BB">
        <w:rPr>
          <w:lang w:val="en-IE"/>
        </w:rPr>
        <w:t>Inter-American Development Bank</w:t>
      </w:r>
      <w:r w:rsidR="003A69BB">
        <w:rPr>
          <w:lang w:val="en-IE"/>
        </w:rPr>
        <w:t xml:space="preserve"> (</w:t>
      </w:r>
      <w:r w:rsidRPr="00AB7DE6">
        <w:rPr>
          <w:lang w:val="en-IE"/>
        </w:rPr>
        <w:t>IADB</w:t>
      </w:r>
      <w:r w:rsidR="003A69BB">
        <w:rPr>
          <w:lang w:val="en-IE"/>
        </w:rPr>
        <w:t>)</w:t>
      </w:r>
      <w:r w:rsidRPr="00AB7DE6">
        <w:rPr>
          <w:lang w:val="en-IE"/>
        </w:rPr>
        <w:t xml:space="preserve">, </w:t>
      </w:r>
      <w:r w:rsidR="00834A0E">
        <w:rPr>
          <w:lang w:val="en-IE"/>
        </w:rPr>
        <w:t xml:space="preserve">the </w:t>
      </w:r>
      <w:r w:rsidR="001E77BB">
        <w:rPr>
          <w:lang w:val="en-IE"/>
        </w:rPr>
        <w:t>International Energy Agency (</w:t>
      </w:r>
      <w:r w:rsidRPr="00AB7DE6">
        <w:rPr>
          <w:lang w:val="en-IE"/>
        </w:rPr>
        <w:t>IEA</w:t>
      </w:r>
      <w:r w:rsidR="001E77BB">
        <w:rPr>
          <w:lang w:val="en-IE"/>
        </w:rPr>
        <w:t>)</w:t>
      </w:r>
      <w:r w:rsidRPr="00AB7DE6">
        <w:rPr>
          <w:lang w:val="en-IE"/>
        </w:rPr>
        <w:t>, and</w:t>
      </w:r>
      <w:r w:rsidR="001E77BB">
        <w:rPr>
          <w:lang w:val="en-IE"/>
        </w:rPr>
        <w:t xml:space="preserve"> </w:t>
      </w:r>
      <w:r w:rsidR="00834A0E">
        <w:rPr>
          <w:lang w:val="en-IE"/>
        </w:rPr>
        <w:t xml:space="preserve">the </w:t>
      </w:r>
      <w:r w:rsidR="001E77BB">
        <w:rPr>
          <w:lang w:val="en-IE"/>
        </w:rPr>
        <w:t>International Monetary Fund</w:t>
      </w:r>
      <w:r w:rsidRPr="00AB7DE6">
        <w:rPr>
          <w:lang w:val="en-IE"/>
        </w:rPr>
        <w:t xml:space="preserve"> </w:t>
      </w:r>
      <w:r w:rsidR="001E77BB">
        <w:rPr>
          <w:lang w:val="en-IE"/>
        </w:rPr>
        <w:t>(</w:t>
      </w:r>
      <w:r w:rsidRPr="00AB7DE6">
        <w:rPr>
          <w:lang w:val="en-IE"/>
        </w:rPr>
        <w:t>IMF</w:t>
      </w:r>
      <w:r w:rsidR="001E77BB">
        <w:rPr>
          <w:lang w:val="en-IE"/>
        </w:rPr>
        <w:t>)</w:t>
      </w:r>
      <w:r w:rsidRPr="00AB7DE6">
        <w:rPr>
          <w:lang w:val="en-IE"/>
        </w:rPr>
        <w:t>), covering different geographic regions and time-periods. The three organisations that produce these estimates use roughly the same approach, which can be summe</w:t>
      </w:r>
      <w:r>
        <w:rPr>
          <w:lang w:val="en-IE"/>
        </w:rPr>
        <w:t>d up by the following equation:</w:t>
      </w:r>
    </w:p>
    <w:p w14:paraId="1C6E88F0" w14:textId="77777777" w:rsidR="00060C63" w:rsidRDefault="00060C63" w:rsidP="00060C63">
      <w:pPr>
        <w:shd w:val="clear" w:color="auto" w:fill="FFFFFF"/>
        <w:spacing w:after="0"/>
        <w:rPr>
          <w:sz w:val="21"/>
          <w:szCs w:val="21"/>
          <w:lang w:val="en-IE"/>
        </w:rPr>
      </w:pPr>
    </w:p>
    <w:p w14:paraId="57881CED" w14:textId="2D9B6AF8" w:rsidR="00060C63" w:rsidRDefault="000452F5" w:rsidP="00060C63">
      <w:pPr>
        <w:pStyle w:val="MText"/>
        <w:rPr>
          <w:lang w:val="en-IE"/>
        </w:rPr>
      </w:pPr>
      <m:oMathPara>
        <m:oMath>
          <m:r>
            <w:rPr>
              <w:rFonts w:ascii="Cambria Math" w:hAnsi="Cambria Math"/>
              <w:lang w:val="en-IE"/>
            </w:rPr>
            <m:t>Consumer price support = (adjusted net</m:t>
          </m:r>
          <m:r>
            <m:rPr>
              <m:sty m:val="p"/>
            </m:rPr>
            <w:rPr>
              <w:rFonts w:ascii="Cambria Math" w:hAnsi="Cambria Math"/>
              <w:lang w:val="en-IE"/>
            </w:rPr>
            <w:noBreakHyphen/>
          </m:r>
          <m:r>
            <w:rPr>
              <w:rFonts w:ascii="Cambria Math" w:hAnsi="Cambria Math"/>
              <w:lang w:val="en-IE"/>
            </w:rPr>
            <m:t>of</m:t>
          </m:r>
          <m:r>
            <m:rPr>
              <m:sty m:val="p"/>
            </m:rPr>
            <w:rPr>
              <w:rFonts w:ascii="Cambria Math" w:hAnsi="Cambria Math"/>
              <w:lang w:val="en-IE"/>
            </w:rPr>
            <w:noBreakHyphen/>
          </m:r>
          <m:r>
            <w:rPr>
              <w:rFonts w:ascii="Cambria Math" w:hAnsi="Cambria Math"/>
              <w:lang w:val="en-IE"/>
            </w:rPr>
            <m:t>tax reference unit price – local net</m:t>
          </m:r>
          <m:r>
            <m:rPr>
              <m:sty m:val="p"/>
            </m:rPr>
            <w:rPr>
              <w:rFonts w:ascii="Cambria Math" w:hAnsi="Cambria Math"/>
              <w:lang w:val="en-IE"/>
            </w:rPr>
            <w:noBreakHyphen/>
          </m:r>
          <m:r>
            <w:rPr>
              <w:rFonts w:ascii="Cambria Math" w:hAnsi="Cambria Math"/>
              <w:lang w:val="en-IE"/>
            </w:rPr>
            <m:t>of</m:t>
          </m:r>
          <m:r>
            <m:rPr>
              <m:sty m:val="p"/>
            </m:rPr>
            <w:rPr>
              <w:rFonts w:ascii="Cambria Math" w:hAnsi="Cambria Math"/>
              <w:lang w:val="en-IE"/>
            </w:rPr>
            <w:noBreakHyphen/>
          </m:r>
          <m:r>
            <w:rPr>
              <w:rFonts w:ascii="Cambria Math" w:hAnsi="Cambria Math"/>
              <w:lang w:val="en-IE"/>
            </w:rPr>
            <m:t>tax unit price) x units subsidized</m:t>
          </m:r>
        </m:oMath>
      </m:oMathPara>
    </w:p>
    <w:p w14:paraId="1BCAA3B7" w14:textId="77777777" w:rsidR="00060C63" w:rsidRPr="00AB7DE6" w:rsidRDefault="00060C63" w:rsidP="00060C63">
      <w:pPr>
        <w:pStyle w:val="MText"/>
        <w:rPr>
          <w:lang w:val="en-IE"/>
        </w:rPr>
      </w:pPr>
    </w:p>
    <w:p w14:paraId="47F7615F" w14:textId="77777777" w:rsidR="00060C63" w:rsidRDefault="00060C63" w:rsidP="000E73B0">
      <w:pPr>
        <w:pStyle w:val="MText"/>
        <w:jc w:val="both"/>
        <w:rPr>
          <w:lang w:val="en-IE"/>
        </w:rPr>
      </w:pPr>
      <w:r>
        <w:rPr>
          <w:lang w:val="en-IE"/>
        </w:rPr>
        <w:t xml:space="preserve">Estimates are based on </w:t>
      </w:r>
      <w:r w:rsidRPr="00AB7DE6">
        <w:rPr>
          <w:lang w:val="en-IE"/>
        </w:rPr>
        <w:t xml:space="preserve">reference prices on import (or export) parity prices using the price of a product at the nearest international hub, adjusted for quality </w:t>
      </w:r>
      <w:proofErr w:type="gramStart"/>
      <w:r w:rsidRPr="00AB7DE6">
        <w:rPr>
          <w:lang w:val="en-IE"/>
        </w:rPr>
        <w:t>differences</w:t>
      </w:r>
      <w:proofErr w:type="gramEnd"/>
      <w:r w:rsidRPr="00AB7DE6">
        <w:rPr>
          <w:lang w:val="en-IE"/>
        </w:rPr>
        <w:t xml:space="preserve"> if necessary, plus (or minus) the cost of freight and insurance to the net importer (or back to the net exporter), plus the cost of internal distribution </w:t>
      </w:r>
      <w:r w:rsidRPr="00AB7DE6">
        <w:rPr>
          <w:lang w:val="en-IE"/>
        </w:rPr>
        <w:lastRenderedPageBreak/>
        <w:t>and marketing and any value-added tax (VAT). For tradable commodities (mainly coal, crude oil, and petroleum products), the reference prices are based on the spot price at the nearest international hub – e.g., the United States, Northwest Europe, or Singapore.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57D763C" w:rsidR="00576CFA" w:rsidRPr="00A96255" w:rsidRDefault="008C64B2" w:rsidP="000E73B0">
      <w:pPr>
        <w:pStyle w:val="MText"/>
        <w:jc w:val="both"/>
      </w:pPr>
      <w:r>
        <w:t xml:space="preserve">Data sent to </w:t>
      </w:r>
      <w:r w:rsidR="00943620">
        <w:t xml:space="preserve">the </w:t>
      </w:r>
      <w:r w:rsidR="001E77BB" w:rsidRPr="007D67B6">
        <w:rPr>
          <w:lang w:val="en-US"/>
        </w:rPr>
        <w:t xml:space="preserve">United Nations Environment </w:t>
      </w:r>
      <w:proofErr w:type="spellStart"/>
      <w:r w:rsidR="001E77BB" w:rsidRPr="007D67B6">
        <w:rPr>
          <w:lang w:val="en-US"/>
        </w:rPr>
        <w:t>Programme</w:t>
      </w:r>
      <w:proofErr w:type="spellEnd"/>
      <w:r w:rsidR="001E77BB">
        <w:rPr>
          <w:lang w:val="en-US"/>
        </w:rPr>
        <w:t xml:space="preserve"> (UNEP</w:t>
      </w:r>
      <w:r w:rsidR="001E77BB" w:rsidRPr="007D67B6">
        <w:rPr>
          <w:lang w:val="en-US"/>
        </w:rPr>
        <w:t>)</w:t>
      </w:r>
      <w:r>
        <w:t xml:space="preserve"> </w:t>
      </w:r>
      <w:r w:rsidR="00943620">
        <w:t>is</w:t>
      </w:r>
      <w:r>
        <w:t xml:space="preserve"> monitored and verified for quality with the help of institutional partners, before being transmitted to the </w:t>
      </w:r>
      <w:r w:rsidR="001E77BB">
        <w:t>United Nations Statistics Division (</w:t>
      </w:r>
      <w:r>
        <w:t>UNSD</w:t>
      </w:r>
      <w:r w:rsidR="001E77BB">
        <w:t>)</w:t>
      </w:r>
      <w:r>
        <w:t>.</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22C1B2E" w:rsidR="00576CFA" w:rsidRPr="00A96255" w:rsidRDefault="00875B10" w:rsidP="00576CFA">
      <w:pPr>
        <w:pStyle w:val="MText"/>
      </w:pPr>
      <w:r>
        <w:t>Not applicable.</w:t>
      </w:r>
    </w:p>
    <w:p w14:paraId="54ACF01F" w14:textId="77777777" w:rsidR="00673BAB" w:rsidRDefault="00673BAB" w:rsidP="00741ECB">
      <w:pPr>
        <w:pStyle w:val="MText"/>
      </w:pPr>
    </w:p>
    <w:p w14:paraId="17735630" w14:textId="2093799B"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67BA175" w14:textId="77777777" w:rsidR="00752667" w:rsidRPr="00741ECB" w:rsidRDefault="00D51E7C" w:rsidP="00D51E7C">
      <w:pPr>
        <w:pStyle w:val="MText"/>
        <w:rPr>
          <w:b/>
          <w:bCs/>
        </w:rPr>
      </w:pPr>
      <w:r w:rsidRPr="00741ECB">
        <w:rPr>
          <w:b/>
          <w:bCs/>
        </w:rPr>
        <w:t>•</w:t>
      </w:r>
      <w:r w:rsidRPr="00741ECB">
        <w:rPr>
          <w:b/>
          <w:bCs/>
        </w:rPr>
        <w:tab/>
        <w:t>At country level</w:t>
      </w:r>
    </w:p>
    <w:p w14:paraId="58DCB865" w14:textId="532FA938" w:rsidR="00D51E7C" w:rsidRPr="007F7B1E" w:rsidRDefault="00942FB0" w:rsidP="00D51E7C">
      <w:pPr>
        <w:pStyle w:val="MText"/>
      </w:pPr>
      <w:r w:rsidRPr="007F7B1E">
        <w:t>Missing values are not imputed.</w:t>
      </w:r>
    </w:p>
    <w:p w14:paraId="1B6182A5" w14:textId="54983DC5" w:rsidR="00D51E7C" w:rsidRPr="007F7B1E" w:rsidRDefault="00D51E7C" w:rsidP="00D51E7C">
      <w:pPr>
        <w:pStyle w:val="MText"/>
      </w:pPr>
    </w:p>
    <w:p w14:paraId="56D91795" w14:textId="77777777" w:rsidR="00752667" w:rsidRPr="00741ECB" w:rsidRDefault="00D51E7C" w:rsidP="0090077A">
      <w:pPr>
        <w:pStyle w:val="MText"/>
        <w:rPr>
          <w:b/>
          <w:bCs/>
        </w:rPr>
      </w:pPr>
      <w:r w:rsidRPr="00741ECB">
        <w:rPr>
          <w:b/>
          <w:bCs/>
        </w:rPr>
        <w:t>•</w:t>
      </w:r>
      <w:r w:rsidRPr="00741ECB">
        <w:rPr>
          <w:b/>
          <w:bCs/>
        </w:rPr>
        <w:tab/>
        <w:t>At regional and global levels</w:t>
      </w:r>
    </w:p>
    <w:p w14:paraId="136231B9" w14:textId="55F5EEDA" w:rsidR="0090077A" w:rsidRPr="00573631" w:rsidRDefault="0090077A" w:rsidP="0090077A">
      <w:pPr>
        <w:pStyle w:val="MText"/>
      </w:pPr>
      <w:r w:rsidRPr="007F7B1E">
        <w:t>A price</w:t>
      </w:r>
      <w:r>
        <w:t xml:space="preserve"> gap method is used to create national, </w:t>
      </w:r>
      <w:proofErr w:type="gramStart"/>
      <w:r>
        <w:t>regional</w:t>
      </w:r>
      <w:proofErr w:type="gramEnd"/>
      <w:r>
        <w:t xml:space="preserve"> and global estimates.</w:t>
      </w:r>
    </w:p>
    <w:p w14:paraId="06DDC253" w14:textId="391A4D17"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5FBBF634" w14:textId="7B9201BB" w:rsidR="000B3CD0" w:rsidRDefault="000B3CD0" w:rsidP="000B3CD0">
      <w:pPr>
        <w:shd w:val="clear" w:color="auto" w:fill="FFFFFF"/>
        <w:spacing w:after="0"/>
        <w:jc w:val="both"/>
        <w:rPr>
          <w:rFonts w:eastAsia="Times New Roman" w:cs="Times New Roman"/>
          <w:color w:val="4A4A4A"/>
          <w:sz w:val="21"/>
          <w:szCs w:val="21"/>
          <w:lang w:eastAsia="en-GB"/>
        </w:rPr>
      </w:pPr>
      <w:r w:rsidRPr="00752667">
        <w:rPr>
          <w:rStyle w:val="MTextChar"/>
          <w:rFonts w:eastAsiaTheme="minorEastAsia"/>
        </w:rPr>
        <w:t>The methodology used for the calculation of the regional/global aggregates from the country values is available at</w:t>
      </w:r>
      <w:r>
        <w:t xml:space="preserve"> </w:t>
      </w:r>
      <w:hyperlink r:id="rId11" w:history="1">
        <w:r w:rsidR="00D16520" w:rsidRPr="00D16520">
          <w:rPr>
            <w:rStyle w:val="Hyperlink"/>
            <w:rFonts w:eastAsia="Times New Roman" w:cs="Times New Roman"/>
            <w:sz w:val="21"/>
            <w:szCs w:val="21"/>
            <w:lang w:eastAsia="en-GB"/>
          </w:rPr>
          <w:t>http://</w:t>
        </w:r>
        <w:r w:rsidR="00D16520" w:rsidRPr="00B02667">
          <w:rPr>
            <w:rStyle w:val="Hyperlink"/>
            <w:rFonts w:eastAsia="Times New Roman" w:cs="Times New Roman"/>
            <w:sz w:val="21"/>
            <w:szCs w:val="21"/>
            <w:lang w:eastAsia="en-GB"/>
          </w:rPr>
          <w:t>wesr.unep.org/media/docs/graphs/aggregation_methods.pdf</w:t>
        </w:r>
      </w:hyperlink>
      <w:r>
        <w:rPr>
          <w:rFonts w:eastAsia="Times New Roman" w:cs="Times New Roman"/>
          <w:color w:val="4A4A4A"/>
          <w:sz w:val="21"/>
          <w:szCs w:val="21"/>
          <w:lang w:eastAsia="en-GB"/>
        </w:rPr>
        <w:t xml:space="preserve">. </w:t>
      </w:r>
    </w:p>
    <w:p w14:paraId="48E12233" w14:textId="77777777" w:rsidR="000B3CD0" w:rsidRPr="00573631" w:rsidRDefault="000B3CD0" w:rsidP="000B3CD0">
      <w:pPr>
        <w:shd w:val="clear" w:color="auto" w:fill="FFFFFF"/>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BA0EC97" w14:textId="78AC626A" w:rsidR="00B70BBC" w:rsidRDefault="00120412" w:rsidP="000E73B0">
      <w:pPr>
        <w:pStyle w:val="MText"/>
        <w:numPr>
          <w:ilvl w:val="0"/>
          <w:numId w:val="8"/>
        </w:numPr>
      </w:pPr>
      <w:r>
        <w:t xml:space="preserve">UNEP </w:t>
      </w:r>
      <w:r w:rsidR="005B58D9">
        <w:t>(</w:t>
      </w:r>
      <w:r>
        <w:t xml:space="preserve">2019). </w:t>
      </w:r>
      <w:r w:rsidR="00B70BBC" w:rsidRPr="00B70BBC">
        <w:t>Measuring Fossil Fuel Subsidies in the Context of the Sustainable Development Goals</w:t>
      </w:r>
      <w:r w:rsidR="00B70BBC">
        <w:t xml:space="preserve">: </w:t>
      </w:r>
      <w:r w:rsidR="00F02742" w:rsidRPr="00F02742">
        <w:t>https://www.unep.org/resources/report/measuring-fossil-fuel-subsidies-context-sustainable-development-goals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35816F08" w:rsidR="00EC2915" w:rsidRDefault="00367A3F" w:rsidP="00576CFA">
      <w:pPr>
        <w:pStyle w:val="MText"/>
      </w:pPr>
      <w:r w:rsidRPr="00367A3F">
        <w:t>Quality management is provided by the United Nations Environment Programme (UNEP).</w:t>
      </w:r>
    </w:p>
    <w:p w14:paraId="7EF857CC" w14:textId="77777777" w:rsidR="00E73CDC" w:rsidRPr="00A96255" w:rsidRDefault="00E73CDC"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3DF90DA" w14:textId="6842CCAF" w:rsidR="00E73CDC" w:rsidRPr="00A96255" w:rsidRDefault="00825DC1" w:rsidP="00E73CDC">
      <w:pPr>
        <w:pStyle w:val="MText"/>
      </w:pPr>
      <w:r w:rsidRPr="009171FC">
        <w:t xml:space="preserve">Quality </w:t>
      </w:r>
      <w:r>
        <w:t>assurance</w:t>
      </w:r>
      <w:r w:rsidRPr="009171FC">
        <w:t xml:space="preserve"> is provided by the United Nations Environment Programme (UNEP)</w:t>
      </w:r>
      <w:r>
        <w:t xml:space="preserve"> in cooperation with the countries that provide these data.</w:t>
      </w:r>
    </w:p>
    <w:p w14:paraId="34B23672" w14:textId="77777777" w:rsidR="00E73CDC" w:rsidRPr="00A96255" w:rsidRDefault="00E73CD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2C4D915" w14:textId="2B282DE4" w:rsidR="00E73CDC" w:rsidRPr="00A96255" w:rsidRDefault="006715BD" w:rsidP="00E73CDC">
      <w:pPr>
        <w:pStyle w:val="MText"/>
      </w:pPr>
      <w:r w:rsidRPr="006715BD">
        <w:t>Quality assessment is provided by the United Nations Environment Programme (UNEP).</w:t>
      </w:r>
    </w:p>
    <w:p w14:paraId="42686B4D" w14:textId="77777777" w:rsidR="009767EE" w:rsidRPr="00A96255" w:rsidRDefault="009767EE"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F7A67A1" w14:textId="77777777" w:rsidR="00752667" w:rsidRPr="00741ECB" w:rsidRDefault="00D51E7C" w:rsidP="00752667">
      <w:pPr>
        <w:pStyle w:val="MText"/>
        <w:rPr>
          <w:b/>
          <w:bCs/>
        </w:rPr>
      </w:pPr>
      <w:r w:rsidRPr="00741ECB">
        <w:rPr>
          <w:b/>
          <w:bCs/>
        </w:rPr>
        <w:lastRenderedPageBreak/>
        <w:t>Data availability:</w:t>
      </w:r>
    </w:p>
    <w:p w14:paraId="404F3F62" w14:textId="081279B2" w:rsidR="00534B7A" w:rsidRPr="007F7B1E" w:rsidRDefault="00534B7A" w:rsidP="000E73B0">
      <w:pPr>
        <w:pStyle w:val="MText"/>
        <w:jc w:val="both"/>
      </w:pPr>
      <w:r w:rsidRPr="007F7B1E">
        <w:t xml:space="preserve">An initial baseline data assessment of data availability demonstrates that 99 countries have existing data which can be used to estimate fossil fuels from direct transfer and many of these countries also have information on tax revenue foregone. Data on induced transfers using a price gap approach is available for all UN </w:t>
      </w:r>
      <w:r w:rsidR="005262B0">
        <w:t>M</w:t>
      </w:r>
      <w:r w:rsidR="005262B0" w:rsidRPr="007F7B1E">
        <w:t xml:space="preserve">ember </w:t>
      </w:r>
      <w:r w:rsidR="005262B0">
        <w:t>S</w:t>
      </w:r>
      <w:r w:rsidRPr="007F7B1E">
        <w:t>tates.</w:t>
      </w:r>
    </w:p>
    <w:p w14:paraId="464A8CCF" w14:textId="3B3F6ACB" w:rsidR="00576CFA" w:rsidRPr="007F7B1E" w:rsidRDefault="00576CFA" w:rsidP="00752667">
      <w:pPr>
        <w:pStyle w:val="MText"/>
      </w:pPr>
    </w:p>
    <w:p w14:paraId="2DF9A7F3" w14:textId="77777777" w:rsidR="00752667" w:rsidRPr="00741ECB" w:rsidRDefault="00D51E7C" w:rsidP="00752667">
      <w:pPr>
        <w:pStyle w:val="MText"/>
        <w:rPr>
          <w:b/>
          <w:bCs/>
        </w:rPr>
      </w:pPr>
      <w:r w:rsidRPr="00741ECB">
        <w:rPr>
          <w:b/>
          <w:bCs/>
        </w:rPr>
        <w:t>Time series:</w:t>
      </w:r>
    </w:p>
    <w:p w14:paraId="760C013A" w14:textId="6BEE6108" w:rsidR="00D51E7C" w:rsidRPr="00C019E5" w:rsidRDefault="00D043C9" w:rsidP="00752667">
      <w:pPr>
        <w:pStyle w:val="MText"/>
        <w:rPr>
          <w:highlight w:val="cyan"/>
        </w:rPr>
      </w:pPr>
      <w:r>
        <w:t>Data reporting on induced transfers started in 2018 and on direct transfers and tax revenue foregone in 2020 and annually thereafter</w:t>
      </w:r>
      <w:r w:rsidR="00102F9E">
        <w:t>.</w:t>
      </w:r>
    </w:p>
    <w:p w14:paraId="678A0214" w14:textId="77777777" w:rsidR="00752667" w:rsidRPr="00741ECB" w:rsidRDefault="00D51E7C" w:rsidP="00752667">
      <w:pPr>
        <w:pStyle w:val="MText"/>
        <w:rPr>
          <w:b/>
          <w:bCs/>
          <w:lang w:val="en-IE"/>
        </w:rPr>
      </w:pPr>
      <w:r w:rsidRPr="00741ECB">
        <w:rPr>
          <w:b/>
          <w:bCs/>
        </w:rPr>
        <w:t>Disaggregation:</w:t>
      </w:r>
    </w:p>
    <w:p w14:paraId="2F4A552E" w14:textId="3831BF70" w:rsidR="00187D69" w:rsidRDefault="00187D69" w:rsidP="000E73B0">
      <w:pPr>
        <w:pStyle w:val="MText"/>
        <w:jc w:val="both"/>
        <w:rPr>
          <w:lang w:val="en-IE"/>
        </w:rPr>
      </w:pPr>
      <w:r w:rsidRPr="00B45432">
        <w:rPr>
          <w:lang w:val="en-IE"/>
        </w:rPr>
        <w:t>Because of the risk of double counting, the dataset should therefore provide disaggregated information on individual subsidy measures that will be reported as sub-indicators by category of subsidies.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BB57017" w14:textId="77777777" w:rsidR="00752667" w:rsidRPr="00741ECB" w:rsidRDefault="00D51E7C" w:rsidP="00752667">
      <w:pPr>
        <w:pStyle w:val="MText"/>
        <w:rPr>
          <w:b/>
          <w:bCs/>
        </w:rPr>
      </w:pPr>
      <w:r w:rsidRPr="00741ECB">
        <w:rPr>
          <w:b/>
          <w:bCs/>
        </w:rPr>
        <w:t>Sources of discrepancies:</w:t>
      </w:r>
    </w:p>
    <w:p w14:paraId="5DCA3390" w14:textId="7ABF65E8" w:rsidR="00AE23B3" w:rsidRDefault="00AE23B3" w:rsidP="00752667">
      <w:pPr>
        <w:pStyle w:val="MText"/>
      </w:pPr>
      <w:r>
        <w:t xml:space="preserve">Country level data and price gap data are shown </w:t>
      </w:r>
      <w:proofErr w:type="gramStart"/>
      <w:r>
        <w:t>separately,</w:t>
      </w:r>
      <w:proofErr w:type="gramEnd"/>
      <w:r>
        <w:t xml:space="preserve"> thus this should not apply. </w:t>
      </w:r>
    </w:p>
    <w:p w14:paraId="3595E072" w14:textId="31290018" w:rsidR="00D51E7C" w:rsidRDefault="00D51E7C" w:rsidP="00752667">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D7AB97E" w14:textId="26814D36" w:rsidR="008C64B2" w:rsidRPr="000E73B0" w:rsidRDefault="008C64B2" w:rsidP="000E73B0">
      <w:pPr>
        <w:pStyle w:val="MText"/>
        <w:jc w:val="both"/>
        <w:rPr>
          <w:noProof/>
        </w:rPr>
      </w:pPr>
      <w:r>
        <w:rPr>
          <w:noProof/>
        </w:rPr>
        <w:t>UNEP (2019). Measuring Fossil Fuel Subsidies in the Context of the Sustainable Development Goals</w:t>
      </w:r>
      <w:r w:rsidR="008904C3" w:rsidRPr="000E73B0">
        <w:rPr>
          <w:noProof/>
        </w:rPr>
        <w:t xml:space="preserve">: </w:t>
      </w:r>
      <w:r w:rsidR="009742A5" w:rsidRPr="000E73B0">
        <w:rPr>
          <w:noProof/>
        </w:rPr>
        <w:t>https://www.unep.org/resources/report/measuring-fossil-fuel-subsidies-context-sustainable-development-goals</w:t>
      </w:r>
    </w:p>
    <w:p w14:paraId="384B0992" w14:textId="36889691" w:rsidR="00186795" w:rsidRDefault="00186795" w:rsidP="00752667">
      <w:pPr>
        <w:pStyle w:val="MText"/>
      </w:pP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C876" w14:textId="77777777" w:rsidR="00171AA0" w:rsidRDefault="00171AA0" w:rsidP="00573C0B">
      <w:pPr>
        <w:spacing w:after="0" w:line="240" w:lineRule="auto"/>
      </w:pPr>
      <w:r>
        <w:separator/>
      </w:r>
    </w:p>
  </w:endnote>
  <w:endnote w:type="continuationSeparator" w:id="0">
    <w:p w14:paraId="129934C5" w14:textId="77777777" w:rsidR="00171AA0" w:rsidRDefault="00171AA0" w:rsidP="00573C0B">
      <w:pPr>
        <w:spacing w:after="0" w:line="240" w:lineRule="auto"/>
      </w:pPr>
      <w:r>
        <w:continuationSeparator/>
      </w:r>
    </w:p>
  </w:endnote>
  <w:endnote w:type="continuationNotice" w:id="1">
    <w:p w14:paraId="43321682" w14:textId="77777777" w:rsidR="00171AA0" w:rsidRDefault="0017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D1F9B" w14:textId="77777777" w:rsidR="00171AA0" w:rsidRDefault="00171AA0" w:rsidP="00573C0B">
      <w:pPr>
        <w:spacing w:after="0" w:line="240" w:lineRule="auto"/>
      </w:pPr>
      <w:r>
        <w:separator/>
      </w:r>
    </w:p>
  </w:footnote>
  <w:footnote w:type="continuationSeparator" w:id="0">
    <w:p w14:paraId="55E380D2" w14:textId="77777777" w:rsidR="00171AA0" w:rsidRDefault="00171AA0" w:rsidP="00573C0B">
      <w:pPr>
        <w:spacing w:after="0" w:line="240" w:lineRule="auto"/>
      </w:pPr>
      <w:r>
        <w:continuationSeparator/>
      </w:r>
    </w:p>
  </w:footnote>
  <w:footnote w:type="continuationNotice" w:id="1">
    <w:p w14:paraId="7406C731" w14:textId="77777777" w:rsidR="00171AA0" w:rsidRDefault="0017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5DEF" w14:textId="01887949" w:rsidR="00711112" w:rsidRPr="00757E8A" w:rsidRDefault="00711112" w:rsidP="00711112">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 xml:space="preserve">Last updated: </w:t>
    </w:r>
    <w:bookmarkEnd w:id="6"/>
    <w:bookmarkEnd w:id="7"/>
    <w:bookmarkEnd w:id="8"/>
    <w:bookmarkEnd w:id="9"/>
    <w:bookmarkEnd w:id="10"/>
    <w:bookmarkEnd w:id="11"/>
    <w:r w:rsidR="00E64645">
      <w:rPr>
        <w:noProof/>
        <w:color w:val="404040" w:themeColor="text1" w:themeTint="BF"/>
        <w:sz w:val="18"/>
        <w:szCs w:val="18"/>
      </w:rPr>
      <w:t>202</w:t>
    </w:r>
    <w:r w:rsidR="00FC128A">
      <w:rPr>
        <w:noProof/>
        <w:color w:val="404040" w:themeColor="text1" w:themeTint="BF"/>
        <w:sz w:val="18"/>
        <w:szCs w:val="18"/>
      </w:rPr>
      <w:t>4</w:t>
    </w:r>
    <w:r w:rsidR="00F51872">
      <w:rPr>
        <w:noProof/>
        <w:color w:val="404040" w:themeColor="text1" w:themeTint="BF"/>
        <w:sz w:val="18"/>
        <w:szCs w:val="18"/>
      </w:rPr>
      <w:t>-</w:t>
    </w:r>
    <w:r w:rsidR="00FC128A">
      <w:rPr>
        <w:noProof/>
        <w:color w:val="404040" w:themeColor="text1" w:themeTint="BF"/>
        <w:sz w:val="18"/>
        <w:szCs w:val="18"/>
      </w:rPr>
      <w:t>01</w:t>
    </w:r>
    <w:r w:rsidR="00F51872">
      <w:rPr>
        <w:noProof/>
        <w:color w:val="404040" w:themeColor="text1" w:themeTint="BF"/>
        <w:sz w:val="18"/>
        <w:szCs w:val="18"/>
      </w:rPr>
      <w:t>-</w:t>
    </w:r>
    <w:r w:rsidR="00FC128A">
      <w:rPr>
        <w:noProof/>
        <w:color w:val="404040" w:themeColor="text1" w:themeTint="BF"/>
        <w:sz w:val="18"/>
        <w:szCs w:val="18"/>
      </w:rPr>
      <w:t>31</w:t>
    </w:r>
  </w:p>
  <w:p w14:paraId="3FDD5D76" w14:textId="44049881" w:rsidR="00077F46" w:rsidRPr="00711112" w:rsidRDefault="00077F46" w:rsidP="00711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D43"/>
    <w:multiLevelType w:val="hybridMultilevel"/>
    <w:tmpl w:val="F566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76AC0"/>
    <w:multiLevelType w:val="hybridMultilevel"/>
    <w:tmpl w:val="4756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03775"/>
    <w:multiLevelType w:val="hybridMultilevel"/>
    <w:tmpl w:val="7CF65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7695923">
    <w:abstractNumId w:val="5"/>
  </w:num>
  <w:num w:numId="2" w16cid:durableId="1460800722">
    <w:abstractNumId w:val="3"/>
  </w:num>
  <w:num w:numId="3" w16cid:durableId="1801460327">
    <w:abstractNumId w:val="7"/>
  </w:num>
  <w:num w:numId="4" w16cid:durableId="131794863">
    <w:abstractNumId w:val="4"/>
  </w:num>
  <w:num w:numId="5" w16cid:durableId="2008364403">
    <w:abstractNumId w:val="0"/>
  </w:num>
  <w:num w:numId="6" w16cid:durableId="556283158">
    <w:abstractNumId w:val="6"/>
  </w:num>
  <w:num w:numId="7" w16cid:durableId="283778456">
    <w:abstractNumId w:val="1"/>
  </w:num>
  <w:num w:numId="8" w16cid:durableId="1684355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1AA"/>
    <w:rsid w:val="000070BA"/>
    <w:rsid w:val="000173F9"/>
    <w:rsid w:val="000412A0"/>
    <w:rsid w:val="000452F5"/>
    <w:rsid w:val="00047DDA"/>
    <w:rsid w:val="0005455A"/>
    <w:rsid w:val="00060C63"/>
    <w:rsid w:val="00071F07"/>
    <w:rsid w:val="0007607A"/>
    <w:rsid w:val="0007759D"/>
    <w:rsid w:val="000777AB"/>
    <w:rsid w:val="00077F46"/>
    <w:rsid w:val="00090FB1"/>
    <w:rsid w:val="00096186"/>
    <w:rsid w:val="000A72E4"/>
    <w:rsid w:val="000B0E2F"/>
    <w:rsid w:val="000B2430"/>
    <w:rsid w:val="000B3CD0"/>
    <w:rsid w:val="000C23EA"/>
    <w:rsid w:val="000D0B30"/>
    <w:rsid w:val="000E21F1"/>
    <w:rsid w:val="000E73B0"/>
    <w:rsid w:val="000F6F77"/>
    <w:rsid w:val="000F703E"/>
    <w:rsid w:val="00102F9E"/>
    <w:rsid w:val="001143D5"/>
    <w:rsid w:val="001168CA"/>
    <w:rsid w:val="00120412"/>
    <w:rsid w:val="00120E86"/>
    <w:rsid w:val="00125DE9"/>
    <w:rsid w:val="00127403"/>
    <w:rsid w:val="001332E0"/>
    <w:rsid w:val="00134DE7"/>
    <w:rsid w:val="0015214A"/>
    <w:rsid w:val="00171AA0"/>
    <w:rsid w:val="00185354"/>
    <w:rsid w:val="001854DC"/>
    <w:rsid w:val="00186795"/>
    <w:rsid w:val="00187D69"/>
    <w:rsid w:val="00190B73"/>
    <w:rsid w:val="00194D09"/>
    <w:rsid w:val="001A7D5C"/>
    <w:rsid w:val="001B1D1F"/>
    <w:rsid w:val="001B3520"/>
    <w:rsid w:val="001B60AA"/>
    <w:rsid w:val="001B63C8"/>
    <w:rsid w:val="001C1972"/>
    <w:rsid w:val="001C421F"/>
    <w:rsid w:val="001D360D"/>
    <w:rsid w:val="001E77BB"/>
    <w:rsid w:val="00202350"/>
    <w:rsid w:val="00203B52"/>
    <w:rsid w:val="00240305"/>
    <w:rsid w:val="0024194B"/>
    <w:rsid w:val="00261A8D"/>
    <w:rsid w:val="00280EA3"/>
    <w:rsid w:val="00283C1C"/>
    <w:rsid w:val="00291A00"/>
    <w:rsid w:val="00291A11"/>
    <w:rsid w:val="002A315C"/>
    <w:rsid w:val="002A3342"/>
    <w:rsid w:val="002A64BA"/>
    <w:rsid w:val="002B06F8"/>
    <w:rsid w:val="002B4989"/>
    <w:rsid w:val="002C2510"/>
    <w:rsid w:val="002D40C7"/>
    <w:rsid w:val="002D714E"/>
    <w:rsid w:val="002E53C3"/>
    <w:rsid w:val="002F1468"/>
    <w:rsid w:val="002F5F0C"/>
    <w:rsid w:val="003265EB"/>
    <w:rsid w:val="0034329E"/>
    <w:rsid w:val="00343FAA"/>
    <w:rsid w:val="00347F5E"/>
    <w:rsid w:val="003520D0"/>
    <w:rsid w:val="00353C98"/>
    <w:rsid w:val="00367A3F"/>
    <w:rsid w:val="00371A20"/>
    <w:rsid w:val="003821B4"/>
    <w:rsid w:val="00382CF3"/>
    <w:rsid w:val="00387D52"/>
    <w:rsid w:val="00395B0F"/>
    <w:rsid w:val="003A69BB"/>
    <w:rsid w:val="003A7327"/>
    <w:rsid w:val="003A7370"/>
    <w:rsid w:val="003A7CEA"/>
    <w:rsid w:val="003B6A10"/>
    <w:rsid w:val="003E1CC0"/>
    <w:rsid w:val="003F0BD3"/>
    <w:rsid w:val="003F278A"/>
    <w:rsid w:val="003F7A02"/>
    <w:rsid w:val="00405BE0"/>
    <w:rsid w:val="00422EA5"/>
    <w:rsid w:val="00422EFA"/>
    <w:rsid w:val="00427100"/>
    <w:rsid w:val="00427123"/>
    <w:rsid w:val="0042791F"/>
    <w:rsid w:val="004456ED"/>
    <w:rsid w:val="0048045A"/>
    <w:rsid w:val="004841B8"/>
    <w:rsid w:val="0048771F"/>
    <w:rsid w:val="004930F2"/>
    <w:rsid w:val="00495F62"/>
    <w:rsid w:val="004B0F1C"/>
    <w:rsid w:val="004B41D2"/>
    <w:rsid w:val="004D5368"/>
    <w:rsid w:val="004E7D4E"/>
    <w:rsid w:val="004F2EE6"/>
    <w:rsid w:val="00502DBA"/>
    <w:rsid w:val="005040C4"/>
    <w:rsid w:val="00507637"/>
    <w:rsid w:val="00507852"/>
    <w:rsid w:val="00514DBF"/>
    <w:rsid w:val="005262B0"/>
    <w:rsid w:val="00534B7A"/>
    <w:rsid w:val="00550921"/>
    <w:rsid w:val="00563712"/>
    <w:rsid w:val="00573631"/>
    <w:rsid w:val="00573C0B"/>
    <w:rsid w:val="005751C3"/>
    <w:rsid w:val="00576CFA"/>
    <w:rsid w:val="0058556D"/>
    <w:rsid w:val="00592AF2"/>
    <w:rsid w:val="00593A4C"/>
    <w:rsid w:val="005947AD"/>
    <w:rsid w:val="00597748"/>
    <w:rsid w:val="005979E8"/>
    <w:rsid w:val="005B58D9"/>
    <w:rsid w:val="005C7058"/>
    <w:rsid w:val="005D0AF4"/>
    <w:rsid w:val="005E54BD"/>
    <w:rsid w:val="005F6CCA"/>
    <w:rsid w:val="006104AF"/>
    <w:rsid w:val="00621893"/>
    <w:rsid w:val="006351E1"/>
    <w:rsid w:val="006447B1"/>
    <w:rsid w:val="00662775"/>
    <w:rsid w:val="006715BD"/>
    <w:rsid w:val="00673BAB"/>
    <w:rsid w:val="006852FC"/>
    <w:rsid w:val="006A58F7"/>
    <w:rsid w:val="006B40AB"/>
    <w:rsid w:val="006B5DC5"/>
    <w:rsid w:val="006C3FCC"/>
    <w:rsid w:val="006C4BFD"/>
    <w:rsid w:val="006C7D30"/>
    <w:rsid w:val="006E2759"/>
    <w:rsid w:val="006E3C08"/>
    <w:rsid w:val="006E69EE"/>
    <w:rsid w:val="00700ACF"/>
    <w:rsid w:val="00711112"/>
    <w:rsid w:val="00712487"/>
    <w:rsid w:val="00741ECB"/>
    <w:rsid w:val="00747649"/>
    <w:rsid w:val="00752667"/>
    <w:rsid w:val="007530CA"/>
    <w:rsid w:val="00756D68"/>
    <w:rsid w:val="007578D9"/>
    <w:rsid w:val="00757E8A"/>
    <w:rsid w:val="00763E43"/>
    <w:rsid w:val="00764EB5"/>
    <w:rsid w:val="00766A11"/>
    <w:rsid w:val="0077295B"/>
    <w:rsid w:val="00773C20"/>
    <w:rsid w:val="00774398"/>
    <w:rsid w:val="00777A95"/>
    <w:rsid w:val="00782416"/>
    <w:rsid w:val="0079773C"/>
    <w:rsid w:val="007B0364"/>
    <w:rsid w:val="007B22E5"/>
    <w:rsid w:val="007D0981"/>
    <w:rsid w:val="007D1929"/>
    <w:rsid w:val="007D3FA8"/>
    <w:rsid w:val="007D67B6"/>
    <w:rsid w:val="007E2625"/>
    <w:rsid w:val="007F7B1E"/>
    <w:rsid w:val="00803CF1"/>
    <w:rsid w:val="008104BB"/>
    <w:rsid w:val="008249C5"/>
    <w:rsid w:val="00825DC1"/>
    <w:rsid w:val="00834A0E"/>
    <w:rsid w:val="008526F9"/>
    <w:rsid w:val="0085285E"/>
    <w:rsid w:val="00853023"/>
    <w:rsid w:val="008534D4"/>
    <w:rsid w:val="00861081"/>
    <w:rsid w:val="00875B10"/>
    <w:rsid w:val="00880DFF"/>
    <w:rsid w:val="00881E28"/>
    <w:rsid w:val="008904C3"/>
    <w:rsid w:val="00894C4B"/>
    <w:rsid w:val="0089723A"/>
    <w:rsid w:val="008A12E3"/>
    <w:rsid w:val="008A42FA"/>
    <w:rsid w:val="008B0AC7"/>
    <w:rsid w:val="008C2335"/>
    <w:rsid w:val="008C64B2"/>
    <w:rsid w:val="008C67C1"/>
    <w:rsid w:val="008D1D39"/>
    <w:rsid w:val="008F07D2"/>
    <w:rsid w:val="0090077A"/>
    <w:rsid w:val="009079CA"/>
    <w:rsid w:val="00917851"/>
    <w:rsid w:val="00917F65"/>
    <w:rsid w:val="009311E7"/>
    <w:rsid w:val="00942694"/>
    <w:rsid w:val="00942FB0"/>
    <w:rsid w:val="00943620"/>
    <w:rsid w:val="009651AC"/>
    <w:rsid w:val="00970558"/>
    <w:rsid w:val="009742A5"/>
    <w:rsid w:val="009767EE"/>
    <w:rsid w:val="00982E3B"/>
    <w:rsid w:val="00992327"/>
    <w:rsid w:val="009A7E3A"/>
    <w:rsid w:val="009B1265"/>
    <w:rsid w:val="009B4A15"/>
    <w:rsid w:val="009B5693"/>
    <w:rsid w:val="009C61A2"/>
    <w:rsid w:val="009C78E4"/>
    <w:rsid w:val="009D687E"/>
    <w:rsid w:val="009E13AB"/>
    <w:rsid w:val="009F6DE7"/>
    <w:rsid w:val="00A10583"/>
    <w:rsid w:val="00A12926"/>
    <w:rsid w:val="00A2257D"/>
    <w:rsid w:val="00A37FCB"/>
    <w:rsid w:val="00A54863"/>
    <w:rsid w:val="00A61D74"/>
    <w:rsid w:val="00A8688B"/>
    <w:rsid w:val="00A91163"/>
    <w:rsid w:val="00A9286F"/>
    <w:rsid w:val="00A96255"/>
    <w:rsid w:val="00AA5DF2"/>
    <w:rsid w:val="00AA65BD"/>
    <w:rsid w:val="00AB285B"/>
    <w:rsid w:val="00AC38EC"/>
    <w:rsid w:val="00AC5725"/>
    <w:rsid w:val="00AE05B9"/>
    <w:rsid w:val="00AE0F2A"/>
    <w:rsid w:val="00AE23B3"/>
    <w:rsid w:val="00AF5552"/>
    <w:rsid w:val="00AF5CB4"/>
    <w:rsid w:val="00AF5ED1"/>
    <w:rsid w:val="00AF71AB"/>
    <w:rsid w:val="00AF71D6"/>
    <w:rsid w:val="00B216EE"/>
    <w:rsid w:val="00B3175F"/>
    <w:rsid w:val="00B31E2C"/>
    <w:rsid w:val="00B329B0"/>
    <w:rsid w:val="00B402D8"/>
    <w:rsid w:val="00B4237C"/>
    <w:rsid w:val="00B42FE8"/>
    <w:rsid w:val="00B47821"/>
    <w:rsid w:val="00B52AFD"/>
    <w:rsid w:val="00B54077"/>
    <w:rsid w:val="00B70BBC"/>
    <w:rsid w:val="00B8087E"/>
    <w:rsid w:val="00B81A00"/>
    <w:rsid w:val="00B9463C"/>
    <w:rsid w:val="00BA6F6A"/>
    <w:rsid w:val="00BB55EE"/>
    <w:rsid w:val="00BB646E"/>
    <w:rsid w:val="00BD1BA1"/>
    <w:rsid w:val="00BE6258"/>
    <w:rsid w:val="00C019E5"/>
    <w:rsid w:val="00C068D0"/>
    <w:rsid w:val="00C137FA"/>
    <w:rsid w:val="00C249D8"/>
    <w:rsid w:val="00C2556C"/>
    <w:rsid w:val="00C35BC4"/>
    <w:rsid w:val="00C41789"/>
    <w:rsid w:val="00C43F5B"/>
    <w:rsid w:val="00C45797"/>
    <w:rsid w:val="00C70D08"/>
    <w:rsid w:val="00C735B7"/>
    <w:rsid w:val="00CB4371"/>
    <w:rsid w:val="00CC516D"/>
    <w:rsid w:val="00CD1405"/>
    <w:rsid w:val="00D043C9"/>
    <w:rsid w:val="00D13688"/>
    <w:rsid w:val="00D158FA"/>
    <w:rsid w:val="00D16520"/>
    <w:rsid w:val="00D24330"/>
    <w:rsid w:val="00D32B21"/>
    <w:rsid w:val="00D36C26"/>
    <w:rsid w:val="00D40056"/>
    <w:rsid w:val="00D51E7C"/>
    <w:rsid w:val="00D54F29"/>
    <w:rsid w:val="00D7020C"/>
    <w:rsid w:val="00D70AD9"/>
    <w:rsid w:val="00D72152"/>
    <w:rsid w:val="00D94BA5"/>
    <w:rsid w:val="00D9510F"/>
    <w:rsid w:val="00D97FF2"/>
    <w:rsid w:val="00DA307C"/>
    <w:rsid w:val="00DA615C"/>
    <w:rsid w:val="00DD0BAA"/>
    <w:rsid w:val="00DD1BC6"/>
    <w:rsid w:val="00DD3B68"/>
    <w:rsid w:val="00DE1468"/>
    <w:rsid w:val="00DE5DC3"/>
    <w:rsid w:val="00DE71B3"/>
    <w:rsid w:val="00DF0F07"/>
    <w:rsid w:val="00E00D8A"/>
    <w:rsid w:val="00E1050F"/>
    <w:rsid w:val="00E11604"/>
    <w:rsid w:val="00E11D92"/>
    <w:rsid w:val="00E130A0"/>
    <w:rsid w:val="00E210C4"/>
    <w:rsid w:val="00E23DB7"/>
    <w:rsid w:val="00E43963"/>
    <w:rsid w:val="00E44FD6"/>
    <w:rsid w:val="00E46D96"/>
    <w:rsid w:val="00E52CCA"/>
    <w:rsid w:val="00E551A6"/>
    <w:rsid w:val="00E64645"/>
    <w:rsid w:val="00E66409"/>
    <w:rsid w:val="00E73CDC"/>
    <w:rsid w:val="00E81D5B"/>
    <w:rsid w:val="00E976B9"/>
    <w:rsid w:val="00EA05D3"/>
    <w:rsid w:val="00EB17AA"/>
    <w:rsid w:val="00EB19AD"/>
    <w:rsid w:val="00EB2F31"/>
    <w:rsid w:val="00EB6493"/>
    <w:rsid w:val="00EC2915"/>
    <w:rsid w:val="00ED05A9"/>
    <w:rsid w:val="00ED1BA0"/>
    <w:rsid w:val="00F02742"/>
    <w:rsid w:val="00F17257"/>
    <w:rsid w:val="00F20D3B"/>
    <w:rsid w:val="00F315B9"/>
    <w:rsid w:val="00F34D24"/>
    <w:rsid w:val="00F35438"/>
    <w:rsid w:val="00F4130B"/>
    <w:rsid w:val="00F51872"/>
    <w:rsid w:val="00F556A2"/>
    <w:rsid w:val="00F6659D"/>
    <w:rsid w:val="00F719A8"/>
    <w:rsid w:val="00F80D4D"/>
    <w:rsid w:val="00F878B9"/>
    <w:rsid w:val="00FA0EF3"/>
    <w:rsid w:val="00FB24E8"/>
    <w:rsid w:val="00FB2DC5"/>
    <w:rsid w:val="00FB3B2B"/>
    <w:rsid w:val="00FB44A6"/>
    <w:rsid w:val="00FC128A"/>
    <w:rsid w:val="00FC18DA"/>
    <w:rsid w:val="00FC3917"/>
    <w:rsid w:val="00FD47C6"/>
    <w:rsid w:val="00FD60DA"/>
    <w:rsid w:val="00FF07B4"/>
    <w:rsid w:val="00FF2671"/>
    <w:rsid w:val="19B0AC28"/>
    <w:rsid w:val="4898429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4E7D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6A58F7"/>
  </w:style>
  <w:style w:type="character" w:styleId="FollowedHyperlink">
    <w:name w:val="FollowedHyperlink"/>
    <w:basedOn w:val="DefaultParagraphFont"/>
    <w:uiPriority w:val="99"/>
    <w:semiHidden/>
    <w:unhideWhenUsed/>
    <w:rsid w:val="008C64B2"/>
    <w:rPr>
      <w:color w:val="800080" w:themeColor="followedHyperlink"/>
      <w:u w:val="single"/>
    </w:rPr>
  </w:style>
  <w:style w:type="paragraph" w:styleId="Revision">
    <w:name w:val="Revision"/>
    <w:hidden/>
    <w:uiPriority w:val="99"/>
    <w:semiHidden/>
    <w:rsid w:val="00F315B9"/>
    <w:pPr>
      <w:spacing w:after="0" w:line="240" w:lineRule="auto"/>
    </w:pPr>
  </w:style>
  <w:style w:type="character" w:customStyle="1" w:styleId="ui-provider">
    <w:name w:val="ui-provider"/>
    <w:basedOn w:val="DefaultParagraphFont"/>
    <w:rsid w:val="00DD3B68"/>
  </w:style>
  <w:style w:type="character" w:customStyle="1" w:styleId="Heading3Char">
    <w:name w:val="Heading 3 Char"/>
    <w:basedOn w:val="DefaultParagraphFont"/>
    <w:link w:val="Heading3"/>
    <w:uiPriority w:val="9"/>
    <w:semiHidden/>
    <w:rsid w:val="004E7D4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57800491">
      <w:bodyDiv w:val="1"/>
      <w:marLeft w:val="0"/>
      <w:marRight w:val="0"/>
      <w:marTop w:val="0"/>
      <w:marBottom w:val="0"/>
      <w:divBdr>
        <w:top w:val="none" w:sz="0" w:space="0" w:color="auto"/>
        <w:left w:val="none" w:sz="0" w:space="0" w:color="auto"/>
        <w:bottom w:val="none" w:sz="0" w:space="0" w:color="auto"/>
        <w:right w:val="none" w:sz="0" w:space="0" w:color="auto"/>
      </w:divBdr>
    </w:div>
    <w:div w:id="1952006078">
      <w:bodyDiv w:val="1"/>
      <w:marLeft w:val="0"/>
      <w:marRight w:val="0"/>
      <w:marTop w:val="0"/>
      <w:marBottom w:val="0"/>
      <w:divBdr>
        <w:top w:val="none" w:sz="0" w:space="0" w:color="auto"/>
        <w:left w:val="none" w:sz="0" w:space="0" w:color="auto"/>
        <w:bottom w:val="none" w:sz="0" w:space="0" w:color="auto"/>
        <w:right w:val="none" w:sz="0" w:space="0" w:color="auto"/>
      </w:divBdr>
    </w:div>
    <w:div w:id="210818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FD760F4-A551-4CD6-95C1-7BBB16BDE8D4}"/>
      </w:docPartPr>
      <w:docPartBody>
        <w:p w:rsidR="00481A47" w:rsidRDefault="006F3EAC">
          <w:r w:rsidRPr="00016FB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AC"/>
    <w:rsid w:val="00481A47"/>
    <w:rsid w:val="006F3EAC"/>
    <w:rsid w:val="007463F6"/>
    <w:rsid w:val="009568CE"/>
    <w:rsid w:val="00F645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E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A29E1-0069-482B-88A0-798C3946C764}">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Lambert, Julien (StatCan)</dc:creator>
  <cp:lastModifiedBy>Harumi Shibata Salazar</cp:lastModifiedBy>
  <cp:revision>55</cp:revision>
  <cp:lastPrinted>2016-07-16T14:25:00Z</cp:lastPrinted>
  <dcterms:created xsi:type="dcterms:W3CDTF">2023-12-11T09:46:00Z</dcterms:created>
  <dcterms:modified xsi:type="dcterms:W3CDTF">2024-01-31T21:03:00Z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