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FA1373" w:rsidRDefault="006C4BFD" w:rsidP="006C4BFD">
      <w:pPr>
        <w:spacing w:after="0"/>
        <w:jc w:val="center"/>
        <w:rPr>
          <w:rFonts w:cstheme="minorHAnsi"/>
        </w:rPr>
      </w:pPr>
      <w:r w:rsidRPr="00FA1373">
        <w:rPr>
          <w:rFonts w:eastAsia="Times New Roman" w:cstheme="minorHAnsi"/>
          <w:color w:val="1C75BC"/>
          <w:sz w:val="36"/>
          <w:szCs w:val="36"/>
          <w:lang w:eastAsia="en-GB"/>
        </w:rPr>
        <w:t>SDG indicator metadata</w:t>
      </w:r>
    </w:p>
    <w:p w14:paraId="129054E9" w14:textId="2E583254" w:rsidR="006C4BFD" w:rsidRPr="00FA1373" w:rsidRDefault="002C2510" w:rsidP="006C4BFD">
      <w:pPr>
        <w:spacing w:after="0"/>
        <w:jc w:val="center"/>
        <w:rPr>
          <w:rFonts w:eastAsia="Times New Roman" w:cstheme="minorHAnsi"/>
          <w:b/>
          <w:bCs/>
          <w:color w:val="4A4A4A"/>
          <w:sz w:val="21"/>
          <w:szCs w:val="21"/>
          <w:lang w:eastAsia="en-GB"/>
        </w:rPr>
      </w:pPr>
      <w:r w:rsidRPr="00FA1373">
        <w:rPr>
          <w:rFonts w:eastAsia="Times New Roman" w:cstheme="minorHAnsi"/>
          <w:b/>
          <w:bCs/>
          <w:color w:val="4A4A4A"/>
          <w:sz w:val="21"/>
          <w:szCs w:val="21"/>
          <w:lang w:eastAsia="en-GB"/>
        </w:rPr>
        <w:t>(Harmonized metadata template - format version 1.1)</w:t>
      </w:r>
    </w:p>
    <w:p w14:paraId="773F63CF" w14:textId="77777777" w:rsidR="006C4BFD" w:rsidRPr="00FA1373" w:rsidRDefault="006C4BFD" w:rsidP="006C4BFD">
      <w:pPr>
        <w:spacing w:after="0"/>
        <w:rPr>
          <w:rFonts w:eastAsia="Times New Roman" w:cstheme="minorHAnsi"/>
          <w:b/>
          <w:bCs/>
          <w:color w:val="4A4A4A"/>
          <w:sz w:val="21"/>
          <w:szCs w:val="21"/>
          <w:lang w:eastAsia="en-GB"/>
        </w:rPr>
      </w:pPr>
    </w:p>
    <w:p w14:paraId="6AEAC6DA" w14:textId="6C7C2D3A" w:rsidR="00B31E2C" w:rsidRPr="00FA1373" w:rsidRDefault="00B31E2C" w:rsidP="00EA05D3">
      <w:pPr>
        <w:pStyle w:val="MIndHeader2"/>
        <w:rPr>
          <w:rFonts w:cstheme="minorHAnsi"/>
        </w:rPr>
      </w:pPr>
      <w:r w:rsidRPr="00FA1373">
        <w:rPr>
          <w:rFonts w:cstheme="minorHAnsi"/>
        </w:rPr>
        <w:t xml:space="preserve">0. Indicator information </w:t>
      </w:r>
      <w:r>
        <w:rPr>
          <w:color w:val="B4B4B4"/>
          <w:sz w:val="20"/>
        </w:rPr>
        <w:t>(SDG_INDICATOR_INFO)</w:t>
      </w:r>
    </w:p>
    <w:p w14:paraId="043ED752" w14:textId="28D7692E" w:rsidR="00D24330" w:rsidRPr="00FA1373" w:rsidRDefault="00D24330" w:rsidP="00EA05D3">
      <w:pPr>
        <w:pStyle w:val="MIndHeader"/>
        <w:rPr>
          <w:rFonts w:cstheme="minorHAnsi"/>
        </w:rPr>
      </w:pPr>
      <w:r w:rsidRPr="00FA1373">
        <w:rPr>
          <w:rFonts w:cstheme="minorHAnsi"/>
        </w:rPr>
        <w:t xml:space="preserve">0.a. Goal </w:t>
      </w:r>
      <w:r>
        <w:rPr>
          <w:color w:val="B4B4B4"/>
          <w:sz w:val="20"/>
        </w:rPr>
        <w:t>(SDG_GOAL)</w:t>
      </w:r>
    </w:p>
    <w:p w14:paraId="5F69C402" w14:textId="08353E6D" w:rsidR="18166996" w:rsidRDefault="18166996" w:rsidP="32C45A75">
      <w:pPr>
        <w:pStyle w:val="MGTHeader"/>
        <w:rPr>
          <w:rFonts w:ascii="Calibri" w:hAnsi="Calibri"/>
        </w:rPr>
      </w:pPr>
      <w:r w:rsidRPr="32C45A75">
        <w:rPr>
          <w:rFonts w:ascii="Calibri" w:eastAsia="Calibri" w:hAnsi="Calibri" w:cs="Calibri"/>
          <w:color w:val="444444"/>
        </w:rPr>
        <w:t>Goal 13: Take urgent action to combat climate change and its impacts</w:t>
      </w:r>
    </w:p>
    <w:p w14:paraId="084142D2" w14:textId="77777777" w:rsidR="00D24330" w:rsidRPr="00FA1373" w:rsidRDefault="00D24330" w:rsidP="00D24330">
      <w:pPr>
        <w:pStyle w:val="MIndHeader"/>
        <w:rPr>
          <w:rFonts w:cstheme="minorHAnsi"/>
        </w:rPr>
      </w:pPr>
      <w:r w:rsidRPr="00FA1373">
        <w:rPr>
          <w:rFonts w:cstheme="minorHAnsi"/>
        </w:rPr>
        <w:t xml:space="preserve">0.b. Target </w:t>
      </w:r>
      <w:r>
        <w:rPr>
          <w:color w:val="B4B4B4"/>
          <w:sz w:val="20"/>
        </w:rPr>
        <w:t>(SDG_TARGET)</w:t>
      </w:r>
    </w:p>
    <w:p w14:paraId="1D1D4C26" w14:textId="447CC814" w:rsidR="0E88AFAD" w:rsidRDefault="0E88AFAD" w:rsidP="32C45A75">
      <w:pPr>
        <w:pStyle w:val="MGTHeader"/>
        <w:rPr>
          <w:rFonts w:ascii="Calibri" w:hAnsi="Calibri"/>
        </w:rPr>
      </w:pPr>
      <w:r w:rsidRPr="32C45A75">
        <w:rPr>
          <w:rFonts w:ascii="Calibri" w:eastAsia="Calibri" w:hAnsi="Calibri" w:cs="Calibri"/>
          <w:color w:val="444444"/>
        </w:rPr>
        <w:t>Target 13.a: Implement the commitment undertaken by developed-country parties to the United Nations Framework Convention on Climate Change to a goal of mobilizing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p>
    <w:p w14:paraId="3E67E7E0" w14:textId="77777777" w:rsidR="00D24330" w:rsidRPr="00FA1373" w:rsidRDefault="00D24330" w:rsidP="00D24330">
      <w:pPr>
        <w:pStyle w:val="MIndHeader"/>
        <w:rPr>
          <w:rFonts w:cstheme="minorHAnsi"/>
        </w:rPr>
      </w:pPr>
      <w:r w:rsidRPr="00FA1373">
        <w:rPr>
          <w:rFonts w:cstheme="minorHAnsi"/>
        </w:rPr>
        <w:t xml:space="preserve">0.c. Indicator </w:t>
      </w:r>
      <w:r>
        <w:rPr>
          <w:color w:val="B4B4B4"/>
          <w:sz w:val="20"/>
        </w:rPr>
        <w:t>(SDG_INDICATOR)</w:t>
      </w:r>
    </w:p>
    <w:p w14:paraId="2FE424E3" w14:textId="4FE56F1A" w:rsidR="4E440B87" w:rsidRDefault="4E440B87" w:rsidP="32C45A75">
      <w:pPr>
        <w:pStyle w:val="MGTHeader"/>
        <w:rPr>
          <w:rFonts w:ascii="Calibri" w:hAnsi="Calibri"/>
        </w:rPr>
      </w:pPr>
      <w:r w:rsidRPr="32C45A75">
        <w:rPr>
          <w:rFonts w:ascii="Calibri" w:eastAsia="Calibri" w:hAnsi="Calibri" w:cs="Calibri"/>
          <w:color w:val="444444"/>
        </w:rPr>
        <w:t>Indicator 13.a.1: Amounts provided and mobilized in United States dollars per year in relation to the continued existing collective mobilization goal of the $100 billion commitment through to 2025</w:t>
      </w:r>
    </w:p>
    <w:p w14:paraId="37E5E4F6" w14:textId="77777777" w:rsidR="00D24330" w:rsidRPr="00974B40" w:rsidRDefault="00D24330" w:rsidP="00D24330">
      <w:pPr>
        <w:pStyle w:val="MIndHeader"/>
        <w:rPr>
          <w:rFonts w:cstheme="minorHAnsi"/>
          <w:lang w:val="en-US"/>
        </w:rPr>
      </w:pPr>
      <w:r w:rsidRPr="00974B40">
        <w:rPr>
          <w:rFonts w:cstheme="minorHAnsi"/>
          <w:lang w:val="en-US"/>
        </w:rPr>
        <w:t xml:space="preserve">0.d. Series </w:t>
      </w:r>
      <w:r>
        <w:rPr>
          <w:color w:val="B4B4B4"/>
          <w:sz w:val="20"/>
        </w:rPr>
        <w:t>(SDG_SERIES_DESCR)</w:t>
      </w:r>
    </w:p>
    <w:p w14:paraId="771888BA" w14:textId="3C0E884C" w:rsidR="00D24330" w:rsidRPr="00974B40" w:rsidRDefault="00D24330" w:rsidP="00D24330">
      <w:pPr>
        <w:pStyle w:val="MGTHeader"/>
        <w:rPr>
          <w:rFonts w:cstheme="minorHAnsi"/>
          <w:lang w:val="en-US"/>
        </w:rPr>
      </w:pPr>
    </w:p>
    <w:p w14:paraId="157DACE7" w14:textId="77777777" w:rsidR="00D24330" w:rsidRPr="00974B40" w:rsidRDefault="00D24330" w:rsidP="00D24330">
      <w:pPr>
        <w:pStyle w:val="MIndHeader"/>
        <w:rPr>
          <w:rFonts w:cstheme="minorHAnsi"/>
          <w:lang w:val="en-US"/>
        </w:rPr>
      </w:pPr>
      <w:r w:rsidRPr="00974B40">
        <w:rPr>
          <w:rFonts w:cstheme="minorHAnsi"/>
          <w:lang w:val="en-US"/>
        </w:rPr>
        <w:t xml:space="preserve">0.e. Metadata update </w:t>
      </w:r>
      <w:r>
        <w:rPr>
          <w:color w:val="B4B4B4"/>
          <w:sz w:val="20"/>
        </w:rPr>
        <w:t>(META_LAST_UPDATE)</w:t>
      </w:r>
    </w:p>
    <w:sdt>
      <w:sdtPr>
        <w:rPr>
          <w:rFonts w:cstheme="minorHAnsi"/>
          <w:lang w:val="en-US"/>
        </w:rPr>
        <w:id w:val="-620998171"/>
        <w:placeholder>
          <w:docPart w:val="DefaultPlaceholder_-1854013437"/>
        </w:placeholder>
        <w:date w:fullDate="2021-03-01T00:00:00Z">
          <w:dateFormat w:val="yyyy-MM-dd"/>
          <w:lid w:val="en-US"/>
          <w:storeMappedDataAs w:val="dateTime"/>
          <w:calendar w:val="gregorian"/>
        </w:date>
      </w:sdtPr>
      <w:sdtContent>
        <w:p w14:paraId="03424B60" w14:textId="08200128" w:rsidR="00D24330" w:rsidRPr="00974B40" w:rsidRDefault="00974B40" w:rsidP="00D24330">
          <w:pPr>
            <w:pStyle w:val="MGTHeader"/>
            <w:rPr>
              <w:rFonts w:cstheme="minorHAnsi"/>
              <w:lang w:val="en-US"/>
            </w:rPr>
          </w:pPr>
          <w:r>
            <w:rPr>
              <w:rFonts w:cstheme="minorHAnsi"/>
              <w:lang w:val="en-US"/>
            </w:rPr>
            <w:t>2021-03-01</w:t>
          </w:r>
        </w:p>
      </w:sdtContent>
    </w:sdt>
    <w:p w14:paraId="415C9FF1" w14:textId="77777777" w:rsidR="00D24330" w:rsidRPr="00FA1373" w:rsidRDefault="00D24330" w:rsidP="00D24330">
      <w:pPr>
        <w:pStyle w:val="MIndHeader"/>
        <w:rPr>
          <w:rFonts w:cstheme="minorHAnsi"/>
        </w:rPr>
      </w:pPr>
      <w:r w:rsidRPr="00FA1373">
        <w:rPr>
          <w:rFonts w:cstheme="minorHAnsi"/>
        </w:rPr>
        <w:t xml:space="preserve">0.f. Related indicators </w:t>
      </w:r>
      <w:r>
        <w:rPr>
          <w:color w:val="B4B4B4"/>
          <w:sz w:val="20"/>
        </w:rPr>
        <w:t>(SDG_RELATED_INDICATORS)</w:t>
      </w:r>
    </w:p>
    <w:p w14:paraId="21524279" w14:textId="3500C923" w:rsidR="00D24330" w:rsidRPr="00FA1373" w:rsidRDefault="00D24330" w:rsidP="00D24330">
      <w:pPr>
        <w:pStyle w:val="MGTHeader"/>
        <w:rPr>
          <w:rFonts w:cstheme="minorHAnsi"/>
        </w:rPr>
      </w:pPr>
    </w:p>
    <w:p w14:paraId="077BC49E" w14:textId="77777777" w:rsidR="00D24330" w:rsidRPr="00FA1373" w:rsidRDefault="00D24330" w:rsidP="00D24330">
      <w:pPr>
        <w:pStyle w:val="MIndHeader"/>
        <w:rPr>
          <w:rFonts w:cstheme="minorHAnsi"/>
        </w:rPr>
      </w:pPr>
      <w:r w:rsidRPr="00FA1373">
        <w:rPr>
          <w:rFonts w:cstheme="minorHAnsi"/>
        </w:rPr>
        <w:t xml:space="preserve">0.g. </w:t>
      </w:r>
      <w:proofErr w:type="gramStart"/>
      <w:r w:rsidRPr="00FA1373">
        <w:rPr>
          <w:rFonts w:cstheme="minorHAnsi"/>
        </w:rPr>
        <w:t>International</w:t>
      </w:r>
      <w:proofErr w:type="gramEnd"/>
      <w:r w:rsidRPr="00FA1373">
        <w:rPr>
          <w:rFonts w:cstheme="minorHAnsi"/>
        </w:rPr>
        <w:t xml:space="preserve"> organisations(s) responsible for global monitoring </w:t>
      </w:r>
      <w:r>
        <w:rPr>
          <w:color w:val="B4B4B4"/>
          <w:sz w:val="20"/>
        </w:rPr>
        <w:t>(SDG_CUSTODIAN_AGENCIES)</w:t>
      </w:r>
    </w:p>
    <w:p w14:paraId="0393368E" w14:textId="01F93341" w:rsidR="00621893" w:rsidRPr="00FA2F74" w:rsidRDefault="00610539" w:rsidP="00D24330">
      <w:pPr>
        <w:pStyle w:val="MGTHeader"/>
        <w:rPr>
          <w:rFonts w:cstheme="minorHAnsi"/>
          <w:color w:val="4A4A4A"/>
          <w:lang w:val="fr-FR"/>
        </w:rPr>
      </w:pPr>
      <w:r w:rsidRPr="00FA2F74">
        <w:rPr>
          <w:rFonts w:cstheme="minorHAnsi"/>
          <w:lang w:val="fr-FR"/>
        </w:rPr>
        <w:t xml:space="preserve">UN </w:t>
      </w:r>
      <w:proofErr w:type="spellStart"/>
      <w:r w:rsidRPr="00FA2F74">
        <w:rPr>
          <w:rFonts w:cstheme="minorHAnsi"/>
          <w:lang w:val="fr-FR"/>
        </w:rPr>
        <w:t>Climate</w:t>
      </w:r>
      <w:proofErr w:type="spellEnd"/>
      <w:r w:rsidRPr="00FA2F74">
        <w:rPr>
          <w:rFonts w:cstheme="minorHAnsi"/>
          <w:lang w:val="fr-FR"/>
        </w:rPr>
        <w:t xml:space="preserve"> Change (UNFCCC Secretariat)</w:t>
      </w:r>
    </w:p>
    <w:p w14:paraId="19F29921" w14:textId="77777777" w:rsidR="008D1D39" w:rsidRPr="00FA2F74" w:rsidRDefault="008D1D39" w:rsidP="00573631">
      <w:pPr>
        <w:shd w:val="clear" w:color="auto" w:fill="FFFFFF"/>
        <w:spacing w:after="0"/>
        <w:rPr>
          <w:rFonts w:eastAsia="Times New Roman" w:cstheme="minorHAnsi"/>
          <w:color w:val="4A4A4A"/>
          <w:sz w:val="21"/>
          <w:szCs w:val="21"/>
          <w:lang w:val="fr-FR" w:eastAsia="en-GB"/>
        </w:rPr>
      </w:pPr>
    </w:p>
    <w:p w14:paraId="12E0D73A" w14:textId="48126E58" w:rsidR="00B31E2C" w:rsidRPr="00974B40" w:rsidRDefault="00B31E2C" w:rsidP="00EA05D3">
      <w:pPr>
        <w:pStyle w:val="MHeader"/>
        <w:rPr>
          <w:rFonts w:cstheme="minorHAnsi"/>
          <w:lang w:val="fr-FR"/>
        </w:rPr>
      </w:pPr>
      <w:bookmarkStart w:id="0" w:name="_Toc37932744"/>
      <w:bookmarkStart w:id="1" w:name="_Toc36813072"/>
      <w:bookmarkStart w:id="2" w:name="_Toc36812685"/>
      <w:bookmarkStart w:id="3" w:name="_Toc36812572"/>
      <w:bookmarkStart w:id="4" w:name="_Toc36655609"/>
      <w:r w:rsidRPr="00974B40">
        <w:rPr>
          <w:rFonts w:cstheme="minorHAnsi"/>
          <w:lang w:val="fr-FR"/>
        </w:rPr>
        <w:t xml:space="preserve">1. Data reporter </w:t>
      </w:r>
      <w:bookmarkEnd w:id="0"/>
      <w:bookmarkEnd w:id="1"/>
      <w:bookmarkEnd w:id="2"/>
      <w:bookmarkEnd w:id="3"/>
      <w:bookmarkEnd w:id="4"/>
      <w:r>
        <w:rPr>
          <w:color w:val="B4B4B4"/>
          <w:sz w:val="20"/>
        </w:rPr>
        <w:t>(CONTACT)</w:t>
      </w:r>
    </w:p>
    <w:p w14:paraId="0BD77982" w14:textId="72DFE854" w:rsidR="00576CFA" w:rsidRPr="00974B40" w:rsidRDefault="00576CFA" w:rsidP="00F719A8">
      <w:pPr>
        <w:pStyle w:val="MHeader2"/>
        <w:rPr>
          <w:rFonts w:cstheme="minorHAnsi"/>
          <w:lang w:val="fr-FR"/>
        </w:rPr>
      </w:pPr>
      <w:r w:rsidRPr="00974B40">
        <w:rPr>
          <w:rFonts w:cstheme="minorHAnsi"/>
          <w:lang w:val="fr-FR"/>
        </w:rPr>
        <w:t xml:space="preserve">1.a. Organisation </w:t>
      </w:r>
      <w:r>
        <w:rPr>
          <w:color w:val="B4B4B4"/>
          <w:sz w:val="20"/>
        </w:rPr>
        <w:t>(CONTACT_ORGANISATION)</w:t>
      </w:r>
    </w:p>
    <w:p w14:paraId="065F26D2" w14:textId="4113AC91" w:rsidR="00576CFA" w:rsidRPr="00974B40" w:rsidRDefault="00610539" w:rsidP="00576CFA">
      <w:pPr>
        <w:pStyle w:val="MText"/>
        <w:rPr>
          <w:rFonts w:cstheme="minorHAnsi"/>
          <w:lang w:val="fr-FR"/>
        </w:rPr>
      </w:pPr>
      <w:r w:rsidRPr="00974B40">
        <w:rPr>
          <w:rFonts w:cstheme="minorHAnsi"/>
          <w:lang w:val="fr-FR"/>
        </w:rPr>
        <w:t xml:space="preserve">UN </w:t>
      </w:r>
      <w:proofErr w:type="spellStart"/>
      <w:r w:rsidRPr="00974B40">
        <w:rPr>
          <w:rFonts w:cstheme="minorHAnsi"/>
          <w:lang w:val="fr-FR"/>
        </w:rPr>
        <w:t>Climate</w:t>
      </w:r>
      <w:proofErr w:type="spellEnd"/>
      <w:r w:rsidRPr="00974B40">
        <w:rPr>
          <w:rFonts w:cstheme="minorHAnsi"/>
          <w:lang w:val="fr-FR"/>
        </w:rPr>
        <w:t xml:space="preserve"> Change (UNFCCC Secretariat)</w:t>
      </w:r>
    </w:p>
    <w:p w14:paraId="6E829FD0" w14:textId="2439F30A" w:rsidR="00F719A8" w:rsidRPr="00974B40" w:rsidRDefault="00F719A8" w:rsidP="00576CFA">
      <w:pPr>
        <w:pStyle w:val="MText"/>
        <w:rPr>
          <w:rFonts w:cstheme="minorHAnsi"/>
          <w:lang w:val="fr-FR"/>
        </w:rPr>
      </w:pPr>
    </w:p>
    <w:p w14:paraId="14915AC8" w14:textId="7D506133" w:rsidR="00B31E2C" w:rsidRPr="00974B40" w:rsidRDefault="00B31E2C" w:rsidP="008B0AC7">
      <w:pPr>
        <w:pStyle w:val="MHeader"/>
        <w:rPr>
          <w:rFonts w:cstheme="minorHAnsi"/>
          <w:lang w:val="fr-FR"/>
        </w:rPr>
      </w:pPr>
      <w:r w:rsidRPr="00974B40">
        <w:rPr>
          <w:rFonts w:cstheme="minorHAnsi"/>
          <w:lang w:val="fr-FR"/>
        </w:rPr>
        <w:t xml:space="preserve">2. </w:t>
      </w:r>
      <w:proofErr w:type="spellStart"/>
      <w:r w:rsidRPr="00974B40">
        <w:rPr>
          <w:rFonts w:cstheme="minorHAnsi"/>
          <w:lang w:val="fr-FR"/>
        </w:rPr>
        <w:t>Definition</w:t>
      </w:r>
      <w:proofErr w:type="spellEnd"/>
      <w:r w:rsidRPr="00974B40">
        <w:rPr>
          <w:rFonts w:cstheme="minorHAnsi"/>
          <w:lang w:val="fr-FR"/>
        </w:rPr>
        <w:t xml:space="preserve">, concepts, and classifications </w:t>
      </w:r>
      <w:r>
        <w:rPr>
          <w:color w:val="B4B4B4"/>
          <w:sz w:val="20"/>
        </w:rPr>
        <w:t>(IND_DEF_CON_CLASS)</w:t>
      </w:r>
    </w:p>
    <w:p w14:paraId="2AC373EA" w14:textId="44236363" w:rsidR="008B0AC7" w:rsidRPr="00FA1373" w:rsidRDefault="008B0AC7" w:rsidP="00F719A8">
      <w:pPr>
        <w:pStyle w:val="MHeader2"/>
        <w:rPr>
          <w:rFonts w:cstheme="minorHAnsi"/>
        </w:rPr>
      </w:pPr>
      <w:r w:rsidRPr="00FA1373">
        <w:rPr>
          <w:rFonts w:cstheme="minorHAnsi"/>
        </w:rPr>
        <w:t xml:space="preserve">2.a. Definition and concepts </w:t>
      </w:r>
      <w:r>
        <w:rPr>
          <w:color w:val="B4B4B4"/>
          <w:sz w:val="20"/>
        </w:rPr>
        <w:t>(STAT_CONC_DEF)</w:t>
      </w:r>
    </w:p>
    <w:p w14:paraId="7F00267F" w14:textId="77777777" w:rsidR="00610539" w:rsidRPr="00FA1373" w:rsidRDefault="00610539" w:rsidP="00610539">
      <w:pPr>
        <w:spacing w:after="0"/>
        <w:rPr>
          <w:rFonts w:eastAsia="Times New Roman" w:cstheme="minorHAnsi"/>
          <w:color w:val="4A4A4A"/>
          <w:sz w:val="21"/>
          <w:szCs w:val="21"/>
          <w:lang w:eastAsia="en-GB"/>
        </w:rPr>
      </w:pPr>
      <w:r w:rsidRPr="00FA1373">
        <w:rPr>
          <w:rFonts w:eastAsia="Times New Roman" w:cstheme="minorHAnsi"/>
          <w:b/>
          <w:bCs/>
          <w:color w:val="4A4A4A"/>
          <w:sz w:val="21"/>
          <w:szCs w:val="21"/>
          <w:lang w:eastAsia="en-GB"/>
        </w:rPr>
        <w:t>Definition:</w:t>
      </w:r>
    </w:p>
    <w:p w14:paraId="43D1C04F" w14:textId="47C0B3D9" w:rsidR="00610539" w:rsidRPr="00FA1373" w:rsidRDefault="00610539" w:rsidP="00610539">
      <w:pPr>
        <w:spacing w:after="0"/>
        <w:rPr>
          <w:rFonts w:eastAsia="Times New Roman" w:cstheme="minorHAnsi"/>
          <w:color w:val="4A4A4A"/>
          <w:sz w:val="21"/>
          <w:szCs w:val="21"/>
          <w:lang w:eastAsia="en-GB"/>
        </w:rPr>
      </w:pPr>
      <w:r w:rsidRPr="00FA1373">
        <w:rPr>
          <w:rFonts w:eastAsia="Times New Roman" w:cstheme="minorHAnsi"/>
          <w:color w:val="4A4A4A"/>
          <w:sz w:val="21"/>
          <w:szCs w:val="21"/>
          <w:lang w:eastAsia="en-GB"/>
        </w:rPr>
        <w:t xml:space="preserve">Under the UNFCCC process, the COP requested the Standing Committee on Finance </w:t>
      </w:r>
      <w:r w:rsidR="00411E10" w:rsidRPr="00FA1373">
        <w:rPr>
          <w:rFonts w:eastAsia="Times New Roman" w:cstheme="minorHAnsi"/>
          <w:color w:val="4A4A4A"/>
          <w:sz w:val="21"/>
          <w:szCs w:val="21"/>
          <w:lang w:eastAsia="en-GB"/>
        </w:rPr>
        <w:t xml:space="preserve">(SCF) </w:t>
      </w:r>
      <w:r w:rsidRPr="00FA1373">
        <w:rPr>
          <w:rFonts w:eastAsia="Times New Roman" w:cstheme="minorHAnsi"/>
          <w:color w:val="4A4A4A"/>
          <w:sz w:val="21"/>
          <w:szCs w:val="21"/>
          <w:lang w:eastAsia="en-GB"/>
        </w:rPr>
        <w:t xml:space="preserve">to prepare a </w:t>
      </w:r>
      <w:r w:rsidR="00411E10" w:rsidRPr="00FA1373">
        <w:rPr>
          <w:rFonts w:eastAsia="Times New Roman" w:cstheme="minorHAnsi"/>
          <w:color w:val="4A4A4A"/>
          <w:sz w:val="21"/>
          <w:szCs w:val="21"/>
          <w:lang w:eastAsia="en-GB"/>
        </w:rPr>
        <w:t>Biennial Assessment and Overview of Climate Finance Flows (BA)</w:t>
      </w:r>
      <w:r w:rsidR="00411E10" w:rsidRPr="00FA1373">
        <w:rPr>
          <w:rFonts w:cstheme="minorHAnsi"/>
          <w:color w:val="4A4A4A"/>
        </w:rPr>
        <w:t xml:space="preserve"> (</w:t>
      </w:r>
      <w:hyperlink r:id="rId11" w:anchor="page=4" w:tgtFrame="_blank" w:history="1">
        <w:r w:rsidR="00411E10" w:rsidRPr="00FA1373">
          <w:rPr>
            <w:rStyle w:val="Hyperlink"/>
            <w:rFonts w:cstheme="minorHAnsi"/>
          </w:rPr>
          <w:t>decision 2/CP.17</w:t>
        </w:r>
      </w:hyperlink>
      <w:r w:rsidR="00411E10" w:rsidRPr="00FA1373">
        <w:rPr>
          <w:rFonts w:cstheme="minorHAnsi"/>
        </w:rPr>
        <w:t xml:space="preserve"> </w:t>
      </w:r>
      <w:r w:rsidR="00411E10" w:rsidRPr="00FA1373">
        <w:rPr>
          <w:rFonts w:cstheme="minorHAnsi"/>
          <w:color w:val="4A4A4A"/>
        </w:rPr>
        <w:t>paragraph 121(f))</w:t>
      </w:r>
      <w:r w:rsidRPr="00FA1373">
        <w:rPr>
          <w:rFonts w:eastAsia="Times New Roman" w:cstheme="minorHAnsi"/>
          <w:color w:val="4A4A4A"/>
          <w:sz w:val="21"/>
          <w:szCs w:val="21"/>
          <w:lang w:eastAsia="en-GB"/>
        </w:rPr>
        <w:t>, drawing on the available sources of information, and including information on the geographical and thematic balance of flows.</w:t>
      </w:r>
      <w:r w:rsidRPr="00FA1373">
        <w:rPr>
          <w:rFonts w:cstheme="minorHAnsi"/>
        </w:rPr>
        <w:t xml:space="preserve"> </w:t>
      </w:r>
      <w:r w:rsidRPr="00FA1373">
        <w:rPr>
          <w:rFonts w:eastAsia="Times New Roman" w:cstheme="minorHAnsi"/>
          <w:color w:val="4A4A4A"/>
          <w:sz w:val="21"/>
          <w:szCs w:val="21"/>
          <w:lang w:eastAsia="en-GB"/>
        </w:rPr>
        <w:t>There is no agreed definition under the UNFCCC on what should count toward assessing progress toward the $100 billion commitment. Data from the UNFCCC secretariat refers to climate-specific financial support to developing country Parties, reported by Annex I Parties in their Biennial Reports.</w:t>
      </w:r>
      <w:r w:rsidR="00F74275" w:rsidRPr="00FA1373">
        <w:rPr>
          <w:rFonts w:eastAsia="Times New Roman" w:cstheme="minorHAnsi"/>
          <w:color w:val="4A4A4A"/>
          <w:sz w:val="21"/>
          <w:szCs w:val="21"/>
          <w:lang w:eastAsia="en-GB"/>
        </w:rPr>
        <w:t xml:space="preserve"> Only Annex II Parties are obligated to report on financial support provided and other </w:t>
      </w:r>
      <w:r w:rsidR="00F74275" w:rsidRPr="00FA1373">
        <w:rPr>
          <w:rFonts w:eastAsia="Times New Roman" w:cstheme="minorHAnsi"/>
          <w:color w:val="4A4A4A"/>
          <w:sz w:val="21"/>
          <w:szCs w:val="21"/>
          <w:lang w:eastAsia="en-GB"/>
        </w:rPr>
        <w:lastRenderedPageBreak/>
        <w:t>Annex I Parties also voluntarily provide this information.</w:t>
      </w:r>
      <w:r w:rsidR="0082684D" w:rsidRPr="00FA1373">
        <w:rPr>
          <w:rFonts w:eastAsia="Times New Roman" w:cstheme="minorHAnsi"/>
          <w:color w:val="4A4A4A"/>
          <w:sz w:val="21"/>
          <w:szCs w:val="21"/>
          <w:lang w:eastAsia="en-GB"/>
        </w:rPr>
        <w:t xml:space="preserve"> Consequently, t</w:t>
      </w:r>
      <w:r w:rsidRPr="00FA1373">
        <w:rPr>
          <w:rFonts w:eastAsia="Times New Roman" w:cstheme="minorHAnsi"/>
          <w:color w:val="4A4A4A"/>
          <w:sz w:val="21"/>
          <w:szCs w:val="21"/>
          <w:lang w:eastAsia="en-GB"/>
        </w:rPr>
        <w:t xml:space="preserve">his data should not be interpreted as an indicator in relation to the achievement of the collective mobilization goal of $100 billion commitment. </w:t>
      </w:r>
    </w:p>
    <w:p w14:paraId="60CB7F5F" w14:textId="77777777" w:rsidR="00610539" w:rsidRPr="00FA1373" w:rsidRDefault="00610539" w:rsidP="00610539">
      <w:pPr>
        <w:spacing w:after="0"/>
        <w:rPr>
          <w:rFonts w:eastAsia="Times New Roman" w:cstheme="minorHAnsi"/>
          <w:color w:val="4A4A4A"/>
          <w:sz w:val="21"/>
          <w:szCs w:val="21"/>
          <w:lang w:eastAsia="en-GB"/>
        </w:rPr>
      </w:pPr>
    </w:p>
    <w:p w14:paraId="79E25632" w14:textId="0598B6D8" w:rsidR="00610539" w:rsidRPr="00FA1373" w:rsidRDefault="00610539" w:rsidP="00610539">
      <w:pPr>
        <w:rPr>
          <w:rFonts w:cstheme="minorHAnsi"/>
          <w:color w:val="4A4A4A"/>
        </w:rPr>
      </w:pPr>
      <w:r w:rsidRPr="00FA1373">
        <w:rPr>
          <w:rFonts w:cstheme="minorHAnsi"/>
          <w:color w:val="4A4A4A"/>
        </w:rPr>
        <w:t xml:space="preserve">One of the functions of the </w:t>
      </w:r>
      <w:r w:rsidR="00411E10" w:rsidRPr="00FA1373">
        <w:rPr>
          <w:rFonts w:cstheme="minorHAnsi"/>
          <w:color w:val="4A4A4A"/>
        </w:rPr>
        <w:t>SCF</w:t>
      </w:r>
      <w:r w:rsidRPr="00FA1373">
        <w:rPr>
          <w:rFonts w:cstheme="minorHAnsi"/>
          <w:color w:val="4A4A4A"/>
        </w:rPr>
        <w:t xml:space="preserve"> is to assist the COP with respect to the measurement, reporting and verification of the support provided to developing country Parties through activities such as the preparation of the</w:t>
      </w:r>
      <w:r w:rsidR="0082684D" w:rsidRPr="00FA1373">
        <w:rPr>
          <w:rFonts w:cstheme="minorHAnsi"/>
          <w:color w:val="4A4A4A"/>
        </w:rPr>
        <w:t xml:space="preserve"> Biennial Assessment and Overview of Climate Finance Flows</w:t>
      </w:r>
      <w:r w:rsidRPr="00FA1373">
        <w:rPr>
          <w:rFonts w:cstheme="minorHAnsi"/>
          <w:color w:val="4A4A4A"/>
        </w:rPr>
        <w:t xml:space="preserve"> </w:t>
      </w:r>
      <w:r w:rsidR="0082684D" w:rsidRPr="00FA1373">
        <w:rPr>
          <w:rFonts w:cstheme="minorHAnsi"/>
          <w:color w:val="4A4A4A"/>
        </w:rPr>
        <w:t>(</w:t>
      </w:r>
      <w:r w:rsidRPr="00FA1373">
        <w:rPr>
          <w:rFonts w:cstheme="minorHAnsi"/>
          <w:color w:val="4A4A4A"/>
        </w:rPr>
        <w:t>BA</w:t>
      </w:r>
      <w:r w:rsidR="0082684D" w:rsidRPr="00FA1373">
        <w:rPr>
          <w:rFonts w:cstheme="minorHAnsi"/>
          <w:color w:val="4A4A4A"/>
        </w:rPr>
        <w:t>)</w:t>
      </w:r>
      <w:r w:rsidRPr="00FA1373">
        <w:rPr>
          <w:rFonts w:cstheme="minorHAnsi"/>
          <w:color w:val="4A4A4A"/>
        </w:rPr>
        <w:t xml:space="preserve">. Subsequently, the COP requested </w:t>
      </w:r>
      <w:r w:rsidR="00411E10" w:rsidRPr="00FA1373">
        <w:rPr>
          <w:rFonts w:cstheme="minorHAnsi"/>
          <w:color w:val="4A4A4A"/>
        </w:rPr>
        <w:t>SCF</w:t>
      </w:r>
      <w:r w:rsidRPr="00FA1373">
        <w:rPr>
          <w:rFonts w:cstheme="minorHAnsi"/>
          <w:color w:val="4A4A4A"/>
        </w:rPr>
        <w:t xml:space="preserve"> to consider: </w:t>
      </w:r>
    </w:p>
    <w:p w14:paraId="7B11B193" w14:textId="77777777" w:rsidR="00610539" w:rsidRPr="00FA1373" w:rsidRDefault="00610539" w:rsidP="00610539">
      <w:pPr>
        <w:numPr>
          <w:ilvl w:val="0"/>
          <w:numId w:val="6"/>
        </w:numPr>
        <w:spacing w:before="100" w:beforeAutospacing="1" w:after="100" w:afterAutospacing="1" w:line="240" w:lineRule="auto"/>
        <w:rPr>
          <w:rFonts w:cstheme="minorHAnsi"/>
          <w:color w:val="4A4A4A"/>
        </w:rPr>
      </w:pPr>
      <w:r w:rsidRPr="00FA1373">
        <w:rPr>
          <w:rFonts w:cstheme="minorHAnsi"/>
          <w:color w:val="4A4A4A"/>
        </w:rPr>
        <w:t>Relevant work by other bodies and entities on the MRV of support and the tracking of climate finance</w:t>
      </w:r>
      <w:r w:rsidRPr="00FA1373">
        <w:rPr>
          <w:rFonts w:cstheme="minorHAnsi"/>
        </w:rPr>
        <w:br/>
      </w:r>
      <w:r w:rsidRPr="00FA1373">
        <w:rPr>
          <w:rFonts w:cstheme="minorHAnsi"/>
          <w:color w:val="4A4A4A"/>
        </w:rPr>
        <w:t>(</w:t>
      </w:r>
      <w:hyperlink r:id="rId12" w:anchor="page=3" w:tgtFrame="_blank" w:history="1">
        <w:r w:rsidRPr="00FA1373">
          <w:rPr>
            <w:rStyle w:val="Hyperlink"/>
            <w:rFonts w:cstheme="minorHAnsi"/>
          </w:rPr>
          <w:t>decision 1/CP.18</w:t>
        </w:r>
      </w:hyperlink>
      <w:r w:rsidRPr="00FA1373">
        <w:rPr>
          <w:rFonts w:cstheme="minorHAnsi"/>
        </w:rPr>
        <w:t xml:space="preserve"> </w:t>
      </w:r>
      <w:r w:rsidRPr="00FA1373">
        <w:rPr>
          <w:rFonts w:cstheme="minorHAnsi"/>
          <w:color w:val="4A4A4A"/>
        </w:rPr>
        <w:t>paragraph 71</w:t>
      </w:r>
      <w:proofErr w:type="gramStart"/>
      <w:r w:rsidRPr="00FA1373">
        <w:rPr>
          <w:rFonts w:cstheme="minorHAnsi"/>
          <w:color w:val="4A4A4A"/>
        </w:rPr>
        <w:t>);</w:t>
      </w:r>
      <w:proofErr w:type="gramEnd"/>
    </w:p>
    <w:p w14:paraId="70D64684" w14:textId="77777777" w:rsidR="00610539" w:rsidRPr="00FA1373" w:rsidRDefault="00610539" w:rsidP="00610539">
      <w:pPr>
        <w:numPr>
          <w:ilvl w:val="0"/>
          <w:numId w:val="6"/>
        </w:numPr>
        <w:spacing w:before="100" w:beforeAutospacing="1" w:after="100" w:afterAutospacing="1" w:line="240" w:lineRule="auto"/>
        <w:rPr>
          <w:rFonts w:cstheme="minorHAnsi"/>
        </w:rPr>
      </w:pPr>
      <w:r w:rsidRPr="00FA1373">
        <w:rPr>
          <w:rFonts w:cstheme="minorHAnsi"/>
          <w:color w:val="4A4A4A"/>
        </w:rPr>
        <w:t>Ways of strengthening methodologies for reporting climate finance (</w:t>
      </w:r>
      <w:hyperlink r:id="rId13" w:anchor="page=26" w:tgtFrame="_blank" w:history="1">
        <w:r w:rsidRPr="00FA1373">
          <w:rPr>
            <w:rStyle w:val="Hyperlink"/>
            <w:rFonts w:cstheme="minorHAnsi"/>
          </w:rPr>
          <w:t>decision 5/CP.18</w:t>
        </w:r>
      </w:hyperlink>
      <w:r w:rsidRPr="00FA1373">
        <w:rPr>
          <w:rFonts w:cstheme="minorHAnsi"/>
        </w:rPr>
        <w:t xml:space="preserve"> </w:t>
      </w:r>
      <w:r w:rsidRPr="00FA1373">
        <w:rPr>
          <w:rFonts w:cstheme="minorHAnsi"/>
          <w:color w:val="4A4A4A"/>
        </w:rPr>
        <w:t>paragraph 11</w:t>
      </w:r>
      <w:proofErr w:type="gramStart"/>
      <w:r w:rsidRPr="00FA1373">
        <w:rPr>
          <w:rFonts w:cstheme="minorHAnsi"/>
          <w:color w:val="4A4A4A"/>
        </w:rPr>
        <w:t>);</w:t>
      </w:r>
      <w:proofErr w:type="gramEnd"/>
    </w:p>
    <w:p w14:paraId="675C285E" w14:textId="77777777" w:rsidR="00610539" w:rsidRPr="00FA1373" w:rsidRDefault="00610539" w:rsidP="00610539">
      <w:pPr>
        <w:numPr>
          <w:ilvl w:val="0"/>
          <w:numId w:val="6"/>
        </w:numPr>
        <w:spacing w:before="100" w:beforeAutospacing="1" w:after="100" w:afterAutospacing="1" w:line="240" w:lineRule="auto"/>
        <w:rPr>
          <w:rFonts w:cstheme="minorHAnsi"/>
        </w:rPr>
      </w:pPr>
      <w:r w:rsidRPr="00FA1373">
        <w:rPr>
          <w:rFonts w:cstheme="minorHAnsi"/>
          <w:color w:val="4A4A4A"/>
        </w:rPr>
        <w:t>Ongoing technical work on operational definitions of climate finance, including private finance mobilized by public interventions, to assess how adaptation and mitigation needs can most effectively be met by climate finance (</w:t>
      </w:r>
      <w:hyperlink r:id="rId14" w:anchor="page=9" w:tgtFrame="_blank" w:history="1">
        <w:r w:rsidRPr="00FA1373">
          <w:rPr>
            <w:rStyle w:val="Hyperlink"/>
            <w:rFonts w:cstheme="minorHAnsi"/>
          </w:rPr>
          <w:t>decision 3/CP.19</w:t>
        </w:r>
      </w:hyperlink>
      <w:r w:rsidRPr="00FA1373">
        <w:rPr>
          <w:rFonts w:cstheme="minorHAnsi"/>
          <w:color w:val="4A4A4A"/>
        </w:rPr>
        <w:t>, paragraph 11).</w:t>
      </w:r>
    </w:p>
    <w:p w14:paraId="2A29E44C" w14:textId="71B0218E" w:rsidR="00D51E7C" w:rsidRPr="00FA1373" w:rsidRDefault="00610539" w:rsidP="00610539">
      <w:pPr>
        <w:pStyle w:val="MText"/>
        <w:rPr>
          <w:rFonts w:cstheme="minorHAnsi"/>
          <w:highlight w:val="cyan"/>
        </w:rPr>
      </w:pPr>
      <w:r w:rsidRPr="00FA1373">
        <w:rPr>
          <w:rFonts w:cstheme="minorHAnsi"/>
        </w:rPr>
        <w:t xml:space="preserve">The SBSTA. by decision 18/CMA.1, paragraph 12a, was requested to develop the common tabular formats for the electronic reporting of the information referred to in chapters V and VI of the modalities, </w:t>
      </w:r>
      <w:proofErr w:type="gramStart"/>
      <w:r w:rsidRPr="00FA1373">
        <w:rPr>
          <w:rFonts w:cstheme="minorHAnsi"/>
        </w:rPr>
        <w:t>procedures</w:t>
      </w:r>
      <w:proofErr w:type="gramEnd"/>
      <w:r w:rsidRPr="00FA1373">
        <w:rPr>
          <w:rFonts w:cstheme="minorHAnsi"/>
        </w:rPr>
        <w:t xml:space="preserve"> and guidelines of enhanced framework, taking into account the existing the existing common tabular formats and common reporting formats.</w:t>
      </w:r>
    </w:p>
    <w:p w14:paraId="6E54D3D6" w14:textId="77777777" w:rsidR="00EC2915" w:rsidRPr="00FA1373" w:rsidRDefault="00EC2915" w:rsidP="00576CFA">
      <w:pPr>
        <w:pStyle w:val="MText"/>
        <w:rPr>
          <w:rFonts w:cstheme="minorHAnsi"/>
        </w:rPr>
      </w:pPr>
    </w:p>
    <w:p w14:paraId="7932F8BD" w14:textId="3869C451" w:rsidR="008B0AC7" w:rsidRPr="00FA1373" w:rsidRDefault="00576CFA" w:rsidP="00F719A8">
      <w:pPr>
        <w:pStyle w:val="MHeader2"/>
        <w:rPr>
          <w:rFonts w:cstheme="minorHAnsi"/>
        </w:rPr>
      </w:pPr>
      <w:r w:rsidRPr="00FA1373">
        <w:rPr>
          <w:rFonts w:cstheme="minorHAnsi"/>
        </w:rPr>
        <w:t xml:space="preserve">2.b. Unit of measure </w:t>
      </w:r>
      <w:r>
        <w:rPr>
          <w:color w:val="B4B4B4"/>
          <w:sz w:val="20"/>
        </w:rPr>
        <w:t>(UNIT_MEASURE)</w:t>
      </w:r>
    </w:p>
    <w:p w14:paraId="1CA9FAF5" w14:textId="725F513D" w:rsidR="001C25FF" w:rsidRPr="00FA1373" w:rsidRDefault="007D1E8C" w:rsidP="00576CFA">
      <w:pPr>
        <w:pStyle w:val="MText"/>
        <w:rPr>
          <w:rFonts w:cstheme="minorHAnsi"/>
        </w:rPr>
      </w:pPr>
      <w:r w:rsidRPr="00FA1373">
        <w:rPr>
          <w:rFonts w:cstheme="minorHAnsi"/>
        </w:rPr>
        <w:t>United States dollars per year</w:t>
      </w:r>
      <w:r w:rsidRPr="00FA1373" w:rsidDel="007D1E8C">
        <w:rPr>
          <w:rFonts w:cstheme="minorHAnsi"/>
          <w:highlight w:val="yellow"/>
        </w:rPr>
        <w:t xml:space="preserve"> </w:t>
      </w:r>
    </w:p>
    <w:p w14:paraId="548E9AAA" w14:textId="77777777" w:rsidR="00EC2915" w:rsidRPr="00FA1373" w:rsidRDefault="00EC2915" w:rsidP="00576CFA">
      <w:pPr>
        <w:pStyle w:val="MText"/>
        <w:rPr>
          <w:rFonts w:cstheme="minorHAnsi"/>
        </w:rPr>
      </w:pPr>
    </w:p>
    <w:p w14:paraId="651AA7AC" w14:textId="601AF047" w:rsidR="00DA615C" w:rsidRPr="00FA1373" w:rsidRDefault="008B0AC7" w:rsidP="00F719A8">
      <w:pPr>
        <w:pStyle w:val="MHeader2"/>
        <w:rPr>
          <w:rFonts w:cstheme="minorHAnsi"/>
        </w:rPr>
      </w:pPr>
      <w:r w:rsidRPr="00FA1373">
        <w:rPr>
          <w:rFonts w:cstheme="minorHAnsi"/>
        </w:rPr>
        <w:t xml:space="preserve">2.c. Classifications </w:t>
      </w:r>
      <w:r>
        <w:rPr>
          <w:color w:val="B4B4B4"/>
          <w:sz w:val="20"/>
        </w:rPr>
        <w:t>(CLASS_SYSTEM)</w:t>
      </w:r>
    </w:p>
    <w:p w14:paraId="68874945" w14:textId="706DE800" w:rsidR="00BD4574" w:rsidRDefault="00BD4574" w:rsidP="00037198">
      <w:pPr>
        <w:pStyle w:val="MText"/>
      </w:pPr>
      <w:r>
        <w:t>The reporting of quantitative information on financial support through CTFs is guided by BR guidelines (decision 2/CP.17), CTF reporting parameters (19/CP.18) and footnotes to the CTF tables.</w:t>
      </w:r>
    </w:p>
    <w:p w14:paraId="436A4581" w14:textId="77777777" w:rsidR="007D7C9D" w:rsidRDefault="007D7C9D" w:rsidP="00037198">
      <w:pPr>
        <w:pStyle w:val="MText"/>
      </w:pPr>
    </w:p>
    <w:p w14:paraId="1D3AEECA" w14:textId="4C5EC949" w:rsidR="00B31E2C" w:rsidRPr="00FA1373" w:rsidRDefault="00B31E2C" w:rsidP="00F719A8">
      <w:pPr>
        <w:pStyle w:val="MHeader"/>
        <w:rPr>
          <w:rFonts w:cstheme="minorHAnsi"/>
        </w:rPr>
      </w:pPr>
      <w:r w:rsidRPr="00FA1373">
        <w:rPr>
          <w:rFonts w:cstheme="minorHAnsi"/>
        </w:rPr>
        <w:t xml:space="preserve">3. Data source type and data collection method </w:t>
      </w:r>
      <w:r>
        <w:rPr>
          <w:color w:val="B4B4B4"/>
          <w:sz w:val="20"/>
        </w:rPr>
        <w:t>(SRC_TYPE_COLL_METHOD)</w:t>
      </w:r>
    </w:p>
    <w:p w14:paraId="340B050E" w14:textId="31C09E5F" w:rsidR="008B0AC7" w:rsidRPr="00FA1373" w:rsidRDefault="008B0AC7" w:rsidP="00F719A8">
      <w:pPr>
        <w:pStyle w:val="MHeader2"/>
        <w:rPr>
          <w:rFonts w:cstheme="minorHAnsi"/>
        </w:rPr>
      </w:pPr>
      <w:r w:rsidRPr="00FA1373">
        <w:rPr>
          <w:rFonts w:cstheme="minorHAnsi"/>
        </w:rPr>
        <w:t xml:space="preserve">3.a. Data sources </w:t>
      </w:r>
      <w:r>
        <w:rPr>
          <w:color w:val="B4B4B4"/>
          <w:sz w:val="20"/>
        </w:rPr>
        <w:t>(SOURCE_TYPE)</w:t>
      </w:r>
    </w:p>
    <w:p w14:paraId="2D46029B" w14:textId="77777777" w:rsidR="00610539" w:rsidRPr="00BD4574" w:rsidRDefault="00610539" w:rsidP="00610539">
      <w:pPr>
        <w:spacing w:after="0"/>
        <w:rPr>
          <w:rFonts w:eastAsia="Times New Roman" w:cstheme="minorHAnsi"/>
          <w:color w:val="4A4A4A"/>
          <w:sz w:val="21"/>
          <w:szCs w:val="21"/>
          <w:lang w:eastAsia="en-GB"/>
        </w:rPr>
      </w:pPr>
      <w:r w:rsidRPr="00FA1373">
        <w:rPr>
          <w:rFonts w:eastAsia="Times New Roman" w:cstheme="minorHAnsi"/>
          <w:color w:val="4A4A4A"/>
          <w:sz w:val="21"/>
          <w:szCs w:val="21"/>
          <w:lang w:eastAsia="en-GB"/>
        </w:rPr>
        <w:t xml:space="preserve">Biennial reports of Annex I Parties in the Convention submitted to the UNFCCC Secretariat. </w:t>
      </w:r>
    </w:p>
    <w:p w14:paraId="0BC53086" w14:textId="0DEF1144" w:rsidR="007D1E8C" w:rsidRPr="00FA1373" w:rsidRDefault="007D1E8C" w:rsidP="007D1E8C">
      <w:pPr>
        <w:pStyle w:val="ListParagraph"/>
        <w:numPr>
          <w:ilvl w:val="0"/>
          <w:numId w:val="5"/>
        </w:numPr>
        <w:shd w:val="clear" w:color="auto" w:fill="FFFFFF"/>
        <w:spacing w:after="0"/>
        <w:rPr>
          <w:rFonts w:eastAsia="Times New Roman" w:cstheme="minorHAnsi"/>
          <w:color w:val="4A4A4A"/>
          <w:sz w:val="21"/>
          <w:szCs w:val="21"/>
          <w:lang w:eastAsia="en-GB"/>
        </w:rPr>
      </w:pPr>
      <w:r w:rsidRPr="00037198">
        <w:rPr>
          <w:rStyle w:val="MTextChar"/>
          <w:rFonts w:eastAsiaTheme="minorEastAsia"/>
        </w:rPr>
        <w:t>Biennial Reports by Annex I Parties until 2022:</w:t>
      </w:r>
      <w:r w:rsidRPr="00FA1373">
        <w:rPr>
          <w:rFonts w:eastAsia="Times New Roman" w:cstheme="minorHAnsi"/>
          <w:color w:val="000000" w:themeColor="text1"/>
          <w:sz w:val="21"/>
          <w:szCs w:val="21"/>
          <w:lang w:eastAsia="en-GB"/>
        </w:rPr>
        <w:t xml:space="preserve"> </w:t>
      </w:r>
      <w:hyperlink r:id="rId15" w:history="1">
        <w:r w:rsidRPr="00FA1373">
          <w:rPr>
            <w:rStyle w:val="Hyperlink"/>
            <w:rFonts w:eastAsia="Times New Roman" w:cstheme="minorHAnsi"/>
            <w:i/>
            <w:sz w:val="21"/>
            <w:szCs w:val="21"/>
            <w:lang w:eastAsia="en-GB"/>
          </w:rPr>
          <w:t>https://unfccc.int/BRs</w:t>
        </w:r>
      </w:hyperlink>
      <w:r w:rsidR="0082684D" w:rsidRPr="00FA1373">
        <w:rPr>
          <w:rStyle w:val="Hyperlink"/>
          <w:rFonts w:eastAsia="Times New Roman" w:cstheme="minorHAnsi"/>
          <w:i/>
          <w:sz w:val="21"/>
          <w:szCs w:val="21"/>
          <w:lang w:eastAsia="en-GB"/>
        </w:rPr>
        <w:t xml:space="preserve">, </w:t>
      </w:r>
      <w:r w:rsidR="0082684D" w:rsidRPr="00037198">
        <w:rPr>
          <w:rStyle w:val="MTextChar"/>
          <w:rFonts w:eastAsiaTheme="minorEastAsia"/>
        </w:rPr>
        <w:t>and</w:t>
      </w:r>
      <w:r w:rsidRPr="00037198">
        <w:rPr>
          <w:rStyle w:val="MTextChar"/>
          <w:rFonts w:eastAsiaTheme="minorEastAsia"/>
        </w:rPr>
        <w:t xml:space="preserve"> Biennial Transparency Reports by developed as well as developing country Parties to be reported under Paris Agreement from 2024 onwards:  </w:t>
      </w:r>
      <w:hyperlink r:id="rId16" w:history="1">
        <w:r w:rsidRPr="00FA1373">
          <w:rPr>
            <w:rStyle w:val="Hyperlink"/>
            <w:rFonts w:cstheme="minorHAnsi"/>
          </w:rPr>
          <w:t>https://unfccc.int/process-and-meetings/transparency-and-reporting/reporting-and-review-under-the-paris-agreement</w:t>
        </w:r>
      </w:hyperlink>
    </w:p>
    <w:p w14:paraId="080262BC" w14:textId="77777777" w:rsidR="00610539" w:rsidRPr="00FA1373" w:rsidRDefault="00610539" w:rsidP="00610539">
      <w:pPr>
        <w:pStyle w:val="ListParagraph"/>
        <w:numPr>
          <w:ilvl w:val="0"/>
          <w:numId w:val="5"/>
        </w:numPr>
        <w:spacing w:after="0"/>
        <w:rPr>
          <w:rFonts w:eastAsia="Times New Roman" w:cstheme="minorHAnsi"/>
          <w:color w:val="4A4A4A"/>
          <w:sz w:val="21"/>
          <w:szCs w:val="21"/>
          <w:lang w:eastAsia="en-GB"/>
        </w:rPr>
      </w:pPr>
      <w:r w:rsidRPr="00FA1373">
        <w:rPr>
          <w:rFonts w:eastAsia="Times New Roman" w:cstheme="minorHAnsi"/>
          <w:color w:val="4A4A4A"/>
          <w:sz w:val="21"/>
          <w:szCs w:val="21"/>
          <w:lang w:eastAsia="en-GB"/>
        </w:rPr>
        <w:t xml:space="preserve">Biennial Assessment and Overview of Climate Finance Flows: </w:t>
      </w:r>
      <w:hyperlink r:id="rId17" w:history="1">
        <w:r w:rsidRPr="00FA1373">
          <w:rPr>
            <w:rStyle w:val="Hyperlink"/>
            <w:rFonts w:eastAsia="Times New Roman" w:cstheme="minorHAnsi"/>
            <w:i/>
            <w:sz w:val="21"/>
            <w:szCs w:val="21"/>
            <w:lang w:eastAsia="en-GB"/>
          </w:rPr>
          <w:t>https://unfccc.int/topics/climate-finance/resources/biennial-assessment-of-climate-finance</w:t>
        </w:r>
      </w:hyperlink>
      <w:r w:rsidRPr="00FA1373">
        <w:rPr>
          <w:rFonts w:eastAsia="Times New Roman" w:cstheme="minorHAnsi"/>
          <w:i/>
          <w:color w:val="4A4A4A"/>
          <w:sz w:val="21"/>
          <w:szCs w:val="21"/>
          <w:lang w:eastAsia="en-GB"/>
        </w:rPr>
        <w:t>.</w:t>
      </w:r>
    </w:p>
    <w:p w14:paraId="5E9283A9" w14:textId="77777777" w:rsidR="00610539" w:rsidRPr="00FA1373" w:rsidRDefault="00610539" w:rsidP="00610539">
      <w:pPr>
        <w:spacing w:after="0"/>
        <w:rPr>
          <w:rFonts w:eastAsia="Times New Roman" w:cstheme="minorHAnsi"/>
          <w:color w:val="4A4A4A"/>
          <w:sz w:val="21"/>
          <w:szCs w:val="21"/>
          <w:lang w:eastAsia="en-GB"/>
        </w:rPr>
      </w:pPr>
    </w:p>
    <w:p w14:paraId="79368080" w14:textId="32CB9C2E" w:rsidR="008B0AC7" w:rsidRPr="00FA1373" w:rsidRDefault="00576CFA" w:rsidP="00F719A8">
      <w:pPr>
        <w:pStyle w:val="MHeader2"/>
        <w:rPr>
          <w:rFonts w:cstheme="minorHAnsi"/>
        </w:rPr>
      </w:pPr>
      <w:r w:rsidRPr="00FA1373">
        <w:rPr>
          <w:rFonts w:cstheme="minorHAnsi"/>
        </w:rPr>
        <w:t xml:space="preserve">3.b. Data collection method </w:t>
      </w:r>
      <w:r>
        <w:rPr>
          <w:color w:val="B4B4B4"/>
          <w:sz w:val="20"/>
        </w:rPr>
        <w:t>(COLL_METHOD)</w:t>
      </w:r>
    </w:p>
    <w:p w14:paraId="40A0CD8B" w14:textId="0636374C" w:rsidR="00A51B90" w:rsidRPr="00FA1373" w:rsidRDefault="00610539" w:rsidP="007D1E8C">
      <w:pPr>
        <w:shd w:val="clear" w:color="auto" w:fill="FFFFFF"/>
        <w:spacing w:after="0"/>
        <w:rPr>
          <w:rFonts w:cstheme="minorHAnsi"/>
          <w:color w:val="4A4A4A"/>
        </w:rPr>
      </w:pPr>
      <w:r w:rsidRPr="00FA1373">
        <w:rPr>
          <w:rFonts w:cstheme="minorHAnsi"/>
          <w:color w:val="4A4A4A"/>
        </w:rPr>
        <w:lastRenderedPageBreak/>
        <w:t>Annex I Parties are requested to submit their Biennial Reports (BRs) to the UNFCCC secretariat every two years (</w:t>
      </w:r>
      <w:hyperlink r:id="rId18" w:tgtFrame="_self" w:history="1">
        <w:r w:rsidRPr="00FA1373">
          <w:rPr>
            <w:rStyle w:val="Hyperlink"/>
            <w:rFonts w:cstheme="minorHAnsi"/>
          </w:rPr>
          <w:t>decision 2/CP.17</w:t>
        </w:r>
      </w:hyperlink>
      <w:r w:rsidRPr="00FA1373">
        <w:rPr>
          <w:rFonts w:cstheme="minorHAnsi"/>
          <w:color w:val="4A4A4A"/>
        </w:rPr>
        <w:t>). Annex I Parties use the BR Common Tabular Format (CTF) application when preparing their BRs (</w:t>
      </w:r>
      <w:hyperlink r:id="rId19" w:tgtFrame="_self" w:history="1">
        <w:r w:rsidRPr="00FA1373">
          <w:rPr>
            <w:rStyle w:val="Hyperlink"/>
            <w:rFonts w:cstheme="minorHAnsi"/>
          </w:rPr>
          <w:t>decision 19/CP.18</w:t>
        </w:r>
      </w:hyperlink>
      <w:r w:rsidRPr="00FA1373">
        <w:rPr>
          <w:rFonts w:cstheme="minorHAnsi"/>
          <w:color w:val="4A4A4A"/>
        </w:rPr>
        <w:t xml:space="preserve">). </w:t>
      </w:r>
    </w:p>
    <w:p w14:paraId="5D037416" w14:textId="77777777" w:rsidR="00A51B90" w:rsidRPr="00FA1373" w:rsidRDefault="00A51B90" w:rsidP="007D1E8C">
      <w:pPr>
        <w:shd w:val="clear" w:color="auto" w:fill="FFFFFF"/>
        <w:spacing w:after="0"/>
        <w:rPr>
          <w:rFonts w:cstheme="minorHAnsi"/>
          <w:color w:val="4A4A4A"/>
        </w:rPr>
      </w:pPr>
    </w:p>
    <w:p w14:paraId="6889669A" w14:textId="0E0A3AD1" w:rsidR="00A51B90" w:rsidRPr="00FA1373" w:rsidRDefault="00A51B90" w:rsidP="00037198">
      <w:pPr>
        <w:pStyle w:val="MText"/>
      </w:pPr>
      <w:r w:rsidRPr="00FA1373">
        <w:rPr>
          <w:b/>
        </w:rPr>
        <w:t>Report preparers</w:t>
      </w:r>
      <w:r w:rsidRPr="00FA1373">
        <w:t xml:space="preserve">: Annex I Parties, collect data using their own data collection processes but follow BR guidelines and CTF reporting parameters and footnotes when reporting financial information to UNFCCC secretariat. </w:t>
      </w:r>
    </w:p>
    <w:p w14:paraId="6DAAAE59" w14:textId="048042BF" w:rsidR="00A51B90" w:rsidRPr="00FA1373" w:rsidRDefault="00A51B90" w:rsidP="00037198">
      <w:pPr>
        <w:pStyle w:val="MText"/>
      </w:pPr>
      <w:r w:rsidRPr="32C45A75">
        <w:rPr>
          <w:b/>
          <w:bCs/>
        </w:rPr>
        <w:t>Users</w:t>
      </w:r>
      <w:r w:rsidRPr="00FA1373">
        <w:t>: UNFCCC secretariat, in preparing compilation and synthesis</w:t>
      </w:r>
      <w:r w:rsidR="00DB1F13" w:rsidRPr="00FA1373">
        <w:t xml:space="preserve"> (C&amp;S)</w:t>
      </w:r>
      <w:r w:rsidRPr="00FA1373">
        <w:t xml:space="preserve">, </w:t>
      </w:r>
      <w:proofErr w:type="gramStart"/>
      <w:r w:rsidR="008C280A" w:rsidRPr="00FA1373">
        <w:t>in particular the</w:t>
      </w:r>
      <w:proofErr w:type="gramEnd"/>
      <w:r w:rsidR="008C280A" w:rsidRPr="00FA1373">
        <w:t xml:space="preserve"> compilation of</w:t>
      </w:r>
      <w:r w:rsidRPr="00FA1373">
        <w:t xml:space="preserve"> financial information from BR CTFs as submitted by Annex I Parties</w:t>
      </w:r>
      <w:r w:rsidR="008C280A" w:rsidRPr="00FA1373">
        <w:t>.</w:t>
      </w:r>
      <w:r w:rsidR="008C280A" w:rsidRPr="32C45A75">
        <w:rPr>
          <w:rStyle w:val="FootnoteReference"/>
          <w:rFonts w:cstheme="minorBidi"/>
        </w:rPr>
        <w:footnoteReference w:id="2"/>
      </w:r>
    </w:p>
    <w:p w14:paraId="5823FBC8" w14:textId="6B25BF97" w:rsidR="00576CFA" w:rsidRPr="00037198" w:rsidRDefault="00576CFA" w:rsidP="00610539">
      <w:pPr>
        <w:spacing w:after="0"/>
        <w:rPr>
          <w:rFonts w:cstheme="minorHAnsi"/>
          <w:i/>
          <w:iCs/>
          <w:color w:val="4A4A4A"/>
        </w:rPr>
      </w:pPr>
      <w:r w:rsidRPr="00037198">
        <w:rPr>
          <w:rFonts w:cstheme="minorHAnsi"/>
        </w:rPr>
        <w:tab/>
      </w:r>
    </w:p>
    <w:p w14:paraId="170A2C05" w14:textId="34873ECA" w:rsidR="00E46D96" w:rsidRPr="00037198" w:rsidRDefault="00E46D96" w:rsidP="00F719A8">
      <w:pPr>
        <w:pStyle w:val="MHeader2"/>
        <w:rPr>
          <w:rFonts w:cstheme="minorHAnsi"/>
        </w:rPr>
      </w:pPr>
      <w:r w:rsidRPr="00037198">
        <w:rPr>
          <w:rFonts w:cstheme="minorHAnsi"/>
        </w:rPr>
        <w:t xml:space="preserve">3.c. Data collection calendar </w:t>
      </w:r>
      <w:r>
        <w:rPr>
          <w:color w:val="B4B4B4"/>
          <w:sz w:val="20"/>
        </w:rPr>
        <w:t>(FREQ_COLL)</w:t>
      </w:r>
    </w:p>
    <w:p w14:paraId="49E38C45" w14:textId="1F59805D" w:rsidR="00F74275" w:rsidRPr="00FA1373" w:rsidRDefault="006D3B10" w:rsidP="00576CFA">
      <w:pPr>
        <w:pStyle w:val="MText"/>
        <w:rPr>
          <w:rFonts w:cstheme="minorHAnsi"/>
          <w:color w:val="333333"/>
          <w:shd w:val="clear" w:color="auto" w:fill="FFFFFF"/>
        </w:rPr>
      </w:pPr>
      <w:r w:rsidRPr="00FA1373">
        <w:rPr>
          <w:rFonts w:cstheme="minorHAnsi"/>
          <w:color w:val="333333"/>
          <w:shd w:val="clear" w:color="auto" w:fill="FFFFFF"/>
        </w:rPr>
        <w:t xml:space="preserve">The fourth Biennial Reports by Annex I Parties were submitted in 2020 and a C&amp;S of the information was published in October 2020. This includes data on financial support provided to developing countries in the years 2017-2018. </w:t>
      </w:r>
    </w:p>
    <w:p w14:paraId="2776E90E" w14:textId="77777777" w:rsidR="007D7C9D" w:rsidRDefault="003D4771" w:rsidP="00576CFA">
      <w:pPr>
        <w:pStyle w:val="MText"/>
        <w:rPr>
          <w:rFonts w:cstheme="minorHAnsi"/>
          <w:color w:val="333333"/>
          <w:shd w:val="clear" w:color="auto" w:fill="FFFFFF"/>
        </w:rPr>
      </w:pPr>
      <w:r w:rsidRPr="00FA1373">
        <w:rPr>
          <w:rFonts w:cstheme="minorHAnsi"/>
          <w:color w:val="333333"/>
          <w:shd w:val="clear" w:color="auto" w:fill="FFFFFF"/>
        </w:rPr>
        <w:t>The next (fifth) Biennial Reports by Annex I Parties (BR5) to the Convention should be submitted to the UNFCCC Secretariat by 1 January 2022.</w:t>
      </w:r>
    </w:p>
    <w:p w14:paraId="01BA862E" w14:textId="77777777" w:rsidR="00EC2915" w:rsidRPr="00FA1373" w:rsidRDefault="00EC2915" w:rsidP="00576CFA">
      <w:pPr>
        <w:pStyle w:val="MText"/>
        <w:rPr>
          <w:rFonts w:cstheme="minorHAnsi"/>
        </w:rPr>
      </w:pPr>
    </w:p>
    <w:p w14:paraId="7D466604" w14:textId="674844F0" w:rsidR="00E46D96" w:rsidRPr="00FA1373" w:rsidRDefault="00E46D96" w:rsidP="00F719A8">
      <w:pPr>
        <w:pStyle w:val="MHeader2"/>
        <w:rPr>
          <w:rFonts w:cstheme="minorHAnsi"/>
        </w:rPr>
      </w:pPr>
      <w:r w:rsidRPr="00FA1373">
        <w:rPr>
          <w:rFonts w:cstheme="minorHAnsi"/>
        </w:rPr>
        <w:t xml:space="preserve">3.d. Data release calendar </w:t>
      </w:r>
      <w:r>
        <w:rPr>
          <w:color w:val="B4B4B4"/>
          <w:sz w:val="20"/>
        </w:rPr>
        <w:t>(REL_CAL_POLICY)</w:t>
      </w:r>
    </w:p>
    <w:p w14:paraId="72C3F348" w14:textId="7CB4FB50" w:rsidR="003D4771" w:rsidRPr="00FA1373" w:rsidRDefault="003D4771" w:rsidP="003D4771">
      <w:pPr>
        <w:pStyle w:val="MText"/>
        <w:rPr>
          <w:rFonts w:cstheme="minorHAnsi"/>
        </w:rPr>
      </w:pPr>
      <w:r w:rsidRPr="32C45A75">
        <w:rPr>
          <w:rFonts w:cstheme="minorBidi"/>
        </w:rPr>
        <w:t>By fourth quarter of 2022 compilation of data on financial support provided during the years 2019 and 2020 will be released.</w:t>
      </w:r>
      <w:r w:rsidR="00CE2B36" w:rsidRPr="32C45A75">
        <w:rPr>
          <w:rFonts w:cstheme="minorBidi"/>
        </w:rPr>
        <w:t xml:space="preserve"> </w:t>
      </w:r>
      <w:r w:rsidR="00DB1F13" w:rsidRPr="32C45A75">
        <w:rPr>
          <w:rFonts w:cstheme="minorBidi"/>
        </w:rPr>
        <w:t>The data, including in spreadsheet format (CTF), as submitted by Annex I Parties to UNFCCC secretariat is publicly available and accessible via UNFCCC website.</w:t>
      </w:r>
      <w:r w:rsidR="00DB1F13" w:rsidRPr="32C45A75">
        <w:rPr>
          <w:rStyle w:val="FootnoteReference"/>
          <w:rFonts w:cstheme="minorBidi"/>
        </w:rPr>
        <w:footnoteReference w:id="3"/>
      </w:r>
      <w:r w:rsidR="00DB1F13" w:rsidRPr="32C45A75">
        <w:rPr>
          <w:rFonts w:cstheme="minorBidi"/>
        </w:rPr>
        <w:t xml:space="preserve"> </w:t>
      </w:r>
    </w:p>
    <w:p w14:paraId="64C749BD" w14:textId="77777777" w:rsidR="00EC2915" w:rsidRPr="00FA1373" w:rsidRDefault="00EC2915" w:rsidP="00576CFA">
      <w:pPr>
        <w:pStyle w:val="MText"/>
        <w:rPr>
          <w:rFonts w:cstheme="minorHAnsi"/>
        </w:rPr>
      </w:pPr>
    </w:p>
    <w:p w14:paraId="3A4F3065" w14:textId="3AD52F9D" w:rsidR="00E46D96" w:rsidRPr="00FA1373" w:rsidRDefault="00E46D96" w:rsidP="00F719A8">
      <w:pPr>
        <w:pStyle w:val="MHeader2"/>
        <w:rPr>
          <w:rFonts w:cstheme="minorHAnsi"/>
        </w:rPr>
      </w:pPr>
      <w:r w:rsidRPr="00FA1373">
        <w:rPr>
          <w:rFonts w:cstheme="minorHAnsi"/>
        </w:rPr>
        <w:t xml:space="preserve">3.e. Data providers </w:t>
      </w:r>
      <w:r>
        <w:rPr>
          <w:color w:val="B4B4B4"/>
          <w:sz w:val="20"/>
        </w:rPr>
        <w:t>(DATA_SOURCE)</w:t>
      </w:r>
    </w:p>
    <w:p w14:paraId="6DBC0025" w14:textId="3F6CDB46" w:rsidR="00576CFA" w:rsidRPr="00FA1373" w:rsidRDefault="00610539" w:rsidP="00576CFA">
      <w:pPr>
        <w:pStyle w:val="MText"/>
        <w:rPr>
          <w:rFonts w:cstheme="minorHAnsi"/>
        </w:rPr>
      </w:pPr>
      <w:r w:rsidRPr="00FA1373">
        <w:rPr>
          <w:rFonts w:cstheme="minorHAnsi"/>
        </w:rPr>
        <w:t>National Governments of Annex I Parties to the UNFCCC</w:t>
      </w:r>
      <w:r w:rsidR="00F74275" w:rsidRPr="00FA1373">
        <w:rPr>
          <w:rFonts w:cstheme="minorHAnsi"/>
        </w:rPr>
        <w:t xml:space="preserve">. Only Annex II Parties report on financial support provided </w:t>
      </w:r>
      <w:r w:rsidR="00DB1F13" w:rsidRPr="00FA1373">
        <w:rPr>
          <w:rFonts w:cstheme="minorHAnsi"/>
        </w:rPr>
        <w:t xml:space="preserve">via CTF in accordance with guidelines for the preparation of the BRs </w:t>
      </w:r>
      <w:r w:rsidR="00F74275" w:rsidRPr="00FA1373">
        <w:rPr>
          <w:rFonts w:cstheme="minorHAnsi"/>
        </w:rPr>
        <w:t>and other Annex I Parties also voluntarily provide this information.</w:t>
      </w:r>
      <w:r w:rsidR="00DB1F13" w:rsidRPr="00FA1373">
        <w:rPr>
          <w:rFonts w:cstheme="minorHAnsi"/>
        </w:rPr>
        <w:t xml:space="preserve"> </w:t>
      </w:r>
    </w:p>
    <w:p w14:paraId="50A66E64" w14:textId="77777777" w:rsidR="00EC2915" w:rsidRPr="00FA1373" w:rsidRDefault="00EC2915" w:rsidP="00576CFA">
      <w:pPr>
        <w:pStyle w:val="MText"/>
        <w:rPr>
          <w:rFonts w:cstheme="minorHAnsi"/>
        </w:rPr>
      </w:pPr>
    </w:p>
    <w:p w14:paraId="30DC8E05" w14:textId="484D6EC2" w:rsidR="00E46D96" w:rsidRPr="00FA1373" w:rsidRDefault="00E46D96" w:rsidP="00F719A8">
      <w:pPr>
        <w:pStyle w:val="MHeader2"/>
        <w:rPr>
          <w:rFonts w:cstheme="minorHAnsi"/>
        </w:rPr>
      </w:pPr>
      <w:r w:rsidRPr="00FA1373">
        <w:rPr>
          <w:rFonts w:cstheme="minorHAnsi"/>
        </w:rPr>
        <w:t xml:space="preserve">3.f. Data compilers </w:t>
      </w:r>
      <w:r>
        <w:rPr>
          <w:color w:val="B4B4B4"/>
          <w:sz w:val="20"/>
        </w:rPr>
        <w:t>(COMPILING_ORG)</w:t>
      </w:r>
    </w:p>
    <w:p w14:paraId="605E8F9D" w14:textId="3A5322D9" w:rsidR="00576CFA" w:rsidRPr="00FA1373" w:rsidRDefault="00610539" w:rsidP="00576CFA">
      <w:pPr>
        <w:pStyle w:val="MText"/>
        <w:rPr>
          <w:rFonts w:cstheme="minorHAnsi"/>
        </w:rPr>
      </w:pPr>
      <w:r w:rsidRPr="00FA1373">
        <w:rPr>
          <w:rFonts w:cstheme="minorHAnsi"/>
        </w:rPr>
        <w:t>UNFCCC</w:t>
      </w:r>
      <w:r w:rsidR="003D4771" w:rsidRPr="00FA1373">
        <w:rPr>
          <w:rFonts w:cstheme="minorHAnsi"/>
        </w:rPr>
        <w:t xml:space="preserve"> secretariat</w:t>
      </w:r>
      <w:r w:rsidR="00DB1F13" w:rsidRPr="00FA1373">
        <w:rPr>
          <w:rFonts w:cstheme="minorHAnsi"/>
        </w:rPr>
        <w:t xml:space="preserve"> for purposes of C&amp;S.</w:t>
      </w:r>
    </w:p>
    <w:p w14:paraId="5C43435B" w14:textId="77777777" w:rsidR="00EC2915" w:rsidRPr="00FA1373" w:rsidRDefault="00EC2915" w:rsidP="00576CFA">
      <w:pPr>
        <w:pStyle w:val="MText"/>
        <w:rPr>
          <w:rFonts w:cstheme="minorHAnsi"/>
        </w:rPr>
      </w:pPr>
    </w:p>
    <w:p w14:paraId="5655E768" w14:textId="46353D14" w:rsidR="00E46D96" w:rsidRPr="00FA1373" w:rsidRDefault="00E46D96" w:rsidP="00F719A8">
      <w:pPr>
        <w:pStyle w:val="MHeader2"/>
        <w:rPr>
          <w:rFonts w:cstheme="minorHAnsi"/>
        </w:rPr>
      </w:pPr>
      <w:r w:rsidRPr="00FA1373">
        <w:rPr>
          <w:rFonts w:cstheme="minorHAnsi"/>
        </w:rPr>
        <w:t xml:space="preserve">3.g. Institutional mandate </w:t>
      </w:r>
      <w:r>
        <w:rPr>
          <w:color w:val="B4B4B4"/>
          <w:sz w:val="20"/>
        </w:rPr>
        <w:t>(INST_MANDATE)</w:t>
      </w:r>
    </w:p>
    <w:p w14:paraId="7D007C3C" w14:textId="12801997" w:rsidR="00EC2915" w:rsidRPr="00FA1373" w:rsidRDefault="00AB7397" w:rsidP="00576CFA">
      <w:pPr>
        <w:pStyle w:val="MText"/>
        <w:rPr>
          <w:rFonts w:cstheme="minorHAnsi"/>
        </w:rPr>
      </w:pPr>
      <w:r w:rsidRPr="32C45A75">
        <w:rPr>
          <w:rFonts w:cstheme="minorBidi"/>
          <w:color w:val="333333"/>
          <w:shd w:val="clear" w:color="auto" w:fill="FFFFFF"/>
        </w:rPr>
        <w:t xml:space="preserve">There isn’t a formal set of instructions that would directly assign responsibility to an organisation for collection, processing, and dissemination of statistics for this indicator. However, the UNFCCC secretariat was requested by the </w:t>
      </w:r>
      <w:r w:rsidR="00947723" w:rsidRPr="32C45A75">
        <w:rPr>
          <w:rFonts w:cstheme="minorBidi"/>
          <w:color w:val="333333"/>
          <w:shd w:val="clear" w:color="auto" w:fill="FFFFFF"/>
        </w:rPr>
        <w:t>COP 17 to prepare compilation and synthesis reports on the information reported by Parties in their BRs.</w:t>
      </w:r>
      <w:r w:rsidR="00947723" w:rsidRPr="32C45A75">
        <w:rPr>
          <w:rStyle w:val="FootnoteReference"/>
          <w:rFonts w:cstheme="minorBidi"/>
          <w:color w:val="333333"/>
          <w:shd w:val="clear" w:color="auto" w:fill="FFFFFF"/>
        </w:rPr>
        <w:footnoteReference w:id="4"/>
      </w:r>
    </w:p>
    <w:p w14:paraId="3D063F4C" w14:textId="77777777" w:rsidR="00F719A8" w:rsidRPr="00FA1373" w:rsidRDefault="00F719A8" w:rsidP="00576CFA">
      <w:pPr>
        <w:pStyle w:val="MText"/>
        <w:rPr>
          <w:rFonts w:cstheme="minorHAnsi"/>
        </w:rPr>
      </w:pPr>
    </w:p>
    <w:p w14:paraId="6149DC94" w14:textId="05781947" w:rsidR="00B31E2C" w:rsidRPr="00FA1373" w:rsidRDefault="00B31E2C" w:rsidP="00AF5ED1">
      <w:pPr>
        <w:pStyle w:val="MHeader"/>
        <w:rPr>
          <w:rFonts w:cstheme="minorHAnsi"/>
        </w:rPr>
      </w:pPr>
      <w:r w:rsidRPr="00FA1373">
        <w:rPr>
          <w:rFonts w:cstheme="minorHAnsi"/>
        </w:rPr>
        <w:t xml:space="preserve">4. Other methodological considerations </w:t>
      </w:r>
      <w:r>
        <w:rPr>
          <w:color w:val="B4B4B4"/>
          <w:sz w:val="20"/>
        </w:rPr>
        <w:t>(OTHER_METHOD)</w:t>
      </w:r>
    </w:p>
    <w:p w14:paraId="1AFA5517" w14:textId="0996D068" w:rsidR="00AF5ED1" w:rsidRPr="00FA1373" w:rsidRDefault="00576CFA" w:rsidP="00F719A8">
      <w:pPr>
        <w:pStyle w:val="MHeader2"/>
        <w:rPr>
          <w:rFonts w:cstheme="minorHAnsi"/>
        </w:rPr>
      </w:pPr>
      <w:r w:rsidRPr="00FA1373">
        <w:rPr>
          <w:rFonts w:cstheme="minorHAnsi"/>
        </w:rPr>
        <w:t xml:space="preserve">4.a. Rationale </w:t>
      </w:r>
      <w:r>
        <w:rPr>
          <w:color w:val="B4B4B4"/>
          <w:sz w:val="20"/>
        </w:rPr>
        <w:t>(RATIONALE)</w:t>
      </w:r>
    </w:p>
    <w:p w14:paraId="0AD7EEA2" w14:textId="0F34AC05" w:rsidR="00576CFA" w:rsidRPr="00FA1373" w:rsidRDefault="00576CFA" w:rsidP="00576CFA">
      <w:pPr>
        <w:pStyle w:val="MText"/>
        <w:rPr>
          <w:rFonts w:cstheme="minorHAnsi"/>
        </w:rPr>
      </w:pPr>
    </w:p>
    <w:p w14:paraId="18EA7892" w14:textId="6F5A78AB" w:rsidR="00576CFA" w:rsidRPr="00FA1373" w:rsidRDefault="00576CFA" w:rsidP="00576CFA">
      <w:pPr>
        <w:pStyle w:val="MText"/>
        <w:rPr>
          <w:rFonts w:cstheme="minorHAnsi"/>
        </w:rPr>
      </w:pPr>
    </w:p>
    <w:p w14:paraId="2529B069" w14:textId="7533D1E1" w:rsidR="00E1050F" w:rsidRPr="00AB7397" w:rsidRDefault="00E1050F" w:rsidP="00F719A8">
      <w:pPr>
        <w:pStyle w:val="MHeader2"/>
        <w:rPr>
          <w:rFonts w:cstheme="minorHAnsi"/>
        </w:rPr>
      </w:pPr>
      <w:r w:rsidRPr="00AB7397">
        <w:rPr>
          <w:rFonts w:cstheme="minorHAnsi"/>
        </w:rPr>
        <w:t xml:space="preserve">4.b. Comment and limitations </w:t>
      </w:r>
      <w:r>
        <w:rPr>
          <w:color w:val="B4B4B4"/>
          <w:sz w:val="20"/>
        </w:rPr>
        <w:t>(REC_USE_LIM)</w:t>
      </w:r>
    </w:p>
    <w:p w14:paraId="398C00AE" w14:textId="2948FF58" w:rsidR="00EC2915" w:rsidRPr="00FA1373" w:rsidRDefault="00947723" w:rsidP="00576CFA">
      <w:pPr>
        <w:pStyle w:val="MText"/>
        <w:rPr>
          <w:rFonts w:cstheme="minorHAnsi"/>
        </w:rPr>
      </w:pPr>
      <w:r w:rsidRPr="00FA1373">
        <w:rPr>
          <w:rFonts w:cstheme="minorHAnsi"/>
        </w:rPr>
        <w:t>There is no common agreement on to the methodology to measure progress towards the USD 100bn commitment under the UNFCCC.</w:t>
      </w:r>
      <w:r w:rsidR="006D3B10" w:rsidRPr="00FA1373">
        <w:rPr>
          <w:rFonts w:cstheme="minorHAnsi"/>
        </w:rPr>
        <w:t xml:space="preserve"> The UNFCCC secretariat, in preparing C&amp;S, compiles financial information on support provided and mobilised as reported by Annex I Parties.</w:t>
      </w:r>
    </w:p>
    <w:p w14:paraId="4419FCFE" w14:textId="77777777" w:rsidR="00947723" w:rsidRPr="00FA1373" w:rsidRDefault="00947723" w:rsidP="00576CFA">
      <w:pPr>
        <w:pStyle w:val="MText"/>
        <w:rPr>
          <w:rFonts w:cstheme="minorHAnsi"/>
        </w:rPr>
      </w:pPr>
    </w:p>
    <w:p w14:paraId="79EEEE38" w14:textId="75AB172D" w:rsidR="00E1050F" w:rsidRPr="00FA1373" w:rsidRDefault="00E1050F" w:rsidP="00F719A8">
      <w:pPr>
        <w:pStyle w:val="MHeader2"/>
        <w:rPr>
          <w:rFonts w:cstheme="minorHAnsi"/>
        </w:rPr>
      </w:pPr>
      <w:r w:rsidRPr="00FA1373">
        <w:rPr>
          <w:rFonts w:cstheme="minorHAnsi"/>
        </w:rPr>
        <w:t xml:space="preserve">4.c. Method of computation </w:t>
      </w:r>
      <w:r>
        <w:rPr>
          <w:color w:val="B4B4B4"/>
          <w:sz w:val="20"/>
        </w:rPr>
        <w:t>(DATA_COMP)</w:t>
      </w:r>
    </w:p>
    <w:p w14:paraId="4FC242CD" w14:textId="0DD8A513" w:rsidR="00576CFA" w:rsidRPr="00FA1373" w:rsidRDefault="00610539" w:rsidP="00576CFA">
      <w:pPr>
        <w:pStyle w:val="MText"/>
        <w:rPr>
          <w:rFonts w:cstheme="minorHAnsi"/>
        </w:rPr>
      </w:pPr>
      <w:r w:rsidRPr="00FA1373">
        <w:rPr>
          <w:rFonts w:cstheme="minorHAnsi"/>
        </w:rPr>
        <w:t xml:space="preserve">There is no common agreement on </w:t>
      </w:r>
      <w:r w:rsidR="003D4771" w:rsidRPr="00FA1373">
        <w:rPr>
          <w:rFonts w:cstheme="minorHAnsi"/>
        </w:rPr>
        <w:t>to the methodology to</w:t>
      </w:r>
      <w:r w:rsidRPr="00FA1373">
        <w:rPr>
          <w:rFonts w:cstheme="minorHAnsi"/>
        </w:rPr>
        <w:t xml:space="preserve"> measure progress towards the USD 100bn commitment</w:t>
      </w:r>
      <w:r w:rsidR="00947723" w:rsidRPr="00FA1373">
        <w:rPr>
          <w:rFonts w:cstheme="minorHAnsi"/>
        </w:rPr>
        <w:t xml:space="preserve"> under the UNFCCC</w:t>
      </w:r>
      <w:r w:rsidRPr="00FA1373">
        <w:rPr>
          <w:rFonts w:cstheme="minorHAnsi"/>
        </w:rPr>
        <w:t xml:space="preserve">. Data provided </w:t>
      </w:r>
      <w:r w:rsidR="003D4771" w:rsidRPr="000C055A">
        <w:rPr>
          <w:rFonts w:cstheme="minorHAnsi"/>
        </w:rPr>
        <w:t xml:space="preserve">through Biennial Reports reflects the reporting of financial support provided to developing countries by Annex I Parties to the Convention. </w:t>
      </w:r>
      <w:r w:rsidRPr="00FA1373">
        <w:rPr>
          <w:rFonts w:cstheme="minorHAnsi"/>
        </w:rPr>
        <w:t xml:space="preserve"> </w:t>
      </w:r>
      <w:r w:rsidR="003D4771" w:rsidRPr="00FA1373">
        <w:rPr>
          <w:rFonts w:cstheme="minorHAnsi"/>
        </w:rPr>
        <w:t xml:space="preserve">Moreover, the </w:t>
      </w:r>
      <w:r w:rsidRPr="00FA1373">
        <w:rPr>
          <w:rFonts w:cstheme="minorHAnsi"/>
        </w:rPr>
        <w:t xml:space="preserve">Biennial Assessment and Overview of Climate Finance Flows is a report prepared under the Standing Committee on Finance by the UNFCCC and includes a compilation of the data on financial support provided to developing countries by Annex I Parties. Each Party reports climate-specific finance provided and their underlying assumption and methodologies in accordance with the guidance linked </w:t>
      </w:r>
      <w:r w:rsidR="003D4771" w:rsidRPr="00FA1373">
        <w:rPr>
          <w:rFonts w:cstheme="minorHAnsi"/>
        </w:rPr>
        <w:t>under 4.h below</w:t>
      </w:r>
      <w:r w:rsidRPr="00FA1373">
        <w:rPr>
          <w:rFonts w:cstheme="minorHAnsi"/>
        </w:rPr>
        <w:t>.</w:t>
      </w:r>
      <w:r w:rsidR="006D3B10" w:rsidRPr="00FA1373">
        <w:rPr>
          <w:rFonts w:cstheme="minorHAnsi"/>
        </w:rPr>
        <w:t xml:space="preserve"> Moreover, </w:t>
      </w:r>
      <w:r w:rsidR="00494C00" w:rsidRPr="00FA1373">
        <w:rPr>
          <w:rFonts w:cstheme="minorHAnsi"/>
        </w:rPr>
        <w:t>Parties are requested to include information on underlying assumptions and methodologies in documentation box in BR CTFs.</w:t>
      </w:r>
    </w:p>
    <w:p w14:paraId="6A89839E" w14:textId="77777777" w:rsidR="00576CFA" w:rsidRPr="00FA1373" w:rsidRDefault="00576CFA" w:rsidP="00576CFA">
      <w:pPr>
        <w:pStyle w:val="MText"/>
        <w:rPr>
          <w:rFonts w:cstheme="minorHAnsi"/>
        </w:rPr>
      </w:pPr>
    </w:p>
    <w:p w14:paraId="514CE3C0" w14:textId="3F3F7A53" w:rsidR="00E1050F" w:rsidRPr="00FA1373" w:rsidRDefault="00576CFA" w:rsidP="00F719A8">
      <w:pPr>
        <w:pStyle w:val="MHeader2"/>
        <w:rPr>
          <w:rFonts w:cstheme="minorHAnsi"/>
        </w:rPr>
      </w:pPr>
      <w:r w:rsidRPr="00FA1373">
        <w:rPr>
          <w:rFonts w:cstheme="minorHAnsi"/>
        </w:rPr>
        <w:t xml:space="preserve">4.d. Validation </w:t>
      </w:r>
      <w:r>
        <w:rPr>
          <w:color w:val="B4B4B4"/>
          <w:sz w:val="20"/>
        </w:rPr>
        <w:t>(DATA_VALIDATION)</w:t>
      </w:r>
    </w:p>
    <w:p w14:paraId="2CF2A343" w14:textId="0A7F0CBE" w:rsidR="00E1050F" w:rsidRPr="00FA1373" w:rsidRDefault="00E1050F" w:rsidP="00F719A8">
      <w:pPr>
        <w:pStyle w:val="MHeader2"/>
        <w:rPr>
          <w:rFonts w:cstheme="minorHAnsi"/>
        </w:rPr>
      </w:pPr>
      <w:r w:rsidRPr="00FA1373">
        <w:rPr>
          <w:rFonts w:cstheme="minorHAnsi"/>
        </w:rPr>
        <w:t xml:space="preserve">4.e. Adjustments </w:t>
      </w:r>
      <w:r>
        <w:rPr>
          <w:color w:val="B4B4B4"/>
          <w:sz w:val="20"/>
        </w:rPr>
        <w:t>(ADJUSTMENT)</w:t>
      </w:r>
    </w:p>
    <w:p w14:paraId="5032CC5E" w14:textId="1C3FDAF0" w:rsidR="00576CFA" w:rsidRPr="00FA1373" w:rsidRDefault="003D4771" w:rsidP="00576CFA">
      <w:pPr>
        <w:pStyle w:val="MText"/>
        <w:rPr>
          <w:rFonts w:cstheme="minorHAnsi"/>
        </w:rPr>
      </w:pPr>
      <w:r w:rsidRPr="00FA1373">
        <w:rPr>
          <w:rFonts w:cstheme="minorHAnsi"/>
        </w:rPr>
        <w:t>The data is presented as reported by Annex I Parties to the Convention in their BRs</w:t>
      </w:r>
      <w:r w:rsidR="007B2241" w:rsidRPr="00FA1373">
        <w:rPr>
          <w:rFonts w:cstheme="minorHAnsi"/>
        </w:rPr>
        <w:t xml:space="preserve">, no adjustments with respect to use of standard classifications </w:t>
      </w:r>
      <w:r w:rsidR="00152CF5" w:rsidRPr="00FA1373">
        <w:rPr>
          <w:rFonts w:cstheme="minorHAnsi"/>
        </w:rPr>
        <w:t xml:space="preserve">and harmonization of breakdowns </w:t>
      </w:r>
      <w:r w:rsidR="007B2241" w:rsidRPr="00FA1373">
        <w:rPr>
          <w:rFonts w:cstheme="minorHAnsi"/>
        </w:rPr>
        <w:t>or compliance with specific definitions are made.</w:t>
      </w:r>
    </w:p>
    <w:p w14:paraId="7FBAEBBA" w14:textId="77777777" w:rsidR="00EC2915" w:rsidRPr="00FA1373" w:rsidRDefault="00EC2915" w:rsidP="00576CFA">
      <w:pPr>
        <w:pStyle w:val="MText"/>
        <w:rPr>
          <w:rFonts w:cstheme="minorHAnsi"/>
        </w:rPr>
      </w:pPr>
    </w:p>
    <w:p w14:paraId="17735630" w14:textId="3387C27D" w:rsidR="00E1050F" w:rsidRPr="00FA1373" w:rsidRDefault="00576CFA" w:rsidP="00F719A8">
      <w:pPr>
        <w:pStyle w:val="MHeader2"/>
        <w:rPr>
          <w:rFonts w:cstheme="minorHAnsi"/>
        </w:rPr>
      </w:pPr>
      <w:r w:rsidRPr="00FA1373">
        <w:rPr>
          <w:rFonts w:cstheme="minorHAnsi"/>
        </w:rPr>
        <w:t>4.f. Treatment of missing values (</w:t>
      </w:r>
      <w:proofErr w:type="spellStart"/>
      <w:r w:rsidRPr="00FA1373">
        <w:rPr>
          <w:rFonts w:cstheme="minorHAnsi"/>
        </w:rPr>
        <w:t>i</w:t>
      </w:r>
      <w:proofErr w:type="spellEnd"/>
      <w:r w:rsidRPr="00FA1373">
        <w:rPr>
          <w:rFonts w:cstheme="minorHAnsi"/>
        </w:rPr>
        <w:t xml:space="preserve">) at country level and (ii) at regional level </w:t>
      </w:r>
      <w:r>
        <w:rPr>
          <w:color w:val="B4B4B4"/>
          <w:sz w:val="20"/>
        </w:rPr>
        <w:t>(IMPUTATION)</w:t>
      </w:r>
    </w:p>
    <w:p w14:paraId="31C250EC" w14:textId="39F90BBC" w:rsidR="00947723" w:rsidRPr="00FA1373" w:rsidRDefault="007B2241" w:rsidP="00947723">
      <w:pPr>
        <w:pStyle w:val="MText"/>
        <w:rPr>
          <w:rFonts w:cstheme="minorHAnsi"/>
        </w:rPr>
      </w:pPr>
      <w:r w:rsidRPr="00FA1373">
        <w:rPr>
          <w:rFonts w:cstheme="minorHAnsi"/>
        </w:rPr>
        <w:t xml:space="preserve">The data is presented as reported by Annex I Parties to the Convention in their </w:t>
      </w:r>
      <w:proofErr w:type="gramStart"/>
      <w:r w:rsidRPr="00FA1373">
        <w:rPr>
          <w:rFonts w:cstheme="minorHAnsi"/>
        </w:rPr>
        <w:t>BRs,</w:t>
      </w:r>
      <w:proofErr w:type="gramEnd"/>
      <w:r w:rsidRPr="00FA1373">
        <w:rPr>
          <w:rFonts w:cstheme="minorHAnsi"/>
        </w:rPr>
        <w:t xml:space="preserve"> no estimates are </w:t>
      </w:r>
      <w:r w:rsidR="00152CF5" w:rsidRPr="00FA1373">
        <w:rPr>
          <w:rFonts w:cstheme="minorHAnsi"/>
        </w:rPr>
        <w:t>produced.</w:t>
      </w:r>
      <w:r w:rsidR="00F74275" w:rsidRPr="00FA1373">
        <w:rPr>
          <w:rFonts w:cstheme="minorHAnsi"/>
        </w:rPr>
        <w:t xml:space="preserve"> </w:t>
      </w:r>
      <w:r w:rsidR="00947723" w:rsidRPr="00FA1373">
        <w:rPr>
          <w:rFonts w:cstheme="minorHAnsi"/>
        </w:rPr>
        <w:t xml:space="preserve">Only Annex II Parties are obligated to report on financial support provided and other Annex I Parties also voluntarily provide this information. Some Parties have not reported across all reporting cycles. </w:t>
      </w:r>
    </w:p>
    <w:p w14:paraId="4358E7F2" w14:textId="56FF015E" w:rsidR="007B2241" w:rsidRPr="00FA1373" w:rsidRDefault="007B2241" w:rsidP="00DA615C">
      <w:pPr>
        <w:pStyle w:val="MText"/>
        <w:rPr>
          <w:rFonts w:cstheme="minorHAnsi"/>
          <w:highlight w:val="yellow"/>
        </w:rPr>
      </w:pPr>
    </w:p>
    <w:p w14:paraId="51FCD280" w14:textId="0DAB30E3" w:rsidR="00E1050F" w:rsidRPr="00FA1373" w:rsidRDefault="00E1050F" w:rsidP="00F719A8">
      <w:pPr>
        <w:pStyle w:val="MHeader2"/>
        <w:rPr>
          <w:rFonts w:cstheme="minorHAnsi"/>
        </w:rPr>
      </w:pPr>
      <w:r w:rsidRPr="00FA1373">
        <w:rPr>
          <w:rFonts w:cstheme="minorHAnsi"/>
        </w:rPr>
        <w:t xml:space="preserve">4.g. </w:t>
      </w:r>
      <w:proofErr w:type="gramStart"/>
      <w:r w:rsidRPr="00FA1373">
        <w:rPr>
          <w:rFonts w:cstheme="minorHAnsi"/>
        </w:rPr>
        <w:t>Regional</w:t>
      </w:r>
      <w:proofErr w:type="gramEnd"/>
      <w:r w:rsidRPr="00FA1373">
        <w:rPr>
          <w:rFonts w:cstheme="minorHAnsi"/>
        </w:rPr>
        <w:t xml:space="preserve"> aggregations </w:t>
      </w:r>
      <w:r>
        <w:rPr>
          <w:color w:val="B4B4B4"/>
          <w:sz w:val="20"/>
        </w:rPr>
        <w:t>(REG_AGG)</w:t>
      </w:r>
    </w:p>
    <w:p w14:paraId="45174ED4" w14:textId="77777777" w:rsidR="007D7C9D" w:rsidRDefault="007D7C9D" w:rsidP="00576CFA">
      <w:pPr>
        <w:pStyle w:val="MText"/>
        <w:rPr>
          <w:rFonts w:cstheme="minorHAnsi"/>
          <w:highlight w:val="yellow"/>
        </w:rPr>
      </w:pPr>
    </w:p>
    <w:p w14:paraId="2EA010B7" w14:textId="77777777" w:rsidR="00EC2915" w:rsidRPr="00FA1373" w:rsidRDefault="00EC2915" w:rsidP="00576CFA">
      <w:pPr>
        <w:pStyle w:val="MText"/>
        <w:rPr>
          <w:rFonts w:cstheme="minorHAnsi"/>
        </w:rPr>
      </w:pPr>
    </w:p>
    <w:p w14:paraId="71213FF2" w14:textId="52980C15" w:rsidR="00E1050F" w:rsidRPr="00FA1373" w:rsidRDefault="00576CFA" w:rsidP="00F719A8">
      <w:pPr>
        <w:pStyle w:val="MHeader2"/>
        <w:rPr>
          <w:rFonts w:cstheme="minorHAnsi"/>
        </w:rPr>
      </w:pPr>
      <w:r w:rsidRPr="00FA1373">
        <w:rPr>
          <w:rFonts w:cstheme="minorHAnsi"/>
        </w:rPr>
        <w:t xml:space="preserve">4.h. Methods and guidance available to countries for the compilation of the data at the national level </w:t>
      </w:r>
      <w:r>
        <w:rPr>
          <w:color w:val="B4B4B4"/>
          <w:sz w:val="20"/>
        </w:rPr>
        <w:t>(DOC_METHOD)</w:t>
      </w:r>
    </w:p>
    <w:p w14:paraId="62ABADF5" w14:textId="20D7AA5D" w:rsidR="00494C00" w:rsidRPr="00FA1373" w:rsidRDefault="00494C00" w:rsidP="00FA1373">
      <w:pPr>
        <w:pStyle w:val="NormalWeb"/>
        <w:rPr>
          <w:rFonts w:asciiTheme="minorHAnsi" w:hAnsiTheme="minorHAnsi" w:cstheme="minorHAnsi"/>
          <w:color w:val="333333"/>
          <w:sz w:val="21"/>
          <w:szCs w:val="21"/>
          <w:lang w:val="en"/>
        </w:rPr>
      </w:pPr>
      <w:r w:rsidRPr="00FA1373">
        <w:rPr>
          <w:rFonts w:asciiTheme="minorHAnsi" w:hAnsiTheme="minorHAnsi" w:cstheme="minorHAnsi"/>
          <w:color w:val="333333"/>
          <w:sz w:val="21"/>
          <w:szCs w:val="21"/>
          <w:lang w:val="en"/>
        </w:rPr>
        <w:t xml:space="preserve">UNFCCC biennial reporting guidelines for developed country Parties, Annex I, </w:t>
      </w:r>
      <w:hyperlink r:id="rId20" w:anchor="page=4" w:tgtFrame="_blank" w:history="1">
        <w:r w:rsidRPr="00FA1373">
          <w:rPr>
            <w:rStyle w:val="Hyperlink"/>
            <w:rFonts w:asciiTheme="minorHAnsi" w:hAnsiTheme="minorHAnsi" w:cstheme="minorHAnsi"/>
            <w:sz w:val="21"/>
            <w:szCs w:val="21"/>
            <w:lang w:val="en"/>
          </w:rPr>
          <w:t>Decision </w:t>
        </w:r>
        <w:r w:rsidRPr="00FA1373">
          <w:rPr>
            <w:rStyle w:val="Hyperlink"/>
            <w:rFonts w:asciiTheme="minorHAnsi" w:eastAsiaTheme="majorEastAsia" w:hAnsiTheme="minorHAnsi" w:cstheme="minorHAnsi"/>
            <w:sz w:val="21"/>
            <w:szCs w:val="21"/>
            <w:lang w:val="en"/>
          </w:rPr>
          <w:t>2/CP.17</w:t>
        </w:r>
      </w:hyperlink>
    </w:p>
    <w:p w14:paraId="6F3D79CD" w14:textId="74E84C27" w:rsidR="00494C00" w:rsidRPr="00FA1373" w:rsidRDefault="00494C00" w:rsidP="00FA1373">
      <w:pPr>
        <w:pStyle w:val="NormalWeb"/>
        <w:rPr>
          <w:rFonts w:asciiTheme="minorHAnsi" w:hAnsiTheme="minorHAnsi" w:cstheme="minorHAnsi"/>
          <w:color w:val="333333"/>
          <w:sz w:val="21"/>
          <w:szCs w:val="21"/>
          <w:lang w:val="en"/>
        </w:rPr>
      </w:pPr>
      <w:r w:rsidRPr="00FA1373">
        <w:rPr>
          <w:rFonts w:asciiTheme="minorHAnsi" w:hAnsiTheme="minorHAnsi" w:cstheme="minorHAnsi"/>
          <w:color w:val="333333"/>
          <w:sz w:val="21"/>
          <w:szCs w:val="21"/>
          <w:lang w:val="en"/>
        </w:rPr>
        <w:lastRenderedPageBreak/>
        <w:t>Biennial Reports Common tabular format (CTF) for “UNFCCC biennial reporting guidelines for developed country Parties”</w:t>
      </w:r>
      <w:r w:rsidR="00FA1373">
        <w:rPr>
          <w:rFonts w:asciiTheme="minorHAnsi" w:hAnsiTheme="minorHAnsi" w:cstheme="minorHAnsi"/>
          <w:color w:val="333333"/>
          <w:sz w:val="21"/>
          <w:szCs w:val="21"/>
          <w:lang w:val="en"/>
        </w:rPr>
        <w:t>,</w:t>
      </w:r>
      <w:r w:rsidRPr="00FA1373">
        <w:rPr>
          <w:rFonts w:asciiTheme="minorHAnsi" w:hAnsiTheme="minorHAnsi" w:cstheme="minorHAnsi"/>
          <w:color w:val="333333"/>
          <w:sz w:val="21"/>
          <w:szCs w:val="21"/>
          <w:lang w:val="en"/>
        </w:rPr>
        <w:t xml:space="preserve"> </w:t>
      </w:r>
      <w:hyperlink r:id="rId21" w:anchor="page=3" w:tgtFrame="_blank" w:history="1">
        <w:proofErr w:type="gramStart"/>
        <w:r w:rsidRPr="00FA1373">
          <w:rPr>
            <w:rStyle w:val="Hyperlink"/>
            <w:rFonts w:asciiTheme="minorHAnsi" w:hAnsiTheme="minorHAnsi" w:cstheme="minorHAnsi"/>
            <w:sz w:val="21"/>
            <w:szCs w:val="21"/>
            <w:lang w:val="en"/>
          </w:rPr>
          <w:t>Decision </w:t>
        </w:r>
        <w:r w:rsidRPr="00FA1373">
          <w:rPr>
            <w:rStyle w:val="Hyperlink"/>
            <w:rFonts w:asciiTheme="minorHAnsi" w:eastAsiaTheme="majorEastAsia" w:hAnsiTheme="minorHAnsi" w:cstheme="minorHAnsi"/>
            <w:sz w:val="21"/>
            <w:szCs w:val="21"/>
            <w:lang w:val="en"/>
          </w:rPr>
          <w:t> 19</w:t>
        </w:r>
        <w:proofErr w:type="gramEnd"/>
        <w:r w:rsidRPr="00FA1373">
          <w:rPr>
            <w:rStyle w:val="Hyperlink"/>
            <w:rFonts w:asciiTheme="minorHAnsi" w:eastAsiaTheme="majorEastAsia" w:hAnsiTheme="minorHAnsi" w:cstheme="minorHAnsi"/>
            <w:sz w:val="21"/>
            <w:szCs w:val="21"/>
            <w:lang w:val="en"/>
          </w:rPr>
          <w:t>/CP.18</w:t>
        </w:r>
      </w:hyperlink>
    </w:p>
    <w:p w14:paraId="61C749EB" w14:textId="3C38B3AB" w:rsidR="00576CFA" w:rsidRPr="00FA1373" w:rsidRDefault="00610539" w:rsidP="00576CFA">
      <w:pPr>
        <w:pStyle w:val="MText"/>
        <w:rPr>
          <w:rFonts w:cstheme="minorHAnsi"/>
        </w:rPr>
      </w:pPr>
      <w:r w:rsidRPr="00FA1373">
        <w:rPr>
          <w:rFonts w:cstheme="minorHAnsi"/>
        </w:rPr>
        <w:t>Methodologies for the reporting of financial information by Parties included in Annex I of the Convention</w:t>
      </w:r>
      <w:r w:rsidR="00FA1373">
        <w:rPr>
          <w:rFonts w:cstheme="minorHAnsi"/>
        </w:rPr>
        <w:t xml:space="preserve">, </w:t>
      </w:r>
      <w:hyperlink r:id="rId22" w:anchor="page=15" w:history="1">
        <w:r w:rsidRPr="00FA1373">
          <w:rPr>
            <w:rStyle w:val="Hyperlink"/>
            <w:rFonts w:cstheme="minorHAnsi"/>
          </w:rPr>
          <w:t>Decision 9/CP.21</w:t>
        </w:r>
      </w:hyperlink>
    </w:p>
    <w:p w14:paraId="2939895F" w14:textId="77777777" w:rsidR="00EC2915" w:rsidRPr="00FA1373" w:rsidRDefault="00EC2915" w:rsidP="00576CFA">
      <w:pPr>
        <w:pStyle w:val="MText"/>
        <w:rPr>
          <w:rFonts w:cstheme="minorHAnsi"/>
        </w:rPr>
      </w:pPr>
    </w:p>
    <w:p w14:paraId="494C36E8" w14:textId="22C3CD05" w:rsidR="00E1050F" w:rsidRPr="00FA1373" w:rsidRDefault="00576CFA" w:rsidP="00F719A8">
      <w:pPr>
        <w:pStyle w:val="MHeader2"/>
        <w:rPr>
          <w:rFonts w:cstheme="minorHAnsi"/>
        </w:rPr>
      </w:pPr>
      <w:r w:rsidRPr="00FA1373">
        <w:rPr>
          <w:rFonts w:cstheme="minorHAnsi"/>
        </w:rPr>
        <w:t xml:space="preserve">4.i. Quality management </w:t>
      </w:r>
      <w:r>
        <w:rPr>
          <w:color w:val="B4B4B4"/>
          <w:sz w:val="20"/>
        </w:rPr>
        <w:t>(QUALITY_MGMNT)</w:t>
      </w:r>
    </w:p>
    <w:p w14:paraId="356BAA24" w14:textId="5D0FCE98" w:rsidR="00576CFA" w:rsidRPr="00FA1373" w:rsidRDefault="00576CFA" w:rsidP="00576CFA">
      <w:pPr>
        <w:pStyle w:val="MText"/>
        <w:rPr>
          <w:rFonts w:cstheme="minorHAnsi"/>
        </w:rPr>
      </w:pPr>
    </w:p>
    <w:p w14:paraId="5484B16D" w14:textId="77777777" w:rsidR="00EC2915" w:rsidRPr="00FA1373" w:rsidRDefault="00EC2915" w:rsidP="00576CFA">
      <w:pPr>
        <w:pStyle w:val="MText"/>
        <w:rPr>
          <w:rFonts w:cstheme="minorHAnsi"/>
        </w:rPr>
      </w:pPr>
    </w:p>
    <w:p w14:paraId="17B979CA" w14:textId="449C0153" w:rsidR="00E1050F" w:rsidRPr="00FA1373" w:rsidRDefault="00E1050F" w:rsidP="00F719A8">
      <w:pPr>
        <w:pStyle w:val="MHeader2"/>
        <w:rPr>
          <w:rFonts w:cstheme="minorHAnsi"/>
        </w:rPr>
      </w:pPr>
      <w:r w:rsidRPr="00FA1373">
        <w:rPr>
          <w:rFonts w:cstheme="minorHAnsi"/>
        </w:rPr>
        <w:t xml:space="preserve">4.j Quality assurance </w:t>
      </w:r>
      <w:r>
        <w:rPr>
          <w:color w:val="B4B4B4"/>
          <w:sz w:val="20"/>
        </w:rPr>
        <w:t>(QUALITY_ASSURE)</w:t>
      </w:r>
    </w:p>
    <w:p w14:paraId="7E6B04E3" w14:textId="42757EB3" w:rsidR="00576CFA" w:rsidRPr="00FA1373" w:rsidRDefault="00576CFA" w:rsidP="00576CFA">
      <w:pPr>
        <w:pStyle w:val="MText"/>
        <w:rPr>
          <w:rFonts w:cstheme="minorHAnsi"/>
        </w:rPr>
      </w:pPr>
    </w:p>
    <w:p w14:paraId="03EF3244" w14:textId="77777777" w:rsidR="00EC2915" w:rsidRPr="00FA1373" w:rsidRDefault="00EC2915" w:rsidP="00576CFA">
      <w:pPr>
        <w:pStyle w:val="MText"/>
        <w:rPr>
          <w:rFonts w:cstheme="minorHAnsi"/>
        </w:rPr>
      </w:pPr>
    </w:p>
    <w:p w14:paraId="34ADD322" w14:textId="1A21C057" w:rsidR="00E1050F" w:rsidRPr="00FA1373" w:rsidRDefault="00576CFA" w:rsidP="00F719A8">
      <w:pPr>
        <w:pStyle w:val="MHeader2"/>
        <w:rPr>
          <w:rFonts w:cstheme="minorHAnsi"/>
        </w:rPr>
      </w:pPr>
      <w:r w:rsidRPr="00FA1373">
        <w:rPr>
          <w:rFonts w:cstheme="minorHAnsi"/>
        </w:rPr>
        <w:t xml:space="preserve">4.k Quality assessment </w:t>
      </w:r>
      <w:r>
        <w:rPr>
          <w:color w:val="B4B4B4"/>
          <w:sz w:val="20"/>
        </w:rPr>
        <w:t>(QUALITY_ASSMNT)</w:t>
      </w:r>
    </w:p>
    <w:p w14:paraId="6AA76230" w14:textId="308A7EEE" w:rsidR="00576CFA" w:rsidRPr="00FA1373" w:rsidRDefault="00576CFA" w:rsidP="00576CFA">
      <w:pPr>
        <w:pStyle w:val="MText"/>
        <w:rPr>
          <w:rFonts w:cstheme="minorHAnsi"/>
        </w:rPr>
      </w:pPr>
    </w:p>
    <w:p w14:paraId="326EB0AB" w14:textId="77777777" w:rsidR="00576CFA" w:rsidRPr="00AB7397" w:rsidRDefault="00576CFA" w:rsidP="00576CFA">
      <w:pPr>
        <w:pStyle w:val="MText"/>
        <w:rPr>
          <w:rFonts w:cstheme="minorHAnsi"/>
        </w:rPr>
      </w:pPr>
    </w:p>
    <w:p w14:paraId="5B7C52CE" w14:textId="77777777" w:rsidR="00576CFA" w:rsidRPr="00597ED1" w:rsidRDefault="00576CFA" w:rsidP="00576CFA">
      <w:pPr>
        <w:pStyle w:val="MText"/>
        <w:rPr>
          <w:rFonts w:cstheme="minorHAnsi"/>
        </w:rPr>
      </w:pPr>
    </w:p>
    <w:p w14:paraId="17787B3C" w14:textId="03FE81A9" w:rsidR="00E1050F" w:rsidRPr="00037198" w:rsidRDefault="00576CFA" w:rsidP="000412A0">
      <w:pPr>
        <w:pStyle w:val="MHeader"/>
        <w:spacing w:after="100"/>
        <w:rPr>
          <w:rFonts w:cstheme="minorHAnsi"/>
        </w:rPr>
      </w:pPr>
      <w:r w:rsidRPr="00037198">
        <w:rPr>
          <w:rFonts w:cstheme="minorHAnsi"/>
        </w:rPr>
        <w:t xml:space="preserve">5. Data availability and disaggregation </w:t>
      </w:r>
      <w:r>
        <w:rPr>
          <w:color w:val="B4B4B4"/>
          <w:sz w:val="20"/>
        </w:rPr>
        <w:t>(COVERAGE)</w:t>
      </w:r>
    </w:p>
    <w:p w14:paraId="464A8CCF" w14:textId="27C17D3B" w:rsidR="00576CFA" w:rsidRPr="00FA1373" w:rsidRDefault="00D51E7C" w:rsidP="00576CFA">
      <w:pPr>
        <w:pStyle w:val="MText"/>
        <w:rPr>
          <w:rFonts w:cstheme="minorHAnsi"/>
        </w:rPr>
      </w:pPr>
      <w:r w:rsidRPr="00FA1373">
        <w:rPr>
          <w:rFonts w:cstheme="minorHAnsi"/>
          <w:b/>
          <w:bCs/>
        </w:rPr>
        <w:t>Data availability</w:t>
      </w:r>
      <w:r w:rsidRPr="00FA1373">
        <w:rPr>
          <w:rFonts w:cstheme="minorHAnsi"/>
        </w:rPr>
        <w:t>:</w:t>
      </w:r>
    </w:p>
    <w:p w14:paraId="601FDEFA" w14:textId="77777777" w:rsidR="00610539" w:rsidRPr="00FA1373" w:rsidRDefault="00610539" w:rsidP="00610539">
      <w:pPr>
        <w:spacing w:after="0"/>
        <w:rPr>
          <w:rFonts w:eastAsia="Times New Roman" w:cstheme="minorHAnsi"/>
          <w:color w:val="4A4A4A"/>
          <w:sz w:val="21"/>
          <w:szCs w:val="21"/>
          <w:lang w:eastAsia="en-GB"/>
        </w:rPr>
      </w:pPr>
      <w:r w:rsidRPr="00FA1373">
        <w:rPr>
          <w:rFonts w:eastAsia="Times New Roman" w:cstheme="minorHAnsi"/>
          <w:color w:val="4A4A4A"/>
          <w:sz w:val="21"/>
          <w:szCs w:val="21"/>
          <w:lang w:eastAsia="en-GB"/>
        </w:rPr>
        <w:t>Biennial Reports of 41 Annex I Parties on financial support provided are available since 2011</w:t>
      </w:r>
    </w:p>
    <w:p w14:paraId="41B9FA55" w14:textId="77777777" w:rsidR="00610539" w:rsidRPr="00FA1373" w:rsidRDefault="00610539" w:rsidP="00610539">
      <w:pPr>
        <w:spacing w:after="0"/>
        <w:rPr>
          <w:rFonts w:eastAsia="Times New Roman" w:cstheme="minorHAnsi"/>
          <w:color w:val="4A4A4A"/>
          <w:sz w:val="21"/>
          <w:szCs w:val="21"/>
          <w:lang w:eastAsia="en-GB"/>
        </w:rPr>
      </w:pPr>
    </w:p>
    <w:p w14:paraId="16C55CBB" w14:textId="77777777" w:rsidR="00610539" w:rsidRPr="00FA1373" w:rsidRDefault="00610539" w:rsidP="00610539">
      <w:pPr>
        <w:keepNext/>
        <w:keepLines/>
        <w:spacing w:after="0"/>
        <w:rPr>
          <w:rFonts w:eastAsia="Times New Roman" w:cstheme="minorHAnsi"/>
          <w:color w:val="4A4A4A"/>
          <w:sz w:val="21"/>
          <w:szCs w:val="21"/>
          <w:lang w:eastAsia="en-GB"/>
        </w:rPr>
      </w:pPr>
      <w:r w:rsidRPr="00FA1373">
        <w:rPr>
          <w:rFonts w:eastAsia="Times New Roman" w:cstheme="minorHAnsi"/>
          <w:b/>
          <w:bCs/>
          <w:color w:val="4A4A4A"/>
          <w:sz w:val="21"/>
          <w:szCs w:val="21"/>
          <w:lang w:eastAsia="en-GB"/>
        </w:rPr>
        <w:t>Time series:</w:t>
      </w:r>
    </w:p>
    <w:p w14:paraId="2C834136" w14:textId="4C344B80" w:rsidR="00610539" w:rsidRPr="00037198" w:rsidRDefault="00610539" w:rsidP="00610539">
      <w:pPr>
        <w:keepNext/>
        <w:keepLines/>
        <w:spacing w:after="0"/>
        <w:rPr>
          <w:rStyle w:val="MTextChar"/>
          <w:rFonts w:eastAsiaTheme="minorEastAsia"/>
        </w:rPr>
      </w:pPr>
      <w:r w:rsidRPr="00FA1373">
        <w:rPr>
          <w:rFonts w:eastAsia="Times New Roman" w:cstheme="minorHAnsi"/>
          <w:color w:val="4A4A4A"/>
          <w:sz w:val="21"/>
          <w:szCs w:val="21"/>
          <w:lang w:eastAsia="en-GB"/>
        </w:rPr>
        <w:t>2011-201</w:t>
      </w:r>
      <w:r w:rsidR="00152CF5" w:rsidRPr="00FA1373">
        <w:rPr>
          <w:rFonts w:eastAsia="Times New Roman" w:cstheme="minorHAnsi"/>
          <w:color w:val="4A4A4A"/>
          <w:sz w:val="21"/>
          <w:szCs w:val="21"/>
          <w:lang w:eastAsia="en-GB"/>
        </w:rPr>
        <w:t>8</w:t>
      </w:r>
      <w:r w:rsidR="00245323" w:rsidRPr="00FA1373">
        <w:rPr>
          <w:rFonts w:eastAsia="Times New Roman" w:cstheme="minorHAnsi"/>
          <w:color w:val="4A4A4A"/>
          <w:sz w:val="21"/>
          <w:szCs w:val="21"/>
          <w:lang w:eastAsia="en-GB"/>
        </w:rPr>
        <w:t xml:space="preserve">. </w:t>
      </w:r>
      <w:r w:rsidR="00245323" w:rsidRPr="00037198">
        <w:rPr>
          <w:rStyle w:val="MTextChar"/>
          <w:rFonts w:eastAsiaTheme="minorEastAsia"/>
        </w:rPr>
        <w:t>Data are annualised.</w:t>
      </w:r>
    </w:p>
    <w:p w14:paraId="760C013A" w14:textId="4597FCBD" w:rsidR="00D51E7C" w:rsidRPr="00FA1373" w:rsidRDefault="00D51E7C" w:rsidP="00576CFA">
      <w:pPr>
        <w:pStyle w:val="MText"/>
        <w:rPr>
          <w:rFonts w:cstheme="minorHAnsi"/>
          <w:highlight w:val="cyan"/>
        </w:rPr>
      </w:pPr>
    </w:p>
    <w:p w14:paraId="0A03324F" w14:textId="3B7ADA59" w:rsidR="00152CF5" w:rsidRPr="00FA1373" w:rsidRDefault="00152CF5" w:rsidP="00152CF5">
      <w:pPr>
        <w:pStyle w:val="MText"/>
        <w:rPr>
          <w:rFonts w:cstheme="minorHAnsi"/>
          <w:b/>
          <w:bCs/>
        </w:rPr>
      </w:pPr>
      <w:r w:rsidRPr="00FA1373">
        <w:rPr>
          <w:rFonts w:cstheme="minorHAnsi"/>
          <w:b/>
          <w:bCs/>
        </w:rPr>
        <w:t>Years of BRs submissions:</w:t>
      </w:r>
    </w:p>
    <w:p w14:paraId="03A07752" w14:textId="020C4DA7" w:rsidR="00152CF5" w:rsidRPr="00FA1373" w:rsidRDefault="00152CF5" w:rsidP="00152CF5">
      <w:pPr>
        <w:pStyle w:val="MText"/>
        <w:rPr>
          <w:rFonts w:cstheme="minorHAnsi"/>
        </w:rPr>
      </w:pPr>
      <w:r w:rsidRPr="00FA1373">
        <w:rPr>
          <w:rFonts w:cstheme="minorHAnsi"/>
        </w:rPr>
        <w:t xml:space="preserve">In 2014, 43 Annex I Parties out of 44 submitted their Biennial Reports (BR1), including </w:t>
      </w:r>
      <w:r w:rsidR="00F53DE6" w:rsidRPr="00FA1373">
        <w:rPr>
          <w:rFonts w:cstheme="minorHAnsi"/>
        </w:rPr>
        <w:t xml:space="preserve">climate finance </w:t>
      </w:r>
      <w:r w:rsidRPr="00FA1373">
        <w:rPr>
          <w:rFonts w:cstheme="minorHAnsi"/>
        </w:rPr>
        <w:t>data for 2011 and 2012.</w:t>
      </w:r>
    </w:p>
    <w:p w14:paraId="6D552FEE" w14:textId="292C09D1" w:rsidR="00152CF5" w:rsidRPr="00FA1373" w:rsidRDefault="00152CF5" w:rsidP="00152CF5">
      <w:pPr>
        <w:pStyle w:val="MText"/>
        <w:rPr>
          <w:rFonts w:cstheme="minorHAnsi"/>
        </w:rPr>
      </w:pPr>
      <w:r w:rsidRPr="00FA1373">
        <w:rPr>
          <w:rFonts w:cstheme="minorHAnsi"/>
        </w:rPr>
        <w:t xml:space="preserve">In 2016, 43 Annex I Parties out of 44 submitted their Biennial Reports (BR2), including </w:t>
      </w:r>
      <w:r w:rsidR="00F53DE6" w:rsidRPr="00FA1373">
        <w:rPr>
          <w:rFonts w:cstheme="minorHAnsi"/>
        </w:rPr>
        <w:t xml:space="preserve">climate finance </w:t>
      </w:r>
      <w:r w:rsidRPr="00FA1373">
        <w:rPr>
          <w:rFonts w:cstheme="minorHAnsi"/>
        </w:rPr>
        <w:t>data for 2013 and 2014.</w:t>
      </w:r>
    </w:p>
    <w:p w14:paraId="4E46BB41" w14:textId="1981532C" w:rsidR="00152CF5" w:rsidRPr="00FA1373" w:rsidRDefault="00152CF5" w:rsidP="00152CF5">
      <w:pPr>
        <w:pStyle w:val="MText"/>
        <w:rPr>
          <w:rFonts w:cstheme="minorHAnsi"/>
        </w:rPr>
      </w:pPr>
      <w:r w:rsidRPr="00FA1373">
        <w:rPr>
          <w:rFonts w:cstheme="minorHAnsi"/>
        </w:rPr>
        <w:t xml:space="preserve">In 2018, 42 Annex I Parties out of 44 submitted their Biennial Reports (BR3), including </w:t>
      </w:r>
      <w:r w:rsidR="00F53DE6" w:rsidRPr="00FA1373">
        <w:rPr>
          <w:rFonts w:cstheme="minorHAnsi"/>
        </w:rPr>
        <w:t xml:space="preserve">climate finance </w:t>
      </w:r>
      <w:r w:rsidRPr="00FA1373">
        <w:rPr>
          <w:rFonts w:cstheme="minorHAnsi"/>
        </w:rPr>
        <w:t>data for 2015 and 2016.</w:t>
      </w:r>
    </w:p>
    <w:p w14:paraId="781CA742" w14:textId="116073F6" w:rsidR="00152CF5" w:rsidRPr="00FA1373" w:rsidRDefault="00152CF5" w:rsidP="00152CF5">
      <w:pPr>
        <w:pStyle w:val="MText"/>
        <w:rPr>
          <w:rFonts w:cstheme="minorHAnsi"/>
        </w:rPr>
      </w:pPr>
      <w:r w:rsidRPr="00FA1373">
        <w:rPr>
          <w:rFonts w:cstheme="minorHAnsi"/>
        </w:rPr>
        <w:t xml:space="preserve">In 2020, 42 Annex I Parties out of 44 submitted their Biennial Reports (BR4), including </w:t>
      </w:r>
      <w:r w:rsidR="00F53DE6" w:rsidRPr="00FA1373">
        <w:rPr>
          <w:rFonts w:cstheme="minorHAnsi"/>
        </w:rPr>
        <w:t xml:space="preserve">climate finance </w:t>
      </w:r>
      <w:r w:rsidRPr="00FA1373">
        <w:rPr>
          <w:rFonts w:cstheme="minorHAnsi"/>
        </w:rPr>
        <w:t xml:space="preserve">data for 2017 and 2018. </w:t>
      </w:r>
    </w:p>
    <w:p w14:paraId="0B844B9B" w14:textId="77777777" w:rsidR="00152CF5" w:rsidRPr="00FA1373" w:rsidRDefault="00152CF5" w:rsidP="00576CFA">
      <w:pPr>
        <w:pStyle w:val="MText"/>
        <w:rPr>
          <w:rFonts w:cstheme="minorHAnsi"/>
        </w:rPr>
      </w:pPr>
    </w:p>
    <w:p w14:paraId="4D0520F7" w14:textId="11F0E737" w:rsidR="00382CF3" w:rsidRPr="00FA1373" w:rsidRDefault="00B31E2C" w:rsidP="000412A0">
      <w:pPr>
        <w:pStyle w:val="MHeader"/>
        <w:spacing w:after="100"/>
        <w:rPr>
          <w:rFonts w:cstheme="minorHAnsi"/>
        </w:rPr>
      </w:pPr>
      <w:r w:rsidRPr="00FA1373">
        <w:rPr>
          <w:rFonts w:cstheme="minorHAnsi"/>
        </w:rPr>
        <w:t xml:space="preserve">6. Comparability / deviation from international standards </w:t>
      </w:r>
      <w:r>
        <w:rPr>
          <w:color w:val="B4B4B4"/>
          <w:sz w:val="20"/>
        </w:rPr>
        <w:t>(COMPARABILITY)</w:t>
      </w:r>
    </w:p>
    <w:p w14:paraId="7DA337B7" w14:textId="18B8E3AB" w:rsidR="005C00CA" w:rsidRPr="00FA1373" w:rsidRDefault="005C00CA" w:rsidP="005C00CA">
      <w:pPr>
        <w:pStyle w:val="MText"/>
        <w:rPr>
          <w:rFonts w:cstheme="minorHAnsi"/>
        </w:rPr>
      </w:pPr>
      <w:r w:rsidRPr="00FA1373">
        <w:rPr>
          <w:rFonts w:cstheme="minorHAnsi"/>
        </w:rPr>
        <w:t xml:space="preserve">There is no agreed definition of climate finance or the methodology on how to account climate finance </w:t>
      </w:r>
      <w:proofErr w:type="gramStart"/>
      <w:r w:rsidRPr="00FA1373">
        <w:rPr>
          <w:rFonts w:cstheme="minorHAnsi"/>
        </w:rPr>
        <w:t>in order to</w:t>
      </w:r>
      <w:proofErr w:type="gramEnd"/>
      <w:r w:rsidRPr="00FA1373">
        <w:rPr>
          <w:rFonts w:cstheme="minorHAnsi"/>
        </w:rPr>
        <w:t xml:space="preserve"> measure progress towards the USD 100bn commitment</w:t>
      </w:r>
      <w:r w:rsidR="00F74275" w:rsidRPr="00FA1373">
        <w:rPr>
          <w:rFonts w:cstheme="minorHAnsi"/>
        </w:rPr>
        <w:t xml:space="preserve"> under the UNFCCC</w:t>
      </w:r>
      <w:r w:rsidRPr="00FA1373">
        <w:rPr>
          <w:rFonts w:cstheme="minorHAnsi"/>
        </w:rPr>
        <w:t>.</w:t>
      </w:r>
    </w:p>
    <w:p w14:paraId="3C2D4870" w14:textId="799D54CC" w:rsidR="00D51E7C" w:rsidRPr="00FA1373" w:rsidRDefault="00D51E7C" w:rsidP="00576CFA">
      <w:pPr>
        <w:pStyle w:val="MText"/>
        <w:rPr>
          <w:rFonts w:cstheme="minorHAnsi"/>
        </w:rPr>
      </w:pPr>
    </w:p>
    <w:p w14:paraId="76DF099C" w14:textId="703C09F1" w:rsidR="00382CF3" w:rsidRPr="00FA1373" w:rsidRDefault="00576CFA" w:rsidP="000412A0">
      <w:pPr>
        <w:pStyle w:val="MHeader"/>
        <w:spacing w:after="100"/>
        <w:rPr>
          <w:rFonts w:cstheme="minorHAnsi"/>
        </w:rPr>
      </w:pPr>
      <w:r w:rsidRPr="00FA1373">
        <w:rPr>
          <w:rFonts w:cstheme="minorHAnsi"/>
        </w:rPr>
        <w:t xml:space="preserve">7. References and Documentation </w:t>
      </w:r>
      <w:r>
        <w:rPr>
          <w:color w:val="B4B4B4"/>
          <w:sz w:val="20"/>
        </w:rPr>
        <w:t>(OTHER_DOC)</w:t>
      </w:r>
    </w:p>
    <w:p w14:paraId="0A835793" w14:textId="36D77BD4" w:rsidR="00BD4574" w:rsidRPr="00FA1373" w:rsidRDefault="00BD4574" w:rsidP="00BD4574">
      <w:pPr>
        <w:pStyle w:val="NormalWeb"/>
        <w:numPr>
          <w:ilvl w:val="0"/>
          <w:numId w:val="5"/>
        </w:numPr>
        <w:spacing w:after="0"/>
        <w:ind w:left="714" w:hanging="357"/>
        <w:rPr>
          <w:rFonts w:asciiTheme="minorHAnsi" w:hAnsiTheme="minorHAnsi" w:cstheme="minorHAnsi"/>
          <w:color w:val="333333"/>
          <w:sz w:val="21"/>
          <w:szCs w:val="21"/>
          <w:lang w:val="en"/>
        </w:rPr>
      </w:pPr>
      <w:r w:rsidRPr="00FA1373">
        <w:rPr>
          <w:rFonts w:asciiTheme="minorHAnsi" w:hAnsiTheme="minorHAnsi" w:cstheme="minorHAnsi"/>
          <w:color w:val="333333"/>
          <w:sz w:val="21"/>
          <w:szCs w:val="21"/>
          <w:lang w:val="en"/>
        </w:rPr>
        <w:t>UNFCCC biennial reporting guidelines for developed country Parties, Annex I</w:t>
      </w:r>
      <w:r>
        <w:rPr>
          <w:rFonts w:asciiTheme="minorHAnsi" w:hAnsiTheme="minorHAnsi" w:cstheme="minorHAnsi"/>
          <w:color w:val="333333"/>
          <w:sz w:val="21"/>
          <w:szCs w:val="21"/>
          <w:lang w:val="en"/>
        </w:rPr>
        <w:t>:</w:t>
      </w:r>
      <w:r w:rsidRPr="00FA1373">
        <w:rPr>
          <w:rFonts w:asciiTheme="minorHAnsi" w:hAnsiTheme="minorHAnsi" w:cstheme="minorHAnsi"/>
          <w:color w:val="333333"/>
          <w:sz w:val="21"/>
          <w:szCs w:val="21"/>
          <w:lang w:val="en"/>
        </w:rPr>
        <w:t xml:space="preserve"> </w:t>
      </w:r>
      <w:hyperlink r:id="rId23" w:anchor="page=4" w:tgtFrame="_blank" w:history="1">
        <w:r w:rsidRPr="00FA1373">
          <w:rPr>
            <w:rStyle w:val="Hyperlink"/>
            <w:rFonts w:asciiTheme="minorHAnsi" w:hAnsiTheme="minorHAnsi" w:cstheme="minorHAnsi"/>
            <w:sz w:val="21"/>
            <w:szCs w:val="21"/>
            <w:lang w:val="en"/>
          </w:rPr>
          <w:t>Decision </w:t>
        </w:r>
        <w:r w:rsidRPr="00FA1373">
          <w:rPr>
            <w:rStyle w:val="Hyperlink"/>
            <w:rFonts w:asciiTheme="minorHAnsi" w:eastAsiaTheme="majorEastAsia" w:hAnsiTheme="minorHAnsi" w:cstheme="minorHAnsi"/>
            <w:sz w:val="21"/>
            <w:szCs w:val="21"/>
            <w:lang w:val="en"/>
          </w:rPr>
          <w:t>2/CP.17</w:t>
        </w:r>
      </w:hyperlink>
    </w:p>
    <w:p w14:paraId="6BC369E2" w14:textId="028B0B1B" w:rsidR="00BD4574" w:rsidRPr="00FA1373" w:rsidRDefault="00BD4574" w:rsidP="00BD4574">
      <w:pPr>
        <w:pStyle w:val="NormalWeb"/>
        <w:numPr>
          <w:ilvl w:val="0"/>
          <w:numId w:val="5"/>
        </w:numPr>
        <w:spacing w:after="0"/>
        <w:ind w:left="714" w:hanging="357"/>
        <w:rPr>
          <w:rFonts w:asciiTheme="minorHAnsi" w:hAnsiTheme="minorHAnsi" w:cstheme="minorHAnsi"/>
          <w:color w:val="333333"/>
          <w:sz w:val="21"/>
          <w:szCs w:val="21"/>
          <w:lang w:val="en"/>
        </w:rPr>
      </w:pPr>
      <w:r w:rsidRPr="00FA1373">
        <w:rPr>
          <w:rFonts w:asciiTheme="minorHAnsi" w:hAnsiTheme="minorHAnsi" w:cstheme="minorHAnsi"/>
          <w:color w:val="333333"/>
          <w:sz w:val="21"/>
          <w:szCs w:val="21"/>
          <w:lang w:val="en"/>
        </w:rPr>
        <w:lastRenderedPageBreak/>
        <w:t>Biennial Reports Common tabular format (CTF) for “UNFCCC biennial reporting guidelines for developed country Parties”</w:t>
      </w:r>
      <w:r>
        <w:rPr>
          <w:rFonts w:asciiTheme="minorHAnsi" w:hAnsiTheme="minorHAnsi" w:cstheme="minorHAnsi"/>
          <w:color w:val="333333"/>
          <w:sz w:val="21"/>
          <w:szCs w:val="21"/>
          <w:lang w:val="en"/>
        </w:rPr>
        <w:t>:</w:t>
      </w:r>
      <w:r w:rsidRPr="00FA1373">
        <w:rPr>
          <w:rFonts w:asciiTheme="minorHAnsi" w:hAnsiTheme="minorHAnsi" w:cstheme="minorHAnsi"/>
          <w:color w:val="333333"/>
          <w:sz w:val="21"/>
          <w:szCs w:val="21"/>
          <w:lang w:val="en"/>
        </w:rPr>
        <w:t xml:space="preserve"> </w:t>
      </w:r>
      <w:hyperlink r:id="rId24" w:anchor="page=3" w:tgtFrame="_blank" w:history="1">
        <w:proofErr w:type="gramStart"/>
        <w:r w:rsidRPr="00FA1373">
          <w:rPr>
            <w:rStyle w:val="Hyperlink"/>
            <w:rFonts w:asciiTheme="minorHAnsi" w:hAnsiTheme="minorHAnsi" w:cstheme="minorHAnsi"/>
            <w:sz w:val="21"/>
            <w:szCs w:val="21"/>
            <w:lang w:val="en"/>
          </w:rPr>
          <w:t>Decision </w:t>
        </w:r>
        <w:r w:rsidRPr="00FA1373">
          <w:rPr>
            <w:rStyle w:val="Hyperlink"/>
            <w:rFonts w:asciiTheme="minorHAnsi" w:eastAsiaTheme="majorEastAsia" w:hAnsiTheme="minorHAnsi" w:cstheme="minorHAnsi"/>
            <w:sz w:val="21"/>
            <w:szCs w:val="21"/>
            <w:lang w:val="en"/>
          </w:rPr>
          <w:t> 19</w:t>
        </w:r>
        <w:proofErr w:type="gramEnd"/>
        <w:r w:rsidRPr="00FA1373">
          <w:rPr>
            <w:rStyle w:val="Hyperlink"/>
            <w:rFonts w:asciiTheme="minorHAnsi" w:eastAsiaTheme="majorEastAsia" w:hAnsiTheme="minorHAnsi" w:cstheme="minorHAnsi"/>
            <w:sz w:val="21"/>
            <w:szCs w:val="21"/>
            <w:lang w:val="en"/>
          </w:rPr>
          <w:t>/CP.18</w:t>
        </w:r>
      </w:hyperlink>
    </w:p>
    <w:p w14:paraId="3FC919A0" w14:textId="3993F200" w:rsidR="005C00CA" w:rsidRPr="00FA1373" w:rsidRDefault="005C00CA" w:rsidP="00BD4574">
      <w:pPr>
        <w:pStyle w:val="ListParagraph"/>
        <w:numPr>
          <w:ilvl w:val="0"/>
          <w:numId w:val="5"/>
        </w:numPr>
        <w:shd w:val="clear" w:color="auto" w:fill="FFFFFF"/>
        <w:spacing w:after="0"/>
        <w:ind w:left="714" w:hanging="357"/>
        <w:rPr>
          <w:rFonts w:eastAsia="Times New Roman" w:cstheme="minorHAnsi"/>
          <w:color w:val="4A4A4A"/>
          <w:sz w:val="21"/>
          <w:szCs w:val="21"/>
          <w:lang w:eastAsia="en-GB"/>
        </w:rPr>
      </w:pPr>
      <w:r w:rsidRPr="00037198">
        <w:rPr>
          <w:rStyle w:val="MTextChar"/>
          <w:rFonts w:eastAsiaTheme="minorEastAsia"/>
        </w:rPr>
        <w:t xml:space="preserve">Biennial Reports by Annex I Parties to be submitted </w:t>
      </w:r>
      <w:r w:rsidR="00CC2550" w:rsidRPr="00037198">
        <w:rPr>
          <w:rStyle w:val="MTextChar"/>
          <w:rFonts w:eastAsiaTheme="minorEastAsia"/>
        </w:rPr>
        <w:t>until</w:t>
      </w:r>
      <w:r w:rsidRPr="00037198">
        <w:rPr>
          <w:rStyle w:val="MTextChar"/>
          <w:rFonts w:eastAsiaTheme="minorEastAsia"/>
        </w:rPr>
        <w:t xml:space="preserve"> 2022:</w:t>
      </w:r>
      <w:r w:rsidRPr="00FA1373">
        <w:rPr>
          <w:rFonts w:eastAsia="Times New Roman" w:cstheme="minorHAnsi"/>
          <w:color w:val="000000" w:themeColor="text1"/>
          <w:sz w:val="21"/>
          <w:szCs w:val="21"/>
          <w:lang w:eastAsia="en-GB"/>
        </w:rPr>
        <w:t xml:space="preserve"> </w:t>
      </w:r>
      <w:hyperlink r:id="rId25" w:history="1">
        <w:r w:rsidRPr="00FA1373">
          <w:rPr>
            <w:rStyle w:val="Hyperlink"/>
            <w:rFonts w:eastAsia="Times New Roman" w:cstheme="minorHAnsi"/>
            <w:i/>
            <w:sz w:val="21"/>
            <w:szCs w:val="21"/>
            <w:lang w:eastAsia="en-GB"/>
          </w:rPr>
          <w:t>https://unfccc.int/BRs</w:t>
        </w:r>
      </w:hyperlink>
      <w:r w:rsidRPr="00037198">
        <w:rPr>
          <w:rStyle w:val="MTextChar"/>
          <w:rFonts w:eastAsiaTheme="minorEastAsia"/>
        </w:rPr>
        <w:t xml:space="preserve">, and Biennial Transparency Reports by developed as well as developing country Parties to be reported under Paris Agreement from 2024 onwards:  </w:t>
      </w:r>
      <w:hyperlink r:id="rId26" w:history="1">
        <w:r w:rsidRPr="00FA1373">
          <w:rPr>
            <w:rStyle w:val="Hyperlink"/>
            <w:rFonts w:cstheme="minorHAnsi"/>
          </w:rPr>
          <w:t>https://unfccc.int/process-and-meetings/transparency-and-reporting/reporting-and-review-under-the-paris-agreement</w:t>
        </w:r>
      </w:hyperlink>
    </w:p>
    <w:p w14:paraId="1F208838" w14:textId="77777777" w:rsidR="00CC2550" w:rsidRPr="00FA1373" w:rsidRDefault="00CC2550" w:rsidP="00BD4574">
      <w:pPr>
        <w:pStyle w:val="ListParagraph"/>
        <w:numPr>
          <w:ilvl w:val="0"/>
          <w:numId w:val="5"/>
        </w:numPr>
        <w:shd w:val="clear" w:color="auto" w:fill="FFFFFF"/>
        <w:spacing w:after="0"/>
        <w:ind w:left="714" w:hanging="357"/>
        <w:rPr>
          <w:rFonts w:eastAsia="Times New Roman" w:cstheme="minorHAnsi"/>
          <w:color w:val="4A4A4A"/>
          <w:sz w:val="21"/>
          <w:szCs w:val="21"/>
          <w:lang w:eastAsia="en-GB"/>
        </w:rPr>
      </w:pPr>
      <w:r w:rsidRPr="00037198">
        <w:rPr>
          <w:rStyle w:val="MTextChar"/>
          <w:rFonts w:eastAsiaTheme="minorEastAsia"/>
        </w:rPr>
        <w:t>Compilation and synthesis of the fourth Biennial Reports (BR4):</w:t>
      </w:r>
      <w:r w:rsidRPr="00FA1373">
        <w:rPr>
          <w:rFonts w:eastAsia="Times New Roman" w:cstheme="minorHAnsi"/>
          <w:color w:val="000000" w:themeColor="text1"/>
          <w:sz w:val="21"/>
          <w:szCs w:val="21"/>
          <w:lang w:eastAsia="en-GB"/>
        </w:rPr>
        <w:t xml:space="preserve"> </w:t>
      </w:r>
      <w:hyperlink r:id="rId27" w:history="1">
        <w:r w:rsidRPr="00FA1373">
          <w:rPr>
            <w:rStyle w:val="Hyperlink"/>
            <w:rFonts w:eastAsia="Times New Roman" w:cstheme="minorHAnsi"/>
            <w:sz w:val="21"/>
            <w:szCs w:val="21"/>
            <w:lang w:eastAsia="en-GB"/>
          </w:rPr>
          <w:t>https://unfccc.int/CandS-report-2020</w:t>
        </w:r>
      </w:hyperlink>
    </w:p>
    <w:p w14:paraId="20E8D902" w14:textId="77777777" w:rsidR="005C00CA" w:rsidRPr="00FA1373" w:rsidRDefault="005C00CA" w:rsidP="00BD4574">
      <w:pPr>
        <w:pStyle w:val="ListParagraph"/>
        <w:numPr>
          <w:ilvl w:val="0"/>
          <w:numId w:val="5"/>
        </w:numPr>
        <w:shd w:val="clear" w:color="auto" w:fill="FFFFFF"/>
        <w:spacing w:after="0"/>
        <w:ind w:left="714" w:hanging="357"/>
        <w:rPr>
          <w:rFonts w:eastAsia="Times New Roman" w:cstheme="minorHAnsi"/>
          <w:color w:val="4A4A4A"/>
          <w:sz w:val="21"/>
          <w:szCs w:val="21"/>
          <w:lang w:eastAsia="en-GB"/>
        </w:rPr>
      </w:pPr>
      <w:r w:rsidRPr="00037198">
        <w:rPr>
          <w:rStyle w:val="MTextChar"/>
          <w:rFonts w:eastAsiaTheme="minorEastAsia"/>
        </w:rPr>
        <w:t>Biennial Assessment and Overview of Climate Finance Flows is a report prepared under the Standing Committee on Finance by the UNFCCC and includes a compilation of the data on financial support provided to developing countries by Annex I Parties. Each Party reports climate-specific finance provided and the underlying assumption and methodologies used:</w:t>
      </w:r>
      <w:r w:rsidRPr="00FA1373">
        <w:rPr>
          <w:rFonts w:eastAsia="Times New Roman" w:cstheme="minorHAnsi"/>
          <w:color w:val="000000" w:themeColor="text1"/>
          <w:sz w:val="21"/>
          <w:szCs w:val="21"/>
          <w:lang w:eastAsia="en-GB"/>
        </w:rPr>
        <w:t xml:space="preserve"> </w:t>
      </w:r>
      <w:hyperlink r:id="rId28" w:history="1">
        <w:r w:rsidRPr="00FA1373">
          <w:rPr>
            <w:rStyle w:val="Hyperlink"/>
            <w:rFonts w:eastAsia="Times New Roman" w:cstheme="minorHAnsi"/>
            <w:i/>
            <w:sz w:val="21"/>
            <w:szCs w:val="21"/>
            <w:lang w:eastAsia="en-GB"/>
          </w:rPr>
          <w:t>https://unfccc.int/topics/climate-finance/resources/biennial-assessment-of-climate-finance</w:t>
        </w:r>
      </w:hyperlink>
      <w:r w:rsidRPr="00FA1373">
        <w:rPr>
          <w:rFonts w:eastAsia="Times New Roman" w:cstheme="minorHAnsi"/>
          <w:i/>
          <w:color w:val="4A4A4A"/>
          <w:sz w:val="21"/>
          <w:szCs w:val="21"/>
          <w:lang w:eastAsia="en-GB"/>
        </w:rPr>
        <w:t>.</w:t>
      </w:r>
    </w:p>
    <w:p w14:paraId="1FD9D8F3" w14:textId="3D261E2B" w:rsidR="005C00CA" w:rsidRPr="00FA1373" w:rsidRDefault="005C00CA" w:rsidP="00BD4574">
      <w:pPr>
        <w:pStyle w:val="ListParagraph"/>
        <w:numPr>
          <w:ilvl w:val="0"/>
          <w:numId w:val="5"/>
        </w:numPr>
        <w:shd w:val="clear" w:color="auto" w:fill="FFFFFF"/>
        <w:spacing w:after="0"/>
        <w:ind w:left="714" w:hanging="357"/>
        <w:rPr>
          <w:rFonts w:eastAsia="Times New Roman" w:cstheme="minorHAnsi"/>
          <w:color w:val="4A4A4A"/>
          <w:sz w:val="21"/>
          <w:szCs w:val="21"/>
          <w:lang w:eastAsia="en-GB"/>
        </w:rPr>
      </w:pPr>
      <w:r w:rsidRPr="00037198">
        <w:rPr>
          <w:rStyle w:val="MTextChar"/>
          <w:rFonts w:eastAsiaTheme="minorEastAsia"/>
        </w:rPr>
        <w:t xml:space="preserve">Statement by 18 Donor States Determined to Commit USD100 </w:t>
      </w:r>
      <w:r w:rsidR="00E42913" w:rsidRPr="00037198">
        <w:rPr>
          <w:rStyle w:val="MTextChar"/>
          <w:rFonts w:eastAsiaTheme="minorEastAsia"/>
        </w:rPr>
        <w:t>Billion</w:t>
      </w:r>
      <w:r w:rsidRPr="00037198">
        <w:rPr>
          <w:rStyle w:val="MTextChar"/>
          <w:rFonts w:eastAsiaTheme="minorEastAsia"/>
        </w:rPr>
        <w:t xml:space="preserve"> for Climate Finance: </w:t>
      </w:r>
      <w:hyperlink r:id="rId29" w:history="1">
        <w:r w:rsidRPr="00FA1373">
          <w:rPr>
            <w:rStyle w:val="Hyperlink"/>
            <w:rFonts w:eastAsia="Times New Roman" w:cstheme="minorHAnsi"/>
            <w:sz w:val="21"/>
            <w:szCs w:val="21"/>
            <w:lang w:eastAsia="en-GB"/>
          </w:rPr>
          <w:t>https://unfccc.int/news/18-industrial-states-release-climate-finance-statement</w:t>
        </w:r>
      </w:hyperlink>
    </w:p>
    <w:p w14:paraId="384B0992" w14:textId="36889691" w:rsidR="00186795" w:rsidRPr="00FA1373" w:rsidRDefault="00186795">
      <w:pPr>
        <w:rPr>
          <w:rFonts w:cstheme="minorHAnsi"/>
        </w:rPr>
      </w:pPr>
    </w:p>
    <w:sectPr w:rsidR="00186795" w:rsidRPr="00FA1373">
      <w:headerReference w:type="default" r:id="rId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F80C5" w14:textId="77777777" w:rsidR="00183934" w:rsidRDefault="00183934" w:rsidP="00573C0B">
      <w:pPr>
        <w:spacing w:after="0" w:line="240" w:lineRule="auto"/>
      </w:pPr>
      <w:r>
        <w:separator/>
      </w:r>
    </w:p>
  </w:endnote>
  <w:endnote w:type="continuationSeparator" w:id="0">
    <w:p w14:paraId="2C318443" w14:textId="77777777" w:rsidR="00183934" w:rsidRDefault="00183934" w:rsidP="00573C0B">
      <w:pPr>
        <w:spacing w:after="0" w:line="240" w:lineRule="auto"/>
      </w:pPr>
      <w:r>
        <w:continuationSeparator/>
      </w:r>
    </w:p>
  </w:endnote>
  <w:endnote w:type="continuationNotice" w:id="1">
    <w:p w14:paraId="1599CDFF" w14:textId="77777777" w:rsidR="00183934" w:rsidRDefault="001839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2BE88" w14:textId="77777777" w:rsidR="00183934" w:rsidRDefault="00183934" w:rsidP="00573C0B">
      <w:pPr>
        <w:spacing w:after="0" w:line="240" w:lineRule="auto"/>
      </w:pPr>
      <w:r>
        <w:separator/>
      </w:r>
    </w:p>
  </w:footnote>
  <w:footnote w:type="continuationSeparator" w:id="0">
    <w:p w14:paraId="57CD94E5" w14:textId="77777777" w:rsidR="00183934" w:rsidRDefault="00183934" w:rsidP="00573C0B">
      <w:pPr>
        <w:spacing w:after="0" w:line="240" w:lineRule="auto"/>
      </w:pPr>
      <w:r>
        <w:continuationSeparator/>
      </w:r>
    </w:p>
  </w:footnote>
  <w:footnote w:type="continuationNotice" w:id="1">
    <w:p w14:paraId="22590860" w14:textId="77777777" w:rsidR="00183934" w:rsidRDefault="00183934">
      <w:pPr>
        <w:spacing w:after="0" w:line="240" w:lineRule="auto"/>
      </w:pPr>
    </w:p>
  </w:footnote>
  <w:footnote w:id="2">
    <w:p w14:paraId="47299DB1" w14:textId="09D475B2" w:rsidR="008C280A" w:rsidRPr="008C280A" w:rsidRDefault="008C280A">
      <w:pPr>
        <w:pStyle w:val="FootnoteText"/>
        <w:rPr>
          <w:lang w:val="en-US"/>
        </w:rPr>
      </w:pPr>
      <w:r>
        <w:rPr>
          <w:rStyle w:val="FootnoteReference"/>
        </w:rPr>
        <w:footnoteRef/>
      </w:r>
      <w:r>
        <w:t xml:space="preserve"> </w:t>
      </w:r>
      <w:r>
        <w:rPr>
          <w:lang w:val="en-US"/>
        </w:rPr>
        <w:t xml:space="preserve">Available at: </w:t>
      </w:r>
      <w:hyperlink r:id="rId1" w:anchor="eq-1" w:history="1">
        <w:r w:rsidRPr="00D444D4">
          <w:rPr>
            <w:rStyle w:val="Hyperlink"/>
            <w:lang w:val="en-US"/>
          </w:rPr>
          <w:t>https://unfccc.int/process-and-meetings/transparency-and-reporting/reporting-and-review-under-the-convention/national-communications-and-biennial-reports-annex-i-parties/compilation-and-synthesis-reports/compilation-and-synthesis-reports-of-parties-included-in-annex-i-to#eq-1</w:t>
        </w:r>
      </w:hyperlink>
    </w:p>
  </w:footnote>
  <w:footnote w:id="3">
    <w:p w14:paraId="3C4CF758" w14:textId="1D61CD67" w:rsidR="00DB1F13" w:rsidRPr="000C055A" w:rsidRDefault="00DB1F13">
      <w:pPr>
        <w:pStyle w:val="FootnoteText"/>
        <w:rPr>
          <w:lang w:val="en-US"/>
        </w:rPr>
      </w:pPr>
      <w:r>
        <w:rPr>
          <w:rStyle w:val="FootnoteReference"/>
        </w:rPr>
        <w:footnoteRef/>
      </w:r>
      <w:r>
        <w:t xml:space="preserve"> Available at: </w:t>
      </w:r>
      <w:r w:rsidRPr="00DB1F13">
        <w:rPr>
          <w:rFonts w:cstheme="minorHAnsi"/>
        </w:rPr>
        <w:t>https://unfccc.int/BRs</w:t>
      </w:r>
    </w:p>
  </w:footnote>
  <w:footnote w:id="4">
    <w:p w14:paraId="498383F0" w14:textId="77777777" w:rsidR="00947723" w:rsidRDefault="00947723" w:rsidP="00947723">
      <w:pPr>
        <w:pStyle w:val="FootnoteText"/>
        <w:rPr>
          <w:lang w:val="en-US"/>
        </w:rPr>
      </w:pPr>
      <w:r>
        <w:rPr>
          <w:rStyle w:val="FootnoteReference"/>
        </w:rPr>
        <w:footnoteRef/>
      </w:r>
      <w:r>
        <w:t xml:space="preserve"> </w:t>
      </w:r>
      <w:r>
        <w:rPr>
          <w:lang w:val="en-US"/>
        </w:rPr>
        <w:t xml:space="preserve">Available at: </w:t>
      </w:r>
      <w:hyperlink r:id="rId2" w:anchor="eq-1" w:history="1">
        <w:r w:rsidRPr="00D444D4">
          <w:rPr>
            <w:rStyle w:val="Hyperlink"/>
            <w:lang w:val="en-US"/>
          </w:rPr>
          <w:t>https://unfccc.int/process-and-meetings/transparency-and-reporting/reporting-and-review-under-the-convention/national-communications-and-biennial-reports-annex-i-parties/compilation-and-synthesis-reports/compilation-and-synthesis-reports-of-parties-included-in-annex-i-to#eq-1</w:t>
        </w:r>
      </w:hyperlink>
    </w:p>
    <w:p w14:paraId="55696028" w14:textId="77777777" w:rsidR="00947723" w:rsidRPr="003D4771" w:rsidRDefault="00947723" w:rsidP="00947723">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1BBEA9F"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830A6C">
      <w:rPr>
        <w:color w:val="404040" w:themeColor="text1" w:themeTint="BF"/>
        <w:sz w:val="18"/>
        <w:szCs w:val="18"/>
      </w:rPr>
      <w:t>2021</w:t>
    </w:r>
    <w:r w:rsidR="00FA2F74">
      <w:rPr>
        <w:color w:val="404040" w:themeColor="text1" w:themeTint="BF"/>
        <w:sz w:val="18"/>
        <w:szCs w:val="18"/>
      </w:rPr>
      <w:t>-03-01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45FBA"/>
    <w:multiLevelType w:val="hybridMultilevel"/>
    <w:tmpl w:val="871E3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1F7E6A"/>
    <w:multiLevelType w:val="multilevel"/>
    <w:tmpl w:val="0D8E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82AE1"/>
    <w:multiLevelType w:val="multilevel"/>
    <w:tmpl w:val="61CA0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7198"/>
    <w:rsid w:val="000412A0"/>
    <w:rsid w:val="00047DDA"/>
    <w:rsid w:val="0005455A"/>
    <w:rsid w:val="00071F07"/>
    <w:rsid w:val="0007759D"/>
    <w:rsid w:val="000777AB"/>
    <w:rsid w:val="00077F46"/>
    <w:rsid w:val="00090FB1"/>
    <w:rsid w:val="00096186"/>
    <w:rsid w:val="000A72E4"/>
    <w:rsid w:val="000B0E2F"/>
    <w:rsid w:val="000B2430"/>
    <w:rsid w:val="000C055A"/>
    <w:rsid w:val="000D0B30"/>
    <w:rsid w:val="000D65C1"/>
    <w:rsid w:val="000E21F1"/>
    <w:rsid w:val="000F703E"/>
    <w:rsid w:val="00120E86"/>
    <w:rsid w:val="00125DE9"/>
    <w:rsid w:val="001332E0"/>
    <w:rsid w:val="00134DE7"/>
    <w:rsid w:val="00152CF5"/>
    <w:rsid w:val="001641B9"/>
    <w:rsid w:val="00183934"/>
    <w:rsid w:val="00185354"/>
    <w:rsid w:val="001854DC"/>
    <w:rsid w:val="00186795"/>
    <w:rsid w:val="00194D09"/>
    <w:rsid w:val="001A7D5C"/>
    <w:rsid w:val="001B60AA"/>
    <w:rsid w:val="001B63C8"/>
    <w:rsid w:val="001C1972"/>
    <w:rsid w:val="001C25FF"/>
    <w:rsid w:val="001C421F"/>
    <w:rsid w:val="001D360D"/>
    <w:rsid w:val="00245323"/>
    <w:rsid w:val="00261A8D"/>
    <w:rsid w:val="00283C1C"/>
    <w:rsid w:val="00291A00"/>
    <w:rsid w:val="00291A11"/>
    <w:rsid w:val="002A315C"/>
    <w:rsid w:val="002A3342"/>
    <w:rsid w:val="002A64BA"/>
    <w:rsid w:val="002B4989"/>
    <w:rsid w:val="002B55BD"/>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D4771"/>
    <w:rsid w:val="003F0BD3"/>
    <w:rsid w:val="003F278A"/>
    <w:rsid w:val="003F7A02"/>
    <w:rsid w:val="00401562"/>
    <w:rsid w:val="00411E10"/>
    <w:rsid w:val="00422EA5"/>
    <w:rsid w:val="00422EFA"/>
    <w:rsid w:val="0042791F"/>
    <w:rsid w:val="004456ED"/>
    <w:rsid w:val="0048045A"/>
    <w:rsid w:val="004841B8"/>
    <w:rsid w:val="004930F2"/>
    <w:rsid w:val="00494C00"/>
    <w:rsid w:val="004B0F1C"/>
    <w:rsid w:val="004D2F68"/>
    <w:rsid w:val="004F2EE6"/>
    <w:rsid w:val="00502DBA"/>
    <w:rsid w:val="005040C4"/>
    <w:rsid w:val="00507637"/>
    <w:rsid w:val="00507852"/>
    <w:rsid w:val="00514DBF"/>
    <w:rsid w:val="005310D3"/>
    <w:rsid w:val="00550921"/>
    <w:rsid w:val="00563712"/>
    <w:rsid w:val="00573631"/>
    <w:rsid w:val="00573C0B"/>
    <w:rsid w:val="00576CFA"/>
    <w:rsid w:val="0058556D"/>
    <w:rsid w:val="00592AF2"/>
    <w:rsid w:val="005947AD"/>
    <w:rsid w:val="00597748"/>
    <w:rsid w:val="005979E8"/>
    <w:rsid w:val="00597ED1"/>
    <w:rsid w:val="005C00CA"/>
    <w:rsid w:val="005D0AF4"/>
    <w:rsid w:val="005E54BD"/>
    <w:rsid w:val="005F6CCA"/>
    <w:rsid w:val="006104AF"/>
    <w:rsid w:val="00610539"/>
    <w:rsid w:val="00621893"/>
    <w:rsid w:val="006351E1"/>
    <w:rsid w:val="006447B1"/>
    <w:rsid w:val="00662775"/>
    <w:rsid w:val="006852FC"/>
    <w:rsid w:val="006B40AB"/>
    <w:rsid w:val="006B5DC5"/>
    <w:rsid w:val="006C4BFD"/>
    <w:rsid w:val="006C7D30"/>
    <w:rsid w:val="006D3B10"/>
    <w:rsid w:val="006E3C08"/>
    <w:rsid w:val="00700ACF"/>
    <w:rsid w:val="00712487"/>
    <w:rsid w:val="007530CA"/>
    <w:rsid w:val="00756D68"/>
    <w:rsid w:val="007578D9"/>
    <w:rsid w:val="00757E8A"/>
    <w:rsid w:val="00763E43"/>
    <w:rsid w:val="00764EB5"/>
    <w:rsid w:val="00777A95"/>
    <w:rsid w:val="00782416"/>
    <w:rsid w:val="007B0364"/>
    <w:rsid w:val="007B2241"/>
    <w:rsid w:val="007D0981"/>
    <w:rsid w:val="007D1929"/>
    <w:rsid w:val="007D1E8C"/>
    <w:rsid w:val="007D7C9D"/>
    <w:rsid w:val="00803CF1"/>
    <w:rsid w:val="008104BB"/>
    <w:rsid w:val="008249C5"/>
    <w:rsid w:val="0082684D"/>
    <w:rsid w:val="00830A6C"/>
    <w:rsid w:val="008526F9"/>
    <w:rsid w:val="0085285E"/>
    <w:rsid w:val="00853023"/>
    <w:rsid w:val="008534D4"/>
    <w:rsid w:val="00881E28"/>
    <w:rsid w:val="00894C4B"/>
    <w:rsid w:val="008A12E3"/>
    <w:rsid w:val="008A42FA"/>
    <w:rsid w:val="008B0AC7"/>
    <w:rsid w:val="008B5D87"/>
    <w:rsid w:val="008C2335"/>
    <w:rsid w:val="008C280A"/>
    <w:rsid w:val="008C67C1"/>
    <w:rsid w:val="008D1D39"/>
    <w:rsid w:val="008F07D2"/>
    <w:rsid w:val="00917851"/>
    <w:rsid w:val="00917F65"/>
    <w:rsid w:val="009311E7"/>
    <w:rsid w:val="00942694"/>
    <w:rsid w:val="00947723"/>
    <w:rsid w:val="00974B40"/>
    <w:rsid w:val="0098012C"/>
    <w:rsid w:val="009A7E3A"/>
    <w:rsid w:val="009B1265"/>
    <w:rsid w:val="009B4A15"/>
    <w:rsid w:val="009B5693"/>
    <w:rsid w:val="009C61A2"/>
    <w:rsid w:val="009C78E4"/>
    <w:rsid w:val="009D687E"/>
    <w:rsid w:val="009F6DE7"/>
    <w:rsid w:val="00A10583"/>
    <w:rsid w:val="00A37FCB"/>
    <w:rsid w:val="00A51B90"/>
    <w:rsid w:val="00A54863"/>
    <w:rsid w:val="00A61D74"/>
    <w:rsid w:val="00A8688B"/>
    <w:rsid w:val="00A91163"/>
    <w:rsid w:val="00A9286F"/>
    <w:rsid w:val="00A96255"/>
    <w:rsid w:val="00AB285B"/>
    <w:rsid w:val="00AB7397"/>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92975"/>
    <w:rsid w:val="00BB646E"/>
    <w:rsid w:val="00BD1BA1"/>
    <w:rsid w:val="00BD4574"/>
    <w:rsid w:val="00C019E5"/>
    <w:rsid w:val="00C35BC4"/>
    <w:rsid w:val="00C43F5B"/>
    <w:rsid w:val="00CB4371"/>
    <w:rsid w:val="00CC2550"/>
    <w:rsid w:val="00CC516D"/>
    <w:rsid w:val="00CE2B36"/>
    <w:rsid w:val="00D24330"/>
    <w:rsid w:val="00D40056"/>
    <w:rsid w:val="00D51E7C"/>
    <w:rsid w:val="00D54F29"/>
    <w:rsid w:val="00D7020C"/>
    <w:rsid w:val="00D70AD9"/>
    <w:rsid w:val="00D72152"/>
    <w:rsid w:val="00D94BA5"/>
    <w:rsid w:val="00D9510F"/>
    <w:rsid w:val="00DA615C"/>
    <w:rsid w:val="00DB1F13"/>
    <w:rsid w:val="00DD1BC6"/>
    <w:rsid w:val="00DE5DC3"/>
    <w:rsid w:val="00E00D8A"/>
    <w:rsid w:val="00E1050F"/>
    <w:rsid w:val="00E11604"/>
    <w:rsid w:val="00E11D92"/>
    <w:rsid w:val="00E130A0"/>
    <w:rsid w:val="00E210C4"/>
    <w:rsid w:val="00E23DB7"/>
    <w:rsid w:val="00E42913"/>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3DE6"/>
    <w:rsid w:val="00F55257"/>
    <w:rsid w:val="00F556A2"/>
    <w:rsid w:val="00F719A8"/>
    <w:rsid w:val="00F74275"/>
    <w:rsid w:val="00F878B9"/>
    <w:rsid w:val="00FA1373"/>
    <w:rsid w:val="00FA2F74"/>
    <w:rsid w:val="00FB24E8"/>
    <w:rsid w:val="00FB3B2B"/>
    <w:rsid w:val="00FC18DA"/>
    <w:rsid w:val="00FC3917"/>
    <w:rsid w:val="00FC63C7"/>
    <w:rsid w:val="00FD0EBF"/>
    <w:rsid w:val="00FD60DA"/>
    <w:rsid w:val="00FE11B2"/>
    <w:rsid w:val="00FF07B4"/>
    <w:rsid w:val="0E88AFAD"/>
    <w:rsid w:val="18166996"/>
    <w:rsid w:val="32C45A75"/>
    <w:rsid w:val="4E440B87"/>
    <w:rsid w:val="5037801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6105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0539"/>
    <w:rPr>
      <w:sz w:val="20"/>
      <w:szCs w:val="20"/>
    </w:rPr>
  </w:style>
  <w:style w:type="character" w:styleId="FootnoteReference">
    <w:name w:val="footnote reference"/>
    <w:basedOn w:val="DefaultParagraphFont"/>
    <w:uiPriority w:val="99"/>
    <w:semiHidden/>
    <w:unhideWhenUsed/>
    <w:rsid w:val="00610539"/>
    <w:rPr>
      <w:vertAlign w:val="superscript"/>
    </w:rPr>
  </w:style>
  <w:style w:type="character" w:styleId="FollowedHyperlink">
    <w:name w:val="FollowedHyperlink"/>
    <w:basedOn w:val="DefaultParagraphFont"/>
    <w:uiPriority w:val="99"/>
    <w:semiHidden/>
    <w:unhideWhenUsed/>
    <w:rsid w:val="003D4771"/>
    <w:rPr>
      <w:color w:val="800080" w:themeColor="followedHyperlink"/>
      <w:u w:val="single"/>
    </w:rPr>
  </w:style>
  <w:style w:type="paragraph" w:styleId="NormalWeb">
    <w:name w:val="Normal (Web)"/>
    <w:basedOn w:val="Normal"/>
    <w:uiPriority w:val="99"/>
    <w:semiHidden/>
    <w:unhideWhenUsed/>
    <w:rsid w:val="00494C00"/>
    <w:pPr>
      <w:spacing w:after="150"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974B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4480">
      <w:bodyDiv w:val="1"/>
      <w:marLeft w:val="0"/>
      <w:marRight w:val="0"/>
      <w:marTop w:val="0"/>
      <w:marBottom w:val="0"/>
      <w:divBdr>
        <w:top w:val="none" w:sz="0" w:space="0" w:color="auto"/>
        <w:left w:val="none" w:sz="0" w:space="0" w:color="auto"/>
        <w:bottom w:val="none" w:sz="0" w:space="0" w:color="auto"/>
        <w:right w:val="none" w:sz="0" w:space="0" w:color="auto"/>
      </w:divBdr>
    </w:div>
    <w:div w:id="86240639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26932258">
      <w:bodyDiv w:val="1"/>
      <w:marLeft w:val="0"/>
      <w:marRight w:val="0"/>
      <w:marTop w:val="0"/>
      <w:marBottom w:val="0"/>
      <w:divBdr>
        <w:top w:val="none" w:sz="0" w:space="0" w:color="auto"/>
        <w:left w:val="none" w:sz="0" w:space="0" w:color="auto"/>
        <w:bottom w:val="none" w:sz="0" w:space="0" w:color="auto"/>
        <w:right w:val="none" w:sz="0" w:space="0" w:color="auto"/>
      </w:divBdr>
    </w:div>
    <w:div w:id="1338577957">
      <w:bodyDiv w:val="1"/>
      <w:marLeft w:val="0"/>
      <w:marRight w:val="0"/>
      <w:marTop w:val="0"/>
      <w:marBottom w:val="0"/>
      <w:divBdr>
        <w:top w:val="none" w:sz="0" w:space="0" w:color="auto"/>
        <w:left w:val="none" w:sz="0" w:space="0" w:color="auto"/>
        <w:bottom w:val="none" w:sz="0" w:space="0" w:color="auto"/>
        <w:right w:val="none" w:sz="0" w:space="0" w:color="auto"/>
      </w:divBdr>
    </w:div>
    <w:div w:id="1769813896">
      <w:bodyDiv w:val="1"/>
      <w:marLeft w:val="0"/>
      <w:marRight w:val="0"/>
      <w:marTop w:val="0"/>
      <w:marBottom w:val="0"/>
      <w:divBdr>
        <w:top w:val="none" w:sz="0" w:space="0" w:color="auto"/>
        <w:left w:val="none" w:sz="0" w:space="0" w:color="auto"/>
        <w:bottom w:val="none" w:sz="0" w:space="0" w:color="auto"/>
        <w:right w:val="none" w:sz="0" w:space="0" w:color="auto"/>
      </w:divBdr>
      <w:divsChild>
        <w:div w:id="1439249678">
          <w:marLeft w:val="0"/>
          <w:marRight w:val="0"/>
          <w:marTop w:val="0"/>
          <w:marBottom w:val="0"/>
          <w:divBdr>
            <w:top w:val="none" w:sz="0" w:space="0" w:color="auto"/>
            <w:left w:val="none" w:sz="0" w:space="0" w:color="auto"/>
            <w:bottom w:val="none" w:sz="0" w:space="0" w:color="auto"/>
            <w:right w:val="none" w:sz="0" w:space="0" w:color="auto"/>
          </w:divBdr>
          <w:divsChild>
            <w:div w:id="1696496087">
              <w:marLeft w:val="0"/>
              <w:marRight w:val="0"/>
              <w:marTop w:val="0"/>
              <w:marBottom w:val="600"/>
              <w:divBdr>
                <w:top w:val="none" w:sz="0" w:space="0" w:color="auto"/>
                <w:left w:val="none" w:sz="0" w:space="0" w:color="auto"/>
                <w:bottom w:val="none" w:sz="0" w:space="0" w:color="auto"/>
                <w:right w:val="none" w:sz="0" w:space="0" w:color="auto"/>
              </w:divBdr>
              <w:divsChild>
                <w:div w:id="33816749">
                  <w:marLeft w:val="0"/>
                  <w:marRight w:val="0"/>
                  <w:marTop w:val="0"/>
                  <w:marBottom w:val="0"/>
                  <w:divBdr>
                    <w:top w:val="none" w:sz="0" w:space="0" w:color="auto"/>
                    <w:left w:val="none" w:sz="0" w:space="0" w:color="auto"/>
                    <w:bottom w:val="none" w:sz="0" w:space="0" w:color="auto"/>
                    <w:right w:val="none" w:sz="0" w:space="0" w:color="auto"/>
                  </w:divBdr>
                  <w:divsChild>
                    <w:div w:id="1976642269">
                      <w:marLeft w:val="0"/>
                      <w:marRight w:val="0"/>
                      <w:marTop w:val="0"/>
                      <w:marBottom w:val="0"/>
                      <w:divBdr>
                        <w:top w:val="none" w:sz="0" w:space="0" w:color="auto"/>
                        <w:left w:val="none" w:sz="0" w:space="0" w:color="auto"/>
                        <w:bottom w:val="none" w:sz="0" w:space="0" w:color="auto"/>
                        <w:right w:val="none" w:sz="0" w:space="0" w:color="auto"/>
                      </w:divBdr>
                      <w:divsChild>
                        <w:div w:id="1479804675">
                          <w:marLeft w:val="0"/>
                          <w:marRight w:val="0"/>
                          <w:marTop w:val="0"/>
                          <w:marBottom w:val="0"/>
                          <w:divBdr>
                            <w:top w:val="none" w:sz="0" w:space="0" w:color="auto"/>
                            <w:left w:val="none" w:sz="0" w:space="0" w:color="auto"/>
                            <w:bottom w:val="none" w:sz="0" w:space="0" w:color="auto"/>
                            <w:right w:val="none" w:sz="0" w:space="0" w:color="auto"/>
                          </w:divBdr>
                          <w:divsChild>
                            <w:div w:id="678966658">
                              <w:marLeft w:val="0"/>
                              <w:marRight w:val="0"/>
                              <w:marTop w:val="600"/>
                              <w:marBottom w:val="0"/>
                              <w:divBdr>
                                <w:top w:val="none" w:sz="0" w:space="0" w:color="auto"/>
                                <w:left w:val="none" w:sz="0" w:space="0" w:color="auto"/>
                                <w:bottom w:val="none" w:sz="0" w:space="0" w:color="auto"/>
                                <w:right w:val="none" w:sz="0" w:space="0" w:color="auto"/>
                              </w:divBdr>
                              <w:divsChild>
                                <w:div w:id="822085697">
                                  <w:marLeft w:val="0"/>
                                  <w:marRight w:val="0"/>
                                  <w:marTop w:val="0"/>
                                  <w:marBottom w:val="0"/>
                                  <w:divBdr>
                                    <w:top w:val="none" w:sz="0" w:space="0" w:color="auto"/>
                                    <w:left w:val="none" w:sz="0" w:space="0" w:color="auto"/>
                                    <w:bottom w:val="none" w:sz="0" w:space="0" w:color="auto"/>
                                    <w:right w:val="none" w:sz="0" w:space="0" w:color="auto"/>
                                  </w:divBdr>
                                  <w:divsChild>
                                    <w:div w:id="1485271816">
                                      <w:marLeft w:val="0"/>
                                      <w:marRight w:val="0"/>
                                      <w:marTop w:val="0"/>
                                      <w:marBottom w:val="0"/>
                                      <w:divBdr>
                                        <w:top w:val="none" w:sz="0" w:space="0" w:color="auto"/>
                                        <w:left w:val="none" w:sz="0" w:space="0" w:color="auto"/>
                                        <w:bottom w:val="none" w:sz="0" w:space="0" w:color="auto"/>
                                        <w:right w:val="none" w:sz="0" w:space="0" w:color="auto"/>
                                      </w:divBdr>
                                      <w:divsChild>
                                        <w:div w:id="1659310187">
                                          <w:marLeft w:val="0"/>
                                          <w:marRight w:val="0"/>
                                          <w:marTop w:val="0"/>
                                          <w:marBottom w:val="0"/>
                                          <w:divBdr>
                                            <w:top w:val="none" w:sz="0" w:space="0" w:color="auto"/>
                                            <w:left w:val="none" w:sz="0" w:space="0" w:color="auto"/>
                                            <w:bottom w:val="none" w:sz="0" w:space="0" w:color="auto"/>
                                            <w:right w:val="none" w:sz="0" w:space="0" w:color="auto"/>
                                          </w:divBdr>
                                          <w:divsChild>
                                            <w:div w:id="259803647">
                                              <w:marLeft w:val="0"/>
                                              <w:marRight w:val="0"/>
                                              <w:marTop w:val="0"/>
                                              <w:marBottom w:val="0"/>
                                              <w:divBdr>
                                                <w:top w:val="none" w:sz="0" w:space="0" w:color="auto"/>
                                                <w:left w:val="none" w:sz="0" w:space="0" w:color="auto"/>
                                                <w:bottom w:val="none" w:sz="0" w:space="0" w:color="auto"/>
                                                <w:right w:val="none" w:sz="0" w:space="0" w:color="auto"/>
                                              </w:divBdr>
                                              <w:divsChild>
                                                <w:div w:id="353114561">
                                                  <w:marLeft w:val="0"/>
                                                  <w:marRight w:val="0"/>
                                                  <w:marTop w:val="0"/>
                                                  <w:marBottom w:val="0"/>
                                                  <w:divBdr>
                                                    <w:top w:val="none" w:sz="0" w:space="0" w:color="auto"/>
                                                    <w:left w:val="none" w:sz="0" w:space="0" w:color="auto"/>
                                                    <w:bottom w:val="none" w:sz="0" w:space="0" w:color="auto"/>
                                                    <w:right w:val="none" w:sz="0" w:space="0" w:color="auto"/>
                                                  </w:divBdr>
                                                  <w:divsChild>
                                                    <w:div w:id="1172181984">
                                                      <w:marLeft w:val="0"/>
                                                      <w:marRight w:val="0"/>
                                                      <w:marTop w:val="0"/>
                                                      <w:marBottom w:val="0"/>
                                                      <w:divBdr>
                                                        <w:top w:val="none" w:sz="0" w:space="0" w:color="auto"/>
                                                        <w:left w:val="none" w:sz="0" w:space="0" w:color="auto"/>
                                                        <w:bottom w:val="none" w:sz="0" w:space="0" w:color="auto"/>
                                                        <w:right w:val="none" w:sz="0" w:space="0" w:color="auto"/>
                                                      </w:divBdr>
                                                      <w:divsChild>
                                                        <w:div w:id="1108039334">
                                                          <w:marLeft w:val="0"/>
                                                          <w:marRight w:val="0"/>
                                                          <w:marTop w:val="0"/>
                                                          <w:marBottom w:val="0"/>
                                                          <w:divBdr>
                                                            <w:top w:val="none" w:sz="0" w:space="0" w:color="auto"/>
                                                            <w:left w:val="none" w:sz="0" w:space="0" w:color="auto"/>
                                                            <w:bottom w:val="none" w:sz="0" w:space="0" w:color="auto"/>
                                                            <w:right w:val="none" w:sz="0" w:space="0" w:color="auto"/>
                                                          </w:divBdr>
                                                          <w:divsChild>
                                                            <w:div w:id="3178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8439703">
      <w:bodyDiv w:val="1"/>
      <w:marLeft w:val="0"/>
      <w:marRight w:val="0"/>
      <w:marTop w:val="0"/>
      <w:marBottom w:val="0"/>
      <w:divBdr>
        <w:top w:val="none" w:sz="0" w:space="0" w:color="auto"/>
        <w:left w:val="none" w:sz="0" w:space="0" w:color="auto"/>
        <w:bottom w:val="none" w:sz="0" w:space="0" w:color="auto"/>
        <w:right w:val="none" w:sz="0" w:space="0" w:color="auto"/>
      </w:divBdr>
    </w:div>
    <w:div w:id="206336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nfccc.int/resource/docs/2012/cop18/eng/08a01.pdf" TargetMode="External"/><Relationship Id="rId18" Type="http://schemas.openxmlformats.org/officeDocument/2006/relationships/hyperlink" Target="https://unfccc.int/decisions?f%5B0%5D=body%3A1343&amp;f%5B1%5D=conference%3A3461" TargetMode="External"/><Relationship Id="rId26" Type="http://schemas.openxmlformats.org/officeDocument/2006/relationships/hyperlink" Target="https://unfccc.int/process-and-meetings/transparency-and-reporting/reporting-and-review-under-the-paris-agreement" TargetMode="External"/><Relationship Id="rId3" Type="http://schemas.openxmlformats.org/officeDocument/2006/relationships/customXml" Target="../customXml/item3.xml"/><Relationship Id="rId21" Type="http://schemas.openxmlformats.org/officeDocument/2006/relationships/hyperlink" Target="http://unfccc.int/resource/docs/2012/cop18/eng/08a03.pdf" TargetMode="External"/><Relationship Id="rId7" Type="http://schemas.openxmlformats.org/officeDocument/2006/relationships/settings" Target="settings.xml"/><Relationship Id="rId12" Type="http://schemas.openxmlformats.org/officeDocument/2006/relationships/hyperlink" Target="http://unfccc.int/resource/docs/2012/cop18/eng/08a01.pdf" TargetMode="External"/><Relationship Id="rId17" Type="http://schemas.openxmlformats.org/officeDocument/2006/relationships/hyperlink" Target="https://unfccc.int/topics/climate-finance/resources/biennial-assessment-of-climate-finance" TargetMode="External"/><Relationship Id="rId25" Type="http://schemas.openxmlformats.org/officeDocument/2006/relationships/hyperlink" Target="https://unfccc.int/BR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unfccc.int/process-and-meetings/transparency-and-reporting/reporting-and-review-under-the-paris-agreement" TargetMode="External"/><Relationship Id="rId20" Type="http://schemas.openxmlformats.org/officeDocument/2006/relationships/hyperlink" Target="https://unfccc.int/resource/docs/2011/cop17/eng/09a01.pdf" TargetMode="External"/><Relationship Id="rId29" Type="http://schemas.openxmlformats.org/officeDocument/2006/relationships/hyperlink" Target="https://unfccc.int/news/18-industrial-states-release-climate-finance-state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unfccc.int/resource/docs/2011/cop17/eng/09a01.pdf" TargetMode="External"/><Relationship Id="rId24" Type="http://schemas.openxmlformats.org/officeDocument/2006/relationships/hyperlink" Target="http://unfccc.int/resource/docs/2012/cop18/eng/08a03.pdf"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unfccc.int/BRs" TargetMode="External"/><Relationship Id="rId23" Type="http://schemas.openxmlformats.org/officeDocument/2006/relationships/hyperlink" Target="https://unfccc.int/resource/docs/2011/cop17/eng/09a01.pdf" TargetMode="External"/><Relationship Id="rId28" Type="http://schemas.openxmlformats.org/officeDocument/2006/relationships/hyperlink" Target="https://unfccc.int/topics/climate-finance/resources/biennial-assessment-of-climate-finance" TargetMode="External"/><Relationship Id="rId10" Type="http://schemas.openxmlformats.org/officeDocument/2006/relationships/endnotes" Target="endnotes.xml"/><Relationship Id="rId19" Type="http://schemas.openxmlformats.org/officeDocument/2006/relationships/hyperlink" Target="https://unfccc.int/decisions?f%5B0%5D=body%3A1343&amp;f%5B1%5D=conference%3A3845"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nfccc.int/resource/docs/2013/cop19/eng/10a01.pdf" TargetMode="External"/><Relationship Id="rId22" Type="http://schemas.openxmlformats.org/officeDocument/2006/relationships/hyperlink" Target="https://unfccc.int/resource/docs/2015/cop21/eng/10a02.pdf" TargetMode="External"/><Relationship Id="rId27" Type="http://schemas.openxmlformats.org/officeDocument/2006/relationships/hyperlink" Target="https://unfccc.int/CandS-report-2020" TargetMode="External"/><Relationship Id="rId30" Type="http://schemas.openxmlformats.org/officeDocument/2006/relationships/header" Target="header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unfccc.int/process-and-meetings/transparency-and-reporting/reporting-and-review-under-the-convention/national-communications-and-biennial-reports-annex-i-parties/compilation-and-synthesis-reports/compilation-and-synthesis-reports-of-parties-included-in-annex-i-to" TargetMode="External"/><Relationship Id="rId1" Type="http://schemas.openxmlformats.org/officeDocument/2006/relationships/hyperlink" Target="https://unfccc.int/process-and-meetings/transparency-and-reporting/reporting-and-review-under-the-convention/national-communications-and-biennial-reports-annex-i-parties/compilation-and-synthesis-reports/compilation-and-synthesis-reports-of-parties-included-in-annex-i-t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185EF348-D784-4F59-A19F-0AACC787C8BF}"/>
      </w:docPartPr>
      <w:docPartBody>
        <w:p w:rsidR="00000000" w:rsidRDefault="00C36401">
          <w:r w:rsidRPr="00247EE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1"/>
    <w:rsid w:val="00C364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4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dcmitype/"/>
    <ds:schemaRef ds:uri="http://schemas.microsoft.com/office/2006/documentManagement/types"/>
    <ds:schemaRef ds:uri="f2d2d782-0088-4826-96df-71eba56e6d2e"/>
    <ds:schemaRef ds:uri="d114b01d-ae01-4749-b845-9d88e7ef5c0e"/>
    <ds:schemaRef ds:uri="http://schemas.microsoft.com/office/infopath/2007/PartnerControls"/>
    <ds:schemaRef ds:uri="http://schemas.microsoft.com/office/2006/metadata/properties"/>
    <ds:schemaRef ds:uri="http://purl.org/dc/term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252EEC3D-7512-4C17-8BD6-1004D178B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DC333F-AC90-4F7F-84CA-AF152D82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Harumi Shibata Salazar</cp:lastModifiedBy>
  <cp:revision>7</cp:revision>
  <cp:lastPrinted>2016-07-16T14:25:00Z</cp:lastPrinted>
  <dcterms:created xsi:type="dcterms:W3CDTF">2021-03-28T02:06:00Z</dcterms:created>
  <dcterms:modified xsi:type="dcterms:W3CDTF">2022-12-20T22:21:00Z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