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4CCAB9D" w14:textId="77777777" w:rsidR="005B4C2E" w:rsidRPr="005B4C2E" w:rsidRDefault="005B4C2E" w:rsidP="005B4C2E">
      <w:pPr>
        <w:shd w:val="clear" w:color="auto" w:fill="F5F5F5"/>
        <w:spacing w:after="0"/>
        <w:contextualSpacing/>
        <w:outlineLvl w:val="4"/>
        <w:rPr>
          <w:rFonts w:ascii="Calibri" w:eastAsia="Times New Roman" w:hAnsi="Calibri" w:cs="Times New Roman"/>
          <w:color w:val="333333"/>
          <w:sz w:val="21"/>
          <w:szCs w:val="21"/>
          <w:lang w:eastAsia="en-GB"/>
        </w:rPr>
      </w:pPr>
      <w:r w:rsidRPr="005B4C2E">
        <w:rPr>
          <w:rFonts w:ascii="Calibri" w:eastAsia="Times New Roman" w:hAnsi="Calibri"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5CE7DB50" w14:textId="77777777" w:rsidR="005B4C2E" w:rsidRPr="005B4C2E" w:rsidRDefault="005B4C2E" w:rsidP="005B4C2E">
      <w:pPr>
        <w:shd w:val="clear" w:color="auto" w:fill="F5F5F5"/>
        <w:spacing w:after="0"/>
        <w:contextualSpacing/>
        <w:outlineLvl w:val="4"/>
        <w:rPr>
          <w:rFonts w:ascii="Calibri" w:eastAsia="Times New Roman" w:hAnsi="Calibri" w:cs="Times New Roman"/>
          <w:color w:val="333333"/>
          <w:sz w:val="21"/>
          <w:szCs w:val="21"/>
          <w:lang w:eastAsia="en-GB"/>
        </w:rPr>
      </w:pPr>
      <w:r w:rsidRPr="005B4C2E">
        <w:rPr>
          <w:rFonts w:ascii="Calibri" w:eastAsia="Times New Roman" w:hAnsi="Calibri" w:cs="Times New Roman"/>
          <w:color w:val="333333"/>
          <w:sz w:val="21"/>
          <w:szCs w:val="21"/>
          <w:lang w:eastAsia="en-GB"/>
        </w:rPr>
        <w:t>Target 15.5: Take urgent and significant action to reduce the degradation of natural habitats, halt the loss of biodiversity and, by 2020, protect and prevent the extinction of threatened species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0934CDC" w14:textId="4684F60B" w:rsidR="2FD33173" w:rsidRDefault="2FD33173" w:rsidP="7DD9FF58">
      <w:pPr>
        <w:pStyle w:val="MIndHeader"/>
        <w:rPr>
          <w:rFonts w:ascii="Calibri" w:hAnsi="Calibri"/>
          <w:sz w:val="21"/>
          <w:szCs w:val="21"/>
        </w:rPr>
      </w:pPr>
      <w:r w:rsidRPr="7DD9FF58">
        <w:rPr>
          <w:rFonts w:ascii="Calibri" w:eastAsia="Calibri" w:hAnsi="Calibri" w:cs="Calibri"/>
          <w:color w:val="444444"/>
          <w:sz w:val="21"/>
          <w:szCs w:val="21"/>
        </w:rPr>
        <w:t>Indicator 15.5.1: Red List Index</w:t>
      </w:r>
    </w:p>
    <w:p w14:paraId="37E5E4F6" w14:textId="7554DF33" w:rsidR="00D24330" w:rsidRPr="00A02495" w:rsidRDefault="00D24330" w:rsidP="00D24330">
      <w:pPr>
        <w:pStyle w:val="MIndHeader"/>
        <w:rPr>
          <w:lang w:val="en-US"/>
        </w:rPr>
      </w:pPr>
      <w:r w:rsidRPr="00A02495">
        <w:rPr>
          <w:lang w:val="en-US"/>
        </w:rPr>
        <w:t xml:space="preserve">0.d. Series </w:t>
      </w:r>
      <w:r>
        <w:rPr>
          <w:color w:val="B4B4B4"/>
          <w:sz w:val="20"/>
        </w:rPr>
        <w:t>(SDG_SERIES_DESCR)</w:t>
      </w:r>
    </w:p>
    <w:p w14:paraId="13528357" w14:textId="57B924CC" w:rsidR="001A59BE" w:rsidRDefault="0079489B" w:rsidP="00D24330">
      <w:pPr>
        <w:pStyle w:val="MGTHeader"/>
      </w:pPr>
      <w:r w:rsidRPr="0079489B">
        <w:t>ER_RSK_LST - Red List Index [15.5.1]</w:t>
      </w:r>
    </w:p>
    <w:p w14:paraId="157DACE7" w14:textId="77777777" w:rsidR="00D24330" w:rsidRPr="00A02495" w:rsidRDefault="00D24330" w:rsidP="00D24330">
      <w:pPr>
        <w:pStyle w:val="MIndHeader"/>
        <w:rPr>
          <w:lang w:val="en-US"/>
        </w:rPr>
      </w:pPr>
      <w:r w:rsidRPr="00A02495">
        <w:rPr>
          <w:lang w:val="en-US"/>
        </w:rPr>
        <w:t xml:space="preserve">0.e. Metadata update </w:t>
      </w:r>
      <w:r>
        <w:rPr>
          <w:color w:val="B4B4B4"/>
          <w:sz w:val="20"/>
        </w:rPr>
        <w:t>(META_LAST_UPDATE)</w:t>
      </w:r>
    </w:p>
    <w:sdt>
      <w:sdtPr>
        <w:rPr>
          <w:lang w:val="en-US"/>
        </w:rPr>
        <w:id w:val="900952835"/>
        <w:placeholder>
          <w:docPart w:val="DefaultPlaceholder_-1854013437"/>
        </w:placeholder>
        <w:date w:fullDate="2023-12-15T00:00:00Z">
          <w:dateFormat w:val="yyyy-MM-dd"/>
          <w:lid w:val="en-US"/>
          <w:storeMappedDataAs w:val="dateTime"/>
          <w:calendar w:val="gregorian"/>
        </w:date>
      </w:sdtPr>
      <w:sdtEndPr/>
      <w:sdtContent>
        <w:p w14:paraId="03424B60" w14:textId="369EDA09" w:rsidR="00D24330" w:rsidRPr="00A02495" w:rsidRDefault="0079489B"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AD0806E" w14:textId="2E237742" w:rsidR="004C1E46" w:rsidRPr="005B4C2E" w:rsidRDefault="004C1E46" w:rsidP="00ED561B">
      <w:pPr>
        <w:pStyle w:val="MGTHeader"/>
      </w:pPr>
      <w:proofErr w:type="spellStart"/>
      <w:r w:rsidRPr="005B4C2E">
        <w:t>Disaggregations</w:t>
      </w:r>
      <w:proofErr w:type="spellEnd"/>
      <w:r w:rsidRPr="005B4C2E">
        <w:t xml:space="preserve"> of the Red List Index are also of particular relevance as indicators towards the following SDG targets (Brooks et al. 2015): SDG 2.4 Red List Index (species used for food and medicine); SDG 2.5 Red List Index (wild relatives and local breeds); SDG 12.2 Red List Index (impacts of utilisation) (Butchart 2008); SDG 12.4 Red List Index (impacts of pollution); SDG 13.1 Red List Index (impacts of climate change); SDG 14.1 Red List Index (impacts of pollution on marine species); SDG 14.2 Red List Index (marine species); SDG 14.3 Red List Index (reef-building coral species) (Carpenter et al. 2008); SDG 14.4 Red List Index (impacts of utilisation on marine species); 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5B4C2E">
        <w:t>McGeoch</w:t>
      </w:r>
      <w:proofErr w:type="spellEnd"/>
      <w:r w:rsidRPr="005B4C2E">
        <w:t xml:space="preserve"> et al. 2010).</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FF25DF9" w14:textId="77777777" w:rsidR="005B4C2E" w:rsidRPr="005B4C2E" w:rsidRDefault="005B4C2E" w:rsidP="00395049">
      <w:pPr>
        <w:pStyle w:val="MGTHeader"/>
      </w:pPr>
      <w:r w:rsidRPr="005B4C2E">
        <w:t>International Union for Conservation of Nature (IUCN)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A6226B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International Union for Conservation of Nature (IUCN)</w:t>
      </w:r>
    </w:p>
    <w:p w14:paraId="02750C5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roofErr w:type="spellStart"/>
      <w:r w:rsidRPr="005B4C2E">
        <w:rPr>
          <w:rFonts w:ascii="Calibri" w:eastAsia="Times New Roman" w:hAnsi="Calibri" w:cs="Times New Roman"/>
          <w:color w:val="4A4A4A"/>
          <w:sz w:val="21"/>
          <w:szCs w:val="21"/>
          <w:lang w:eastAsia="en-GB"/>
        </w:rPr>
        <w:t>BirdLife</w:t>
      </w:r>
      <w:proofErr w:type="spellEnd"/>
      <w:r w:rsidRPr="005B4C2E">
        <w:rPr>
          <w:rFonts w:ascii="Calibri" w:eastAsia="Times New Roman" w:hAnsi="Calibri" w:cs="Times New Roman"/>
          <w:color w:val="4A4A4A"/>
          <w:sz w:val="21"/>
          <w:szCs w:val="21"/>
          <w:lang w:eastAsia="en-GB"/>
        </w:rPr>
        <w:t xml:space="preserve"> International (BLI)</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62C21E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Definition:</w:t>
      </w:r>
    </w:p>
    <w:p w14:paraId="561E0538" w14:textId="08F6F952"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lastRenderedPageBreak/>
        <w:t>The Red List Index measures change in aggregate extinction risk across groups of species. It is based on genuine changes in the number of species in each category of extinction risk on The IUCN Red List of Threatened Species (</w:t>
      </w:r>
      <w:r w:rsidR="0089303C">
        <w:rPr>
          <w:rFonts w:ascii="Calibri" w:eastAsia="Times New Roman" w:hAnsi="Calibri" w:cs="Times New Roman"/>
          <w:color w:val="4A4A4A"/>
          <w:sz w:val="21"/>
          <w:szCs w:val="21"/>
          <w:lang w:eastAsia="en-GB"/>
        </w:rPr>
        <w:t>www.iucnredlist.org</w:t>
      </w:r>
      <w:r w:rsidRPr="005B4C2E">
        <w:rPr>
          <w:rFonts w:ascii="Calibri" w:eastAsia="Times New Roman" w:hAnsi="Calibri" w:cs="Times New Roman"/>
          <w:color w:val="4A4A4A"/>
          <w:sz w:val="21"/>
          <w:szCs w:val="21"/>
          <w:lang w:eastAsia="en-GB"/>
        </w:rPr>
        <w:t>) is expressed as changes in an index ranging from 0 to 1.</w:t>
      </w:r>
    </w:p>
    <w:p w14:paraId="6072A840"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29AD7C16" w14:textId="77777777" w:rsidR="005B4C2E" w:rsidRPr="005B4C2E" w:rsidRDefault="005B4C2E" w:rsidP="005B4C2E">
      <w:pPr>
        <w:keepNext/>
        <w:keepLines/>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Concepts:</w:t>
      </w:r>
    </w:p>
    <w:p w14:paraId="7F7E33DA" w14:textId="04A8F3AB" w:rsidR="005B4C2E" w:rsidRPr="005B4C2E" w:rsidRDefault="005B4C2E" w:rsidP="005B4C2E">
      <w:pPr>
        <w:keepNext/>
        <w:keepLines/>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Threatened species are those listed on The IUCN Red List of Threatened Species in the categories Vulnerable, Endangered, or Critically Endangered (i.e., species that are facing a high, very high, or extremely high risk of extinction in the wild in the medium-term future). Changes over time in the proportion of species threatened with extinction are largely driven by improvements in knowledge and changing taxonomy. The indicator excludes such changes to yield a more informative indicator than the simple proportion of threatened species. It therefore measures change in aggregate extinction risk across groups of species over time, resulting from genuine improvements or deteriorations in the status of individual species. It can be calculated for any representative set of species that have been assessed for The IUCN Red List of Threatened Species at least twice (Butchart et al. 2004, 2005, 2007).</w:t>
      </w:r>
      <w:r w:rsidR="0089303C">
        <w:rPr>
          <w:rFonts w:ascii="Calibri" w:eastAsia="Times New Roman" w:hAnsi="Calibri" w:cs="Times New Roman"/>
          <w:color w:val="4A4A4A"/>
          <w:sz w:val="21"/>
          <w:szCs w:val="21"/>
          <w:lang w:eastAsia="en-GB"/>
        </w:rPr>
        <w:t xml:space="preserve"> To calculate the Red List Index for individual countries and regions, each species contributing to the index is weighted by the proportion of its global range within the particular country or region. The resulting index therefore shows </w:t>
      </w:r>
      <w:r w:rsidR="00787B60">
        <w:rPr>
          <w:rFonts w:ascii="Calibri" w:eastAsia="Times New Roman" w:hAnsi="Calibri" w:cs="Times New Roman"/>
          <w:color w:val="4A4A4A"/>
          <w:sz w:val="21"/>
          <w:szCs w:val="21"/>
          <w:lang w:eastAsia="en-GB"/>
        </w:rPr>
        <w:t>the aggregate extinction risk for</w:t>
      </w:r>
      <w:r w:rsidR="0089303C">
        <w:rPr>
          <w:rFonts w:ascii="Calibri" w:eastAsia="Times New Roman" w:hAnsi="Calibri" w:cs="Times New Roman"/>
          <w:color w:val="4A4A4A"/>
          <w:sz w:val="21"/>
          <w:szCs w:val="21"/>
          <w:lang w:eastAsia="en-GB"/>
        </w:rPr>
        <w:t xml:space="preserve"> species within the country or region relative to its potential contribution to global species</w:t>
      </w:r>
      <w:r w:rsidR="00787B60">
        <w:rPr>
          <w:rFonts w:ascii="Calibri" w:eastAsia="Times New Roman" w:hAnsi="Calibri" w:cs="Times New Roman"/>
          <w:color w:val="4A4A4A"/>
          <w:sz w:val="21"/>
          <w:szCs w:val="21"/>
          <w:lang w:eastAsia="en-GB"/>
        </w:rPr>
        <w:t xml:space="preserve"> extinction risk</w:t>
      </w:r>
      <w:r w:rsidR="0089303C">
        <w:rPr>
          <w:rFonts w:ascii="Calibri" w:eastAsia="Times New Roman" w:hAnsi="Calibri" w:cs="Times New Roman"/>
          <w:color w:val="4A4A4A"/>
          <w:sz w:val="21"/>
          <w:szCs w:val="21"/>
          <w:lang w:eastAsia="en-GB"/>
        </w:rPr>
        <w:t xml:space="preserve"> (within the taxonomic groups included).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6F17C6B" w14:textId="302A4437" w:rsidR="002F49E5" w:rsidRDefault="002F49E5" w:rsidP="0089303C">
      <w:pPr>
        <w:keepNext/>
        <w:keepLines/>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Index.</w:t>
      </w:r>
    </w:p>
    <w:p w14:paraId="6087B890" w14:textId="77777777" w:rsidR="002F49E5" w:rsidRDefault="002F49E5" w:rsidP="0089303C">
      <w:pPr>
        <w:keepNext/>
        <w:keepLines/>
        <w:shd w:val="clear" w:color="auto" w:fill="FFFFFF"/>
        <w:spacing w:after="0"/>
        <w:contextualSpacing/>
        <w:rPr>
          <w:rFonts w:ascii="Calibri" w:eastAsia="Times New Roman" w:hAnsi="Calibri" w:cs="Times New Roman"/>
          <w:color w:val="4A4A4A"/>
          <w:sz w:val="21"/>
          <w:szCs w:val="21"/>
          <w:lang w:eastAsia="en-GB"/>
        </w:rPr>
      </w:pPr>
    </w:p>
    <w:p w14:paraId="764112DF" w14:textId="04972EF7" w:rsidR="00D410F1" w:rsidRDefault="0089303C" w:rsidP="0089303C">
      <w:pPr>
        <w:keepNext/>
        <w:keepLines/>
        <w:shd w:val="clear" w:color="auto" w:fill="FFFFFF"/>
        <w:spacing w:after="0"/>
        <w:contextualSpacing/>
        <w:rPr>
          <w:rFonts w:ascii="Calibri" w:eastAsia="Times New Roman" w:hAnsi="Calibri" w:cs="Times New Roman"/>
          <w:color w:val="4A4A4A"/>
          <w:sz w:val="21"/>
          <w:szCs w:val="21"/>
          <w:lang w:eastAsia="en-GB"/>
        </w:rPr>
      </w:pPr>
      <w:r w:rsidRPr="00787B60">
        <w:rPr>
          <w:rFonts w:ascii="Calibri" w:eastAsia="Times New Roman" w:hAnsi="Calibri" w:cs="Times New Roman"/>
          <w:color w:val="4A4A4A"/>
          <w:sz w:val="21"/>
          <w:szCs w:val="21"/>
          <w:lang w:eastAsia="en-GB"/>
        </w:rPr>
        <w:t xml:space="preserve">The Red List Index for a particular country or region is an index of </w:t>
      </w:r>
      <w:r w:rsidR="00787B60">
        <w:rPr>
          <w:rFonts w:ascii="Calibri" w:eastAsia="Times New Roman" w:hAnsi="Calibri" w:cs="Times New Roman"/>
          <w:color w:val="4A4A4A"/>
          <w:sz w:val="21"/>
          <w:szCs w:val="21"/>
          <w:lang w:eastAsia="en-GB"/>
        </w:rPr>
        <w:t>the aggregate extinction risk for</w:t>
      </w:r>
      <w:r>
        <w:rPr>
          <w:rFonts w:ascii="Calibri" w:eastAsia="Times New Roman" w:hAnsi="Calibri" w:cs="Times New Roman"/>
          <w:color w:val="4A4A4A"/>
          <w:sz w:val="21"/>
          <w:szCs w:val="21"/>
          <w:lang w:eastAsia="en-GB"/>
        </w:rPr>
        <w:t xml:space="preserve"> species within the country or region relative to its potential contribution to global species</w:t>
      </w:r>
      <w:r w:rsidR="00787B60">
        <w:rPr>
          <w:rFonts w:ascii="Calibri" w:eastAsia="Times New Roman" w:hAnsi="Calibri" w:cs="Times New Roman"/>
          <w:color w:val="4A4A4A"/>
          <w:sz w:val="21"/>
          <w:szCs w:val="21"/>
          <w:lang w:eastAsia="en-GB"/>
        </w:rPr>
        <w:t xml:space="preserve"> extinction risk</w:t>
      </w:r>
      <w:r>
        <w:rPr>
          <w:rFonts w:ascii="Calibri" w:eastAsia="Times New Roman" w:hAnsi="Calibri" w:cs="Times New Roman"/>
          <w:color w:val="4A4A4A"/>
          <w:sz w:val="21"/>
          <w:szCs w:val="21"/>
          <w:lang w:eastAsia="en-GB"/>
        </w:rPr>
        <w:t xml:space="preserve"> (within the taxonomic groups included)</w:t>
      </w:r>
      <w:r w:rsidR="00D410F1">
        <w:rPr>
          <w:rFonts w:ascii="Calibri" w:eastAsia="Times New Roman" w:hAnsi="Calibri" w:cs="Times New Roman"/>
          <w:color w:val="4A4A4A"/>
          <w:sz w:val="21"/>
          <w:szCs w:val="21"/>
          <w:lang w:eastAsia="en-GB"/>
        </w:rPr>
        <w:t>.</w:t>
      </w:r>
    </w:p>
    <w:p w14:paraId="31B07FA8" w14:textId="77777777" w:rsidR="00D410F1" w:rsidRDefault="00D410F1" w:rsidP="0089303C">
      <w:pPr>
        <w:keepNext/>
        <w:keepLines/>
        <w:shd w:val="clear" w:color="auto" w:fill="FFFFFF"/>
        <w:spacing w:after="0"/>
        <w:contextualSpacing/>
        <w:rPr>
          <w:rFonts w:ascii="Calibri" w:eastAsia="Times New Roman" w:hAnsi="Calibri" w:cs="Times New Roman"/>
          <w:color w:val="4A4A4A"/>
          <w:sz w:val="21"/>
          <w:szCs w:val="21"/>
          <w:lang w:eastAsia="en-GB"/>
        </w:rPr>
      </w:pPr>
    </w:p>
    <w:p w14:paraId="54861101" w14:textId="56B6D325" w:rsidR="0089303C" w:rsidRPr="005B4C2E" w:rsidRDefault="00D410F1" w:rsidP="0089303C">
      <w:pPr>
        <w:keepNext/>
        <w:keepLines/>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It is</w:t>
      </w:r>
      <w:r w:rsidR="0089303C">
        <w:rPr>
          <w:rFonts w:ascii="Calibri" w:eastAsia="Times New Roman" w:hAnsi="Calibri" w:cs="Times New Roman"/>
          <w:color w:val="4A4A4A"/>
          <w:sz w:val="21"/>
          <w:szCs w:val="21"/>
          <w:lang w:eastAsia="en-GB"/>
        </w:rPr>
        <w:t xml:space="preserve"> measured on a scale of 0 to 1, where 1 is the maximum  contribution that the country or region can make to global species</w:t>
      </w:r>
      <w:r w:rsidR="005D074D">
        <w:rPr>
          <w:rFonts w:ascii="Calibri" w:eastAsia="Times New Roman" w:hAnsi="Calibri" w:cs="Times New Roman"/>
          <w:color w:val="4A4A4A"/>
          <w:sz w:val="21"/>
          <w:szCs w:val="21"/>
          <w:lang w:eastAsia="en-GB"/>
        </w:rPr>
        <w:t xml:space="preserve"> survival</w:t>
      </w:r>
      <w:r w:rsidR="0089303C">
        <w:rPr>
          <w:rFonts w:ascii="Calibri" w:eastAsia="Times New Roman" w:hAnsi="Calibri" w:cs="Times New Roman"/>
          <w:color w:val="4A4A4A"/>
          <w:sz w:val="21"/>
          <w:szCs w:val="21"/>
          <w:lang w:eastAsia="en-GB"/>
        </w:rPr>
        <w:t>, equating to all species being classified as Least Concern on the IUCN Red List, and 0 is the minimum contribution that the country or region can make to global species</w:t>
      </w:r>
      <w:r w:rsidR="005D074D">
        <w:rPr>
          <w:rFonts w:ascii="Calibri" w:eastAsia="Times New Roman" w:hAnsi="Calibri" w:cs="Times New Roman"/>
          <w:color w:val="4A4A4A"/>
          <w:sz w:val="21"/>
          <w:szCs w:val="21"/>
          <w:lang w:eastAsia="en-GB"/>
        </w:rPr>
        <w:t xml:space="preserve"> survival</w:t>
      </w:r>
      <w:r w:rsidR="0089303C">
        <w:rPr>
          <w:rFonts w:ascii="Calibri" w:eastAsia="Times New Roman" w:hAnsi="Calibri" w:cs="Times New Roman"/>
          <w:color w:val="4A4A4A"/>
          <w:sz w:val="21"/>
          <w:szCs w:val="21"/>
          <w:lang w:eastAsia="en-GB"/>
        </w:rPr>
        <w:t>, equating to all species in the country or region having gone extinct.</w:t>
      </w:r>
    </w:p>
    <w:p w14:paraId="548E9AAA" w14:textId="07CC182C" w:rsidR="00EC2915" w:rsidRPr="00A96255" w:rsidRDefault="0089303C" w:rsidP="00576CFA">
      <w:pPr>
        <w:pStyle w:val="MText"/>
      </w:pPr>
      <w:r>
        <w:rPr>
          <w:highlight w:val="yellow"/>
        </w:rPr>
        <w:t xml:space="preserve"> </w:t>
      </w: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84C1F88" w:rsidR="00EC2915" w:rsidRDefault="00EA3411" w:rsidP="00576CFA">
      <w:pPr>
        <w:pStyle w:val="MText"/>
      </w:pPr>
      <w:r w:rsidRPr="00787B60">
        <w:t>The</w:t>
      </w:r>
      <w:r>
        <w:t xml:space="preserve"> Red List Index is based on categorisations of species on the IUCN Red List of Threatened Species (</w:t>
      </w:r>
      <w:hyperlink r:id="rId11" w:history="1">
        <w:r w:rsidRPr="00434E4D">
          <w:rPr>
            <w:rStyle w:val="Hyperlink"/>
          </w:rPr>
          <w:t>www.iucnredlist.org</w:t>
        </w:r>
      </w:hyperlink>
      <w:r>
        <w:t>), defined following IUCN (2012a).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91D0767" w14:textId="21201458" w:rsidR="005B4C2E" w:rsidRPr="005B4C2E" w:rsidRDefault="00162709"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Red List Index is based on data from </w:t>
      </w:r>
      <w:r w:rsidRPr="005B4C2E">
        <w:rPr>
          <w:rFonts w:ascii="Calibri" w:eastAsia="Times New Roman" w:hAnsi="Calibri" w:cs="Times New Roman"/>
          <w:color w:val="4A4A4A"/>
          <w:sz w:val="21"/>
          <w:szCs w:val="21"/>
          <w:lang w:eastAsia="en-GB"/>
        </w:rPr>
        <w:t>The IUCN Red List of Threatened Species (</w:t>
      </w:r>
      <w:hyperlink r:id="rId12" w:history="1">
        <w:r w:rsidRPr="00434E4D">
          <w:rPr>
            <w:rStyle w:val="Hyperlink"/>
            <w:rFonts w:ascii="Calibri" w:eastAsia="Times New Roman" w:hAnsi="Calibri" w:cs="Times New Roman"/>
            <w:sz w:val="21"/>
            <w:szCs w:val="21"/>
            <w:lang w:eastAsia="en-GB"/>
          </w:rPr>
          <w:t>www.iucnredlist.org</w:t>
        </w:r>
      </w:hyperlink>
      <w:r w:rsidRPr="005B4C2E">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in particular the numbers of species in each Red List category of extinction risk, and changes in these numbers over time resulting from genuine improvements or deteriorations in the status of species. </w:t>
      </w:r>
      <w:r w:rsidR="005B4C2E" w:rsidRPr="005B4C2E">
        <w:rPr>
          <w:rFonts w:ascii="Calibri" w:eastAsia="Times New Roman" w:hAnsi="Calibri" w:cs="Times New Roman"/>
          <w:color w:val="4A4A4A"/>
          <w:sz w:val="21"/>
          <w:szCs w:val="21"/>
          <w:lang w:eastAsia="en-GB"/>
        </w:rPr>
        <w:t xml:space="preserve">Data </w:t>
      </w:r>
      <w:r>
        <w:rPr>
          <w:rFonts w:ascii="Calibri" w:eastAsia="Times New Roman" w:hAnsi="Calibri" w:cs="Times New Roman"/>
          <w:color w:val="4A4A4A"/>
          <w:sz w:val="21"/>
          <w:szCs w:val="21"/>
          <w:lang w:eastAsia="en-GB"/>
        </w:rPr>
        <w:t xml:space="preserve">on species’ distribution, population size, trends and other parameters that underpin Red List assessments </w:t>
      </w:r>
      <w:r w:rsidR="005B4C2E" w:rsidRPr="005B4C2E">
        <w:rPr>
          <w:rFonts w:ascii="Calibri" w:eastAsia="Times New Roman" w:hAnsi="Calibri" w:cs="Times New Roman"/>
          <w:color w:val="4A4A4A"/>
          <w:sz w:val="21"/>
          <w:szCs w:val="21"/>
          <w:lang w:eastAsia="en-GB"/>
        </w:rPr>
        <w:t xml:space="preserve">are gathered from published and unpublished sources, species experts, scientists, and conservationists through correspondence, workshops, and electronic fora. </w:t>
      </w:r>
    </w:p>
    <w:p w14:paraId="5C9BDC86" w14:textId="77777777" w:rsidR="007B5F7B" w:rsidRDefault="007B5F7B" w:rsidP="00F719A8">
      <w:pPr>
        <w:pStyle w:val="MHeader2"/>
      </w:pPr>
    </w:p>
    <w:p w14:paraId="79368080" w14:textId="3C13BF3A" w:rsidR="008B0AC7" w:rsidRPr="00A96255" w:rsidRDefault="00576CFA" w:rsidP="00F719A8">
      <w:pPr>
        <w:pStyle w:val="MHeader2"/>
      </w:pPr>
      <w:r w:rsidRPr="00A96255">
        <w:lastRenderedPageBreak/>
        <w:t xml:space="preserve">3.b. Data collection method </w:t>
      </w:r>
      <w:r>
        <w:rPr>
          <w:color w:val="B4B4B4"/>
          <w:sz w:val="20"/>
        </w:rPr>
        <w:t>(COLL_METHOD)</w:t>
      </w:r>
    </w:p>
    <w:p w14:paraId="7FE60E33" w14:textId="4953B003" w:rsidR="005B4C2E" w:rsidRPr="005B4C2E" w:rsidRDefault="00162709"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A detailed description of the Red List Assessment process is provided at </w:t>
      </w:r>
      <w:hyperlink r:id="rId13" w:history="1">
        <w:r w:rsidRPr="00434E4D">
          <w:rPr>
            <w:rStyle w:val="Hyperlink"/>
            <w:rFonts w:ascii="Calibri" w:eastAsia="Times New Roman" w:hAnsi="Calibri" w:cs="Times New Roman"/>
            <w:sz w:val="21"/>
            <w:szCs w:val="21"/>
            <w:lang w:eastAsia="en-GB"/>
          </w:rPr>
          <w:t>https://www.iucnredlist.org/assessment/process</w:t>
        </w:r>
      </w:hyperlink>
      <w:r>
        <w:rPr>
          <w:rFonts w:ascii="Calibri" w:eastAsia="Times New Roman" w:hAnsi="Calibri" w:cs="Times New Roman"/>
          <w:color w:val="4A4A4A"/>
          <w:sz w:val="21"/>
          <w:szCs w:val="21"/>
          <w:lang w:eastAsia="en-GB"/>
        </w:rPr>
        <w:t xml:space="preserve">. </w:t>
      </w:r>
      <w:r w:rsidR="005B4C2E" w:rsidRPr="005B4C2E">
        <w:rPr>
          <w:rFonts w:ascii="Calibri" w:eastAsia="Times New Roman" w:hAnsi="Calibri" w:cs="Times New Roman"/>
          <w:color w:val="4A4A4A"/>
          <w:sz w:val="21"/>
          <w:szCs w:val="21"/>
          <w:lang w:eastAsia="en-GB"/>
        </w:rPr>
        <w:t xml:space="preserve">See </w:t>
      </w:r>
      <w:r>
        <w:rPr>
          <w:rFonts w:ascii="Calibri" w:eastAsia="Times New Roman" w:hAnsi="Calibri" w:cs="Times New Roman"/>
          <w:color w:val="4A4A4A"/>
          <w:sz w:val="21"/>
          <w:szCs w:val="21"/>
          <w:lang w:eastAsia="en-GB"/>
        </w:rPr>
        <w:t xml:space="preserve">also </w:t>
      </w:r>
      <w:r w:rsidR="005B4C2E" w:rsidRPr="005B4C2E">
        <w:rPr>
          <w:rFonts w:ascii="Calibri" w:eastAsia="Times New Roman" w:hAnsi="Calibri" w:cs="Times New Roman"/>
          <w:color w:val="4A4A4A"/>
          <w:sz w:val="21"/>
          <w:szCs w:val="21"/>
          <w:lang w:eastAsia="en-GB"/>
        </w:rPr>
        <w:t>information under other categories.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308AB4D0" w14:textId="33B3BD74"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IUCN Red List of Threatened Species is updated </w:t>
      </w:r>
      <w:r w:rsidR="00EA3411">
        <w:rPr>
          <w:rFonts w:ascii="Calibri" w:eastAsia="Times New Roman" w:hAnsi="Calibri" w:cs="Times New Roman"/>
          <w:color w:val="4A4A4A"/>
          <w:sz w:val="21"/>
          <w:szCs w:val="21"/>
          <w:lang w:eastAsia="en-GB"/>
        </w:rPr>
        <w:t>at least three times per year</w:t>
      </w:r>
      <w:r w:rsidRPr="005B4C2E">
        <w:rPr>
          <w:rFonts w:ascii="Calibri" w:eastAsia="Times New Roman" w:hAnsi="Calibri" w:cs="Times New Roman"/>
          <w:color w:val="4A4A4A"/>
          <w:sz w:val="21"/>
          <w:szCs w:val="21"/>
          <w:lang w:eastAsia="en-GB"/>
        </w:rPr>
        <w:t xml:space="preserve">. Red List Indices for sets of species that have been comprehensively reassessed are usually released alongside the </w:t>
      </w:r>
      <w:r w:rsidR="00EA3411">
        <w:rPr>
          <w:rFonts w:ascii="Calibri" w:eastAsia="Times New Roman" w:hAnsi="Calibri" w:cs="Times New Roman"/>
          <w:color w:val="4A4A4A"/>
          <w:sz w:val="21"/>
          <w:szCs w:val="21"/>
          <w:lang w:eastAsia="en-GB"/>
        </w:rPr>
        <w:t xml:space="preserve">relevant </w:t>
      </w:r>
      <w:r w:rsidRPr="005B4C2E">
        <w:rPr>
          <w:rFonts w:ascii="Calibri" w:eastAsia="Times New Roman" w:hAnsi="Calibri" w:cs="Times New Roman"/>
          <w:color w:val="4A4A4A"/>
          <w:sz w:val="21"/>
          <w:szCs w:val="21"/>
          <w:lang w:eastAsia="en-GB"/>
        </w:rPr>
        <w:t>update of the IUCN Red List. Data are stored and managed in the Species Information Service database, and are made freely available for non-commercial use through the IUCN Red List website</w:t>
      </w:r>
      <w:r w:rsidR="00EA3411">
        <w:rPr>
          <w:rFonts w:ascii="Calibri" w:eastAsia="Times New Roman" w:hAnsi="Calibri" w:cs="Times New Roman"/>
          <w:color w:val="4A4A4A"/>
          <w:sz w:val="21"/>
          <w:szCs w:val="21"/>
          <w:lang w:eastAsia="en-GB"/>
        </w:rPr>
        <w:t xml:space="preserve"> (www.iucnredlist.org)</w:t>
      </w:r>
      <w:r w:rsidRPr="005B4C2E">
        <w:rPr>
          <w:rFonts w:ascii="Calibri" w:eastAsia="Times New Roman" w:hAnsi="Calibri" w:cs="Times New Roman"/>
          <w:color w:val="4A4A4A"/>
          <w:sz w:val="21"/>
          <w:szCs w:val="21"/>
          <w:lang w:eastAsia="en-GB"/>
        </w:rPr>
        <w:t>. Re-assessments of extinction risk are required for every species assessed on The IUCN Red List of Threatened Species once every ten years, and ideally undertaken once every f</w:t>
      </w:r>
      <w:r w:rsidR="00162709">
        <w:rPr>
          <w:rFonts w:ascii="Calibri" w:eastAsia="Times New Roman" w:hAnsi="Calibri" w:cs="Times New Roman"/>
          <w:color w:val="4A4A4A"/>
          <w:sz w:val="21"/>
          <w:szCs w:val="21"/>
          <w:lang w:eastAsia="en-GB"/>
        </w:rPr>
        <w:t>ive</w:t>
      </w:r>
      <w:r w:rsidRPr="005B4C2E">
        <w:rPr>
          <w:rFonts w:ascii="Calibri" w:eastAsia="Times New Roman" w:hAnsi="Calibri" w:cs="Times New Roman"/>
          <w:color w:val="4A4A4A"/>
          <w:sz w:val="21"/>
          <w:szCs w:val="21"/>
          <w:lang w:eastAsia="en-GB"/>
        </w:rPr>
        <w:t xml:space="preserve"> years. A Red List Strategic Plan details a calendar of upcoming re-assessments for each taxonomic group.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2711BFC4" w14:textId="40A95692" w:rsidR="002B739C" w:rsidRPr="002B739C" w:rsidRDefault="00EA3411" w:rsidP="002B739C">
      <w:pPr>
        <w:keepNext/>
        <w:keepLines/>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The Red List Index is updated annually in November-December using the latest data</w:t>
      </w:r>
      <w:r w:rsidR="00162709">
        <w:rPr>
          <w:rFonts w:ascii="Calibri" w:eastAsia="Times New Roman" w:hAnsi="Calibri" w:cs="Times New Roman"/>
          <w:color w:val="4A4A4A"/>
          <w:sz w:val="21"/>
          <w:szCs w:val="21"/>
          <w:lang w:eastAsia="en-GB"/>
        </w:rPr>
        <w:t xml:space="preserve"> from reassessments on the IUCN Red List.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930921F" w14:textId="77777777" w:rsidR="00162709" w:rsidRPr="005B4C2E" w:rsidRDefault="002B739C" w:rsidP="0016270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National agencies producing relevant data include government, non-governmental organisations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w:t>
      </w:r>
      <w:r w:rsidR="00162709">
        <w:rPr>
          <w:rFonts w:ascii="Calibri" w:eastAsia="Times New Roman" w:hAnsi="Calibri" w:cs="Times New Roman"/>
          <w:color w:val="4A4A4A"/>
          <w:sz w:val="21"/>
          <w:szCs w:val="21"/>
          <w:lang w:eastAsia="en-GB"/>
        </w:rPr>
        <w:t xml:space="preserve"> The</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 xml:space="preserve">members of the </w:t>
      </w:r>
      <w:r w:rsidR="00162709" w:rsidRPr="005B4C2E">
        <w:rPr>
          <w:rFonts w:ascii="Calibri" w:eastAsia="Times New Roman" w:hAnsi="Calibri" w:cs="Times New Roman"/>
          <w:color w:val="4A4A4A"/>
          <w:sz w:val="21"/>
          <w:szCs w:val="21"/>
          <w:lang w:eastAsia="en-GB"/>
        </w:rPr>
        <w:t>Red List Partnership</w:t>
      </w:r>
      <w:r w:rsidR="00162709">
        <w:rPr>
          <w:rFonts w:ascii="Calibri" w:eastAsia="Times New Roman" w:hAnsi="Calibri" w:cs="Times New Roman"/>
          <w:color w:val="4A4A4A"/>
          <w:sz w:val="21"/>
          <w:szCs w:val="21"/>
          <w:lang w:eastAsia="en-GB"/>
        </w:rPr>
        <w:t xml:space="preserve"> are listed at </w:t>
      </w:r>
      <w:hyperlink r:id="rId14" w:history="1">
        <w:r w:rsidR="00162709" w:rsidRPr="00434E4D">
          <w:rPr>
            <w:rStyle w:val="Hyperlink"/>
            <w:rFonts w:ascii="Calibri" w:eastAsia="Times New Roman" w:hAnsi="Calibri" w:cs="Times New Roman"/>
            <w:sz w:val="21"/>
            <w:szCs w:val="21"/>
            <w:lang w:eastAsia="en-GB"/>
          </w:rPr>
          <w:t>https://www.iucnredlist.org/about/partners</w:t>
        </w:r>
      </w:hyperlink>
      <w:r w:rsidR="00162709">
        <w:rPr>
          <w:rFonts w:ascii="Calibri" w:eastAsia="Times New Roman" w:hAnsi="Calibri" w:cs="Times New Roman"/>
          <w:color w:val="4A4A4A"/>
          <w:sz w:val="21"/>
          <w:szCs w:val="21"/>
          <w:lang w:eastAsia="en-GB"/>
        </w:rPr>
        <w:t>, and currently</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include</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 xml:space="preserve">ABQ </w:t>
      </w:r>
      <w:proofErr w:type="spellStart"/>
      <w:r w:rsidR="00162709">
        <w:rPr>
          <w:rFonts w:ascii="Calibri" w:eastAsia="Times New Roman" w:hAnsi="Calibri" w:cs="Times New Roman"/>
          <w:color w:val="4A4A4A"/>
          <w:sz w:val="21"/>
          <w:szCs w:val="21"/>
          <w:lang w:eastAsia="en-GB"/>
        </w:rPr>
        <w:t>BioPark</w:t>
      </w:r>
      <w:proofErr w:type="spellEnd"/>
      <w:r w:rsidR="00162709">
        <w:rPr>
          <w:rFonts w:ascii="Calibri" w:eastAsia="Times New Roman" w:hAnsi="Calibri" w:cs="Times New Roman"/>
          <w:color w:val="4A4A4A"/>
          <w:sz w:val="21"/>
          <w:szCs w:val="21"/>
          <w:lang w:eastAsia="en-GB"/>
        </w:rPr>
        <w:t xml:space="preserve">; Arizona State University Centre for  Biodiversity Outcomes; </w:t>
      </w:r>
      <w:proofErr w:type="spellStart"/>
      <w:r w:rsidR="00162709" w:rsidRPr="005B4C2E">
        <w:rPr>
          <w:rFonts w:ascii="Calibri" w:eastAsia="Times New Roman" w:hAnsi="Calibri" w:cs="Times New Roman"/>
          <w:color w:val="4A4A4A"/>
          <w:sz w:val="21"/>
          <w:szCs w:val="21"/>
          <w:lang w:eastAsia="en-GB"/>
        </w:rPr>
        <w:t>BirdLife</w:t>
      </w:r>
      <w:proofErr w:type="spellEnd"/>
      <w:r w:rsidR="00162709" w:rsidRPr="005B4C2E">
        <w:rPr>
          <w:rFonts w:ascii="Calibri" w:eastAsia="Times New Roman" w:hAnsi="Calibri" w:cs="Times New Roman"/>
          <w:color w:val="4A4A4A"/>
          <w:sz w:val="21"/>
          <w:szCs w:val="21"/>
          <w:lang w:eastAsia="en-GB"/>
        </w:rPr>
        <w:t xml:space="preserve"> International; Botanic Gardens Conservation International; Conservation International; </w:t>
      </w:r>
      <w:r w:rsidR="00162709">
        <w:rPr>
          <w:rFonts w:ascii="Calibri" w:eastAsia="Times New Roman" w:hAnsi="Calibri" w:cs="Times New Roman"/>
          <w:color w:val="4A4A4A"/>
          <w:sz w:val="21"/>
          <w:szCs w:val="21"/>
          <w:lang w:eastAsia="en-GB"/>
        </w:rPr>
        <w:t xml:space="preserve">Global Wildlife Conservation; Missouri Botanical Garden; </w:t>
      </w:r>
      <w:proofErr w:type="spellStart"/>
      <w:r w:rsidR="00162709" w:rsidRPr="005B4C2E">
        <w:rPr>
          <w:rFonts w:ascii="Calibri" w:eastAsia="Times New Roman" w:hAnsi="Calibri" w:cs="Times New Roman"/>
          <w:color w:val="4A4A4A"/>
          <w:sz w:val="21"/>
          <w:szCs w:val="21"/>
          <w:lang w:eastAsia="en-GB"/>
        </w:rPr>
        <w:t>NatureServe</w:t>
      </w:r>
      <w:proofErr w:type="spellEnd"/>
      <w:r w:rsidR="00162709" w:rsidRPr="005B4C2E">
        <w:rPr>
          <w:rFonts w:ascii="Calibri" w:eastAsia="Times New Roman" w:hAnsi="Calibri" w:cs="Times New Roman"/>
          <w:color w:val="4A4A4A"/>
          <w:sz w:val="21"/>
          <w:szCs w:val="21"/>
          <w:lang w:eastAsia="en-GB"/>
        </w:rPr>
        <w:t>; Royal Botanic Gardens, Kew; Sapienza University of Rome; Texas A&amp;M University; and Zoological Society of London.</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477F3F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Name:</w:t>
      </w:r>
    </w:p>
    <w:p w14:paraId="38D82E0B" w14:textId="018124CC" w:rsidR="002B739C" w:rsidRPr="002B739C" w:rsidRDefault="007B54E1" w:rsidP="002B739C">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International Union for Conservation of Nature</w:t>
      </w:r>
      <w:r w:rsidRPr="002B739C">
        <w:rPr>
          <w:rFonts w:ascii="Calibri" w:eastAsia="Times New Roman" w:hAnsi="Calibri" w:cs="Times New Roman"/>
          <w:color w:val="4A4A4A"/>
          <w:sz w:val="21"/>
          <w:szCs w:val="21"/>
          <w:lang w:eastAsia="en-GB"/>
        </w:rPr>
        <w:t xml:space="preserve"> </w:t>
      </w:r>
      <w:r>
        <w:rPr>
          <w:rFonts w:ascii="Calibri" w:eastAsia="Times New Roman" w:hAnsi="Calibri" w:cs="Times New Roman"/>
          <w:color w:val="4A4A4A"/>
          <w:sz w:val="21"/>
          <w:szCs w:val="21"/>
          <w:lang w:eastAsia="en-GB"/>
        </w:rPr>
        <w:t>(</w:t>
      </w:r>
      <w:r w:rsidR="002B739C" w:rsidRPr="002B739C">
        <w:rPr>
          <w:rFonts w:ascii="Calibri" w:eastAsia="Times New Roman" w:hAnsi="Calibri" w:cs="Times New Roman"/>
          <w:color w:val="4A4A4A"/>
          <w:sz w:val="21"/>
          <w:szCs w:val="21"/>
          <w:lang w:eastAsia="en-GB"/>
        </w:rPr>
        <w:t>IUCN</w:t>
      </w:r>
      <w:r>
        <w:rPr>
          <w:rFonts w:ascii="Calibri" w:eastAsia="Times New Roman" w:hAnsi="Calibri" w:cs="Times New Roman"/>
          <w:color w:val="4A4A4A"/>
          <w:sz w:val="21"/>
          <w:szCs w:val="21"/>
          <w:lang w:eastAsia="en-GB"/>
        </w:rPr>
        <w:t>)</w:t>
      </w:r>
    </w:p>
    <w:p w14:paraId="586B280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1EC3C36"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Description:</w:t>
      </w:r>
    </w:p>
    <w:p w14:paraId="7ECEB403" w14:textId="3B6AF090"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Compilation and reporting of the Red List Index at the global level is conducted by the International Union for Conservation of Nature (IUCN) and </w:t>
      </w:r>
      <w:proofErr w:type="spellStart"/>
      <w:r w:rsidRPr="002B739C">
        <w:rPr>
          <w:rFonts w:ascii="Calibri" w:eastAsia="Times New Roman" w:hAnsi="Calibri" w:cs="Times New Roman"/>
          <w:color w:val="4A4A4A"/>
          <w:sz w:val="21"/>
          <w:szCs w:val="21"/>
          <w:lang w:eastAsia="en-GB"/>
        </w:rPr>
        <w:t>BirdLife</w:t>
      </w:r>
      <w:proofErr w:type="spellEnd"/>
      <w:r w:rsidRPr="002B739C">
        <w:rPr>
          <w:rFonts w:ascii="Calibri" w:eastAsia="Times New Roman" w:hAnsi="Calibri" w:cs="Times New Roman"/>
          <w:color w:val="4A4A4A"/>
          <w:sz w:val="21"/>
          <w:szCs w:val="21"/>
          <w:lang w:eastAsia="en-GB"/>
        </w:rPr>
        <w:t xml:space="preserve"> International, on behalf of the Red List Partnership.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4C36B2D" w14:textId="1E61D527" w:rsidR="00162709" w:rsidRDefault="00162709" w:rsidP="00576CFA">
      <w:pPr>
        <w:pStyle w:val="MText"/>
      </w:pPr>
      <w:r>
        <w:t xml:space="preserve">Responsibility for overseeing </w:t>
      </w:r>
      <w:r w:rsidRPr="005D074D">
        <w:t>Red List assessments</w:t>
      </w:r>
      <w:r>
        <w:t>,</w:t>
      </w:r>
      <w:r w:rsidRPr="005D074D">
        <w:t xml:space="preserve"> which underpin the Red List Index</w:t>
      </w:r>
      <w:r>
        <w:t>,</w:t>
      </w:r>
      <w:r w:rsidRPr="005D074D">
        <w:t xml:space="preserve"> </w:t>
      </w:r>
      <w:r>
        <w:t>is assigned to</w:t>
      </w:r>
    </w:p>
    <w:p w14:paraId="7297B973" w14:textId="7B46C37A" w:rsidR="00162709" w:rsidRPr="00A96255" w:rsidRDefault="00162709" w:rsidP="00576CFA">
      <w:pPr>
        <w:pStyle w:val="MText"/>
      </w:pPr>
      <w:r w:rsidRPr="00162709">
        <w:t xml:space="preserve">Red List Authorities according to the IUCN </w:t>
      </w:r>
      <w:r w:rsidR="005D074D">
        <w:t xml:space="preserve">Red List </w:t>
      </w:r>
      <w:r w:rsidRPr="00162709">
        <w:t>Rules of Procedure</w:t>
      </w:r>
      <w:r w:rsidR="00D60D4F">
        <w:t xml:space="preserve"> (</w:t>
      </w:r>
      <w:r w:rsidR="00D60D4F" w:rsidRPr="00D60D4F">
        <w:t>https://nc.iucnredlist.org/redlist/content/attachment_files/Rules_of_Procedure_for_IUCN_Red_List_2017-2020.pdf</w:t>
      </w:r>
      <w:r w:rsidR="00D60D4F">
        <w:t>)</w:t>
      </w:r>
      <w:r w:rsidRPr="00162709">
        <w:t>. The role of R</w:t>
      </w:r>
      <w:r w:rsidR="00D60D4F">
        <w:t>ed List Authorities</w:t>
      </w:r>
      <w:r w:rsidRPr="00162709">
        <w:t xml:space="preserve"> is to ensure that all species within their remit are correctly </w:t>
      </w:r>
      <w:r w:rsidRPr="00162709">
        <w:lastRenderedPageBreak/>
        <w:t>assessed against the IUCN Red List Categories and Criteria at least once every ten years and, if possible, every five years.</w:t>
      </w:r>
      <w:r w:rsidR="00D60D4F">
        <w:t xml:space="preserve"> Further details of the roles and responsibilities of Red List Authorities are provided at </w:t>
      </w:r>
      <w:hyperlink r:id="rId15" w:history="1">
        <w:r w:rsidR="00D60D4F" w:rsidRPr="00434E4D">
          <w:rPr>
            <w:rStyle w:val="Hyperlink"/>
          </w:rPr>
          <w:t>https://www.iucnredlist.org/assessment/authorities</w:t>
        </w:r>
      </w:hyperlink>
      <w:r w:rsidR="00D60D4F">
        <w:t>, and t</w:t>
      </w:r>
      <w:r w:rsidR="00D60D4F" w:rsidRPr="00D60D4F">
        <w:t xml:space="preserve">he full list and contact details for all appointed </w:t>
      </w:r>
      <w:r w:rsidR="00D60D4F">
        <w:t>Red List Authorities</w:t>
      </w:r>
      <w:r w:rsidR="00D60D4F" w:rsidRPr="00D60D4F">
        <w:t xml:space="preserve"> are available </w:t>
      </w:r>
      <w:r w:rsidR="00D60D4F">
        <w:t xml:space="preserve">at </w:t>
      </w:r>
      <w:r w:rsidR="00D60D4F" w:rsidRPr="00D60D4F">
        <w:t>https://www.iucn.org/commissions/ssc-groups.</w:t>
      </w:r>
    </w:p>
    <w:p w14:paraId="7D007C3C" w14:textId="6956AA4D" w:rsidR="00EC2915" w:rsidRDefault="00D60D4F" w:rsidP="005D074D">
      <w:pPr>
        <w:pStyle w:val="MText"/>
        <w:jc w:val="right"/>
      </w:pPr>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86B64F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world’s species are impacted by a number of threatening processes, including habitat destruction and degradation, overexploitation, invasive alien species, human disturbance, pollution and climate change. This indicator can be used to assess overall changes in the extinction risk of groups of species as a result of these threats and the extent to which threats are being mitigated.</w:t>
      </w:r>
    </w:p>
    <w:p w14:paraId="4B0C942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C9C4681" w14:textId="4D03B19D"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value ranges from 1 (all species are categorized as ‘Least Concern’) to 0 (all species are categorized as ‘Extinct’), and so indicates how far the set of species has moved overall towards extinction. Thus, the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allows comparisons between sets of species in both their overall level of extinction risk (i.e., how threatened they are on average), and in the rate at which this risk changes over time. A downward trend in the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over time means that the expected rate of future species extinctions is worsening (i.e., the rate of biodiversity loss is increasing). An upward trend means that the expected rate of species extinctions is abating (i.e., the rate of biodiversity loss is decreasing), and a horizontal line means that the expected rate of species extinctions is remaining the same, although in each of these cases it does not mean that biodiversity loss has stopped. An upward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trend would indicate that the SDG Target 15.5 of reducing the degradation of natural habitats and protecting threatened species is on track. A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Red List Index value of 1 would indicate that biodiversity loss has been halted.</w:t>
      </w:r>
    </w:p>
    <w:p w14:paraId="52498E6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AE86FC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name “Red List Index” should not be taken to imply that the indicator is produced as a composite indicator of a number of disparate metrics (in the same way that, e.g., the Multidimensional Poverty Index is compiled). The Red List Index provides an indicator of trends in species’ extinction risk, as measured using the IUCN Red List Categories and Criteria (Mace et al. 2008, IUCN 2012a), and is compiled from data on changes over time in the Red List Category for each species, excluding any changes driven by improved knowledge or revised taxonomy.</w:t>
      </w:r>
    </w:p>
    <w:p w14:paraId="72147915"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676148A" w14:textId="69B631C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w:t>
      </w:r>
      <w:r w:rsidR="00D60D4F">
        <w:rPr>
          <w:rFonts w:ascii="Calibri" w:eastAsia="Times New Roman" w:hAnsi="Calibri" w:cs="Times New Roman"/>
          <w:color w:val="4A4A4A"/>
          <w:sz w:val="21"/>
          <w:szCs w:val="21"/>
          <w:lang w:eastAsia="en-GB"/>
        </w:rPr>
        <w:t>wa</w:t>
      </w:r>
      <w:r w:rsidRPr="005B4C2E">
        <w:rPr>
          <w:rFonts w:ascii="Calibri" w:eastAsia="Times New Roman" w:hAnsi="Calibri" w:cs="Times New Roman"/>
          <w:color w:val="4A4A4A"/>
          <w:sz w:val="21"/>
          <w:szCs w:val="21"/>
          <w:lang w:eastAsia="en-GB"/>
        </w:rPr>
        <w:t xml:space="preserve">s used as an indicator towards the 2011–2020 Strategic Plan for Biodiversity (CBD 2014, </w:t>
      </w:r>
      <w:proofErr w:type="spellStart"/>
      <w:r w:rsidRPr="005B4C2E">
        <w:rPr>
          <w:rFonts w:ascii="Calibri" w:eastAsia="Times New Roman" w:hAnsi="Calibri" w:cs="Times New Roman"/>
          <w:color w:val="4A4A4A"/>
          <w:sz w:val="21"/>
          <w:szCs w:val="21"/>
          <w:lang w:eastAsia="en-GB"/>
        </w:rPr>
        <w:t>Tittensor</w:t>
      </w:r>
      <w:proofErr w:type="spellEnd"/>
      <w:r w:rsidRPr="005B4C2E">
        <w:rPr>
          <w:rFonts w:ascii="Calibri" w:eastAsia="Times New Roman" w:hAnsi="Calibri" w:cs="Times New Roman"/>
          <w:color w:val="4A4A4A"/>
          <w:sz w:val="21"/>
          <w:szCs w:val="21"/>
          <w:lang w:eastAsia="en-GB"/>
        </w:rPr>
        <w:t xml:space="preserve"> et al. 2014</w:t>
      </w:r>
      <w:r w:rsidR="00D60D4F">
        <w:rPr>
          <w:rFonts w:ascii="Calibri" w:eastAsia="Times New Roman" w:hAnsi="Calibri" w:cs="Times New Roman"/>
          <w:color w:val="4A4A4A"/>
          <w:sz w:val="21"/>
          <w:szCs w:val="21"/>
          <w:lang w:eastAsia="en-GB"/>
        </w:rPr>
        <w:t>, CBD 2020</w:t>
      </w:r>
      <w:r w:rsidR="00CC76B4">
        <w:rPr>
          <w:rFonts w:ascii="Calibri" w:eastAsia="Times New Roman" w:hAnsi="Calibri" w:cs="Times New Roman"/>
          <w:color w:val="4A4A4A"/>
          <w:sz w:val="21"/>
          <w:szCs w:val="21"/>
          <w:lang w:eastAsia="en-GB"/>
        </w:rPr>
        <w:t>a</w:t>
      </w:r>
      <w:r w:rsidRPr="005B4C2E">
        <w:rPr>
          <w:rFonts w:ascii="Calibri" w:eastAsia="Times New Roman" w:hAnsi="Calibri" w:cs="Times New Roman"/>
          <w:color w:val="4A4A4A"/>
          <w:sz w:val="21"/>
          <w:szCs w:val="21"/>
          <w:lang w:eastAsia="en-GB"/>
        </w:rPr>
        <w:t>), the Convention on Biological Diversity’s 2010 Target (Butchart et al. 2010) and Millennium Development Goal 7.</w:t>
      </w:r>
      <w:r w:rsidR="00D60D4F">
        <w:rPr>
          <w:rFonts w:ascii="Calibri" w:eastAsia="Times New Roman" w:hAnsi="Calibri" w:cs="Times New Roman"/>
          <w:color w:val="4A4A4A"/>
          <w:sz w:val="21"/>
          <w:szCs w:val="21"/>
          <w:lang w:eastAsia="en-GB"/>
        </w:rPr>
        <w:t xml:space="preserve"> It has been proposed as a Headline Indicator in the draft post-2020 Global Biodiversity Framework</w:t>
      </w:r>
      <w:r w:rsidR="00CC76B4">
        <w:rPr>
          <w:rFonts w:ascii="Calibri" w:eastAsia="Times New Roman" w:hAnsi="Calibri" w:cs="Times New Roman"/>
          <w:color w:val="4A4A4A"/>
          <w:sz w:val="21"/>
          <w:szCs w:val="21"/>
          <w:lang w:eastAsia="en-GB"/>
        </w:rPr>
        <w:t xml:space="preserve"> (CBD 2020b).</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E9C0DC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There are four main sources of uncertainty associated with Red List Index values and trends.</w:t>
      </w:r>
    </w:p>
    <w:p w14:paraId="63C887A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F089950" w14:textId="77777777" w:rsidR="005B4C2E" w:rsidRPr="005B4C2E" w:rsidRDefault="005B4C2E" w:rsidP="00A02495">
      <w:pPr>
        <w:numPr>
          <w:ilvl w:val="0"/>
          <w:numId w:val="5"/>
        </w:numPr>
        <w:shd w:val="clear" w:color="auto" w:fill="FFFFFF"/>
        <w:spacing w:after="0"/>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Inadequate, incomplete or inaccurate knowledge of a species’ status. This uncertainty is minimized by assigning estimates of extinction risk to categories that are broad in magnitude and timing.</w:t>
      </w:r>
    </w:p>
    <w:p w14:paraId="27EE59C5" w14:textId="77777777" w:rsidR="005B4C2E" w:rsidRPr="005B4C2E" w:rsidRDefault="005B4C2E" w:rsidP="00A02495">
      <w:pPr>
        <w:pStyle w:val="NoSpacing"/>
        <w:rPr>
          <w:lang w:eastAsia="en-GB"/>
        </w:rPr>
      </w:pPr>
    </w:p>
    <w:p w14:paraId="7DF6ADE2" w14:textId="2692EFFA" w:rsidR="005B4C2E" w:rsidRPr="005B4C2E" w:rsidRDefault="005B4C2E" w:rsidP="00A02495">
      <w:pPr>
        <w:numPr>
          <w:ilvl w:val="0"/>
          <w:numId w:val="5"/>
        </w:numPr>
        <w:shd w:val="clear" w:color="auto" w:fill="FFFFFF"/>
        <w:spacing w:after="0"/>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lastRenderedPageBreak/>
        <w:t>Delays in knowledge about a species becoming available for assessment. Such delays apply to a small (and diminishing) proportion of status changes, and can be overcome in the Red List Index through back-casting</w:t>
      </w:r>
      <w:r w:rsidR="00C36386">
        <w:rPr>
          <w:rFonts w:ascii="Calibri" w:eastAsia="Times New Roman" w:hAnsi="Calibri" w:cs="Calibri"/>
          <w:color w:val="4A4A4A"/>
          <w:sz w:val="21"/>
          <w:szCs w:val="21"/>
          <w:lang w:eastAsia="en-GB"/>
        </w:rPr>
        <w:t xml:space="preserve"> (Butchart et al. 2007)</w:t>
      </w:r>
      <w:r w:rsidRPr="005B4C2E">
        <w:rPr>
          <w:rFonts w:ascii="Calibri" w:eastAsia="Times New Roman" w:hAnsi="Calibri" w:cs="Calibri"/>
          <w:color w:val="4A4A4A"/>
          <w:sz w:val="21"/>
          <w:szCs w:val="21"/>
          <w:lang w:eastAsia="en-GB"/>
        </w:rPr>
        <w:t>.</w:t>
      </w:r>
    </w:p>
    <w:p w14:paraId="7B79B6B3" w14:textId="77777777" w:rsidR="005B4C2E" w:rsidRPr="005B4C2E" w:rsidRDefault="005B4C2E" w:rsidP="00A02495">
      <w:pPr>
        <w:pStyle w:val="NoSpacing"/>
        <w:rPr>
          <w:lang w:eastAsia="en-GB"/>
        </w:rPr>
      </w:pPr>
    </w:p>
    <w:p w14:paraId="0762FE1F" w14:textId="0DA1AF90" w:rsidR="005B4C2E" w:rsidRPr="005B4C2E" w:rsidRDefault="005B4C2E" w:rsidP="00A02495">
      <w:pPr>
        <w:numPr>
          <w:ilvl w:val="0"/>
          <w:numId w:val="5"/>
        </w:numPr>
        <w:shd w:val="clear" w:color="auto" w:fill="FFFFFF"/>
        <w:spacing w:after="0"/>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Inconsistency between species assessments. These can be minimized by the requirement to provide supporting documentation detailing the best available data, with justifications, sources, and estimates of uncertainty and data quality, which are checked and standardized by IUCN through Red List Authorities, a Red List Technical Working Group and an independent Standards and Petitions Sub-committee. Further, detailed Guidelines on the Application of the Categories and Criteria are maintained (IUCN SPSC 201</w:t>
      </w:r>
      <w:r w:rsidR="00C36386">
        <w:rPr>
          <w:rFonts w:ascii="Calibri" w:eastAsia="Times New Roman" w:hAnsi="Calibri" w:cs="Calibri"/>
          <w:color w:val="4A4A4A"/>
          <w:sz w:val="21"/>
          <w:szCs w:val="21"/>
          <w:lang w:eastAsia="en-GB"/>
        </w:rPr>
        <w:t>9</w:t>
      </w:r>
      <w:r w:rsidRPr="005B4C2E">
        <w:rPr>
          <w:rFonts w:ascii="Calibri" w:eastAsia="Times New Roman" w:hAnsi="Calibri" w:cs="Calibri"/>
          <w:color w:val="4A4A4A"/>
          <w:sz w:val="21"/>
          <w:szCs w:val="21"/>
          <w:lang w:eastAsia="en-GB"/>
        </w:rPr>
        <w:t>), as is an online training course (in English, Spanish and French).</w:t>
      </w:r>
    </w:p>
    <w:p w14:paraId="7BBB9FEF" w14:textId="77777777" w:rsidR="005B4C2E" w:rsidRPr="00A02495" w:rsidRDefault="005B4C2E" w:rsidP="00A02495">
      <w:pPr>
        <w:pStyle w:val="NoSpacing"/>
      </w:pPr>
    </w:p>
    <w:p w14:paraId="67F38843" w14:textId="322B7396" w:rsidR="005B4C2E" w:rsidRPr="005B4C2E" w:rsidRDefault="005B4C2E" w:rsidP="00A02495">
      <w:pPr>
        <w:numPr>
          <w:ilvl w:val="0"/>
          <w:numId w:val="5"/>
        </w:numPr>
        <w:shd w:val="clear" w:color="auto" w:fill="FFFFFF"/>
        <w:spacing w:after="0"/>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Species that are too poorly known for the Red List Criteria to be applied are assigned to the Data Deficient category. For birds, only 0.8% of extant species are evaluated as Data Deficient, compared with 24% of amphibians. If Data Deficient species differ in the rate at which their extinction risk is changing, the Red List Index may give a biased picture of the changing extinction risk of the overall set of species. The degree of uncertainty this introduces is estimated through a bootstrapping procedure that randomly assigns each Data Deficient species a category based on the numbers of non-Data Deficient species in each Red List category for the set of species under consideration, and repeats this for 1,000 iterations, plotting the 2.5 and 97.5 percentiles as lower and upper confidence intervals for the median.</w:t>
      </w:r>
    </w:p>
    <w:p w14:paraId="04BF56A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B6CC047" w14:textId="432DFF8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main limitation of the Red List Index is related to the fact that the Red List Categories are relatively broad measures of status, and thus the Red List Index for any individual taxonomic group can practically be updated at intervals of at least four years. </w:t>
      </w:r>
      <w:r w:rsidR="00C36386">
        <w:rPr>
          <w:rFonts w:ascii="Calibri" w:eastAsia="Times New Roman" w:hAnsi="Calibri" w:cs="Times New Roman"/>
          <w:color w:val="4A4A4A"/>
          <w:sz w:val="21"/>
          <w:szCs w:val="21"/>
          <w:lang w:eastAsia="en-GB"/>
        </w:rPr>
        <w:t>However, as</w:t>
      </w:r>
      <w:r w:rsidRPr="005B4C2E">
        <w:rPr>
          <w:rFonts w:ascii="Calibri" w:eastAsia="Times New Roman" w:hAnsi="Calibri" w:cs="Times New Roman"/>
          <w:color w:val="4A4A4A"/>
          <w:sz w:val="21"/>
          <w:szCs w:val="21"/>
          <w:lang w:eastAsia="en-GB"/>
        </w:rPr>
        <w:t xml:space="preserve"> the overall index is aggregated across multiple taxonomic groups</w:t>
      </w:r>
      <w:r w:rsidR="00C36386">
        <w:rPr>
          <w:rFonts w:ascii="Calibri" w:eastAsia="Times New Roman" w:hAnsi="Calibri" w:cs="Times New Roman"/>
          <w:color w:val="4A4A4A"/>
          <w:sz w:val="21"/>
          <w:szCs w:val="21"/>
          <w:lang w:eastAsia="en-GB"/>
        </w:rPr>
        <w:t>, with groups reassessed asynchronously</w:t>
      </w:r>
      <w:r w:rsidRPr="005B4C2E">
        <w:rPr>
          <w:rFonts w:ascii="Calibri" w:eastAsia="Times New Roman" w:hAnsi="Calibri" w:cs="Times New Roman"/>
          <w:color w:val="4A4A4A"/>
          <w:sz w:val="21"/>
          <w:szCs w:val="21"/>
          <w:lang w:eastAsia="en-GB"/>
        </w:rPr>
        <w:t xml:space="preserve">, it can be updated annually. </w:t>
      </w:r>
      <w:r w:rsidR="00C36386">
        <w:rPr>
          <w:rFonts w:ascii="Calibri" w:eastAsia="Times New Roman" w:hAnsi="Calibri" w:cs="Times New Roman"/>
          <w:color w:val="4A4A4A"/>
          <w:sz w:val="21"/>
          <w:szCs w:val="21"/>
          <w:lang w:eastAsia="en-GB"/>
        </w:rPr>
        <w:t>A further limitation is that</w:t>
      </w:r>
      <w:r w:rsidRPr="005B4C2E">
        <w:rPr>
          <w:rFonts w:ascii="Calibri" w:eastAsia="Times New Roman" w:hAnsi="Calibri" w:cs="Times New Roman"/>
          <w:color w:val="4A4A4A"/>
          <w:sz w:val="21"/>
          <w:szCs w:val="21"/>
          <w:lang w:eastAsia="en-GB"/>
        </w:rPr>
        <w:t xml:space="preserve"> the Red List Index does not </w:t>
      </w:r>
      <w:r w:rsidR="00C36386">
        <w:rPr>
          <w:rFonts w:ascii="Calibri" w:eastAsia="Times New Roman" w:hAnsi="Calibri" w:cs="Times New Roman"/>
          <w:color w:val="4A4A4A"/>
          <w:sz w:val="21"/>
          <w:szCs w:val="21"/>
          <w:lang w:eastAsia="en-GB"/>
        </w:rPr>
        <w:t>reflect</w:t>
      </w:r>
      <w:r w:rsidR="00C36386" w:rsidRPr="005B4C2E">
        <w:rPr>
          <w:rFonts w:ascii="Calibri" w:eastAsia="Times New Roman" w:hAnsi="Calibri" w:cs="Times New Roman"/>
          <w:color w:val="4A4A4A"/>
          <w:sz w:val="21"/>
          <w:szCs w:val="21"/>
          <w:lang w:eastAsia="en-GB"/>
        </w:rPr>
        <w:t xml:space="preserve"> </w:t>
      </w:r>
      <w:r w:rsidRPr="005B4C2E">
        <w:rPr>
          <w:rFonts w:ascii="Calibri" w:eastAsia="Times New Roman" w:hAnsi="Calibri" w:cs="Times New Roman"/>
          <w:color w:val="4A4A4A"/>
          <w:sz w:val="21"/>
          <w:szCs w:val="21"/>
          <w:lang w:eastAsia="en-GB"/>
        </w:rPr>
        <w:t>particularly well the deteriorating status of common species that remain abundant and widespread but are declining slowly.</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F7223FF" w14:textId="5B1E297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Red List Index is calculated at a point in time by first multiplying the number of species in each Red List Category by a weight (ranging from 1 for ‘Near Threatened’ to 5 for ‘Extinct’ and ‘Extinct in the Wild’) and summing these values. This is then divided by a maximum threat score</w:t>
      </w:r>
      <w:r w:rsidR="00D410F1">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which is the total number of species multiplied by the weight assigned to the ‘Extinct’ category. This final value is subtracted from 1 to give the Red List Index value.</w:t>
      </w:r>
    </w:p>
    <w:p w14:paraId="38DBCFB8"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3BC96C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Mathematically this calculation is expressed as: </w:t>
      </w:r>
    </w:p>
    <w:p w14:paraId="40047DB1" w14:textId="2F2AC255" w:rsidR="00FA11BF" w:rsidRDefault="00FA11BF" w:rsidP="005B4C2E">
      <w:pPr>
        <w:shd w:val="clear" w:color="auto" w:fill="FFFFFF"/>
        <w:spacing w:after="0"/>
        <w:contextualSpacing/>
        <w:rPr>
          <w:rFonts w:ascii="Calibri" w:eastAsia="Times New Roman" w:hAnsi="Calibri" w:cs="Times New Roman"/>
          <w:color w:val="4A4A4A"/>
          <w:sz w:val="21"/>
          <w:szCs w:val="21"/>
          <w:lang w:eastAsia="en-GB"/>
        </w:rPr>
      </w:pPr>
    </w:p>
    <w:p w14:paraId="166DFE83" w14:textId="54EDF34D" w:rsidR="00D410F1" w:rsidRDefault="00E21448" w:rsidP="005B4C2E">
      <w:pPr>
        <w:shd w:val="clear" w:color="auto" w:fill="FFFFFF"/>
        <w:spacing w:after="0"/>
        <w:contextualSpacing/>
        <w:rPr>
          <w:rFonts w:ascii="Calibri" w:eastAsia="Times New Roman" w:hAnsi="Calibri" w:cs="Times New Roman"/>
          <w:color w:val="4A4A4A"/>
          <w:sz w:val="21"/>
          <w:szCs w:val="21"/>
          <w:lang w:eastAsia="en-GB"/>
        </w:rPr>
      </w:pPr>
      <m:oMathPara>
        <m:oMath>
          <m:r>
            <w:rPr>
              <w:rFonts w:ascii="Cambria Math" w:eastAsia="Times New Roman" w:hAnsi="Cambria Math" w:cs="Times New Roman"/>
              <w:color w:val="4A4A4A"/>
              <w:sz w:val="21"/>
              <w:szCs w:val="21"/>
              <w:lang w:eastAsia="en-GB"/>
            </w:rPr>
            <m:t>RL</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t</m:t>
              </m:r>
            </m:sub>
          </m:sSub>
          <m:r>
            <w:rPr>
              <w:rFonts w:ascii="Cambria Math" w:eastAsia="Times New Roman" w:hAnsi="Cambria Math" w:cs="Times New Roman"/>
              <w:color w:val="4A4A4A"/>
              <w:sz w:val="21"/>
              <w:szCs w:val="21"/>
              <w:lang w:eastAsia="en-GB"/>
            </w:rPr>
            <m:t>=1-</m:t>
          </m:r>
          <m:f>
            <m:fPr>
              <m:ctrlPr>
                <w:rPr>
                  <w:rFonts w:ascii="Cambria Math" w:eastAsia="Times New Roman" w:hAnsi="Cambria Math" w:cs="Times New Roman"/>
                  <w:i/>
                  <w:color w:val="4A4A4A"/>
                  <w:sz w:val="21"/>
                  <w:szCs w:val="21"/>
                  <w:lang w:eastAsia="en-GB"/>
                </w:rPr>
              </m:ctrlPr>
            </m:fPr>
            <m:num>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Σ</m:t>
                  </m:r>
                </m:e>
                <m:sub>
                  <m:r>
                    <w:rPr>
                      <w:rFonts w:ascii="Cambria Math" w:eastAsia="Times New Roman" w:hAnsi="Cambria Math" w:cs="Times New Roman"/>
                      <w:color w:val="4A4A4A"/>
                      <w:sz w:val="21"/>
                      <w:szCs w:val="21"/>
                      <w:lang w:eastAsia="en-GB"/>
                    </w:rPr>
                    <m:t>s</m:t>
                  </m:r>
                </m:sub>
              </m:sSub>
              <m:r>
                <w:rPr>
                  <w:rFonts w:ascii="Cambria Math" w:eastAsia="Times New Roman" w:hAnsi="Cambria Math" w:cs="Times New Roman"/>
                  <w:color w:val="4A4A4A"/>
                  <w:sz w:val="21"/>
                  <w:szCs w:val="21"/>
                  <w:lang w:eastAsia="en-GB"/>
                </w:rPr>
                <m:t xml:space="preserve">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c</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t,s</m:t>
                      </m:r>
                    </m:e>
                  </m:d>
                </m:sub>
              </m:sSub>
            </m:num>
            <m:den>
              <m: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EX</m:t>
                  </m:r>
                </m:sub>
              </m:sSub>
              <m:r>
                <w:rPr>
                  <w:rFonts w:ascii="Cambria Math" w:eastAsia="Times New Roman" w:hAnsi="Cambria Math" w:cs="Times New Roman"/>
                  <w:color w:val="4A4A4A"/>
                  <w:sz w:val="21"/>
                  <w:szCs w:val="21"/>
                  <w:lang w:eastAsia="en-GB"/>
                </w:rPr>
                <m:t>*N)</m:t>
              </m:r>
            </m:den>
          </m:f>
        </m:oMath>
      </m:oMathPara>
    </w:p>
    <w:p w14:paraId="190901EA" w14:textId="77777777" w:rsidR="00D410F1" w:rsidRPr="005B4C2E" w:rsidRDefault="00D410F1" w:rsidP="005B4C2E">
      <w:pPr>
        <w:shd w:val="clear" w:color="auto" w:fill="FFFFFF"/>
        <w:spacing w:after="0"/>
        <w:contextualSpacing/>
        <w:rPr>
          <w:rFonts w:ascii="Calibri" w:eastAsia="Times New Roman" w:hAnsi="Calibri" w:cs="Times New Roman"/>
          <w:color w:val="4A4A4A"/>
          <w:sz w:val="21"/>
          <w:szCs w:val="21"/>
          <w:lang w:eastAsia="en-GB"/>
        </w:rPr>
      </w:pPr>
    </w:p>
    <w:p w14:paraId="32A7E74A"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Where </w:t>
      </w:r>
      <w:proofErr w:type="spellStart"/>
      <w:r w:rsidRPr="005B4C2E">
        <w:rPr>
          <w:rFonts w:ascii="Calibri" w:eastAsia="Times New Roman" w:hAnsi="Calibri" w:cs="Times New Roman"/>
          <w:color w:val="4A4A4A"/>
          <w:sz w:val="21"/>
          <w:szCs w:val="21"/>
          <w:lang w:eastAsia="en-GB"/>
        </w:rPr>
        <w:t>Wc</w:t>
      </w:r>
      <w:proofErr w:type="spellEnd"/>
      <w:r w:rsidRPr="005B4C2E">
        <w:rPr>
          <w:rFonts w:ascii="Calibri" w:eastAsia="Times New Roman" w:hAnsi="Calibri" w:cs="Times New Roman"/>
          <w:color w:val="4A4A4A"/>
          <w:sz w:val="21"/>
          <w:szCs w:val="21"/>
          <w:lang w:eastAsia="en-GB"/>
        </w:rPr>
        <w:t>(</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xml:space="preserve">) is the weight for category (c) at time (t) for species (s) (the weight for ‘Critically Endangered’ = 4, ‘Endangered’ = 3, ‘Vulnerable’ = 2, ‘Near Threatened’ = 1, ‘Least Concern’ = 0. ‘Critically Endangered’ species tagged as ‘Possibly Extinct’ or ‘Possibly Extinct in the Wild’ are assigned a weight of 5); WEX = 5, the weight assigned to ‘Extinct’ or ‘Extinct in the Wild’ species; and N is the total number of </w:t>
      </w:r>
      <w:r w:rsidRPr="005B4C2E">
        <w:rPr>
          <w:rFonts w:ascii="Calibri" w:eastAsia="Times New Roman" w:hAnsi="Calibri" w:cs="Times New Roman"/>
          <w:color w:val="4A4A4A"/>
          <w:sz w:val="21"/>
          <w:szCs w:val="21"/>
          <w:lang w:eastAsia="en-GB"/>
        </w:rPr>
        <w:lastRenderedPageBreak/>
        <w:t>assessed species, excluding those assessed as Data Deficient in the current time period, and those considered to be ‘Extinct’ in the year the set of species was first assessed.</w:t>
      </w:r>
    </w:p>
    <w:p w14:paraId="6E60C9E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22DF8A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formula requires that:</w:t>
      </w:r>
    </w:p>
    <w:p w14:paraId="08A93427" w14:textId="77777777" w:rsidR="005B4C2E" w:rsidRPr="005B4C2E" w:rsidRDefault="005B4C2E" w:rsidP="00A02495">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Exactly the same set of species is included in all time periods, and</w:t>
      </w:r>
    </w:p>
    <w:p w14:paraId="5E427DF4" w14:textId="77777777" w:rsidR="005B4C2E" w:rsidRPr="005B4C2E" w:rsidRDefault="005B4C2E" w:rsidP="00A02495">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only Red List Category changes are those resulting from genuine improvement or deterioration in status (i.e., excluding changes resulting from improved knowledge or taxonomic revisions), and</w:t>
      </w:r>
    </w:p>
    <w:p w14:paraId="37E6E5EA" w14:textId="2D7BF51A" w:rsidR="005B4C2E" w:rsidRPr="005B4C2E" w:rsidRDefault="005B4C2E" w:rsidP="00A02495">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Data Deficient species are excluded</w:t>
      </w:r>
      <w:r w:rsidR="00730D92">
        <w:rPr>
          <w:rFonts w:ascii="Calibri" w:eastAsia="Times New Roman" w:hAnsi="Calibri" w:cs="Times New Roman"/>
          <w:color w:val="4A4A4A"/>
          <w:sz w:val="21"/>
          <w:szCs w:val="21"/>
          <w:lang w:eastAsia="en-GB"/>
        </w:rPr>
        <w:t xml:space="preserve"> (or treated according to the procedure described above)</w:t>
      </w:r>
      <w:r w:rsidRPr="005B4C2E">
        <w:rPr>
          <w:rFonts w:ascii="Calibri" w:eastAsia="Times New Roman" w:hAnsi="Calibri" w:cs="Times New Roman"/>
          <w:color w:val="4A4A4A"/>
          <w:sz w:val="21"/>
          <w:szCs w:val="21"/>
          <w:lang w:eastAsia="en-GB"/>
        </w:rPr>
        <w:t>.</w:t>
      </w:r>
    </w:p>
    <w:p w14:paraId="300F078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4BA1288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 many cases, species lists will change slightly from one assessment to the next (e.g., owing to taxonomic revisions). The conditions can therefore be met by retrospectively adjusting earlier Red List categorizations using current information and taxonomy. This is achieved by assuming that the current Red List Categories for the taxa have applied since the set of species was first assessed for the Red List, unless there is information to the contrary that genuine status changes have occurred. Such information is often contextual (e.g., relating to the known history of habitat loss within the range of the species). If there is insufficient information available for a newly added species, it is not incorporated into the Red List Index until it is assessed for a second time, at which point earlier assessments are retrospectively corrected by extrapolating recent trends in population, range, habitat and threats, supported by additional information. To avoid spurious results from biased selection of species, Red List Indices are typically calculated only for taxonomic groups in which all species worldwide have been assessed for the Red List, or for samples of species that have been systematically or randomly selected.</w:t>
      </w:r>
    </w:p>
    <w:p w14:paraId="009D86E3" w14:textId="77777777" w:rsidR="005B4C2E" w:rsidRPr="00A02495" w:rsidRDefault="005B4C2E" w:rsidP="00A02495">
      <w:pPr>
        <w:pStyle w:val="NoSpacing"/>
      </w:pPr>
    </w:p>
    <w:p w14:paraId="364C67E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methods and scientific basis for the Red List Index were described by Butchart et al. (2004, 2005, 2007, 2010). </w:t>
      </w:r>
    </w:p>
    <w:p w14:paraId="2C3A5CDD" w14:textId="77777777" w:rsidR="005B4C2E" w:rsidRPr="00A02495" w:rsidRDefault="005B4C2E" w:rsidP="00A02495">
      <w:pPr>
        <w:pStyle w:val="NoSpacing"/>
      </w:pPr>
    </w:p>
    <w:p w14:paraId="560950B7"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Butchart et al. (2010) also described the methods by which Red List Indices for different taxonomic groups are aggregated to produce a single multi-taxon Red List Index. Specifically, aggregated Red List Indices are calculated as the arithmetic mean of modelled Red List Indices. Red List Indices for each taxonomic group are interpolated linearly for years between data points and extrapolated linearly (with a slope equal to that between the two closest assessed points) to align them with years for which Red List Indices for other taxa are available. The Red List Indices for each taxonomic group for each year are modelled to take into account various sources of uncertainty: </w:t>
      </w:r>
    </w:p>
    <w:p w14:paraId="3E6A72C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4C2A852"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Data Deficiency: Red List categories (from Least Concern to Extinct) are assigned to all Data Deficient species, with a probability proportional to the number of species in non-Data Deficient categories for that taxonomic group; </w:t>
      </w:r>
    </w:p>
    <w:p w14:paraId="0AC00BB6" w14:textId="77777777" w:rsidR="005B4C2E" w:rsidRPr="00A02495" w:rsidRDefault="005B4C2E" w:rsidP="00A02495">
      <w:pPr>
        <w:pStyle w:val="NoSpacing"/>
      </w:pPr>
    </w:p>
    <w:p w14:paraId="048E0842"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Extrapolation uncertainty: although RLIs were extrapolated linearly based on the slope of the closest two assessed point, there is uncertainty about how accurate this slope may be. To incorporate this uncertainty, rather than extrapolating deterministically, the slope used for extrapolation is selected from a normal distribution with a probability equal to the slope of the closest two assessed points, and standard deviation equal to 60% of this slope (i.e., the CV is 60%); </w:t>
      </w:r>
    </w:p>
    <w:p w14:paraId="57DF75DC" w14:textId="77777777" w:rsidR="005B4C2E" w:rsidRPr="00A02495" w:rsidRDefault="005B4C2E" w:rsidP="00A02495">
      <w:pPr>
        <w:pStyle w:val="NoSpacing"/>
      </w:pPr>
    </w:p>
    <w:p w14:paraId="32B9675E"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Temporal variability: the ‘true’ Red List Index likely changes from year to year, but because assessments are repeated only at multi-year intervals, the precise value for any particular year is uncertain. </w:t>
      </w:r>
    </w:p>
    <w:p w14:paraId="0DBF50F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7F913EE8"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lastRenderedPageBreak/>
        <w:t>To make this uncertainty explicit, the Red List Index value for a given taxonomic group in a given year is assigned from a moving window of five years, centred on the focal year (with the window set as 3-4 years for the first two and last two years in the series). Note that assessment uncertainty cannot yet be incorporated into the index. Practically, these uncertainties are incorporated into the aggregated Red List Indices as follows: Data Deficient species were allotted a category as described above, and a Red List Index for each taxonomic group was calculated interpolating and extrapolating as described above. A final Red List Index value was assigned to each taxonomic group for each year from a window of years as described above. Each such ‘run’ produced a Red List Index for the complete time period for each taxonomic group, incorporating the various sources of uncertainty. Ten thousand such runs are generated for each taxonomic group, and the mean is calculated.</w:t>
      </w:r>
    </w:p>
    <w:p w14:paraId="0227592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A94AF72" w14:textId="56B1E0F9"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Methods for generating national </w:t>
      </w:r>
      <w:proofErr w:type="spellStart"/>
      <w:r w:rsidRPr="005B4C2E">
        <w:rPr>
          <w:rFonts w:ascii="Calibri" w:eastAsia="Times New Roman" w:hAnsi="Calibri" w:cs="Times New Roman"/>
          <w:color w:val="4A4A4A"/>
          <w:sz w:val="21"/>
          <w:szCs w:val="21"/>
          <w:lang w:eastAsia="en-GB"/>
        </w:rPr>
        <w:t>disaggregations</w:t>
      </w:r>
      <w:proofErr w:type="spellEnd"/>
      <w:r w:rsidRPr="005B4C2E">
        <w:rPr>
          <w:rFonts w:ascii="Calibri" w:eastAsia="Times New Roman" w:hAnsi="Calibri" w:cs="Times New Roman"/>
          <w:color w:val="4A4A4A"/>
          <w:sz w:val="21"/>
          <w:szCs w:val="21"/>
          <w:lang w:eastAsia="en-GB"/>
        </w:rPr>
        <w:t xml:space="preserve"> of the Red List Index are described below</w:t>
      </w:r>
      <w:r w:rsidR="00640FEE">
        <w:rPr>
          <w:rFonts w:ascii="Calibri" w:eastAsia="Times New Roman" w:hAnsi="Calibri" w:cs="Times New Roman"/>
          <w:color w:val="4A4A4A"/>
          <w:sz w:val="21"/>
          <w:szCs w:val="21"/>
          <w:lang w:eastAsia="en-GB"/>
        </w:rPr>
        <w:t xml:space="preserve"> in section </w:t>
      </w:r>
      <w:r w:rsidR="00640FEE" w:rsidRPr="00640FEE">
        <w:rPr>
          <w:rFonts w:ascii="Calibri" w:eastAsia="Times New Roman" w:hAnsi="Calibri" w:cs="Times New Roman"/>
          <w:color w:val="4A4A4A"/>
          <w:sz w:val="21"/>
          <w:szCs w:val="21"/>
          <w:lang w:eastAsia="en-GB"/>
        </w:rPr>
        <w:t>5</w:t>
      </w:r>
      <w:r w:rsidR="00640FEE">
        <w:rPr>
          <w:rFonts w:ascii="Calibri" w:eastAsia="Times New Roman" w:hAnsi="Calibri" w:cs="Times New Roman"/>
          <w:color w:val="4A4A4A"/>
          <w:sz w:val="21"/>
          <w:szCs w:val="21"/>
          <w:lang w:eastAsia="en-GB"/>
        </w:rPr>
        <w:t xml:space="preserve"> on </w:t>
      </w:r>
      <w:r w:rsidR="00640FEE" w:rsidRPr="00640FEE">
        <w:rPr>
          <w:rFonts w:ascii="Calibri" w:eastAsia="Times New Roman" w:hAnsi="Calibri" w:cs="Times New Roman"/>
          <w:color w:val="4A4A4A"/>
          <w:sz w:val="21"/>
          <w:szCs w:val="21"/>
          <w:lang w:eastAsia="en-GB"/>
        </w:rPr>
        <w:t>Data availability and disaggregation</w:t>
      </w:r>
      <w:r w:rsidR="00640FEE">
        <w:rPr>
          <w:rFonts w:ascii="Calibri" w:eastAsia="Times New Roman" w:hAnsi="Calibri" w:cs="Times New Roman"/>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9E6C18" w14:textId="0CCCC7DA" w:rsidR="00834650" w:rsidRDefault="00834650" w:rsidP="00834650">
      <w:pPr>
        <w:pStyle w:val="MText"/>
      </w:pPr>
      <w:r w:rsidRPr="005D074D">
        <w:t>Red</w:t>
      </w:r>
      <w:r>
        <w:t xml:space="preserve"> List Assessments are checked before submission to IUCN by Assessors and Red List Authority Coordinators, to ensure that all of the required supporting information is provided in the appropriate format, distribution maps follow the required mapping standards </w:t>
      </w:r>
      <w:r w:rsidR="0016689A">
        <w:t>(</w:t>
      </w:r>
      <w:hyperlink r:id="rId16" w:history="1">
        <w:r w:rsidR="0016689A" w:rsidRPr="009B213D">
          <w:rPr>
            <w:rStyle w:val="Hyperlink"/>
          </w:rPr>
          <w:t>https://www.iucnredlist.org/resources/mappingstandards</w:t>
        </w:r>
      </w:hyperlink>
      <w:r w:rsidR="0016689A">
        <w:t>)</w:t>
      </w:r>
      <w:r>
        <w:t>, and the IUCN Red List Criteria have been applied appropriately and consistently following IUCN Guidelines (IUCN SPSC 2019). For further details, see</w:t>
      </w:r>
      <w:r w:rsidR="0016689A">
        <w:t xml:space="preserve"> </w:t>
      </w:r>
      <w:hyperlink r:id="rId17" w:history="1">
        <w:r w:rsidR="0016689A" w:rsidRPr="009B213D">
          <w:rPr>
            <w:rStyle w:val="Hyperlink"/>
          </w:rPr>
          <w:t>https://www.iucnredlist.org/assessment/process</w:t>
        </w:r>
      </w:hyperlink>
      <w:r>
        <w:t xml:space="preserve">. All submitted assessments must be reviewed by at least one Reviewer designated by the Red List Authority. For more details on the review process, see the Rules of Procedure </w:t>
      </w:r>
      <w:r w:rsidR="0016689A">
        <w:t>(</w:t>
      </w:r>
      <w:hyperlink r:id="rId18" w:history="1">
        <w:r w:rsidR="0016689A" w:rsidRPr="009B213D">
          <w:rPr>
            <w:rStyle w:val="Hyperlink"/>
          </w:rPr>
          <w:t>https://nc.iucnredlist.org/redlist/content/attachment_files/Rules_of_Procedure_for_IUCN_Red_List_2017-2020.pdf</w:t>
        </w:r>
      </w:hyperlink>
      <w:r w:rsidR="0016689A">
        <w:t>)</w:t>
      </w:r>
      <w:r>
        <w:t>.</w:t>
      </w:r>
    </w:p>
    <w:p w14:paraId="30A5B694" w14:textId="3D037F17" w:rsidR="00834650" w:rsidRDefault="00834650" w:rsidP="00834650">
      <w:pPr>
        <w:pStyle w:val="MText"/>
      </w:pPr>
    </w:p>
    <w:p w14:paraId="4A2F78B6" w14:textId="09CA2504" w:rsidR="00834650" w:rsidRDefault="000A3FD5" w:rsidP="00834650">
      <w:pPr>
        <w:pStyle w:val="MText"/>
      </w:pPr>
      <w:r>
        <w:t>When Red List Indices are updated each year, the updated index (and underlying numbers of species in each Red List Category) are made available for review by countries prior to submission to the SDG Indicators Database. This is achieved through updating the country profiles in the Integrated Biodiversity Assessment Tool</w:t>
      </w:r>
      <w:r w:rsidR="00F93FF3">
        <w:t xml:space="preserve"> </w:t>
      </w:r>
      <w:r w:rsidR="00F93FF3" w:rsidRPr="00F93FF3">
        <w:t>(</w:t>
      </w:r>
      <w:hyperlink r:id="rId19" w:history="1">
        <w:r w:rsidR="00F93FF3" w:rsidRPr="009B213D">
          <w:rPr>
            <w:rStyle w:val="Hyperlink"/>
          </w:rPr>
          <w:t>https://ibat-alliance.org/country_profiles</w:t>
        </w:r>
      </w:hyperlink>
      <w:r w:rsidR="00F93FF3" w:rsidRPr="00F93FF3">
        <w:t>)</w:t>
      </w:r>
      <w:r w:rsidR="00F93FF3">
        <w:t xml:space="preserve"> </w:t>
      </w:r>
      <w:r>
        <w:t xml:space="preserve">and circulating these for consultation and review to CBD National Focal Points, SDG National </w:t>
      </w:r>
      <w:r w:rsidR="005D074D">
        <w:t xml:space="preserve">Statistical Office </w:t>
      </w:r>
      <w:r>
        <w:t>Focal Points</w:t>
      </w:r>
      <w:r w:rsidR="005D074D">
        <w:t>, and IUCN State Members</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6A08B52" w:rsidR="00576CFA" w:rsidRPr="00A96255" w:rsidRDefault="00834650" w:rsidP="00576CFA">
      <w:pPr>
        <w:pStyle w:val="MText"/>
      </w:pPr>
      <w:r w:rsidRPr="005D074D">
        <w:t xml:space="preserve">No adjustments are made to the index </w:t>
      </w:r>
      <w:r w:rsidR="00576CFA" w:rsidRPr="005D074D">
        <w:t xml:space="preserve">with respect to harmonization of breakdowns </w:t>
      </w:r>
      <w:r w:rsidRPr="005D074D">
        <w:t xml:space="preserve">or </w:t>
      </w:r>
      <w:r w:rsidR="00576CFA" w:rsidRPr="005D074D">
        <w:t>for compliance with specific interna</w:t>
      </w:r>
      <w:r w:rsidR="00DA615C" w:rsidRPr="005D074D">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CC42606" w14:textId="77777777" w:rsidR="005B4C2E" w:rsidRPr="00282AEF" w:rsidRDefault="005B4C2E" w:rsidP="005B4C2E">
      <w:pPr>
        <w:keepNext/>
        <w:keepLines/>
        <w:numPr>
          <w:ilvl w:val="0"/>
          <w:numId w:val="8"/>
        </w:numPr>
        <w:shd w:val="clear" w:color="auto" w:fill="FFFFFF"/>
        <w:spacing w:after="0" w:line="240" w:lineRule="auto"/>
        <w:ind w:left="495"/>
        <w:contextualSpacing/>
        <w:outlineLvl w:val="4"/>
        <w:rPr>
          <w:rFonts w:eastAsia="Times New Roman" w:cs="Times New Roman"/>
          <w:b/>
          <w:bCs/>
          <w:color w:val="4A4A4A"/>
          <w:sz w:val="21"/>
          <w:szCs w:val="21"/>
          <w:lang w:eastAsia="en-GB"/>
        </w:rPr>
      </w:pPr>
      <w:r w:rsidRPr="00282AEF">
        <w:rPr>
          <w:rFonts w:eastAsia="Times New Roman" w:cs="Times New Roman"/>
          <w:b/>
          <w:bCs/>
          <w:color w:val="4A4A4A"/>
          <w:sz w:val="21"/>
          <w:szCs w:val="21"/>
          <w:lang w:eastAsia="en-GB"/>
        </w:rPr>
        <w:lastRenderedPageBreak/>
        <w:t>At country level</w:t>
      </w:r>
    </w:p>
    <w:p w14:paraId="5BF36209" w14:textId="1186AE64" w:rsidR="005B4C2E" w:rsidRPr="005B4C2E" w:rsidRDefault="005B4C2E" w:rsidP="005B4C2E">
      <w:pPr>
        <w:keepNext/>
        <w:keepLines/>
        <w:shd w:val="clear" w:color="auto" w:fill="FFFFFF"/>
        <w:spacing w:after="0"/>
        <w:ind w:left="495"/>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Red List Indices for each taxonomic group are interpolated linearly for years between data points and extrapolated linearly (with a slope equal to that between the two closest assessed points, except for corals) back to the earliest time point and forwards to the present for years for which estimates are not available. The start year of the aggregated index is set as ten years before the first assessment year for the taxonomic group with the latest starting point. Corals are not extrapolated linearly because declines are known to have been much steeper subsequent to 1996 (owing to extreme bleaching events) than before. Therefore</w:t>
      </w:r>
      <w:r w:rsidR="00A44F98">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the rate of decline prior to 1996 is set as the average of the rates for the other taxonomic groups.</w:t>
      </w:r>
    </w:p>
    <w:p w14:paraId="2304D368" w14:textId="77777777" w:rsidR="005B4C2E" w:rsidRPr="005B4C2E" w:rsidRDefault="005B4C2E" w:rsidP="005B4C2E">
      <w:pPr>
        <w:shd w:val="clear" w:color="auto" w:fill="FFFFFF"/>
        <w:spacing w:after="0"/>
        <w:ind w:left="495"/>
        <w:contextualSpacing/>
        <w:rPr>
          <w:rFonts w:ascii="Calibri" w:eastAsia="Times New Roman" w:hAnsi="Calibri" w:cs="Times New Roman"/>
          <w:color w:val="4A4A4A"/>
          <w:sz w:val="21"/>
          <w:szCs w:val="21"/>
          <w:lang w:eastAsia="en-GB"/>
        </w:rPr>
      </w:pPr>
    </w:p>
    <w:p w14:paraId="0B2EF1FC" w14:textId="77777777" w:rsidR="005B4C2E" w:rsidRPr="00282AEF" w:rsidRDefault="005B4C2E" w:rsidP="00282AEF">
      <w:pPr>
        <w:keepNext/>
        <w:keepLines/>
        <w:numPr>
          <w:ilvl w:val="0"/>
          <w:numId w:val="8"/>
        </w:numPr>
        <w:shd w:val="clear" w:color="auto" w:fill="FFFFFF"/>
        <w:spacing w:after="0" w:line="240" w:lineRule="auto"/>
        <w:ind w:left="495"/>
        <w:contextualSpacing/>
        <w:outlineLvl w:val="4"/>
        <w:rPr>
          <w:rFonts w:eastAsia="Times New Roman" w:cs="Times New Roman"/>
          <w:b/>
          <w:bCs/>
          <w:color w:val="4A4A4A"/>
          <w:sz w:val="21"/>
          <w:szCs w:val="21"/>
          <w:lang w:eastAsia="en-GB"/>
        </w:rPr>
      </w:pPr>
      <w:r w:rsidRPr="00282AEF">
        <w:rPr>
          <w:rFonts w:eastAsia="Times New Roman" w:cs="Times New Roman"/>
          <w:b/>
          <w:bCs/>
          <w:color w:val="4A4A4A"/>
          <w:sz w:val="21"/>
          <w:szCs w:val="21"/>
          <w:lang w:eastAsia="en-GB"/>
        </w:rPr>
        <w:t>At regional and global levels</w:t>
      </w:r>
    </w:p>
    <w:p w14:paraId="230602AD" w14:textId="780D9750" w:rsidR="005B4C2E" w:rsidRPr="005B4C2E" w:rsidRDefault="005B4C2E" w:rsidP="005B4C2E">
      <w:pPr>
        <w:shd w:val="clear" w:color="auto" w:fill="FFFFFF"/>
        <w:spacing w:after="0"/>
        <w:ind w:left="495"/>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is calculated globally based on assessments of extinction risk of each species included, because many species have distributions </w:t>
      </w:r>
      <w:r w:rsidR="000A3FD5">
        <w:rPr>
          <w:rFonts w:ascii="Calibri" w:eastAsia="Times New Roman" w:hAnsi="Calibri" w:cs="Times New Roman"/>
          <w:color w:val="4A4A4A"/>
          <w:sz w:val="21"/>
          <w:szCs w:val="21"/>
          <w:lang w:eastAsia="en-GB"/>
        </w:rPr>
        <w:t>that</w:t>
      </w:r>
      <w:r w:rsidR="000A3FD5" w:rsidRPr="005B4C2E">
        <w:rPr>
          <w:rFonts w:ascii="Calibri" w:eastAsia="Times New Roman" w:hAnsi="Calibri" w:cs="Times New Roman"/>
          <w:color w:val="4A4A4A"/>
          <w:sz w:val="21"/>
          <w:szCs w:val="21"/>
          <w:lang w:eastAsia="en-GB"/>
        </w:rPr>
        <w:t xml:space="preserve"> </w:t>
      </w:r>
      <w:r w:rsidRPr="005B4C2E">
        <w:rPr>
          <w:rFonts w:ascii="Calibri" w:eastAsia="Times New Roman" w:hAnsi="Calibri" w:cs="Times New Roman"/>
          <w:color w:val="4A4A4A"/>
          <w:sz w:val="21"/>
          <w:szCs w:val="21"/>
          <w:lang w:eastAsia="en-GB"/>
        </w:rPr>
        <w:t>span many countries. Thus, while there is certainly uncertainty around the Red List Index, there are no missing values as such, and so no imputation is necessary.</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382F64B" w14:textId="1930A4D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Red List Categories and Criteria are applied for each species on The IUCN Red List of Threatened Species and are determined globally and provided principally by the Specialist Groups and stand-alone Red List Authorities of the IUCN Species Survival Commission, IUCN Secretariat-led initiatives, and Red List partner organizations. The staff of the IUCN Global Species Programme compile, validate, and curate these data, and are responsible for publishing and communicating the results. Each individual species assessment is supported by the application of metadata and documentation standards (IUCN 2013), including classifications of, for example, threats and conservation actions (</w:t>
      </w:r>
      <w:proofErr w:type="spellStart"/>
      <w:r w:rsidRPr="005B4C2E">
        <w:rPr>
          <w:rFonts w:ascii="Calibri" w:eastAsia="Times New Roman" w:hAnsi="Calibri" w:cs="Times New Roman"/>
          <w:color w:val="4A4A4A"/>
          <w:sz w:val="21"/>
          <w:szCs w:val="21"/>
          <w:lang w:eastAsia="en-GB"/>
        </w:rPr>
        <w:t>Salafsky</w:t>
      </w:r>
      <w:proofErr w:type="spellEnd"/>
      <w:r w:rsidRPr="005B4C2E">
        <w:rPr>
          <w:rFonts w:ascii="Calibri" w:eastAsia="Times New Roman" w:hAnsi="Calibri" w:cs="Times New Roman"/>
          <w:color w:val="4A4A4A"/>
          <w:sz w:val="21"/>
          <w:szCs w:val="21"/>
          <w:lang w:eastAsia="en-GB"/>
        </w:rPr>
        <w:t xml:space="preserve"> et al. 2008). </w:t>
      </w:r>
    </w:p>
    <w:p w14:paraId="222F547E"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CC936ED" w14:textId="238E0C6E"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Red List assessments are undertaken either</w:t>
      </w:r>
      <w:r w:rsidR="00F93FF3">
        <w:rPr>
          <w:rFonts w:ascii="Calibri" w:eastAsia="Times New Roman" w:hAnsi="Calibri" w:cs="Times New Roman"/>
          <w:color w:val="4A4A4A"/>
          <w:sz w:val="21"/>
          <w:szCs w:val="21"/>
          <w:lang w:eastAsia="en-GB"/>
        </w:rPr>
        <w:t xml:space="preserve"> through</w:t>
      </w:r>
      <w:r w:rsidRPr="005B4C2E">
        <w:rPr>
          <w:rFonts w:ascii="Calibri" w:eastAsia="Times New Roman" w:hAnsi="Calibri" w:cs="Times New Roman"/>
          <w:color w:val="4A4A4A"/>
          <w:sz w:val="21"/>
          <w:szCs w:val="21"/>
          <w:lang w:eastAsia="en-GB"/>
        </w:rPr>
        <w:t xml:space="preserve"> open workshops or open-access web-based discussion fora. Assessments are reviewed by the appropriate Red List Authority (an individual or organization appointed by the IUCN Species Survival Commission to review assessments for specific species or groups of species) to ensure standardisation and consistency in the interpretation of information and application of the criteria. A Red List Technical Working Group and the IUCN Red List Unit work to ensure consistent categorization between species, groups and assessments. Finally, a Standards and Petitions Sub-committee monitors the process and resolves challenges and disputes over Red List assessments.</w:t>
      </w:r>
    </w:p>
    <w:p w14:paraId="1E4CCAB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3096CD5"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 addition, IUCN publishes guidelines on applying the IUCN Red List Categories and Criteria at regional or national scales (IUCN 2012b). Based on these, many countries have initiated programmes to assess the extinction risk of species occurring within their borders. These countries will be able to implement the Red List Index based on national extinction risk, once they have carried out at least two national Red Lists using the IUCN system in a consistent way (</w:t>
      </w:r>
      <w:proofErr w:type="spellStart"/>
      <w:r w:rsidRPr="005B4C2E">
        <w:rPr>
          <w:rFonts w:ascii="Calibri" w:eastAsia="Times New Roman" w:hAnsi="Calibri" w:cs="Times New Roman"/>
          <w:color w:val="4A4A4A"/>
          <w:sz w:val="21"/>
          <w:szCs w:val="21"/>
          <w:lang w:eastAsia="en-GB"/>
        </w:rPr>
        <w:t>Bubb</w:t>
      </w:r>
      <w:proofErr w:type="spellEnd"/>
      <w:r w:rsidRPr="005B4C2E">
        <w:rPr>
          <w:rFonts w:ascii="Calibri" w:eastAsia="Times New Roman" w:hAnsi="Calibri" w:cs="Times New Roman"/>
          <w:color w:val="4A4A4A"/>
          <w:sz w:val="21"/>
          <w:szCs w:val="21"/>
          <w:lang w:eastAsia="en-GB"/>
        </w:rPr>
        <w:t xml:space="preserve"> et al. 2009). An increasing number of countries have now completed national Red List Indices for a range of taxa (e.g., </w:t>
      </w:r>
      <w:proofErr w:type="spellStart"/>
      <w:r w:rsidRPr="005B4C2E">
        <w:rPr>
          <w:rFonts w:ascii="Calibri" w:eastAsia="Times New Roman" w:hAnsi="Calibri" w:cs="Times New Roman"/>
          <w:color w:val="4A4A4A"/>
          <w:sz w:val="21"/>
          <w:szCs w:val="21"/>
          <w:lang w:eastAsia="en-GB"/>
        </w:rPr>
        <w:t>Gärdenfors</w:t>
      </w:r>
      <w:proofErr w:type="spellEnd"/>
      <w:r w:rsidRPr="005B4C2E">
        <w:rPr>
          <w:rFonts w:ascii="Calibri" w:eastAsia="Times New Roman" w:hAnsi="Calibri" w:cs="Times New Roman"/>
          <w:color w:val="4A4A4A"/>
          <w:sz w:val="21"/>
          <w:szCs w:val="21"/>
          <w:lang w:eastAsia="en-GB"/>
        </w:rPr>
        <w:t xml:space="preserve"> 2010, Pihl &amp; </w:t>
      </w:r>
      <w:proofErr w:type="spellStart"/>
      <w:r w:rsidRPr="005B4C2E">
        <w:rPr>
          <w:rFonts w:ascii="Calibri" w:eastAsia="Times New Roman" w:hAnsi="Calibri" w:cs="Times New Roman"/>
          <w:color w:val="4A4A4A"/>
          <w:sz w:val="21"/>
          <w:szCs w:val="21"/>
          <w:lang w:eastAsia="en-GB"/>
        </w:rPr>
        <w:t>Flensted</w:t>
      </w:r>
      <w:proofErr w:type="spellEnd"/>
      <w:r w:rsidRPr="005B4C2E">
        <w:rPr>
          <w:rFonts w:ascii="Calibri" w:eastAsia="Times New Roman" w:hAnsi="Calibri" w:cs="Times New Roman"/>
          <w:color w:val="4A4A4A"/>
          <w:sz w:val="21"/>
          <w:szCs w:val="21"/>
          <w:lang w:eastAsia="en-GB"/>
        </w:rPr>
        <w:t xml:space="preserve"> 2011).</w:t>
      </w:r>
    </w:p>
    <w:p w14:paraId="1BA0CA2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277D214" w14:textId="54216081" w:rsid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While global Red List Indices can be disaggregated to show trends for species at smaller spatial scales, the reverse is not true. National or regional Red List Indices cannot be aggregated to produce Red List Indices showing global trends. This is because a taxon’s global extinction risk has to be evaluated at the global scale and cannot be directly determined from multiple national scale assessments across its range (although the data from such assessments can be aggregated for inclusion in the global assessment).</w:t>
      </w:r>
    </w:p>
    <w:p w14:paraId="2B6B0271" w14:textId="77777777" w:rsidR="00640FEE" w:rsidRDefault="00640FEE" w:rsidP="00640FEE">
      <w:pPr>
        <w:shd w:val="clear" w:color="auto" w:fill="FFFFFF"/>
        <w:spacing w:after="0"/>
        <w:contextualSpacing/>
        <w:rPr>
          <w:rFonts w:ascii="Calibri" w:eastAsia="Times New Roman" w:hAnsi="Calibri" w:cs="Times New Roman"/>
          <w:color w:val="4A4A4A"/>
          <w:sz w:val="21"/>
          <w:szCs w:val="21"/>
          <w:lang w:eastAsia="en-GB"/>
        </w:rPr>
      </w:pPr>
    </w:p>
    <w:p w14:paraId="0E2887EC" w14:textId="637F72FB" w:rsidR="00640FEE" w:rsidRPr="005B4C2E" w:rsidRDefault="00640FEE" w:rsidP="00640FE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Methods for generating </w:t>
      </w:r>
      <w:r>
        <w:rPr>
          <w:rFonts w:ascii="Calibri" w:eastAsia="Times New Roman" w:hAnsi="Calibri" w:cs="Times New Roman"/>
          <w:color w:val="4A4A4A"/>
          <w:sz w:val="21"/>
          <w:szCs w:val="21"/>
          <w:lang w:eastAsia="en-GB"/>
        </w:rPr>
        <w:t xml:space="preserve">regional </w:t>
      </w:r>
      <w:proofErr w:type="spellStart"/>
      <w:r w:rsidRPr="005B4C2E">
        <w:rPr>
          <w:rFonts w:ascii="Calibri" w:eastAsia="Times New Roman" w:hAnsi="Calibri" w:cs="Times New Roman"/>
          <w:color w:val="4A4A4A"/>
          <w:sz w:val="21"/>
          <w:szCs w:val="21"/>
          <w:lang w:eastAsia="en-GB"/>
        </w:rPr>
        <w:t>disaggregations</w:t>
      </w:r>
      <w:proofErr w:type="spellEnd"/>
      <w:r w:rsidRPr="005B4C2E">
        <w:rPr>
          <w:rFonts w:ascii="Calibri" w:eastAsia="Times New Roman" w:hAnsi="Calibri" w:cs="Times New Roman"/>
          <w:color w:val="4A4A4A"/>
          <w:sz w:val="21"/>
          <w:szCs w:val="21"/>
          <w:lang w:eastAsia="en-GB"/>
        </w:rPr>
        <w:t xml:space="preserve"> of the Red List Index are described below</w:t>
      </w:r>
      <w:r>
        <w:rPr>
          <w:rFonts w:ascii="Calibri" w:eastAsia="Times New Roman" w:hAnsi="Calibri" w:cs="Times New Roman"/>
          <w:color w:val="4A4A4A"/>
          <w:sz w:val="21"/>
          <w:szCs w:val="21"/>
          <w:lang w:eastAsia="en-GB"/>
        </w:rPr>
        <w:t xml:space="preserve"> in section </w:t>
      </w:r>
      <w:r w:rsidRPr="00640FEE">
        <w:rPr>
          <w:rFonts w:ascii="Calibri" w:eastAsia="Times New Roman" w:hAnsi="Calibri" w:cs="Times New Roman"/>
          <w:color w:val="4A4A4A"/>
          <w:sz w:val="21"/>
          <w:szCs w:val="21"/>
          <w:lang w:eastAsia="en-GB"/>
        </w:rPr>
        <w:t>5</w:t>
      </w:r>
      <w:r>
        <w:rPr>
          <w:rFonts w:ascii="Calibri" w:eastAsia="Times New Roman" w:hAnsi="Calibri" w:cs="Times New Roman"/>
          <w:color w:val="4A4A4A"/>
          <w:sz w:val="21"/>
          <w:szCs w:val="21"/>
          <w:lang w:eastAsia="en-GB"/>
        </w:rPr>
        <w:t xml:space="preserve"> on </w:t>
      </w:r>
      <w:r w:rsidRPr="00640FEE">
        <w:rPr>
          <w:rFonts w:ascii="Calibri" w:eastAsia="Times New Roman" w:hAnsi="Calibri" w:cs="Times New Roman"/>
          <w:color w:val="4A4A4A"/>
          <w:sz w:val="21"/>
          <w:szCs w:val="21"/>
          <w:lang w:eastAsia="en-GB"/>
        </w:rPr>
        <w:t>Data availability and disaggregation</w:t>
      </w:r>
      <w:r>
        <w:rPr>
          <w:rFonts w:ascii="Calibri" w:eastAsia="Times New Roman" w:hAnsi="Calibri" w:cs="Times New Roman"/>
          <w:color w:val="4A4A4A"/>
          <w:sz w:val="21"/>
          <w:szCs w:val="21"/>
          <w:lang w:eastAsia="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6D0E96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79770A2" w14:textId="77777777" w:rsidR="005B4C2E" w:rsidRPr="005B4C2E" w:rsidRDefault="005B4C2E" w:rsidP="005B4C2E">
      <w:pPr>
        <w:shd w:val="clear" w:color="auto" w:fill="FFFFFF"/>
        <w:spacing w:after="0"/>
        <w:contextualSpacing/>
        <w:rPr>
          <w:rFonts w:ascii="Calibri" w:eastAsia="Times New Roman" w:hAnsi="Calibri" w:cs="Times New Roman"/>
          <w:b/>
          <w:bCs/>
          <w:color w:val="4A4A4A"/>
          <w:sz w:val="21"/>
          <w:szCs w:val="21"/>
          <w:lang w:eastAsia="en-GB"/>
        </w:rPr>
      </w:pPr>
      <w:r w:rsidRPr="005B4C2E">
        <w:rPr>
          <w:rFonts w:ascii="Calibri" w:eastAsia="Times New Roman" w:hAnsi="Calibri" w:cs="Times New Roman"/>
          <w:b/>
          <w:bCs/>
          <w:color w:val="4A4A4A"/>
          <w:sz w:val="21"/>
          <w:szCs w:val="21"/>
          <w:lang w:eastAsia="en-GB"/>
        </w:rPr>
        <w:t>Methods and guidance available to countries for the compilation of the data at the national level:</w:t>
      </w:r>
    </w:p>
    <w:p w14:paraId="47C8CA9F" w14:textId="23D1464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See </w:t>
      </w:r>
      <w:r w:rsidR="00640FEE">
        <w:rPr>
          <w:rFonts w:ascii="Calibri" w:eastAsia="Times New Roman" w:hAnsi="Calibri" w:cs="Times New Roman"/>
          <w:color w:val="4A4A4A"/>
          <w:sz w:val="21"/>
          <w:szCs w:val="21"/>
          <w:lang w:eastAsia="en-GB"/>
        </w:rPr>
        <w:t>above</w:t>
      </w:r>
      <w:r w:rsidRPr="005B4C2E">
        <w:rPr>
          <w:rFonts w:ascii="Calibri" w:eastAsia="Times New Roman" w:hAnsi="Calibri" w:cs="Times New Roman"/>
          <w:color w:val="4A4A4A"/>
          <w:sz w:val="21"/>
          <w:szCs w:val="21"/>
          <w:lang w:eastAsia="en-GB"/>
        </w:rPr>
        <w:t>. In sum: the data underlying the Red List Index are compiled under the authority of the IUCN Red List Committee, through application of the IUCN Red List Categories &amp; Criteria</w:t>
      </w:r>
      <w:r w:rsidR="00F93FF3" w:rsidRPr="00F93FF3">
        <w:rPr>
          <w:rFonts w:ascii="Calibri" w:eastAsia="Times New Roman" w:hAnsi="Calibri" w:cs="Times New Roman"/>
          <w:color w:val="4A4A4A"/>
          <w:sz w:val="21"/>
          <w:szCs w:val="21"/>
          <w:lang w:eastAsia="en-GB"/>
        </w:rPr>
        <w:t xml:space="preserve"> (</w:t>
      </w:r>
      <w:hyperlink r:id="rId20" w:history="1">
        <w:r w:rsidR="00F93FF3" w:rsidRPr="009B213D">
          <w:rPr>
            <w:rStyle w:val="Hyperlink"/>
            <w:rFonts w:ascii="Calibri" w:eastAsia="Times New Roman" w:hAnsi="Calibri" w:cs="Times New Roman"/>
            <w:sz w:val="21"/>
            <w:szCs w:val="21"/>
            <w:lang w:eastAsia="en-GB"/>
          </w:rPr>
          <w:t>https://portals.iucn.org/library/node/10315</w:t>
        </w:r>
      </w:hyperlink>
      <w:r w:rsidR="00F93FF3" w:rsidRPr="00F93FF3">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This includes submissions of endemics from national red list processes, where these have been conducted following the “Guidelines for application of IUCN Red List Criteria at Regional and National Levels” </w:t>
      </w:r>
      <w:r w:rsidR="00F93FF3" w:rsidRPr="00F93FF3">
        <w:rPr>
          <w:rFonts w:ascii="Calibri" w:eastAsia="Times New Roman" w:hAnsi="Calibri" w:cs="Times New Roman"/>
          <w:color w:val="4A4A4A"/>
          <w:sz w:val="21"/>
          <w:szCs w:val="21"/>
          <w:lang w:eastAsia="en-GB"/>
        </w:rPr>
        <w:t>(</w:t>
      </w:r>
      <w:hyperlink r:id="rId21" w:history="1">
        <w:r w:rsidR="00F93FF3" w:rsidRPr="009B213D">
          <w:rPr>
            <w:rStyle w:val="Hyperlink"/>
            <w:rFonts w:ascii="Calibri" w:eastAsia="Times New Roman" w:hAnsi="Calibri" w:cs="Times New Roman"/>
            <w:sz w:val="21"/>
            <w:szCs w:val="21"/>
            <w:lang w:eastAsia="en-GB"/>
          </w:rPr>
          <w:t>https://portals.iucn.org/library/node/10336</w:t>
        </w:r>
      </w:hyperlink>
      <w:r w:rsidR="00F93FF3" w:rsidRPr="00F93FF3">
        <w:rPr>
          <w:rFonts w:ascii="Calibri" w:eastAsia="Times New Roman" w:hAnsi="Calibri" w:cs="Times New Roman"/>
          <w:color w:val="4A4A4A"/>
          <w:sz w:val="21"/>
          <w:szCs w:val="21"/>
          <w:lang w:eastAsia="en-GB"/>
        </w:rPr>
        <w:t>)</w:t>
      </w:r>
      <w:r w:rsidR="00F93FF3">
        <w:rPr>
          <w:rFonts w:ascii="Calibri" w:eastAsia="Times New Roman" w:hAnsi="Calibri" w:cs="Times New Roman"/>
          <w:color w:val="4A4A4A"/>
          <w:sz w:val="21"/>
          <w:szCs w:val="21"/>
          <w:lang w:eastAsia="en-GB"/>
        </w:rPr>
        <w:t xml:space="preserve"> </w:t>
      </w:r>
      <w:r w:rsidRPr="005B4C2E">
        <w:rPr>
          <w:rFonts w:ascii="Calibri" w:eastAsia="Times New Roman" w:hAnsi="Calibri" w:cs="Times New Roman"/>
          <w:color w:val="4A4A4A"/>
          <w:sz w:val="21"/>
          <w:szCs w:val="21"/>
          <w:lang w:eastAsia="en-GB"/>
        </w:rPr>
        <w:t xml:space="preserve">and following the “Required and Recommended Supporting Information for IUCN Red List Assessments” </w:t>
      </w:r>
      <w:r w:rsidR="00CF117D">
        <w:rPr>
          <w:rFonts w:ascii="Calibri" w:eastAsia="Times New Roman" w:hAnsi="Calibri" w:cs="Times New Roman"/>
          <w:color w:val="4A4A4A"/>
          <w:sz w:val="21"/>
          <w:szCs w:val="21"/>
          <w:lang w:eastAsia="en-GB"/>
        </w:rPr>
        <w:t>(</w:t>
      </w:r>
      <w:hyperlink r:id="rId22" w:history="1">
        <w:r w:rsidR="00CF117D" w:rsidRPr="009B213D">
          <w:rPr>
            <w:rStyle w:val="Hyperlink"/>
            <w:rFonts w:ascii="Calibri" w:eastAsia="Times New Roman" w:hAnsi="Calibri" w:cs="Times New Roman"/>
            <w:sz w:val="21"/>
            <w:szCs w:val="21"/>
            <w:lang w:eastAsia="en-GB"/>
          </w:rPr>
          <w:t>https://www.iucnredlist.org/resources/supporting-information-guidelines</w:t>
        </w:r>
      </w:hyperlink>
      <w:r w:rsidR="00CF117D">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Assessments may be submitted in all three IUCN languages (English, French and Spanish) and Portuguese. All assessments are peer reviewed through the relevant Red List Authority for the species or species group in question, as documented in the Red List Rules of Procedure </w:t>
      </w:r>
      <w:r w:rsidR="00CF117D" w:rsidRPr="00CF117D">
        <w:rPr>
          <w:rFonts w:ascii="Calibri" w:eastAsia="Times New Roman" w:hAnsi="Calibri" w:cs="Times New Roman"/>
          <w:color w:val="4A4A4A"/>
          <w:sz w:val="21"/>
          <w:szCs w:val="21"/>
          <w:lang w:eastAsia="en-GB"/>
        </w:rPr>
        <w:t>(</w:t>
      </w:r>
      <w:hyperlink r:id="rId23" w:history="1">
        <w:r w:rsidR="00CF117D" w:rsidRPr="009B213D">
          <w:rPr>
            <w:rStyle w:val="Hyperlink"/>
            <w:rFonts w:ascii="Calibri" w:eastAsia="Times New Roman" w:hAnsi="Calibri" w:cs="Times New Roman"/>
            <w:sz w:val="21"/>
            <w:szCs w:val="21"/>
            <w:lang w:eastAsia="en-GB"/>
          </w:rPr>
          <w:t>https://www.iucnredlist.org/resources/rules-of-procedure</w:t>
        </w:r>
      </w:hyperlink>
      <w:r w:rsidR="00CF117D" w:rsidRPr="00CF117D">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see in particular Annex 3, the “Details of the Steps Involved in the IUCN Red List Process” </w:t>
      </w:r>
      <w:r w:rsidR="00CF117D">
        <w:rPr>
          <w:rFonts w:ascii="Calibri" w:eastAsia="Times New Roman" w:hAnsi="Calibri" w:cs="Times New Roman"/>
          <w:color w:val="4A4A4A"/>
          <w:sz w:val="21"/>
          <w:szCs w:val="21"/>
          <w:lang w:eastAsia="en-GB"/>
        </w:rPr>
        <w:t>(</w:t>
      </w:r>
      <w:hyperlink r:id="rId24" w:history="1">
        <w:r w:rsidR="00CF117D" w:rsidRPr="009B213D">
          <w:rPr>
            <w:rStyle w:val="Hyperlink"/>
            <w:rFonts w:ascii="Calibri" w:eastAsia="Times New Roman" w:hAnsi="Calibri" w:cs="Times New Roman"/>
            <w:sz w:val="21"/>
            <w:szCs w:val="21"/>
            <w:lang w:eastAsia="en-GB"/>
          </w:rPr>
          <w:t>https://nc.iucnredlist.org/redlist/content/attachment_files/Details_of_the_Steps_Involved_in_the_IUCN_Red_List_Process.pdf</w:t>
        </w:r>
      </w:hyperlink>
      <w:r w:rsidR="00CF117D">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w:t>
      </w:r>
    </w:p>
    <w:p w14:paraId="7D12127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95A93B4" w14:textId="27231995" w:rsidR="005B4C2E" w:rsidRDefault="00640FEE"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w:t>
      </w:r>
      <w:r w:rsidR="005B4C2E" w:rsidRPr="005B4C2E">
        <w:rPr>
          <w:rFonts w:ascii="Calibri" w:eastAsia="Times New Roman" w:hAnsi="Calibri" w:cs="Times New Roman"/>
          <w:color w:val="4A4A4A"/>
          <w:sz w:val="21"/>
          <w:szCs w:val="21"/>
          <w:lang w:eastAsia="en-GB"/>
        </w:rPr>
        <w:t>he key document providing international recommendations and guidelines to countries and all involved in application of the IUCN Red List Categories &amp; Criteria</w:t>
      </w:r>
      <w:r w:rsidR="00CF117D">
        <w:rPr>
          <w:rFonts w:ascii="Calibri" w:eastAsia="Times New Roman" w:hAnsi="Calibri" w:cs="Times New Roman"/>
          <w:color w:val="4A4A4A"/>
          <w:sz w:val="21"/>
          <w:szCs w:val="21"/>
          <w:lang w:eastAsia="en-GB"/>
        </w:rPr>
        <w:t xml:space="preserve"> </w:t>
      </w:r>
      <w:r w:rsidR="00CF117D" w:rsidRPr="00CF117D">
        <w:rPr>
          <w:rFonts w:ascii="Calibri" w:eastAsia="Times New Roman" w:hAnsi="Calibri" w:cs="Times New Roman"/>
          <w:color w:val="4A4A4A"/>
          <w:sz w:val="21"/>
          <w:szCs w:val="21"/>
          <w:lang w:eastAsia="en-GB"/>
        </w:rPr>
        <w:t>(</w:t>
      </w:r>
      <w:hyperlink r:id="rId25" w:history="1">
        <w:r w:rsidR="00CF117D" w:rsidRPr="009B213D">
          <w:rPr>
            <w:rStyle w:val="Hyperlink"/>
            <w:rFonts w:ascii="Calibri" w:eastAsia="Times New Roman" w:hAnsi="Calibri" w:cs="Times New Roman"/>
            <w:sz w:val="21"/>
            <w:szCs w:val="21"/>
            <w:lang w:eastAsia="en-GB"/>
          </w:rPr>
          <w:t>https://portals.iucn.org/library/node/10315</w:t>
        </w:r>
      </w:hyperlink>
      <w:r w:rsidR="00CF117D" w:rsidRPr="00CF117D">
        <w:rPr>
          <w:rFonts w:ascii="Calibri" w:eastAsia="Times New Roman" w:hAnsi="Calibri" w:cs="Times New Roman"/>
          <w:color w:val="4A4A4A"/>
          <w:sz w:val="21"/>
          <w:szCs w:val="21"/>
          <w:lang w:eastAsia="en-GB"/>
        </w:rPr>
        <w:t>)</w:t>
      </w:r>
      <w:r w:rsidR="00CF117D">
        <w:rPr>
          <w:rFonts w:ascii="Calibri" w:eastAsia="Times New Roman" w:hAnsi="Calibri" w:cs="Times New Roman"/>
          <w:color w:val="4A4A4A"/>
          <w:sz w:val="21"/>
          <w:szCs w:val="21"/>
          <w:lang w:eastAsia="en-GB"/>
        </w:rPr>
        <w:t xml:space="preserve"> </w:t>
      </w:r>
      <w:r w:rsidR="005B4C2E" w:rsidRPr="005B4C2E">
        <w:rPr>
          <w:rFonts w:ascii="Calibri" w:eastAsia="Times New Roman" w:hAnsi="Calibri" w:cs="Times New Roman"/>
          <w:color w:val="4A4A4A"/>
          <w:sz w:val="21"/>
          <w:szCs w:val="21"/>
          <w:lang w:eastAsia="en-GB"/>
        </w:rPr>
        <w:t xml:space="preserve"> is the “Guidelines for Using the IUCN Red List Categories and Criteria” (</w:t>
      </w:r>
      <w:hyperlink r:id="rId26" w:history="1">
        <w:r w:rsidR="00CF117D" w:rsidRPr="009B213D">
          <w:rPr>
            <w:rStyle w:val="Hyperlink"/>
            <w:rFonts w:ascii="Calibri" w:eastAsia="Times New Roman" w:hAnsi="Calibri" w:cs="Times New Roman"/>
            <w:sz w:val="21"/>
            <w:szCs w:val="21"/>
            <w:lang w:eastAsia="en-GB"/>
          </w:rPr>
          <w:t>https://www.iucnredlist.org/resources/redlistguidelines</w:t>
        </w:r>
      </w:hyperlink>
      <w:r w:rsidR="00CF117D">
        <w:rPr>
          <w:rFonts w:ascii="Calibri" w:eastAsia="Times New Roman" w:hAnsi="Calibri" w:cs="Times New Roman"/>
          <w:color w:val="4A4A4A"/>
          <w:sz w:val="21"/>
          <w:szCs w:val="21"/>
          <w:lang w:eastAsia="en-GB"/>
        </w:rPr>
        <w:t>; available in English, French, Spanish, and Portuguese</w:t>
      </w:r>
      <w:hyperlink w:history="1"/>
      <w:r w:rsidR="005B4C2E" w:rsidRPr="005B4C2E">
        <w:rPr>
          <w:rFonts w:ascii="Calibri" w:eastAsia="Times New Roman" w:hAnsi="Calibri" w:cs="Times New Roman"/>
          <w:color w:val="4A4A4A"/>
          <w:sz w:val="21"/>
          <w:szCs w:val="21"/>
          <w:lang w:eastAsia="en-GB"/>
        </w:rPr>
        <w:t>) accompanied by the “Required and Recommended Supporting Information for IUCN Red List Assessments”. For countries (and regions), this is supplemented by the “Guidelines for application of IUCN Red List Criteria at Regional and National Levels”</w:t>
      </w:r>
      <w:r w:rsidR="00CF117D" w:rsidRPr="00CF117D">
        <w:rPr>
          <w:rFonts w:ascii="Calibri" w:eastAsia="Times New Roman" w:hAnsi="Calibri" w:cs="Times New Roman"/>
          <w:color w:val="4A4A4A"/>
          <w:sz w:val="21"/>
          <w:szCs w:val="21"/>
          <w:lang w:eastAsia="en-GB"/>
        </w:rPr>
        <w:t xml:space="preserve"> (</w:t>
      </w:r>
      <w:hyperlink r:id="rId27" w:history="1">
        <w:r w:rsidR="00CF117D" w:rsidRPr="009B213D">
          <w:rPr>
            <w:rStyle w:val="Hyperlink"/>
            <w:rFonts w:ascii="Calibri" w:eastAsia="Times New Roman" w:hAnsi="Calibri" w:cs="Times New Roman"/>
            <w:sz w:val="21"/>
            <w:szCs w:val="21"/>
            <w:lang w:eastAsia="en-GB"/>
          </w:rPr>
          <w:t>https://portals.iucn.org/library/node/10336</w:t>
        </w:r>
      </w:hyperlink>
      <w:r w:rsidR="00CF117D" w:rsidRPr="00CF117D">
        <w:rPr>
          <w:rFonts w:ascii="Calibri" w:eastAsia="Times New Roman" w:hAnsi="Calibri" w:cs="Times New Roman"/>
          <w:color w:val="4A4A4A"/>
          <w:sz w:val="21"/>
          <w:szCs w:val="21"/>
          <w:lang w:eastAsia="en-GB"/>
        </w:rPr>
        <w:t>)</w:t>
      </w:r>
      <w:r w:rsidR="005B4C2E" w:rsidRPr="005B4C2E">
        <w:rPr>
          <w:rFonts w:ascii="Calibri" w:eastAsia="Times New Roman" w:hAnsi="Calibri" w:cs="Times New Roman"/>
          <w:color w:val="4A4A4A"/>
          <w:sz w:val="21"/>
          <w:szCs w:val="21"/>
          <w:lang w:eastAsia="en-GB"/>
        </w:rPr>
        <w:t>. To support the calculation of Red List Indices for any given country (or region), “</w:t>
      </w:r>
      <w:r w:rsidR="000F734F" w:rsidRPr="000F734F">
        <w:rPr>
          <w:rFonts w:ascii="Calibri" w:eastAsia="Times New Roman" w:hAnsi="Calibri" w:cs="Times New Roman"/>
          <w:color w:val="4A4A4A"/>
          <w:sz w:val="21"/>
          <w:szCs w:val="21"/>
          <w:lang w:eastAsia="en-GB"/>
        </w:rPr>
        <w:t xml:space="preserve">Code (and documentation) for calculating and plotting </w:t>
      </w:r>
      <w:r w:rsidR="005B4C2E" w:rsidRPr="005B4C2E">
        <w:rPr>
          <w:rFonts w:ascii="Calibri" w:eastAsia="Times New Roman" w:hAnsi="Calibri" w:cs="Times New Roman"/>
          <w:color w:val="4A4A4A"/>
          <w:sz w:val="21"/>
          <w:szCs w:val="21"/>
          <w:lang w:eastAsia="en-GB"/>
        </w:rPr>
        <w:t>national RLIs weighted by the proportion of each species’ distribution within a country or region” is posted online (</w:t>
      </w:r>
      <w:r w:rsidR="000F734F">
        <w:rPr>
          <w:rFonts w:ascii="Calibri" w:eastAsia="Times New Roman" w:hAnsi="Calibri" w:cs="Times New Roman"/>
          <w:color w:val="4A4A4A"/>
          <w:sz w:val="21"/>
          <w:szCs w:val="21"/>
          <w:lang w:eastAsia="en-GB"/>
        </w:rPr>
        <w:t xml:space="preserve">Dias et al. 2020; </w:t>
      </w:r>
      <w:hyperlink r:id="rId28" w:history="1">
        <w:r w:rsidR="00087D58" w:rsidRPr="009B213D">
          <w:rPr>
            <w:rStyle w:val="Hyperlink"/>
            <w:rFonts w:ascii="Calibri" w:eastAsia="Times New Roman" w:hAnsi="Calibri" w:cs="Times New Roman"/>
            <w:sz w:val="21"/>
            <w:szCs w:val="21"/>
            <w:lang w:eastAsia="en-GB"/>
          </w:rPr>
          <w:t>https://github.com/BirdLifeInternational/rli-codes</w:t>
        </w:r>
      </w:hyperlink>
      <w:r w:rsidR="000F734F">
        <w:rPr>
          <w:rFonts w:ascii="Calibri" w:eastAsia="Times New Roman" w:hAnsi="Calibri" w:cs="Times New Roman"/>
          <w:color w:val="4A4A4A"/>
          <w:sz w:val="21"/>
          <w:szCs w:val="21"/>
          <w:lang w:eastAsia="en-GB"/>
        </w:rPr>
        <w:t xml:space="preserve">). </w:t>
      </w:r>
    </w:p>
    <w:p w14:paraId="36DCDF1C" w14:textId="5267F323" w:rsidR="00640FEE" w:rsidRDefault="00640FEE" w:rsidP="005B4C2E">
      <w:pPr>
        <w:shd w:val="clear" w:color="auto" w:fill="FFFFFF"/>
        <w:spacing w:after="0"/>
        <w:contextualSpacing/>
        <w:rPr>
          <w:rFonts w:ascii="Calibri" w:eastAsia="Times New Roman" w:hAnsi="Calibri" w:cs="Times New Roman"/>
          <w:color w:val="4A4A4A"/>
          <w:sz w:val="21"/>
          <w:szCs w:val="21"/>
          <w:lang w:eastAsia="en-GB"/>
        </w:rPr>
      </w:pPr>
    </w:p>
    <w:p w14:paraId="78E767DE" w14:textId="7684534D" w:rsidR="00640FEE" w:rsidRPr="005B4C2E" w:rsidRDefault="00640FE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Methods for generating national </w:t>
      </w:r>
      <w:proofErr w:type="spellStart"/>
      <w:r w:rsidRPr="005B4C2E">
        <w:rPr>
          <w:rFonts w:ascii="Calibri" w:eastAsia="Times New Roman" w:hAnsi="Calibri" w:cs="Times New Roman"/>
          <w:color w:val="4A4A4A"/>
          <w:sz w:val="21"/>
          <w:szCs w:val="21"/>
          <w:lang w:eastAsia="en-GB"/>
        </w:rPr>
        <w:t>disaggregations</w:t>
      </w:r>
      <w:proofErr w:type="spellEnd"/>
      <w:r w:rsidRPr="005B4C2E">
        <w:rPr>
          <w:rFonts w:ascii="Calibri" w:eastAsia="Times New Roman" w:hAnsi="Calibri" w:cs="Times New Roman"/>
          <w:color w:val="4A4A4A"/>
          <w:sz w:val="21"/>
          <w:szCs w:val="21"/>
          <w:lang w:eastAsia="en-GB"/>
        </w:rPr>
        <w:t xml:space="preserve"> of the Red List Index are described below</w:t>
      </w:r>
      <w:r>
        <w:rPr>
          <w:rFonts w:ascii="Calibri" w:eastAsia="Times New Roman" w:hAnsi="Calibri" w:cs="Times New Roman"/>
          <w:color w:val="4A4A4A"/>
          <w:sz w:val="21"/>
          <w:szCs w:val="21"/>
          <w:lang w:eastAsia="en-GB"/>
        </w:rPr>
        <w:t xml:space="preserve"> in section </w:t>
      </w:r>
      <w:r w:rsidRPr="00640FEE">
        <w:rPr>
          <w:rFonts w:ascii="Calibri" w:eastAsia="Times New Roman" w:hAnsi="Calibri" w:cs="Times New Roman"/>
          <w:color w:val="4A4A4A"/>
          <w:sz w:val="21"/>
          <w:szCs w:val="21"/>
          <w:lang w:eastAsia="en-GB"/>
        </w:rPr>
        <w:t>5</w:t>
      </w:r>
      <w:r>
        <w:rPr>
          <w:rFonts w:ascii="Calibri" w:eastAsia="Times New Roman" w:hAnsi="Calibri" w:cs="Times New Roman"/>
          <w:color w:val="4A4A4A"/>
          <w:sz w:val="21"/>
          <w:szCs w:val="21"/>
          <w:lang w:eastAsia="en-GB"/>
        </w:rPr>
        <w:t xml:space="preserve"> on </w:t>
      </w:r>
      <w:r w:rsidRPr="00640FEE">
        <w:rPr>
          <w:rFonts w:ascii="Calibri" w:eastAsia="Times New Roman" w:hAnsi="Calibri" w:cs="Times New Roman"/>
          <w:color w:val="4A4A4A"/>
          <w:sz w:val="21"/>
          <w:szCs w:val="21"/>
          <w:lang w:eastAsia="en-GB"/>
        </w:rPr>
        <w:t>Data availability and disaggregation</w:t>
      </w:r>
      <w:r>
        <w:rPr>
          <w:rFonts w:ascii="Calibri" w:eastAsia="Times New Roman" w:hAnsi="Calibri" w:cs="Times New Roman"/>
          <w:color w:val="4A4A4A"/>
          <w:sz w:val="21"/>
          <w:szCs w:val="21"/>
          <w:lang w:eastAsia="en-GB"/>
        </w:rP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407D34EE" w:rsidR="00576CFA" w:rsidRPr="00A96255" w:rsidRDefault="004C1E46" w:rsidP="00576CFA">
      <w:pPr>
        <w:pStyle w:val="MText"/>
      </w:pPr>
      <w:r>
        <w:t xml:space="preserve">See above and below, </w:t>
      </w:r>
      <w:r>
        <w:rPr>
          <w:rFonts w:ascii="Calibri" w:hAnsi="Calibri"/>
        </w:rPr>
        <w:t>and</w:t>
      </w:r>
      <w:r w:rsidRPr="005B4C2E">
        <w:rPr>
          <w:rFonts w:ascii="Calibri" w:hAnsi="Calibri"/>
        </w:rPr>
        <w:t xml:space="preserve"> full documentation in the Red List Rules of Procedure </w:t>
      </w:r>
      <w:bookmarkStart w:id="5" w:name="_Hlk119598662"/>
      <w:r w:rsidR="00087D58" w:rsidRPr="00087D58">
        <w:rPr>
          <w:rFonts w:ascii="Calibri" w:hAnsi="Calibri"/>
        </w:rPr>
        <w:t>(</w:t>
      </w:r>
      <w:hyperlink r:id="rId29" w:history="1">
        <w:r w:rsidR="00087D58" w:rsidRPr="009B213D">
          <w:rPr>
            <w:rStyle w:val="Hyperlink"/>
            <w:rFonts w:ascii="Calibri" w:hAnsi="Calibri"/>
          </w:rPr>
          <w:t>https://www.iucnredlist.org/resources/rules-of-procedure</w:t>
        </w:r>
      </w:hyperlink>
      <w:r w:rsidR="00087D58" w:rsidRPr="00087D58">
        <w:rPr>
          <w:rFonts w:ascii="Calibri" w:hAnsi="Calibri"/>
        </w:rPr>
        <w:t>)</w:t>
      </w:r>
      <w:r w:rsidR="00087D58">
        <w:rPr>
          <w:rFonts w:ascii="Calibri" w:hAnsi="Calibri"/>
        </w:rPr>
        <w:t xml:space="preserve"> </w:t>
      </w:r>
      <w:bookmarkEnd w:id="5"/>
      <w:r w:rsidRPr="005B4C2E">
        <w:rPr>
          <w:rFonts w:ascii="Calibri" w:hAnsi="Calibri"/>
        </w:rPr>
        <w:t xml:space="preserve">in particular Annex 3, the “Details of the Steps Involved in the IUCN Red List Process” </w:t>
      </w:r>
      <w:r w:rsidR="00087D58" w:rsidRPr="00087D58">
        <w:rPr>
          <w:rFonts w:ascii="Calibri" w:hAnsi="Calibri"/>
        </w:rPr>
        <w:t>(</w:t>
      </w:r>
      <w:hyperlink r:id="rId30" w:history="1">
        <w:r w:rsidR="00087D58" w:rsidRPr="009B213D">
          <w:rPr>
            <w:rStyle w:val="Hyperlink"/>
            <w:rFonts w:ascii="Calibri" w:hAnsi="Calibri"/>
          </w:rPr>
          <w:t>https://cmsdocs.s3.amazonaws.com/keydocuments/Details_of_the_Steps_Involved_in_the_IUCN_Red_List_Process.pdf</w:t>
        </w:r>
      </w:hyperlink>
      <w:r w:rsidR="00087D58" w:rsidRPr="00087D58">
        <w:rPr>
          <w:rFonts w:ascii="Calibri" w:hAnsi="Calibri"/>
        </w:rPr>
        <w:t>)</w:t>
      </w:r>
      <w:r>
        <w:rPr>
          <w:rFonts w:ascii="Calibri" w:hAnsi="Calibri"/>
        </w:rP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AC5F084" w14:textId="4019673D"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lastRenderedPageBreak/>
        <w:t xml:space="preserve">See </w:t>
      </w:r>
      <w:r w:rsidR="009774F1">
        <w:rPr>
          <w:rFonts w:ascii="Calibri" w:eastAsia="Times New Roman" w:hAnsi="Calibri" w:cs="Times New Roman"/>
          <w:color w:val="4A4A4A"/>
          <w:sz w:val="21"/>
          <w:szCs w:val="21"/>
          <w:lang w:eastAsia="en-GB"/>
        </w:rPr>
        <w:t>above, and</w:t>
      </w:r>
      <w:r w:rsidRPr="005B4C2E">
        <w:rPr>
          <w:rFonts w:ascii="Calibri" w:eastAsia="Times New Roman" w:hAnsi="Calibri" w:cs="Times New Roman"/>
          <w:color w:val="4A4A4A"/>
          <w:sz w:val="21"/>
          <w:szCs w:val="21"/>
          <w:lang w:eastAsia="en-GB"/>
        </w:rPr>
        <w:t xml:space="preserve"> full documentation in the Red List Rules of Procedure </w:t>
      </w:r>
      <w:r w:rsidR="00087D58" w:rsidRPr="00087D58">
        <w:rPr>
          <w:rFonts w:ascii="Calibri" w:hAnsi="Calibri"/>
        </w:rPr>
        <w:t>(</w:t>
      </w:r>
      <w:hyperlink r:id="rId31" w:history="1">
        <w:r w:rsidR="00087D58" w:rsidRPr="009B213D">
          <w:rPr>
            <w:rStyle w:val="Hyperlink"/>
            <w:rFonts w:ascii="Calibri" w:eastAsia="Times New Roman" w:hAnsi="Calibri" w:cs="Times New Roman"/>
            <w:sz w:val="21"/>
            <w:szCs w:val="21"/>
            <w:lang w:eastAsia="en-GB"/>
          </w:rPr>
          <w:t>https://www.iucnredlist.org/resources/rules-of-procedure</w:t>
        </w:r>
      </w:hyperlink>
      <w:r w:rsidR="00087D58" w:rsidRPr="00087D58">
        <w:rPr>
          <w:rFonts w:ascii="Calibri" w:hAnsi="Calibri"/>
        </w:rPr>
        <w:t>)</w:t>
      </w:r>
      <w:r w:rsidR="00087D58">
        <w:rPr>
          <w:rFonts w:ascii="Calibri" w:hAnsi="Calibri"/>
        </w:rPr>
        <w:t xml:space="preserve"> </w:t>
      </w:r>
      <w:r w:rsidRPr="005B4C2E">
        <w:rPr>
          <w:rFonts w:ascii="Calibri" w:eastAsia="Times New Roman" w:hAnsi="Calibri" w:cs="Times New Roman"/>
          <w:color w:val="4A4A4A"/>
          <w:sz w:val="21"/>
          <w:szCs w:val="21"/>
          <w:lang w:eastAsia="en-GB"/>
        </w:rPr>
        <w:t xml:space="preserve">in particular Annex 3, the “Details of the Steps Involved in the IUCN Red List Process” </w:t>
      </w:r>
      <w:r w:rsidR="00087D58" w:rsidRPr="00087D58">
        <w:rPr>
          <w:rFonts w:ascii="Calibri" w:eastAsia="Times New Roman" w:hAnsi="Calibri" w:cs="Times New Roman"/>
          <w:color w:val="4A4A4A"/>
          <w:sz w:val="21"/>
          <w:szCs w:val="21"/>
          <w:lang w:eastAsia="en-GB"/>
        </w:rPr>
        <w:t>(</w:t>
      </w:r>
      <w:hyperlink r:id="rId32" w:history="1">
        <w:r w:rsidR="00087D58" w:rsidRPr="009B213D">
          <w:rPr>
            <w:rStyle w:val="Hyperlink"/>
            <w:rFonts w:ascii="Calibri" w:eastAsia="Times New Roman" w:hAnsi="Calibri" w:cs="Times New Roman"/>
            <w:sz w:val="21"/>
            <w:szCs w:val="21"/>
            <w:lang w:eastAsia="en-GB"/>
          </w:rPr>
          <w:t>https://cmsdocs.s3.amazonaws.com/keydocuments/Details_of_the_Steps_Involved_in_the_IUCN_Red_List_Process.pdf</w:t>
        </w:r>
      </w:hyperlink>
      <w:r w:rsidR="00087D58" w:rsidRPr="00087D58">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In sum: all Red List assessments are peer reviewed through the relevant Red List Authority for the species or species group in question; and all Red List assessments undergo consistency checks (to ensure consistency with assessments submitted for other taxonomic groups, regions, processes, etc.) by the Red List Unit before publication on the Red List website</w:t>
      </w:r>
      <w:r w:rsidR="00087D58" w:rsidRPr="00087D58">
        <w:rPr>
          <w:rFonts w:ascii="Calibri" w:eastAsia="Times New Roman" w:hAnsi="Calibri" w:cs="Times New Roman"/>
          <w:color w:val="4A4A4A"/>
          <w:sz w:val="21"/>
          <w:szCs w:val="21"/>
          <w:lang w:eastAsia="en-GB"/>
        </w:rPr>
        <w:t xml:space="preserve"> (</w:t>
      </w:r>
      <w:hyperlink r:id="rId33" w:history="1">
        <w:r w:rsidR="00087D58" w:rsidRPr="009B213D">
          <w:rPr>
            <w:rStyle w:val="Hyperlink"/>
            <w:rFonts w:ascii="Calibri" w:eastAsia="Times New Roman" w:hAnsi="Calibri" w:cs="Times New Roman"/>
            <w:sz w:val="21"/>
            <w:szCs w:val="21"/>
            <w:lang w:eastAsia="en-GB"/>
          </w:rPr>
          <w:t>http://www.iucnredlist.org/</w:t>
        </w:r>
      </w:hyperlink>
      <w:r w:rsidR="00087D58" w:rsidRPr="00087D58">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Finally, the Chair of the IUCN Species Survival Commission (elected each four years by the government and non-governmental Members of IUCN) appoints a Chair for a Standards and Petitions Sub-Committee </w:t>
      </w:r>
      <w:r w:rsidR="00087D58">
        <w:rPr>
          <w:rFonts w:ascii="Calibri" w:eastAsia="Times New Roman" w:hAnsi="Calibri" w:cs="Times New Roman"/>
          <w:color w:val="4A4A4A"/>
          <w:sz w:val="21"/>
          <w:szCs w:val="21"/>
          <w:lang w:eastAsia="en-GB"/>
        </w:rPr>
        <w:t>(</w:t>
      </w:r>
      <w:hyperlink r:id="rId34" w:history="1">
        <w:r w:rsidR="00087D58" w:rsidRPr="009B213D">
          <w:rPr>
            <w:rStyle w:val="Hyperlink"/>
            <w:rFonts w:ascii="Calibri" w:eastAsia="Times New Roman" w:hAnsi="Calibri" w:cs="Times New Roman"/>
            <w:sz w:val="21"/>
            <w:szCs w:val="21"/>
            <w:lang w:eastAsia="en-GB"/>
          </w:rPr>
          <w:t>https://www.iucn.org/our-union/commissions/group/iucn-ssc-standards-and-petitions-committee</w:t>
        </w:r>
      </w:hyperlink>
      <w:r w:rsidR="00087D58">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which is responsible for ensuring the quality and standards of the IUCN Red List and for ruling on petitions against the listings of species on the IUCN Red List.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EAC1827" w14:textId="0E014F6E" w:rsidR="000B7606" w:rsidRDefault="00F46DB5" w:rsidP="000B7606">
      <w:pPr>
        <w:pStyle w:val="MText"/>
      </w:pPr>
      <w:r>
        <w:t>The IUCN Red List is governed by a Red List Committee</w:t>
      </w:r>
      <w:r w:rsidR="000B7606">
        <w:t xml:space="preserve"> (</w:t>
      </w:r>
      <w:hyperlink r:id="rId35" w:history="1">
        <w:r w:rsidR="000B7606" w:rsidRPr="009B213D">
          <w:rPr>
            <w:rStyle w:val="Hyperlink"/>
          </w:rPr>
          <w:t>https://www.iucn.org/our-union/commissions/group/iucn-ssc-red-list-committee</w:t>
        </w:r>
      </w:hyperlink>
      <w:r w:rsidR="000B7606">
        <w:t>)</w:t>
      </w:r>
      <w:r>
        <w:t xml:space="preserve">, comprising representatives from </w:t>
      </w:r>
      <w:r w:rsidR="000B7606">
        <w:t xml:space="preserve">the Red List Partnership, the IUCN Species Survival Commission, and the IUCN Secretariat. This committee establishes and maintains the Red List Strategic Plan, including ongoing evaluation of </w:t>
      </w:r>
      <w:r w:rsidR="000B7606" w:rsidRPr="00F46DB5">
        <w:t xml:space="preserve">fitness for use i.e. the degree to which </w:t>
      </w:r>
      <w:r w:rsidR="000B7606">
        <w:t>the IUCN Red List</w:t>
      </w:r>
      <w:r w:rsidR="000B7606" w:rsidRPr="00F46DB5">
        <w:t xml:space="preserve"> meet</w:t>
      </w:r>
      <w:r w:rsidR="000B7606">
        <w:t>s</w:t>
      </w:r>
      <w:r w:rsidR="000B7606" w:rsidRPr="00F46DB5">
        <w:t xml:space="preserve"> user’s requirements. </w:t>
      </w:r>
      <w:r w:rsidR="000B7606">
        <w:t>This encompasses</w:t>
      </w:r>
      <w:r w:rsidR="009D09A9">
        <w:t>, inter alia,</w:t>
      </w:r>
      <w:r w:rsidR="000B7606">
        <w:t xml:space="preserve"> considerations of relevance, accuracy, timeliness, consistency, comprehensiveness, and accessibility</w:t>
      </w:r>
      <w:r w:rsidR="000B7606" w:rsidRPr="00F46DB5">
        <w:t xml:space="preserve">. </w:t>
      </w:r>
    </w:p>
    <w:p w14:paraId="6ABB573A" w14:textId="0B6568E2" w:rsidR="00F46DB5" w:rsidRPr="00A96255" w:rsidRDefault="00F46DB5" w:rsidP="000B7606">
      <w:pPr>
        <w:pStyle w:val="MText"/>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72C5CC84" w:rsidR="00576CFA" w:rsidRPr="00796A40" w:rsidRDefault="00D51E7C" w:rsidP="00576CFA">
      <w:pPr>
        <w:pStyle w:val="MText"/>
        <w:rPr>
          <w:b/>
          <w:bCs/>
        </w:rPr>
      </w:pPr>
      <w:r w:rsidRPr="00796A40">
        <w:rPr>
          <w:b/>
          <w:bCs/>
        </w:rPr>
        <w:t>Data availability:</w:t>
      </w:r>
    </w:p>
    <w:p w14:paraId="760C013A" w14:textId="78CD9212" w:rsidR="00D51E7C" w:rsidRDefault="005B4C2E" w:rsidP="009774F1">
      <w:pPr>
        <w:shd w:val="clear" w:color="auto" w:fill="FFFFFF"/>
        <w:spacing w:after="0"/>
        <w:contextualSpacing/>
        <w:rPr>
          <w:highlight w:val="cyan"/>
        </w:rPr>
      </w:pPr>
      <w:r w:rsidRPr="005B4C2E">
        <w:rPr>
          <w:rFonts w:ascii="Calibri" w:eastAsia="Times New Roman" w:hAnsi="Calibri" w:cs="Times New Roman"/>
          <w:color w:val="4A4A4A"/>
          <w:sz w:val="21"/>
          <w:szCs w:val="21"/>
          <w:lang w:eastAsia="en-GB"/>
        </w:rPr>
        <w:t xml:space="preserve">The Red List Index has been classified by the IAEG-SDGs as Tier 1. Current data are available for all countries in the world, and these are updated </w:t>
      </w:r>
      <w:r w:rsidR="009774F1">
        <w:rPr>
          <w:rFonts w:ascii="Calibri" w:eastAsia="Times New Roman" w:hAnsi="Calibri" w:cs="Times New Roman"/>
          <w:color w:val="4A4A4A"/>
          <w:sz w:val="21"/>
          <w:szCs w:val="21"/>
          <w:lang w:eastAsia="en-GB"/>
        </w:rPr>
        <w:t xml:space="preserve">annually. Index values for each country are available in the UN SDG Indicators Database </w:t>
      </w:r>
      <w:hyperlink r:id="rId36" w:history="1">
        <w:r w:rsidR="009774F1" w:rsidRPr="006D59F6">
          <w:rPr>
            <w:rStyle w:val="Hyperlink"/>
            <w:rFonts w:ascii="Calibri" w:eastAsia="Times New Roman" w:hAnsi="Calibri" w:cs="Times New Roman"/>
            <w:sz w:val="21"/>
            <w:szCs w:val="21"/>
            <w:lang w:eastAsia="en-GB"/>
          </w:rPr>
          <w:t>https://unstats.un.org/sdgs/indicators/database/</w:t>
        </w:r>
      </w:hyperlink>
      <w:r w:rsidR="009774F1">
        <w:rPr>
          <w:rFonts w:ascii="Calibri" w:eastAsia="Times New Roman" w:hAnsi="Calibri" w:cs="Times New Roman"/>
          <w:color w:val="4A4A4A"/>
          <w:sz w:val="21"/>
          <w:szCs w:val="21"/>
          <w:lang w:eastAsia="en-GB"/>
        </w:rPr>
        <w:t xml:space="preserve">. Red List Index graphs and underlying index data are available for each country, SDG regions, IPBES region, CMS region and various thematic </w:t>
      </w:r>
      <w:proofErr w:type="spellStart"/>
      <w:r w:rsidR="009774F1">
        <w:rPr>
          <w:rFonts w:ascii="Calibri" w:eastAsia="Times New Roman" w:hAnsi="Calibri" w:cs="Times New Roman"/>
          <w:color w:val="4A4A4A"/>
          <w:sz w:val="21"/>
          <w:szCs w:val="21"/>
          <w:lang w:eastAsia="en-GB"/>
        </w:rPr>
        <w:t>disaggregations</w:t>
      </w:r>
      <w:proofErr w:type="spellEnd"/>
      <w:r w:rsidR="009774F1">
        <w:rPr>
          <w:rFonts w:ascii="Calibri" w:eastAsia="Times New Roman" w:hAnsi="Calibri" w:cs="Times New Roman"/>
          <w:color w:val="4A4A4A"/>
          <w:sz w:val="21"/>
          <w:szCs w:val="21"/>
          <w:lang w:eastAsia="en-GB"/>
        </w:rPr>
        <w:t xml:space="preserve"> at </w:t>
      </w:r>
      <w:hyperlink r:id="rId37" w:history="1">
        <w:r w:rsidR="009774F1" w:rsidRPr="006D59F6">
          <w:rPr>
            <w:rStyle w:val="Hyperlink"/>
            <w:rFonts w:ascii="Calibri" w:eastAsia="Times New Roman" w:hAnsi="Calibri" w:cs="Times New Roman"/>
            <w:sz w:val="21"/>
            <w:szCs w:val="21"/>
            <w:lang w:eastAsia="en-GB"/>
          </w:rPr>
          <w:t>https://www.iucnredlist.org/search</w:t>
        </w:r>
      </w:hyperlink>
      <w:r w:rsidR="009774F1">
        <w:rPr>
          <w:rFonts w:ascii="Calibri" w:eastAsia="Times New Roman" w:hAnsi="Calibri" w:cs="Times New Roman"/>
          <w:color w:val="4A4A4A"/>
          <w:sz w:val="21"/>
          <w:szCs w:val="21"/>
          <w:lang w:eastAsia="en-GB"/>
        </w:rPr>
        <w:t xml:space="preserve">. Red List Index graphs are also available for each country in the BIP Indicators Dashboard </w:t>
      </w:r>
      <w:r w:rsidR="00640FEE">
        <w:rPr>
          <w:rFonts w:ascii="Calibri" w:eastAsia="Times New Roman" w:hAnsi="Calibri" w:cs="Times New Roman"/>
          <w:color w:val="4A4A4A"/>
          <w:sz w:val="21"/>
          <w:szCs w:val="21"/>
          <w:lang w:eastAsia="en-GB"/>
        </w:rPr>
        <w:t>(</w:t>
      </w:r>
      <w:hyperlink r:id="rId38" w:history="1">
        <w:r w:rsidR="00640FEE" w:rsidRPr="00640FEE">
          <w:rPr>
            <w:rStyle w:val="Hyperlink"/>
            <w:rFonts w:ascii="Calibri" w:eastAsia="Times New Roman" w:hAnsi="Calibri" w:cs="Times New Roman"/>
            <w:sz w:val="21"/>
            <w:szCs w:val="21"/>
            <w:lang w:eastAsia="en-GB"/>
          </w:rPr>
          <w:t>https://bipdashboard.natureserve.org/bip/SelectCountry.html</w:t>
        </w:r>
      </w:hyperlink>
      <w:r w:rsidR="00640FEE">
        <w:rPr>
          <w:rFonts w:ascii="Calibri" w:eastAsia="Times New Roman" w:hAnsi="Calibri" w:cs="Times New Roman"/>
          <w:color w:val="4A4A4A"/>
          <w:sz w:val="21"/>
          <w:szCs w:val="21"/>
          <w:lang w:eastAsia="en-GB"/>
        </w:rPr>
        <w:t>), the Integrated Biodiversity Assessment Tool Country Profiles (</w:t>
      </w:r>
      <w:hyperlink r:id="rId39" w:history="1">
        <w:r w:rsidR="00640FEE" w:rsidRPr="006D59F6">
          <w:rPr>
            <w:rStyle w:val="Hyperlink"/>
            <w:rFonts w:ascii="Calibri" w:eastAsia="Times New Roman" w:hAnsi="Calibri" w:cs="Times New Roman"/>
            <w:sz w:val="21"/>
            <w:szCs w:val="21"/>
            <w:lang w:eastAsia="en-GB"/>
          </w:rPr>
          <w:t>https://ibat-alliance.org/country_profiles</w:t>
        </w:r>
      </w:hyperlink>
      <w:r w:rsidR="00640FEE">
        <w:rPr>
          <w:rFonts w:ascii="Calibri" w:eastAsia="Times New Roman" w:hAnsi="Calibri" w:cs="Times New Roman"/>
          <w:color w:val="4A4A4A"/>
          <w:sz w:val="21"/>
          <w:szCs w:val="21"/>
          <w:lang w:eastAsia="en-GB"/>
        </w:rPr>
        <w:t xml:space="preserve">), and (for birds) on the </w:t>
      </w:r>
      <w:proofErr w:type="spellStart"/>
      <w:r w:rsidR="00640FEE">
        <w:rPr>
          <w:rFonts w:ascii="Calibri" w:eastAsia="Times New Roman" w:hAnsi="Calibri" w:cs="Times New Roman"/>
          <w:color w:val="4A4A4A"/>
          <w:sz w:val="21"/>
          <w:szCs w:val="21"/>
          <w:lang w:eastAsia="en-GB"/>
        </w:rPr>
        <w:t>BirdLife</w:t>
      </w:r>
      <w:proofErr w:type="spellEnd"/>
      <w:r w:rsidR="00640FEE">
        <w:rPr>
          <w:rFonts w:ascii="Calibri" w:eastAsia="Times New Roman" w:hAnsi="Calibri" w:cs="Times New Roman"/>
          <w:color w:val="4A4A4A"/>
          <w:sz w:val="21"/>
          <w:szCs w:val="21"/>
          <w:lang w:eastAsia="en-GB"/>
        </w:rPr>
        <w:t xml:space="preserve"> International Data Zone (</w:t>
      </w:r>
      <w:r w:rsidR="00640FEE" w:rsidRPr="00640FEE">
        <w:rPr>
          <w:rFonts w:ascii="Calibri" w:eastAsia="Times New Roman" w:hAnsi="Calibri" w:cs="Times New Roman"/>
          <w:color w:val="4A4A4A"/>
          <w:sz w:val="21"/>
          <w:szCs w:val="21"/>
          <w:lang w:eastAsia="en-GB"/>
        </w:rPr>
        <w:t>http://datazone.birdlife.org/species/dashboard</w:t>
      </w:r>
      <w:r w:rsidR="00640FEE">
        <w:rPr>
          <w:rFonts w:ascii="Calibri" w:eastAsia="Times New Roman" w:hAnsi="Calibri" w:cs="Times New Roman"/>
          <w:color w:val="4A4A4A"/>
          <w:sz w:val="21"/>
          <w:szCs w:val="21"/>
          <w:lang w:eastAsia="en-GB"/>
        </w:rPr>
        <w:t>).</w:t>
      </w:r>
    </w:p>
    <w:p w14:paraId="080EE73E" w14:textId="77777777" w:rsidR="009774F1" w:rsidRPr="00C019E5" w:rsidRDefault="009774F1" w:rsidP="00377E4C">
      <w:pPr>
        <w:shd w:val="clear" w:color="auto" w:fill="FFFFFF"/>
        <w:spacing w:after="0"/>
        <w:contextualSpacing/>
        <w:rPr>
          <w:highlight w:val="cyan"/>
        </w:rPr>
      </w:pPr>
    </w:p>
    <w:p w14:paraId="72C7C370" w14:textId="78C3AEC0" w:rsidR="00D51E7C" w:rsidRPr="00796A40" w:rsidRDefault="00D51E7C" w:rsidP="00576CFA">
      <w:pPr>
        <w:pStyle w:val="MText"/>
        <w:rPr>
          <w:b/>
          <w:bCs/>
        </w:rPr>
      </w:pPr>
      <w:r w:rsidRPr="00796A40">
        <w:rPr>
          <w:b/>
          <w:bCs/>
        </w:rPr>
        <w:t>Disaggregation:</w:t>
      </w:r>
    </w:p>
    <w:p w14:paraId="73E7E243" w14:textId="0169BA6C"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can be downscaled to show national and regional Red List Indices, weighted by the fraction of each species’ distribution occurring within the country or region, building on the method published by Rodrigues et al. (2014) </w:t>
      </w:r>
      <w:proofErr w:type="spellStart"/>
      <w:r w:rsidRPr="005B4C2E">
        <w:rPr>
          <w:rFonts w:ascii="Calibri" w:eastAsia="Times New Roman" w:hAnsi="Calibri" w:cs="Times New Roman"/>
          <w:color w:val="4A4A4A"/>
          <w:sz w:val="21"/>
          <w:szCs w:val="21"/>
          <w:lang w:eastAsia="en-GB"/>
        </w:rPr>
        <w:t>PLoS</w:t>
      </w:r>
      <w:proofErr w:type="spellEnd"/>
      <w:r w:rsidRPr="005B4C2E">
        <w:rPr>
          <w:rFonts w:ascii="Calibri" w:eastAsia="Times New Roman" w:hAnsi="Calibri" w:cs="Times New Roman"/>
          <w:color w:val="4A4A4A"/>
          <w:sz w:val="21"/>
          <w:szCs w:val="21"/>
          <w:lang w:eastAsia="en-GB"/>
        </w:rPr>
        <w:t xml:space="preserve"> ONE 9(11): e113934. These show an index of how well species are conserved in a country or region to its potential contribution to global species conservation</w:t>
      </w:r>
      <w:r w:rsidR="00640FEE">
        <w:rPr>
          <w:rFonts w:ascii="Calibri" w:eastAsia="Times New Roman" w:hAnsi="Calibri" w:cs="Times New Roman"/>
          <w:color w:val="4A4A4A"/>
          <w:sz w:val="21"/>
          <w:szCs w:val="21"/>
          <w:lang w:eastAsia="en-GB"/>
        </w:rPr>
        <w:t xml:space="preserve"> (for the taxonomic groups of species included)</w:t>
      </w:r>
      <w:r w:rsidRPr="005B4C2E">
        <w:rPr>
          <w:rFonts w:ascii="Calibri" w:eastAsia="Times New Roman" w:hAnsi="Calibri" w:cs="Times New Roman"/>
          <w:color w:val="4A4A4A"/>
          <w:sz w:val="21"/>
          <w:szCs w:val="21"/>
          <w:lang w:eastAsia="en-GB"/>
        </w:rPr>
        <w:t xml:space="preserve">. The index is calculated as: </w:t>
      </w:r>
    </w:p>
    <w:p w14:paraId="556E9959" w14:textId="26BAE5CF" w:rsidR="005B4C2E" w:rsidRDefault="005B4C2E" w:rsidP="005B4C2E">
      <w:pPr>
        <w:shd w:val="clear" w:color="auto" w:fill="FFFFFF"/>
        <w:spacing w:after="0"/>
        <w:contextualSpacing/>
        <w:rPr>
          <w:rFonts w:ascii="Calibri" w:eastAsia="Times New Roman" w:hAnsi="Calibri" w:cs="Times New Roman"/>
          <w:color w:val="4A4A4A"/>
          <w:sz w:val="21"/>
          <w:szCs w:val="21"/>
          <w:lang w:val="fr-FR" w:eastAsia="en-GB"/>
        </w:rPr>
      </w:pPr>
    </w:p>
    <w:p w14:paraId="6B0F003A" w14:textId="64085AA6" w:rsidR="00305827" w:rsidRDefault="00305827" w:rsidP="005B4C2E">
      <w:pPr>
        <w:shd w:val="clear" w:color="auto" w:fill="FFFFFF"/>
        <w:spacing w:after="0"/>
        <w:contextualSpacing/>
        <w:rPr>
          <w:rFonts w:ascii="Calibri" w:eastAsia="Times New Roman" w:hAnsi="Calibri" w:cs="Times New Roman"/>
          <w:color w:val="4A4A4A"/>
          <w:sz w:val="21"/>
          <w:szCs w:val="21"/>
          <w:lang w:val="fr-FR" w:eastAsia="en-GB"/>
        </w:rPr>
      </w:pPr>
      <m:oMathPara>
        <m:oMath>
          <m:r>
            <w:rPr>
              <w:rFonts w:ascii="Cambria Math" w:eastAsia="Times New Roman" w:hAnsi="Cambria Math" w:cs="Times New Roman"/>
              <w:color w:val="4A4A4A"/>
              <w:sz w:val="21"/>
              <w:szCs w:val="21"/>
              <w:lang w:val="fr-FR" w:eastAsia="en-GB"/>
            </w:rPr>
            <w:lastRenderedPageBreak/>
            <m:t>RL</m:t>
          </m:r>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I</m:t>
              </m:r>
            </m:e>
            <m:sub>
              <m:d>
                <m:dPr>
                  <m:ctrlPr>
                    <w:rPr>
                      <w:rFonts w:ascii="Cambria Math" w:eastAsia="Times New Roman" w:hAnsi="Cambria Math" w:cs="Times New Roman"/>
                      <w:i/>
                      <w:color w:val="4A4A4A"/>
                      <w:sz w:val="21"/>
                      <w:szCs w:val="21"/>
                      <w:lang w:val="fr-FR" w:eastAsia="en-GB"/>
                    </w:rPr>
                  </m:ctrlPr>
                </m:dPr>
                <m:e>
                  <m:r>
                    <w:rPr>
                      <w:rFonts w:ascii="Cambria Math" w:eastAsia="Times New Roman" w:hAnsi="Cambria Math" w:cs="Times New Roman"/>
                      <w:color w:val="4A4A4A"/>
                      <w:sz w:val="21"/>
                      <w:szCs w:val="21"/>
                      <w:lang w:val="fr-FR" w:eastAsia="en-GB"/>
                    </w:rPr>
                    <m:t>t,u</m:t>
                  </m:r>
                </m:e>
              </m:d>
            </m:sub>
          </m:sSub>
          <m:r>
            <w:rPr>
              <w:rFonts w:ascii="Cambria Math" w:eastAsia="Times New Roman" w:hAnsi="Cambria Math" w:cs="Times New Roman"/>
              <w:color w:val="4A4A4A"/>
              <w:sz w:val="21"/>
              <w:szCs w:val="21"/>
              <w:lang w:val="fr-FR" w:eastAsia="en-GB"/>
            </w:rPr>
            <m:t>=1-</m:t>
          </m:r>
          <m:f>
            <m:fPr>
              <m:ctrlPr>
                <w:rPr>
                  <w:rFonts w:ascii="Cambria Math" w:eastAsia="Times New Roman" w:hAnsi="Cambria Math" w:cs="Times New Roman"/>
                  <w:i/>
                  <w:color w:val="4A4A4A"/>
                  <w:sz w:val="21"/>
                  <w:szCs w:val="21"/>
                  <w:lang w:val="fr-FR" w:eastAsia="en-GB"/>
                </w:rPr>
              </m:ctrlPr>
            </m:fPr>
            <m:num>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Σ</m:t>
                  </m:r>
                </m:e>
                <m:sub>
                  <m:r>
                    <w:rPr>
                      <w:rFonts w:ascii="Cambria Math" w:eastAsia="Times New Roman" w:hAnsi="Cambria Math" w:cs="Times New Roman"/>
                      <w:color w:val="4A4A4A"/>
                      <w:sz w:val="21"/>
                      <w:szCs w:val="21"/>
                      <w:lang w:val="fr-FR" w:eastAsia="en-GB"/>
                    </w:rPr>
                    <m:t>s</m:t>
                  </m:r>
                </m:sub>
              </m:sSub>
              <m:d>
                <m:dPr>
                  <m:ctrlPr>
                    <w:rPr>
                      <w:rFonts w:ascii="Cambria Math" w:eastAsia="Times New Roman" w:hAnsi="Cambria Math" w:cs="Times New Roman"/>
                      <w:i/>
                      <w:color w:val="4A4A4A"/>
                      <w:sz w:val="21"/>
                      <w:szCs w:val="21"/>
                      <w:lang w:val="fr-FR" w:eastAsia="en-GB"/>
                    </w:rPr>
                  </m:ctrlPr>
                </m:dPr>
                <m:e>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W</m:t>
                      </m:r>
                    </m:e>
                    <m:sub>
                      <m:d>
                        <m:dPr>
                          <m:ctrlPr>
                            <w:rPr>
                              <w:rFonts w:ascii="Cambria Math" w:eastAsia="Times New Roman" w:hAnsi="Cambria Math" w:cs="Times New Roman"/>
                              <w:i/>
                              <w:color w:val="4A4A4A"/>
                              <w:sz w:val="21"/>
                              <w:szCs w:val="21"/>
                              <w:lang w:val="fr-FR" w:eastAsia="en-GB"/>
                            </w:rPr>
                          </m:ctrlPr>
                        </m:dPr>
                        <m:e>
                          <m:r>
                            <w:rPr>
                              <w:rFonts w:ascii="Cambria Math" w:eastAsia="Times New Roman" w:hAnsi="Cambria Math" w:cs="Times New Roman"/>
                              <w:color w:val="4A4A4A"/>
                              <w:sz w:val="21"/>
                              <w:szCs w:val="21"/>
                              <w:lang w:val="fr-FR" w:eastAsia="en-GB"/>
                            </w:rPr>
                            <m:t>t,s</m:t>
                          </m:r>
                        </m:e>
                      </m:d>
                    </m:sub>
                  </m:sSub>
                  <m:r>
                    <w:rPr>
                      <w:rFonts w:ascii="Cambria Math" w:eastAsia="Times New Roman" w:hAnsi="Cambria Math" w:cs="Times New Roman"/>
                      <w:color w:val="4A4A4A"/>
                      <w:sz w:val="21"/>
                      <w:szCs w:val="21"/>
                      <w:lang w:val="fr-FR" w:eastAsia="en-GB"/>
                    </w:rPr>
                    <m:t>*</m:t>
                  </m:r>
                  <m:d>
                    <m:dPr>
                      <m:ctrlPr>
                        <w:rPr>
                          <w:rFonts w:ascii="Cambria Math" w:eastAsia="Times New Roman" w:hAnsi="Cambria Math" w:cs="Times New Roman"/>
                          <w:i/>
                          <w:color w:val="4A4A4A"/>
                          <w:sz w:val="21"/>
                          <w:szCs w:val="21"/>
                          <w:lang w:val="fr-FR" w:eastAsia="en-GB"/>
                        </w:rPr>
                      </m:ctrlPr>
                    </m:dPr>
                    <m:e>
                      <m:f>
                        <m:fPr>
                          <m:ctrlPr>
                            <w:rPr>
                              <w:rFonts w:ascii="Cambria Math" w:eastAsia="Times New Roman" w:hAnsi="Cambria Math" w:cs="Times New Roman"/>
                              <w:i/>
                              <w:color w:val="4A4A4A"/>
                              <w:sz w:val="21"/>
                              <w:szCs w:val="21"/>
                              <w:lang w:val="fr-FR" w:eastAsia="en-GB"/>
                            </w:rPr>
                          </m:ctrlPr>
                        </m:fPr>
                        <m:num>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r</m:t>
                              </m:r>
                            </m:e>
                            <m:sub>
                              <m:r>
                                <w:rPr>
                                  <w:rFonts w:ascii="Cambria Math" w:eastAsia="Times New Roman" w:hAnsi="Cambria Math" w:cs="Times New Roman"/>
                                  <w:color w:val="4A4A4A"/>
                                  <w:sz w:val="21"/>
                                  <w:szCs w:val="21"/>
                                  <w:lang w:val="fr-FR" w:eastAsia="en-GB"/>
                                </w:rPr>
                                <m:t>su</m:t>
                              </m:r>
                            </m:sub>
                          </m:sSub>
                        </m:num>
                        <m:den>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R</m:t>
                              </m:r>
                            </m:e>
                            <m:sub>
                              <m:r>
                                <w:rPr>
                                  <w:rFonts w:ascii="Cambria Math" w:eastAsia="Times New Roman" w:hAnsi="Cambria Math" w:cs="Times New Roman"/>
                                  <w:color w:val="4A4A4A"/>
                                  <w:sz w:val="21"/>
                                  <w:szCs w:val="21"/>
                                  <w:lang w:val="fr-FR" w:eastAsia="en-GB"/>
                                </w:rPr>
                                <m:t>s</m:t>
                              </m:r>
                            </m:sub>
                          </m:sSub>
                        </m:den>
                      </m:f>
                    </m:e>
                  </m:d>
                </m:e>
              </m:d>
            </m:num>
            <m:den>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W</m:t>
                  </m:r>
                </m:e>
                <m:sub>
                  <m:r>
                    <w:rPr>
                      <w:rFonts w:ascii="Cambria Math" w:eastAsia="Times New Roman" w:hAnsi="Cambria Math" w:cs="Times New Roman"/>
                      <w:color w:val="4A4A4A"/>
                      <w:sz w:val="21"/>
                      <w:szCs w:val="21"/>
                      <w:lang w:val="fr-FR" w:eastAsia="en-GB"/>
                    </w:rPr>
                    <m:t>EX</m:t>
                  </m:r>
                </m:sub>
              </m:sSub>
              <m:r>
                <w:rPr>
                  <w:rFonts w:ascii="Cambria Math" w:eastAsia="Times New Roman" w:hAnsi="Cambria Math" w:cs="Times New Roman"/>
                  <w:color w:val="4A4A4A"/>
                  <w:sz w:val="21"/>
                  <w:szCs w:val="21"/>
                  <w:lang w:val="fr-FR" w:eastAsia="en-GB"/>
                </w:rPr>
                <m:t xml:space="preserve">* </m:t>
              </m:r>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Σ</m:t>
                  </m:r>
                </m:e>
                <m:sub>
                  <m:r>
                    <w:rPr>
                      <w:rFonts w:ascii="Cambria Math" w:eastAsia="Times New Roman" w:hAnsi="Cambria Math" w:cs="Times New Roman"/>
                      <w:color w:val="4A4A4A"/>
                      <w:sz w:val="21"/>
                      <w:szCs w:val="21"/>
                      <w:lang w:val="fr-FR" w:eastAsia="en-GB"/>
                    </w:rPr>
                    <m:t>s</m:t>
                  </m:r>
                </m:sub>
              </m:sSub>
              <m:d>
                <m:dPr>
                  <m:ctrlPr>
                    <w:rPr>
                      <w:rFonts w:ascii="Cambria Math" w:eastAsia="Times New Roman" w:hAnsi="Cambria Math" w:cs="Times New Roman"/>
                      <w:i/>
                      <w:color w:val="4A4A4A"/>
                      <w:sz w:val="21"/>
                      <w:szCs w:val="21"/>
                      <w:lang w:val="fr-FR" w:eastAsia="en-GB"/>
                    </w:rPr>
                  </m:ctrlPr>
                </m:dPr>
                <m:e>
                  <m:f>
                    <m:fPr>
                      <m:ctrlPr>
                        <w:rPr>
                          <w:rFonts w:ascii="Cambria Math" w:eastAsia="Times New Roman" w:hAnsi="Cambria Math" w:cs="Times New Roman"/>
                          <w:i/>
                          <w:color w:val="4A4A4A"/>
                          <w:sz w:val="21"/>
                          <w:szCs w:val="21"/>
                          <w:lang w:val="fr-FR" w:eastAsia="en-GB"/>
                        </w:rPr>
                      </m:ctrlPr>
                    </m:fPr>
                    <m:num>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r</m:t>
                          </m:r>
                        </m:e>
                        <m:sub>
                          <m:r>
                            <w:rPr>
                              <w:rFonts w:ascii="Cambria Math" w:eastAsia="Times New Roman" w:hAnsi="Cambria Math" w:cs="Times New Roman"/>
                              <w:color w:val="4A4A4A"/>
                              <w:sz w:val="21"/>
                              <w:szCs w:val="21"/>
                              <w:lang w:val="fr-FR" w:eastAsia="en-GB"/>
                            </w:rPr>
                            <m:t>su</m:t>
                          </m:r>
                        </m:sub>
                      </m:sSub>
                    </m:num>
                    <m:den>
                      <m:sSub>
                        <m:sSubPr>
                          <m:ctrlPr>
                            <w:rPr>
                              <w:rFonts w:ascii="Cambria Math" w:eastAsia="Times New Roman" w:hAnsi="Cambria Math" w:cs="Times New Roman"/>
                              <w:i/>
                              <w:color w:val="4A4A4A"/>
                              <w:sz w:val="21"/>
                              <w:szCs w:val="21"/>
                              <w:lang w:val="fr-FR" w:eastAsia="en-GB"/>
                            </w:rPr>
                          </m:ctrlPr>
                        </m:sSubPr>
                        <m:e>
                          <m:r>
                            <w:rPr>
                              <w:rFonts w:ascii="Cambria Math" w:eastAsia="Times New Roman" w:hAnsi="Cambria Math" w:cs="Times New Roman"/>
                              <w:color w:val="4A4A4A"/>
                              <w:sz w:val="21"/>
                              <w:szCs w:val="21"/>
                              <w:lang w:val="fr-FR" w:eastAsia="en-GB"/>
                            </w:rPr>
                            <m:t>R</m:t>
                          </m:r>
                        </m:e>
                        <m:sub>
                          <m:r>
                            <w:rPr>
                              <w:rFonts w:ascii="Cambria Math" w:eastAsia="Times New Roman" w:hAnsi="Cambria Math" w:cs="Times New Roman"/>
                              <w:color w:val="4A4A4A"/>
                              <w:sz w:val="21"/>
                              <w:szCs w:val="21"/>
                              <w:lang w:val="fr-FR" w:eastAsia="en-GB"/>
                            </w:rPr>
                            <m:t>s</m:t>
                          </m:r>
                        </m:sub>
                      </m:sSub>
                    </m:den>
                  </m:f>
                </m:e>
              </m:d>
            </m:den>
          </m:f>
        </m:oMath>
      </m:oMathPara>
    </w:p>
    <w:p w14:paraId="48EC3FDF" w14:textId="77777777" w:rsidR="00305827" w:rsidRPr="00C131D8" w:rsidRDefault="00305827" w:rsidP="005B4C2E">
      <w:pPr>
        <w:shd w:val="clear" w:color="auto" w:fill="FFFFFF"/>
        <w:spacing w:after="0"/>
        <w:contextualSpacing/>
        <w:rPr>
          <w:rFonts w:ascii="Calibri" w:eastAsia="Times New Roman" w:hAnsi="Calibri" w:cs="Times New Roman"/>
          <w:color w:val="4A4A4A"/>
          <w:sz w:val="21"/>
          <w:szCs w:val="21"/>
          <w:lang w:val="fr-FR" w:eastAsia="en-GB"/>
        </w:rPr>
      </w:pPr>
    </w:p>
    <w:p w14:paraId="0EFDC68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where </w:t>
      </w:r>
      <w:proofErr w:type="spellStart"/>
      <w:r w:rsidRPr="005B4C2E">
        <w:rPr>
          <w:rFonts w:ascii="Calibri" w:eastAsia="Times New Roman" w:hAnsi="Calibri" w:cs="Times New Roman"/>
          <w:color w:val="4A4A4A"/>
          <w:sz w:val="21"/>
          <w:szCs w:val="21"/>
          <w:lang w:eastAsia="en-GB"/>
        </w:rPr>
        <w:t>t</w:t>
      </w:r>
      <w:proofErr w:type="spellEnd"/>
      <w:r w:rsidRPr="005B4C2E">
        <w:rPr>
          <w:rFonts w:ascii="Calibri" w:eastAsia="Times New Roman" w:hAnsi="Calibri" w:cs="Times New Roman"/>
          <w:color w:val="4A4A4A"/>
          <w:sz w:val="21"/>
          <w:szCs w:val="21"/>
          <w:lang w:eastAsia="en-GB"/>
        </w:rPr>
        <w:t xml:space="preserve"> is the year of comprehensive reassessment, u is the spatial unit (i.e. country), W_((</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xml:space="preserve">)) is the weight of the global Red List category for species s at time t (Least Concern =0, Near Threatened =1, Vulnerable =2, Endangered =3, Critically Endangered =4, Critically Endangered (Possibly Extinct) =5, Critically Endangered (Possibly Extinct in the Wild) =5, Extinct in the Wild =5 and Extinct =5), WEX = 5 is the weight for Extinct species, </w:t>
      </w:r>
      <w:proofErr w:type="spellStart"/>
      <w:r w:rsidRPr="005B4C2E">
        <w:rPr>
          <w:rFonts w:ascii="Calibri" w:eastAsia="Times New Roman" w:hAnsi="Calibri" w:cs="Times New Roman"/>
          <w:color w:val="4A4A4A"/>
          <w:sz w:val="21"/>
          <w:szCs w:val="21"/>
          <w:lang w:eastAsia="en-GB"/>
        </w:rPr>
        <w:t>r_su</w:t>
      </w:r>
      <w:proofErr w:type="spellEnd"/>
      <w:r w:rsidRPr="005B4C2E">
        <w:rPr>
          <w:rFonts w:ascii="Calibri" w:eastAsia="Times New Roman" w:hAnsi="Calibri" w:cs="Times New Roman"/>
          <w:color w:val="4A4A4A"/>
          <w:sz w:val="21"/>
          <w:szCs w:val="21"/>
          <w:lang w:eastAsia="en-GB"/>
        </w:rPr>
        <w:t xml:space="preserve"> is the fraction of the total range of species s in unit u, and R_s is the total range size of species s.</w:t>
      </w:r>
    </w:p>
    <w:p w14:paraId="38B5B85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2E6D4A74" w14:textId="50217AB4"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index varies from 1 if the country has contributed the minimum it can to the global RLI (i.e., if the numerator is 0 because all species in the country are L</w:t>
      </w:r>
      <w:r w:rsidR="00640FEE">
        <w:rPr>
          <w:rFonts w:ascii="Calibri" w:eastAsia="Times New Roman" w:hAnsi="Calibri" w:cs="Times New Roman"/>
          <w:color w:val="4A4A4A"/>
          <w:sz w:val="21"/>
          <w:szCs w:val="21"/>
          <w:lang w:eastAsia="en-GB"/>
        </w:rPr>
        <w:t>east Concern</w:t>
      </w:r>
      <w:r w:rsidRPr="005B4C2E">
        <w:rPr>
          <w:rFonts w:ascii="Calibri" w:eastAsia="Times New Roman" w:hAnsi="Calibri" w:cs="Times New Roman"/>
          <w:color w:val="4A4A4A"/>
          <w:sz w:val="21"/>
          <w:szCs w:val="21"/>
          <w:lang w:eastAsia="en-GB"/>
        </w:rPr>
        <w:t xml:space="preserve">) to 0 if the country has contributed the maximum it can to the global RLI (i.e., if the numerator equals the denominator because all species in the country are Extinct or Possibly Extinct). </w:t>
      </w:r>
    </w:p>
    <w:p w14:paraId="31CE191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4AA6204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taxonomic groups included are those in which all species have been assessed for the IUCN Red List more than once. Red List categories for years in which comprehensive assessments (i.e. those in which all species in the taxonomic group have been assessed) were carried out are determined following the approach of Butchart et al. 2007; </w:t>
      </w:r>
      <w:proofErr w:type="spellStart"/>
      <w:r w:rsidRPr="005B4C2E">
        <w:rPr>
          <w:rFonts w:ascii="Calibri" w:eastAsia="Times New Roman" w:hAnsi="Calibri" w:cs="Times New Roman"/>
          <w:color w:val="4A4A4A"/>
          <w:sz w:val="21"/>
          <w:szCs w:val="21"/>
          <w:lang w:eastAsia="en-GB"/>
        </w:rPr>
        <w:t>PLoS</w:t>
      </w:r>
      <w:proofErr w:type="spellEnd"/>
      <w:r w:rsidRPr="005B4C2E">
        <w:rPr>
          <w:rFonts w:ascii="Calibri" w:eastAsia="Times New Roman" w:hAnsi="Calibri" w:cs="Times New Roman"/>
          <w:color w:val="4A4A4A"/>
          <w:sz w:val="21"/>
          <w:szCs w:val="21"/>
          <w:lang w:eastAsia="en-GB"/>
        </w:rPr>
        <w:t xml:space="preserve"> ONE 2(1): e140, i.e. they match the current categories except for those taxa that have undergone genuine improvement or deterioration in extinction risk of sufficient magnitude to qualify for a higher or lower Red List category.</w:t>
      </w:r>
    </w:p>
    <w:p w14:paraId="6230830E"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7A208C52" w14:textId="6484132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indicator can also be disaggregated by ecosystems, habitats, and other political and geographic divisions (e.g., Han et al. 2014), by taxonomic subsets (e.g., Hoffmann et al. 2011), by suites of species relevant to particular international treaties or legislation (e.g., </w:t>
      </w:r>
      <w:proofErr w:type="spellStart"/>
      <w:r w:rsidRPr="005B4C2E">
        <w:rPr>
          <w:rFonts w:ascii="Calibri" w:eastAsia="Times New Roman" w:hAnsi="Calibri" w:cs="Times New Roman"/>
          <w:color w:val="4A4A4A"/>
          <w:sz w:val="21"/>
          <w:szCs w:val="21"/>
          <w:lang w:eastAsia="en-GB"/>
        </w:rPr>
        <w:t>Croxall</w:t>
      </w:r>
      <w:proofErr w:type="spellEnd"/>
      <w:r w:rsidRPr="005B4C2E">
        <w:rPr>
          <w:rFonts w:ascii="Calibri" w:eastAsia="Times New Roman" w:hAnsi="Calibri" w:cs="Times New Roman"/>
          <w:color w:val="4A4A4A"/>
          <w:sz w:val="21"/>
          <w:szCs w:val="21"/>
          <w:lang w:eastAsia="en-GB"/>
        </w:rPr>
        <w:t xml:space="preserve"> et al. 2012), by suites of species exposed to particular threatening processes (e.g., Butchart 2008), and by suites of species that deliver particular ecosystem services, or have particular biological or life-history traits (e.g., Regan et al. 2015). In each case, information can be obtained from The IUCN Red List of Threatened Species to determine which species are relevant to particular subsets (e.g.</w:t>
      </w:r>
      <w:r w:rsidR="00A44F98">
        <w:rPr>
          <w:rFonts w:ascii="Calibri" w:eastAsia="Times New Roman" w:hAnsi="Calibri" w:cs="Times New Roman"/>
          <w:color w:val="4A4A4A"/>
          <w:sz w:val="21"/>
          <w:szCs w:val="21"/>
          <w:lang w:eastAsia="en-GB"/>
        </w:rPr>
        <w:t>,</w:t>
      </w:r>
      <w:r w:rsidRPr="005B4C2E">
        <w:rPr>
          <w:rFonts w:ascii="Calibri" w:eastAsia="Times New Roman" w:hAnsi="Calibri" w:cs="Times New Roman"/>
          <w:color w:val="4A4A4A"/>
          <w:sz w:val="21"/>
          <w:szCs w:val="21"/>
          <w:lang w:eastAsia="en-GB"/>
        </w:rPr>
        <w:t xml:space="preserve"> which occur in particular ecosystems, habitats, and geographic areas of interest).</w:t>
      </w:r>
      <w:r w:rsidR="00640FEE">
        <w:rPr>
          <w:rFonts w:ascii="Calibri" w:eastAsia="Times New Roman" w:hAnsi="Calibri" w:cs="Times New Roman"/>
          <w:color w:val="4A4A4A"/>
          <w:sz w:val="21"/>
          <w:szCs w:val="21"/>
          <w:lang w:eastAsia="en-GB"/>
        </w:rPr>
        <w:t xml:space="preserve"> These </w:t>
      </w:r>
      <w:proofErr w:type="spellStart"/>
      <w:r w:rsidR="00640FEE">
        <w:rPr>
          <w:rFonts w:ascii="Calibri" w:eastAsia="Times New Roman" w:hAnsi="Calibri" w:cs="Times New Roman"/>
          <w:color w:val="4A4A4A"/>
          <w:sz w:val="21"/>
          <w:szCs w:val="21"/>
          <w:lang w:eastAsia="en-GB"/>
        </w:rPr>
        <w:t>disaggregations</w:t>
      </w:r>
      <w:proofErr w:type="spellEnd"/>
      <w:r w:rsidR="00640FEE">
        <w:rPr>
          <w:rFonts w:ascii="Calibri" w:eastAsia="Times New Roman" w:hAnsi="Calibri" w:cs="Times New Roman"/>
          <w:color w:val="4A4A4A"/>
          <w:sz w:val="21"/>
          <w:szCs w:val="21"/>
          <w:lang w:eastAsia="en-GB"/>
        </w:rPr>
        <w:t xml:space="preserve"> are available on the IUCN Red List website at </w:t>
      </w:r>
      <w:r w:rsidR="00640FEE" w:rsidRPr="00640FEE">
        <w:rPr>
          <w:rFonts w:ascii="Calibri" w:eastAsia="Times New Roman" w:hAnsi="Calibri" w:cs="Times New Roman"/>
          <w:color w:val="4A4A4A"/>
          <w:sz w:val="21"/>
          <w:szCs w:val="21"/>
          <w:lang w:eastAsia="en-GB"/>
        </w:rPr>
        <w:t>https://www.iucnredlist.org/search</w:t>
      </w:r>
      <w:r w:rsidR="00640FEE">
        <w:rPr>
          <w:rFonts w:ascii="Calibri" w:eastAsia="Times New Roman" w:hAnsi="Calibri" w:cs="Times New Roman"/>
          <w:color w:val="4A4A4A"/>
          <w:sz w:val="21"/>
          <w:szCs w:val="21"/>
          <w:lang w:eastAsia="en-GB"/>
        </w:rPr>
        <w:t>.</w:t>
      </w:r>
    </w:p>
    <w:p w14:paraId="4DB416A1"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0D50D9C" w14:textId="0B0EB07E"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roofErr w:type="spellStart"/>
      <w:r w:rsidRPr="005B4C2E">
        <w:rPr>
          <w:rFonts w:ascii="Calibri" w:eastAsia="Times New Roman" w:hAnsi="Calibri" w:cs="Times New Roman"/>
          <w:color w:val="4A4A4A"/>
          <w:sz w:val="21"/>
          <w:szCs w:val="21"/>
          <w:lang w:eastAsia="en-GB"/>
        </w:rPr>
        <w:t>Disaggregations</w:t>
      </w:r>
      <w:proofErr w:type="spellEnd"/>
      <w:r w:rsidRPr="005B4C2E">
        <w:rPr>
          <w:rFonts w:ascii="Calibri" w:eastAsia="Times New Roman" w:hAnsi="Calibri" w:cs="Times New Roman"/>
          <w:color w:val="4A4A4A"/>
          <w:sz w:val="21"/>
          <w:szCs w:val="21"/>
          <w:lang w:eastAsia="en-GB"/>
        </w:rPr>
        <w:t xml:space="preserve"> of the Red List Index are also of particular relevance as indicators towards the following SDG targets (Brooks et al. 2015): SDG 2.4 Red List Index (species used for food and medicine); SDG 2.5 Red List Index (wild relatives and local breeds); SDG 12.2 Red List Index (impacts of utilisation) (Butchart 2008); SDG 12.4 Red List Index (impacts of pollution); SDG 13.1 Red List Index (impacts of climate change); SDG 14.1 Red List Index (impacts of pollution on marine species); SDG 14.2 Red List Index (marine species); SDG 14.3 Red List Index (reef-building coral species) (Carpenter et al. 2008); SDG 14.4 Red List Index (impacts of utilisation on marine species); 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5B4C2E">
        <w:rPr>
          <w:rFonts w:ascii="Calibri" w:eastAsia="Times New Roman" w:hAnsi="Calibri" w:cs="Times New Roman"/>
          <w:color w:val="4A4A4A"/>
          <w:sz w:val="21"/>
          <w:szCs w:val="21"/>
          <w:lang w:eastAsia="en-GB"/>
        </w:rPr>
        <w:t>McGeoch</w:t>
      </w:r>
      <w:proofErr w:type="spellEnd"/>
      <w:r w:rsidRPr="005B4C2E">
        <w:rPr>
          <w:rFonts w:ascii="Calibri" w:eastAsia="Times New Roman" w:hAnsi="Calibri" w:cs="Times New Roman"/>
          <w:color w:val="4A4A4A"/>
          <w:sz w:val="21"/>
          <w:szCs w:val="21"/>
          <w:lang w:eastAsia="en-GB"/>
        </w:rPr>
        <w:t xml:space="preserve"> et al. 2010).</w:t>
      </w:r>
    </w:p>
    <w:p w14:paraId="06140745" w14:textId="77777777" w:rsidR="005B4C2E" w:rsidRDefault="005B4C2E"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2FEA90A5" w:rsidR="00D51E7C" w:rsidRPr="00796A40" w:rsidRDefault="00D51E7C" w:rsidP="00576CFA">
      <w:pPr>
        <w:pStyle w:val="MText"/>
        <w:rPr>
          <w:b/>
          <w:bCs/>
        </w:rPr>
      </w:pPr>
      <w:r w:rsidRPr="00796A40">
        <w:rPr>
          <w:b/>
          <w:bCs/>
        </w:rPr>
        <w:lastRenderedPageBreak/>
        <w:t>Sources of discrepancies:</w:t>
      </w:r>
    </w:p>
    <w:p w14:paraId="497EECB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Some countries have assessed the national extinction risk of species occurring in the country, and have repeated such assessments, allowing a national Red List Index to be produced. This may differ from the indicator described here because (a) it considers national rather than global extinction risk, and (b) because it takes no account of the national responsibility for the conservation of each species, treating as equal both those species that occur nowhere outside the country (i.e. national endemics) and those with large ranges that occur in many other countries. Any such differences will be smaller for countries within which a high proportion of species are endemic (i.e., only found in that country), as in many island nations and mountainous countries, especially in the tropics. The differences will be larger for countries within which a high proportion of species have widespread distributions across many nations.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EC01888" w14:textId="77777777" w:rsidR="002B739C" w:rsidRPr="002B739C" w:rsidRDefault="002B739C" w:rsidP="002B739C">
      <w:pPr>
        <w:keepNext/>
        <w:keepLines/>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URL:</w:t>
      </w:r>
    </w:p>
    <w:p w14:paraId="2A7A0E5F" w14:textId="420C8C3D" w:rsidR="002B739C" w:rsidRPr="002B739C" w:rsidRDefault="003F6D48" w:rsidP="002B739C">
      <w:pPr>
        <w:keepNext/>
        <w:keepLines/>
        <w:shd w:val="clear" w:color="auto" w:fill="FFFFFF"/>
        <w:spacing w:after="0"/>
        <w:contextualSpacing/>
        <w:rPr>
          <w:rFonts w:ascii="Calibri" w:eastAsia="Times New Roman" w:hAnsi="Calibri" w:cs="Times New Roman"/>
          <w:color w:val="4A4A4A"/>
          <w:sz w:val="21"/>
          <w:szCs w:val="21"/>
          <w:lang w:eastAsia="en-GB"/>
        </w:rPr>
      </w:pPr>
      <w:hyperlink r:id="rId40" w:history="1">
        <w:r w:rsidR="00E21448" w:rsidRPr="009B213D">
          <w:rPr>
            <w:rStyle w:val="Hyperlink"/>
            <w:rFonts w:ascii="Calibri" w:eastAsia="Times New Roman" w:hAnsi="Calibri" w:cs="Times New Roman"/>
            <w:sz w:val="21"/>
            <w:szCs w:val="21"/>
            <w:lang w:eastAsia="en-GB"/>
          </w:rPr>
          <w:t>https://www.iucn.org/assessment/red-list-index</w:t>
        </w:r>
      </w:hyperlink>
      <w:r w:rsidR="007071BB">
        <w:rPr>
          <w:rFonts w:ascii="Calibri" w:eastAsia="Times New Roman" w:hAnsi="Calibri" w:cs="Times New Roman"/>
          <w:color w:val="4A4A4A"/>
          <w:sz w:val="21"/>
          <w:szCs w:val="21"/>
          <w:lang w:eastAsia="en-GB"/>
        </w:rPr>
        <w:t xml:space="preserve"> </w:t>
      </w:r>
      <w:r w:rsidR="002B739C" w:rsidRPr="002B739C">
        <w:rPr>
          <w:rFonts w:ascii="Calibri" w:eastAsia="Times New Roman" w:hAnsi="Calibri" w:cs="Times New Roman"/>
          <w:color w:val="4A4A4A"/>
          <w:sz w:val="21"/>
          <w:szCs w:val="21"/>
          <w:lang w:eastAsia="en-GB"/>
        </w:rPr>
        <w:t xml:space="preserve"> </w:t>
      </w:r>
    </w:p>
    <w:p w14:paraId="27861AD2" w14:textId="77777777" w:rsidR="002B739C" w:rsidRPr="002B739C" w:rsidRDefault="002B739C" w:rsidP="002B739C">
      <w:pPr>
        <w:keepNext/>
        <w:keepLines/>
        <w:shd w:val="clear" w:color="auto" w:fill="FFFFFF"/>
        <w:spacing w:after="0"/>
        <w:contextualSpacing/>
        <w:rPr>
          <w:rFonts w:ascii="Calibri" w:eastAsia="Times New Roman" w:hAnsi="Calibri" w:cs="Times New Roman"/>
          <w:b/>
          <w:bCs/>
          <w:color w:val="4A4A4A"/>
          <w:sz w:val="21"/>
          <w:szCs w:val="21"/>
          <w:lang w:eastAsia="en-GB"/>
        </w:rPr>
      </w:pPr>
    </w:p>
    <w:p w14:paraId="5EBFA8A1" w14:textId="77777777" w:rsidR="002B739C" w:rsidRPr="002B739C" w:rsidRDefault="002B739C" w:rsidP="002B739C">
      <w:pPr>
        <w:keepNext/>
        <w:keepLines/>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References:</w:t>
      </w:r>
    </w:p>
    <w:p w14:paraId="79B5071F" w14:textId="51D9CB24"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These metadata are based on</w:t>
      </w:r>
      <w:r w:rsidR="00E21448">
        <w:rPr>
          <w:rFonts w:ascii="Calibri" w:eastAsia="Times New Roman" w:hAnsi="Calibri" w:cs="Times New Roman"/>
          <w:color w:val="4A4A4A"/>
          <w:sz w:val="21"/>
          <w:szCs w:val="21"/>
          <w:lang w:eastAsia="en-GB"/>
        </w:rPr>
        <w:t xml:space="preserve"> </w:t>
      </w:r>
      <w:hyperlink r:id="rId41" w:history="1">
        <w:r w:rsidR="00E21448" w:rsidRPr="009B213D">
          <w:rPr>
            <w:rStyle w:val="Hyperlink"/>
            <w:rFonts w:ascii="Calibri" w:eastAsia="Times New Roman" w:hAnsi="Calibri" w:cs="Times New Roman"/>
            <w:sz w:val="21"/>
            <w:szCs w:val="21"/>
            <w:lang w:eastAsia="en-GB"/>
          </w:rPr>
          <w:t>https://www.bipindicators.net/indicators/red-list-index</w:t>
        </w:r>
      </w:hyperlink>
      <w:r w:rsidR="00E21448">
        <w:rPr>
          <w:rFonts w:ascii="Calibri" w:eastAsia="Times New Roman" w:hAnsi="Calibri" w:cs="Times New Roman"/>
          <w:color w:val="4A4A4A"/>
          <w:sz w:val="21"/>
          <w:szCs w:val="21"/>
          <w:lang w:eastAsia="en-GB"/>
        </w:rPr>
        <w:t xml:space="preserve"> </w:t>
      </w:r>
      <w:r w:rsidRPr="002B739C">
        <w:rPr>
          <w:rFonts w:ascii="Calibri" w:eastAsia="Times New Roman" w:hAnsi="Calibri" w:cs="Times New Roman"/>
          <w:color w:val="4A4A4A"/>
          <w:sz w:val="21"/>
          <w:szCs w:val="21"/>
          <w:lang w:eastAsia="en-GB"/>
        </w:rPr>
        <w:t xml:space="preserve"> and the references listed below.</w:t>
      </w:r>
    </w:p>
    <w:p w14:paraId="30DF19E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9F1DDFA" w14:textId="29BE93BA"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BAILLIE, J. E. M. et al. </w:t>
      </w:r>
      <w:r w:rsidRPr="002B739C">
        <w:rPr>
          <w:rFonts w:ascii="Calibri" w:eastAsia="Times New Roman" w:hAnsi="Calibri" w:cs="Times New Roman"/>
          <w:color w:val="4A4A4A"/>
          <w:sz w:val="21"/>
          <w:szCs w:val="21"/>
          <w:lang w:eastAsia="en-GB"/>
        </w:rPr>
        <w:t>(2004). 2004 IUCN Red List of Threatened Species: a Global Species Assessment. IUCN, Gland, Switzerland and Cambridge, United Kingdom. Available from</w:t>
      </w:r>
      <w:r w:rsidR="00E21448">
        <w:rPr>
          <w:rFonts w:ascii="Calibri" w:eastAsia="Times New Roman" w:hAnsi="Calibri" w:cs="Times New Roman"/>
          <w:color w:val="4A4A4A"/>
          <w:sz w:val="21"/>
          <w:szCs w:val="21"/>
          <w:lang w:eastAsia="en-GB"/>
        </w:rPr>
        <w:t xml:space="preserve"> </w:t>
      </w:r>
      <w:hyperlink r:id="rId42" w:history="1">
        <w:r w:rsidR="00E21448" w:rsidRPr="009B213D">
          <w:rPr>
            <w:rStyle w:val="Hyperlink"/>
            <w:rFonts w:ascii="Calibri" w:eastAsia="Times New Roman" w:hAnsi="Calibri" w:cs="Times New Roman"/>
            <w:sz w:val="21"/>
            <w:szCs w:val="21"/>
            <w:lang w:eastAsia="en-GB"/>
          </w:rPr>
          <w:t>https://portals.iucn.org/library/node/9830</w:t>
        </w:r>
      </w:hyperlink>
      <w:r w:rsidRPr="002B739C">
        <w:rPr>
          <w:rFonts w:ascii="Calibri" w:eastAsia="Times New Roman" w:hAnsi="Calibri" w:cs="Times New Roman"/>
          <w:color w:val="4A4A4A"/>
          <w:sz w:val="21"/>
          <w:szCs w:val="21"/>
          <w:lang w:eastAsia="en-GB"/>
        </w:rPr>
        <w:t xml:space="preserve">. </w:t>
      </w:r>
    </w:p>
    <w:p w14:paraId="4EDDB3F5"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A4DACD3" w14:textId="26FCB68E"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BROOKS, T. M. et al. </w:t>
      </w:r>
      <w:r w:rsidRPr="002B739C">
        <w:rPr>
          <w:rFonts w:ascii="Calibri" w:eastAsia="Times New Roman" w:hAnsi="Calibri" w:cs="Times New Roman"/>
          <w:color w:val="4A4A4A"/>
          <w:sz w:val="21"/>
          <w:szCs w:val="21"/>
          <w:lang w:eastAsia="en-GB"/>
        </w:rPr>
        <w:t xml:space="preserve">(2015). Harnessing biodiversity and conservation knowledge products to track the Aichi Targets and Sustainable Development Goals. Biodiversity 16: 157–174. Available from </w:t>
      </w:r>
      <w:hyperlink r:id="rId43" w:history="1">
        <w:r w:rsidR="00E21448" w:rsidRPr="009B213D">
          <w:rPr>
            <w:rStyle w:val="Hyperlink"/>
            <w:rFonts w:ascii="Calibri" w:eastAsia="Times New Roman" w:hAnsi="Calibri" w:cs="Times New Roman"/>
            <w:sz w:val="21"/>
            <w:szCs w:val="21"/>
            <w:lang w:eastAsia="en-GB"/>
          </w:rPr>
          <w:t>http://www.tandfonline.com/doi/pdf/10.1080/14888386.2015.1075903</w:t>
        </w:r>
      </w:hyperlink>
      <w:r w:rsidRPr="002B739C">
        <w:rPr>
          <w:rFonts w:ascii="Calibri" w:eastAsia="Times New Roman" w:hAnsi="Calibri" w:cs="Times New Roman"/>
          <w:color w:val="4A4A4A"/>
          <w:sz w:val="21"/>
          <w:szCs w:val="21"/>
          <w:lang w:eastAsia="en-GB"/>
        </w:rPr>
        <w:t xml:space="preserve">. </w:t>
      </w:r>
    </w:p>
    <w:p w14:paraId="00EBE6E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5070EDA" w14:textId="7F3235C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BUBB, P.J. et al. (2009). IUCN Red List Index - Guidance for National and Regional Use. IUCN, Gland, Switzerland. Available from</w:t>
      </w:r>
      <w:r w:rsidR="00E21448">
        <w:rPr>
          <w:rFonts w:ascii="Calibri" w:eastAsia="Times New Roman" w:hAnsi="Calibri" w:cs="Times New Roman"/>
          <w:color w:val="4A4A4A"/>
          <w:sz w:val="21"/>
          <w:szCs w:val="21"/>
          <w:lang w:eastAsia="en-GB"/>
        </w:rPr>
        <w:t xml:space="preserve"> </w:t>
      </w:r>
      <w:hyperlink r:id="rId44" w:history="1">
        <w:r w:rsidR="00E21448" w:rsidRPr="009B213D">
          <w:rPr>
            <w:rStyle w:val="Hyperlink"/>
            <w:rFonts w:ascii="Calibri" w:eastAsia="Times New Roman" w:hAnsi="Calibri" w:cs="Times New Roman"/>
            <w:sz w:val="21"/>
            <w:szCs w:val="21"/>
            <w:lang w:eastAsia="en-GB"/>
          </w:rPr>
          <w:t>https://portals.iucn.org/library/node/9321</w:t>
        </w:r>
      </w:hyperlink>
      <w:r w:rsidRPr="002B739C">
        <w:rPr>
          <w:rFonts w:ascii="Calibri" w:eastAsia="Times New Roman" w:hAnsi="Calibri" w:cs="Times New Roman"/>
          <w:color w:val="4A4A4A"/>
          <w:sz w:val="21"/>
          <w:szCs w:val="21"/>
          <w:lang w:eastAsia="en-GB"/>
        </w:rPr>
        <w:t>.</w:t>
      </w:r>
    </w:p>
    <w:p w14:paraId="2AD1AB9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8B0C8E6" w14:textId="4CCEBEAF"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(2010). Global biodiversity: indicators of recent declines. Science 328: 1164–1168. Available from</w:t>
      </w:r>
      <w:r w:rsidR="00E21448">
        <w:rPr>
          <w:rFonts w:ascii="Calibri" w:eastAsia="Times New Roman" w:hAnsi="Calibri" w:cs="Times New Roman"/>
          <w:color w:val="4A4A4A"/>
          <w:sz w:val="21"/>
          <w:szCs w:val="21"/>
          <w:lang w:eastAsia="en-GB"/>
        </w:rPr>
        <w:t xml:space="preserve"> </w:t>
      </w:r>
      <w:hyperlink r:id="rId45" w:history="1">
        <w:r w:rsidR="00E21448" w:rsidRPr="009B213D">
          <w:rPr>
            <w:rStyle w:val="Hyperlink"/>
            <w:rFonts w:ascii="Calibri" w:eastAsia="Times New Roman" w:hAnsi="Calibri" w:cs="Times New Roman"/>
            <w:sz w:val="21"/>
            <w:szCs w:val="21"/>
            <w:lang w:eastAsia="en-GB"/>
          </w:rPr>
          <w:t>https://www.science.org/doi/10.1126/science.1187512</w:t>
        </w:r>
      </w:hyperlink>
      <w:r w:rsidRPr="002B739C">
        <w:rPr>
          <w:rFonts w:ascii="Calibri" w:eastAsia="Times New Roman" w:hAnsi="Calibri" w:cs="Times New Roman"/>
          <w:color w:val="4A4A4A"/>
          <w:sz w:val="21"/>
          <w:szCs w:val="21"/>
          <w:lang w:eastAsia="en-GB"/>
        </w:rPr>
        <w:t xml:space="preserve">. </w:t>
      </w:r>
    </w:p>
    <w:p w14:paraId="411801D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10C3AC0" w14:textId="7697763D"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BUTCHART, S. H. M. (2008). Red List Indices to measure the sustainability of species use and impacts of invasive alien species. Bird Conservation International 18 (suppl.): 245–262. Available from</w:t>
      </w:r>
      <w:r w:rsidR="00E21448">
        <w:rPr>
          <w:rFonts w:ascii="Calibri" w:eastAsia="Times New Roman" w:hAnsi="Calibri" w:cs="Times New Roman"/>
          <w:color w:val="4A4A4A"/>
          <w:sz w:val="21"/>
          <w:szCs w:val="21"/>
          <w:lang w:eastAsia="en-GB"/>
        </w:rPr>
        <w:t xml:space="preserve"> </w:t>
      </w:r>
      <w:hyperlink r:id="rId46" w:history="1">
        <w:r w:rsidR="00E21448" w:rsidRPr="009B213D">
          <w:rPr>
            <w:rStyle w:val="Hyperlink"/>
            <w:rFonts w:ascii="Calibri" w:eastAsia="Times New Roman" w:hAnsi="Calibri" w:cs="Times New Roman"/>
            <w:sz w:val="21"/>
            <w:szCs w:val="21"/>
            <w:lang w:eastAsia="en-GB"/>
          </w:rPr>
          <w:t>http://journals.cambridge.org/action/displayJournal?jid=BCI</w:t>
        </w:r>
      </w:hyperlink>
      <w:r w:rsidRPr="002B739C">
        <w:rPr>
          <w:rFonts w:ascii="Calibri" w:eastAsia="Times New Roman" w:hAnsi="Calibri" w:cs="Times New Roman"/>
          <w:color w:val="4A4A4A"/>
          <w:sz w:val="21"/>
          <w:szCs w:val="21"/>
          <w:lang w:eastAsia="en-GB"/>
        </w:rPr>
        <w:t xml:space="preserve">. </w:t>
      </w:r>
    </w:p>
    <w:p w14:paraId="5D36ABD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56A697D" w14:textId="3398E631"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BUTCHART, S. H. M. et al. (2007). Improvements to the Red List Index.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2(1): e140. Available from</w:t>
      </w:r>
      <w:r w:rsidR="00E21448">
        <w:rPr>
          <w:rFonts w:ascii="Calibri" w:eastAsia="Times New Roman" w:hAnsi="Calibri" w:cs="Times New Roman"/>
          <w:color w:val="4A4A4A"/>
          <w:sz w:val="21"/>
          <w:szCs w:val="21"/>
          <w:lang w:eastAsia="en-GB"/>
        </w:rPr>
        <w:t xml:space="preserve"> </w:t>
      </w:r>
      <w:hyperlink r:id="rId47" w:history="1">
        <w:r w:rsidR="00E21448" w:rsidRPr="009B213D">
          <w:rPr>
            <w:rStyle w:val="Hyperlink"/>
            <w:rFonts w:ascii="Calibri" w:eastAsia="Times New Roman" w:hAnsi="Calibri" w:cs="Times New Roman"/>
            <w:sz w:val="21"/>
            <w:szCs w:val="21"/>
            <w:lang w:eastAsia="en-GB"/>
          </w:rPr>
          <w:t>http://journals.plos.org/plosone/article?id=10.1371/journal.pone.0000140</w:t>
        </w:r>
      </w:hyperlink>
      <w:r w:rsidRPr="002B739C">
        <w:rPr>
          <w:rFonts w:ascii="Calibri" w:eastAsia="Times New Roman" w:hAnsi="Calibri" w:cs="Times New Roman"/>
          <w:color w:val="4A4A4A"/>
          <w:sz w:val="21"/>
          <w:szCs w:val="21"/>
          <w:lang w:eastAsia="en-GB"/>
        </w:rPr>
        <w:t xml:space="preserve">. </w:t>
      </w:r>
    </w:p>
    <w:p w14:paraId="2E5D9DD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87D8BEF" w14:textId="6F0EEE96"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(2006). Biodiversity indicators based on trends in conservation status: strengths of the IUCN Red List Index. Conservation Biology 20: 579–581. Available from</w:t>
      </w:r>
      <w:r w:rsidR="00E21448" w:rsidRPr="00E21448">
        <w:t xml:space="preserve"> </w:t>
      </w:r>
      <w:hyperlink r:id="rId48" w:history="1">
        <w:r w:rsidR="00AF68CA" w:rsidRPr="009B213D">
          <w:rPr>
            <w:rStyle w:val="Hyperlink"/>
            <w:rFonts w:ascii="Calibri" w:eastAsia="Times New Roman" w:hAnsi="Calibri" w:cs="Times New Roman"/>
            <w:sz w:val="21"/>
            <w:szCs w:val="21"/>
            <w:lang w:eastAsia="en-GB"/>
          </w:rPr>
          <w:t>http://onlinelibrary.wiley.com/doi/10.1111/j.1523-1739.2006.00410.x/abstract</w:t>
        </w:r>
      </w:hyperlink>
      <w:r w:rsidRPr="002B739C">
        <w:rPr>
          <w:rFonts w:ascii="Calibri" w:eastAsia="Times New Roman" w:hAnsi="Calibri" w:cs="Times New Roman"/>
          <w:color w:val="4A4A4A"/>
          <w:sz w:val="21"/>
          <w:szCs w:val="21"/>
          <w:lang w:eastAsia="en-GB"/>
        </w:rPr>
        <w:t xml:space="preserve">. </w:t>
      </w:r>
    </w:p>
    <w:p w14:paraId="636E449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8492201" w14:textId="5EF58682"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lastRenderedPageBreak/>
        <w:t xml:space="preserve">BUTCHART, S. H. M. et al. </w:t>
      </w:r>
      <w:r w:rsidRPr="002B739C">
        <w:rPr>
          <w:rFonts w:ascii="Calibri" w:eastAsia="Times New Roman" w:hAnsi="Calibri" w:cs="Times New Roman"/>
          <w:color w:val="4A4A4A"/>
          <w:sz w:val="21"/>
          <w:szCs w:val="21"/>
          <w:lang w:eastAsia="en-GB"/>
        </w:rPr>
        <w:t xml:space="preserve">(2005). Using Red List Indices to measure progress towards the 2010 target and beyond. Philosophical Transactions of the Royal Society of London B 360: 255–268. Available from </w:t>
      </w:r>
      <w:hyperlink r:id="rId49" w:history="1">
        <w:r w:rsidR="00AF68CA" w:rsidRPr="009B213D">
          <w:rPr>
            <w:rStyle w:val="Hyperlink"/>
            <w:rFonts w:ascii="Calibri" w:eastAsia="Times New Roman" w:hAnsi="Calibri" w:cs="Times New Roman"/>
            <w:sz w:val="21"/>
            <w:szCs w:val="21"/>
            <w:lang w:eastAsia="en-GB"/>
          </w:rPr>
          <w:t>http://rstb.royalsocietypublishing.org/content/360/1454/255.full</w:t>
        </w:r>
      </w:hyperlink>
      <w:r w:rsidRPr="002B739C">
        <w:rPr>
          <w:rFonts w:ascii="Calibri" w:eastAsia="Times New Roman" w:hAnsi="Calibri" w:cs="Times New Roman"/>
          <w:color w:val="4A4A4A"/>
          <w:sz w:val="21"/>
          <w:szCs w:val="21"/>
          <w:lang w:eastAsia="en-GB"/>
        </w:rPr>
        <w:t xml:space="preserve">. </w:t>
      </w:r>
    </w:p>
    <w:p w14:paraId="48AA441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70354B7" w14:textId="0EE14329"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 xml:space="preserve">(2004). Measuring global trends in the status of biodiversity: Red List Indices for birds.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Biology 2(12): e383. Available from </w:t>
      </w:r>
      <w:hyperlink r:id="rId50" w:history="1">
        <w:r w:rsidR="00AF68CA" w:rsidRPr="009B213D">
          <w:rPr>
            <w:rStyle w:val="Hyperlink"/>
            <w:rFonts w:ascii="Calibri" w:eastAsia="Times New Roman" w:hAnsi="Calibri" w:cs="Times New Roman"/>
            <w:sz w:val="21"/>
            <w:szCs w:val="21"/>
            <w:lang w:eastAsia="en-GB"/>
          </w:rPr>
          <w:t>http://www.plosbiology.org/article/info:doi/10.1371/journal.pbio.0020383</w:t>
        </w:r>
      </w:hyperlink>
      <w:r w:rsidRPr="002B739C">
        <w:rPr>
          <w:rFonts w:ascii="Calibri" w:eastAsia="Times New Roman" w:hAnsi="Calibri" w:cs="Times New Roman"/>
          <w:color w:val="4A4A4A"/>
          <w:sz w:val="21"/>
          <w:szCs w:val="21"/>
          <w:lang w:eastAsia="en-GB"/>
        </w:rPr>
        <w:t xml:space="preserve">. </w:t>
      </w:r>
    </w:p>
    <w:p w14:paraId="65D5BDF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3E532CC" w14:textId="72DA34D6"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CARPENTER, K. E. et al. </w:t>
      </w:r>
      <w:r w:rsidRPr="002B739C">
        <w:rPr>
          <w:rFonts w:ascii="Calibri" w:eastAsia="Times New Roman" w:hAnsi="Calibri" w:cs="Times New Roman"/>
          <w:color w:val="4A4A4A"/>
          <w:sz w:val="21"/>
          <w:szCs w:val="21"/>
          <w:lang w:eastAsia="en-GB"/>
        </w:rPr>
        <w:t>(2008). One-third of reef-building corals face elevated extinction risk from climate change and local impacts. Science 321: 560–563. Available from</w:t>
      </w:r>
      <w:r w:rsidR="00AF68CA">
        <w:rPr>
          <w:rFonts w:ascii="Calibri" w:eastAsia="Times New Roman" w:hAnsi="Calibri" w:cs="Times New Roman"/>
          <w:color w:val="4A4A4A"/>
          <w:sz w:val="21"/>
          <w:szCs w:val="21"/>
          <w:lang w:eastAsia="en-GB"/>
        </w:rPr>
        <w:t xml:space="preserve"> </w:t>
      </w:r>
      <w:hyperlink r:id="rId51" w:history="1">
        <w:r w:rsidR="00AF68CA" w:rsidRPr="009B213D">
          <w:rPr>
            <w:rStyle w:val="Hyperlink"/>
            <w:rFonts w:ascii="Calibri" w:eastAsia="Times New Roman" w:hAnsi="Calibri" w:cs="Times New Roman"/>
            <w:sz w:val="21"/>
            <w:szCs w:val="21"/>
            <w:lang w:eastAsia="en-GB"/>
          </w:rPr>
          <w:t>https://www.science.org/doi/10.1126/science.1159196</w:t>
        </w:r>
      </w:hyperlink>
      <w:r w:rsidR="00AF68CA">
        <w:rPr>
          <w:rFonts w:ascii="Calibri" w:eastAsia="Times New Roman" w:hAnsi="Calibri" w:cs="Times New Roman"/>
          <w:color w:val="4A4A4A"/>
          <w:sz w:val="21"/>
          <w:szCs w:val="21"/>
          <w:lang w:eastAsia="en-GB"/>
        </w:rPr>
        <w:t xml:space="preserve"> </w:t>
      </w:r>
      <w:r w:rsidRPr="002B739C">
        <w:rPr>
          <w:rFonts w:ascii="Calibri" w:eastAsia="Times New Roman" w:hAnsi="Calibri" w:cs="Times New Roman"/>
          <w:color w:val="4A4A4A"/>
          <w:sz w:val="21"/>
          <w:szCs w:val="21"/>
          <w:lang w:eastAsia="en-GB"/>
        </w:rPr>
        <w:t xml:space="preserve">. </w:t>
      </w:r>
    </w:p>
    <w:p w14:paraId="1ADAB14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2D08DBF" w14:textId="3D12138F"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(2014). Global Biodiversity Outlook 4. Convention on Biological Diversity, Montréal, Canada. Available from</w:t>
      </w:r>
      <w:r w:rsidR="00AF68CA">
        <w:rPr>
          <w:rFonts w:ascii="Calibri" w:eastAsia="Times New Roman" w:hAnsi="Calibri" w:cs="Times New Roman"/>
          <w:color w:val="4A4A4A"/>
          <w:sz w:val="21"/>
          <w:szCs w:val="21"/>
          <w:lang w:eastAsia="en-GB"/>
        </w:rPr>
        <w:t xml:space="preserve"> </w:t>
      </w:r>
      <w:hyperlink r:id="rId52" w:history="1">
        <w:r w:rsidR="00AF68CA" w:rsidRPr="009B213D">
          <w:rPr>
            <w:rStyle w:val="Hyperlink"/>
            <w:rFonts w:ascii="Calibri" w:eastAsia="Times New Roman" w:hAnsi="Calibri" w:cs="Times New Roman"/>
            <w:sz w:val="21"/>
            <w:szCs w:val="21"/>
            <w:lang w:eastAsia="en-GB"/>
          </w:rPr>
          <w:t>https://www.cbd.int/gbo4/</w:t>
        </w:r>
      </w:hyperlink>
      <w:r w:rsidRPr="002B739C">
        <w:rPr>
          <w:rFonts w:ascii="Calibri" w:eastAsia="Times New Roman" w:hAnsi="Calibri" w:cs="Times New Roman"/>
          <w:color w:val="4A4A4A"/>
          <w:sz w:val="21"/>
          <w:szCs w:val="21"/>
          <w:lang w:eastAsia="en-GB"/>
        </w:rPr>
        <w:t xml:space="preserve">. </w:t>
      </w:r>
    </w:p>
    <w:p w14:paraId="25DAA9C3" w14:textId="746DDDF7" w:rsid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061D3C8" w14:textId="19885B0B" w:rsidR="00CC76B4" w:rsidRPr="002B739C" w:rsidRDefault="00CC76B4" w:rsidP="00CC76B4">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w:t>
      </w:r>
      <w:r w:rsidR="00AF68CA">
        <w:rPr>
          <w:rFonts w:ascii="Calibri" w:eastAsia="Times New Roman" w:hAnsi="Calibri" w:cs="Times New Roman"/>
          <w:color w:val="4A4A4A"/>
          <w:sz w:val="21"/>
          <w:szCs w:val="21"/>
          <w:lang w:eastAsia="en-GB"/>
        </w:rPr>
        <w:t xml:space="preserve"> </w:t>
      </w:r>
      <w:hyperlink r:id="rId53" w:history="1">
        <w:r w:rsidR="00AF68CA" w:rsidRPr="009B213D">
          <w:rPr>
            <w:rStyle w:val="Hyperlink"/>
            <w:rFonts w:ascii="Calibri" w:eastAsia="Times New Roman" w:hAnsi="Calibri" w:cs="Times New Roman"/>
            <w:sz w:val="21"/>
            <w:szCs w:val="21"/>
            <w:lang w:eastAsia="en-GB"/>
          </w:rPr>
          <w:t>https://www.cbd.int/gbo5/</w:t>
        </w:r>
      </w:hyperlink>
      <w:r w:rsidRPr="002B739C">
        <w:rPr>
          <w:rFonts w:ascii="Calibri" w:eastAsia="Times New Roman" w:hAnsi="Calibri" w:cs="Times New Roman"/>
          <w:color w:val="4A4A4A"/>
          <w:sz w:val="21"/>
          <w:szCs w:val="21"/>
          <w:lang w:eastAsia="en-GB"/>
        </w:rPr>
        <w:t xml:space="preserve">. </w:t>
      </w:r>
    </w:p>
    <w:p w14:paraId="35E940A5" w14:textId="41D0DFFF" w:rsidR="00CC76B4" w:rsidRDefault="00CC76B4" w:rsidP="002B739C">
      <w:pPr>
        <w:shd w:val="clear" w:color="auto" w:fill="FFFFFF"/>
        <w:spacing w:after="0"/>
        <w:contextualSpacing/>
        <w:rPr>
          <w:rFonts w:ascii="Calibri" w:eastAsia="Times New Roman" w:hAnsi="Calibri" w:cs="Times New Roman"/>
          <w:color w:val="4A4A4A"/>
          <w:sz w:val="21"/>
          <w:szCs w:val="21"/>
          <w:lang w:eastAsia="en-GB"/>
        </w:rPr>
      </w:pPr>
    </w:p>
    <w:p w14:paraId="052E047E" w14:textId="35EB3488" w:rsidR="00CC76B4" w:rsidRDefault="00CC76B4" w:rsidP="002B739C">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Document </w:t>
      </w:r>
      <w:r w:rsidRPr="00CC76B4">
        <w:rPr>
          <w:rFonts w:ascii="Calibri" w:eastAsia="Times New Roman" w:hAnsi="Calibri" w:cs="Times New Roman"/>
          <w:color w:val="4A4A4A"/>
          <w:sz w:val="21"/>
          <w:szCs w:val="21"/>
          <w:lang w:eastAsia="en-GB"/>
        </w:rPr>
        <w:t>CBD/SBSTTA/24/3</w:t>
      </w:r>
      <w:r>
        <w:rPr>
          <w:rFonts w:ascii="Calibri" w:eastAsia="Times New Roman" w:hAnsi="Calibri" w:cs="Times New Roman"/>
          <w:color w:val="4A4A4A"/>
          <w:sz w:val="21"/>
          <w:szCs w:val="21"/>
          <w:lang w:eastAsia="en-GB"/>
        </w:rPr>
        <w:t xml:space="preserve">. Available at: </w:t>
      </w:r>
      <w:hyperlink r:id="rId54" w:history="1">
        <w:r w:rsidR="000F734F" w:rsidRPr="00215CA5">
          <w:rPr>
            <w:rStyle w:val="Hyperlink"/>
            <w:rFonts w:ascii="Calibri" w:eastAsia="Times New Roman" w:hAnsi="Calibri" w:cs="Times New Roman"/>
            <w:sz w:val="21"/>
            <w:szCs w:val="21"/>
            <w:lang w:eastAsia="en-GB"/>
          </w:rPr>
          <w:t>https://www.cbd.int/doc/c/705d/6b4b/a1a463c1b19392bde6fa08f3/sbstta-24-03-en.pdf</w:t>
        </w:r>
      </w:hyperlink>
      <w:r>
        <w:rPr>
          <w:rFonts w:ascii="Calibri" w:eastAsia="Times New Roman" w:hAnsi="Calibri" w:cs="Times New Roman"/>
          <w:color w:val="4A4A4A"/>
          <w:sz w:val="21"/>
          <w:szCs w:val="21"/>
          <w:lang w:eastAsia="en-GB"/>
        </w:rPr>
        <w:t>.</w:t>
      </w:r>
    </w:p>
    <w:p w14:paraId="496CF3BB" w14:textId="1B4B2132" w:rsidR="000F734F" w:rsidRDefault="000F734F" w:rsidP="002B739C">
      <w:pPr>
        <w:shd w:val="clear" w:color="auto" w:fill="FFFFFF"/>
        <w:spacing w:after="0"/>
        <w:contextualSpacing/>
        <w:rPr>
          <w:rFonts w:ascii="Calibri" w:eastAsia="Times New Roman" w:hAnsi="Calibri" w:cs="Times New Roman"/>
          <w:color w:val="4A4A4A"/>
          <w:sz w:val="21"/>
          <w:szCs w:val="21"/>
          <w:lang w:eastAsia="en-GB"/>
        </w:rPr>
      </w:pPr>
    </w:p>
    <w:p w14:paraId="2C454233" w14:textId="1F13BA84" w:rsidR="000F734F" w:rsidRPr="000E70D2" w:rsidRDefault="000F734F" w:rsidP="002B739C">
      <w:pPr>
        <w:shd w:val="clear" w:color="auto" w:fill="FFFFFF"/>
        <w:spacing w:after="0"/>
        <w:contextualSpacing/>
        <w:rPr>
          <w:rFonts w:ascii="Calibri" w:eastAsia="Times New Roman" w:hAnsi="Calibri" w:cs="Times New Roman"/>
          <w:color w:val="4A4A4A"/>
          <w:sz w:val="21"/>
          <w:szCs w:val="21"/>
          <w:lang w:val="fr-FR" w:eastAsia="en-GB"/>
        </w:rPr>
      </w:pPr>
      <w:r w:rsidRPr="000F734F">
        <w:rPr>
          <w:rFonts w:ascii="Calibri" w:eastAsia="Times New Roman" w:hAnsi="Calibri" w:cs="Times New Roman"/>
          <w:color w:val="4A4A4A"/>
          <w:sz w:val="21"/>
          <w:szCs w:val="21"/>
          <w:lang w:eastAsia="en-GB"/>
        </w:rPr>
        <w:t xml:space="preserve">DIAS, M.P, SIMKINS, A.T., &amp; PEARMAIN, E.J. (2020). Code (and documentation) for calculating and plotting national RLIs weighted by the proportion of each species’ distribution within a country or region.  </w:t>
      </w:r>
      <w:hyperlink r:id="rId55" w:history="1">
        <w:r w:rsidRPr="000E70D2">
          <w:rPr>
            <w:rStyle w:val="Hyperlink"/>
            <w:rFonts w:ascii="Calibri" w:eastAsia="Times New Roman" w:hAnsi="Calibri" w:cs="Times New Roman"/>
            <w:sz w:val="21"/>
            <w:szCs w:val="21"/>
            <w:lang w:val="fr-FR" w:eastAsia="en-GB"/>
          </w:rPr>
          <w:t>https://github.com/BirdLifeInternational/rli-codes</w:t>
        </w:r>
      </w:hyperlink>
      <w:r w:rsidRPr="000E70D2">
        <w:rPr>
          <w:rFonts w:ascii="Calibri" w:eastAsia="Times New Roman" w:hAnsi="Calibri" w:cs="Times New Roman"/>
          <w:color w:val="4A4A4A"/>
          <w:sz w:val="21"/>
          <w:szCs w:val="21"/>
          <w:lang w:val="fr-FR" w:eastAsia="en-GB"/>
        </w:rPr>
        <w:t xml:space="preserve">. </w:t>
      </w:r>
    </w:p>
    <w:p w14:paraId="2E662F88" w14:textId="77777777" w:rsidR="00CC76B4" w:rsidRPr="000E70D2" w:rsidRDefault="00CC76B4" w:rsidP="002B739C">
      <w:pPr>
        <w:shd w:val="clear" w:color="auto" w:fill="FFFFFF"/>
        <w:spacing w:after="0"/>
        <w:contextualSpacing/>
        <w:rPr>
          <w:rFonts w:ascii="Calibri" w:eastAsia="Times New Roman" w:hAnsi="Calibri" w:cs="Times New Roman"/>
          <w:color w:val="4A4A4A"/>
          <w:sz w:val="21"/>
          <w:szCs w:val="21"/>
          <w:lang w:val="fr-FR" w:eastAsia="en-GB"/>
        </w:rPr>
      </w:pPr>
    </w:p>
    <w:p w14:paraId="50AF5B5B"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CROXALL, J. P. et al. </w:t>
      </w:r>
      <w:r w:rsidRPr="002B739C">
        <w:rPr>
          <w:rFonts w:ascii="Calibri" w:eastAsia="Times New Roman" w:hAnsi="Calibri" w:cs="Times New Roman"/>
          <w:color w:val="4A4A4A"/>
          <w:sz w:val="21"/>
          <w:szCs w:val="21"/>
          <w:lang w:eastAsia="en-GB"/>
        </w:rPr>
        <w:t xml:space="preserve">(2012). Seabird conservation status, threats and priority actions: a global assessment. Bird Conservation International 22: 1–34. </w:t>
      </w:r>
    </w:p>
    <w:p w14:paraId="725090C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7CE9FD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GÄRDENFORS, U. (ed.) (2010). </w:t>
      </w:r>
      <w:proofErr w:type="spellStart"/>
      <w:r w:rsidRPr="002B739C">
        <w:rPr>
          <w:rFonts w:ascii="Calibri" w:eastAsia="Times New Roman" w:hAnsi="Calibri" w:cs="Times New Roman"/>
          <w:color w:val="4A4A4A"/>
          <w:sz w:val="21"/>
          <w:szCs w:val="21"/>
          <w:lang w:eastAsia="en-GB"/>
        </w:rPr>
        <w:t>Rödlistade</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arter</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i</w:t>
      </w:r>
      <w:proofErr w:type="spellEnd"/>
      <w:r w:rsidRPr="002B739C">
        <w:rPr>
          <w:rFonts w:ascii="Calibri" w:eastAsia="Times New Roman" w:hAnsi="Calibri" w:cs="Times New Roman"/>
          <w:color w:val="4A4A4A"/>
          <w:sz w:val="21"/>
          <w:szCs w:val="21"/>
          <w:lang w:eastAsia="en-GB"/>
        </w:rPr>
        <w:t xml:space="preserve"> Sverige 2010 – The 2010 Red List of Swedish Species. </w:t>
      </w:r>
      <w:proofErr w:type="spellStart"/>
      <w:r w:rsidRPr="002B739C">
        <w:rPr>
          <w:rFonts w:ascii="Calibri" w:eastAsia="Times New Roman" w:hAnsi="Calibri" w:cs="Times New Roman"/>
          <w:color w:val="4A4A4A"/>
          <w:sz w:val="21"/>
          <w:szCs w:val="21"/>
          <w:lang w:eastAsia="en-GB"/>
        </w:rPr>
        <w:t>ArtDatabanken</w:t>
      </w:r>
      <w:proofErr w:type="spellEnd"/>
      <w:r w:rsidRPr="002B739C">
        <w:rPr>
          <w:rFonts w:ascii="Calibri" w:eastAsia="Times New Roman" w:hAnsi="Calibri" w:cs="Times New Roman"/>
          <w:color w:val="4A4A4A"/>
          <w:sz w:val="21"/>
          <w:szCs w:val="21"/>
          <w:lang w:eastAsia="en-GB"/>
        </w:rPr>
        <w:t>, SLU, Uppsala.</w:t>
      </w:r>
    </w:p>
    <w:p w14:paraId="6CD6156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6C00E424" w14:textId="2E92C711"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HAN, X. et al. (2014). A Biodiversity indicators dashboard: addressing challenges to monitoring progress towards the Aichi Biodiversity Targets using disaggregated global data.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9(11): e112046. Available from</w:t>
      </w:r>
      <w:r w:rsidR="00AF68CA">
        <w:rPr>
          <w:rFonts w:ascii="Calibri" w:eastAsia="Times New Roman" w:hAnsi="Calibri" w:cs="Times New Roman"/>
          <w:color w:val="4A4A4A"/>
          <w:sz w:val="21"/>
          <w:szCs w:val="21"/>
          <w:lang w:eastAsia="en-GB"/>
        </w:rPr>
        <w:t xml:space="preserve"> </w:t>
      </w:r>
      <w:hyperlink r:id="rId56" w:history="1">
        <w:r w:rsidR="00AF68CA" w:rsidRPr="009B213D">
          <w:rPr>
            <w:rStyle w:val="Hyperlink"/>
            <w:rFonts w:ascii="Calibri" w:eastAsia="Times New Roman" w:hAnsi="Calibri" w:cs="Times New Roman"/>
            <w:sz w:val="21"/>
            <w:szCs w:val="21"/>
            <w:lang w:eastAsia="en-GB"/>
          </w:rPr>
          <w:t>http://journals.plos.org/plosone/article?id=10.1371/journal.pone.0112046</w:t>
        </w:r>
      </w:hyperlink>
      <w:r w:rsidRPr="002B739C">
        <w:rPr>
          <w:rFonts w:ascii="Calibri" w:eastAsia="Times New Roman" w:hAnsi="Calibri" w:cs="Times New Roman"/>
          <w:color w:val="4A4A4A"/>
          <w:sz w:val="21"/>
          <w:szCs w:val="21"/>
          <w:lang w:eastAsia="en-GB"/>
        </w:rPr>
        <w:t xml:space="preserve">. </w:t>
      </w:r>
    </w:p>
    <w:p w14:paraId="793D287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A476DDF" w14:textId="1F6B9E35"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HOFFMANN, M. et al. (2010). The impact of conservation on the status of the world’s vertebrates. Science 330: 1503–1509. Available from</w:t>
      </w:r>
      <w:r w:rsidR="00AF68CA" w:rsidRPr="00AF68CA">
        <w:t xml:space="preserve"> </w:t>
      </w:r>
      <w:hyperlink r:id="rId57" w:history="1">
        <w:r w:rsidR="00AF68CA" w:rsidRPr="009B213D">
          <w:rPr>
            <w:rStyle w:val="Hyperlink"/>
            <w:rFonts w:ascii="Calibri" w:eastAsia="Times New Roman" w:hAnsi="Calibri" w:cs="Times New Roman"/>
            <w:sz w:val="21"/>
            <w:szCs w:val="21"/>
            <w:lang w:eastAsia="en-GB"/>
          </w:rPr>
          <w:t>https://www.science.org/doi/10.1126/science.1194442</w:t>
        </w:r>
      </w:hyperlink>
      <w:r w:rsidRPr="002B739C">
        <w:rPr>
          <w:rFonts w:ascii="Calibri" w:eastAsia="Times New Roman" w:hAnsi="Calibri" w:cs="Times New Roman"/>
          <w:color w:val="4A4A4A"/>
          <w:sz w:val="21"/>
          <w:szCs w:val="21"/>
          <w:lang w:eastAsia="en-GB"/>
        </w:rPr>
        <w:t xml:space="preserve">. </w:t>
      </w:r>
    </w:p>
    <w:p w14:paraId="614EE6D7"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AFAB65A" w14:textId="7EF0E4B1"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HOFFMANN, M. et al. (2011). The changing fates of the world’s mammals. Philosophical Transactions of the Royal Society of London B 366: 2598–2610. Available from </w:t>
      </w:r>
      <w:hyperlink r:id="rId58" w:history="1">
        <w:r w:rsidR="00AF68CA" w:rsidRPr="009B213D">
          <w:rPr>
            <w:rStyle w:val="Hyperlink"/>
            <w:rFonts w:ascii="Calibri" w:eastAsia="Times New Roman" w:hAnsi="Calibri" w:cs="Times New Roman"/>
            <w:sz w:val="21"/>
            <w:szCs w:val="21"/>
            <w:lang w:eastAsia="en-GB"/>
          </w:rPr>
          <w:t>http://rstb.royalsocietypublishing.org/content/366/1578/2598.abstract</w:t>
        </w:r>
      </w:hyperlink>
      <w:r w:rsidR="00AF68CA">
        <w:rPr>
          <w:rFonts w:ascii="Calibri" w:eastAsia="Times New Roman" w:hAnsi="Calibri" w:cs="Times New Roman"/>
          <w:color w:val="4A4A4A"/>
          <w:sz w:val="21"/>
          <w:szCs w:val="21"/>
          <w:lang w:eastAsia="en-GB"/>
        </w:rPr>
        <w:t>.</w:t>
      </w:r>
      <w:r w:rsidRPr="002B739C">
        <w:rPr>
          <w:rFonts w:ascii="Calibri" w:eastAsia="Times New Roman" w:hAnsi="Calibri" w:cs="Times New Roman"/>
          <w:color w:val="4A4A4A"/>
          <w:sz w:val="21"/>
          <w:szCs w:val="21"/>
          <w:lang w:eastAsia="en-GB"/>
        </w:rPr>
        <w:t xml:space="preserve"> </w:t>
      </w:r>
    </w:p>
    <w:p w14:paraId="6F3251E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87D7930" w14:textId="05517FA1"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SPSC (201</w:t>
      </w:r>
      <w:r w:rsidR="00C36386">
        <w:rPr>
          <w:rFonts w:ascii="Calibri" w:eastAsia="Times New Roman" w:hAnsi="Calibri" w:cs="Times New Roman"/>
          <w:color w:val="4A4A4A"/>
          <w:sz w:val="21"/>
          <w:szCs w:val="21"/>
          <w:lang w:eastAsia="en-GB"/>
        </w:rPr>
        <w:t>9</w:t>
      </w:r>
      <w:r w:rsidRPr="002B739C">
        <w:rPr>
          <w:rFonts w:ascii="Calibri" w:eastAsia="Times New Roman" w:hAnsi="Calibri" w:cs="Times New Roman"/>
          <w:color w:val="4A4A4A"/>
          <w:sz w:val="21"/>
          <w:szCs w:val="21"/>
          <w:lang w:eastAsia="en-GB"/>
        </w:rPr>
        <w:t>) Guidelines for Using the IUCN Red List Categories and Criteria. Version 1</w:t>
      </w:r>
      <w:r w:rsidR="00C36386">
        <w:rPr>
          <w:rFonts w:ascii="Calibri" w:eastAsia="Times New Roman" w:hAnsi="Calibri" w:cs="Times New Roman"/>
          <w:color w:val="4A4A4A"/>
          <w:sz w:val="21"/>
          <w:szCs w:val="21"/>
          <w:lang w:eastAsia="en-GB"/>
        </w:rPr>
        <w:t>4</w:t>
      </w:r>
      <w:r w:rsidRPr="002B739C">
        <w:rPr>
          <w:rFonts w:ascii="Calibri" w:eastAsia="Times New Roman" w:hAnsi="Calibri" w:cs="Times New Roman"/>
          <w:color w:val="4A4A4A"/>
          <w:sz w:val="21"/>
          <w:szCs w:val="21"/>
          <w:lang w:eastAsia="en-GB"/>
        </w:rPr>
        <w:t>. International Union for Conservation of Nature – Standards and Petitions Subcommittee, Gland, Switzerland. Available from</w:t>
      </w:r>
      <w:r w:rsidR="00AF68CA" w:rsidRPr="00AF68CA">
        <w:t xml:space="preserve"> </w:t>
      </w:r>
      <w:hyperlink r:id="rId59" w:history="1">
        <w:r w:rsidR="00F84B69" w:rsidRPr="009B213D">
          <w:rPr>
            <w:rStyle w:val="Hyperlink"/>
            <w:rFonts w:ascii="Calibri" w:eastAsia="Times New Roman" w:hAnsi="Calibri" w:cs="Times New Roman"/>
            <w:sz w:val="21"/>
            <w:szCs w:val="21"/>
            <w:lang w:eastAsia="en-GB"/>
          </w:rPr>
          <w:t>https://www.iucnredlist.org/resources/redlistguidelines</w:t>
        </w:r>
      </w:hyperlink>
      <w:r w:rsidRPr="002B739C">
        <w:rPr>
          <w:rFonts w:ascii="Calibri" w:eastAsia="Times New Roman" w:hAnsi="Calibri" w:cs="Times New Roman"/>
          <w:color w:val="4A4A4A"/>
          <w:sz w:val="21"/>
          <w:szCs w:val="21"/>
          <w:lang w:eastAsia="en-GB"/>
        </w:rPr>
        <w:t xml:space="preserve">. </w:t>
      </w:r>
    </w:p>
    <w:p w14:paraId="009F17F5"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266CCAC" w14:textId="08CF25F5"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(2012a). IUCN Red List Categories and Criteria: Version 3.1. Second edition. International Union for Conservation of Nature, Gland, Switzerland. Available from</w:t>
      </w:r>
      <w:r w:rsidR="00F84B69">
        <w:rPr>
          <w:rFonts w:ascii="Calibri" w:eastAsia="Times New Roman" w:hAnsi="Calibri" w:cs="Times New Roman"/>
          <w:color w:val="4A4A4A"/>
          <w:sz w:val="21"/>
          <w:szCs w:val="21"/>
          <w:lang w:eastAsia="en-GB"/>
        </w:rPr>
        <w:t xml:space="preserve"> </w:t>
      </w:r>
      <w:hyperlink r:id="rId60" w:history="1">
        <w:r w:rsidR="00F84B69" w:rsidRPr="009B213D">
          <w:rPr>
            <w:rStyle w:val="Hyperlink"/>
            <w:rFonts w:ascii="Calibri" w:eastAsia="Times New Roman" w:hAnsi="Calibri" w:cs="Times New Roman"/>
            <w:sz w:val="21"/>
            <w:szCs w:val="21"/>
            <w:lang w:eastAsia="en-GB"/>
          </w:rPr>
          <w:t>https://portals.iucn.org/library/node/10315</w:t>
        </w:r>
      </w:hyperlink>
      <w:r w:rsidRPr="002B739C">
        <w:rPr>
          <w:rFonts w:ascii="Calibri" w:eastAsia="Times New Roman" w:hAnsi="Calibri" w:cs="Times New Roman"/>
          <w:color w:val="4A4A4A"/>
          <w:sz w:val="21"/>
          <w:szCs w:val="21"/>
          <w:lang w:eastAsia="en-GB"/>
        </w:rPr>
        <w:t xml:space="preserve">. </w:t>
      </w:r>
    </w:p>
    <w:p w14:paraId="6CC6C4F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07E2A7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(2012b). Guidelines for Application of IUCN Red List Criteria at Regional and National</w:t>
      </w:r>
    </w:p>
    <w:p w14:paraId="2330EEA1" w14:textId="44B59B83"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Levels: Version 4.0. International Union for Conservation of Nature, Gland, Switzerland. Available from </w:t>
      </w:r>
      <w:hyperlink r:id="rId61" w:history="1">
        <w:r w:rsidR="00F84B69" w:rsidRPr="009B213D">
          <w:rPr>
            <w:rStyle w:val="Hyperlink"/>
            <w:rFonts w:ascii="Calibri" w:eastAsia="Times New Roman" w:hAnsi="Calibri" w:cs="Times New Roman"/>
            <w:sz w:val="21"/>
            <w:szCs w:val="21"/>
            <w:lang w:eastAsia="en-GB"/>
          </w:rPr>
          <w:t>https://portals.iucn.org/library/node/10336</w:t>
        </w:r>
      </w:hyperlink>
      <w:r w:rsidRPr="002B739C">
        <w:rPr>
          <w:rFonts w:ascii="Calibri" w:eastAsia="Times New Roman" w:hAnsi="Calibri" w:cs="Times New Roman"/>
          <w:color w:val="4A4A4A"/>
          <w:sz w:val="21"/>
          <w:szCs w:val="21"/>
          <w:lang w:eastAsia="en-GB"/>
        </w:rPr>
        <w:t xml:space="preserve">. </w:t>
      </w:r>
    </w:p>
    <w:p w14:paraId="273F5B9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4A8DC03" w14:textId="73B029F1"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(2013). Documentation Standards and Consistency Checks for IUCN Red List assessments and species accounts. International Union for Conservation of Nature, Gland, Switzerland. Available from</w:t>
      </w:r>
      <w:r w:rsidR="00F84B69">
        <w:rPr>
          <w:rFonts w:ascii="Calibri" w:eastAsia="Times New Roman" w:hAnsi="Calibri" w:cs="Times New Roman"/>
          <w:color w:val="4A4A4A"/>
          <w:sz w:val="21"/>
          <w:szCs w:val="21"/>
          <w:lang w:eastAsia="en-GB"/>
        </w:rPr>
        <w:t xml:space="preserve"> </w:t>
      </w:r>
      <w:hyperlink r:id="rId62" w:history="1">
        <w:r w:rsidR="00F84B69" w:rsidRPr="009B213D">
          <w:rPr>
            <w:rStyle w:val="Hyperlink"/>
            <w:rFonts w:ascii="Calibri" w:eastAsia="Times New Roman" w:hAnsi="Calibri" w:cs="Times New Roman"/>
            <w:sz w:val="21"/>
            <w:szCs w:val="21"/>
            <w:lang w:eastAsia="en-GB"/>
          </w:rPr>
          <w:t>https://www.iucnredlist.org/resources/supporting-information-guidelines</w:t>
        </w:r>
      </w:hyperlink>
      <w:r w:rsidRPr="002B739C">
        <w:rPr>
          <w:rFonts w:ascii="Calibri" w:eastAsia="Times New Roman" w:hAnsi="Calibri" w:cs="Times New Roman"/>
          <w:color w:val="4A4A4A"/>
          <w:sz w:val="21"/>
          <w:szCs w:val="21"/>
          <w:lang w:eastAsia="en-GB"/>
        </w:rPr>
        <w:t>.</w:t>
      </w:r>
    </w:p>
    <w:p w14:paraId="1D0D2F1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DD54514" w14:textId="3CA5E8BF"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(2015). IUCN Red List of Threatened Species. Version 2015.1. International Union for Conservation of Nature, Gland, Switzerland. Available from</w:t>
      </w:r>
      <w:r w:rsidR="00F84B69">
        <w:rPr>
          <w:rFonts w:ascii="Calibri" w:eastAsia="Times New Roman" w:hAnsi="Calibri" w:cs="Times New Roman"/>
          <w:color w:val="4A4A4A"/>
          <w:sz w:val="21"/>
          <w:szCs w:val="21"/>
          <w:lang w:eastAsia="en-GB"/>
        </w:rPr>
        <w:t xml:space="preserve"> </w:t>
      </w:r>
      <w:hyperlink r:id="rId63" w:history="1">
        <w:r w:rsidR="00F84B69" w:rsidRPr="009B213D">
          <w:rPr>
            <w:rStyle w:val="Hyperlink"/>
            <w:rFonts w:ascii="Calibri" w:eastAsia="Times New Roman" w:hAnsi="Calibri" w:cs="Times New Roman"/>
            <w:sz w:val="21"/>
            <w:szCs w:val="21"/>
            <w:lang w:eastAsia="en-GB"/>
          </w:rPr>
          <w:t>http://www.iucnredlist.org</w:t>
        </w:r>
      </w:hyperlink>
      <w:r w:rsidRPr="002B739C">
        <w:rPr>
          <w:rFonts w:ascii="Calibri" w:eastAsia="Times New Roman" w:hAnsi="Calibri" w:cs="Times New Roman"/>
          <w:color w:val="4A4A4A"/>
          <w:sz w:val="21"/>
          <w:szCs w:val="21"/>
          <w:lang w:eastAsia="en-GB"/>
        </w:rPr>
        <w:t xml:space="preserve">. </w:t>
      </w:r>
    </w:p>
    <w:p w14:paraId="19C7C61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0063DB0" w14:textId="570683FC"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MACE, G. M. et al. (2008) Quantification of extinction risk: IUCN’s system for classifying threatened species. Conservation Biology 22: 1424–1442. Available from</w:t>
      </w:r>
      <w:r w:rsidR="00F84B69">
        <w:rPr>
          <w:rFonts w:ascii="Calibri" w:eastAsia="Times New Roman" w:hAnsi="Calibri" w:cs="Times New Roman"/>
          <w:color w:val="4A4A4A"/>
          <w:sz w:val="21"/>
          <w:szCs w:val="21"/>
          <w:lang w:eastAsia="en-GB"/>
        </w:rPr>
        <w:t xml:space="preserve"> </w:t>
      </w:r>
      <w:hyperlink r:id="rId64" w:history="1">
        <w:r w:rsidR="00F84B69" w:rsidRPr="009B213D">
          <w:rPr>
            <w:rStyle w:val="Hyperlink"/>
            <w:rFonts w:ascii="Calibri" w:eastAsia="Times New Roman" w:hAnsi="Calibri" w:cs="Times New Roman"/>
            <w:sz w:val="21"/>
            <w:szCs w:val="21"/>
            <w:lang w:eastAsia="en-GB"/>
          </w:rPr>
          <w:t>http://onlinelibrary.wiley.com/doi/10.1111/j.1523-1739.2008.01044.x/full</w:t>
        </w:r>
      </w:hyperlink>
      <w:r w:rsidRPr="002B739C">
        <w:rPr>
          <w:rFonts w:ascii="Calibri" w:eastAsia="Times New Roman" w:hAnsi="Calibri" w:cs="Times New Roman"/>
          <w:color w:val="4A4A4A"/>
          <w:sz w:val="21"/>
          <w:szCs w:val="21"/>
          <w:lang w:eastAsia="en-GB"/>
        </w:rPr>
        <w:t xml:space="preserve">. </w:t>
      </w:r>
    </w:p>
    <w:p w14:paraId="2A7955A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0BD8349A" w14:textId="62EDA59D"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MCGEOCH, M. A. et al. </w:t>
      </w:r>
      <w:r w:rsidRPr="002B739C">
        <w:rPr>
          <w:rFonts w:ascii="Calibri" w:eastAsia="Times New Roman" w:hAnsi="Calibri" w:cs="Times New Roman"/>
          <w:color w:val="4A4A4A"/>
          <w:sz w:val="21"/>
          <w:szCs w:val="21"/>
          <w:lang w:eastAsia="en-GB"/>
        </w:rPr>
        <w:t>(2010) Global indicators of biological invasion: species numbers, biodiversity impact and policy responses. Diversity and Distributions 16: 95–108. Available from</w:t>
      </w:r>
      <w:r w:rsidR="00F84B69">
        <w:rPr>
          <w:rFonts w:ascii="Calibri" w:eastAsia="Times New Roman" w:hAnsi="Calibri" w:cs="Times New Roman"/>
          <w:color w:val="4A4A4A"/>
          <w:sz w:val="21"/>
          <w:szCs w:val="21"/>
          <w:lang w:eastAsia="en-GB"/>
        </w:rPr>
        <w:t xml:space="preserve"> </w:t>
      </w:r>
      <w:hyperlink r:id="rId65" w:history="1">
        <w:r w:rsidR="00F84B69" w:rsidRPr="009B213D">
          <w:rPr>
            <w:rStyle w:val="Hyperlink"/>
            <w:rFonts w:ascii="Calibri" w:eastAsia="Times New Roman" w:hAnsi="Calibri" w:cs="Times New Roman"/>
            <w:sz w:val="21"/>
            <w:szCs w:val="21"/>
            <w:lang w:eastAsia="en-GB"/>
          </w:rPr>
          <w:t>http://onlinelibrary.wiley.com/doi/10.1111/j.1472-4642.2009.00633.x/abstract</w:t>
        </w:r>
      </w:hyperlink>
      <w:r w:rsidRPr="002B739C">
        <w:rPr>
          <w:rFonts w:ascii="Calibri" w:eastAsia="Times New Roman" w:hAnsi="Calibri" w:cs="Times New Roman"/>
          <w:color w:val="4A4A4A"/>
          <w:sz w:val="21"/>
          <w:szCs w:val="21"/>
          <w:lang w:eastAsia="en-GB"/>
        </w:rPr>
        <w:t xml:space="preserve">. </w:t>
      </w:r>
    </w:p>
    <w:p w14:paraId="0066A34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C91CE0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PIHL, S. &amp; FLENSTED, K. N. (2011). A Red List Index for breeding birds in Denmark in the period 1991-2009. Dansk </w:t>
      </w:r>
      <w:proofErr w:type="spellStart"/>
      <w:r w:rsidRPr="002B739C">
        <w:rPr>
          <w:rFonts w:ascii="Calibri" w:eastAsia="Times New Roman" w:hAnsi="Calibri" w:cs="Times New Roman"/>
          <w:color w:val="4A4A4A"/>
          <w:sz w:val="21"/>
          <w:szCs w:val="21"/>
          <w:lang w:eastAsia="en-GB"/>
        </w:rPr>
        <w:t>Ornitologisk</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Forenings</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Tidsskrift</w:t>
      </w:r>
      <w:proofErr w:type="spellEnd"/>
      <w:r w:rsidRPr="002B739C">
        <w:rPr>
          <w:rFonts w:ascii="Calibri" w:eastAsia="Times New Roman" w:hAnsi="Calibri" w:cs="Times New Roman"/>
          <w:color w:val="4A4A4A"/>
          <w:sz w:val="21"/>
          <w:szCs w:val="21"/>
          <w:lang w:eastAsia="en-GB"/>
        </w:rPr>
        <w:t xml:space="preserve"> 105: 211-218.</w:t>
      </w:r>
    </w:p>
    <w:p w14:paraId="0098CA98"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00A0DD00" w14:textId="1A62B526" w:rsidR="002B739C" w:rsidRPr="00A02495"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r w:rsidRPr="002B739C">
        <w:rPr>
          <w:rFonts w:ascii="Calibri" w:eastAsia="Times New Roman" w:hAnsi="Calibri" w:cs="Times New Roman"/>
          <w:color w:val="4A4A4A"/>
          <w:sz w:val="21"/>
          <w:szCs w:val="21"/>
          <w:lang w:eastAsia="en-GB"/>
        </w:rPr>
        <w:t xml:space="preserve">REGAN, E. et al. (2015). Global trends in the status of bird and mammal pollinators. </w:t>
      </w:r>
      <w:r w:rsidRPr="002B739C">
        <w:rPr>
          <w:rFonts w:ascii="Calibri" w:eastAsia="Times New Roman" w:hAnsi="Calibri" w:cs="Times New Roman"/>
          <w:color w:val="4A4A4A"/>
          <w:sz w:val="21"/>
          <w:szCs w:val="21"/>
          <w:lang w:val="fr-FR" w:eastAsia="en-GB"/>
        </w:rPr>
        <w:t xml:space="preserve">Conservation </w:t>
      </w:r>
      <w:proofErr w:type="spellStart"/>
      <w:r w:rsidRPr="002B739C">
        <w:rPr>
          <w:rFonts w:ascii="Calibri" w:eastAsia="Times New Roman" w:hAnsi="Calibri" w:cs="Times New Roman"/>
          <w:color w:val="4A4A4A"/>
          <w:sz w:val="21"/>
          <w:szCs w:val="21"/>
          <w:lang w:val="fr-FR" w:eastAsia="en-GB"/>
        </w:rPr>
        <w:t>Letters</w:t>
      </w:r>
      <w:proofErr w:type="spellEnd"/>
      <w:r w:rsidRPr="002B739C">
        <w:rPr>
          <w:rFonts w:ascii="Calibri" w:eastAsia="Times New Roman" w:hAnsi="Calibri" w:cs="Times New Roman"/>
          <w:color w:val="4A4A4A"/>
          <w:sz w:val="21"/>
          <w:szCs w:val="21"/>
          <w:lang w:val="fr-FR" w:eastAsia="en-GB"/>
        </w:rPr>
        <w:t xml:space="preserve">. </w:t>
      </w:r>
      <w:proofErr w:type="spellStart"/>
      <w:r w:rsidRPr="002B739C">
        <w:rPr>
          <w:rFonts w:ascii="Calibri" w:eastAsia="Times New Roman" w:hAnsi="Calibri" w:cs="Times New Roman"/>
          <w:color w:val="4A4A4A"/>
          <w:sz w:val="21"/>
          <w:szCs w:val="21"/>
          <w:lang w:val="fr-FR" w:eastAsia="en-GB"/>
        </w:rPr>
        <w:t>doi</w:t>
      </w:r>
      <w:proofErr w:type="spellEnd"/>
      <w:r w:rsidRPr="002B739C">
        <w:rPr>
          <w:rFonts w:ascii="Calibri" w:eastAsia="Times New Roman" w:hAnsi="Calibri" w:cs="Times New Roman"/>
          <w:color w:val="4A4A4A"/>
          <w:sz w:val="21"/>
          <w:szCs w:val="21"/>
          <w:lang w:val="fr-FR" w:eastAsia="en-GB"/>
        </w:rPr>
        <w:t xml:space="preserve">: 10.1111/conl.12162. </w:t>
      </w:r>
      <w:proofErr w:type="spellStart"/>
      <w:r w:rsidRPr="00A02495">
        <w:rPr>
          <w:rFonts w:ascii="Calibri" w:eastAsia="Times New Roman" w:hAnsi="Calibri" w:cs="Times New Roman"/>
          <w:color w:val="4A4A4A"/>
          <w:sz w:val="21"/>
          <w:szCs w:val="21"/>
          <w:lang w:val="fr-FR" w:eastAsia="en-GB"/>
        </w:rPr>
        <w:t>Available</w:t>
      </w:r>
      <w:proofErr w:type="spellEnd"/>
      <w:r w:rsidRPr="00A02495">
        <w:rPr>
          <w:rFonts w:ascii="Calibri" w:eastAsia="Times New Roman" w:hAnsi="Calibri" w:cs="Times New Roman"/>
          <w:color w:val="4A4A4A"/>
          <w:sz w:val="21"/>
          <w:szCs w:val="21"/>
          <w:lang w:val="fr-FR" w:eastAsia="en-GB"/>
        </w:rPr>
        <w:t xml:space="preserve"> </w:t>
      </w:r>
      <w:proofErr w:type="spellStart"/>
      <w:r w:rsidRPr="00A02495">
        <w:rPr>
          <w:rFonts w:ascii="Calibri" w:eastAsia="Times New Roman" w:hAnsi="Calibri" w:cs="Times New Roman"/>
          <w:color w:val="4A4A4A"/>
          <w:sz w:val="21"/>
          <w:szCs w:val="21"/>
          <w:lang w:val="fr-FR" w:eastAsia="en-GB"/>
        </w:rPr>
        <w:t>from</w:t>
      </w:r>
      <w:proofErr w:type="spellEnd"/>
      <w:r w:rsidR="00F84B69" w:rsidRPr="00A02495">
        <w:rPr>
          <w:rFonts w:ascii="Calibri" w:eastAsia="Times New Roman" w:hAnsi="Calibri" w:cs="Times New Roman"/>
          <w:color w:val="4A4A4A"/>
          <w:sz w:val="21"/>
          <w:szCs w:val="21"/>
          <w:lang w:val="fr-FR" w:eastAsia="en-GB"/>
        </w:rPr>
        <w:t xml:space="preserve"> </w:t>
      </w:r>
      <w:hyperlink r:id="rId66" w:history="1">
        <w:r w:rsidR="00F84B69" w:rsidRPr="00A02495">
          <w:rPr>
            <w:rStyle w:val="Hyperlink"/>
            <w:rFonts w:ascii="Calibri" w:eastAsia="Times New Roman" w:hAnsi="Calibri" w:cs="Times New Roman"/>
            <w:sz w:val="21"/>
            <w:szCs w:val="21"/>
            <w:lang w:val="fr-FR" w:eastAsia="en-GB"/>
          </w:rPr>
          <w:t>http://onlinelibrary.wiley.com/doi/10.1111/conl.12162/abstract</w:t>
        </w:r>
      </w:hyperlink>
      <w:r w:rsidRPr="00A02495">
        <w:rPr>
          <w:rFonts w:ascii="Calibri" w:eastAsia="Times New Roman" w:hAnsi="Calibri" w:cs="Times New Roman"/>
          <w:color w:val="4A4A4A"/>
          <w:sz w:val="21"/>
          <w:szCs w:val="21"/>
          <w:lang w:val="fr-FR" w:eastAsia="en-GB"/>
        </w:rPr>
        <w:t xml:space="preserve">. </w:t>
      </w:r>
    </w:p>
    <w:p w14:paraId="364AE9D2" w14:textId="77777777" w:rsidR="002B739C" w:rsidRPr="00A02495"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p>
    <w:p w14:paraId="72F8F1B1" w14:textId="5199FF26"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RODRIGUES, A. S. L. et al. </w:t>
      </w:r>
      <w:r w:rsidRPr="002B739C">
        <w:rPr>
          <w:rFonts w:ascii="Calibri" w:eastAsia="Times New Roman" w:hAnsi="Calibri" w:cs="Times New Roman"/>
          <w:color w:val="4A4A4A"/>
          <w:sz w:val="21"/>
          <w:szCs w:val="21"/>
          <w:lang w:eastAsia="en-GB"/>
        </w:rPr>
        <w:t xml:space="preserve">(2014). Spatially explicit trends in the global conservation status of vertebrates.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9(11): e113934. Available from</w:t>
      </w:r>
      <w:r w:rsidR="00F84B69">
        <w:rPr>
          <w:rFonts w:ascii="Calibri" w:eastAsia="Times New Roman" w:hAnsi="Calibri" w:cs="Times New Roman"/>
          <w:color w:val="4A4A4A"/>
          <w:sz w:val="21"/>
          <w:szCs w:val="21"/>
          <w:lang w:eastAsia="en-GB"/>
        </w:rPr>
        <w:t xml:space="preserve"> </w:t>
      </w:r>
      <w:hyperlink r:id="rId67" w:history="1">
        <w:r w:rsidR="00F84B69" w:rsidRPr="009B213D">
          <w:rPr>
            <w:rStyle w:val="Hyperlink"/>
            <w:rFonts w:ascii="Calibri" w:eastAsia="Times New Roman" w:hAnsi="Calibri" w:cs="Times New Roman"/>
            <w:sz w:val="21"/>
            <w:szCs w:val="21"/>
            <w:lang w:eastAsia="en-GB"/>
          </w:rPr>
          <w:t>http://journals.plos.org/plosone/article?id=10.1371/journal.pone.0113934</w:t>
        </w:r>
      </w:hyperlink>
      <w:r w:rsidRPr="002B739C">
        <w:rPr>
          <w:rFonts w:ascii="Calibri" w:eastAsia="Times New Roman" w:hAnsi="Calibri" w:cs="Times New Roman"/>
          <w:color w:val="4A4A4A"/>
          <w:sz w:val="21"/>
          <w:szCs w:val="21"/>
          <w:lang w:eastAsia="en-GB"/>
        </w:rPr>
        <w:t xml:space="preserve">. </w:t>
      </w:r>
    </w:p>
    <w:p w14:paraId="535D011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1FEED6D" w14:textId="38C99DEC"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SALAFSKY, N., et al. (2008) A standard lexicon for biodiversity conservation: unified classifications of threats and actions. Conservation Biology 22: 897–911. Available from</w:t>
      </w:r>
      <w:r w:rsidR="00F84B69">
        <w:rPr>
          <w:rFonts w:ascii="Calibri" w:eastAsia="Times New Roman" w:hAnsi="Calibri" w:cs="Times New Roman"/>
          <w:color w:val="4A4A4A"/>
          <w:sz w:val="21"/>
          <w:szCs w:val="21"/>
          <w:lang w:eastAsia="en-GB"/>
        </w:rPr>
        <w:t xml:space="preserve"> </w:t>
      </w:r>
      <w:hyperlink r:id="rId68" w:history="1">
        <w:r w:rsidR="00F84B69" w:rsidRPr="009B213D">
          <w:rPr>
            <w:rStyle w:val="Hyperlink"/>
            <w:rFonts w:ascii="Calibri" w:eastAsia="Times New Roman" w:hAnsi="Calibri" w:cs="Times New Roman"/>
            <w:sz w:val="21"/>
            <w:szCs w:val="21"/>
            <w:lang w:eastAsia="en-GB"/>
          </w:rPr>
          <w:t>http://onlinelibrary.wiley.com/doi/10.1111/j.1523-1739.2008.00937.x/full</w:t>
        </w:r>
      </w:hyperlink>
      <w:r w:rsidRPr="002B739C">
        <w:rPr>
          <w:rFonts w:ascii="Calibri" w:eastAsia="Times New Roman" w:hAnsi="Calibri" w:cs="Times New Roman"/>
          <w:color w:val="4A4A4A"/>
          <w:sz w:val="21"/>
          <w:szCs w:val="21"/>
          <w:lang w:eastAsia="en-GB"/>
        </w:rPr>
        <w:t xml:space="preserve">. </w:t>
      </w:r>
    </w:p>
    <w:p w14:paraId="1BE738E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07FBD22" w14:textId="323A84CA" w:rsidR="002B739C" w:rsidRPr="00A02495"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r w:rsidRPr="002B739C">
        <w:rPr>
          <w:rFonts w:ascii="Calibri" w:eastAsia="Times New Roman" w:hAnsi="Calibri" w:cs="Times New Roman"/>
          <w:color w:val="4A4A4A"/>
          <w:sz w:val="21"/>
          <w:szCs w:val="21"/>
          <w:lang w:eastAsia="en-GB"/>
        </w:rPr>
        <w:t xml:space="preserve">TITTENSOR, D. et al. (2014). A mid-term analysis of progress towards international biodiversity targets. </w:t>
      </w:r>
      <w:r w:rsidRPr="00527985">
        <w:rPr>
          <w:rFonts w:ascii="Calibri" w:eastAsia="Times New Roman" w:hAnsi="Calibri" w:cs="Times New Roman"/>
          <w:color w:val="4A4A4A"/>
          <w:sz w:val="21"/>
          <w:szCs w:val="21"/>
          <w:lang w:val="fr-FR" w:eastAsia="en-GB"/>
        </w:rPr>
        <w:t xml:space="preserve">Science 346: 241–244. </w:t>
      </w:r>
      <w:proofErr w:type="spellStart"/>
      <w:r w:rsidRPr="00A02495">
        <w:rPr>
          <w:rFonts w:ascii="Calibri" w:eastAsia="Times New Roman" w:hAnsi="Calibri" w:cs="Times New Roman"/>
          <w:color w:val="4A4A4A"/>
          <w:sz w:val="21"/>
          <w:szCs w:val="21"/>
          <w:lang w:val="fr-FR" w:eastAsia="en-GB"/>
        </w:rPr>
        <w:t>Available</w:t>
      </w:r>
      <w:proofErr w:type="spellEnd"/>
      <w:r w:rsidRPr="00A02495">
        <w:rPr>
          <w:rFonts w:ascii="Calibri" w:eastAsia="Times New Roman" w:hAnsi="Calibri" w:cs="Times New Roman"/>
          <w:color w:val="4A4A4A"/>
          <w:sz w:val="21"/>
          <w:szCs w:val="21"/>
          <w:lang w:val="fr-FR" w:eastAsia="en-GB"/>
        </w:rPr>
        <w:t xml:space="preserve"> </w:t>
      </w:r>
      <w:proofErr w:type="spellStart"/>
      <w:r w:rsidRPr="00A02495">
        <w:rPr>
          <w:rFonts w:ascii="Calibri" w:eastAsia="Times New Roman" w:hAnsi="Calibri" w:cs="Times New Roman"/>
          <w:color w:val="4A4A4A"/>
          <w:sz w:val="21"/>
          <w:szCs w:val="21"/>
          <w:lang w:val="fr-FR" w:eastAsia="en-GB"/>
        </w:rPr>
        <w:t>from</w:t>
      </w:r>
      <w:proofErr w:type="spellEnd"/>
      <w:r w:rsidR="00F84B69" w:rsidRPr="00A02495">
        <w:rPr>
          <w:rFonts w:ascii="Calibri" w:eastAsia="Times New Roman" w:hAnsi="Calibri" w:cs="Times New Roman"/>
          <w:color w:val="4A4A4A"/>
          <w:sz w:val="21"/>
          <w:szCs w:val="21"/>
          <w:lang w:val="fr-FR" w:eastAsia="en-GB"/>
        </w:rPr>
        <w:t xml:space="preserve"> </w:t>
      </w:r>
      <w:hyperlink r:id="rId69" w:history="1">
        <w:r w:rsidR="00F84B69" w:rsidRPr="00A02495">
          <w:rPr>
            <w:rStyle w:val="Hyperlink"/>
            <w:rFonts w:ascii="Calibri" w:eastAsia="Times New Roman" w:hAnsi="Calibri" w:cs="Times New Roman"/>
            <w:sz w:val="21"/>
            <w:szCs w:val="21"/>
            <w:lang w:val="fr-FR" w:eastAsia="en-GB"/>
          </w:rPr>
          <w:t>https://www.science.org/doi/10.1126/science.1257484</w:t>
        </w:r>
      </w:hyperlink>
      <w:r w:rsidRPr="00A02495">
        <w:rPr>
          <w:rFonts w:ascii="Calibri" w:eastAsia="Times New Roman" w:hAnsi="Calibri" w:cs="Times New Roman"/>
          <w:color w:val="4A4A4A"/>
          <w:sz w:val="21"/>
          <w:szCs w:val="21"/>
          <w:lang w:val="fr-FR" w:eastAsia="en-GB"/>
        </w:rPr>
        <w:t xml:space="preserve">. </w:t>
      </w:r>
    </w:p>
    <w:p w14:paraId="0F877D73" w14:textId="77777777" w:rsidR="002B739C" w:rsidRPr="00A02495"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p>
    <w:p w14:paraId="5BE44BD0" w14:textId="5483D0FD"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527985">
        <w:rPr>
          <w:rFonts w:ascii="Calibri" w:eastAsia="Times New Roman" w:hAnsi="Calibri" w:cs="Times New Roman"/>
          <w:color w:val="4A4A4A"/>
          <w:sz w:val="21"/>
          <w:szCs w:val="21"/>
          <w:lang w:val="fr-FR" w:eastAsia="en-GB"/>
        </w:rPr>
        <w:t xml:space="preserve">VISCONTI, P. et al. </w:t>
      </w:r>
      <w:r w:rsidRPr="002B739C">
        <w:rPr>
          <w:rFonts w:ascii="Calibri" w:eastAsia="Times New Roman" w:hAnsi="Calibri" w:cs="Times New Roman"/>
          <w:color w:val="4A4A4A"/>
          <w:sz w:val="21"/>
          <w:szCs w:val="21"/>
          <w:lang w:eastAsia="en-GB"/>
        </w:rPr>
        <w:t xml:space="preserve">(2015) Projecting global biodiversity indicators under future development scenarios. Conservation Letters. </w:t>
      </w:r>
      <w:proofErr w:type="spellStart"/>
      <w:r w:rsidRPr="002B739C">
        <w:rPr>
          <w:rFonts w:ascii="Calibri" w:eastAsia="Times New Roman" w:hAnsi="Calibri" w:cs="Times New Roman"/>
          <w:color w:val="4A4A4A"/>
          <w:sz w:val="21"/>
          <w:szCs w:val="21"/>
          <w:lang w:eastAsia="en-GB"/>
        </w:rPr>
        <w:t>doi</w:t>
      </w:r>
      <w:proofErr w:type="spellEnd"/>
      <w:r w:rsidRPr="002B739C">
        <w:rPr>
          <w:rFonts w:ascii="Calibri" w:eastAsia="Times New Roman" w:hAnsi="Calibri" w:cs="Times New Roman"/>
          <w:color w:val="4A4A4A"/>
          <w:sz w:val="21"/>
          <w:szCs w:val="21"/>
          <w:lang w:eastAsia="en-GB"/>
        </w:rPr>
        <w:t>: 10.1111/conl.12159. Available from</w:t>
      </w:r>
      <w:r w:rsidR="00F84B69">
        <w:rPr>
          <w:rFonts w:ascii="Calibri" w:eastAsia="Times New Roman" w:hAnsi="Calibri" w:cs="Times New Roman"/>
          <w:color w:val="4A4A4A"/>
          <w:sz w:val="21"/>
          <w:szCs w:val="21"/>
          <w:lang w:eastAsia="en-GB"/>
        </w:rPr>
        <w:t xml:space="preserve"> </w:t>
      </w:r>
      <w:hyperlink r:id="rId70" w:history="1">
        <w:r w:rsidR="00F84B69" w:rsidRPr="009B213D">
          <w:rPr>
            <w:rStyle w:val="Hyperlink"/>
            <w:rFonts w:ascii="Calibri" w:eastAsia="Times New Roman" w:hAnsi="Calibri" w:cs="Times New Roman"/>
            <w:sz w:val="21"/>
            <w:szCs w:val="21"/>
            <w:lang w:eastAsia="en-GB"/>
          </w:rPr>
          <w:t>http://onlinelibrary.wiley.com/doi/10.1111/conl.12159/abstract</w:t>
        </w:r>
      </w:hyperlink>
      <w:r w:rsidRPr="002B739C">
        <w:rPr>
          <w:rFonts w:ascii="Calibri" w:eastAsia="Times New Roman" w:hAnsi="Calibri" w:cs="Times New Roman"/>
          <w:color w:val="4A4A4A"/>
          <w:sz w:val="21"/>
          <w:szCs w:val="21"/>
          <w:lang w:eastAsia="en-GB"/>
        </w:rPr>
        <w:t>.</w:t>
      </w:r>
    </w:p>
    <w:p w14:paraId="603D5CC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84B0992" w14:textId="36889691" w:rsidR="00186795" w:rsidRDefault="00186795"/>
    <w:sectPr w:rsidR="00186795">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F047" w14:textId="77777777" w:rsidR="00C1383E" w:rsidRDefault="00C1383E" w:rsidP="00573C0B">
      <w:pPr>
        <w:spacing w:after="0" w:line="240" w:lineRule="auto"/>
      </w:pPr>
      <w:r>
        <w:separator/>
      </w:r>
    </w:p>
  </w:endnote>
  <w:endnote w:type="continuationSeparator" w:id="0">
    <w:p w14:paraId="07D37D50" w14:textId="77777777" w:rsidR="00C1383E" w:rsidRDefault="00C1383E" w:rsidP="00573C0B">
      <w:pPr>
        <w:spacing w:after="0" w:line="240" w:lineRule="auto"/>
      </w:pPr>
      <w:r>
        <w:continuationSeparator/>
      </w:r>
    </w:p>
  </w:endnote>
  <w:endnote w:type="continuationNotice" w:id="1">
    <w:p w14:paraId="283398F2" w14:textId="77777777" w:rsidR="00C1383E" w:rsidRDefault="00C138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CA96" w14:textId="77777777" w:rsidR="0079489B" w:rsidRDefault="00794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96C5" w14:textId="77777777" w:rsidR="0079489B" w:rsidRDefault="00794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763E" w14:textId="77777777" w:rsidR="0079489B" w:rsidRDefault="0079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E2FB" w14:textId="77777777" w:rsidR="00C1383E" w:rsidRDefault="00C1383E" w:rsidP="00573C0B">
      <w:pPr>
        <w:spacing w:after="0" w:line="240" w:lineRule="auto"/>
      </w:pPr>
      <w:r>
        <w:separator/>
      </w:r>
    </w:p>
  </w:footnote>
  <w:footnote w:type="continuationSeparator" w:id="0">
    <w:p w14:paraId="31148D51" w14:textId="77777777" w:rsidR="00C1383E" w:rsidRDefault="00C1383E" w:rsidP="00573C0B">
      <w:pPr>
        <w:spacing w:after="0" w:line="240" w:lineRule="auto"/>
      </w:pPr>
      <w:r>
        <w:continuationSeparator/>
      </w:r>
    </w:p>
  </w:footnote>
  <w:footnote w:type="continuationNotice" w:id="1">
    <w:p w14:paraId="0DB8C5A0" w14:textId="77777777" w:rsidR="00C1383E" w:rsidRDefault="00C138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F21F" w14:textId="77777777" w:rsidR="0079489B" w:rsidRDefault="00794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42282E9" w:rsidR="000B7606" w:rsidRPr="00757E8A" w:rsidRDefault="000B760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79489B">
      <w:rPr>
        <w:color w:val="404040" w:themeColor="text1" w:themeTint="BF"/>
        <w:sz w:val="18"/>
        <w:szCs w:val="18"/>
      </w:rPr>
      <w:t>2023</w:t>
    </w:r>
    <w:r w:rsidR="0075369A">
      <w:rPr>
        <w:color w:val="404040" w:themeColor="text1" w:themeTint="BF"/>
        <w:sz w:val="18"/>
        <w:szCs w:val="18"/>
      </w:rPr>
      <w:t>-12-1</w:t>
    </w:r>
    <w:r w:rsidR="0079489B">
      <w:rPr>
        <w:color w:val="404040" w:themeColor="text1" w:themeTint="BF"/>
        <w:sz w:val="18"/>
        <w:szCs w:val="18"/>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7EBF" w14:textId="77777777" w:rsidR="0079489B" w:rsidRDefault="00794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C5F"/>
    <w:multiLevelType w:val="hybridMultilevel"/>
    <w:tmpl w:val="9BBABB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B0E98"/>
    <w:multiLevelType w:val="multilevel"/>
    <w:tmpl w:val="0F88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9B29FA"/>
    <w:multiLevelType w:val="hybridMultilevel"/>
    <w:tmpl w:val="42563380"/>
    <w:lvl w:ilvl="0" w:tplc="AE5C7428">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26E0C"/>
    <w:multiLevelType w:val="multilevel"/>
    <w:tmpl w:val="40BA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9643885">
    <w:abstractNumId w:val="5"/>
  </w:num>
  <w:num w:numId="2" w16cid:durableId="2010213239">
    <w:abstractNumId w:val="2"/>
  </w:num>
  <w:num w:numId="3" w16cid:durableId="298655597">
    <w:abstractNumId w:val="7"/>
  </w:num>
  <w:num w:numId="4" w16cid:durableId="706031907">
    <w:abstractNumId w:val="3"/>
  </w:num>
  <w:num w:numId="5" w16cid:durableId="900363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3473671">
    <w:abstractNumId w:val="1"/>
  </w:num>
  <w:num w:numId="7" w16cid:durableId="1545174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592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CA" w:vendorID="64" w:dllVersion="0" w:nlCheck="1" w:checkStyle="0"/>
  <w:activeWritingStyle w:appName="MSWord" w:lang="en-US"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87D58"/>
    <w:rsid w:val="00090FB1"/>
    <w:rsid w:val="00096186"/>
    <w:rsid w:val="000A3FD5"/>
    <w:rsid w:val="000A72E4"/>
    <w:rsid w:val="000B0E2F"/>
    <w:rsid w:val="000B2430"/>
    <w:rsid w:val="000B7606"/>
    <w:rsid w:val="000D0B30"/>
    <w:rsid w:val="000E21F1"/>
    <w:rsid w:val="000E70D2"/>
    <w:rsid w:val="000F703E"/>
    <w:rsid w:val="000F734F"/>
    <w:rsid w:val="00120E86"/>
    <w:rsid w:val="00125DE9"/>
    <w:rsid w:val="001332E0"/>
    <w:rsid w:val="00134DE7"/>
    <w:rsid w:val="001512AA"/>
    <w:rsid w:val="00162709"/>
    <w:rsid w:val="0016689A"/>
    <w:rsid w:val="00185354"/>
    <w:rsid w:val="001854DC"/>
    <w:rsid w:val="00186795"/>
    <w:rsid w:val="00194D09"/>
    <w:rsid w:val="001A59BE"/>
    <w:rsid w:val="001A7D5C"/>
    <w:rsid w:val="001B60AA"/>
    <w:rsid w:val="001B63C8"/>
    <w:rsid w:val="001C1972"/>
    <w:rsid w:val="001C421F"/>
    <w:rsid w:val="001D360D"/>
    <w:rsid w:val="00206B90"/>
    <w:rsid w:val="00234841"/>
    <w:rsid w:val="00261A8D"/>
    <w:rsid w:val="00282AEF"/>
    <w:rsid w:val="00283C1C"/>
    <w:rsid w:val="00291A00"/>
    <w:rsid w:val="00291A11"/>
    <w:rsid w:val="002A315C"/>
    <w:rsid w:val="002A3342"/>
    <w:rsid w:val="002A64BA"/>
    <w:rsid w:val="002B4989"/>
    <w:rsid w:val="002B739C"/>
    <w:rsid w:val="002C2510"/>
    <w:rsid w:val="002D714E"/>
    <w:rsid w:val="002E53C3"/>
    <w:rsid w:val="002F1468"/>
    <w:rsid w:val="002F49E5"/>
    <w:rsid w:val="002F5F0C"/>
    <w:rsid w:val="00305827"/>
    <w:rsid w:val="003265EB"/>
    <w:rsid w:val="0034329E"/>
    <w:rsid w:val="00343FAA"/>
    <w:rsid w:val="00347F5E"/>
    <w:rsid w:val="00353C98"/>
    <w:rsid w:val="00371A20"/>
    <w:rsid w:val="00377E4C"/>
    <w:rsid w:val="003821B4"/>
    <w:rsid w:val="00382CF3"/>
    <w:rsid w:val="00387D52"/>
    <w:rsid w:val="00395049"/>
    <w:rsid w:val="003A7CEA"/>
    <w:rsid w:val="003E727B"/>
    <w:rsid w:val="003F0BD3"/>
    <w:rsid w:val="003F278A"/>
    <w:rsid w:val="003F6A61"/>
    <w:rsid w:val="003F7A02"/>
    <w:rsid w:val="00422EA5"/>
    <w:rsid w:val="00422EFA"/>
    <w:rsid w:val="0042791F"/>
    <w:rsid w:val="004456ED"/>
    <w:rsid w:val="00445791"/>
    <w:rsid w:val="004779FD"/>
    <w:rsid w:val="0048045A"/>
    <w:rsid w:val="004841B8"/>
    <w:rsid w:val="004930F2"/>
    <w:rsid w:val="004B0F1C"/>
    <w:rsid w:val="004C1E46"/>
    <w:rsid w:val="004F2EE6"/>
    <w:rsid w:val="00502DBA"/>
    <w:rsid w:val="005040C4"/>
    <w:rsid w:val="00505F06"/>
    <w:rsid w:val="00507637"/>
    <w:rsid w:val="00507852"/>
    <w:rsid w:val="00514DBF"/>
    <w:rsid w:val="00527985"/>
    <w:rsid w:val="00550921"/>
    <w:rsid w:val="00563712"/>
    <w:rsid w:val="00573631"/>
    <w:rsid w:val="00573C0B"/>
    <w:rsid w:val="005768D7"/>
    <w:rsid w:val="00576CFA"/>
    <w:rsid w:val="0058556D"/>
    <w:rsid w:val="00592AF2"/>
    <w:rsid w:val="005947AD"/>
    <w:rsid w:val="00597748"/>
    <w:rsid w:val="005979E8"/>
    <w:rsid w:val="005B4C2E"/>
    <w:rsid w:val="005D074D"/>
    <w:rsid w:val="005D0AF4"/>
    <w:rsid w:val="005E54BD"/>
    <w:rsid w:val="005F6CCA"/>
    <w:rsid w:val="006104AF"/>
    <w:rsid w:val="00621893"/>
    <w:rsid w:val="006351E1"/>
    <w:rsid w:val="00640FEE"/>
    <w:rsid w:val="006447B1"/>
    <w:rsid w:val="00662775"/>
    <w:rsid w:val="006852FC"/>
    <w:rsid w:val="006B40AB"/>
    <w:rsid w:val="006B5DC5"/>
    <w:rsid w:val="006C03BD"/>
    <w:rsid w:val="006C4BFD"/>
    <w:rsid w:val="006C7D30"/>
    <w:rsid w:val="006E3C08"/>
    <w:rsid w:val="00700ACF"/>
    <w:rsid w:val="007071BB"/>
    <w:rsid w:val="00712487"/>
    <w:rsid w:val="00730D92"/>
    <w:rsid w:val="007530CA"/>
    <w:rsid w:val="0075369A"/>
    <w:rsid w:val="00756D68"/>
    <w:rsid w:val="007578D9"/>
    <w:rsid w:val="00757E8A"/>
    <w:rsid w:val="00763E43"/>
    <w:rsid w:val="00764EB5"/>
    <w:rsid w:val="00773A49"/>
    <w:rsid w:val="00777A95"/>
    <w:rsid w:val="00782416"/>
    <w:rsid w:val="00787B60"/>
    <w:rsid w:val="0079489B"/>
    <w:rsid w:val="00796A40"/>
    <w:rsid w:val="007B0364"/>
    <w:rsid w:val="007B54E1"/>
    <w:rsid w:val="007B5F7B"/>
    <w:rsid w:val="007D0981"/>
    <w:rsid w:val="007D1929"/>
    <w:rsid w:val="007D1A15"/>
    <w:rsid w:val="00803CF1"/>
    <w:rsid w:val="008104BB"/>
    <w:rsid w:val="008249C5"/>
    <w:rsid w:val="00834650"/>
    <w:rsid w:val="008526F9"/>
    <w:rsid w:val="0085285E"/>
    <w:rsid w:val="00853023"/>
    <w:rsid w:val="008534D4"/>
    <w:rsid w:val="008639F2"/>
    <w:rsid w:val="00881E28"/>
    <w:rsid w:val="0089303C"/>
    <w:rsid w:val="00894C4B"/>
    <w:rsid w:val="008A12E3"/>
    <w:rsid w:val="008A42FA"/>
    <w:rsid w:val="008B0AC7"/>
    <w:rsid w:val="008C2335"/>
    <w:rsid w:val="008C67C1"/>
    <w:rsid w:val="008C7212"/>
    <w:rsid w:val="008D1D39"/>
    <w:rsid w:val="008E5BAE"/>
    <w:rsid w:val="008F07D2"/>
    <w:rsid w:val="00917851"/>
    <w:rsid w:val="00917F65"/>
    <w:rsid w:val="009311E7"/>
    <w:rsid w:val="00942694"/>
    <w:rsid w:val="009774F1"/>
    <w:rsid w:val="009A7E3A"/>
    <w:rsid w:val="009B1265"/>
    <w:rsid w:val="009B4A15"/>
    <w:rsid w:val="009B5693"/>
    <w:rsid w:val="009C61A2"/>
    <w:rsid w:val="009C78E4"/>
    <w:rsid w:val="009D09A9"/>
    <w:rsid w:val="009D6209"/>
    <w:rsid w:val="009D687E"/>
    <w:rsid w:val="009F6DE7"/>
    <w:rsid w:val="00A02495"/>
    <w:rsid w:val="00A10583"/>
    <w:rsid w:val="00A3445D"/>
    <w:rsid w:val="00A37FCB"/>
    <w:rsid w:val="00A41763"/>
    <w:rsid w:val="00A44F98"/>
    <w:rsid w:val="00A54863"/>
    <w:rsid w:val="00A61D74"/>
    <w:rsid w:val="00A64608"/>
    <w:rsid w:val="00A80339"/>
    <w:rsid w:val="00A8688B"/>
    <w:rsid w:val="00A91163"/>
    <w:rsid w:val="00A9286F"/>
    <w:rsid w:val="00A96255"/>
    <w:rsid w:val="00AA7E91"/>
    <w:rsid w:val="00AB285B"/>
    <w:rsid w:val="00AF5552"/>
    <w:rsid w:val="00AF5CB4"/>
    <w:rsid w:val="00AF5ED1"/>
    <w:rsid w:val="00AF68CA"/>
    <w:rsid w:val="00AF71D6"/>
    <w:rsid w:val="00B216EE"/>
    <w:rsid w:val="00B2326F"/>
    <w:rsid w:val="00B3175F"/>
    <w:rsid w:val="00B31E2C"/>
    <w:rsid w:val="00B329B0"/>
    <w:rsid w:val="00B402D8"/>
    <w:rsid w:val="00B4237C"/>
    <w:rsid w:val="00B42FE8"/>
    <w:rsid w:val="00B52AFD"/>
    <w:rsid w:val="00B54077"/>
    <w:rsid w:val="00B8087E"/>
    <w:rsid w:val="00BB646E"/>
    <w:rsid w:val="00BD1BA1"/>
    <w:rsid w:val="00BE0ED3"/>
    <w:rsid w:val="00BF3AD2"/>
    <w:rsid w:val="00C019E5"/>
    <w:rsid w:val="00C131D8"/>
    <w:rsid w:val="00C1383E"/>
    <w:rsid w:val="00C35BC4"/>
    <w:rsid w:val="00C36386"/>
    <w:rsid w:val="00C43F5B"/>
    <w:rsid w:val="00CB4371"/>
    <w:rsid w:val="00CC1440"/>
    <w:rsid w:val="00CC516D"/>
    <w:rsid w:val="00CC76B4"/>
    <w:rsid w:val="00CF117D"/>
    <w:rsid w:val="00CF3E7A"/>
    <w:rsid w:val="00CF6322"/>
    <w:rsid w:val="00D03E73"/>
    <w:rsid w:val="00D05A20"/>
    <w:rsid w:val="00D10589"/>
    <w:rsid w:val="00D24330"/>
    <w:rsid w:val="00D40056"/>
    <w:rsid w:val="00D410F1"/>
    <w:rsid w:val="00D51E7C"/>
    <w:rsid w:val="00D54F29"/>
    <w:rsid w:val="00D60D4F"/>
    <w:rsid w:val="00D7020C"/>
    <w:rsid w:val="00D70AD9"/>
    <w:rsid w:val="00D72152"/>
    <w:rsid w:val="00D94BA5"/>
    <w:rsid w:val="00D9510F"/>
    <w:rsid w:val="00DA615C"/>
    <w:rsid w:val="00DD1BC6"/>
    <w:rsid w:val="00DE0A28"/>
    <w:rsid w:val="00DE5DC3"/>
    <w:rsid w:val="00E00D8A"/>
    <w:rsid w:val="00E1050F"/>
    <w:rsid w:val="00E11604"/>
    <w:rsid w:val="00E11D92"/>
    <w:rsid w:val="00E130A0"/>
    <w:rsid w:val="00E210C4"/>
    <w:rsid w:val="00E21448"/>
    <w:rsid w:val="00E23DB7"/>
    <w:rsid w:val="00E46D96"/>
    <w:rsid w:val="00E52CCA"/>
    <w:rsid w:val="00E56A26"/>
    <w:rsid w:val="00E66409"/>
    <w:rsid w:val="00E81D5B"/>
    <w:rsid w:val="00E976B9"/>
    <w:rsid w:val="00EA05D3"/>
    <w:rsid w:val="00EA3411"/>
    <w:rsid w:val="00EB19AD"/>
    <w:rsid w:val="00EB2F31"/>
    <w:rsid w:val="00EB6493"/>
    <w:rsid w:val="00EC2915"/>
    <w:rsid w:val="00ED05A9"/>
    <w:rsid w:val="00ED1BA0"/>
    <w:rsid w:val="00ED561B"/>
    <w:rsid w:val="00F17257"/>
    <w:rsid w:val="00F32F14"/>
    <w:rsid w:val="00F34D24"/>
    <w:rsid w:val="00F4130B"/>
    <w:rsid w:val="00F46DB5"/>
    <w:rsid w:val="00F47922"/>
    <w:rsid w:val="00F556A2"/>
    <w:rsid w:val="00F719A8"/>
    <w:rsid w:val="00F84B69"/>
    <w:rsid w:val="00F878B9"/>
    <w:rsid w:val="00F93FF3"/>
    <w:rsid w:val="00FA11BF"/>
    <w:rsid w:val="00FB24E8"/>
    <w:rsid w:val="00FB3B2B"/>
    <w:rsid w:val="00FC18DA"/>
    <w:rsid w:val="00FC3917"/>
    <w:rsid w:val="00FD60DA"/>
    <w:rsid w:val="00FF07B4"/>
    <w:rsid w:val="2FD33173"/>
    <w:rsid w:val="7DD9FF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162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2Char">
    <w:name w:val="Heading 2 Char"/>
    <w:basedOn w:val="DefaultParagraphFont"/>
    <w:link w:val="Heading2"/>
    <w:uiPriority w:val="9"/>
    <w:semiHidden/>
    <w:rsid w:val="0016270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A41763"/>
    <w:pPr>
      <w:spacing w:after="0" w:line="240" w:lineRule="auto"/>
    </w:pPr>
  </w:style>
  <w:style w:type="character" w:styleId="UnresolvedMention">
    <w:name w:val="Unresolved Mention"/>
    <w:basedOn w:val="DefaultParagraphFont"/>
    <w:uiPriority w:val="99"/>
    <w:semiHidden/>
    <w:unhideWhenUsed/>
    <w:rsid w:val="007071BB"/>
    <w:rPr>
      <w:color w:val="605E5C"/>
      <w:shd w:val="clear" w:color="auto" w:fill="E1DFDD"/>
    </w:rPr>
  </w:style>
  <w:style w:type="paragraph" w:styleId="Revision">
    <w:name w:val="Revision"/>
    <w:hidden/>
    <w:uiPriority w:val="99"/>
    <w:semiHidden/>
    <w:rsid w:val="001A5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895">
      <w:bodyDiv w:val="1"/>
      <w:marLeft w:val="0"/>
      <w:marRight w:val="0"/>
      <w:marTop w:val="0"/>
      <w:marBottom w:val="0"/>
      <w:divBdr>
        <w:top w:val="none" w:sz="0" w:space="0" w:color="auto"/>
        <w:left w:val="none" w:sz="0" w:space="0" w:color="auto"/>
        <w:bottom w:val="none" w:sz="0" w:space="0" w:color="auto"/>
        <w:right w:val="none" w:sz="0" w:space="0" w:color="auto"/>
      </w:divBdr>
    </w:div>
    <w:div w:id="263005329">
      <w:bodyDiv w:val="1"/>
      <w:marLeft w:val="0"/>
      <w:marRight w:val="0"/>
      <w:marTop w:val="0"/>
      <w:marBottom w:val="0"/>
      <w:divBdr>
        <w:top w:val="none" w:sz="0" w:space="0" w:color="auto"/>
        <w:left w:val="none" w:sz="0" w:space="0" w:color="auto"/>
        <w:bottom w:val="none" w:sz="0" w:space="0" w:color="auto"/>
        <w:right w:val="none" w:sz="0" w:space="0" w:color="auto"/>
      </w:divBdr>
    </w:div>
    <w:div w:id="665743929">
      <w:bodyDiv w:val="1"/>
      <w:marLeft w:val="0"/>
      <w:marRight w:val="0"/>
      <w:marTop w:val="0"/>
      <w:marBottom w:val="0"/>
      <w:divBdr>
        <w:top w:val="none" w:sz="0" w:space="0" w:color="auto"/>
        <w:left w:val="none" w:sz="0" w:space="0" w:color="auto"/>
        <w:bottom w:val="none" w:sz="0" w:space="0" w:color="auto"/>
        <w:right w:val="none" w:sz="0" w:space="0" w:color="auto"/>
      </w:divBdr>
    </w:div>
    <w:div w:id="723066016">
      <w:bodyDiv w:val="1"/>
      <w:marLeft w:val="0"/>
      <w:marRight w:val="0"/>
      <w:marTop w:val="0"/>
      <w:marBottom w:val="0"/>
      <w:divBdr>
        <w:top w:val="none" w:sz="0" w:space="0" w:color="auto"/>
        <w:left w:val="none" w:sz="0" w:space="0" w:color="auto"/>
        <w:bottom w:val="none" w:sz="0" w:space="0" w:color="auto"/>
        <w:right w:val="none" w:sz="0" w:space="0" w:color="auto"/>
      </w:divBdr>
    </w:div>
    <w:div w:id="1001081478">
      <w:bodyDiv w:val="1"/>
      <w:marLeft w:val="0"/>
      <w:marRight w:val="0"/>
      <w:marTop w:val="0"/>
      <w:marBottom w:val="0"/>
      <w:divBdr>
        <w:top w:val="none" w:sz="0" w:space="0" w:color="auto"/>
        <w:left w:val="none" w:sz="0" w:space="0" w:color="auto"/>
        <w:bottom w:val="none" w:sz="0" w:space="0" w:color="auto"/>
        <w:right w:val="none" w:sz="0" w:space="0" w:color="auto"/>
      </w:divBdr>
    </w:div>
    <w:div w:id="100810029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168074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789773">
      <w:bodyDiv w:val="1"/>
      <w:marLeft w:val="0"/>
      <w:marRight w:val="0"/>
      <w:marTop w:val="0"/>
      <w:marBottom w:val="0"/>
      <w:divBdr>
        <w:top w:val="none" w:sz="0" w:space="0" w:color="auto"/>
        <w:left w:val="none" w:sz="0" w:space="0" w:color="auto"/>
        <w:bottom w:val="none" w:sz="0" w:space="0" w:color="auto"/>
        <w:right w:val="none" w:sz="0" w:space="0" w:color="auto"/>
      </w:divBdr>
    </w:div>
    <w:div w:id="1169255553">
      <w:bodyDiv w:val="1"/>
      <w:marLeft w:val="0"/>
      <w:marRight w:val="0"/>
      <w:marTop w:val="0"/>
      <w:marBottom w:val="0"/>
      <w:divBdr>
        <w:top w:val="none" w:sz="0" w:space="0" w:color="auto"/>
        <w:left w:val="none" w:sz="0" w:space="0" w:color="auto"/>
        <w:bottom w:val="none" w:sz="0" w:space="0" w:color="auto"/>
        <w:right w:val="none" w:sz="0" w:space="0" w:color="auto"/>
      </w:divBdr>
    </w:div>
    <w:div w:id="1237983154">
      <w:bodyDiv w:val="1"/>
      <w:marLeft w:val="0"/>
      <w:marRight w:val="0"/>
      <w:marTop w:val="0"/>
      <w:marBottom w:val="0"/>
      <w:divBdr>
        <w:top w:val="none" w:sz="0" w:space="0" w:color="auto"/>
        <w:left w:val="none" w:sz="0" w:space="0" w:color="auto"/>
        <w:bottom w:val="none" w:sz="0" w:space="0" w:color="auto"/>
        <w:right w:val="none" w:sz="0" w:space="0" w:color="auto"/>
      </w:divBdr>
    </w:div>
    <w:div w:id="1321076952">
      <w:bodyDiv w:val="1"/>
      <w:marLeft w:val="0"/>
      <w:marRight w:val="0"/>
      <w:marTop w:val="0"/>
      <w:marBottom w:val="0"/>
      <w:divBdr>
        <w:top w:val="none" w:sz="0" w:space="0" w:color="auto"/>
        <w:left w:val="none" w:sz="0" w:space="0" w:color="auto"/>
        <w:bottom w:val="none" w:sz="0" w:space="0" w:color="auto"/>
        <w:right w:val="none" w:sz="0" w:space="0" w:color="auto"/>
      </w:divBdr>
    </w:div>
    <w:div w:id="1370497797">
      <w:bodyDiv w:val="1"/>
      <w:marLeft w:val="0"/>
      <w:marRight w:val="0"/>
      <w:marTop w:val="0"/>
      <w:marBottom w:val="0"/>
      <w:divBdr>
        <w:top w:val="none" w:sz="0" w:space="0" w:color="auto"/>
        <w:left w:val="none" w:sz="0" w:space="0" w:color="auto"/>
        <w:bottom w:val="none" w:sz="0" w:space="0" w:color="auto"/>
        <w:right w:val="none" w:sz="0" w:space="0" w:color="auto"/>
      </w:divBdr>
    </w:div>
    <w:div w:id="1406805119">
      <w:bodyDiv w:val="1"/>
      <w:marLeft w:val="0"/>
      <w:marRight w:val="0"/>
      <w:marTop w:val="0"/>
      <w:marBottom w:val="0"/>
      <w:divBdr>
        <w:top w:val="none" w:sz="0" w:space="0" w:color="auto"/>
        <w:left w:val="none" w:sz="0" w:space="0" w:color="auto"/>
        <w:bottom w:val="none" w:sz="0" w:space="0" w:color="auto"/>
        <w:right w:val="none" w:sz="0" w:space="0" w:color="auto"/>
      </w:divBdr>
    </w:div>
    <w:div w:id="1444416924">
      <w:bodyDiv w:val="1"/>
      <w:marLeft w:val="0"/>
      <w:marRight w:val="0"/>
      <w:marTop w:val="0"/>
      <w:marBottom w:val="0"/>
      <w:divBdr>
        <w:top w:val="none" w:sz="0" w:space="0" w:color="auto"/>
        <w:left w:val="none" w:sz="0" w:space="0" w:color="auto"/>
        <w:bottom w:val="none" w:sz="0" w:space="0" w:color="auto"/>
        <w:right w:val="none" w:sz="0" w:space="0" w:color="auto"/>
      </w:divBdr>
    </w:div>
    <w:div w:id="1452631305">
      <w:bodyDiv w:val="1"/>
      <w:marLeft w:val="0"/>
      <w:marRight w:val="0"/>
      <w:marTop w:val="0"/>
      <w:marBottom w:val="0"/>
      <w:divBdr>
        <w:top w:val="none" w:sz="0" w:space="0" w:color="auto"/>
        <w:left w:val="none" w:sz="0" w:space="0" w:color="auto"/>
        <w:bottom w:val="none" w:sz="0" w:space="0" w:color="auto"/>
        <w:right w:val="none" w:sz="0" w:space="0" w:color="auto"/>
      </w:divBdr>
    </w:div>
    <w:div w:id="1558855291">
      <w:bodyDiv w:val="1"/>
      <w:marLeft w:val="0"/>
      <w:marRight w:val="0"/>
      <w:marTop w:val="0"/>
      <w:marBottom w:val="0"/>
      <w:divBdr>
        <w:top w:val="none" w:sz="0" w:space="0" w:color="auto"/>
        <w:left w:val="none" w:sz="0" w:space="0" w:color="auto"/>
        <w:bottom w:val="none" w:sz="0" w:space="0" w:color="auto"/>
        <w:right w:val="none" w:sz="0" w:space="0" w:color="auto"/>
      </w:divBdr>
    </w:div>
    <w:div w:id="1617832453">
      <w:bodyDiv w:val="1"/>
      <w:marLeft w:val="0"/>
      <w:marRight w:val="0"/>
      <w:marTop w:val="0"/>
      <w:marBottom w:val="0"/>
      <w:divBdr>
        <w:top w:val="none" w:sz="0" w:space="0" w:color="auto"/>
        <w:left w:val="none" w:sz="0" w:space="0" w:color="auto"/>
        <w:bottom w:val="none" w:sz="0" w:space="0" w:color="auto"/>
        <w:right w:val="none" w:sz="0" w:space="0" w:color="auto"/>
      </w:divBdr>
    </w:div>
    <w:div w:id="1668746337">
      <w:bodyDiv w:val="1"/>
      <w:marLeft w:val="0"/>
      <w:marRight w:val="0"/>
      <w:marTop w:val="0"/>
      <w:marBottom w:val="0"/>
      <w:divBdr>
        <w:top w:val="none" w:sz="0" w:space="0" w:color="auto"/>
        <w:left w:val="none" w:sz="0" w:space="0" w:color="auto"/>
        <w:bottom w:val="none" w:sz="0" w:space="0" w:color="auto"/>
        <w:right w:val="none" w:sz="0" w:space="0" w:color="auto"/>
      </w:divBdr>
    </w:div>
    <w:div w:id="1908371164">
      <w:bodyDiv w:val="1"/>
      <w:marLeft w:val="0"/>
      <w:marRight w:val="0"/>
      <w:marTop w:val="0"/>
      <w:marBottom w:val="0"/>
      <w:divBdr>
        <w:top w:val="none" w:sz="0" w:space="0" w:color="auto"/>
        <w:left w:val="none" w:sz="0" w:space="0" w:color="auto"/>
        <w:bottom w:val="none" w:sz="0" w:space="0" w:color="auto"/>
        <w:right w:val="none" w:sz="0" w:space="0" w:color="auto"/>
      </w:divBdr>
    </w:div>
    <w:div w:id="2005157746">
      <w:bodyDiv w:val="1"/>
      <w:marLeft w:val="0"/>
      <w:marRight w:val="0"/>
      <w:marTop w:val="0"/>
      <w:marBottom w:val="0"/>
      <w:divBdr>
        <w:top w:val="none" w:sz="0" w:space="0" w:color="auto"/>
        <w:left w:val="none" w:sz="0" w:space="0" w:color="auto"/>
        <w:bottom w:val="none" w:sz="0" w:space="0" w:color="auto"/>
        <w:right w:val="none" w:sz="0" w:space="0" w:color="auto"/>
      </w:divBdr>
    </w:div>
    <w:div w:id="2011365389">
      <w:bodyDiv w:val="1"/>
      <w:marLeft w:val="0"/>
      <w:marRight w:val="0"/>
      <w:marTop w:val="0"/>
      <w:marBottom w:val="0"/>
      <w:divBdr>
        <w:top w:val="none" w:sz="0" w:space="0" w:color="auto"/>
        <w:left w:val="none" w:sz="0" w:space="0" w:color="auto"/>
        <w:bottom w:val="none" w:sz="0" w:space="0" w:color="auto"/>
        <w:right w:val="none" w:sz="0" w:space="0" w:color="auto"/>
      </w:divBdr>
    </w:div>
    <w:div w:id="2058773229">
      <w:bodyDiv w:val="1"/>
      <w:marLeft w:val="0"/>
      <w:marRight w:val="0"/>
      <w:marTop w:val="0"/>
      <w:marBottom w:val="0"/>
      <w:divBdr>
        <w:top w:val="none" w:sz="0" w:space="0" w:color="auto"/>
        <w:left w:val="none" w:sz="0" w:space="0" w:color="auto"/>
        <w:bottom w:val="none" w:sz="0" w:space="0" w:color="auto"/>
        <w:right w:val="none" w:sz="0" w:space="0" w:color="auto"/>
      </w:divBdr>
    </w:div>
    <w:div w:id="20606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ucnredlist.org/resources/redlistguidelines" TargetMode="External"/><Relationship Id="rId21" Type="http://schemas.openxmlformats.org/officeDocument/2006/relationships/hyperlink" Target="https://portals.iucn.org/library/node/10336" TargetMode="External"/><Relationship Id="rId42" Type="http://schemas.openxmlformats.org/officeDocument/2006/relationships/hyperlink" Target="https://portals.iucn.org/library/node/9830" TargetMode="External"/><Relationship Id="rId47" Type="http://schemas.openxmlformats.org/officeDocument/2006/relationships/hyperlink" Target="http://journals.plos.org/plosone/article?id=10.1371/journal.pone.0000140" TargetMode="External"/><Relationship Id="rId63" Type="http://schemas.openxmlformats.org/officeDocument/2006/relationships/hyperlink" Target="http://www.iucnredlist.org" TargetMode="External"/><Relationship Id="rId68" Type="http://schemas.openxmlformats.org/officeDocument/2006/relationships/hyperlink" Target="http://onlinelibrary.wiley.com/doi/10.1111/j.1523-1739.2008.00937.x/full" TargetMode="External"/><Relationship Id="rId16" Type="http://schemas.openxmlformats.org/officeDocument/2006/relationships/hyperlink" Target="https://www.iucnredlist.org/resources/mappingstandards" TargetMode="External"/><Relationship Id="rId11" Type="http://schemas.openxmlformats.org/officeDocument/2006/relationships/hyperlink" Target="http://www.iucnredlist.org" TargetMode="External"/><Relationship Id="rId24" Type="http://schemas.openxmlformats.org/officeDocument/2006/relationships/hyperlink" Target="https://nc.iucnredlist.org/redlist/content/attachment_files/Details_of_the_Steps_Involved_in_the_IUCN_Red_List_Process.pdf" TargetMode="External"/><Relationship Id="rId32" Type="http://schemas.openxmlformats.org/officeDocument/2006/relationships/hyperlink" Target="https://cmsdocs.s3.amazonaws.com/keydocuments/Details_of_the_Steps_Involved_in_the_IUCN_Red_List_Process.pdf" TargetMode="External"/><Relationship Id="rId37" Type="http://schemas.openxmlformats.org/officeDocument/2006/relationships/hyperlink" Target="https://www.iucnredlist.org/search" TargetMode="External"/><Relationship Id="rId40" Type="http://schemas.openxmlformats.org/officeDocument/2006/relationships/hyperlink" Target="https://www.iucn.org/assessment/red-list-index" TargetMode="External"/><Relationship Id="rId45" Type="http://schemas.openxmlformats.org/officeDocument/2006/relationships/hyperlink" Target="https://www.science.org/doi/10.1126/science.1187512" TargetMode="External"/><Relationship Id="rId53" Type="http://schemas.openxmlformats.org/officeDocument/2006/relationships/hyperlink" Target="https://www.cbd.int/gbo5/" TargetMode="External"/><Relationship Id="rId58" Type="http://schemas.openxmlformats.org/officeDocument/2006/relationships/hyperlink" Target="http://rstb.royalsocietypublishing.org/content/366/1578/2598.abstract" TargetMode="External"/><Relationship Id="rId66" Type="http://schemas.openxmlformats.org/officeDocument/2006/relationships/hyperlink" Target="http://onlinelibrary.wiley.com/doi/10.1111/conl.12162/abstract"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portals.iucn.org/library/node/10336" TargetMode="External"/><Relationship Id="rId19" Type="http://schemas.openxmlformats.org/officeDocument/2006/relationships/hyperlink" Target="https://ibat-alliance.org/country_profiles" TargetMode="External"/><Relationship Id="rId14" Type="http://schemas.openxmlformats.org/officeDocument/2006/relationships/hyperlink" Target="https://www.iucnredlist.org/about/partners" TargetMode="External"/><Relationship Id="rId22" Type="http://schemas.openxmlformats.org/officeDocument/2006/relationships/hyperlink" Target="https://www.iucnredlist.org/resources/supporting-information-guidelines" TargetMode="External"/><Relationship Id="rId27" Type="http://schemas.openxmlformats.org/officeDocument/2006/relationships/hyperlink" Target="https://portals.iucn.org/library/node/10336" TargetMode="External"/><Relationship Id="rId30" Type="http://schemas.openxmlformats.org/officeDocument/2006/relationships/hyperlink" Target="https://cmsdocs.s3.amazonaws.com/keydocuments/Details_of_the_Steps_Involved_in_the_IUCN_Red_List_Process.pdf" TargetMode="External"/><Relationship Id="rId35" Type="http://schemas.openxmlformats.org/officeDocument/2006/relationships/hyperlink" Target="https://www.iucn.org/our-union/commissions/group/iucn-ssc-red-list-committee" TargetMode="External"/><Relationship Id="rId43" Type="http://schemas.openxmlformats.org/officeDocument/2006/relationships/hyperlink" Target="http://www.tandfonline.com/doi/pdf/10.1080/14888386.2015.1075903" TargetMode="External"/><Relationship Id="rId48" Type="http://schemas.openxmlformats.org/officeDocument/2006/relationships/hyperlink" Target="http://onlinelibrary.wiley.com/doi/10.1111/j.1523-1739.2006.00410.x/abstract" TargetMode="External"/><Relationship Id="rId56" Type="http://schemas.openxmlformats.org/officeDocument/2006/relationships/hyperlink" Target="http://journals.plos.org/plosone/article?id=10.1371/journal.pone.0112046" TargetMode="External"/><Relationship Id="rId64" Type="http://schemas.openxmlformats.org/officeDocument/2006/relationships/hyperlink" Target="http://onlinelibrary.wiley.com/doi/10.1111/j.1523-1739.2008.01044.x/full" TargetMode="External"/><Relationship Id="rId69" Type="http://schemas.openxmlformats.org/officeDocument/2006/relationships/hyperlink" Target="https://www.science.org/doi/10.1126/science.1257484"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science.org/doi/10.1126/science.1159196"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www.iucnredlist.org" TargetMode="External"/><Relationship Id="rId17" Type="http://schemas.openxmlformats.org/officeDocument/2006/relationships/hyperlink" Target="https://www.iucnredlist.org/assessment/process" TargetMode="External"/><Relationship Id="rId25" Type="http://schemas.openxmlformats.org/officeDocument/2006/relationships/hyperlink" Target="https://portals.iucn.org/library/node/10315" TargetMode="External"/><Relationship Id="rId33" Type="http://schemas.openxmlformats.org/officeDocument/2006/relationships/hyperlink" Target="http://www.iucnredlist.org/" TargetMode="External"/><Relationship Id="rId38" Type="http://schemas.openxmlformats.org/officeDocument/2006/relationships/hyperlink" Target="https://bipdashboard.natureserve.org/bip/SelectCountry.html" TargetMode="External"/><Relationship Id="rId46" Type="http://schemas.openxmlformats.org/officeDocument/2006/relationships/hyperlink" Target="http://journals.cambridge.org/action/displayJournal?jid=BCI" TargetMode="External"/><Relationship Id="rId59" Type="http://schemas.openxmlformats.org/officeDocument/2006/relationships/hyperlink" Target="https://www.iucnredlist.org/resources/redlistguidelines" TargetMode="External"/><Relationship Id="rId67" Type="http://schemas.openxmlformats.org/officeDocument/2006/relationships/hyperlink" Target="http://journals.plos.org/plosone/article?id=10.1371/journal.pone.0113934" TargetMode="External"/><Relationship Id="rId20" Type="http://schemas.openxmlformats.org/officeDocument/2006/relationships/hyperlink" Target="https://portals.iucn.org/library/node/10315" TargetMode="External"/><Relationship Id="rId41" Type="http://schemas.openxmlformats.org/officeDocument/2006/relationships/hyperlink" Target="https://www.bipindicators.net/indicators/red-list-index" TargetMode="External"/><Relationship Id="rId54" Type="http://schemas.openxmlformats.org/officeDocument/2006/relationships/hyperlink" Target="https://www.cbd.int/doc/c/705d/6b4b/a1a463c1b19392bde6fa08f3/sbstta-24-03-en.pdf" TargetMode="External"/><Relationship Id="rId62" Type="http://schemas.openxmlformats.org/officeDocument/2006/relationships/hyperlink" Target="https://www.iucnredlist.org/resources/supporting-information-guidelines" TargetMode="External"/><Relationship Id="rId70" Type="http://schemas.openxmlformats.org/officeDocument/2006/relationships/hyperlink" Target="http://onlinelibrary.wiley.com/doi/10.1111/conl.12159/abstract"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ucnredlist.org/assessment/authorities" TargetMode="External"/><Relationship Id="rId23" Type="http://schemas.openxmlformats.org/officeDocument/2006/relationships/hyperlink" Target="https://www.iucnredlist.org/resources/rules-of-procedure" TargetMode="External"/><Relationship Id="rId28" Type="http://schemas.openxmlformats.org/officeDocument/2006/relationships/hyperlink" Target="https://github.com/BirdLifeInternational/rli-codes" TargetMode="External"/><Relationship Id="rId36" Type="http://schemas.openxmlformats.org/officeDocument/2006/relationships/hyperlink" Target="https://unstats.un.org/sdgs/indicators/database/" TargetMode="External"/><Relationship Id="rId49" Type="http://schemas.openxmlformats.org/officeDocument/2006/relationships/hyperlink" Target="http://rstb.royalsocietypublishing.org/content/360/1454/255.full" TargetMode="External"/><Relationship Id="rId57" Type="http://schemas.openxmlformats.org/officeDocument/2006/relationships/hyperlink" Target="https://www.science.org/doi/10.1126/science.1194442" TargetMode="External"/><Relationship Id="rId10" Type="http://schemas.openxmlformats.org/officeDocument/2006/relationships/endnotes" Target="endnotes.xml"/><Relationship Id="rId31" Type="http://schemas.openxmlformats.org/officeDocument/2006/relationships/hyperlink" Target="https://www.iucnredlist.org/resources/rules-of-procedure" TargetMode="External"/><Relationship Id="rId44" Type="http://schemas.openxmlformats.org/officeDocument/2006/relationships/hyperlink" Target="https://portals.iucn.org/library/node/9321" TargetMode="External"/><Relationship Id="rId52" Type="http://schemas.openxmlformats.org/officeDocument/2006/relationships/hyperlink" Target="https://www.cbd.int/gbo4/" TargetMode="External"/><Relationship Id="rId60" Type="http://schemas.openxmlformats.org/officeDocument/2006/relationships/hyperlink" Target="https://portals.iucn.org/library/node/10315" TargetMode="External"/><Relationship Id="rId65" Type="http://schemas.openxmlformats.org/officeDocument/2006/relationships/hyperlink" Target="http://onlinelibrary.wiley.com/doi/10.1111/j.1472-4642.2009.00633.x/abstract" TargetMode="External"/><Relationship Id="rId73" Type="http://schemas.openxmlformats.org/officeDocument/2006/relationships/footer" Target="footer1.xml"/><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iucnredlist.org/assessment/process" TargetMode="External"/><Relationship Id="rId18" Type="http://schemas.openxmlformats.org/officeDocument/2006/relationships/hyperlink" Target="https://nc.iucnredlist.org/redlist/content/attachment_files/Rules_of_Procedure_for_IUCN_Red_List_2017-2020.pdf" TargetMode="External"/><Relationship Id="rId39" Type="http://schemas.openxmlformats.org/officeDocument/2006/relationships/hyperlink" Target="https://ibat-alliance.org/country_profiles" TargetMode="External"/><Relationship Id="rId34" Type="http://schemas.openxmlformats.org/officeDocument/2006/relationships/hyperlink" Target="https://www.iucn.org/our-union/commissions/group/iucn-ssc-standards-and-petitions-committee" TargetMode="External"/><Relationship Id="rId50" Type="http://schemas.openxmlformats.org/officeDocument/2006/relationships/hyperlink" Target="http://www.plosbiology.org/article/info:doi/10.1371/journal.pbio.0020383" TargetMode="External"/><Relationship Id="rId55" Type="http://schemas.openxmlformats.org/officeDocument/2006/relationships/hyperlink" Target="https://github.com/BirdLifeInternational/rli-codes" TargetMode="External"/><Relationship Id="rId76"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www.iucnredlist.org/resources/rules-of-proced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1FA29C5-78F4-4C76-8850-3037F1F93676}"/>
      </w:docPartPr>
      <w:docPartBody>
        <w:p w:rsidR="00425DE5" w:rsidRDefault="00D53672">
          <w:r w:rsidRPr="007B405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72"/>
    <w:rsid w:val="00425DE5"/>
    <w:rsid w:val="007E52BB"/>
    <w:rsid w:val="00D536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99D48935C26F45950215E9A8600549" ma:contentTypeVersion="14" ma:contentTypeDescription="Create a new document." ma:contentTypeScope="" ma:versionID="b281b63d46322dec40c30e71203e1b5c">
  <xsd:schema xmlns:xsd="http://www.w3.org/2001/XMLSchema" xmlns:xs="http://www.w3.org/2001/XMLSchema" xmlns:p="http://schemas.microsoft.com/office/2006/metadata/properties" xmlns:ns3="0485cb0d-7212-4088-8c57-6d4396da842e" xmlns:ns4="cd673eb7-fa9e-42e0-8a94-45fbc2509147" targetNamespace="http://schemas.microsoft.com/office/2006/metadata/properties" ma:root="true" ma:fieldsID="ff6220ce372074dbdfbcc142022bfeac" ns3:_="" ns4:_="">
    <xsd:import namespace="0485cb0d-7212-4088-8c57-6d4396da842e"/>
    <xsd:import namespace="cd673eb7-fa9e-42e0-8a94-45fbc25091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5cb0d-7212-4088-8c57-6d4396da84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73eb7-fa9e-42e0-8a94-45fbc25091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934A7E-128C-4804-8D26-AABE3131630A}">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3CC253-E3FC-4DB1-A21A-60CD340C7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5cb0d-7212-4088-8c57-6d4396da842e"/>
    <ds:schemaRef ds:uri="cd673eb7-fa9e-42e0-8a94-45fbc2509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7083</Words>
  <Characters>40375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11</cp:revision>
  <cp:lastPrinted>2016-07-16T14:25:00Z</cp:lastPrinted>
  <dcterms:created xsi:type="dcterms:W3CDTF">2022-12-07T14:42:00Z</dcterms:created>
  <dcterms:modified xsi:type="dcterms:W3CDTF">2023-12-14T04:40:00Z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0x010100F799D48935C26F45950215E9A8600549</vt:lpwstr>
  </property>
</Properties>
</file>