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C5277" w:rsidRDefault="006C4BFD" w:rsidP="006C4BFD">
      <w:pPr>
        <w:spacing w:after="0"/>
        <w:jc w:val="center"/>
        <w:rPr>
          <w:rFonts w:cstheme="minorHAnsi"/>
        </w:rPr>
      </w:pPr>
      <w:r w:rsidRPr="00AC5277">
        <w:rPr>
          <w:rFonts w:eastAsia="Times New Roman" w:cstheme="minorHAnsi"/>
          <w:color w:val="1C75BC"/>
          <w:sz w:val="36"/>
          <w:szCs w:val="36"/>
          <w:lang w:eastAsia="en-GB"/>
        </w:rPr>
        <w:t>SDG indicator metadata</w:t>
      </w:r>
    </w:p>
    <w:p w14:paraId="129054E9" w14:textId="2E583254" w:rsidR="006C4BFD" w:rsidRPr="00AC5277" w:rsidRDefault="002C2510" w:rsidP="006C4BFD">
      <w:pPr>
        <w:spacing w:after="0"/>
        <w:jc w:val="center"/>
        <w:rPr>
          <w:rFonts w:eastAsia="Times New Roman" w:cstheme="minorHAnsi"/>
          <w:b/>
          <w:bCs/>
          <w:color w:val="4A4A4A"/>
          <w:sz w:val="21"/>
          <w:szCs w:val="21"/>
          <w:lang w:eastAsia="en-GB"/>
        </w:rPr>
      </w:pPr>
      <w:r w:rsidRPr="00AC5277">
        <w:rPr>
          <w:rFonts w:eastAsia="Times New Roman" w:cstheme="minorHAnsi"/>
          <w:b/>
          <w:bCs/>
          <w:color w:val="4A4A4A"/>
          <w:sz w:val="21"/>
          <w:szCs w:val="21"/>
          <w:lang w:eastAsia="en-GB"/>
        </w:rPr>
        <w:t>(Harmonized metadata template - format version 1.1)</w:t>
      </w:r>
    </w:p>
    <w:p w14:paraId="773F63CF" w14:textId="77777777" w:rsidR="006C4BFD" w:rsidRPr="00AC5277" w:rsidRDefault="006C4BFD" w:rsidP="006C4BFD">
      <w:pPr>
        <w:spacing w:after="0"/>
        <w:rPr>
          <w:rFonts w:eastAsia="Times New Roman" w:cstheme="minorHAnsi"/>
          <w:b/>
          <w:bCs/>
          <w:color w:val="4A4A4A"/>
          <w:sz w:val="21"/>
          <w:szCs w:val="21"/>
          <w:lang w:eastAsia="en-GB"/>
        </w:rPr>
      </w:pPr>
    </w:p>
    <w:p w14:paraId="6AEAC6DA" w14:textId="6C7C2D3A" w:rsidR="00B31E2C" w:rsidRPr="00AC5277" w:rsidRDefault="00B31E2C" w:rsidP="00EA05D3">
      <w:pPr>
        <w:pStyle w:val="MIndHeader2"/>
        <w:rPr>
          <w:rFonts w:cstheme="minorHAnsi"/>
        </w:rPr>
      </w:pPr>
      <w:r w:rsidRPr="00AC5277">
        <w:rPr>
          <w:rFonts w:cstheme="minorHAnsi"/>
        </w:rPr>
        <w:t xml:space="preserve">0. Indicator information </w:t>
      </w:r>
      <w:r>
        <w:rPr>
          <w:color w:val="B4B4B4"/>
          <w:sz w:val="20"/>
        </w:rPr>
        <w:t>(SDG_INDICATOR_INFO)</w:t>
      </w:r>
    </w:p>
    <w:p w14:paraId="043ED752" w14:textId="28D7692E" w:rsidR="00D24330" w:rsidRPr="00AC5277" w:rsidRDefault="00D24330" w:rsidP="00EA05D3">
      <w:pPr>
        <w:pStyle w:val="MIndHeader"/>
        <w:rPr>
          <w:rFonts w:cstheme="minorHAnsi"/>
        </w:rPr>
      </w:pPr>
      <w:r w:rsidRPr="00AC5277">
        <w:rPr>
          <w:rFonts w:cstheme="minorHAnsi"/>
        </w:rPr>
        <w:t xml:space="preserve">0.a. Goal </w:t>
      </w:r>
      <w:r>
        <w:rPr>
          <w:color w:val="B4B4B4"/>
          <w:sz w:val="20"/>
        </w:rPr>
        <w:t>(SDG_GOAL)</w:t>
      </w:r>
    </w:p>
    <w:p w14:paraId="61E256C8" w14:textId="77777777" w:rsidR="00B8111F" w:rsidRPr="00AC5277" w:rsidRDefault="00B8111F" w:rsidP="00B8111F">
      <w:pPr>
        <w:pStyle w:val="MGTHeader"/>
        <w:rPr>
          <w:rFonts w:cstheme="minorHAnsi"/>
        </w:rPr>
      </w:pPr>
      <w:r w:rsidRPr="00AC5277">
        <w:rPr>
          <w:rFonts w:cstheme="minorHAnsi"/>
        </w:rPr>
        <w:t>Goal 15: Protect, restore and promote sustainable use of terrestrial ecosystems, sustainably manage forests, combat desertification, and halt and reverse land degradation and halt biodiversity loss</w:t>
      </w:r>
    </w:p>
    <w:p w14:paraId="084142D2" w14:textId="77777777" w:rsidR="00D24330" w:rsidRPr="00AC5277" w:rsidRDefault="00D24330" w:rsidP="00D24330">
      <w:pPr>
        <w:pStyle w:val="MIndHeader"/>
        <w:rPr>
          <w:rFonts w:cstheme="minorHAnsi"/>
        </w:rPr>
      </w:pPr>
      <w:r w:rsidRPr="00AC5277">
        <w:rPr>
          <w:rFonts w:cstheme="minorHAnsi"/>
        </w:rPr>
        <w:t xml:space="preserve">0.b. Target </w:t>
      </w:r>
      <w:r>
        <w:rPr>
          <w:color w:val="B4B4B4"/>
          <w:sz w:val="20"/>
        </w:rPr>
        <w:t>(SDG_TARGET)</w:t>
      </w:r>
    </w:p>
    <w:p w14:paraId="02EC1912" w14:textId="77777777" w:rsidR="00B8111F" w:rsidRPr="00AC5277" w:rsidRDefault="00B8111F" w:rsidP="00B8111F">
      <w:pPr>
        <w:pStyle w:val="MGTHeader"/>
        <w:rPr>
          <w:rFonts w:cstheme="minorHAnsi"/>
        </w:rPr>
      </w:pPr>
      <w:r w:rsidRPr="00AC5277">
        <w:rPr>
          <w:rFonts w:cstheme="minorHAnsi"/>
        </w:rPr>
        <w:t>Target 15.6: Promote fair and equitable sharing of the benefits arising from the utilization of genetic resources and promote appropriate access to such resources, as internationally agreed</w:t>
      </w:r>
    </w:p>
    <w:p w14:paraId="3E67E7E0" w14:textId="77777777" w:rsidR="00D24330" w:rsidRPr="00AC5277" w:rsidRDefault="00D24330" w:rsidP="00D24330">
      <w:pPr>
        <w:pStyle w:val="MIndHeader"/>
        <w:rPr>
          <w:rFonts w:cstheme="minorHAnsi"/>
        </w:rPr>
      </w:pPr>
      <w:r w:rsidRPr="00AC5277">
        <w:rPr>
          <w:rFonts w:cstheme="minorHAnsi"/>
        </w:rPr>
        <w:t xml:space="preserve">0.c. Indicator </w:t>
      </w:r>
      <w:r>
        <w:rPr>
          <w:color w:val="B4B4B4"/>
          <w:sz w:val="20"/>
        </w:rPr>
        <w:t>(SDG_INDICATOR)</w:t>
      </w:r>
    </w:p>
    <w:p w14:paraId="355EB373" w14:textId="77777777" w:rsidR="00B8111F" w:rsidRPr="00AC5277" w:rsidRDefault="00B8111F" w:rsidP="00D24330">
      <w:pPr>
        <w:pStyle w:val="MIndHeader"/>
        <w:rPr>
          <w:rFonts w:cstheme="minorHAnsi"/>
          <w:color w:val="333333"/>
          <w:sz w:val="21"/>
          <w:szCs w:val="21"/>
        </w:rPr>
      </w:pPr>
      <w:r w:rsidRPr="00AC5277">
        <w:rPr>
          <w:rFonts w:cstheme="minorHAnsi"/>
          <w:color w:val="333333"/>
          <w:sz w:val="21"/>
          <w:szCs w:val="21"/>
        </w:rPr>
        <w:t>Indicator 15.6.1: Number of countries that have adopted legislative, administrative and policy frameworks to ensure fair and equitable sharing of benefits</w:t>
      </w:r>
    </w:p>
    <w:p w14:paraId="37E5E4F6" w14:textId="68E1B161" w:rsidR="00D24330" w:rsidRPr="00AC5277" w:rsidRDefault="00D24330" w:rsidP="00D24330">
      <w:pPr>
        <w:pStyle w:val="MIndHeader"/>
        <w:rPr>
          <w:rFonts w:cstheme="minorHAnsi"/>
        </w:rPr>
      </w:pPr>
      <w:r w:rsidRPr="00AC5277">
        <w:rPr>
          <w:rFonts w:cstheme="minorHAnsi"/>
        </w:rPr>
        <w:t xml:space="preserve">0.d. Series </w:t>
      </w:r>
      <w:r>
        <w:rPr>
          <w:color w:val="B4B4B4"/>
          <w:sz w:val="20"/>
        </w:rPr>
        <w:t>(SDG_SERIES_DESCR)</w:t>
      </w:r>
    </w:p>
    <w:p w14:paraId="2FC56C71" w14:textId="2B7F451F" w:rsidR="00E408B9" w:rsidRDefault="00E408B9" w:rsidP="002E1591">
      <w:pPr>
        <w:pStyle w:val="MGTHeader"/>
      </w:pPr>
      <w:r>
        <w:t>Countries that are contracting Parties to the International Treaty on Plant Genetic Resources for Food and Agriculture (PGRFA) (1 = YES; 0 = NO) </w:t>
      </w:r>
      <w:r w:rsidRPr="005E6A82">
        <w:t>ER_CBD_PTYPGRFA</w:t>
      </w:r>
    </w:p>
    <w:p w14:paraId="43DE0052" w14:textId="77777777" w:rsidR="00E408B9" w:rsidRDefault="00E408B9">
      <w:pPr>
        <w:pStyle w:val="MGTHeader"/>
      </w:pPr>
      <w:r>
        <w:t>Countries that are parties to the Nagoya Protocol (1 = YES; 0 = NO) </w:t>
      </w:r>
      <w:r w:rsidRPr="005E6A82">
        <w:t>ER_CBD_NAGOYA</w:t>
      </w:r>
    </w:p>
    <w:p w14:paraId="36BF1864" w14:textId="77777777" w:rsidR="00E408B9" w:rsidRDefault="00E408B9">
      <w:pPr>
        <w:pStyle w:val="MGTHeader"/>
      </w:pPr>
      <w:r>
        <w:t>Countries that have legislative, administrative and policy framework or measures reported through the Online Reporting System on Compliance of the International Treaty on Plant Genetic Resources for Food and Agriculture (PGRFA) (1 = YES; 0 = NO) </w:t>
      </w:r>
      <w:r w:rsidRPr="005E6A82">
        <w:t>ER_CBD_ORSPGRFA</w:t>
      </w:r>
    </w:p>
    <w:p w14:paraId="5C177C8F" w14:textId="77777777" w:rsidR="00E408B9" w:rsidRDefault="00E408B9">
      <w:pPr>
        <w:pStyle w:val="MGTHeader"/>
      </w:pPr>
      <w:r>
        <w:t>Countries that have legislative, administrative and policy framework or measures reported to the Access and Benefit-Sharing Clearing-House (1 = YES; 0 = NO) </w:t>
      </w:r>
      <w:r w:rsidRPr="005E6A82">
        <w:t>ER_CBD_ABSCLRHS</w:t>
      </w:r>
    </w:p>
    <w:p w14:paraId="771888BA" w14:textId="5D618A9F" w:rsidR="00D24330" w:rsidRPr="005E6A82" w:rsidRDefault="00E408B9">
      <w:pPr>
        <w:pStyle w:val="MGTHeader"/>
      </w:pPr>
      <w:r>
        <w:t>Total reported number of Standard Material Transfer Agreements (SMTAs) transferring plant genetic resources for food and agriculture to the country (number) </w:t>
      </w:r>
      <w:r w:rsidRPr="00C661FD">
        <w:rPr>
          <w:b/>
          <w:color w:val="777777"/>
        </w:rPr>
        <w:t>ER_CBD_SMTA</w:t>
      </w:r>
    </w:p>
    <w:p w14:paraId="157DACE7" w14:textId="77777777" w:rsidR="00D24330" w:rsidRPr="00AC5277" w:rsidRDefault="00D24330" w:rsidP="00D24330">
      <w:pPr>
        <w:pStyle w:val="MIndHeader"/>
        <w:rPr>
          <w:rFonts w:cstheme="minorHAnsi"/>
        </w:rPr>
      </w:pPr>
      <w:r w:rsidRPr="00AC5277">
        <w:rPr>
          <w:rFonts w:cstheme="minorHAnsi"/>
        </w:rPr>
        <w:t xml:space="preserve">0.e. Metadata update </w:t>
      </w:r>
      <w:r>
        <w:rPr>
          <w:color w:val="B4B4B4"/>
          <w:sz w:val="20"/>
        </w:rPr>
        <w:t>(META_LAST_UPDATE)</w:t>
      </w:r>
    </w:p>
    <w:sdt>
      <w:sdtPr>
        <w:rPr>
          <w:rFonts w:cstheme="minorHAnsi"/>
        </w:rPr>
        <w:id w:val="925684162"/>
        <w:placeholder>
          <w:docPart w:val="DefaultPlaceholder_-1854013437"/>
        </w:placeholder>
        <w:date w:fullDate="2022-04-12T00:00:00Z">
          <w:dateFormat w:val="yyyy-MM-dd"/>
          <w:lid w:val="en-US"/>
          <w:storeMappedDataAs w:val="dateTime"/>
          <w:calendar w:val="gregorian"/>
        </w:date>
      </w:sdtPr>
      <w:sdtContent>
        <w:p w14:paraId="03424B60" w14:textId="0B1C3FA7" w:rsidR="00D24330" w:rsidRPr="00AC5277" w:rsidRDefault="005C764F" w:rsidP="00D24330">
          <w:pPr>
            <w:pStyle w:val="MGTHeader"/>
            <w:rPr>
              <w:rFonts w:cstheme="minorHAnsi"/>
            </w:rPr>
          </w:pPr>
          <w:r>
            <w:rPr>
              <w:rFonts w:cstheme="minorHAnsi"/>
              <w:lang w:val="en-US"/>
            </w:rPr>
            <w:t>2022-04-12</w:t>
          </w:r>
        </w:p>
      </w:sdtContent>
    </w:sdt>
    <w:p w14:paraId="415C9FF1" w14:textId="77777777" w:rsidR="00D24330" w:rsidRPr="00AC5277" w:rsidRDefault="00D24330" w:rsidP="00D24330">
      <w:pPr>
        <w:pStyle w:val="MIndHeader"/>
        <w:rPr>
          <w:rFonts w:cstheme="minorHAnsi"/>
        </w:rPr>
      </w:pPr>
      <w:r w:rsidRPr="00AC5277">
        <w:rPr>
          <w:rFonts w:cstheme="minorHAnsi"/>
        </w:rPr>
        <w:t xml:space="preserve">0.f. Related indicators </w:t>
      </w:r>
      <w:r>
        <w:rPr>
          <w:color w:val="B4B4B4"/>
          <w:sz w:val="20"/>
        </w:rPr>
        <w:t>(SDG_RELATED_INDICATORS)</w:t>
      </w:r>
    </w:p>
    <w:p w14:paraId="4007C459" w14:textId="69F0F79E" w:rsidR="00B8111F" w:rsidRPr="00AC5277" w:rsidRDefault="00B02D13" w:rsidP="003E06D1">
      <w:pPr>
        <w:pStyle w:val="MGTHeader"/>
        <w:rPr>
          <w:rFonts w:cstheme="minorHAnsi"/>
        </w:rPr>
      </w:pPr>
      <w:r>
        <w:rPr>
          <w:rFonts w:cstheme="minorHAnsi"/>
        </w:rPr>
        <w:t>Not applicable</w:t>
      </w:r>
    </w:p>
    <w:p w14:paraId="132ACD2E" w14:textId="2E1AD271" w:rsidR="00B8111F" w:rsidRPr="00AC5277" w:rsidRDefault="00B8111F" w:rsidP="003E06D1">
      <w:pPr>
        <w:pStyle w:val="MGTHeader"/>
        <w:rPr>
          <w:rFonts w:cstheme="minorHAnsi"/>
        </w:rPr>
      </w:pPr>
      <w:r w:rsidRPr="00AC5277">
        <w:rPr>
          <w:rFonts w:cstheme="minorHAnsi"/>
        </w:rPr>
        <w:t>An indicator on numbers of permits and numbers of Material Transfer Agreements issued would provide complementary information.</w:t>
      </w:r>
    </w:p>
    <w:p w14:paraId="077BC49E" w14:textId="77777777" w:rsidR="00D24330" w:rsidRPr="00AC5277" w:rsidRDefault="00D24330" w:rsidP="00D24330">
      <w:pPr>
        <w:pStyle w:val="MIndHeader"/>
        <w:rPr>
          <w:rFonts w:cstheme="minorHAnsi"/>
        </w:rPr>
      </w:pPr>
      <w:r w:rsidRPr="00AC5277">
        <w:rPr>
          <w:rFonts w:cstheme="minorHAnsi"/>
        </w:rPr>
        <w:t xml:space="preserve">0.g. </w:t>
      </w:r>
      <w:proofErr w:type="gramStart"/>
      <w:r w:rsidRPr="00AC5277">
        <w:rPr>
          <w:rFonts w:cstheme="minorHAnsi"/>
        </w:rPr>
        <w:t>International</w:t>
      </w:r>
      <w:proofErr w:type="gramEnd"/>
      <w:r w:rsidRPr="00AC5277">
        <w:rPr>
          <w:rFonts w:cstheme="minorHAnsi"/>
        </w:rPr>
        <w:t xml:space="preserve"> organisations(s) responsible for global monitoring </w:t>
      </w:r>
      <w:r>
        <w:rPr>
          <w:color w:val="B4B4B4"/>
          <w:sz w:val="20"/>
        </w:rPr>
        <w:t>(SDG_CUSTODIAN_AGENCIES)</w:t>
      </w:r>
    </w:p>
    <w:p w14:paraId="19F29921" w14:textId="66165D77" w:rsidR="008D1D39" w:rsidRPr="00AC5277" w:rsidRDefault="00B8111F" w:rsidP="00AC5277">
      <w:pPr>
        <w:pStyle w:val="MGTHeader"/>
        <w:rPr>
          <w:rFonts w:cstheme="minorHAnsi"/>
        </w:rPr>
      </w:pPr>
      <w:r w:rsidRPr="00AC5277">
        <w:rPr>
          <w:rFonts w:cstheme="minorHAnsi"/>
        </w:rPr>
        <w:t>Secretariat of the Convention on Biological Diversity (CBD)</w:t>
      </w:r>
    </w:p>
    <w:p w14:paraId="030C8BDB" w14:textId="77777777" w:rsidR="00AC5277" w:rsidRPr="00AC5277" w:rsidRDefault="00AC5277" w:rsidP="00573631">
      <w:pPr>
        <w:shd w:val="clear" w:color="auto" w:fill="FFFFFF"/>
        <w:spacing w:after="0"/>
        <w:rPr>
          <w:rFonts w:eastAsia="Times New Roman" w:cstheme="minorHAnsi"/>
          <w:color w:val="4A4A4A"/>
          <w:sz w:val="21"/>
          <w:szCs w:val="21"/>
          <w:lang w:eastAsia="en-GB"/>
        </w:rPr>
      </w:pPr>
    </w:p>
    <w:p w14:paraId="12E0D73A" w14:textId="48126E58" w:rsidR="00B31E2C" w:rsidRPr="00AC5277" w:rsidRDefault="00B31E2C" w:rsidP="00EA05D3">
      <w:pPr>
        <w:pStyle w:val="MHeader"/>
        <w:rPr>
          <w:rFonts w:cstheme="minorHAnsi"/>
        </w:rPr>
      </w:pPr>
      <w:bookmarkStart w:id="0" w:name="_Toc37932744"/>
      <w:bookmarkStart w:id="1" w:name="_Toc36813072"/>
      <w:bookmarkStart w:id="2" w:name="_Toc36812685"/>
      <w:bookmarkStart w:id="3" w:name="_Toc36812572"/>
      <w:bookmarkStart w:id="4" w:name="_Toc36655609"/>
      <w:r w:rsidRPr="00AC5277">
        <w:rPr>
          <w:rFonts w:cstheme="minorHAnsi"/>
        </w:rPr>
        <w:t xml:space="preserve">1. Data reporter </w:t>
      </w:r>
      <w:bookmarkEnd w:id="0"/>
      <w:bookmarkEnd w:id="1"/>
      <w:bookmarkEnd w:id="2"/>
      <w:bookmarkEnd w:id="3"/>
      <w:bookmarkEnd w:id="4"/>
      <w:r>
        <w:rPr>
          <w:color w:val="B4B4B4"/>
          <w:sz w:val="20"/>
        </w:rPr>
        <w:t>(CONTACT)</w:t>
      </w:r>
    </w:p>
    <w:p w14:paraId="0BD77982" w14:textId="72DFE854" w:rsidR="00576CFA" w:rsidRPr="00AC5277" w:rsidRDefault="00576CFA" w:rsidP="00F719A8">
      <w:pPr>
        <w:pStyle w:val="MHeader2"/>
        <w:rPr>
          <w:rFonts w:cstheme="minorHAnsi"/>
        </w:rPr>
      </w:pPr>
      <w:r w:rsidRPr="00AC5277">
        <w:rPr>
          <w:rFonts w:cstheme="minorHAnsi"/>
        </w:rPr>
        <w:t xml:space="preserve">1.a. Organisation </w:t>
      </w:r>
      <w:r>
        <w:rPr>
          <w:color w:val="B4B4B4"/>
          <w:sz w:val="20"/>
        </w:rPr>
        <w:t>(CONTACT_ORGANISATION)</w:t>
      </w:r>
    </w:p>
    <w:p w14:paraId="6E829FD0" w14:textId="2196C49F" w:rsidR="00F719A8" w:rsidRDefault="00B8111F" w:rsidP="00576CFA">
      <w:pPr>
        <w:pStyle w:val="MText"/>
        <w:rPr>
          <w:rFonts w:cstheme="minorHAnsi"/>
        </w:rPr>
      </w:pPr>
      <w:r w:rsidRPr="00AC5277">
        <w:rPr>
          <w:rFonts w:cstheme="minorHAnsi"/>
        </w:rPr>
        <w:t>Secretariat of the Convention on Biological Diversity (CBD)</w:t>
      </w:r>
    </w:p>
    <w:p w14:paraId="3001C641" w14:textId="77777777" w:rsidR="00762F9F" w:rsidRPr="00AC5277" w:rsidRDefault="00762F9F" w:rsidP="00576CFA">
      <w:pPr>
        <w:pStyle w:val="MText"/>
        <w:rPr>
          <w:rFonts w:cstheme="minorHAnsi"/>
        </w:rPr>
      </w:pPr>
    </w:p>
    <w:p w14:paraId="14915AC8" w14:textId="7D506133" w:rsidR="00B31E2C" w:rsidRPr="00AC5277" w:rsidRDefault="00B31E2C" w:rsidP="008B0AC7">
      <w:pPr>
        <w:pStyle w:val="MHeader"/>
        <w:rPr>
          <w:rFonts w:cstheme="minorHAnsi"/>
        </w:rPr>
      </w:pPr>
      <w:r w:rsidRPr="00AC5277">
        <w:rPr>
          <w:rFonts w:cstheme="minorHAnsi"/>
        </w:rPr>
        <w:t xml:space="preserve">2. Definition, concepts, and classifications </w:t>
      </w:r>
      <w:r>
        <w:rPr>
          <w:color w:val="B4B4B4"/>
          <w:sz w:val="20"/>
        </w:rPr>
        <w:t>(IND_DEF_CON_CLASS)</w:t>
      </w:r>
    </w:p>
    <w:p w14:paraId="2AC373EA" w14:textId="44236363" w:rsidR="008B0AC7" w:rsidRPr="00AC5277" w:rsidRDefault="008B0AC7" w:rsidP="00F719A8">
      <w:pPr>
        <w:pStyle w:val="MHeader2"/>
        <w:rPr>
          <w:rFonts w:cstheme="minorHAnsi"/>
        </w:rPr>
      </w:pPr>
      <w:r w:rsidRPr="00AC5277">
        <w:rPr>
          <w:rFonts w:cstheme="minorHAnsi"/>
        </w:rPr>
        <w:t xml:space="preserve">2.a. Definition and concepts </w:t>
      </w:r>
      <w:r>
        <w:rPr>
          <w:color w:val="B4B4B4"/>
          <w:sz w:val="20"/>
        </w:rPr>
        <w:t>(STAT_CONC_DEF)</w:t>
      </w:r>
    </w:p>
    <w:p w14:paraId="045D10F5" w14:textId="77777777" w:rsidR="00B8111F" w:rsidRPr="00AC5277" w:rsidRDefault="00B8111F" w:rsidP="00B8111F">
      <w:pPr>
        <w:shd w:val="clear" w:color="auto" w:fill="FFFFFF"/>
        <w:spacing w:after="0"/>
        <w:rPr>
          <w:rFonts w:eastAsia="Times New Roman" w:cstheme="minorHAnsi"/>
          <w:b/>
          <w:bCs/>
          <w:color w:val="4A4A4A"/>
          <w:sz w:val="21"/>
          <w:szCs w:val="21"/>
          <w:lang w:eastAsia="en-GB"/>
        </w:rPr>
      </w:pPr>
      <w:r w:rsidRPr="00AC5277">
        <w:rPr>
          <w:rFonts w:eastAsia="Times New Roman" w:cstheme="minorHAnsi"/>
          <w:b/>
          <w:bCs/>
          <w:color w:val="4A4A4A"/>
          <w:sz w:val="21"/>
          <w:szCs w:val="21"/>
          <w:lang w:eastAsia="en-GB"/>
        </w:rPr>
        <w:t>Definition</w:t>
      </w:r>
    </w:p>
    <w:p w14:paraId="016042E0"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The indicator is defined as the number of countries that have adopted legislative, administrative and policy frameworks to ensure fair and equitable sharing of benefits.  It refers to the efforts by countries to implement the Nagoya Protocol on Access to Genetic Resources and the Fair and Equitable Sharing of Benefits Arising from their Utilization to the Convention on Biological Diversity</w:t>
      </w:r>
      <w:r w:rsidRPr="00AC5277">
        <w:rPr>
          <w:rFonts w:eastAsia="Times New Roman" w:cstheme="minorHAnsi"/>
          <w:i/>
          <w:color w:val="4A4A4A"/>
          <w:sz w:val="21"/>
          <w:szCs w:val="21"/>
          <w:lang w:eastAsia="en-GB"/>
        </w:rPr>
        <w:t xml:space="preserve"> </w:t>
      </w:r>
      <w:r w:rsidRPr="00AC5277">
        <w:rPr>
          <w:rFonts w:eastAsia="Times New Roman" w:cstheme="minorHAnsi"/>
          <w:color w:val="4A4A4A"/>
          <w:sz w:val="21"/>
          <w:szCs w:val="21"/>
          <w:lang w:eastAsia="en-GB"/>
        </w:rPr>
        <w:t>(2010) and the International Treaty on Plant Genetic Resources for Food and Agriculture (2001).</w:t>
      </w:r>
    </w:p>
    <w:p w14:paraId="64F243DE"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3D229A34"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The Nagoya Protocol covers genetic resources and traditional knowledge associated with genetic resources, as well as the benefits arising from their utilization by setting out core obligations for its contracting Parties to take measures in relation to access, benefit-sharing and compliance.  The objectives of the International Treaty are the conservation and sustainable use of plant genetic resources for food and agriculture and the fair and equitable sharing of the benefits arising out of their use, in harmony with the Convention on Biological Diversity.   </w:t>
      </w:r>
    </w:p>
    <w:p w14:paraId="73829A2C"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74618FA7"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The Protocol provides greater legal certainty and transparency for both providers and users of genetic resources and associated traditional knowledge, and therefore, encourages the advancement of research on genetic resources which could lead to new discoveries for the benefit of all. </w:t>
      </w:r>
    </w:p>
    <w:p w14:paraId="5DD0FBAB"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The Nagoya Protocol also creates incentives to conserve and sustainably use genetic resources, and thereby enhances the contribution of biodiversity to development and human well-being. In addition, Parties to the Protocol are to encourage users and providers to direct benefits arising from the utilization of genetic resources towards the conservation of biological diversity and the sustainable use of its components.</w:t>
      </w:r>
    </w:p>
    <w:p w14:paraId="3553AEA8"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66602D35" w14:textId="446E59E1" w:rsidR="00B8111F"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The International Treaty has established the Multilateral System of Access and Benefit-sharing, which facilitates exchanges of plant genetic resources for purposes of agricultural research and breeding</w:t>
      </w:r>
      <w:r w:rsidR="0006538B">
        <w:rPr>
          <w:rFonts w:eastAsia="Times New Roman" w:cstheme="minorHAnsi"/>
          <w:color w:val="4A4A4A"/>
          <w:sz w:val="21"/>
          <w:szCs w:val="21"/>
          <w:lang w:eastAsia="en-GB"/>
        </w:rPr>
        <w:t xml:space="preserve"> to contribute to sustainable agriculture and food security</w:t>
      </w:r>
      <w:r w:rsidRPr="00AC5277">
        <w:rPr>
          <w:rFonts w:eastAsia="Times New Roman" w:cstheme="minorHAnsi"/>
          <w:color w:val="4A4A4A"/>
          <w:sz w:val="21"/>
          <w:szCs w:val="21"/>
          <w:lang w:eastAsia="en-GB"/>
        </w:rPr>
        <w:t>, by providing a transparent and reliable framework for the exchange of crop genetic resources. The Multilateral System is instrumental to achieving the conservation and sustainable use of plant genetic resources as well as the fair and equitable sharing of benefits arising from their use.</w:t>
      </w:r>
      <w:r w:rsidR="006E6414">
        <w:rPr>
          <w:rFonts w:eastAsia="Times New Roman" w:cstheme="minorHAnsi"/>
          <w:color w:val="4A4A4A"/>
          <w:sz w:val="21"/>
          <w:szCs w:val="21"/>
          <w:lang w:eastAsia="en-GB"/>
        </w:rPr>
        <w:t xml:space="preserve"> </w:t>
      </w:r>
      <w:r w:rsidR="006E6414" w:rsidRPr="006E6414">
        <w:rPr>
          <w:rFonts w:eastAsia="Times New Roman" w:cstheme="minorHAnsi"/>
          <w:color w:val="4A4A4A"/>
          <w:sz w:val="21"/>
          <w:szCs w:val="21"/>
          <w:lang w:eastAsia="en-GB"/>
        </w:rPr>
        <w:t>The Standard Material Transfer Agreement is a mandatory</w:t>
      </w:r>
      <w:r w:rsidR="00DF2C48">
        <w:rPr>
          <w:rFonts w:eastAsia="Times New Roman" w:cstheme="minorHAnsi"/>
          <w:color w:val="4A4A4A"/>
          <w:sz w:val="21"/>
          <w:szCs w:val="21"/>
          <w:lang w:eastAsia="en-GB"/>
        </w:rPr>
        <w:t xml:space="preserve"> standard</w:t>
      </w:r>
      <w:r w:rsidR="006E6414" w:rsidRPr="006E6414">
        <w:rPr>
          <w:rFonts w:eastAsia="Times New Roman" w:cstheme="minorHAnsi"/>
          <w:color w:val="4A4A4A"/>
          <w:sz w:val="21"/>
          <w:szCs w:val="21"/>
          <w:lang w:eastAsia="en-GB"/>
        </w:rPr>
        <w:t xml:space="preserve"> </w:t>
      </w:r>
      <w:r w:rsidR="00F17777">
        <w:rPr>
          <w:rFonts w:eastAsia="Times New Roman" w:cstheme="minorHAnsi"/>
          <w:color w:val="4A4A4A"/>
          <w:sz w:val="21"/>
          <w:szCs w:val="21"/>
          <w:lang w:eastAsia="en-GB"/>
        </w:rPr>
        <w:t>contract</w:t>
      </w:r>
      <w:r w:rsidR="006E6414" w:rsidRPr="006E6414">
        <w:rPr>
          <w:rFonts w:eastAsia="Times New Roman" w:cstheme="minorHAnsi"/>
          <w:color w:val="4A4A4A"/>
          <w:sz w:val="21"/>
          <w:szCs w:val="21"/>
          <w:lang w:eastAsia="en-GB"/>
        </w:rPr>
        <w:t xml:space="preserve"> for parties wishing to provide and receive material under the Multilateral System. </w:t>
      </w:r>
      <w:r w:rsidRPr="00AC5277">
        <w:rPr>
          <w:rFonts w:eastAsia="Times New Roman" w:cstheme="minorHAnsi"/>
          <w:color w:val="4A4A4A"/>
          <w:sz w:val="21"/>
          <w:szCs w:val="21"/>
          <w:lang w:eastAsia="en-GB"/>
        </w:rPr>
        <w:t xml:space="preserve">  </w:t>
      </w:r>
    </w:p>
    <w:p w14:paraId="6E54D3D6" w14:textId="77777777" w:rsidR="00EC2915" w:rsidRPr="00AC5277" w:rsidRDefault="00EC2915" w:rsidP="00576CFA">
      <w:pPr>
        <w:pStyle w:val="MText"/>
        <w:rPr>
          <w:rFonts w:cstheme="minorHAnsi"/>
        </w:rPr>
      </w:pPr>
    </w:p>
    <w:p w14:paraId="7932F8BD" w14:textId="3869C451" w:rsidR="008B0AC7" w:rsidRPr="00AC5277" w:rsidRDefault="00576CFA" w:rsidP="00F719A8">
      <w:pPr>
        <w:pStyle w:val="MHeader2"/>
        <w:rPr>
          <w:rFonts w:cstheme="minorHAnsi"/>
        </w:rPr>
      </w:pPr>
      <w:r w:rsidRPr="00AC5277">
        <w:rPr>
          <w:rFonts w:cstheme="minorHAnsi"/>
        </w:rPr>
        <w:t xml:space="preserve">2.b. Unit of measure </w:t>
      </w:r>
      <w:r>
        <w:rPr>
          <w:color w:val="B4B4B4"/>
          <w:sz w:val="20"/>
        </w:rPr>
        <w:t>(UNIT_MEASURE)</w:t>
      </w:r>
    </w:p>
    <w:p w14:paraId="3322B3A2" w14:textId="414D21FA" w:rsidR="00A27E6C" w:rsidRDefault="00A27E6C" w:rsidP="00576CFA">
      <w:pPr>
        <w:pStyle w:val="MText"/>
        <w:rPr>
          <w:rFonts w:cstheme="minorHAnsi"/>
        </w:rPr>
      </w:pPr>
      <w:r>
        <w:rPr>
          <w:rFonts w:cstheme="minorHAnsi"/>
        </w:rPr>
        <w:t xml:space="preserve">For </w:t>
      </w:r>
      <w:r w:rsidR="003E60BF">
        <w:rPr>
          <w:rFonts w:cstheme="minorHAnsi"/>
        </w:rPr>
        <w:t>data series ER CBD PTYPGRFA, ER CBD NAGOYA, ER CBD ORSPGRFA, CBD ABS</w:t>
      </w:r>
      <w:r w:rsidR="00BA0C8D">
        <w:rPr>
          <w:rFonts w:cstheme="minorHAnsi"/>
        </w:rPr>
        <w:t xml:space="preserve">CLRHS the unit of measurement is </w:t>
      </w:r>
      <w:r w:rsidR="00EA18C3">
        <w:rPr>
          <w:rFonts w:cstheme="minorHAnsi"/>
        </w:rPr>
        <w:t>a binary measure (1 = YES; 0 = NO).</w:t>
      </w:r>
    </w:p>
    <w:p w14:paraId="241BFFF4" w14:textId="77777777" w:rsidR="001F5D7F" w:rsidRDefault="001F5D7F" w:rsidP="00576CFA">
      <w:pPr>
        <w:pStyle w:val="MText"/>
        <w:rPr>
          <w:rFonts w:cstheme="minorHAnsi"/>
        </w:rPr>
      </w:pPr>
    </w:p>
    <w:p w14:paraId="01111204" w14:textId="408E88AE" w:rsidR="000269C8" w:rsidRPr="00AC5277" w:rsidRDefault="00BA0C8D" w:rsidP="00C661FD">
      <w:pPr>
        <w:pStyle w:val="MGTHeader"/>
        <w:rPr>
          <w:rFonts w:cstheme="minorHAnsi"/>
        </w:rPr>
      </w:pPr>
      <w:r>
        <w:rPr>
          <w:rFonts w:cstheme="minorHAnsi"/>
        </w:rPr>
        <w:t xml:space="preserve">For </w:t>
      </w:r>
      <w:r w:rsidR="009A68FC">
        <w:rPr>
          <w:rFonts w:cstheme="minorHAnsi"/>
        </w:rPr>
        <w:t xml:space="preserve">data series ER CBD SMTA the unit of measurement is number of </w:t>
      </w:r>
      <w:r w:rsidR="003C234F" w:rsidRPr="00C661FD">
        <w:rPr>
          <w:lang w:val="en-US"/>
        </w:rPr>
        <w:t>Standard Material Transfer Agreements (SMTAs)</w:t>
      </w:r>
      <w:r w:rsidR="009A68FC">
        <w:rPr>
          <w:rFonts w:cstheme="minorHAnsi"/>
        </w:rPr>
        <w:t>.</w:t>
      </w:r>
      <w:r w:rsidR="000269C8">
        <w:rPr>
          <w:rFonts w:cstheme="minorHAnsi"/>
        </w:rPr>
        <w:t xml:space="preserve"> </w:t>
      </w:r>
      <w:r w:rsidR="000269C8" w:rsidRPr="00C661FD">
        <w:rPr>
          <w:lang w:val="en-US"/>
        </w:rPr>
        <w:t xml:space="preserve">The total number of </w:t>
      </w:r>
      <w:r w:rsidR="003C234F">
        <w:rPr>
          <w:rFonts w:cstheme="minorHAnsi"/>
        </w:rPr>
        <w:t>SMTAs</w:t>
      </w:r>
      <w:r w:rsidR="003C234F" w:rsidRPr="00C661FD" w:rsidDel="003C234F">
        <w:rPr>
          <w:lang w:val="en-US"/>
        </w:rPr>
        <w:t xml:space="preserve"> </w:t>
      </w:r>
      <w:r w:rsidR="000269C8" w:rsidRPr="00C661FD">
        <w:rPr>
          <w:lang w:val="en-US"/>
        </w:rPr>
        <w:t>transferring plant genetic resources for food and agriculture to the country is a</w:t>
      </w:r>
      <w:r w:rsidR="000269C8">
        <w:rPr>
          <w:rFonts w:cstheme="minorHAnsi"/>
        </w:rPr>
        <w:t xml:space="preserve"> c</w:t>
      </w:r>
      <w:r w:rsidR="000269C8" w:rsidRPr="00AC5277">
        <w:rPr>
          <w:rFonts w:cstheme="minorHAnsi"/>
        </w:rPr>
        <w:t>umulative figure.</w:t>
      </w:r>
    </w:p>
    <w:p w14:paraId="548E9AAA" w14:textId="77777777" w:rsidR="00EC2915" w:rsidRPr="00AC5277" w:rsidRDefault="00EC2915" w:rsidP="00576CFA">
      <w:pPr>
        <w:pStyle w:val="MText"/>
        <w:rPr>
          <w:rFonts w:cstheme="minorHAnsi"/>
        </w:rPr>
      </w:pPr>
    </w:p>
    <w:p w14:paraId="651AA7AC" w14:textId="5144B8C4" w:rsidR="00DA615C" w:rsidRPr="00AC5277" w:rsidRDefault="008B0AC7" w:rsidP="00F719A8">
      <w:pPr>
        <w:pStyle w:val="MHeader2"/>
        <w:rPr>
          <w:rFonts w:cstheme="minorHAnsi"/>
        </w:rPr>
      </w:pPr>
      <w:r w:rsidRPr="00AC5277">
        <w:rPr>
          <w:rFonts w:cstheme="minorHAnsi"/>
        </w:rPr>
        <w:t xml:space="preserve">2.c. Classifications </w:t>
      </w:r>
      <w:r>
        <w:rPr>
          <w:color w:val="B4B4B4"/>
          <w:sz w:val="20"/>
        </w:rPr>
        <w:t>(CLASS_SYSTEM)</w:t>
      </w:r>
    </w:p>
    <w:p w14:paraId="7B8FC064" w14:textId="4F3C15E2" w:rsidR="00F67AB4" w:rsidRDefault="009077B6" w:rsidP="00576CFA">
      <w:pPr>
        <w:pStyle w:val="MText"/>
        <w:rPr>
          <w:rFonts w:cstheme="minorHAnsi"/>
        </w:rPr>
      </w:pPr>
      <w:r>
        <w:rPr>
          <w:rFonts w:cstheme="minorHAnsi"/>
        </w:rPr>
        <w:t>Not applicable</w:t>
      </w:r>
      <w:r w:rsidR="002720A1">
        <w:rPr>
          <w:rFonts w:cstheme="minorHAnsi"/>
        </w:rPr>
        <w:t>.</w:t>
      </w:r>
    </w:p>
    <w:p w14:paraId="02AE13CF" w14:textId="77777777" w:rsidR="00F67AB4" w:rsidRPr="00AC5277" w:rsidRDefault="00F67AB4" w:rsidP="00576CFA">
      <w:pPr>
        <w:pStyle w:val="MText"/>
        <w:rPr>
          <w:rFonts w:cstheme="minorHAnsi"/>
        </w:rPr>
      </w:pPr>
    </w:p>
    <w:p w14:paraId="1D3AEECA" w14:textId="4C5EC949" w:rsidR="00B31E2C" w:rsidRPr="00AC5277" w:rsidRDefault="00B31E2C" w:rsidP="00F719A8">
      <w:pPr>
        <w:pStyle w:val="MHeader"/>
        <w:rPr>
          <w:rFonts w:cstheme="minorHAnsi"/>
        </w:rPr>
      </w:pPr>
      <w:r w:rsidRPr="00AC5277">
        <w:rPr>
          <w:rFonts w:cstheme="minorHAnsi"/>
        </w:rPr>
        <w:t xml:space="preserve">3. Data source type and data collection method </w:t>
      </w:r>
      <w:r>
        <w:rPr>
          <w:color w:val="B4B4B4"/>
          <w:sz w:val="20"/>
        </w:rPr>
        <w:t>(SRC_TYPE_COLL_METHOD)</w:t>
      </w:r>
    </w:p>
    <w:p w14:paraId="340B050E" w14:textId="31C09E5F" w:rsidR="008B0AC7" w:rsidRPr="00AC5277" w:rsidRDefault="008B0AC7" w:rsidP="00F719A8">
      <w:pPr>
        <w:pStyle w:val="MHeader2"/>
        <w:rPr>
          <w:rFonts w:cstheme="minorHAnsi"/>
        </w:rPr>
      </w:pPr>
      <w:r w:rsidRPr="00AC5277">
        <w:rPr>
          <w:rFonts w:cstheme="minorHAnsi"/>
        </w:rPr>
        <w:t xml:space="preserve">3.a. Data sources </w:t>
      </w:r>
      <w:r>
        <w:rPr>
          <w:color w:val="B4B4B4"/>
          <w:sz w:val="20"/>
        </w:rPr>
        <w:t>(SOURCE_TYPE)</w:t>
      </w:r>
    </w:p>
    <w:p w14:paraId="1326401C" w14:textId="4AF6D588" w:rsidR="00B8111F" w:rsidRPr="00C661FD" w:rsidRDefault="00B8111F" w:rsidP="00B8111F">
      <w:pPr>
        <w:shd w:val="clear" w:color="auto" w:fill="FFFFFF"/>
        <w:spacing w:after="0"/>
        <w:rPr>
          <w:rStyle w:val="MTextChar"/>
          <w:rFonts w:eastAsiaTheme="minorEastAsia"/>
        </w:rPr>
      </w:pPr>
      <w:r w:rsidRPr="00AC5277">
        <w:rPr>
          <w:rFonts w:eastAsia="Times New Roman" w:cstheme="minorHAnsi"/>
          <w:color w:val="4A4A4A"/>
          <w:sz w:val="21"/>
          <w:szCs w:val="21"/>
          <w:lang w:eastAsia="en-GB"/>
        </w:rPr>
        <w:t xml:space="preserve">The Access and Benefit-sharing Clearing-House </w:t>
      </w:r>
      <w:r w:rsidR="00274476">
        <w:rPr>
          <w:rFonts w:eastAsia="Times New Roman" w:cstheme="minorHAnsi"/>
          <w:color w:val="4A4A4A"/>
          <w:sz w:val="21"/>
          <w:szCs w:val="21"/>
          <w:lang w:eastAsia="en-GB"/>
        </w:rPr>
        <w:t>Country Profiles</w:t>
      </w:r>
      <w:r w:rsidRPr="00AC5277">
        <w:rPr>
          <w:rFonts w:eastAsia="Times New Roman" w:cstheme="minorHAnsi"/>
          <w:color w:val="4A4A4A"/>
          <w:sz w:val="21"/>
          <w:szCs w:val="21"/>
          <w:lang w:eastAsia="en-GB"/>
        </w:rPr>
        <w:t xml:space="preserve">: </w:t>
      </w:r>
      <w:r w:rsidR="00274476" w:rsidRPr="00C661FD">
        <w:rPr>
          <w:rStyle w:val="MTextChar"/>
          <w:rFonts w:eastAsiaTheme="minorEastAsia"/>
        </w:rPr>
        <w:t>https://absch.cbd.int/en/countries</w:t>
      </w:r>
    </w:p>
    <w:p w14:paraId="3D76365B"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7B102622" w14:textId="6262A3B0" w:rsidR="00B8111F" w:rsidRPr="008660AB" w:rsidRDefault="00B8111F" w:rsidP="00B8111F">
      <w:pPr>
        <w:shd w:val="clear" w:color="auto" w:fill="FFFFFF"/>
        <w:spacing w:after="0"/>
        <w:rPr>
          <w:rFonts w:eastAsia="Times New Roman" w:cstheme="minorHAnsi"/>
          <w:color w:val="4A4A4A"/>
          <w:sz w:val="21"/>
          <w:szCs w:val="21"/>
          <w:lang w:eastAsia="en-GB"/>
        </w:rPr>
      </w:pPr>
      <w:r w:rsidRPr="008660AB">
        <w:rPr>
          <w:rFonts w:eastAsia="Times New Roman" w:cstheme="minorHAnsi"/>
          <w:color w:val="4A4A4A"/>
          <w:sz w:val="21"/>
          <w:szCs w:val="21"/>
          <w:lang w:eastAsia="en-GB"/>
        </w:rPr>
        <w:t xml:space="preserve">The Online Reporting System on Compliance of the International Treaty on PGRFA, </w:t>
      </w:r>
      <w:hyperlink r:id="rId11" w:history="1">
        <w:r w:rsidR="002B5501" w:rsidRPr="00C313A9">
          <w:rPr>
            <w:rStyle w:val="Hyperlink"/>
          </w:rPr>
          <w:t>http://www.fao.org/plant-treaty/areas-of-work/compliance/compliance-reports/en/</w:t>
        </w:r>
      </w:hyperlink>
      <w:r w:rsidR="002B5501">
        <w:t xml:space="preserve"> </w:t>
      </w:r>
    </w:p>
    <w:p w14:paraId="3593E7D4" w14:textId="77777777" w:rsidR="00B8111F" w:rsidRPr="00E15B9E" w:rsidRDefault="00B8111F" w:rsidP="00B8111F">
      <w:pPr>
        <w:shd w:val="clear" w:color="auto" w:fill="FFFFFF"/>
        <w:spacing w:after="0"/>
        <w:rPr>
          <w:rFonts w:eastAsia="Times New Roman" w:cstheme="minorHAnsi"/>
          <w:color w:val="4A4A4A"/>
          <w:sz w:val="21"/>
          <w:szCs w:val="21"/>
          <w:lang w:eastAsia="en-GB"/>
        </w:rPr>
      </w:pPr>
    </w:p>
    <w:p w14:paraId="06318510" w14:textId="21F3B36F" w:rsidR="00B8111F" w:rsidRPr="00AC5277" w:rsidRDefault="00B8111F" w:rsidP="00B8111F">
      <w:pPr>
        <w:shd w:val="clear" w:color="auto" w:fill="FFFFFF"/>
        <w:spacing w:after="0"/>
        <w:rPr>
          <w:rFonts w:eastAsia="Times New Roman" w:cstheme="minorHAnsi"/>
          <w:color w:val="4A4A4A"/>
          <w:sz w:val="21"/>
          <w:szCs w:val="21"/>
          <w:lang w:eastAsia="en-GB"/>
        </w:rPr>
      </w:pPr>
      <w:r w:rsidRPr="0002661F">
        <w:rPr>
          <w:rFonts w:eastAsia="Times New Roman" w:cstheme="minorHAnsi"/>
          <w:color w:val="4A4A4A"/>
          <w:sz w:val="21"/>
          <w:szCs w:val="21"/>
          <w:lang w:eastAsia="en-GB"/>
        </w:rPr>
        <w:t xml:space="preserve">Easy-SMTA, </w:t>
      </w:r>
      <w:hyperlink r:id="rId12" w:history="1">
        <w:r w:rsidR="00274476" w:rsidRPr="000F2252">
          <w:rPr>
            <w:rStyle w:val="Hyperlink"/>
            <w:rFonts w:eastAsia="Times New Roman" w:cstheme="minorHAnsi"/>
            <w:sz w:val="21"/>
            <w:szCs w:val="21"/>
            <w:lang w:eastAsia="en-GB"/>
          </w:rPr>
          <w:t>https://mls.planttreaty.org</w:t>
        </w:r>
      </w:hyperlink>
      <w:r w:rsidR="00274476">
        <w:rPr>
          <w:rFonts w:eastAsia="Times New Roman" w:cstheme="minorHAnsi"/>
          <w:color w:val="4A4A4A"/>
          <w:sz w:val="21"/>
          <w:szCs w:val="21"/>
          <w:lang w:eastAsia="en-GB"/>
        </w:rPr>
        <w:t xml:space="preserve"> </w:t>
      </w:r>
    </w:p>
    <w:p w14:paraId="3018A8D8" w14:textId="77777777" w:rsidR="00EC2915" w:rsidRPr="00AC5277" w:rsidRDefault="00EC2915" w:rsidP="00576CFA">
      <w:pPr>
        <w:pStyle w:val="MText"/>
        <w:rPr>
          <w:rFonts w:cstheme="minorHAnsi"/>
        </w:rPr>
      </w:pPr>
    </w:p>
    <w:p w14:paraId="79368080" w14:textId="32CB9C2E" w:rsidR="008B0AC7" w:rsidRPr="00AC5277" w:rsidRDefault="00576CFA" w:rsidP="0002661F">
      <w:pPr>
        <w:pStyle w:val="MHeader2"/>
        <w:pBdr>
          <w:bottom w:val="single" w:sz="12" w:space="3" w:color="DDDDDD"/>
        </w:pBdr>
        <w:rPr>
          <w:rFonts w:cstheme="minorHAnsi"/>
        </w:rPr>
      </w:pPr>
      <w:r w:rsidRPr="00AC5277">
        <w:rPr>
          <w:rFonts w:cstheme="minorHAnsi"/>
        </w:rPr>
        <w:t xml:space="preserve">3.b. Data collection method </w:t>
      </w:r>
      <w:r>
        <w:rPr>
          <w:color w:val="B4B4B4"/>
          <w:sz w:val="20"/>
        </w:rPr>
        <w:t>(COLL_METHOD)</w:t>
      </w:r>
    </w:p>
    <w:p w14:paraId="40086CDC" w14:textId="12071704" w:rsidR="00051EAB" w:rsidRDefault="00424FE0" w:rsidP="00B8111F">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Data is collected from the existing online platforms of the two instruments (see 3.a above).</w:t>
      </w:r>
      <w:r w:rsidR="00CE54BB">
        <w:rPr>
          <w:rFonts w:eastAsia="Times New Roman" w:cstheme="minorHAnsi"/>
          <w:color w:val="4A4A4A"/>
          <w:sz w:val="21"/>
          <w:szCs w:val="21"/>
          <w:lang w:eastAsia="en-GB"/>
        </w:rPr>
        <w:t xml:space="preserve"> </w:t>
      </w:r>
    </w:p>
    <w:p w14:paraId="5A4A8238" w14:textId="77777777" w:rsidR="00051EAB" w:rsidRDefault="00051EAB" w:rsidP="00B8111F">
      <w:pPr>
        <w:shd w:val="clear" w:color="auto" w:fill="FFFFFF"/>
        <w:spacing w:after="0"/>
        <w:rPr>
          <w:rFonts w:eastAsia="Times New Roman" w:cstheme="minorHAnsi"/>
          <w:color w:val="4A4A4A"/>
          <w:sz w:val="21"/>
          <w:szCs w:val="21"/>
          <w:lang w:eastAsia="en-GB"/>
        </w:rPr>
      </w:pPr>
    </w:p>
    <w:p w14:paraId="158A9658" w14:textId="4CBBE86F" w:rsidR="00B8111F" w:rsidRDefault="00CE54BB" w:rsidP="00B8111F">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 xml:space="preserve">For the ABS Clearing-House, </w:t>
      </w:r>
      <w:r w:rsidR="00681DB9">
        <w:rPr>
          <w:rFonts w:eastAsia="Times New Roman" w:cstheme="minorHAnsi"/>
          <w:color w:val="4A4A4A"/>
          <w:sz w:val="21"/>
          <w:szCs w:val="21"/>
          <w:lang w:eastAsia="en-GB"/>
        </w:rPr>
        <w:t xml:space="preserve">a </w:t>
      </w:r>
      <w:r>
        <w:rPr>
          <w:rFonts w:eastAsia="Times New Roman" w:cstheme="minorHAnsi"/>
          <w:color w:val="4A4A4A"/>
          <w:sz w:val="21"/>
          <w:szCs w:val="21"/>
          <w:lang w:eastAsia="en-GB"/>
        </w:rPr>
        <w:t>count</w:t>
      </w:r>
      <w:r w:rsidR="00681DB9">
        <w:rPr>
          <w:rFonts w:eastAsia="Times New Roman" w:cstheme="minorHAnsi"/>
          <w:color w:val="4A4A4A"/>
          <w:sz w:val="21"/>
          <w:szCs w:val="21"/>
          <w:lang w:eastAsia="en-GB"/>
        </w:rPr>
        <w:t xml:space="preserve">ry </w:t>
      </w:r>
      <w:r>
        <w:rPr>
          <w:rFonts w:eastAsia="Times New Roman" w:cstheme="minorHAnsi"/>
          <w:color w:val="4A4A4A"/>
          <w:sz w:val="21"/>
          <w:szCs w:val="21"/>
          <w:lang w:eastAsia="en-GB"/>
        </w:rPr>
        <w:t>must complete and publish a common format for legislative, administrative,</w:t>
      </w:r>
      <w:r w:rsidR="00FC4EFD">
        <w:rPr>
          <w:rFonts w:eastAsia="Times New Roman" w:cstheme="minorHAnsi"/>
          <w:color w:val="4A4A4A"/>
          <w:sz w:val="21"/>
          <w:szCs w:val="21"/>
          <w:lang w:eastAsia="en-GB"/>
        </w:rPr>
        <w:t xml:space="preserve"> or policy measures. The common format </w:t>
      </w:r>
      <w:r w:rsidR="0074554D">
        <w:rPr>
          <w:rFonts w:eastAsia="Times New Roman" w:cstheme="minorHAnsi"/>
          <w:color w:val="4A4A4A"/>
          <w:sz w:val="21"/>
          <w:szCs w:val="21"/>
          <w:lang w:eastAsia="en-GB"/>
        </w:rPr>
        <w:t xml:space="preserve">can be downloaded </w:t>
      </w:r>
      <w:r w:rsidR="00051EAB">
        <w:rPr>
          <w:rFonts w:eastAsia="Times New Roman" w:cstheme="minorHAnsi"/>
          <w:color w:val="4A4A4A"/>
          <w:sz w:val="21"/>
          <w:szCs w:val="21"/>
          <w:lang w:eastAsia="en-GB"/>
        </w:rPr>
        <w:t>at the following link</w:t>
      </w:r>
      <w:r w:rsidR="0074554D">
        <w:rPr>
          <w:rFonts w:eastAsia="Times New Roman" w:cstheme="minorHAnsi"/>
          <w:color w:val="4A4A4A"/>
          <w:sz w:val="21"/>
          <w:szCs w:val="21"/>
          <w:lang w:eastAsia="en-GB"/>
        </w:rPr>
        <w:t xml:space="preserve">: </w:t>
      </w:r>
      <w:hyperlink r:id="rId13" w:history="1">
        <w:r w:rsidR="0074554D" w:rsidRPr="00076428">
          <w:rPr>
            <w:rStyle w:val="Hyperlink"/>
            <w:rFonts w:eastAsia="Times New Roman" w:cstheme="minorHAnsi"/>
            <w:sz w:val="21"/>
            <w:szCs w:val="21"/>
            <w:lang w:eastAsia="en-GB"/>
          </w:rPr>
          <w:t>https://www.cbd.int/abs/common-formats/en/ABSCH-MSR-en.doc</w:t>
        </w:r>
      </w:hyperlink>
      <w:r w:rsidR="007901F3">
        <w:rPr>
          <w:rFonts w:eastAsia="Times New Roman" w:cstheme="minorHAnsi"/>
          <w:color w:val="4A4A4A"/>
          <w:sz w:val="21"/>
          <w:szCs w:val="21"/>
          <w:lang w:eastAsia="en-GB"/>
        </w:rPr>
        <w:t>. Once the format is completed, it is published as a national record</w:t>
      </w:r>
      <w:r w:rsidR="00290F9D">
        <w:rPr>
          <w:rFonts w:eastAsia="Times New Roman" w:cstheme="minorHAnsi"/>
          <w:color w:val="4A4A4A"/>
          <w:sz w:val="21"/>
          <w:szCs w:val="21"/>
          <w:lang w:eastAsia="en-GB"/>
        </w:rPr>
        <w:t xml:space="preserve"> on the ABS Clearing-House</w:t>
      </w:r>
      <w:r w:rsidR="00E90D63">
        <w:rPr>
          <w:rFonts w:eastAsia="Times New Roman" w:cstheme="minorHAnsi"/>
          <w:color w:val="4A4A4A"/>
          <w:sz w:val="21"/>
          <w:szCs w:val="21"/>
          <w:lang w:eastAsia="en-GB"/>
        </w:rPr>
        <w:t xml:space="preserve"> and the country will be </w:t>
      </w:r>
      <w:r w:rsidR="00180977">
        <w:rPr>
          <w:rFonts w:eastAsia="Times New Roman" w:cstheme="minorHAnsi"/>
          <w:color w:val="4A4A4A"/>
          <w:sz w:val="21"/>
          <w:szCs w:val="21"/>
          <w:lang w:eastAsia="en-GB"/>
        </w:rPr>
        <w:t xml:space="preserve">henceforth </w:t>
      </w:r>
      <w:r w:rsidR="00E90D63">
        <w:rPr>
          <w:rFonts w:eastAsia="Times New Roman" w:cstheme="minorHAnsi"/>
          <w:color w:val="4A4A4A"/>
          <w:sz w:val="21"/>
          <w:szCs w:val="21"/>
          <w:lang w:eastAsia="en-GB"/>
        </w:rPr>
        <w:t>counted as having a measure in place.</w:t>
      </w:r>
    </w:p>
    <w:p w14:paraId="5FD0C80F" w14:textId="4FFF1CFF" w:rsidR="000F1EA5" w:rsidRPr="00AC5277" w:rsidRDefault="000F1EA5" w:rsidP="00B8111F">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For the International Treaty, countries (Contracting Partie</w:t>
      </w:r>
      <w:r w:rsidR="00C92744">
        <w:rPr>
          <w:rFonts w:eastAsia="Times New Roman" w:cstheme="minorHAnsi"/>
          <w:color w:val="4A4A4A"/>
          <w:sz w:val="21"/>
          <w:szCs w:val="21"/>
          <w:lang w:eastAsia="en-GB"/>
        </w:rPr>
        <w:t>s) submit a national report regarding</w:t>
      </w:r>
      <w:r>
        <w:rPr>
          <w:rFonts w:eastAsia="Times New Roman" w:cstheme="minorHAnsi"/>
          <w:color w:val="4A4A4A"/>
          <w:sz w:val="21"/>
          <w:szCs w:val="21"/>
          <w:lang w:eastAsia="en-GB"/>
        </w:rPr>
        <w:t xml:space="preserve"> their implementation of </w:t>
      </w:r>
      <w:r w:rsidR="006A69BC">
        <w:rPr>
          <w:rFonts w:eastAsia="Times New Roman" w:cstheme="minorHAnsi"/>
          <w:color w:val="4A4A4A"/>
          <w:sz w:val="21"/>
          <w:szCs w:val="21"/>
          <w:lang w:eastAsia="en-GB"/>
        </w:rPr>
        <w:t xml:space="preserve">the </w:t>
      </w:r>
      <w:r w:rsidR="001A52D8">
        <w:rPr>
          <w:rFonts w:eastAsia="Times New Roman" w:cstheme="minorHAnsi"/>
          <w:color w:val="4A4A4A"/>
          <w:sz w:val="21"/>
          <w:szCs w:val="21"/>
          <w:lang w:eastAsia="en-GB"/>
        </w:rPr>
        <w:t xml:space="preserve">provisions of </w:t>
      </w:r>
      <w:r>
        <w:rPr>
          <w:rFonts w:eastAsia="Times New Roman" w:cstheme="minorHAnsi"/>
          <w:color w:val="4A4A4A"/>
          <w:sz w:val="21"/>
          <w:szCs w:val="21"/>
          <w:lang w:eastAsia="en-GB"/>
        </w:rPr>
        <w:t>the International Treaty</w:t>
      </w:r>
      <w:r w:rsidR="004E7CDA">
        <w:rPr>
          <w:rFonts w:eastAsia="Times New Roman" w:cstheme="minorHAnsi"/>
          <w:color w:val="4A4A4A"/>
          <w:sz w:val="21"/>
          <w:szCs w:val="21"/>
          <w:lang w:eastAsia="en-GB"/>
        </w:rPr>
        <w:t xml:space="preserve"> under the compliance procedure,</w:t>
      </w:r>
      <w:r w:rsidR="00BA2B1A">
        <w:rPr>
          <w:rFonts w:eastAsia="Times New Roman" w:cstheme="minorHAnsi"/>
          <w:color w:val="4A4A4A"/>
          <w:sz w:val="21"/>
          <w:szCs w:val="21"/>
          <w:lang w:eastAsia="en-GB"/>
        </w:rPr>
        <w:t xml:space="preserve"> using </w:t>
      </w:r>
      <w:r>
        <w:rPr>
          <w:rFonts w:eastAsia="Times New Roman" w:cstheme="minorHAnsi"/>
          <w:color w:val="4A4A4A"/>
          <w:sz w:val="21"/>
          <w:szCs w:val="21"/>
          <w:lang w:eastAsia="en-GB"/>
        </w:rPr>
        <w:t xml:space="preserve">the standard reporting format. The submitted national reports are available at the following link: </w:t>
      </w:r>
      <w:r w:rsidRPr="000F1EA5">
        <w:rPr>
          <w:rFonts w:eastAsia="Times New Roman" w:cstheme="minorHAnsi"/>
          <w:color w:val="4A4A4A"/>
          <w:sz w:val="21"/>
          <w:szCs w:val="21"/>
          <w:lang w:eastAsia="en-GB"/>
        </w:rPr>
        <w:t>https://www.fao.org/plant-treaty/areas-of-work/compliance/compliance-reports/en/</w:t>
      </w:r>
    </w:p>
    <w:p w14:paraId="5823FBC8" w14:textId="5A3DF270" w:rsidR="00576CFA" w:rsidRPr="00AC5277" w:rsidRDefault="00576CFA" w:rsidP="00576CFA">
      <w:pPr>
        <w:pStyle w:val="MText"/>
        <w:rPr>
          <w:rFonts w:cstheme="minorHAnsi"/>
        </w:rPr>
      </w:pPr>
      <w:r w:rsidRPr="00AC5277">
        <w:rPr>
          <w:rFonts w:cstheme="minorHAnsi"/>
        </w:rPr>
        <w:tab/>
      </w:r>
    </w:p>
    <w:p w14:paraId="170A2C05" w14:textId="34873ECA" w:rsidR="00E46D96" w:rsidRPr="00AC5277" w:rsidRDefault="00E46D96" w:rsidP="00F719A8">
      <w:pPr>
        <w:pStyle w:val="MHeader2"/>
        <w:rPr>
          <w:rFonts w:cstheme="minorHAnsi"/>
        </w:rPr>
      </w:pPr>
      <w:r w:rsidRPr="00AC5277">
        <w:rPr>
          <w:rFonts w:cstheme="minorHAnsi"/>
        </w:rPr>
        <w:t xml:space="preserve">3.c. Data collection calendar </w:t>
      </w:r>
      <w:r>
        <w:rPr>
          <w:color w:val="B4B4B4"/>
          <w:sz w:val="20"/>
        </w:rPr>
        <w:t>(FREQ_COLL)</w:t>
      </w:r>
    </w:p>
    <w:p w14:paraId="01BA862E" w14:textId="3FB055DF" w:rsidR="00EC2915" w:rsidRDefault="00424FE0" w:rsidP="002E1591">
      <w:pPr>
        <w:pStyle w:val="MText"/>
      </w:pPr>
      <w:r w:rsidRPr="002E1591">
        <w:t>Data is collected o</w:t>
      </w:r>
      <w:r w:rsidRPr="00424FE0">
        <w:t>n an ongoing basis, as new information is made available by countries (CBD ABSCLRHS and ER_CBD_ORSPGRFA) or by users of plant genetic resources (ER_CBD_SMTA).</w:t>
      </w:r>
    </w:p>
    <w:p w14:paraId="6ADB264C" w14:textId="77777777" w:rsidR="002E1591" w:rsidRPr="002E1591" w:rsidRDefault="002E1591" w:rsidP="00C661FD">
      <w:pPr>
        <w:pStyle w:val="MText"/>
      </w:pPr>
    </w:p>
    <w:p w14:paraId="7D466604" w14:textId="674844F0" w:rsidR="00E46D96" w:rsidRPr="00AC5277" w:rsidRDefault="00E46D96" w:rsidP="00F719A8">
      <w:pPr>
        <w:pStyle w:val="MHeader2"/>
        <w:rPr>
          <w:rFonts w:cstheme="minorHAnsi"/>
        </w:rPr>
      </w:pPr>
      <w:r w:rsidRPr="00AC5277">
        <w:rPr>
          <w:rFonts w:cstheme="minorHAnsi"/>
        </w:rPr>
        <w:t xml:space="preserve">3.d. Data release calendar </w:t>
      </w:r>
      <w:r>
        <w:rPr>
          <w:color w:val="B4B4B4"/>
          <w:sz w:val="20"/>
        </w:rPr>
        <w:t>(REL_CAL_POLICY)</w:t>
      </w:r>
    </w:p>
    <w:p w14:paraId="6B15DB25" w14:textId="715D84ED" w:rsidR="00424FE0" w:rsidRPr="00AC5277" w:rsidRDefault="00424FE0" w:rsidP="00424FE0">
      <w:pPr>
        <w:pStyle w:val="MText"/>
        <w:rPr>
          <w:rFonts w:cstheme="minorHAnsi"/>
        </w:rPr>
      </w:pPr>
      <w:r>
        <w:rPr>
          <w:rFonts w:cstheme="minorHAnsi"/>
        </w:rPr>
        <w:t>Data for the Nagoya Protocol and International Treaty is compiled and provided as of 15 February every year, to meet the SDGs annual reporting requirement.</w:t>
      </w:r>
    </w:p>
    <w:p w14:paraId="64C749BD" w14:textId="77777777" w:rsidR="00EC2915" w:rsidRPr="00AC5277" w:rsidRDefault="00EC2915" w:rsidP="00576CFA">
      <w:pPr>
        <w:pStyle w:val="MText"/>
        <w:rPr>
          <w:rFonts w:cstheme="minorHAnsi"/>
        </w:rPr>
      </w:pPr>
    </w:p>
    <w:p w14:paraId="369D1B60" w14:textId="77777777" w:rsidR="00750F3F" w:rsidRDefault="00E46D96" w:rsidP="00750F3F">
      <w:pPr>
        <w:pStyle w:val="MHeader2"/>
      </w:pPr>
      <w:r w:rsidRPr="00AC5277">
        <w:t xml:space="preserve">3.e. Data providers </w:t>
      </w:r>
      <w:r>
        <w:rPr>
          <w:color w:val="B4B4B4"/>
          <w:sz w:val="20"/>
        </w:rPr>
        <w:t>(DATA_SOURCE)</w:t>
      </w:r>
    </w:p>
    <w:p w14:paraId="50A66E64" w14:textId="35B9DE97" w:rsidR="00EC2915" w:rsidRPr="00AC5277" w:rsidRDefault="00B8111F" w:rsidP="00576CFA">
      <w:pPr>
        <w:pStyle w:val="MText"/>
        <w:rPr>
          <w:rFonts w:cstheme="minorHAnsi"/>
        </w:rPr>
      </w:pPr>
      <w:r w:rsidRPr="00AC5277">
        <w:rPr>
          <w:rFonts w:cstheme="minorHAnsi"/>
        </w:rPr>
        <w:t>Publishing authorities for the ABS Clearing-House as designated by the CBD national focal points or the ABS focal points. Publishing authorities for the Online Reporting System on compliance of the International Treaty on PGRFA are the officially nominated national focal points or nominated reporting authorities.</w:t>
      </w:r>
    </w:p>
    <w:p w14:paraId="33E35F0E" w14:textId="77777777" w:rsidR="00B8111F" w:rsidRPr="00AC5277" w:rsidRDefault="00B8111F" w:rsidP="00576CFA">
      <w:pPr>
        <w:pStyle w:val="MText"/>
        <w:rPr>
          <w:rFonts w:cstheme="minorHAnsi"/>
        </w:rPr>
      </w:pPr>
    </w:p>
    <w:p w14:paraId="30DC8E05" w14:textId="484D6EC2" w:rsidR="00E46D96" w:rsidRPr="00AC5277" w:rsidRDefault="00E46D96" w:rsidP="00F719A8">
      <w:pPr>
        <w:pStyle w:val="MHeader2"/>
        <w:rPr>
          <w:rFonts w:cstheme="minorHAnsi"/>
        </w:rPr>
      </w:pPr>
      <w:r w:rsidRPr="00AC5277">
        <w:rPr>
          <w:rFonts w:cstheme="minorHAnsi"/>
        </w:rPr>
        <w:t xml:space="preserve">3.f. Data compilers </w:t>
      </w:r>
      <w:r>
        <w:rPr>
          <w:color w:val="B4B4B4"/>
          <w:sz w:val="20"/>
        </w:rPr>
        <w:t>(COMPILING_ORG)</w:t>
      </w:r>
    </w:p>
    <w:p w14:paraId="7DD0F382" w14:textId="2CF5211B" w:rsidR="00B8111F" w:rsidRPr="00AC5277" w:rsidRDefault="009363C6" w:rsidP="00B8111F">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Secretariat of the Convention on Biological Diversity and Secretariat of the International Treaty on Plant Genetic Resources for Food and Agriculture.</w:t>
      </w:r>
    </w:p>
    <w:p w14:paraId="5C43435B" w14:textId="77777777" w:rsidR="00EC2915" w:rsidRPr="00AC5277" w:rsidRDefault="00EC2915" w:rsidP="00576CFA">
      <w:pPr>
        <w:pStyle w:val="MText"/>
        <w:rPr>
          <w:rFonts w:cstheme="minorHAnsi"/>
        </w:rPr>
      </w:pPr>
    </w:p>
    <w:p w14:paraId="5655E768" w14:textId="5429F32E" w:rsidR="00E46D96" w:rsidRPr="00AC5277" w:rsidRDefault="00E46D96" w:rsidP="00F719A8">
      <w:pPr>
        <w:pStyle w:val="MHeader2"/>
        <w:rPr>
          <w:rFonts w:cstheme="minorHAnsi"/>
        </w:rPr>
      </w:pPr>
      <w:r w:rsidRPr="00AC5277">
        <w:rPr>
          <w:rFonts w:cstheme="minorHAnsi"/>
        </w:rPr>
        <w:t xml:space="preserve">3.g. Institutional mandate </w:t>
      </w:r>
      <w:r>
        <w:rPr>
          <w:color w:val="B4B4B4"/>
          <w:sz w:val="20"/>
        </w:rPr>
        <w:t>(INST_MANDATE)</w:t>
      </w:r>
    </w:p>
    <w:p w14:paraId="09CC286F" w14:textId="661B7EE1" w:rsidR="00D93141" w:rsidRDefault="001626AB" w:rsidP="00576CFA">
      <w:pPr>
        <w:pStyle w:val="MText"/>
        <w:rPr>
          <w:rFonts w:cstheme="minorHAnsi"/>
        </w:rPr>
      </w:pPr>
      <w:r w:rsidRPr="001626AB">
        <w:rPr>
          <w:rFonts w:cstheme="minorHAnsi"/>
        </w:rPr>
        <w:t>The ABS Clearing-House is a platform for exchanging information on access and benefit-sharing established by Article 14 of the Protocol, The ABS Clearing-House is a key tool for facilitating the implementation of the Nagoya Protocol, by enhancing legal certainty and transparency on procedures for access, and for monitoring the utilization of genetic resources along the value chain. The Protocol requires Parties to make information on legislative, administrative and policy measures available to the ABS Clearing-House. Non-Parties are also encouraged to make this information available in the same manner.</w:t>
      </w:r>
    </w:p>
    <w:p w14:paraId="155E2F74" w14:textId="77777777" w:rsidR="00D93141" w:rsidRDefault="00D93141" w:rsidP="00576CFA">
      <w:pPr>
        <w:pStyle w:val="MText"/>
        <w:rPr>
          <w:rFonts w:cstheme="minorHAnsi"/>
        </w:rPr>
      </w:pPr>
    </w:p>
    <w:p w14:paraId="710CD81B" w14:textId="738E668B" w:rsidR="00A71015" w:rsidRDefault="00BB42BE" w:rsidP="00A71015">
      <w:pPr>
        <w:pStyle w:val="MText"/>
        <w:rPr>
          <w:rFonts w:cstheme="minorHAnsi"/>
        </w:rPr>
      </w:pPr>
      <w:r>
        <w:rPr>
          <w:rFonts w:cstheme="minorHAnsi"/>
        </w:rPr>
        <w:t xml:space="preserve">In order to promote compliance with </w:t>
      </w:r>
      <w:r w:rsidRPr="00BB42BE">
        <w:rPr>
          <w:rFonts w:cstheme="minorHAnsi"/>
        </w:rPr>
        <w:t>all the provisions of the International Treaty</w:t>
      </w:r>
      <w:r w:rsidR="00311C39">
        <w:rPr>
          <w:rFonts w:cstheme="minorHAnsi"/>
        </w:rPr>
        <w:t xml:space="preserve">, including access and benefit sharing </w:t>
      </w:r>
      <w:r w:rsidR="00CA0E4E">
        <w:rPr>
          <w:rFonts w:cstheme="minorHAnsi"/>
        </w:rPr>
        <w:t>obligation</w:t>
      </w:r>
      <w:r w:rsidR="00311C39">
        <w:rPr>
          <w:rFonts w:cstheme="minorHAnsi"/>
        </w:rPr>
        <w:t>s</w:t>
      </w:r>
      <w:r w:rsidR="00CA0E4E">
        <w:rPr>
          <w:rFonts w:cstheme="minorHAnsi"/>
        </w:rPr>
        <w:t>,</w:t>
      </w:r>
      <w:r w:rsidRPr="00BB42BE">
        <w:rPr>
          <w:rFonts w:cstheme="minorHAnsi"/>
        </w:rPr>
        <w:t xml:space="preserve"> and to address issues of non-compliance</w:t>
      </w:r>
      <w:r>
        <w:rPr>
          <w:rFonts w:cstheme="minorHAnsi"/>
        </w:rPr>
        <w:t>, the Governing Body of the International Treaty has</w:t>
      </w:r>
      <w:r w:rsidR="00D06B87" w:rsidRPr="00D06B87">
        <w:t xml:space="preserve"> </w:t>
      </w:r>
      <w:r w:rsidR="00D06B87" w:rsidRPr="00D06B87">
        <w:rPr>
          <w:rFonts w:cstheme="minorHAnsi"/>
        </w:rPr>
        <w:t>approve</w:t>
      </w:r>
      <w:r w:rsidR="00D06B87">
        <w:rPr>
          <w:rFonts w:cstheme="minorHAnsi"/>
        </w:rPr>
        <w:t>d</w:t>
      </w:r>
      <w:r w:rsidR="00D06B87" w:rsidRPr="00D06B87">
        <w:rPr>
          <w:rFonts w:cstheme="minorHAnsi"/>
        </w:rPr>
        <w:t xml:space="preserve"> the procedures and operational mechanisms</w:t>
      </w:r>
      <w:r w:rsidR="00B419D9">
        <w:rPr>
          <w:rFonts w:cstheme="minorHAnsi"/>
        </w:rPr>
        <w:t xml:space="preserve"> by </w:t>
      </w:r>
      <w:r w:rsidR="00D06B87">
        <w:rPr>
          <w:rFonts w:cstheme="minorHAnsi"/>
        </w:rPr>
        <w:t xml:space="preserve">Resolution </w:t>
      </w:r>
      <w:r w:rsidR="00B419D9">
        <w:rPr>
          <w:rFonts w:cstheme="minorHAnsi"/>
        </w:rPr>
        <w:t>2/2011</w:t>
      </w:r>
      <w:r w:rsidR="00D06B87">
        <w:rPr>
          <w:rFonts w:cstheme="minorHAnsi"/>
        </w:rPr>
        <w:t>.</w:t>
      </w:r>
      <w:r w:rsidR="00D96989">
        <w:rPr>
          <w:rFonts w:cstheme="minorHAnsi"/>
        </w:rPr>
        <w:t xml:space="preserve"> Under V. 1, it is noted that e</w:t>
      </w:r>
      <w:r w:rsidRPr="00BB42BE">
        <w:rPr>
          <w:rFonts w:cstheme="minorHAnsi"/>
        </w:rPr>
        <w:t xml:space="preserve">ach Contracting Party is to submit to the </w:t>
      </w:r>
      <w:r w:rsidR="00D96989">
        <w:rPr>
          <w:rFonts w:cstheme="minorHAnsi"/>
        </w:rPr>
        <w:t xml:space="preserve">Compliance </w:t>
      </w:r>
      <w:r w:rsidRPr="00BB42BE">
        <w:rPr>
          <w:rFonts w:cstheme="minorHAnsi"/>
        </w:rPr>
        <w:t>Committee</w:t>
      </w:r>
      <w:r w:rsidR="00B419D9">
        <w:rPr>
          <w:rFonts w:cstheme="minorHAnsi"/>
        </w:rPr>
        <w:t xml:space="preserve">, established by </w:t>
      </w:r>
      <w:r w:rsidR="00B419D9">
        <w:t>the Governing Body by Resolution 3/2006</w:t>
      </w:r>
      <w:r w:rsidRPr="00BB42BE">
        <w:rPr>
          <w:rFonts w:cstheme="minorHAnsi"/>
        </w:rPr>
        <w:t>, thr</w:t>
      </w:r>
      <w:r w:rsidR="00D96989">
        <w:rPr>
          <w:rFonts w:cstheme="minorHAnsi"/>
        </w:rPr>
        <w:t xml:space="preserve">ough the Secretary, a report on </w:t>
      </w:r>
      <w:r w:rsidRPr="00BB42BE">
        <w:rPr>
          <w:rFonts w:cstheme="minorHAnsi"/>
        </w:rPr>
        <w:t>the measures it has taken to implement its obligations under the Int</w:t>
      </w:r>
      <w:r w:rsidR="00D96989">
        <w:rPr>
          <w:rFonts w:cstheme="minorHAnsi"/>
        </w:rPr>
        <w:t xml:space="preserve">ernational Treaty in one of the </w:t>
      </w:r>
      <w:r w:rsidRPr="00BB42BE">
        <w:rPr>
          <w:rFonts w:cstheme="minorHAnsi"/>
        </w:rPr>
        <w:t>six langu</w:t>
      </w:r>
      <w:r w:rsidR="000B12EA">
        <w:rPr>
          <w:rFonts w:cstheme="minorHAnsi"/>
        </w:rPr>
        <w:t xml:space="preserve">ages of the United Nations. Contracting Parties have </w:t>
      </w:r>
      <w:r w:rsidR="00D96989">
        <w:rPr>
          <w:rFonts w:cstheme="minorHAnsi"/>
        </w:rPr>
        <w:t xml:space="preserve">submitted </w:t>
      </w:r>
      <w:r w:rsidR="000B12EA">
        <w:rPr>
          <w:rFonts w:cstheme="minorHAnsi"/>
        </w:rPr>
        <w:t xml:space="preserve">their report by using a standard reporting format approved </w:t>
      </w:r>
      <w:r w:rsidRPr="00BB42BE">
        <w:rPr>
          <w:rFonts w:cstheme="minorHAnsi"/>
        </w:rPr>
        <w:t>by the Governing Bod</w:t>
      </w:r>
      <w:r w:rsidR="000B12EA">
        <w:rPr>
          <w:rFonts w:cstheme="minorHAnsi"/>
        </w:rPr>
        <w:t>y</w:t>
      </w:r>
      <w:r w:rsidRPr="00BB42BE">
        <w:rPr>
          <w:rFonts w:cstheme="minorHAnsi"/>
        </w:rPr>
        <w:t xml:space="preserve">, </w:t>
      </w:r>
      <w:r w:rsidR="000B12EA">
        <w:rPr>
          <w:rFonts w:cstheme="minorHAnsi"/>
        </w:rPr>
        <w:t>sending it to the Secretary</w:t>
      </w:r>
      <w:r w:rsidRPr="00BB42BE">
        <w:rPr>
          <w:rFonts w:cstheme="minorHAnsi"/>
        </w:rPr>
        <w:t>.</w:t>
      </w:r>
      <w:r w:rsidR="00A71015">
        <w:rPr>
          <w:rFonts w:cstheme="minorHAnsi"/>
        </w:rPr>
        <w:t xml:space="preserve"> The Secretariat of the International Treaty prepares an analysis of </w:t>
      </w:r>
      <w:r w:rsidR="00C15FF0">
        <w:rPr>
          <w:rFonts w:cstheme="minorHAnsi"/>
        </w:rPr>
        <w:t xml:space="preserve">the </w:t>
      </w:r>
      <w:r w:rsidR="00A71015">
        <w:rPr>
          <w:rFonts w:cstheme="minorHAnsi"/>
        </w:rPr>
        <w:t xml:space="preserve">reports received from Contracting Parties for consideration by the Compliance Committee. </w:t>
      </w:r>
    </w:p>
    <w:p w14:paraId="5DF2E298" w14:textId="1EA4499C" w:rsidR="00A71015" w:rsidRDefault="00A71015" w:rsidP="00A71015">
      <w:pPr>
        <w:pStyle w:val="MText"/>
        <w:rPr>
          <w:rFonts w:cstheme="minorHAnsi"/>
        </w:rPr>
      </w:pPr>
      <w:r>
        <w:rPr>
          <w:rFonts w:cstheme="minorHAnsi"/>
        </w:rPr>
        <w:t xml:space="preserve">Relevant Resolutions of the Governing Body: </w:t>
      </w:r>
      <w:hyperlink r:id="rId14" w:history="1">
        <w:r w:rsidRPr="008A6046">
          <w:rPr>
            <w:rStyle w:val="Hyperlink"/>
            <w:rFonts w:cstheme="minorHAnsi"/>
          </w:rPr>
          <w:t>http://www.fao.org/3/a-be452e.pdf</w:t>
        </w:r>
      </w:hyperlink>
      <w:r>
        <w:rPr>
          <w:rFonts w:cstheme="minorHAnsi"/>
        </w:rPr>
        <w:t xml:space="preserve"> (Resolution 2/2011); </w:t>
      </w:r>
      <w:hyperlink r:id="rId15" w:history="1">
        <w:r w:rsidR="00CA0E4E" w:rsidRPr="008A6046">
          <w:rPr>
            <w:rStyle w:val="Hyperlink"/>
            <w:rFonts w:cstheme="minorHAnsi"/>
          </w:rPr>
          <w:t>http://www.fao.org/3/a-mn566e.pdf</w:t>
        </w:r>
      </w:hyperlink>
      <w:r w:rsidR="00CA0E4E">
        <w:rPr>
          <w:rFonts w:cstheme="minorHAnsi"/>
        </w:rPr>
        <w:t xml:space="preserve"> (Resolution 9/2013)</w:t>
      </w:r>
    </w:p>
    <w:p w14:paraId="1190A74D" w14:textId="77777777" w:rsidR="009F123B" w:rsidRDefault="009F123B" w:rsidP="00D90A10">
      <w:pPr>
        <w:pStyle w:val="MText"/>
        <w:rPr>
          <w:rFonts w:cstheme="minorHAnsi"/>
        </w:rPr>
      </w:pPr>
    </w:p>
    <w:p w14:paraId="045E66B3" w14:textId="17F5C25D" w:rsidR="00762F9F" w:rsidRPr="00AC5277" w:rsidRDefault="0068105D" w:rsidP="00D90A10">
      <w:pPr>
        <w:pStyle w:val="MText"/>
        <w:rPr>
          <w:rFonts w:cstheme="minorHAnsi"/>
        </w:rPr>
      </w:pPr>
      <w:r>
        <w:rPr>
          <w:rFonts w:cstheme="minorHAnsi"/>
        </w:rPr>
        <w:t>Regarding the number of SMTA</w:t>
      </w:r>
      <w:r w:rsidR="000E233E">
        <w:rPr>
          <w:rFonts w:cstheme="minorHAnsi"/>
        </w:rPr>
        <w:t>s</w:t>
      </w:r>
      <w:r>
        <w:rPr>
          <w:rFonts w:cstheme="minorHAnsi"/>
        </w:rPr>
        <w:t xml:space="preserve">, </w:t>
      </w:r>
      <w:r w:rsidR="00D90A10">
        <w:rPr>
          <w:rFonts w:cstheme="minorHAnsi"/>
        </w:rPr>
        <w:t xml:space="preserve">the Secretariat of the International Treaty has developed a system called </w:t>
      </w:r>
      <w:r w:rsidR="009F123B">
        <w:rPr>
          <w:rFonts w:cstheme="minorHAnsi"/>
        </w:rPr>
        <w:t>“</w:t>
      </w:r>
      <w:r w:rsidR="00D90A10">
        <w:rPr>
          <w:rFonts w:cstheme="minorHAnsi"/>
        </w:rPr>
        <w:t>Easy-SMTA</w:t>
      </w:r>
      <w:r w:rsidR="009F123B">
        <w:rPr>
          <w:rFonts w:cstheme="minorHAnsi"/>
        </w:rPr>
        <w:t>”</w:t>
      </w:r>
      <w:r w:rsidR="00D90A10">
        <w:rPr>
          <w:rFonts w:cstheme="minorHAnsi"/>
        </w:rPr>
        <w:t xml:space="preserve"> (the link </w:t>
      </w:r>
      <w:r w:rsidR="000E233E">
        <w:rPr>
          <w:rFonts w:cstheme="minorHAnsi"/>
        </w:rPr>
        <w:t xml:space="preserve">is </w:t>
      </w:r>
      <w:r w:rsidR="00D90A10">
        <w:rPr>
          <w:rFonts w:cstheme="minorHAnsi"/>
        </w:rPr>
        <w:t xml:space="preserve">provided under </w:t>
      </w:r>
      <w:proofErr w:type="gramStart"/>
      <w:r w:rsidR="00D90A10">
        <w:rPr>
          <w:rFonts w:cstheme="minorHAnsi"/>
        </w:rPr>
        <w:t>3.a</w:t>
      </w:r>
      <w:r w:rsidR="000E233E">
        <w:rPr>
          <w:rFonts w:cstheme="minorHAnsi"/>
        </w:rPr>
        <w:t>,</w:t>
      </w:r>
      <w:r w:rsidR="00D90A10">
        <w:rPr>
          <w:rFonts w:cstheme="minorHAnsi"/>
        </w:rPr>
        <w:t>Data</w:t>
      </w:r>
      <w:proofErr w:type="gramEnd"/>
      <w:r w:rsidR="00D90A10">
        <w:rPr>
          <w:rFonts w:cstheme="minorHAnsi"/>
        </w:rPr>
        <w:t xml:space="preserve"> sources) </w:t>
      </w:r>
      <w:r w:rsidR="00D90A10" w:rsidRPr="00D90A10">
        <w:rPr>
          <w:rFonts w:cstheme="minorHAnsi"/>
        </w:rPr>
        <w:t xml:space="preserve">to assist users </w:t>
      </w:r>
      <w:r w:rsidR="00D90A10">
        <w:rPr>
          <w:rFonts w:cstheme="minorHAnsi"/>
        </w:rPr>
        <w:t xml:space="preserve">of plant genetic resources </w:t>
      </w:r>
      <w:r w:rsidR="00D90A10" w:rsidRPr="00D90A10">
        <w:rPr>
          <w:rFonts w:cstheme="minorHAnsi"/>
        </w:rPr>
        <w:t>w</w:t>
      </w:r>
      <w:r w:rsidR="00D90A10">
        <w:rPr>
          <w:rFonts w:cstheme="minorHAnsi"/>
        </w:rPr>
        <w:t xml:space="preserve">ith </w:t>
      </w:r>
      <w:r w:rsidR="00D90A10" w:rsidRPr="00D90A10">
        <w:rPr>
          <w:rFonts w:cstheme="minorHAnsi"/>
        </w:rPr>
        <w:t>compiling and generating SMTAs in the six official langua</w:t>
      </w:r>
      <w:r w:rsidR="00A6295E">
        <w:rPr>
          <w:rFonts w:cstheme="minorHAnsi"/>
        </w:rPr>
        <w:t>ges of the International Treaty</w:t>
      </w:r>
      <w:r w:rsidR="00D90A10">
        <w:rPr>
          <w:rFonts w:cstheme="minorHAnsi"/>
        </w:rPr>
        <w:t xml:space="preserve"> and reporting on SMTAs</w:t>
      </w:r>
      <w:r w:rsidR="00D90A10" w:rsidRPr="00D90A10">
        <w:rPr>
          <w:rFonts w:cstheme="minorHAnsi"/>
        </w:rPr>
        <w:t xml:space="preserve"> concluded in accordance with the </w:t>
      </w:r>
      <w:r w:rsidR="000E233E">
        <w:rPr>
          <w:rFonts w:cstheme="minorHAnsi"/>
        </w:rPr>
        <w:t xml:space="preserve">guidance provided </w:t>
      </w:r>
      <w:r w:rsidR="00D90A10" w:rsidRPr="00D90A10">
        <w:rPr>
          <w:rFonts w:cstheme="minorHAnsi"/>
        </w:rPr>
        <w:t>by the Governing Body of the International Treaty.</w:t>
      </w:r>
    </w:p>
    <w:p w14:paraId="3D063F4C" w14:textId="77777777" w:rsidR="00F719A8" w:rsidRPr="00AC5277" w:rsidRDefault="00F719A8" w:rsidP="00576CFA">
      <w:pPr>
        <w:pStyle w:val="MText"/>
        <w:rPr>
          <w:rFonts w:cstheme="minorHAnsi"/>
        </w:rPr>
      </w:pPr>
    </w:p>
    <w:p w14:paraId="6149DC94" w14:textId="05781947" w:rsidR="00B31E2C" w:rsidRPr="00AC5277" w:rsidRDefault="00B31E2C" w:rsidP="00AF5ED1">
      <w:pPr>
        <w:pStyle w:val="MHeader"/>
        <w:rPr>
          <w:rFonts w:cstheme="minorHAnsi"/>
        </w:rPr>
      </w:pPr>
      <w:r w:rsidRPr="00AC5277">
        <w:rPr>
          <w:rFonts w:cstheme="minorHAnsi"/>
        </w:rPr>
        <w:t xml:space="preserve">4. Other methodological considerations </w:t>
      </w:r>
      <w:r>
        <w:rPr>
          <w:color w:val="B4B4B4"/>
          <w:sz w:val="20"/>
        </w:rPr>
        <w:t>(OTHER_METHOD)</w:t>
      </w:r>
    </w:p>
    <w:p w14:paraId="1AFA5517" w14:textId="54FD9B10" w:rsidR="00AF5ED1" w:rsidRPr="00AC5277" w:rsidRDefault="00576CFA" w:rsidP="00F719A8">
      <w:pPr>
        <w:pStyle w:val="MHeader2"/>
        <w:rPr>
          <w:rFonts w:cstheme="minorHAnsi"/>
        </w:rPr>
      </w:pPr>
      <w:r w:rsidRPr="00AC5277">
        <w:rPr>
          <w:rFonts w:cstheme="minorHAnsi"/>
        </w:rPr>
        <w:t xml:space="preserve">4.a. Rationale </w:t>
      </w:r>
      <w:r>
        <w:rPr>
          <w:color w:val="B4B4B4"/>
          <w:sz w:val="20"/>
        </w:rPr>
        <w:t>(RATIONALE)</w:t>
      </w:r>
    </w:p>
    <w:p w14:paraId="6DB4F63B"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The Nagoya Protocol, to be operational, requires that certain enabling conditions are met at the national level for its effective implementation.  In particular, countries will need, depending on their specific circumstances, to revise legislative, administrative or policy measures already in place or develop new measures in order to meet the obligations set out under the Protocol.  </w:t>
      </w:r>
    </w:p>
    <w:p w14:paraId="525735C9"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76B73FB3"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In particular, the Nagoya Protocol provides that Parties are to take legislative, administrative or policy measures, as appropriate, to ensure the fair and equitable sharing of the benefits arising from the utilization of genetic resources, including for genetic resources that are held by indigenous communities, and benefits arising from the utilization of traditional knowledge associated with genetic resources. </w:t>
      </w:r>
    </w:p>
    <w:p w14:paraId="6F13B481"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The ABS Clearing-House is a platform for exchanging information on access and benefit-sharing established by Article 14 of the Protocol, The ABS Clearing-House is a key tool for facilitating the implementation of the Nagoya Protocol, by enhancing legal certainty and transparency on procedures for access, and for monitoring the utilization of genetic resources along the value chain. The Protocol requires Parties to make information on legislative, administrative and policy measures available to the ABS Clearing-House. Non-Parties are also encouraged to make this information available in the same </w:t>
      </w:r>
      <w:r w:rsidRPr="00AC5277">
        <w:rPr>
          <w:rFonts w:eastAsia="Times New Roman" w:cstheme="minorHAnsi"/>
          <w:color w:val="4A4A4A"/>
          <w:sz w:val="21"/>
          <w:szCs w:val="21"/>
          <w:lang w:eastAsia="en-GB"/>
        </w:rPr>
        <w:lastRenderedPageBreak/>
        <w:t>manner. The goal is to allow users of genetic resources and associated traditional knowledge to easily find information on the ABS Clearing-House on how to access these resources and knowledge in an organized manner, and all in one convenient location.</w:t>
      </w:r>
    </w:p>
    <w:p w14:paraId="6200AA14"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4E89ACCA" w14:textId="4A2E38FC"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The International Treaty stipulates that Contracting Parties ensure the conformity of its laws, regulations and procedures with their obligations under the International Treaty (Article 4). Under the Multilateral System of Access and Benefit-sharing (Articles 10-13), countries grant each other facilitated access to </w:t>
      </w:r>
      <w:r w:rsidR="000E233E">
        <w:rPr>
          <w:rFonts w:eastAsia="Times New Roman" w:cstheme="minorHAnsi"/>
          <w:color w:val="4A4A4A"/>
          <w:sz w:val="21"/>
          <w:szCs w:val="21"/>
          <w:lang w:eastAsia="en-GB"/>
        </w:rPr>
        <w:t xml:space="preserve">a selection of </w:t>
      </w:r>
      <w:r w:rsidRPr="00AC5277">
        <w:rPr>
          <w:rFonts w:eastAsia="Times New Roman" w:cstheme="minorHAnsi"/>
          <w:color w:val="4A4A4A"/>
          <w:sz w:val="21"/>
          <w:szCs w:val="21"/>
          <w:lang w:eastAsia="en-GB"/>
        </w:rPr>
        <w:t>their plant genetic resources</w:t>
      </w:r>
      <w:r w:rsidR="000E233E">
        <w:rPr>
          <w:rFonts w:eastAsia="Times New Roman" w:cstheme="minorHAnsi"/>
          <w:color w:val="4A4A4A"/>
          <w:sz w:val="21"/>
          <w:szCs w:val="21"/>
          <w:lang w:eastAsia="en-GB"/>
        </w:rPr>
        <w:t xml:space="preserve"> for food and agriculture</w:t>
      </w:r>
      <w:r w:rsidRPr="00AC5277">
        <w:rPr>
          <w:rFonts w:eastAsia="Times New Roman" w:cstheme="minorHAnsi"/>
          <w:color w:val="4A4A4A"/>
          <w:sz w:val="21"/>
          <w:szCs w:val="21"/>
          <w:lang w:eastAsia="en-GB"/>
        </w:rPr>
        <w:t xml:space="preserve">, while users are encouraged to share their benefits with the Multilateral System. Such benefits should primarily flow to farmers in developing countries who promote the conservation and sustainable use of plant genetic resources. </w:t>
      </w:r>
    </w:p>
    <w:p w14:paraId="12B68DF6"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0070E246"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Pursuant to Article 21, the Governing Body adopted the Procedures and operational mechanism to promote compliance and address issues of non-compliance.  Under the monitoring and reporting in the Procedures, each Contracting Party is requested to submit a report on the measures it has taken to implement its obligations under the International Treaty, including the access and benefit-sharing measures. Contracting Parties report using an agreed standard format and through the Online Reporting System on Compliance. Additionally, information on the number of Standard Material Transfer Agreements is gathered from the Data Store of the International Treaty through Easy-SMTA. SMTA is a mandatory contract that Contracting Parties of the International Treaty have agreed to use whenever plant genetic resources falling under the Multilateral System are made available.  </w:t>
      </w:r>
    </w:p>
    <w:p w14:paraId="05A54AFC"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313A57D3" w14:textId="18ECEA34" w:rsidR="00B8111F" w:rsidRDefault="00B8111F" w:rsidP="00B8111F">
      <w:pPr>
        <w:shd w:val="clear" w:color="auto" w:fill="FFFFFF"/>
        <w:spacing w:after="0"/>
        <w:rPr>
          <w:rFonts w:eastAsia="Times New Roman" w:cstheme="minorHAnsi"/>
          <w:color w:val="4A4A4A"/>
          <w:sz w:val="21"/>
          <w:szCs w:val="24"/>
          <w:lang w:eastAsia="en-GB"/>
        </w:rPr>
      </w:pPr>
      <w:r w:rsidRPr="00AC5277">
        <w:rPr>
          <w:rFonts w:eastAsia="Times New Roman" w:cstheme="minorHAnsi"/>
          <w:color w:val="4A4A4A"/>
          <w:sz w:val="21"/>
          <w:szCs w:val="21"/>
          <w:lang w:eastAsia="en-GB"/>
        </w:rPr>
        <w:t>Indicator 15.6.1 directly measures progress made by countries in establishing legislative, administrative or policy frameworks on access and benefit-sharing (ABS</w:t>
      </w:r>
      <w:r w:rsidRPr="00AC5277">
        <w:rPr>
          <w:rFonts w:eastAsia="Times New Roman" w:cstheme="minorHAnsi"/>
          <w:color w:val="4A4A4A"/>
          <w:sz w:val="21"/>
          <w:szCs w:val="24"/>
          <w:lang w:eastAsia="en-GB"/>
        </w:rPr>
        <w:t xml:space="preserve">). By developing their ABS frameworks, countries are contributing to the achievement of SDG Target 15.6 and to the conservation and sustainable use of biological and genetic diversity. Progress in this indicator is assessed through measuring the increase in the number of countries that have adopted ABS legislative, administrative and policy measures and that have made available this information in the ABS Clearing-House and through the Online Reporting System on Compliance of the International Treaty in relation to plant genetic resources for food and agriculture. </w:t>
      </w:r>
    </w:p>
    <w:p w14:paraId="53E18B15" w14:textId="0EA17554" w:rsidR="00631391" w:rsidRDefault="00631391" w:rsidP="00B8111F">
      <w:pPr>
        <w:shd w:val="clear" w:color="auto" w:fill="FFFFFF"/>
        <w:spacing w:after="0"/>
        <w:rPr>
          <w:rFonts w:eastAsia="Times New Roman" w:cstheme="minorHAnsi"/>
          <w:color w:val="4A4A4A"/>
          <w:sz w:val="21"/>
          <w:szCs w:val="24"/>
          <w:lang w:eastAsia="en-GB"/>
        </w:rPr>
      </w:pPr>
    </w:p>
    <w:p w14:paraId="32F8FA6F" w14:textId="77777777" w:rsidR="00631391" w:rsidRPr="00C661FD" w:rsidRDefault="00631391" w:rsidP="00C661FD">
      <w:pPr>
        <w:pStyle w:val="MText"/>
        <w:rPr>
          <w:u w:val="single"/>
        </w:rPr>
      </w:pPr>
      <w:r w:rsidRPr="00C661FD">
        <w:rPr>
          <w:u w:val="single"/>
        </w:rPr>
        <w:t xml:space="preserve">The indicator consists of 4 sub-indicators: </w:t>
      </w:r>
    </w:p>
    <w:p w14:paraId="4B7B7FDB" w14:textId="6D6C62C9" w:rsidR="00016BFF" w:rsidRPr="000F4D94" w:rsidRDefault="00016BFF" w:rsidP="00C661FD">
      <w:pPr>
        <w:pStyle w:val="MText"/>
        <w:numPr>
          <w:ilvl w:val="0"/>
          <w:numId w:val="13"/>
        </w:numPr>
        <w:rPr>
          <w:rFonts w:cstheme="minorHAnsi"/>
        </w:rPr>
      </w:pPr>
      <w:r w:rsidRPr="000F4D94">
        <w:t xml:space="preserve">Countries that are </w:t>
      </w:r>
      <w:r>
        <w:t>C</w:t>
      </w:r>
      <w:r w:rsidRPr="000F4D94">
        <w:t xml:space="preserve">ontracting Parties to the International Treaty on Plant Genetic Resources for Food and </w:t>
      </w:r>
      <w:proofErr w:type="gramStart"/>
      <w:r w:rsidRPr="000F4D94">
        <w:t>Agriculture</w:t>
      </w:r>
      <w:r>
        <w:t>;</w:t>
      </w:r>
      <w:proofErr w:type="gramEnd"/>
    </w:p>
    <w:p w14:paraId="2E6833A7" w14:textId="77777777" w:rsidR="00631391" w:rsidRPr="000F4D94" w:rsidRDefault="00631391" w:rsidP="00C661FD">
      <w:pPr>
        <w:pStyle w:val="MText"/>
        <w:numPr>
          <w:ilvl w:val="0"/>
          <w:numId w:val="13"/>
        </w:numPr>
      </w:pPr>
      <w:r w:rsidRPr="000F4D94">
        <w:t>Countries that are Parties to the Nagoya Protocol</w:t>
      </w:r>
      <w:r>
        <w:t xml:space="preserve"> to the Convention on Biological </w:t>
      </w:r>
      <w:proofErr w:type="gramStart"/>
      <w:r>
        <w:t>Diversity;</w:t>
      </w:r>
      <w:proofErr w:type="gramEnd"/>
    </w:p>
    <w:p w14:paraId="7EE2A1FE" w14:textId="77777777" w:rsidR="00016BFF" w:rsidRPr="000F4D94" w:rsidRDefault="00016BFF" w:rsidP="00C661FD">
      <w:pPr>
        <w:pStyle w:val="MText"/>
        <w:numPr>
          <w:ilvl w:val="0"/>
          <w:numId w:val="13"/>
        </w:numPr>
      </w:pPr>
      <w:r w:rsidRPr="000F4D94">
        <w:t xml:space="preserve">Countries that have legislative, administrative and policy measures reported through the Online Reporting System on Compliance of the International Treaty on Plant Genetic Resources for Food and </w:t>
      </w:r>
      <w:proofErr w:type="gramStart"/>
      <w:r w:rsidRPr="000F4D94">
        <w:t>Agriculture</w:t>
      </w:r>
      <w:r>
        <w:t>;</w:t>
      </w:r>
      <w:proofErr w:type="gramEnd"/>
    </w:p>
    <w:p w14:paraId="33A95325" w14:textId="77777777" w:rsidR="00016BFF" w:rsidRDefault="00016BFF" w:rsidP="00C661FD">
      <w:pPr>
        <w:pStyle w:val="MText"/>
        <w:numPr>
          <w:ilvl w:val="0"/>
          <w:numId w:val="13"/>
        </w:numPr>
      </w:pPr>
      <w:r w:rsidRPr="000F4D94">
        <w:t xml:space="preserve">Countries that have legislative, administrative </w:t>
      </w:r>
      <w:r>
        <w:t>or</w:t>
      </w:r>
      <w:r w:rsidRPr="000F4D94">
        <w:t xml:space="preserve"> policy measures reported to the Access and Benefit-Sharing Clearing-House</w:t>
      </w:r>
      <w:r>
        <w:t xml:space="preserve"> of the Secretariat of the Convention on Biological </w:t>
      </w:r>
      <w:proofErr w:type="gramStart"/>
      <w:r>
        <w:t>Diversity;</w:t>
      </w:r>
      <w:proofErr w:type="gramEnd"/>
    </w:p>
    <w:p w14:paraId="11BE2CB6" w14:textId="77777777" w:rsidR="00631391" w:rsidRDefault="00631391" w:rsidP="00631391">
      <w:pPr>
        <w:shd w:val="clear" w:color="auto" w:fill="FFFFFF"/>
        <w:spacing w:after="0"/>
        <w:rPr>
          <w:rFonts w:eastAsia="Times New Roman" w:cstheme="minorHAnsi"/>
          <w:color w:val="4A4A4A"/>
          <w:sz w:val="21"/>
          <w:szCs w:val="21"/>
          <w:lang w:eastAsia="en-GB"/>
        </w:rPr>
      </w:pPr>
    </w:p>
    <w:p w14:paraId="47C5EA81" w14:textId="6A4CF529" w:rsidR="00631391" w:rsidRPr="000F4D94" w:rsidRDefault="00631391" w:rsidP="00631391">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 xml:space="preserve">An additional sub-indicator provides complementary information on the </w:t>
      </w:r>
      <w:r w:rsidRPr="00DE5E0A">
        <w:rPr>
          <w:rFonts w:eastAsia="Times New Roman" w:cstheme="minorHAnsi"/>
          <w:color w:val="4A4A4A"/>
          <w:sz w:val="21"/>
          <w:szCs w:val="21"/>
          <w:lang w:eastAsia="en-GB"/>
        </w:rPr>
        <w:t>number</w:t>
      </w:r>
      <w:r w:rsidR="00EC63A8">
        <w:rPr>
          <w:rFonts w:eastAsia="Times New Roman" w:cstheme="minorHAnsi"/>
          <w:color w:val="4A4A4A"/>
          <w:sz w:val="21"/>
          <w:szCs w:val="21"/>
          <w:lang w:eastAsia="en-GB"/>
        </w:rPr>
        <w:t>, by country,</w:t>
      </w:r>
      <w:r w:rsidRPr="00DE5E0A">
        <w:rPr>
          <w:rFonts w:eastAsia="Times New Roman" w:cstheme="minorHAnsi"/>
          <w:color w:val="4A4A4A"/>
          <w:sz w:val="21"/>
          <w:szCs w:val="21"/>
          <w:lang w:eastAsia="en-GB"/>
        </w:rPr>
        <w:t xml:space="preserve"> of Standard Material Transfer Agreements (SMTAs) </w:t>
      </w:r>
      <w:proofErr w:type="spellStart"/>
      <w:r w:rsidR="00871696">
        <w:rPr>
          <w:rFonts w:eastAsia="Times New Roman" w:cstheme="minorHAnsi"/>
          <w:color w:val="4A4A4A"/>
          <w:sz w:val="21"/>
          <w:szCs w:val="21"/>
          <w:lang w:eastAsia="en-GB"/>
        </w:rPr>
        <w:t>transfering</w:t>
      </w:r>
      <w:proofErr w:type="spellEnd"/>
      <w:r w:rsidRPr="00DE5E0A">
        <w:rPr>
          <w:rFonts w:eastAsia="Times New Roman" w:cstheme="minorHAnsi"/>
          <w:color w:val="4A4A4A"/>
          <w:sz w:val="21"/>
          <w:szCs w:val="21"/>
          <w:lang w:eastAsia="en-GB"/>
        </w:rPr>
        <w:t xml:space="preserve"> plant genetic resources for food and agriculture</w:t>
      </w:r>
      <w:r>
        <w:rPr>
          <w:rFonts w:eastAsia="Times New Roman" w:cstheme="minorHAnsi"/>
          <w:color w:val="4A4A4A"/>
          <w:sz w:val="21"/>
          <w:szCs w:val="21"/>
          <w:lang w:eastAsia="en-GB"/>
        </w:rPr>
        <w:t>.</w:t>
      </w:r>
    </w:p>
    <w:p w14:paraId="26481A6B" w14:textId="77777777" w:rsidR="00B8111F" w:rsidRPr="00AC5277" w:rsidRDefault="00B8111F" w:rsidP="00B8111F">
      <w:pPr>
        <w:shd w:val="clear" w:color="auto" w:fill="FFFFFF"/>
        <w:spacing w:after="0"/>
        <w:rPr>
          <w:rFonts w:eastAsia="Times New Roman" w:cstheme="minorHAnsi"/>
          <w:color w:val="4A4A4A"/>
          <w:sz w:val="21"/>
          <w:szCs w:val="24"/>
          <w:lang w:eastAsia="en-GB"/>
        </w:rPr>
      </w:pPr>
    </w:p>
    <w:p w14:paraId="2529B069" w14:textId="618DCD10" w:rsidR="00E1050F" w:rsidRPr="00AC5277" w:rsidRDefault="00E1050F" w:rsidP="00F719A8">
      <w:pPr>
        <w:pStyle w:val="MHeader2"/>
        <w:rPr>
          <w:rFonts w:cstheme="minorHAnsi"/>
        </w:rPr>
      </w:pPr>
      <w:r w:rsidRPr="00AC5277">
        <w:rPr>
          <w:rFonts w:cstheme="minorHAnsi"/>
        </w:rPr>
        <w:t xml:space="preserve">4.b. Comment and limitations </w:t>
      </w:r>
      <w:r>
        <w:rPr>
          <w:color w:val="B4B4B4"/>
          <w:sz w:val="20"/>
        </w:rPr>
        <w:t>(REC_USE_LIM)</w:t>
      </w:r>
    </w:p>
    <w:p w14:paraId="21034970"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This indicator can be used to measure progress in adopting ABS legislative, administrative and policy frameworks over time.</w:t>
      </w:r>
    </w:p>
    <w:p w14:paraId="16251E3D"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2905C7C1"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lastRenderedPageBreak/>
        <w:t xml:space="preserve">This indicator does not assess the scope or effectiveness of ABS legislative, administrative and policy frameworks. </w:t>
      </w:r>
    </w:p>
    <w:p w14:paraId="5DCCF66D"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1B16A019"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The notion of framework suggests that there is a complete set of rules established on access and benefit-sharing. However, it is difficult to have a predefined idea of what constitutes an ABS framework. In the context of this indicator, the publication by a country of one or more ABS legislative, administrative and policy measure in the ABS Clearing-House would be considered progress by that country on having an ABS legislative, administrative and policy framework, and through the Online Reporting System on Compliance of the International Treaty in relation to plant genetic resources for food and agriculture.</w:t>
      </w:r>
    </w:p>
    <w:p w14:paraId="398C00AE" w14:textId="77777777" w:rsidR="00EC2915" w:rsidRPr="00AC5277" w:rsidRDefault="00EC2915" w:rsidP="00576CFA">
      <w:pPr>
        <w:pStyle w:val="MText"/>
        <w:rPr>
          <w:rFonts w:cstheme="minorHAnsi"/>
        </w:rPr>
      </w:pPr>
    </w:p>
    <w:p w14:paraId="79EEEE38" w14:textId="75AB172D" w:rsidR="00E1050F" w:rsidRPr="00AC5277" w:rsidRDefault="00E1050F" w:rsidP="00F719A8">
      <w:pPr>
        <w:pStyle w:val="MHeader2"/>
        <w:rPr>
          <w:rFonts w:cstheme="minorHAnsi"/>
        </w:rPr>
      </w:pPr>
      <w:r w:rsidRPr="00AC5277">
        <w:rPr>
          <w:rFonts w:cstheme="minorHAnsi"/>
        </w:rPr>
        <w:t xml:space="preserve">4.c. Method of computation </w:t>
      </w:r>
      <w:r>
        <w:rPr>
          <w:color w:val="B4B4B4"/>
          <w:sz w:val="20"/>
        </w:rPr>
        <w:t>(DATA_COMP)</w:t>
      </w:r>
    </w:p>
    <w:p w14:paraId="569DDBE9" w14:textId="03C09545" w:rsidR="00E06010" w:rsidRPr="002E1591" w:rsidRDefault="00E06010" w:rsidP="00C661FD">
      <w:pPr>
        <w:pStyle w:val="MText"/>
      </w:pPr>
      <w:r>
        <w:rPr>
          <w:rFonts w:cstheme="minorHAnsi"/>
        </w:rPr>
        <w:t>For</w:t>
      </w:r>
      <w:r w:rsidRPr="00E06010">
        <w:t xml:space="preserve"> </w:t>
      </w:r>
      <w:r w:rsidRPr="00424FE0">
        <w:t>CBD ABSCLRHS</w:t>
      </w:r>
      <w:r>
        <w:t xml:space="preserve">, </w:t>
      </w:r>
      <w:r w:rsidR="00D436EB">
        <w:t xml:space="preserve">the indicator is calculated </w:t>
      </w:r>
      <w:r w:rsidR="007D7A6A">
        <w:t>based on</w:t>
      </w:r>
      <w:r w:rsidR="00D436EB">
        <w:t xml:space="preserve"> national </w:t>
      </w:r>
      <w:r w:rsidR="00D436EB" w:rsidRPr="002E1591">
        <w:t xml:space="preserve">information made available to the </w:t>
      </w:r>
      <w:r w:rsidR="00D436EB">
        <w:t>Access</w:t>
      </w:r>
      <w:r w:rsidR="00D436EB" w:rsidRPr="002E1591">
        <w:t xml:space="preserve"> and </w:t>
      </w:r>
      <w:r w:rsidR="00D436EB">
        <w:t>Benefit-sharing Clearing-House</w:t>
      </w:r>
      <w:r w:rsidR="00D436EB">
        <w:rPr>
          <w:rFonts w:cstheme="minorHAnsi"/>
        </w:rPr>
        <w:t>. If a country has published at least one</w:t>
      </w:r>
      <w:r w:rsidR="00D436EB" w:rsidRPr="002E1591">
        <w:t xml:space="preserve"> </w:t>
      </w:r>
      <w:r w:rsidR="00D436EB" w:rsidRPr="00C661FD">
        <w:t xml:space="preserve">legislative, administrative or policy </w:t>
      </w:r>
      <w:r w:rsidR="00D436EB">
        <w:rPr>
          <w:rFonts w:cstheme="minorHAnsi"/>
        </w:rPr>
        <w:t>measure to ensure fair</w:t>
      </w:r>
      <w:r w:rsidR="00D436EB" w:rsidRPr="00C661FD">
        <w:t xml:space="preserve"> and </w:t>
      </w:r>
      <w:r w:rsidR="00D436EB">
        <w:rPr>
          <w:rFonts w:cstheme="minorHAnsi"/>
        </w:rPr>
        <w:t xml:space="preserve">equitable benefit-sharing, </w:t>
      </w:r>
      <w:r w:rsidR="00E52585">
        <w:rPr>
          <w:rFonts w:cstheme="minorHAnsi"/>
        </w:rPr>
        <w:t xml:space="preserve">the data compilers </w:t>
      </w:r>
      <w:r w:rsidR="00223A8F">
        <w:rPr>
          <w:rFonts w:cstheme="minorHAnsi"/>
        </w:rPr>
        <w:t xml:space="preserve">will </w:t>
      </w:r>
      <w:r w:rsidR="00E52585">
        <w:rPr>
          <w:rFonts w:cstheme="minorHAnsi"/>
        </w:rPr>
        <w:t xml:space="preserve">indicate 1 (1=YES). </w:t>
      </w:r>
      <w:r w:rsidR="00D436EB">
        <w:rPr>
          <w:rFonts w:cstheme="minorHAnsi"/>
        </w:rPr>
        <w:t xml:space="preserve"> </w:t>
      </w:r>
      <w:r w:rsidR="006023BE" w:rsidRPr="003C79A5">
        <w:t xml:space="preserve">For ER_CBD_ORSPGRFA, </w:t>
      </w:r>
      <w:r w:rsidR="006023BE" w:rsidRPr="00C661FD">
        <w:t xml:space="preserve">the </w:t>
      </w:r>
      <w:r w:rsidR="006023BE" w:rsidRPr="003C79A5">
        <w:t xml:space="preserve">method of computation is the same but is calculated based </w:t>
      </w:r>
      <w:r w:rsidR="006023BE" w:rsidRPr="00C661FD">
        <w:t xml:space="preserve">on </w:t>
      </w:r>
      <w:r w:rsidR="00223A8F" w:rsidRPr="003C79A5">
        <w:t>information from national reports submitted</w:t>
      </w:r>
      <w:r w:rsidR="006023BE" w:rsidRPr="003C79A5">
        <w:t xml:space="preserve"> to the Secretariat</w:t>
      </w:r>
      <w:r w:rsidR="006023BE" w:rsidRPr="00C661FD">
        <w:t xml:space="preserve"> of the International Treaty </w:t>
      </w:r>
      <w:r w:rsidR="006023BE" w:rsidRPr="003C79A5">
        <w:t>on PGRFA.</w:t>
      </w:r>
    </w:p>
    <w:p w14:paraId="76F010C8" w14:textId="7A0211A9" w:rsidR="005478C5" w:rsidRPr="003C79A5" w:rsidRDefault="005478C5" w:rsidP="00C661FD">
      <w:pPr>
        <w:pStyle w:val="MText"/>
      </w:pPr>
      <w:r w:rsidRPr="003C79A5">
        <w:rPr>
          <w:rFonts w:cstheme="minorHAnsi"/>
        </w:rPr>
        <w:br/>
        <w:t xml:space="preserve">For </w:t>
      </w:r>
      <w:r w:rsidRPr="003C79A5">
        <w:t>ER_CBD_NAGOYA</w:t>
      </w:r>
      <w:r w:rsidR="00EC63A8" w:rsidRPr="003C79A5">
        <w:t xml:space="preserve"> and ER_CBD_PTYPGRFA,</w:t>
      </w:r>
      <w:r w:rsidR="007D7A6A" w:rsidRPr="003C79A5">
        <w:t xml:space="preserve"> the indicator is calculated based on the status of </w:t>
      </w:r>
      <w:r w:rsidR="003C6A89" w:rsidRPr="003C79A5">
        <w:t>ratification</w:t>
      </w:r>
      <w:r w:rsidR="00FA7867" w:rsidRPr="003C79A5">
        <w:t>s to</w:t>
      </w:r>
      <w:r w:rsidR="003C6A89" w:rsidRPr="003C79A5">
        <w:t xml:space="preserve"> the Nagoya Protocol</w:t>
      </w:r>
      <w:r w:rsidR="00FA7867" w:rsidRPr="003C79A5">
        <w:t xml:space="preserve"> </w:t>
      </w:r>
      <w:r w:rsidR="00574D0D" w:rsidRPr="003C79A5">
        <w:t>and the International Treaty</w:t>
      </w:r>
      <w:r w:rsidR="00FA7867" w:rsidRPr="003C79A5">
        <w:t xml:space="preserve"> on PGRFA</w:t>
      </w:r>
      <w:r w:rsidR="001A3571" w:rsidRPr="003C79A5">
        <w:t>, respectively.</w:t>
      </w:r>
      <w:r w:rsidR="00FA7867" w:rsidRPr="003C79A5">
        <w:t xml:space="preserve"> </w:t>
      </w:r>
      <w:r w:rsidR="000C1D61" w:rsidRPr="003C79A5">
        <w:t>If a country has ratified/acceded</w:t>
      </w:r>
      <w:r w:rsidR="006023BE" w:rsidRPr="003C79A5">
        <w:t>/</w:t>
      </w:r>
      <w:r w:rsidR="000C1D61" w:rsidRPr="003C79A5">
        <w:t>accepted the respective treaty, the data compilers will indicate 1 (1=YES).</w:t>
      </w:r>
      <w:r w:rsidR="00574D0D" w:rsidRPr="003C79A5">
        <w:t xml:space="preserve"> </w:t>
      </w:r>
    </w:p>
    <w:p w14:paraId="3C6C822C" w14:textId="29CA9C8A" w:rsidR="001A3571" w:rsidRPr="003C79A5" w:rsidRDefault="001A3571" w:rsidP="00C661FD">
      <w:pPr>
        <w:pStyle w:val="MText"/>
      </w:pPr>
    </w:p>
    <w:p w14:paraId="5CE429B5" w14:textId="593F1DA3" w:rsidR="001A3571" w:rsidRPr="003C79A5" w:rsidRDefault="001A3571" w:rsidP="00C661FD">
      <w:pPr>
        <w:pStyle w:val="MText"/>
        <w:rPr>
          <w:rFonts w:cstheme="minorHAnsi"/>
        </w:rPr>
      </w:pPr>
      <w:r w:rsidRPr="003C79A5">
        <w:t>For ER_CBD_SMTA (complementary sub-indicator),</w:t>
      </w:r>
      <w:r w:rsidR="00486129" w:rsidRPr="003C79A5">
        <w:t xml:space="preserve"> the indicator is calculated</w:t>
      </w:r>
      <w:r w:rsidR="00542C94" w:rsidRPr="003C79A5">
        <w:t xml:space="preserve"> </w:t>
      </w:r>
      <w:r w:rsidR="001F6EA1" w:rsidRPr="003C79A5">
        <w:t>based on information generated through the Easy-SMTA platform</w:t>
      </w:r>
      <w:r w:rsidR="001660A9" w:rsidRPr="003C79A5">
        <w:t xml:space="preserve">. </w:t>
      </w:r>
      <w:r w:rsidR="00DF4288" w:rsidRPr="003C79A5">
        <w:rPr>
          <w:rFonts w:cstheme="minorHAnsi"/>
        </w:rPr>
        <w:t>The data is the number of SMTA reported through the online system</w:t>
      </w:r>
      <w:r w:rsidR="00666DF4" w:rsidRPr="003C79A5">
        <w:rPr>
          <w:rFonts w:cstheme="minorHAnsi"/>
        </w:rPr>
        <w:t xml:space="preserve"> of Easy-SMTA</w:t>
      </w:r>
      <w:r w:rsidR="00DF4288" w:rsidRPr="003C79A5">
        <w:rPr>
          <w:rFonts w:cstheme="minorHAnsi"/>
        </w:rPr>
        <w:t xml:space="preserve"> for each country.</w:t>
      </w:r>
      <w:r w:rsidR="00DF4288" w:rsidRPr="003C79A5">
        <w:t xml:space="preserve"> </w:t>
      </w:r>
      <w:r w:rsidR="001660A9" w:rsidRPr="003C79A5">
        <w:t>SMTA is a mandatory contract that Contracting Parties of the International Treaty have agreed to use whenever plant genetic resources falling under the Multilateral System are made available through transfer.</w:t>
      </w:r>
    </w:p>
    <w:p w14:paraId="6A89839E" w14:textId="77777777" w:rsidR="00576CFA" w:rsidRPr="00AC5277" w:rsidRDefault="00576CFA" w:rsidP="002E1591">
      <w:pPr>
        <w:pStyle w:val="MText"/>
        <w:rPr>
          <w:rFonts w:cstheme="minorHAnsi"/>
        </w:rPr>
      </w:pPr>
    </w:p>
    <w:p w14:paraId="514CE3C0" w14:textId="3F3F7A53" w:rsidR="00E1050F" w:rsidRPr="00AC5277" w:rsidRDefault="00576CFA" w:rsidP="00F719A8">
      <w:pPr>
        <w:pStyle w:val="MHeader2"/>
        <w:rPr>
          <w:rFonts w:cstheme="minorHAnsi"/>
        </w:rPr>
      </w:pPr>
      <w:r w:rsidRPr="00AC5277">
        <w:rPr>
          <w:rFonts w:cstheme="minorHAnsi"/>
        </w:rPr>
        <w:t xml:space="preserve">4.d. Validation </w:t>
      </w:r>
      <w:r>
        <w:rPr>
          <w:color w:val="B4B4B4"/>
          <w:sz w:val="20"/>
        </w:rPr>
        <w:t>(DATA_VALIDATION)</w:t>
      </w:r>
    </w:p>
    <w:p w14:paraId="54BA9B30" w14:textId="290FCC7B" w:rsidR="000E1561" w:rsidRDefault="000E1561" w:rsidP="00576CFA">
      <w:pPr>
        <w:pStyle w:val="MText"/>
        <w:rPr>
          <w:rFonts w:cstheme="minorHAnsi"/>
        </w:rPr>
      </w:pPr>
      <w:r>
        <w:rPr>
          <w:rFonts w:cstheme="minorHAnsi"/>
        </w:rPr>
        <w:t>The sub-indicator data may be validated independently by consulting the following websites:</w:t>
      </w:r>
    </w:p>
    <w:p w14:paraId="66AE9726" w14:textId="4AA3532C" w:rsidR="0041693E" w:rsidRDefault="0041693E" w:rsidP="00C661FD">
      <w:pPr>
        <w:pStyle w:val="MText"/>
        <w:numPr>
          <w:ilvl w:val="0"/>
          <w:numId w:val="10"/>
        </w:numPr>
        <w:ind w:left="360"/>
        <w:rPr>
          <w:rFonts w:cstheme="minorHAnsi"/>
        </w:rPr>
      </w:pPr>
      <w:r w:rsidRPr="005E6A82">
        <w:t>ER_CBD_PTYPGRFA</w:t>
      </w:r>
      <w:r>
        <w:rPr>
          <w:rFonts w:cstheme="minorHAnsi"/>
        </w:rPr>
        <w:t>: Website of the International Treaty on PGRFA</w:t>
      </w:r>
      <w:r w:rsidR="007C67AD">
        <w:rPr>
          <w:rFonts w:cstheme="minorHAnsi"/>
        </w:rPr>
        <w:t xml:space="preserve"> (</w:t>
      </w:r>
      <w:r w:rsidRPr="00E42303">
        <w:rPr>
          <w:rFonts w:cstheme="minorHAnsi"/>
        </w:rPr>
        <w:t>http://www.fao.org/plant-treaty/countries/membership/en/</w:t>
      </w:r>
      <w:r w:rsidR="007C67AD">
        <w:rPr>
          <w:rFonts w:cstheme="minorHAnsi"/>
        </w:rPr>
        <w:t>)</w:t>
      </w:r>
    </w:p>
    <w:p w14:paraId="16770B2E" w14:textId="40DB8C3B" w:rsidR="0041693E" w:rsidRDefault="0041693E" w:rsidP="0041693E">
      <w:pPr>
        <w:pStyle w:val="MText"/>
        <w:numPr>
          <w:ilvl w:val="0"/>
          <w:numId w:val="10"/>
        </w:numPr>
        <w:ind w:left="360"/>
        <w:rPr>
          <w:rFonts w:cstheme="minorHAnsi"/>
        </w:rPr>
      </w:pPr>
      <w:r w:rsidRPr="005E6A82">
        <w:t>ER_CBD_NAGOYA</w:t>
      </w:r>
      <w:r>
        <w:rPr>
          <w:rFonts w:cstheme="minorHAnsi"/>
        </w:rPr>
        <w:t>: United Nations Treaty Collection (</w:t>
      </w:r>
      <w:hyperlink r:id="rId16" w:history="1">
        <w:r w:rsidRPr="000F2252">
          <w:rPr>
            <w:rStyle w:val="Hyperlink"/>
            <w:rFonts w:cstheme="minorHAnsi"/>
          </w:rPr>
          <w:t>https://treaties.un.org/Pages/ViewDetails.aspx?src=TREATY&amp;mtdsg_no=XXVII-8-b&amp;chapter=27</w:t>
        </w:r>
      </w:hyperlink>
      <w:r>
        <w:rPr>
          <w:rFonts w:cstheme="minorHAnsi"/>
        </w:rPr>
        <w:t xml:space="preserve">) </w:t>
      </w:r>
    </w:p>
    <w:p w14:paraId="7C6D6B62" w14:textId="364EC19A" w:rsidR="007D0FE7" w:rsidRDefault="00A40BEB" w:rsidP="0041693E">
      <w:pPr>
        <w:pStyle w:val="MText"/>
        <w:numPr>
          <w:ilvl w:val="0"/>
          <w:numId w:val="11"/>
        </w:numPr>
        <w:ind w:left="360"/>
        <w:rPr>
          <w:rFonts w:cstheme="minorHAnsi"/>
        </w:rPr>
      </w:pPr>
      <w:r w:rsidRPr="00424FE0">
        <w:t>CBD ABSCLRHS</w:t>
      </w:r>
      <w:r>
        <w:rPr>
          <w:rFonts w:cstheme="minorHAnsi"/>
        </w:rPr>
        <w:t xml:space="preserve">: </w:t>
      </w:r>
      <w:r w:rsidR="000E1561">
        <w:rPr>
          <w:rFonts w:cstheme="minorHAnsi"/>
        </w:rPr>
        <w:t>Access and Benefit-Sharing Clearing-House</w:t>
      </w:r>
      <w:r w:rsidR="003C12E2">
        <w:rPr>
          <w:rFonts w:cstheme="minorHAnsi"/>
        </w:rPr>
        <w:t xml:space="preserve"> Country Profiles (</w:t>
      </w:r>
      <w:hyperlink r:id="rId17" w:history="1">
        <w:r w:rsidR="003C12E2" w:rsidRPr="003C12E2">
          <w:rPr>
            <w:rStyle w:val="Hyperlink"/>
            <w:rFonts w:cstheme="minorHAnsi"/>
          </w:rPr>
          <w:t>https://absch.cbd.int/countries</w:t>
        </w:r>
      </w:hyperlink>
      <w:r w:rsidR="003C12E2">
        <w:rPr>
          <w:rFonts w:cstheme="minorHAnsi"/>
        </w:rPr>
        <w:t xml:space="preserve">) </w:t>
      </w:r>
    </w:p>
    <w:p w14:paraId="625AE7E2" w14:textId="7188312C" w:rsidR="0041693E" w:rsidRDefault="00A40BEB" w:rsidP="00C661FD">
      <w:pPr>
        <w:pStyle w:val="MText"/>
        <w:numPr>
          <w:ilvl w:val="0"/>
          <w:numId w:val="12"/>
        </w:numPr>
        <w:ind w:left="360"/>
        <w:rPr>
          <w:rFonts w:cstheme="minorHAnsi"/>
        </w:rPr>
      </w:pPr>
      <w:r w:rsidRPr="00424FE0">
        <w:t>ER_CBD_ORSPGRFA</w:t>
      </w:r>
      <w:r>
        <w:rPr>
          <w:rFonts w:cstheme="minorHAnsi"/>
        </w:rPr>
        <w:t xml:space="preserve">: </w:t>
      </w:r>
      <w:r w:rsidR="0041693E">
        <w:rPr>
          <w:rFonts w:cstheme="minorHAnsi"/>
        </w:rPr>
        <w:t>National Reports of the International Treaty</w:t>
      </w:r>
      <w:r>
        <w:rPr>
          <w:rFonts w:cstheme="minorHAnsi"/>
        </w:rPr>
        <w:t xml:space="preserve"> (</w:t>
      </w:r>
      <w:hyperlink r:id="rId18" w:history="1">
        <w:r w:rsidRPr="00A40BEB">
          <w:rPr>
            <w:rStyle w:val="Hyperlink"/>
            <w:rFonts w:cstheme="minorHAnsi"/>
          </w:rPr>
          <w:t>http://www.fao.org/plant-treaty/areas-of-work/compliance/compliance-reports/en/</w:t>
        </w:r>
      </w:hyperlink>
      <w:r>
        <w:rPr>
          <w:rFonts w:cstheme="minorHAnsi"/>
        </w:rPr>
        <w:t xml:space="preserve">) </w:t>
      </w:r>
      <w:r w:rsidR="0041693E">
        <w:rPr>
          <w:rFonts w:cstheme="minorHAnsi"/>
        </w:rPr>
        <w:t xml:space="preserve"> </w:t>
      </w:r>
    </w:p>
    <w:p w14:paraId="547EC70E" w14:textId="4F329EC7" w:rsidR="0041693E" w:rsidRDefault="0041693E" w:rsidP="0041693E">
      <w:pPr>
        <w:pStyle w:val="MText"/>
        <w:numPr>
          <w:ilvl w:val="0"/>
          <w:numId w:val="12"/>
        </w:numPr>
        <w:ind w:left="360"/>
        <w:rPr>
          <w:rFonts w:cstheme="minorHAnsi"/>
        </w:rPr>
      </w:pPr>
      <w:r w:rsidRPr="0041693E">
        <w:rPr>
          <w:rFonts w:cstheme="minorHAnsi"/>
        </w:rPr>
        <w:t>ER_CBD_SMTA</w:t>
      </w:r>
      <w:r>
        <w:rPr>
          <w:rFonts w:cstheme="minorHAnsi"/>
        </w:rPr>
        <w:t xml:space="preserve">: </w:t>
      </w:r>
      <w:r w:rsidR="00A40BEB">
        <w:rPr>
          <w:rFonts w:cstheme="minorHAnsi"/>
        </w:rPr>
        <w:t>Easy-</w:t>
      </w:r>
      <w:r>
        <w:rPr>
          <w:rFonts w:cstheme="minorHAnsi"/>
        </w:rPr>
        <w:t>SMTA</w:t>
      </w:r>
      <w:r w:rsidR="00A40BEB">
        <w:rPr>
          <w:rFonts w:cstheme="minorHAnsi"/>
        </w:rPr>
        <w:t xml:space="preserve"> (</w:t>
      </w:r>
      <w:hyperlink r:id="rId19" w:history="1">
        <w:r w:rsidR="00A40BEB" w:rsidRPr="00A40BEB">
          <w:rPr>
            <w:rStyle w:val="Hyperlink"/>
            <w:rFonts w:cstheme="minorHAnsi"/>
          </w:rPr>
          <w:t>https://mls.planttreaty.org</w:t>
        </w:r>
      </w:hyperlink>
      <w:r w:rsidR="00A40BEB">
        <w:rPr>
          <w:rFonts w:cstheme="minorHAnsi"/>
        </w:rPr>
        <w:t>)</w:t>
      </w:r>
      <w:r>
        <w:rPr>
          <w:rFonts w:cstheme="minorHAnsi"/>
        </w:rPr>
        <w:t xml:space="preserve"> </w:t>
      </w:r>
    </w:p>
    <w:p w14:paraId="640211AE" w14:textId="77777777" w:rsidR="005E0FF8" w:rsidRDefault="005E0FF8" w:rsidP="003C79A5">
      <w:pPr>
        <w:pStyle w:val="MText"/>
        <w:rPr>
          <w:rFonts w:cstheme="minorHAnsi"/>
        </w:rPr>
      </w:pPr>
    </w:p>
    <w:p w14:paraId="60C8933D" w14:textId="778D0873" w:rsidR="007D0FE7" w:rsidRPr="00C661FD" w:rsidRDefault="00A40BEB" w:rsidP="002E1591">
      <w:pPr>
        <w:pStyle w:val="MText"/>
      </w:pPr>
      <w:r w:rsidRPr="00C661FD">
        <w:t>As these sub-indicators are based on nationally</w:t>
      </w:r>
      <w:r w:rsidR="00C421D8" w:rsidRPr="00C661FD">
        <w:t xml:space="preserve"> </w:t>
      </w:r>
      <w:r w:rsidRPr="00C661FD">
        <w:t>reported information</w:t>
      </w:r>
      <w:r w:rsidR="00F67109" w:rsidRPr="00C661FD">
        <w:t xml:space="preserve">, there is no </w:t>
      </w:r>
      <w:r w:rsidR="00C421D8" w:rsidRPr="00C661FD">
        <w:t xml:space="preserve">additional </w:t>
      </w:r>
      <w:r w:rsidR="00F67109" w:rsidRPr="00C661FD">
        <w:t>consultation or validation process in place</w:t>
      </w:r>
      <w:r w:rsidR="00C421D8" w:rsidRPr="00C661FD">
        <w:t xml:space="preserve"> with national focal points or authorities.</w:t>
      </w:r>
    </w:p>
    <w:p w14:paraId="418EA1DF" w14:textId="77777777" w:rsidR="004F3597" w:rsidRPr="00AC5277" w:rsidRDefault="004F3597" w:rsidP="00576CFA">
      <w:pPr>
        <w:pStyle w:val="MText"/>
        <w:rPr>
          <w:rFonts w:cstheme="minorHAnsi"/>
        </w:rPr>
      </w:pPr>
    </w:p>
    <w:p w14:paraId="2CF2A343" w14:textId="0A7F0CBE" w:rsidR="00E1050F" w:rsidRPr="00AC5277" w:rsidRDefault="00E1050F" w:rsidP="00F719A8">
      <w:pPr>
        <w:pStyle w:val="MHeader2"/>
        <w:rPr>
          <w:rFonts w:cstheme="minorHAnsi"/>
        </w:rPr>
      </w:pPr>
      <w:r w:rsidRPr="00AC5277">
        <w:rPr>
          <w:rFonts w:cstheme="minorHAnsi"/>
        </w:rPr>
        <w:t xml:space="preserve">4.e. Adjustments </w:t>
      </w:r>
      <w:r>
        <w:rPr>
          <w:color w:val="B4B4B4"/>
          <w:sz w:val="20"/>
        </w:rPr>
        <w:t>(ADJUSTMENT)</w:t>
      </w:r>
    </w:p>
    <w:p w14:paraId="041265FD" w14:textId="786EA93B" w:rsidR="00C73EFF" w:rsidRDefault="00306495" w:rsidP="00576CFA">
      <w:pPr>
        <w:pStyle w:val="MText"/>
        <w:rPr>
          <w:rFonts w:cstheme="minorHAnsi"/>
        </w:rPr>
      </w:pPr>
      <w:r>
        <w:rPr>
          <w:rFonts w:cstheme="minorHAnsi"/>
        </w:rPr>
        <w:lastRenderedPageBreak/>
        <w:t xml:space="preserve">For </w:t>
      </w:r>
      <w:r w:rsidRPr="00424FE0">
        <w:t>CBD ABSCLRHS</w:t>
      </w:r>
      <w:r>
        <w:rPr>
          <w:rFonts w:cstheme="minorHAnsi"/>
        </w:rPr>
        <w:t xml:space="preserve"> and </w:t>
      </w:r>
      <w:r w:rsidRPr="005E6A82">
        <w:t>ER_CBD_NAGOYA</w:t>
      </w:r>
      <w:r w:rsidR="00191631">
        <w:t>, and</w:t>
      </w:r>
      <w:r w:rsidR="00191631" w:rsidRPr="00191631">
        <w:t xml:space="preserve"> </w:t>
      </w:r>
      <w:r w:rsidR="00191631" w:rsidRPr="005E6A82">
        <w:t>ER_CBD_PTYPGRFA</w:t>
      </w:r>
      <w:r w:rsidR="00191631">
        <w:t xml:space="preserve"> and </w:t>
      </w:r>
      <w:r w:rsidR="00191631" w:rsidRPr="00424FE0">
        <w:t>ER_CBD_ORSPGRFA</w:t>
      </w:r>
      <w:r>
        <w:rPr>
          <w:rFonts w:cstheme="minorHAnsi"/>
        </w:rPr>
        <w:t xml:space="preserve">, </w:t>
      </w:r>
      <w:r w:rsidR="002F576F">
        <w:rPr>
          <w:rFonts w:cstheme="minorHAnsi"/>
        </w:rPr>
        <w:t xml:space="preserve">there is a need </w:t>
      </w:r>
      <w:r w:rsidR="00996A43">
        <w:rPr>
          <w:rFonts w:cstheme="minorHAnsi"/>
        </w:rPr>
        <w:t>for the data compiler</w:t>
      </w:r>
      <w:r w:rsidR="003C310E">
        <w:rPr>
          <w:rFonts w:cstheme="minorHAnsi"/>
        </w:rPr>
        <w:t>s</w:t>
      </w:r>
      <w:r w:rsidR="00996A43">
        <w:rPr>
          <w:rFonts w:cstheme="minorHAnsi"/>
        </w:rPr>
        <w:t xml:space="preserve"> </w:t>
      </w:r>
      <w:r w:rsidR="002F576F">
        <w:rPr>
          <w:rFonts w:cstheme="minorHAnsi"/>
        </w:rPr>
        <w:t>to subtract the European Union from</w:t>
      </w:r>
      <w:r w:rsidR="0051354A">
        <w:rPr>
          <w:rFonts w:cstheme="minorHAnsi"/>
        </w:rPr>
        <w:t xml:space="preserve"> regional and global </w:t>
      </w:r>
      <w:r w:rsidR="002F576F">
        <w:rPr>
          <w:rFonts w:cstheme="minorHAnsi"/>
        </w:rPr>
        <w:t>aggregation</w:t>
      </w:r>
      <w:r w:rsidR="0051354A">
        <w:rPr>
          <w:rFonts w:cstheme="minorHAnsi"/>
        </w:rPr>
        <w:t>s</w:t>
      </w:r>
      <w:r w:rsidR="002F576F">
        <w:rPr>
          <w:rFonts w:cstheme="minorHAnsi"/>
        </w:rPr>
        <w:t>. The European Union is a Party to the Nagoya Protocol</w:t>
      </w:r>
      <w:r w:rsidR="00191631">
        <w:rPr>
          <w:rFonts w:cstheme="minorHAnsi"/>
        </w:rPr>
        <w:t xml:space="preserve"> and the International </w:t>
      </w:r>
      <w:proofErr w:type="gramStart"/>
      <w:r w:rsidR="00191631">
        <w:rPr>
          <w:rFonts w:cstheme="minorHAnsi"/>
        </w:rPr>
        <w:t>Treaty</w:t>
      </w:r>
      <w:r w:rsidR="00116955">
        <w:rPr>
          <w:rFonts w:cstheme="minorHAnsi"/>
        </w:rPr>
        <w:t>, but</w:t>
      </w:r>
      <w:proofErr w:type="gramEnd"/>
      <w:r w:rsidR="00116955">
        <w:rPr>
          <w:rFonts w:cstheme="minorHAnsi"/>
        </w:rPr>
        <w:t xml:space="preserve"> </w:t>
      </w:r>
      <w:r w:rsidR="0051354A">
        <w:rPr>
          <w:rFonts w:cstheme="minorHAnsi"/>
        </w:rPr>
        <w:t>is not counted as a country</w:t>
      </w:r>
      <w:r w:rsidR="002F576F">
        <w:rPr>
          <w:rFonts w:cstheme="minorHAnsi"/>
        </w:rPr>
        <w:t xml:space="preserve"> </w:t>
      </w:r>
      <w:r w:rsidR="00A64F64">
        <w:rPr>
          <w:rFonts w:cstheme="minorHAnsi"/>
        </w:rPr>
        <w:t>for th</w:t>
      </w:r>
      <w:r w:rsidR="001266CD">
        <w:rPr>
          <w:rFonts w:cstheme="minorHAnsi"/>
        </w:rPr>
        <w:t>ese</w:t>
      </w:r>
      <w:r w:rsidR="00A64F64">
        <w:rPr>
          <w:rFonts w:cstheme="minorHAnsi"/>
        </w:rPr>
        <w:t xml:space="preserve"> indicator</w:t>
      </w:r>
      <w:r w:rsidR="001266CD">
        <w:rPr>
          <w:rFonts w:cstheme="minorHAnsi"/>
        </w:rPr>
        <w:t>s</w:t>
      </w:r>
      <w:r w:rsidR="00A64F64">
        <w:rPr>
          <w:rFonts w:cstheme="minorHAnsi"/>
        </w:rPr>
        <w:t>.</w:t>
      </w:r>
    </w:p>
    <w:p w14:paraId="187668C8" w14:textId="119E8FDC" w:rsidR="00191631" w:rsidRDefault="00191631" w:rsidP="00576CFA">
      <w:pPr>
        <w:pStyle w:val="MText"/>
        <w:rPr>
          <w:rFonts w:cstheme="minorHAnsi"/>
        </w:rPr>
      </w:pPr>
    </w:p>
    <w:p w14:paraId="0B019E2D" w14:textId="2CA63235" w:rsidR="00191631" w:rsidRDefault="00191631" w:rsidP="00576CFA">
      <w:pPr>
        <w:pStyle w:val="MText"/>
        <w:rPr>
          <w:rFonts w:cstheme="minorHAnsi"/>
        </w:rPr>
      </w:pPr>
      <w:r>
        <w:rPr>
          <w:rFonts w:cstheme="minorHAnsi"/>
        </w:rPr>
        <w:t xml:space="preserve">For </w:t>
      </w:r>
      <w:r w:rsidRPr="0041693E">
        <w:rPr>
          <w:rFonts w:cstheme="minorHAnsi"/>
        </w:rPr>
        <w:t>ER_CBD_SMTA</w:t>
      </w:r>
      <w:r>
        <w:rPr>
          <w:rFonts w:cstheme="minorHAnsi"/>
        </w:rPr>
        <w:t>,</w:t>
      </w:r>
      <w:r w:rsidR="008963F0">
        <w:rPr>
          <w:rFonts w:cstheme="minorHAnsi"/>
        </w:rPr>
        <w:t xml:space="preserve"> </w:t>
      </w:r>
      <w:r w:rsidR="00EF5E9D">
        <w:rPr>
          <w:rFonts w:cstheme="minorHAnsi"/>
        </w:rPr>
        <w:t xml:space="preserve">the </w:t>
      </w:r>
      <w:r w:rsidR="00EF5E9D" w:rsidRPr="000632AF">
        <w:rPr>
          <w:rFonts w:cstheme="minorHAnsi"/>
        </w:rPr>
        <w:t xml:space="preserve">SMTA is a private contract, therefore it is reported by users, not by a government focal point. Users have also a two-year period for reporting their SMTAs, and therefore the number reported for a specific year would be fixed in two years (may also change during the two years). </w:t>
      </w:r>
      <w:r>
        <w:rPr>
          <w:rFonts w:cstheme="minorHAnsi"/>
        </w:rPr>
        <w:t xml:space="preserve"> </w:t>
      </w:r>
    </w:p>
    <w:p w14:paraId="50B23A7B" w14:textId="77777777" w:rsidR="00C73EFF" w:rsidRPr="00AC5277" w:rsidRDefault="00C73EFF" w:rsidP="00576CFA">
      <w:pPr>
        <w:pStyle w:val="MText"/>
        <w:rPr>
          <w:rFonts w:cstheme="minorHAnsi"/>
        </w:rPr>
      </w:pPr>
    </w:p>
    <w:p w14:paraId="17735630" w14:textId="3387C27D" w:rsidR="00E1050F" w:rsidRPr="00AC5277" w:rsidRDefault="00576CFA" w:rsidP="00F719A8">
      <w:pPr>
        <w:pStyle w:val="MHeader2"/>
        <w:rPr>
          <w:rFonts w:cstheme="minorHAnsi"/>
        </w:rPr>
      </w:pPr>
      <w:r w:rsidRPr="00AC5277">
        <w:rPr>
          <w:rFonts w:cstheme="minorHAnsi"/>
        </w:rPr>
        <w:t xml:space="preserve">4.f. Treatment of missing values (i) at country level and (ii) at regional level </w:t>
      </w:r>
      <w:r>
        <w:rPr>
          <w:color w:val="B4B4B4"/>
          <w:sz w:val="20"/>
        </w:rPr>
        <w:t>(IMPUTATION)</w:t>
      </w:r>
    </w:p>
    <w:p w14:paraId="58DCB865" w14:textId="34733337" w:rsidR="00D51E7C" w:rsidRPr="00D41521" w:rsidRDefault="00D51E7C" w:rsidP="00D51E7C">
      <w:pPr>
        <w:pStyle w:val="MText"/>
        <w:rPr>
          <w:rFonts w:cstheme="minorHAnsi"/>
          <w:b/>
          <w:bCs/>
        </w:rPr>
      </w:pPr>
      <w:r w:rsidRPr="00D41521">
        <w:rPr>
          <w:rFonts w:cstheme="minorHAnsi"/>
          <w:b/>
          <w:bCs/>
        </w:rPr>
        <w:t>•</w:t>
      </w:r>
      <w:r w:rsidRPr="00D41521">
        <w:rPr>
          <w:rFonts w:cstheme="minorHAnsi"/>
          <w:b/>
          <w:bCs/>
        </w:rPr>
        <w:tab/>
        <w:t>At country level</w:t>
      </w:r>
    </w:p>
    <w:p w14:paraId="42809F32" w14:textId="2FB7422F" w:rsidR="00620028" w:rsidRPr="000632AF" w:rsidRDefault="00F9625B" w:rsidP="00D51E7C">
      <w:pPr>
        <w:pStyle w:val="MText"/>
        <w:rPr>
          <w:rFonts w:cstheme="minorHAnsi"/>
        </w:rPr>
      </w:pPr>
      <w:r w:rsidRPr="000632AF">
        <w:rPr>
          <w:rFonts w:cstheme="minorHAnsi"/>
        </w:rPr>
        <w:t>Regarding the number of SMTA, t</w:t>
      </w:r>
      <w:r w:rsidR="002738DC" w:rsidRPr="000632AF">
        <w:rPr>
          <w:rFonts w:cstheme="minorHAnsi"/>
        </w:rPr>
        <w:t xml:space="preserve">he </w:t>
      </w:r>
      <w:r w:rsidRPr="000632AF">
        <w:rPr>
          <w:rFonts w:cstheme="minorHAnsi"/>
        </w:rPr>
        <w:t xml:space="preserve">data is the number of SMTA </w:t>
      </w:r>
      <w:r w:rsidR="002738DC" w:rsidRPr="000632AF">
        <w:rPr>
          <w:rFonts w:cstheme="minorHAnsi"/>
        </w:rPr>
        <w:t>reported through the online system</w:t>
      </w:r>
      <w:r w:rsidR="00D17F38" w:rsidRPr="000632AF">
        <w:rPr>
          <w:rFonts w:cstheme="minorHAnsi"/>
        </w:rPr>
        <w:t xml:space="preserve"> of the International Treaty</w:t>
      </w:r>
      <w:r w:rsidR="0097025B" w:rsidRPr="000632AF">
        <w:rPr>
          <w:rFonts w:cstheme="minorHAnsi"/>
        </w:rPr>
        <w:t xml:space="preserve"> (Easy-SMTA)</w:t>
      </w:r>
      <w:r w:rsidR="002738DC" w:rsidRPr="000632AF">
        <w:rPr>
          <w:rFonts w:cstheme="minorHAnsi"/>
        </w:rPr>
        <w:t xml:space="preserve"> for each country, while the actual number of SMTA </w:t>
      </w:r>
      <w:r w:rsidRPr="000632AF">
        <w:rPr>
          <w:rFonts w:cstheme="minorHAnsi"/>
        </w:rPr>
        <w:t xml:space="preserve">issued </w:t>
      </w:r>
      <w:r w:rsidR="00D17F38" w:rsidRPr="000632AF">
        <w:rPr>
          <w:rFonts w:cstheme="minorHAnsi"/>
        </w:rPr>
        <w:t xml:space="preserve">(signed) </w:t>
      </w:r>
      <w:r w:rsidR="002738DC" w:rsidRPr="000632AF">
        <w:rPr>
          <w:rFonts w:cstheme="minorHAnsi"/>
        </w:rPr>
        <w:t>could be higher</w:t>
      </w:r>
      <w:r w:rsidRPr="000632AF">
        <w:rPr>
          <w:rFonts w:cstheme="minorHAnsi"/>
        </w:rPr>
        <w:t>,</w:t>
      </w:r>
      <w:r w:rsidR="00B61FBE" w:rsidRPr="000632AF">
        <w:rPr>
          <w:rFonts w:cstheme="minorHAnsi"/>
        </w:rPr>
        <w:t xml:space="preserve"> as </w:t>
      </w:r>
      <w:r w:rsidR="002738DC" w:rsidRPr="000632AF">
        <w:rPr>
          <w:rFonts w:cstheme="minorHAnsi"/>
        </w:rPr>
        <w:t>all SMTA</w:t>
      </w:r>
      <w:r w:rsidRPr="000632AF">
        <w:rPr>
          <w:rFonts w:cstheme="minorHAnsi"/>
        </w:rPr>
        <w:t>s</w:t>
      </w:r>
      <w:r w:rsidR="002738DC" w:rsidRPr="000632AF">
        <w:rPr>
          <w:rFonts w:cstheme="minorHAnsi"/>
        </w:rPr>
        <w:t xml:space="preserve"> </w:t>
      </w:r>
      <w:r w:rsidR="00324635" w:rsidRPr="000632AF">
        <w:rPr>
          <w:rFonts w:cstheme="minorHAnsi"/>
        </w:rPr>
        <w:t xml:space="preserve">signed </w:t>
      </w:r>
      <w:r w:rsidR="002738DC" w:rsidRPr="000632AF">
        <w:rPr>
          <w:rFonts w:cstheme="minorHAnsi"/>
        </w:rPr>
        <w:t>may not be reported</w:t>
      </w:r>
      <w:r w:rsidRPr="000632AF">
        <w:rPr>
          <w:rFonts w:cstheme="minorHAnsi"/>
        </w:rPr>
        <w:t xml:space="preserve"> through the online system and therefore not recorded</w:t>
      </w:r>
      <w:r w:rsidR="002738DC" w:rsidRPr="000632AF">
        <w:rPr>
          <w:rFonts w:cstheme="minorHAnsi"/>
        </w:rPr>
        <w:t xml:space="preserve">. </w:t>
      </w:r>
    </w:p>
    <w:p w14:paraId="1B6182A5" w14:textId="54983DC5" w:rsidR="00D51E7C" w:rsidRPr="000632AF" w:rsidRDefault="00D51E7C" w:rsidP="00D51E7C">
      <w:pPr>
        <w:pStyle w:val="MText"/>
        <w:rPr>
          <w:rFonts w:cstheme="minorHAnsi"/>
        </w:rPr>
      </w:pPr>
    </w:p>
    <w:p w14:paraId="3DDC33BC" w14:textId="4C3D62C6" w:rsidR="00327A90" w:rsidRPr="007554B8" w:rsidRDefault="00D51E7C" w:rsidP="007554B8">
      <w:pPr>
        <w:pStyle w:val="MText"/>
        <w:rPr>
          <w:rFonts w:cstheme="minorHAnsi"/>
          <w:b/>
          <w:bCs/>
        </w:rPr>
      </w:pPr>
      <w:r w:rsidRPr="00D41521">
        <w:rPr>
          <w:rFonts w:cstheme="minorHAnsi"/>
          <w:b/>
          <w:bCs/>
        </w:rPr>
        <w:t>•</w:t>
      </w:r>
      <w:r w:rsidRPr="00D41521">
        <w:rPr>
          <w:rFonts w:cstheme="minorHAnsi"/>
          <w:b/>
          <w:bCs/>
        </w:rPr>
        <w:tab/>
        <w:t>At regional and global levels</w:t>
      </w:r>
    </w:p>
    <w:p w14:paraId="04748E1F" w14:textId="77777777" w:rsidR="00D51E7C" w:rsidRPr="00AC5277" w:rsidRDefault="00D51E7C" w:rsidP="00D51E7C">
      <w:pPr>
        <w:pStyle w:val="MText"/>
        <w:rPr>
          <w:rFonts w:cstheme="minorHAnsi"/>
        </w:rPr>
      </w:pPr>
    </w:p>
    <w:p w14:paraId="51FCD280" w14:textId="0DAB30E3" w:rsidR="00E1050F" w:rsidRPr="00AC5277" w:rsidRDefault="00E1050F" w:rsidP="00F719A8">
      <w:pPr>
        <w:pStyle w:val="MHeader2"/>
        <w:rPr>
          <w:rFonts w:cstheme="minorHAnsi"/>
        </w:rPr>
      </w:pPr>
      <w:r w:rsidRPr="00AC5277">
        <w:rPr>
          <w:rFonts w:cstheme="minorHAnsi"/>
        </w:rPr>
        <w:t xml:space="preserve">4.g. Regional aggregations </w:t>
      </w:r>
      <w:r>
        <w:rPr>
          <w:color w:val="B4B4B4"/>
          <w:sz w:val="20"/>
        </w:rPr>
        <w:t>(REG_AGG)</w:t>
      </w:r>
    </w:p>
    <w:p w14:paraId="51FA3314" w14:textId="1423E725" w:rsidR="00A455F5" w:rsidRDefault="00A455F5" w:rsidP="00576CFA">
      <w:pPr>
        <w:pStyle w:val="MText"/>
      </w:pPr>
      <w:r>
        <w:t xml:space="preserve">For </w:t>
      </w:r>
      <w:r w:rsidRPr="00424FE0">
        <w:t>CBD ABSCLRHS</w:t>
      </w:r>
      <w:r w:rsidR="009B2F89">
        <w:t xml:space="preserve"> and </w:t>
      </w:r>
      <w:r w:rsidR="009B2F89" w:rsidRPr="005E6A82">
        <w:t>ER_CBD_NAGOYA</w:t>
      </w:r>
      <w:r>
        <w:t>, regional aggregations can be generated</w:t>
      </w:r>
      <w:r w:rsidR="00803C27">
        <w:t xml:space="preserve"> using the</w:t>
      </w:r>
      <w:r w:rsidR="00587895">
        <w:t xml:space="preserve"> appropriate</w:t>
      </w:r>
      <w:r w:rsidR="00803C27">
        <w:t xml:space="preserve"> filters on the Access and Benefit-sharing Clearing-House Country Profiles page</w:t>
      </w:r>
      <w:r w:rsidR="000845E0">
        <w:t xml:space="preserve">. </w:t>
      </w:r>
      <w:r w:rsidR="00587895">
        <w:t>These filters follow UN regional groupings.</w:t>
      </w:r>
      <w:r w:rsidR="00F879B9">
        <w:t xml:space="preserve"> </w:t>
      </w:r>
      <w:r w:rsidR="000D3181" w:rsidRPr="005E6A82">
        <w:t>ER_CBD_PTYPGRFA</w:t>
      </w:r>
      <w:r w:rsidR="000D3181">
        <w:t xml:space="preserve">, </w:t>
      </w:r>
      <w:r w:rsidR="000D3181" w:rsidRPr="00424FE0">
        <w:t>ER_CBD_ORSPGRFA</w:t>
      </w:r>
      <w:r w:rsidR="000D3181">
        <w:t xml:space="preserve"> and </w:t>
      </w:r>
      <w:r w:rsidR="000D3181" w:rsidRPr="0041693E">
        <w:rPr>
          <w:rFonts w:cstheme="minorHAnsi"/>
        </w:rPr>
        <w:t>ER_CBD_SMTA</w:t>
      </w:r>
      <w:r w:rsidR="000D3181">
        <w:rPr>
          <w:rFonts w:cstheme="minorHAnsi"/>
        </w:rPr>
        <w:t xml:space="preserve">, regionally aggregated data are provided every year as required by the UN SDG </w:t>
      </w:r>
      <w:r w:rsidR="005F2C97">
        <w:rPr>
          <w:rFonts w:cstheme="minorHAnsi"/>
        </w:rPr>
        <w:t xml:space="preserve">indicator </w:t>
      </w:r>
      <w:r w:rsidR="000D3181">
        <w:rPr>
          <w:rFonts w:cstheme="minorHAnsi"/>
        </w:rPr>
        <w:t xml:space="preserve">reporting.  </w:t>
      </w:r>
    </w:p>
    <w:p w14:paraId="11EFE7E9" w14:textId="77777777" w:rsidR="000845E0" w:rsidRPr="00AC5277" w:rsidRDefault="000845E0" w:rsidP="00576CFA">
      <w:pPr>
        <w:pStyle w:val="MText"/>
        <w:rPr>
          <w:rFonts w:cstheme="minorHAnsi"/>
        </w:rPr>
      </w:pPr>
    </w:p>
    <w:p w14:paraId="71213FF2" w14:textId="52980C15" w:rsidR="00E1050F" w:rsidRPr="00AC5277" w:rsidRDefault="00576CFA" w:rsidP="00F719A8">
      <w:pPr>
        <w:pStyle w:val="MHeader2"/>
        <w:rPr>
          <w:rFonts w:cstheme="minorHAnsi"/>
        </w:rPr>
      </w:pPr>
      <w:r w:rsidRPr="00AC5277">
        <w:rPr>
          <w:rFonts w:cstheme="minorHAnsi"/>
        </w:rPr>
        <w:t xml:space="preserve">4.h. Methods and guidance available to countries for the compilation of the data at the national level </w:t>
      </w:r>
      <w:r>
        <w:rPr>
          <w:color w:val="B4B4B4"/>
          <w:sz w:val="20"/>
        </w:rPr>
        <w:t>(DOC_METHOD)</w:t>
      </w:r>
    </w:p>
    <w:p w14:paraId="541342FB" w14:textId="317294A4" w:rsidR="007D237A" w:rsidRDefault="007D237A" w:rsidP="00576CFA">
      <w:pPr>
        <w:pStyle w:val="MText"/>
        <w:rPr>
          <w:rFonts w:cstheme="minorHAnsi"/>
        </w:rPr>
      </w:pPr>
      <w:r>
        <w:rPr>
          <w:rFonts w:cstheme="minorHAnsi"/>
        </w:rPr>
        <w:t xml:space="preserve">The Nagoya Protocol requires its Parties to make certain types of information available to the Access and Benefit-sharing Clearing-House, including information on </w:t>
      </w:r>
      <w:r w:rsidR="0049122F">
        <w:rPr>
          <w:rFonts w:cstheme="minorHAnsi"/>
        </w:rPr>
        <w:t xml:space="preserve">legislative, administrative or policy measures in place on access and benefit-sharing. Further information on this requirement and on steps to publish information on the Clearing-House is available at: </w:t>
      </w:r>
      <w:r w:rsidR="00923A53">
        <w:rPr>
          <w:rFonts w:cstheme="minorHAnsi"/>
        </w:rPr>
        <w:t xml:space="preserve"> </w:t>
      </w:r>
      <w:hyperlink r:id="rId20" w:history="1">
        <w:r w:rsidR="00923A53" w:rsidRPr="000F2252">
          <w:rPr>
            <w:rStyle w:val="Hyperlink"/>
            <w:rFonts w:cstheme="minorHAnsi"/>
          </w:rPr>
          <w:t>https://absch.cbd.int/en/kb/tags/getting-started/Getting-started-using-the-ABS-Clearing-House-for-Governments/5bbe211fb899670001de9bb9</w:t>
        </w:r>
      </w:hyperlink>
      <w:r w:rsidR="00923A53">
        <w:rPr>
          <w:rFonts w:cstheme="minorHAnsi"/>
        </w:rPr>
        <w:t xml:space="preserve">. </w:t>
      </w:r>
    </w:p>
    <w:p w14:paraId="5FC0977A" w14:textId="5CFA4954" w:rsidR="004A11CA" w:rsidRDefault="00146BC4" w:rsidP="00576CFA">
      <w:pPr>
        <w:pStyle w:val="MText"/>
        <w:rPr>
          <w:rFonts w:cstheme="minorHAnsi"/>
        </w:rPr>
      </w:pPr>
      <w:r>
        <w:rPr>
          <w:rFonts w:cstheme="minorHAnsi"/>
        </w:rPr>
        <w:t>The International Treaty has the P</w:t>
      </w:r>
      <w:r w:rsidRPr="00146BC4">
        <w:rPr>
          <w:rFonts w:cstheme="minorHAnsi"/>
        </w:rPr>
        <w:t>rocedures to promote compliance and address issues of non-compliance.  Under the monitoring and reporting in the Procedures, each Contracting Party is requested to submit a report on the measures it has taken to implement its obligations under the International Treaty, including the access and benefit-sharing measures. Contracting Parties report using an agreed standard format and through the Online Reporting System on Compliance.</w:t>
      </w:r>
      <w:r w:rsidR="004A11CA">
        <w:rPr>
          <w:rFonts w:cstheme="minorHAnsi"/>
        </w:rPr>
        <w:t xml:space="preserve"> The below link on the website of the International Treaty provides the relevant information on how to report under the Compliance Procedures. </w:t>
      </w:r>
    </w:p>
    <w:p w14:paraId="13BD1F23" w14:textId="1835B72A" w:rsidR="00146BC4" w:rsidRDefault="004A11CA" w:rsidP="00576CFA">
      <w:pPr>
        <w:pStyle w:val="MText"/>
        <w:rPr>
          <w:rFonts w:cstheme="minorHAnsi"/>
        </w:rPr>
      </w:pPr>
      <w:r w:rsidRPr="004A11CA">
        <w:rPr>
          <w:rFonts w:cstheme="minorHAnsi"/>
        </w:rPr>
        <w:t>https://www.fao.org/plant-treaty/areas-of-work/compliance/howtoreport/en/</w:t>
      </w:r>
    </w:p>
    <w:p w14:paraId="6BF0DFAD" w14:textId="77777777" w:rsidR="00A455F5" w:rsidRPr="00AC5277" w:rsidRDefault="00A455F5" w:rsidP="00576CFA">
      <w:pPr>
        <w:pStyle w:val="MText"/>
        <w:rPr>
          <w:rFonts w:cstheme="minorHAnsi"/>
        </w:rPr>
      </w:pPr>
    </w:p>
    <w:p w14:paraId="494C36E8" w14:textId="22C3CD05" w:rsidR="00E1050F" w:rsidRPr="00AC5277" w:rsidRDefault="00576CFA" w:rsidP="00F719A8">
      <w:pPr>
        <w:pStyle w:val="MHeader2"/>
        <w:rPr>
          <w:rFonts w:cstheme="minorHAnsi"/>
        </w:rPr>
      </w:pPr>
      <w:r w:rsidRPr="00AC5277">
        <w:rPr>
          <w:rFonts w:cstheme="minorHAnsi"/>
        </w:rPr>
        <w:t xml:space="preserve">4.i. Quality management </w:t>
      </w:r>
      <w:r>
        <w:rPr>
          <w:color w:val="B4B4B4"/>
          <w:sz w:val="20"/>
        </w:rPr>
        <w:t>(QUALITY_MGMNT)</w:t>
      </w:r>
    </w:p>
    <w:p w14:paraId="5484B16D" w14:textId="28AD3C46" w:rsidR="00EC2915" w:rsidRDefault="00952BF9" w:rsidP="00576CFA">
      <w:pPr>
        <w:pStyle w:val="MText"/>
        <w:rPr>
          <w:rFonts w:cstheme="minorHAnsi"/>
        </w:rPr>
      </w:pPr>
      <w:r>
        <w:rPr>
          <w:rFonts w:cstheme="minorHAnsi"/>
        </w:rPr>
        <w:t xml:space="preserve">Regular maintenance and updating of the online platforms </w:t>
      </w:r>
      <w:r w:rsidR="00790D15">
        <w:rPr>
          <w:rFonts w:cstheme="minorHAnsi"/>
        </w:rPr>
        <w:t>hosted by the Secretariats of the CBD and of the International Treaty on PGRFA</w:t>
      </w:r>
      <w:r w:rsidR="00587895">
        <w:rPr>
          <w:rFonts w:cstheme="minorHAnsi"/>
        </w:rPr>
        <w:t>.</w:t>
      </w:r>
    </w:p>
    <w:p w14:paraId="09CAF72A" w14:textId="77777777" w:rsidR="00952BF9" w:rsidRPr="00AC5277" w:rsidRDefault="00952BF9" w:rsidP="00576CFA">
      <w:pPr>
        <w:pStyle w:val="MText"/>
        <w:rPr>
          <w:rFonts w:cstheme="minorHAnsi"/>
        </w:rPr>
      </w:pPr>
    </w:p>
    <w:p w14:paraId="17B979CA" w14:textId="449C0153" w:rsidR="00E1050F" w:rsidRPr="00AC5277" w:rsidRDefault="00E1050F" w:rsidP="00F719A8">
      <w:pPr>
        <w:pStyle w:val="MHeader2"/>
        <w:rPr>
          <w:rFonts w:cstheme="minorHAnsi"/>
        </w:rPr>
      </w:pPr>
      <w:r w:rsidRPr="00AC5277">
        <w:rPr>
          <w:rFonts w:cstheme="minorHAnsi"/>
        </w:rPr>
        <w:t xml:space="preserve">4.j Quality assurance </w:t>
      </w:r>
      <w:r>
        <w:rPr>
          <w:color w:val="B4B4B4"/>
          <w:sz w:val="20"/>
        </w:rPr>
        <w:t>(QUALITY_ASSURE)</w:t>
      </w:r>
    </w:p>
    <w:p w14:paraId="4BB86359" w14:textId="1A198639" w:rsidR="00762F9F" w:rsidRDefault="00762F9F" w:rsidP="00576CFA">
      <w:pPr>
        <w:pStyle w:val="MText"/>
        <w:rPr>
          <w:rFonts w:cstheme="minorHAnsi"/>
          <w:highlight w:val="yellow"/>
        </w:rPr>
      </w:pPr>
    </w:p>
    <w:p w14:paraId="34ADD322" w14:textId="1A21C057" w:rsidR="00E1050F" w:rsidRPr="00AC5277" w:rsidRDefault="00576CFA" w:rsidP="00F719A8">
      <w:pPr>
        <w:pStyle w:val="MHeader2"/>
        <w:rPr>
          <w:rFonts w:cstheme="minorHAnsi"/>
        </w:rPr>
      </w:pPr>
      <w:r w:rsidRPr="00AC5277">
        <w:rPr>
          <w:rFonts w:cstheme="minorHAnsi"/>
        </w:rPr>
        <w:t xml:space="preserve">4.k Quality assessment </w:t>
      </w:r>
      <w:r>
        <w:rPr>
          <w:color w:val="B4B4B4"/>
          <w:sz w:val="20"/>
        </w:rPr>
        <w:t>(QUALITY_ASSMNT)</w:t>
      </w:r>
    </w:p>
    <w:p w14:paraId="46910BCE" w14:textId="77777777" w:rsidR="00762F9F" w:rsidRPr="00AC5277" w:rsidRDefault="00762F9F" w:rsidP="00576CFA">
      <w:pPr>
        <w:pStyle w:val="MText"/>
        <w:rPr>
          <w:rFonts w:cstheme="minorHAnsi"/>
        </w:rPr>
      </w:pPr>
    </w:p>
    <w:p w14:paraId="5B7C52CE" w14:textId="77777777" w:rsidR="00576CFA" w:rsidRPr="00AC5277" w:rsidRDefault="00576CFA" w:rsidP="00576CFA">
      <w:pPr>
        <w:pStyle w:val="MText"/>
        <w:rPr>
          <w:rFonts w:cstheme="minorHAnsi"/>
        </w:rPr>
      </w:pPr>
    </w:p>
    <w:p w14:paraId="17787B3C" w14:textId="03FE81A9" w:rsidR="00E1050F" w:rsidRPr="00AC5277" w:rsidRDefault="00576CFA" w:rsidP="000412A0">
      <w:pPr>
        <w:pStyle w:val="MHeader"/>
        <w:spacing w:after="100"/>
        <w:rPr>
          <w:rFonts w:cstheme="minorHAnsi"/>
        </w:rPr>
      </w:pPr>
      <w:r w:rsidRPr="00AC5277">
        <w:rPr>
          <w:rFonts w:cstheme="minorHAnsi"/>
        </w:rPr>
        <w:t xml:space="preserve">5. Data availability and disaggregation </w:t>
      </w:r>
      <w:r>
        <w:rPr>
          <w:color w:val="B4B4B4"/>
          <w:sz w:val="20"/>
        </w:rPr>
        <w:t>(COVERAGE)</w:t>
      </w:r>
    </w:p>
    <w:p w14:paraId="140A2E4F" w14:textId="79588F9C" w:rsidR="00B8111F" w:rsidRPr="00AC5277" w:rsidRDefault="00006874" w:rsidP="00B8111F">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For CBD data</w:t>
      </w:r>
      <w:r w:rsidR="00327A90">
        <w:rPr>
          <w:rFonts w:eastAsia="Times New Roman" w:cstheme="minorHAnsi"/>
          <w:color w:val="4A4A4A"/>
          <w:sz w:val="21"/>
          <w:szCs w:val="21"/>
          <w:lang w:eastAsia="en-GB"/>
        </w:rPr>
        <w:t xml:space="preserve"> </w:t>
      </w:r>
      <w:r>
        <w:rPr>
          <w:rFonts w:eastAsia="Times New Roman" w:cstheme="minorHAnsi"/>
          <w:color w:val="4A4A4A"/>
          <w:sz w:val="21"/>
          <w:szCs w:val="21"/>
          <w:lang w:eastAsia="en-GB"/>
        </w:rPr>
        <w:t>series, d</w:t>
      </w:r>
      <w:r w:rsidR="00441FF0">
        <w:rPr>
          <w:rFonts w:eastAsia="Times New Roman" w:cstheme="minorHAnsi"/>
          <w:color w:val="4A4A4A"/>
          <w:sz w:val="21"/>
          <w:szCs w:val="21"/>
          <w:lang w:eastAsia="en-GB"/>
        </w:rPr>
        <w:t xml:space="preserve">ata </w:t>
      </w:r>
      <w:r w:rsidR="00131AA2">
        <w:rPr>
          <w:rFonts w:eastAsia="Times New Roman" w:cstheme="minorHAnsi"/>
          <w:color w:val="4A4A4A"/>
          <w:sz w:val="21"/>
          <w:szCs w:val="21"/>
          <w:lang w:eastAsia="en-GB"/>
        </w:rPr>
        <w:t>are</w:t>
      </w:r>
      <w:r w:rsidR="00441FF0">
        <w:rPr>
          <w:rFonts w:eastAsia="Times New Roman" w:cstheme="minorHAnsi"/>
          <w:color w:val="4A4A4A"/>
          <w:sz w:val="21"/>
          <w:szCs w:val="21"/>
          <w:lang w:eastAsia="en-GB"/>
        </w:rPr>
        <w:t xml:space="preserve"> available f</w:t>
      </w:r>
      <w:r w:rsidR="00441FF0" w:rsidRPr="00AC5277">
        <w:rPr>
          <w:rFonts w:eastAsia="Times New Roman" w:cstheme="minorHAnsi"/>
          <w:color w:val="4A4A4A"/>
          <w:sz w:val="21"/>
          <w:szCs w:val="21"/>
          <w:lang w:eastAsia="en-GB"/>
        </w:rPr>
        <w:t xml:space="preserve">or </w:t>
      </w:r>
      <w:r w:rsidR="00B8111F" w:rsidRPr="00AC5277">
        <w:rPr>
          <w:rFonts w:eastAsia="Times New Roman" w:cstheme="minorHAnsi"/>
          <w:color w:val="4A4A4A"/>
          <w:sz w:val="21"/>
          <w:szCs w:val="21"/>
          <w:lang w:eastAsia="en-GB"/>
        </w:rPr>
        <w:t>196 Parties</w:t>
      </w:r>
      <w:r w:rsidR="00BA5BDF">
        <w:rPr>
          <w:rFonts w:eastAsia="Times New Roman" w:cstheme="minorHAnsi"/>
          <w:color w:val="4A4A4A"/>
          <w:sz w:val="21"/>
          <w:szCs w:val="21"/>
          <w:lang w:eastAsia="en-GB"/>
        </w:rPr>
        <w:t xml:space="preserve"> (195 countries plus the European Union)</w:t>
      </w:r>
      <w:r w:rsidR="00B8111F" w:rsidRPr="00AC5277">
        <w:rPr>
          <w:rFonts w:eastAsia="Times New Roman" w:cstheme="minorHAnsi"/>
          <w:color w:val="4A4A4A"/>
          <w:sz w:val="21"/>
          <w:szCs w:val="21"/>
          <w:lang w:eastAsia="en-GB"/>
        </w:rPr>
        <w:t xml:space="preserve"> to the Convention on Biological Diversity.</w:t>
      </w:r>
      <w:r w:rsidR="00CD4A5B">
        <w:rPr>
          <w:rFonts w:eastAsia="Times New Roman" w:cstheme="minorHAnsi"/>
          <w:color w:val="4A4A4A"/>
          <w:sz w:val="21"/>
          <w:szCs w:val="21"/>
          <w:lang w:eastAsia="en-GB"/>
        </w:rPr>
        <w:t xml:space="preserve"> For </w:t>
      </w:r>
      <w:r w:rsidR="00CD4A5B" w:rsidRPr="00C661FD">
        <w:rPr>
          <w:rStyle w:val="MTextChar"/>
          <w:rFonts w:eastAsiaTheme="minorEastAsia"/>
        </w:rPr>
        <w:t>CBD ABSCLRHS</w:t>
      </w:r>
      <w:r w:rsidR="00CD4A5B">
        <w:rPr>
          <w:rFonts w:eastAsia="Times New Roman" w:cstheme="minorHAnsi"/>
          <w:color w:val="4A4A4A"/>
          <w:sz w:val="21"/>
          <w:szCs w:val="21"/>
          <w:lang w:eastAsia="en-GB"/>
        </w:rPr>
        <w:t xml:space="preserve">, </w:t>
      </w:r>
      <w:r w:rsidR="005D3DDA">
        <w:rPr>
          <w:rFonts w:eastAsia="Times New Roman" w:cstheme="minorHAnsi"/>
          <w:color w:val="4A4A4A"/>
          <w:sz w:val="21"/>
          <w:szCs w:val="21"/>
          <w:lang w:eastAsia="en-GB"/>
        </w:rPr>
        <w:t>a</w:t>
      </w:r>
      <w:r w:rsidR="005D3DDA" w:rsidRPr="00AC5277">
        <w:rPr>
          <w:rFonts w:eastAsia="Times New Roman" w:cstheme="minorHAnsi"/>
          <w:color w:val="4A4A4A"/>
          <w:sz w:val="21"/>
          <w:szCs w:val="21"/>
          <w:lang w:eastAsia="en-GB"/>
        </w:rPr>
        <w:t xml:space="preserve">vailability </w:t>
      </w:r>
      <w:r w:rsidR="00B8111F" w:rsidRPr="00AC5277">
        <w:rPr>
          <w:rFonts w:eastAsia="Times New Roman" w:cstheme="minorHAnsi"/>
          <w:color w:val="4A4A4A"/>
          <w:sz w:val="21"/>
          <w:szCs w:val="21"/>
          <w:lang w:eastAsia="en-GB"/>
        </w:rPr>
        <w:t xml:space="preserve">of data is dependent on countries making information on </w:t>
      </w:r>
      <w:r w:rsidR="00126ADB">
        <w:rPr>
          <w:rFonts w:eastAsia="Times New Roman" w:cstheme="minorHAnsi"/>
          <w:color w:val="4A4A4A"/>
          <w:sz w:val="21"/>
          <w:szCs w:val="21"/>
          <w:lang w:eastAsia="en-GB"/>
        </w:rPr>
        <w:t>their</w:t>
      </w:r>
      <w:r w:rsidR="00126ADB" w:rsidRPr="00AC5277">
        <w:rPr>
          <w:rFonts w:eastAsia="Times New Roman" w:cstheme="minorHAnsi"/>
          <w:color w:val="4A4A4A"/>
          <w:sz w:val="21"/>
          <w:szCs w:val="21"/>
          <w:lang w:eastAsia="en-GB"/>
        </w:rPr>
        <w:t xml:space="preserve"> </w:t>
      </w:r>
      <w:r w:rsidR="00B8111F" w:rsidRPr="00AC5277">
        <w:rPr>
          <w:rFonts w:eastAsia="Times New Roman" w:cstheme="minorHAnsi"/>
          <w:color w:val="4A4A4A"/>
          <w:sz w:val="21"/>
          <w:szCs w:val="21"/>
          <w:lang w:eastAsia="en-GB"/>
        </w:rPr>
        <w:t>legislative, administrative or policy measures available to the ABS Clearing-</w:t>
      </w:r>
      <w:r w:rsidR="003E764D">
        <w:rPr>
          <w:rFonts w:eastAsia="Times New Roman" w:cstheme="minorHAnsi"/>
          <w:color w:val="4A4A4A"/>
          <w:sz w:val="21"/>
          <w:szCs w:val="21"/>
          <w:lang w:eastAsia="en-GB"/>
        </w:rPr>
        <w:t xml:space="preserve">House. </w:t>
      </w:r>
      <w:r w:rsidR="00040E7A">
        <w:rPr>
          <w:rFonts w:eastAsia="Times New Roman" w:cstheme="minorHAnsi"/>
          <w:color w:val="4A4A4A"/>
          <w:sz w:val="21"/>
          <w:szCs w:val="21"/>
          <w:lang w:eastAsia="en-GB"/>
        </w:rPr>
        <w:t xml:space="preserve"> As the </w:t>
      </w:r>
      <w:r w:rsidR="00874880">
        <w:rPr>
          <w:rFonts w:eastAsia="Times New Roman" w:cstheme="minorHAnsi"/>
          <w:color w:val="4A4A4A"/>
          <w:sz w:val="21"/>
          <w:szCs w:val="21"/>
          <w:lang w:eastAsia="en-GB"/>
        </w:rPr>
        <w:t>ABS</w:t>
      </w:r>
      <w:r w:rsidR="00797D8E">
        <w:rPr>
          <w:rFonts w:eastAsia="Times New Roman" w:cstheme="minorHAnsi"/>
          <w:color w:val="4A4A4A"/>
          <w:sz w:val="21"/>
          <w:szCs w:val="21"/>
          <w:lang w:eastAsia="en-GB"/>
        </w:rPr>
        <w:t xml:space="preserve"> Clearing-House</w:t>
      </w:r>
      <w:r w:rsidR="00774D8C">
        <w:rPr>
          <w:rFonts w:eastAsia="Times New Roman" w:cstheme="minorHAnsi"/>
          <w:color w:val="4A4A4A"/>
          <w:sz w:val="21"/>
          <w:szCs w:val="21"/>
          <w:lang w:eastAsia="en-GB"/>
        </w:rPr>
        <w:t xml:space="preserve"> was established in October 2014, </w:t>
      </w:r>
      <w:r w:rsidR="00440A67">
        <w:rPr>
          <w:rFonts w:eastAsia="Times New Roman" w:cstheme="minorHAnsi"/>
          <w:color w:val="4A4A4A"/>
          <w:sz w:val="21"/>
          <w:szCs w:val="21"/>
          <w:lang w:eastAsia="en-GB"/>
        </w:rPr>
        <w:t xml:space="preserve">data </w:t>
      </w:r>
      <w:r w:rsidR="00131AA2">
        <w:rPr>
          <w:rFonts w:eastAsia="Times New Roman" w:cstheme="minorHAnsi"/>
          <w:color w:val="4A4A4A"/>
          <w:sz w:val="21"/>
          <w:szCs w:val="21"/>
          <w:lang w:eastAsia="en-GB"/>
        </w:rPr>
        <w:t>are</w:t>
      </w:r>
      <w:r w:rsidR="00440A67">
        <w:rPr>
          <w:rFonts w:eastAsia="Times New Roman" w:cstheme="minorHAnsi"/>
          <w:color w:val="4A4A4A"/>
          <w:sz w:val="21"/>
          <w:szCs w:val="21"/>
          <w:lang w:eastAsia="en-GB"/>
        </w:rPr>
        <w:t xml:space="preserve"> available f</w:t>
      </w:r>
      <w:r w:rsidR="00797D8E">
        <w:rPr>
          <w:rFonts w:eastAsia="Times New Roman" w:cstheme="minorHAnsi"/>
          <w:color w:val="4A4A4A"/>
          <w:sz w:val="21"/>
          <w:szCs w:val="21"/>
          <w:lang w:eastAsia="en-GB"/>
        </w:rPr>
        <w:t>or</w:t>
      </w:r>
      <w:r w:rsidR="00440A67">
        <w:rPr>
          <w:rFonts w:eastAsia="Times New Roman" w:cstheme="minorHAnsi"/>
          <w:color w:val="4A4A4A"/>
          <w:sz w:val="21"/>
          <w:szCs w:val="21"/>
          <w:lang w:eastAsia="en-GB"/>
        </w:rPr>
        <w:t xml:space="preserve"> the 2015 calendar year </w:t>
      </w:r>
      <w:r w:rsidR="00797D8E">
        <w:rPr>
          <w:rFonts w:eastAsia="Times New Roman" w:cstheme="minorHAnsi"/>
          <w:color w:val="4A4A4A"/>
          <w:sz w:val="21"/>
          <w:szCs w:val="21"/>
          <w:lang w:eastAsia="en-GB"/>
        </w:rPr>
        <w:t>there</w:t>
      </w:r>
      <w:r w:rsidR="00440A67">
        <w:rPr>
          <w:rFonts w:eastAsia="Times New Roman" w:cstheme="minorHAnsi"/>
          <w:color w:val="4A4A4A"/>
          <w:sz w:val="21"/>
          <w:szCs w:val="21"/>
          <w:lang w:eastAsia="en-GB"/>
        </w:rPr>
        <w:t>on.</w:t>
      </w:r>
      <w:r w:rsidR="00A1613C">
        <w:rPr>
          <w:rFonts w:eastAsia="Times New Roman" w:cstheme="minorHAnsi"/>
          <w:color w:val="4A4A4A"/>
          <w:sz w:val="21"/>
          <w:szCs w:val="21"/>
          <w:lang w:eastAsia="en-GB"/>
        </w:rPr>
        <w:t xml:space="preserve"> </w:t>
      </w:r>
      <w:r w:rsidR="005D3DDA">
        <w:rPr>
          <w:rFonts w:eastAsia="Times New Roman" w:cstheme="minorHAnsi"/>
          <w:color w:val="4A4A4A"/>
          <w:sz w:val="21"/>
          <w:szCs w:val="21"/>
          <w:lang w:eastAsia="en-GB"/>
        </w:rPr>
        <w:t>Only regional aggregations are available.</w:t>
      </w:r>
    </w:p>
    <w:p w14:paraId="659F3EF9"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293FD217" w14:textId="558A4018" w:rsidR="00B8111F" w:rsidRPr="00AC5277" w:rsidRDefault="00B8111F" w:rsidP="00B8111F">
      <w:pPr>
        <w:shd w:val="clear" w:color="auto" w:fill="FFFFFF"/>
        <w:spacing w:after="0"/>
        <w:rPr>
          <w:rFonts w:eastAsia="Times New Roman" w:cstheme="minorHAnsi"/>
          <w:color w:val="4A4A4A"/>
          <w:sz w:val="21"/>
          <w:szCs w:val="21"/>
          <w:lang w:eastAsia="en-GB"/>
        </w:rPr>
      </w:pPr>
      <w:r w:rsidRPr="007D54DD">
        <w:rPr>
          <w:rFonts w:eastAsia="Times New Roman" w:cstheme="minorHAnsi"/>
          <w:color w:val="4A4A4A"/>
          <w:sz w:val="21"/>
          <w:szCs w:val="21"/>
          <w:lang w:eastAsia="en-GB"/>
        </w:rPr>
        <w:t xml:space="preserve">For </w:t>
      </w:r>
      <w:r w:rsidR="001C3984">
        <w:rPr>
          <w:rFonts w:eastAsia="Times New Roman" w:cstheme="minorHAnsi"/>
          <w:color w:val="4A4A4A"/>
          <w:sz w:val="21"/>
          <w:szCs w:val="21"/>
          <w:lang w:eastAsia="en-GB"/>
        </w:rPr>
        <w:t xml:space="preserve">International Treaty, data are available for </w:t>
      </w:r>
      <w:r w:rsidRPr="007D54DD">
        <w:rPr>
          <w:rFonts w:eastAsia="Times New Roman" w:cstheme="minorHAnsi"/>
          <w:color w:val="4A4A4A"/>
          <w:sz w:val="21"/>
          <w:szCs w:val="21"/>
          <w:lang w:eastAsia="en-GB"/>
        </w:rPr>
        <w:t>14</w:t>
      </w:r>
      <w:r w:rsidR="007E45B6" w:rsidRPr="007D54DD">
        <w:rPr>
          <w:rFonts w:eastAsia="Times New Roman" w:cstheme="minorHAnsi"/>
          <w:color w:val="4A4A4A"/>
          <w:sz w:val="21"/>
          <w:szCs w:val="21"/>
          <w:lang w:eastAsia="en-GB"/>
        </w:rPr>
        <w:t>8</w:t>
      </w:r>
      <w:r w:rsidRPr="007D54DD">
        <w:rPr>
          <w:rFonts w:eastAsia="Times New Roman" w:cstheme="minorHAnsi"/>
          <w:color w:val="4A4A4A"/>
          <w:sz w:val="21"/>
          <w:szCs w:val="21"/>
          <w:lang w:eastAsia="en-GB"/>
        </w:rPr>
        <w:t xml:space="preserve"> </w:t>
      </w:r>
      <w:r w:rsidR="007E45B6" w:rsidRPr="007D54DD">
        <w:rPr>
          <w:rFonts w:eastAsia="Times New Roman" w:cstheme="minorHAnsi"/>
          <w:color w:val="4A4A4A"/>
          <w:sz w:val="21"/>
          <w:szCs w:val="21"/>
          <w:lang w:eastAsia="en-GB"/>
        </w:rPr>
        <w:t>Contracting Parties</w:t>
      </w:r>
      <w:r w:rsidR="001C3984">
        <w:rPr>
          <w:rFonts w:eastAsia="Times New Roman" w:cstheme="minorHAnsi"/>
          <w:color w:val="4A4A4A"/>
          <w:sz w:val="21"/>
          <w:szCs w:val="21"/>
          <w:lang w:eastAsia="en-GB"/>
        </w:rPr>
        <w:t xml:space="preserve"> (147 countries plus the European Union)</w:t>
      </w:r>
      <w:r w:rsidRPr="007D54DD">
        <w:rPr>
          <w:rFonts w:eastAsia="Times New Roman" w:cstheme="minorHAnsi"/>
          <w:color w:val="4A4A4A"/>
          <w:sz w:val="21"/>
          <w:szCs w:val="21"/>
          <w:lang w:eastAsia="en-GB"/>
        </w:rPr>
        <w:t xml:space="preserve"> that have ratified, accepted, </w:t>
      </w:r>
      <w:proofErr w:type="gramStart"/>
      <w:r w:rsidRPr="007D54DD">
        <w:rPr>
          <w:rFonts w:eastAsia="Times New Roman" w:cstheme="minorHAnsi"/>
          <w:color w:val="4A4A4A"/>
          <w:sz w:val="21"/>
          <w:szCs w:val="21"/>
          <w:lang w:eastAsia="en-GB"/>
        </w:rPr>
        <w:t>approved</w:t>
      </w:r>
      <w:proofErr w:type="gramEnd"/>
      <w:r w:rsidRPr="007D54DD">
        <w:rPr>
          <w:rFonts w:eastAsia="Times New Roman" w:cstheme="minorHAnsi"/>
          <w:color w:val="4A4A4A"/>
          <w:sz w:val="21"/>
          <w:szCs w:val="21"/>
          <w:lang w:eastAsia="en-GB"/>
        </w:rPr>
        <w:t xml:space="preserve"> or acceded to the International Treaty on Plant Genetic Resources for Food and Agriculture</w:t>
      </w:r>
      <w:r w:rsidR="00804696">
        <w:rPr>
          <w:rFonts w:eastAsia="Times New Roman" w:cstheme="minorHAnsi"/>
          <w:color w:val="4A4A4A"/>
          <w:sz w:val="21"/>
          <w:szCs w:val="21"/>
          <w:lang w:eastAsia="en-GB"/>
        </w:rPr>
        <w:t>.</w:t>
      </w:r>
      <w:r w:rsidR="001C3984" w:rsidRPr="001C3984">
        <w:rPr>
          <w:rFonts w:eastAsia="Times New Roman" w:cstheme="minorHAnsi"/>
          <w:color w:val="4A4A4A"/>
          <w:sz w:val="21"/>
          <w:szCs w:val="21"/>
          <w:lang w:eastAsia="en-GB"/>
        </w:rPr>
        <w:t xml:space="preserve"> </w:t>
      </w:r>
      <w:r w:rsidR="001C3984">
        <w:rPr>
          <w:rFonts w:eastAsia="Times New Roman" w:cstheme="minorHAnsi"/>
          <w:color w:val="4A4A4A"/>
          <w:sz w:val="21"/>
          <w:szCs w:val="21"/>
          <w:lang w:eastAsia="en-GB"/>
        </w:rPr>
        <w:t xml:space="preserve">For </w:t>
      </w:r>
      <w:r w:rsidR="001C3984" w:rsidRPr="00C661FD">
        <w:rPr>
          <w:rStyle w:val="MTextChar"/>
          <w:rFonts w:eastAsiaTheme="minorEastAsia"/>
        </w:rPr>
        <w:t>ER_CBD_ORSPGRFA,</w:t>
      </w:r>
      <w:r w:rsidR="001C3984">
        <w:rPr>
          <w:rFonts w:eastAsia="Times New Roman" w:cstheme="minorHAnsi"/>
          <w:color w:val="4A4A4A"/>
          <w:sz w:val="21"/>
          <w:szCs w:val="21"/>
          <w:lang w:eastAsia="en-GB"/>
        </w:rPr>
        <w:t xml:space="preserve"> a</w:t>
      </w:r>
      <w:r w:rsidR="001C3984" w:rsidRPr="00AC5277">
        <w:rPr>
          <w:rFonts w:eastAsia="Times New Roman" w:cstheme="minorHAnsi"/>
          <w:color w:val="4A4A4A"/>
          <w:sz w:val="21"/>
          <w:szCs w:val="21"/>
          <w:lang w:eastAsia="en-GB"/>
        </w:rPr>
        <w:t xml:space="preserve">vailability of data </w:t>
      </w:r>
      <w:r w:rsidR="00C37EF0">
        <w:rPr>
          <w:rFonts w:eastAsia="Times New Roman" w:cstheme="minorHAnsi"/>
          <w:color w:val="4A4A4A"/>
          <w:sz w:val="21"/>
          <w:szCs w:val="21"/>
          <w:lang w:eastAsia="en-GB"/>
        </w:rPr>
        <w:t>is dependent on countries providing</w:t>
      </w:r>
      <w:r w:rsidR="001C3984" w:rsidRPr="00AC5277">
        <w:rPr>
          <w:rFonts w:eastAsia="Times New Roman" w:cstheme="minorHAnsi"/>
          <w:color w:val="4A4A4A"/>
          <w:sz w:val="21"/>
          <w:szCs w:val="21"/>
          <w:lang w:eastAsia="en-GB"/>
        </w:rPr>
        <w:t xml:space="preserve"> information on </w:t>
      </w:r>
      <w:r w:rsidR="001C3984">
        <w:rPr>
          <w:rFonts w:eastAsia="Times New Roman" w:cstheme="minorHAnsi"/>
          <w:color w:val="4A4A4A"/>
          <w:sz w:val="21"/>
          <w:szCs w:val="21"/>
          <w:lang w:eastAsia="en-GB"/>
        </w:rPr>
        <w:t>their</w:t>
      </w:r>
      <w:r w:rsidR="001C3984" w:rsidRPr="00AC5277">
        <w:rPr>
          <w:rFonts w:eastAsia="Times New Roman" w:cstheme="minorHAnsi"/>
          <w:color w:val="4A4A4A"/>
          <w:sz w:val="21"/>
          <w:szCs w:val="21"/>
          <w:lang w:eastAsia="en-GB"/>
        </w:rPr>
        <w:t xml:space="preserve"> legislative, administrative or policy measure</w:t>
      </w:r>
      <w:r w:rsidR="00C37EF0">
        <w:rPr>
          <w:rFonts w:eastAsia="Times New Roman" w:cstheme="minorHAnsi"/>
          <w:color w:val="4A4A4A"/>
          <w:sz w:val="21"/>
          <w:szCs w:val="21"/>
          <w:lang w:eastAsia="en-GB"/>
        </w:rPr>
        <w:t>s in their national report submitted</w:t>
      </w:r>
      <w:r w:rsidR="001C3984">
        <w:rPr>
          <w:rFonts w:eastAsia="Times New Roman" w:cstheme="minorHAnsi"/>
          <w:color w:val="4A4A4A"/>
          <w:sz w:val="21"/>
          <w:szCs w:val="21"/>
          <w:lang w:eastAsia="en-GB"/>
        </w:rPr>
        <w:t xml:space="preserve"> under the Compliance Procedures.</w:t>
      </w:r>
    </w:p>
    <w:p w14:paraId="42E8CA56" w14:textId="0C29C93D" w:rsidR="00D51E7C" w:rsidRPr="00AC5277" w:rsidRDefault="00D51E7C" w:rsidP="00576CFA">
      <w:pPr>
        <w:pStyle w:val="MText"/>
        <w:rPr>
          <w:rFonts w:cstheme="minorHAnsi"/>
        </w:rPr>
      </w:pPr>
    </w:p>
    <w:p w14:paraId="4D0520F7" w14:textId="11F0E737" w:rsidR="00382CF3" w:rsidRPr="00AC5277" w:rsidRDefault="00B31E2C" w:rsidP="000412A0">
      <w:pPr>
        <w:pStyle w:val="MHeader"/>
        <w:spacing w:after="100"/>
        <w:rPr>
          <w:rFonts w:cstheme="minorHAnsi"/>
        </w:rPr>
      </w:pPr>
      <w:r w:rsidRPr="00AC5277">
        <w:rPr>
          <w:rFonts w:cstheme="minorHAnsi"/>
        </w:rPr>
        <w:t xml:space="preserve">6. Comparability / deviation from international standards </w:t>
      </w:r>
      <w:r>
        <w:rPr>
          <w:color w:val="B4B4B4"/>
          <w:sz w:val="20"/>
        </w:rPr>
        <w:t>(COMPARABILITY)</w:t>
      </w:r>
    </w:p>
    <w:p w14:paraId="3595E072" w14:textId="79BC43D6" w:rsidR="00D51E7C" w:rsidRPr="00D41521" w:rsidRDefault="00D51E7C" w:rsidP="00576CFA">
      <w:pPr>
        <w:pStyle w:val="MText"/>
        <w:rPr>
          <w:rFonts w:cstheme="minorHAnsi"/>
          <w:b/>
          <w:bCs/>
        </w:rPr>
      </w:pPr>
      <w:r w:rsidRPr="00D41521">
        <w:rPr>
          <w:rFonts w:cstheme="minorHAnsi"/>
          <w:b/>
          <w:bCs/>
        </w:rPr>
        <w:t>Sources of discrepancies:</w:t>
      </w:r>
    </w:p>
    <w:p w14:paraId="0898BCB7" w14:textId="77777777" w:rsidR="00B8111F" w:rsidRPr="00AC5277" w:rsidRDefault="00B8111F" w:rsidP="00B8111F">
      <w:pPr>
        <w:shd w:val="clear" w:color="auto" w:fill="FFFFFF"/>
        <w:spacing w:after="0"/>
        <w:rPr>
          <w:rFonts w:eastAsia="Times New Roman" w:cstheme="minorHAnsi"/>
          <w:color w:val="4A4A4A"/>
          <w:sz w:val="21"/>
          <w:szCs w:val="20"/>
          <w:lang w:val="en-US" w:eastAsia="en-GB"/>
        </w:rPr>
      </w:pPr>
      <w:r w:rsidRPr="00AC5277">
        <w:rPr>
          <w:rFonts w:eastAsia="Times New Roman" w:cstheme="minorHAnsi"/>
          <w:color w:val="4A4A4A"/>
          <w:sz w:val="21"/>
          <w:szCs w:val="21"/>
          <w:lang w:eastAsia="en-GB"/>
        </w:rPr>
        <w:t xml:space="preserve">Reliability of the indicator is dependent on countries making information available to the ABS Clearing-House of the Nagoya Protocol and to the Online Reporting System on Compliance of the International Treaty on ABS </w:t>
      </w:r>
      <w:r w:rsidRPr="00AC5277">
        <w:rPr>
          <w:rFonts w:eastAsia="Times New Roman" w:cstheme="minorHAnsi"/>
          <w:color w:val="4A4A4A"/>
          <w:sz w:val="21"/>
          <w:szCs w:val="20"/>
          <w:lang w:val="en-US" w:eastAsia="en-GB"/>
        </w:rPr>
        <w:t>legislative, administrative or policy measures.</w:t>
      </w:r>
    </w:p>
    <w:p w14:paraId="668C60CA"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326A1AF2" w14:textId="530664E0"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In addition to the information made available by countries to the ABS Clearing-House, the CBD Secretariat collects information from other sources: national biodiversity strategies and actions plans, national reports submitted under the CBD, national reports on the implementation of the Nagoya </w:t>
      </w:r>
      <w:proofErr w:type="gramStart"/>
      <w:r w:rsidRPr="00AC5277">
        <w:rPr>
          <w:rFonts w:eastAsia="Times New Roman" w:cstheme="minorHAnsi"/>
          <w:color w:val="4A4A4A"/>
          <w:sz w:val="21"/>
          <w:szCs w:val="21"/>
          <w:lang w:eastAsia="en-GB"/>
        </w:rPr>
        <w:t>Protocol</w:t>
      </w:r>
      <w:r w:rsidR="001A6D0A">
        <w:rPr>
          <w:rFonts w:eastAsia="Times New Roman" w:cstheme="minorHAnsi"/>
          <w:color w:val="4A4A4A"/>
          <w:sz w:val="21"/>
          <w:szCs w:val="21"/>
          <w:lang w:eastAsia="en-GB"/>
        </w:rPr>
        <w:t>,</w:t>
      </w:r>
      <w:r w:rsidRPr="00AC5277">
        <w:rPr>
          <w:rFonts w:eastAsia="Times New Roman" w:cstheme="minorHAnsi"/>
          <w:color w:val="4A4A4A"/>
          <w:sz w:val="21"/>
          <w:szCs w:val="21"/>
          <w:lang w:val="en-US" w:eastAsia="en-GB"/>
        </w:rPr>
        <w:t>and</w:t>
      </w:r>
      <w:proofErr w:type="gramEnd"/>
      <w:r w:rsidRPr="00AC5277">
        <w:rPr>
          <w:rFonts w:eastAsia="Times New Roman" w:cstheme="minorHAnsi"/>
          <w:color w:val="4A4A4A"/>
          <w:sz w:val="21"/>
          <w:szCs w:val="21"/>
          <w:lang w:val="en-US" w:eastAsia="en-GB"/>
        </w:rPr>
        <w:t xml:space="preserve"> </w:t>
      </w:r>
      <w:r w:rsidRPr="00AC5277">
        <w:rPr>
          <w:rFonts w:eastAsia="Times New Roman" w:cstheme="minorHAnsi"/>
          <w:color w:val="4A4A4A"/>
          <w:sz w:val="21"/>
          <w:szCs w:val="21"/>
          <w:lang w:eastAsia="en-GB"/>
        </w:rPr>
        <w:t xml:space="preserve">official communications to the SCBD (responses to notifications, email communications, etc.). The information collected from these sources inform the Secretariat’s inputs to other processes under the Protocol, in particular the consideration by the Conference of the Parties serving as the meeting of the Parties to the Protocol (COP-MOP) of national reports (Article 29) and assessment and review (Article 31). The resulting information on the number of countries with ABS legislative, administrative or and policy measures may differ from the number of countries that have made available this information in the ABS Clearing-House. </w:t>
      </w:r>
    </w:p>
    <w:p w14:paraId="2B988F88"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 </w:t>
      </w:r>
    </w:p>
    <w:p w14:paraId="16C7112D"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In addition to the information made available by countries to the Online Reporting System on Compliance of the International Treaty, FAO collects information from countries, submitted through their national reports, on conservation and use of PGRFA and their efforts in this regard for the preparation of the </w:t>
      </w:r>
      <w:r w:rsidRPr="00AC5277">
        <w:rPr>
          <w:rFonts w:eastAsia="Times New Roman" w:cstheme="minorHAnsi"/>
          <w:i/>
          <w:color w:val="4A4A4A"/>
          <w:sz w:val="21"/>
          <w:szCs w:val="21"/>
          <w:lang w:eastAsia="en-GB"/>
        </w:rPr>
        <w:t>State of the World’s Plant Genetic Resources for Food and Agriculture</w:t>
      </w:r>
      <w:r w:rsidRPr="00AC5277">
        <w:rPr>
          <w:rFonts w:eastAsia="Times New Roman" w:cstheme="minorHAnsi"/>
          <w:color w:val="4A4A4A"/>
          <w:sz w:val="21"/>
          <w:szCs w:val="21"/>
          <w:lang w:eastAsia="en-GB"/>
        </w:rPr>
        <w:t xml:space="preserve">.  </w:t>
      </w:r>
    </w:p>
    <w:p w14:paraId="5AB6DD91" w14:textId="27A27CFA" w:rsidR="00F719A8" w:rsidRPr="00AC5277" w:rsidRDefault="00F719A8" w:rsidP="00576CFA">
      <w:pPr>
        <w:pStyle w:val="MText"/>
        <w:rPr>
          <w:rFonts w:cstheme="minorHAnsi"/>
        </w:rPr>
      </w:pPr>
    </w:p>
    <w:p w14:paraId="76DF099C" w14:textId="703C09F1" w:rsidR="00382CF3" w:rsidRPr="00AC5277" w:rsidRDefault="00576CFA" w:rsidP="000412A0">
      <w:pPr>
        <w:pStyle w:val="MHeader"/>
        <w:spacing w:after="100"/>
        <w:rPr>
          <w:rFonts w:cstheme="minorHAnsi"/>
        </w:rPr>
      </w:pPr>
      <w:r w:rsidRPr="00AC5277">
        <w:rPr>
          <w:rFonts w:cstheme="minorHAnsi"/>
        </w:rPr>
        <w:t xml:space="preserve">7. References and Documentation </w:t>
      </w:r>
      <w:r>
        <w:rPr>
          <w:color w:val="B4B4B4"/>
          <w:sz w:val="20"/>
        </w:rPr>
        <w:t>(OTHER_DOC)</w:t>
      </w:r>
    </w:p>
    <w:p w14:paraId="2D14A901"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Text of the Nagoya Protocol on Access to Genetic Resources and the Fair and Equitable Sharing of Benefits Arising from their Utilization to the Convention on Biological Diversity: </w:t>
      </w:r>
      <w:hyperlink r:id="rId21" w:history="1">
        <w:r w:rsidRPr="00AC5277">
          <w:rPr>
            <w:rFonts w:eastAsia="Times New Roman" w:cstheme="minorHAnsi"/>
            <w:color w:val="0000FF"/>
            <w:sz w:val="21"/>
            <w:szCs w:val="21"/>
            <w:u w:val="single"/>
            <w:lang w:val="en-US" w:eastAsia="en-GB"/>
          </w:rPr>
          <w:t>https://www.cbd.int/abs/text/default.shtml</w:t>
        </w:r>
      </w:hyperlink>
      <w:r w:rsidRPr="00AC5277">
        <w:rPr>
          <w:rFonts w:eastAsia="Times New Roman" w:cstheme="minorHAnsi"/>
          <w:color w:val="4A4A4A"/>
          <w:sz w:val="21"/>
          <w:szCs w:val="21"/>
          <w:lang w:eastAsia="en-GB"/>
        </w:rPr>
        <w:t xml:space="preserve"> </w:t>
      </w:r>
    </w:p>
    <w:p w14:paraId="0CA449B5"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15AC5D07"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The Access and Benefit-sharing Clearing-House: </w:t>
      </w:r>
      <w:hyperlink r:id="rId22" w:history="1">
        <w:r w:rsidRPr="00AC5277">
          <w:rPr>
            <w:rFonts w:eastAsia="Times New Roman" w:cstheme="minorHAnsi"/>
            <w:color w:val="0000FF"/>
            <w:sz w:val="21"/>
            <w:szCs w:val="21"/>
            <w:u w:val="single"/>
            <w:lang w:eastAsia="en-GB"/>
          </w:rPr>
          <w:t>http://absch.cbd.int</w:t>
        </w:r>
      </w:hyperlink>
      <w:r w:rsidRPr="00AC5277">
        <w:rPr>
          <w:rFonts w:eastAsia="Times New Roman" w:cstheme="minorHAnsi"/>
          <w:color w:val="4A4A4A"/>
          <w:sz w:val="21"/>
          <w:szCs w:val="21"/>
          <w:lang w:eastAsia="en-GB"/>
        </w:rPr>
        <w:t xml:space="preserve"> </w:t>
      </w:r>
    </w:p>
    <w:p w14:paraId="107998D5"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23E8DB34" w14:textId="3758B9E5" w:rsidR="00B8111F" w:rsidRPr="00C661FD" w:rsidRDefault="00B8111F" w:rsidP="00B8111F">
      <w:pPr>
        <w:shd w:val="clear" w:color="auto" w:fill="FFFFFF"/>
        <w:spacing w:after="0"/>
        <w:rPr>
          <w:rStyle w:val="MTextChar"/>
          <w:rFonts w:eastAsiaTheme="minorEastAsia"/>
        </w:rPr>
      </w:pPr>
      <w:r w:rsidRPr="00AC5277">
        <w:rPr>
          <w:rFonts w:eastAsia="Times New Roman" w:cstheme="minorHAnsi"/>
          <w:color w:val="4A4A4A"/>
          <w:sz w:val="21"/>
          <w:szCs w:val="21"/>
          <w:lang w:eastAsia="en-GB"/>
        </w:rPr>
        <w:t xml:space="preserve">International Treaty on Plant Genetic Resources for Food and Agriculture, </w:t>
      </w:r>
      <w:r w:rsidR="0030328F" w:rsidRPr="00C661FD">
        <w:rPr>
          <w:rStyle w:val="MTextChar"/>
          <w:rFonts w:eastAsiaTheme="minorEastAsia"/>
        </w:rPr>
        <w:t>https://www.fao.org/plant-treaty/en/</w:t>
      </w:r>
    </w:p>
    <w:p w14:paraId="372E19BB"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384B0992" w14:textId="0476B148" w:rsidR="00186795" w:rsidRPr="00AC5277" w:rsidRDefault="00B8111F" w:rsidP="00C661FD">
      <w:pPr>
        <w:shd w:val="clear" w:color="auto" w:fill="FFFFFF"/>
        <w:spacing w:after="0"/>
        <w:rPr>
          <w:rFonts w:cstheme="minorHAnsi"/>
        </w:rPr>
      </w:pPr>
      <w:r w:rsidRPr="00AC5277">
        <w:rPr>
          <w:rFonts w:eastAsia="Times New Roman" w:cstheme="minorHAnsi"/>
          <w:color w:val="4A4A4A"/>
          <w:sz w:val="21"/>
          <w:szCs w:val="21"/>
          <w:lang w:eastAsia="en-GB"/>
        </w:rPr>
        <w:t xml:space="preserve">Data Store of the International Treaty on PGRFA, Easy-SMTA, </w:t>
      </w:r>
      <w:hyperlink r:id="rId23" w:history="1">
        <w:r w:rsidRPr="00AC5277">
          <w:rPr>
            <w:rFonts w:eastAsia="Times New Roman" w:cstheme="minorHAnsi"/>
            <w:color w:val="0000FF"/>
            <w:sz w:val="21"/>
            <w:szCs w:val="21"/>
            <w:u w:val="single"/>
            <w:lang w:eastAsia="en-GB"/>
          </w:rPr>
          <w:t>https://mls.planttreaty.org</w:t>
        </w:r>
      </w:hyperlink>
    </w:p>
    <w:sectPr w:rsidR="00186795" w:rsidRPr="00AC5277">
      <w:head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ED727" w14:textId="77777777" w:rsidR="00755F2D" w:rsidRDefault="00755F2D" w:rsidP="00573C0B">
      <w:pPr>
        <w:spacing w:after="0" w:line="240" w:lineRule="auto"/>
      </w:pPr>
      <w:r>
        <w:separator/>
      </w:r>
    </w:p>
  </w:endnote>
  <w:endnote w:type="continuationSeparator" w:id="0">
    <w:p w14:paraId="2B02819E" w14:textId="77777777" w:rsidR="00755F2D" w:rsidRDefault="00755F2D" w:rsidP="00573C0B">
      <w:pPr>
        <w:spacing w:after="0" w:line="240" w:lineRule="auto"/>
      </w:pPr>
      <w:r>
        <w:continuationSeparator/>
      </w:r>
    </w:p>
  </w:endnote>
  <w:endnote w:type="continuationNotice" w:id="1">
    <w:p w14:paraId="3D940C9F" w14:textId="77777777" w:rsidR="00755F2D" w:rsidRDefault="00755F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BC29E" w14:textId="77777777" w:rsidR="00755F2D" w:rsidRDefault="00755F2D" w:rsidP="00573C0B">
      <w:pPr>
        <w:spacing w:after="0" w:line="240" w:lineRule="auto"/>
      </w:pPr>
      <w:r>
        <w:separator/>
      </w:r>
    </w:p>
  </w:footnote>
  <w:footnote w:type="continuationSeparator" w:id="0">
    <w:p w14:paraId="7C889113" w14:textId="77777777" w:rsidR="00755F2D" w:rsidRDefault="00755F2D" w:rsidP="00573C0B">
      <w:pPr>
        <w:spacing w:after="0" w:line="240" w:lineRule="auto"/>
      </w:pPr>
      <w:r>
        <w:continuationSeparator/>
      </w:r>
    </w:p>
  </w:footnote>
  <w:footnote w:type="continuationNotice" w:id="1">
    <w:p w14:paraId="130A8EAA" w14:textId="77777777" w:rsidR="00755F2D" w:rsidRDefault="00755F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5F2838B"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3C234F">
      <w:rPr>
        <w:color w:val="404040" w:themeColor="text1" w:themeTint="BF"/>
        <w:sz w:val="18"/>
        <w:szCs w:val="18"/>
      </w:rPr>
      <w:t>2022</w:t>
    </w:r>
    <w:r w:rsidR="00A13114">
      <w:rPr>
        <w:color w:val="404040" w:themeColor="text1" w:themeTint="BF"/>
        <w:sz w:val="18"/>
        <w:szCs w:val="18"/>
      </w:rPr>
      <w:t>-0</w:t>
    </w:r>
    <w:r w:rsidR="002E1591">
      <w:rPr>
        <w:color w:val="404040" w:themeColor="text1" w:themeTint="BF"/>
        <w:sz w:val="18"/>
        <w:szCs w:val="18"/>
      </w:rPr>
      <w:t>4</w:t>
    </w:r>
    <w:r w:rsidR="00B410B4">
      <w:rPr>
        <w:color w:val="404040" w:themeColor="text1" w:themeTint="BF"/>
        <w:sz w:val="18"/>
        <w:szCs w:val="18"/>
      </w:rPr>
      <w:t>-</w:t>
    </w:r>
    <w:r w:rsidR="002E1591">
      <w:rPr>
        <w:color w:val="404040" w:themeColor="text1" w:themeTint="BF"/>
        <w:sz w:val="18"/>
        <w:szCs w:val="18"/>
      </w:rPr>
      <w:t>1</w:t>
    </w:r>
    <w:r w:rsidR="00B410B4">
      <w:rPr>
        <w:color w:val="404040" w:themeColor="text1" w:themeTint="BF"/>
        <w:sz w:val="18"/>
        <w:szCs w:val="1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12F0"/>
    <w:multiLevelType w:val="hybridMultilevel"/>
    <w:tmpl w:val="7488F174"/>
    <w:lvl w:ilvl="0" w:tplc="F454C32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CB5F33"/>
    <w:multiLevelType w:val="hybridMultilevel"/>
    <w:tmpl w:val="DE2AAD92"/>
    <w:lvl w:ilvl="0" w:tplc="F454C32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C497D"/>
    <w:multiLevelType w:val="hybridMultilevel"/>
    <w:tmpl w:val="1F60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775032"/>
    <w:multiLevelType w:val="hybridMultilevel"/>
    <w:tmpl w:val="C270B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B51277E"/>
    <w:multiLevelType w:val="hybridMultilevel"/>
    <w:tmpl w:val="6F96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B3AF0"/>
    <w:multiLevelType w:val="hybridMultilevel"/>
    <w:tmpl w:val="A91C1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002F74"/>
    <w:multiLevelType w:val="hybridMultilevel"/>
    <w:tmpl w:val="54D8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491468"/>
    <w:multiLevelType w:val="hybridMultilevel"/>
    <w:tmpl w:val="3580BA76"/>
    <w:lvl w:ilvl="0" w:tplc="F454C32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1"/>
  </w:num>
  <w:num w:numId="4">
    <w:abstractNumId w:val="4"/>
  </w:num>
  <w:num w:numId="5">
    <w:abstractNumId w:val="5"/>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3"/>
  </w:num>
  <w:num w:numId="9">
    <w:abstractNumId w:val="6"/>
  </w:num>
  <w:num w:numId="10">
    <w:abstractNumId w:val="10"/>
  </w:num>
  <w:num w:numId="11">
    <w:abstractNumId w:val="2"/>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6874"/>
    <w:rsid w:val="000070BA"/>
    <w:rsid w:val="00016BFF"/>
    <w:rsid w:val="000173F9"/>
    <w:rsid w:val="0002231E"/>
    <w:rsid w:val="0002661F"/>
    <w:rsid w:val="000269C8"/>
    <w:rsid w:val="00040E7A"/>
    <w:rsid w:val="000412A0"/>
    <w:rsid w:val="0004381E"/>
    <w:rsid w:val="00047DDA"/>
    <w:rsid w:val="00051EAB"/>
    <w:rsid w:val="00052E54"/>
    <w:rsid w:val="0005455A"/>
    <w:rsid w:val="000632AF"/>
    <w:rsid w:val="0006538B"/>
    <w:rsid w:val="00071F07"/>
    <w:rsid w:val="0007759D"/>
    <w:rsid w:val="000777AB"/>
    <w:rsid w:val="00077F46"/>
    <w:rsid w:val="0008349A"/>
    <w:rsid w:val="000845E0"/>
    <w:rsid w:val="00090FB1"/>
    <w:rsid w:val="0009323C"/>
    <w:rsid w:val="00096186"/>
    <w:rsid w:val="000A72E4"/>
    <w:rsid w:val="000B0E2F"/>
    <w:rsid w:val="000B12EA"/>
    <w:rsid w:val="000B2430"/>
    <w:rsid w:val="000B5AF7"/>
    <w:rsid w:val="000C1D61"/>
    <w:rsid w:val="000D0B30"/>
    <w:rsid w:val="000D3181"/>
    <w:rsid w:val="000D446A"/>
    <w:rsid w:val="000E1561"/>
    <w:rsid w:val="000E21F1"/>
    <w:rsid w:val="000E233E"/>
    <w:rsid w:val="000F1EA5"/>
    <w:rsid w:val="000F3502"/>
    <w:rsid w:val="000F4D94"/>
    <w:rsid w:val="000F703E"/>
    <w:rsid w:val="000F7F04"/>
    <w:rsid w:val="00116955"/>
    <w:rsid w:val="001171AB"/>
    <w:rsid w:val="00120E86"/>
    <w:rsid w:val="00125DE9"/>
    <w:rsid w:val="001266CD"/>
    <w:rsid w:val="00126ADB"/>
    <w:rsid w:val="00131AA2"/>
    <w:rsid w:val="001332E0"/>
    <w:rsid w:val="00134DE7"/>
    <w:rsid w:val="00146BC4"/>
    <w:rsid w:val="001626AB"/>
    <w:rsid w:val="001660A9"/>
    <w:rsid w:val="00167932"/>
    <w:rsid w:val="00180977"/>
    <w:rsid w:val="00185354"/>
    <w:rsid w:val="001854DC"/>
    <w:rsid w:val="00186795"/>
    <w:rsid w:val="00191631"/>
    <w:rsid w:val="00192236"/>
    <w:rsid w:val="00194D09"/>
    <w:rsid w:val="001959D8"/>
    <w:rsid w:val="00195D56"/>
    <w:rsid w:val="001A3571"/>
    <w:rsid w:val="001A52D8"/>
    <w:rsid w:val="001A6D0A"/>
    <w:rsid w:val="001A7D5C"/>
    <w:rsid w:val="001B60AA"/>
    <w:rsid w:val="001B63C8"/>
    <w:rsid w:val="001B7A7C"/>
    <w:rsid w:val="001C1972"/>
    <w:rsid w:val="001C3984"/>
    <w:rsid w:val="001C421F"/>
    <w:rsid w:val="001D360D"/>
    <w:rsid w:val="001D570B"/>
    <w:rsid w:val="001F5D7F"/>
    <w:rsid w:val="001F6AB5"/>
    <w:rsid w:val="001F6EA1"/>
    <w:rsid w:val="002028AF"/>
    <w:rsid w:val="00223A8F"/>
    <w:rsid w:val="00234AFE"/>
    <w:rsid w:val="00261A8D"/>
    <w:rsid w:val="002720A1"/>
    <w:rsid w:val="002738DC"/>
    <w:rsid w:val="00274476"/>
    <w:rsid w:val="00283C1C"/>
    <w:rsid w:val="00287928"/>
    <w:rsid w:val="00290F9D"/>
    <w:rsid w:val="00291A00"/>
    <w:rsid w:val="00291A11"/>
    <w:rsid w:val="002A315C"/>
    <w:rsid w:val="002A3342"/>
    <w:rsid w:val="002A64BA"/>
    <w:rsid w:val="002B0D21"/>
    <w:rsid w:val="002B4989"/>
    <w:rsid w:val="002B5501"/>
    <w:rsid w:val="002C2510"/>
    <w:rsid w:val="002C33E1"/>
    <w:rsid w:val="002D63E6"/>
    <w:rsid w:val="002D714E"/>
    <w:rsid w:val="002E1591"/>
    <w:rsid w:val="002E2EBF"/>
    <w:rsid w:val="002E53C3"/>
    <w:rsid w:val="002F008D"/>
    <w:rsid w:val="002F1468"/>
    <w:rsid w:val="002F4794"/>
    <w:rsid w:val="002F576F"/>
    <w:rsid w:val="002F5F0C"/>
    <w:rsid w:val="0030328F"/>
    <w:rsid w:val="00306495"/>
    <w:rsid w:val="00311C39"/>
    <w:rsid w:val="00320F7F"/>
    <w:rsid w:val="00324635"/>
    <w:rsid w:val="003265EB"/>
    <w:rsid w:val="00327A90"/>
    <w:rsid w:val="0034329E"/>
    <w:rsid w:val="00343FAA"/>
    <w:rsid w:val="00347F5E"/>
    <w:rsid w:val="00353C98"/>
    <w:rsid w:val="003644FF"/>
    <w:rsid w:val="00371A20"/>
    <w:rsid w:val="00380696"/>
    <w:rsid w:val="003821B4"/>
    <w:rsid w:val="00382CF3"/>
    <w:rsid w:val="00386E75"/>
    <w:rsid w:val="00387D52"/>
    <w:rsid w:val="00392A40"/>
    <w:rsid w:val="003A1C9E"/>
    <w:rsid w:val="003A7CEA"/>
    <w:rsid w:val="003C12E2"/>
    <w:rsid w:val="003C234F"/>
    <w:rsid w:val="003C2D79"/>
    <w:rsid w:val="003C310E"/>
    <w:rsid w:val="003C6A89"/>
    <w:rsid w:val="003C79A5"/>
    <w:rsid w:val="003E06D1"/>
    <w:rsid w:val="003E60BF"/>
    <w:rsid w:val="003E764D"/>
    <w:rsid w:val="003F0BD3"/>
    <w:rsid w:val="003F278A"/>
    <w:rsid w:val="003F5FFB"/>
    <w:rsid w:val="003F6CF2"/>
    <w:rsid w:val="003F7A02"/>
    <w:rsid w:val="00403D22"/>
    <w:rsid w:val="0041693E"/>
    <w:rsid w:val="00422EA5"/>
    <w:rsid w:val="00422EFA"/>
    <w:rsid w:val="00424FE0"/>
    <w:rsid w:val="0042791F"/>
    <w:rsid w:val="004341F2"/>
    <w:rsid w:val="00440A67"/>
    <w:rsid w:val="00441B5E"/>
    <w:rsid w:val="00441FF0"/>
    <w:rsid w:val="004456ED"/>
    <w:rsid w:val="0047662C"/>
    <w:rsid w:val="004800E9"/>
    <w:rsid w:val="0048045A"/>
    <w:rsid w:val="004841B8"/>
    <w:rsid w:val="00486129"/>
    <w:rsid w:val="0049122F"/>
    <w:rsid w:val="004930F2"/>
    <w:rsid w:val="004A11CA"/>
    <w:rsid w:val="004B08A3"/>
    <w:rsid w:val="004B0F1C"/>
    <w:rsid w:val="004B2557"/>
    <w:rsid w:val="004B67F9"/>
    <w:rsid w:val="004C2DED"/>
    <w:rsid w:val="004E7CDA"/>
    <w:rsid w:val="004F2EE6"/>
    <w:rsid w:val="004F3597"/>
    <w:rsid w:val="004F46F3"/>
    <w:rsid w:val="00502DBA"/>
    <w:rsid w:val="005040C4"/>
    <w:rsid w:val="00507637"/>
    <w:rsid w:val="00507852"/>
    <w:rsid w:val="0051354A"/>
    <w:rsid w:val="00514767"/>
    <w:rsid w:val="00514DBF"/>
    <w:rsid w:val="00522E44"/>
    <w:rsid w:val="00542C94"/>
    <w:rsid w:val="005478C5"/>
    <w:rsid w:val="00550921"/>
    <w:rsid w:val="00550B43"/>
    <w:rsid w:val="00563712"/>
    <w:rsid w:val="00573631"/>
    <w:rsid w:val="00573C0B"/>
    <w:rsid w:val="00574D0D"/>
    <w:rsid w:val="005757F4"/>
    <w:rsid w:val="005768D7"/>
    <w:rsid w:val="00576CFA"/>
    <w:rsid w:val="00581583"/>
    <w:rsid w:val="0058556D"/>
    <w:rsid w:val="00587895"/>
    <w:rsid w:val="00592AF2"/>
    <w:rsid w:val="005947AD"/>
    <w:rsid w:val="00597748"/>
    <w:rsid w:val="005979E8"/>
    <w:rsid w:val="005B2D35"/>
    <w:rsid w:val="005B4D75"/>
    <w:rsid w:val="005C764F"/>
    <w:rsid w:val="005D0AF4"/>
    <w:rsid w:val="005D3313"/>
    <w:rsid w:val="005D3DDA"/>
    <w:rsid w:val="005E0FF8"/>
    <w:rsid w:val="005E54BD"/>
    <w:rsid w:val="005E6A82"/>
    <w:rsid w:val="005F2C97"/>
    <w:rsid w:val="005F6CCA"/>
    <w:rsid w:val="005F719D"/>
    <w:rsid w:val="006023BE"/>
    <w:rsid w:val="006104AF"/>
    <w:rsid w:val="00616206"/>
    <w:rsid w:val="00620028"/>
    <w:rsid w:val="006214B6"/>
    <w:rsid w:val="00621893"/>
    <w:rsid w:val="00631391"/>
    <w:rsid w:val="006348A7"/>
    <w:rsid w:val="006351E1"/>
    <w:rsid w:val="006447B1"/>
    <w:rsid w:val="00646DAE"/>
    <w:rsid w:val="006533A0"/>
    <w:rsid w:val="00662775"/>
    <w:rsid w:val="00666DF4"/>
    <w:rsid w:val="00671FE3"/>
    <w:rsid w:val="00674C42"/>
    <w:rsid w:val="0068105D"/>
    <w:rsid w:val="00681DB9"/>
    <w:rsid w:val="006852FC"/>
    <w:rsid w:val="006A69BC"/>
    <w:rsid w:val="006B2A87"/>
    <w:rsid w:val="006B40AB"/>
    <w:rsid w:val="006B5DC5"/>
    <w:rsid w:val="006C4BFD"/>
    <w:rsid w:val="006C7D30"/>
    <w:rsid w:val="006D763F"/>
    <w:rsid w:val="006E3C08"/>
    <w:rsid w:val="006E6414"/>
    <w:rsid w:val="00700ACF"/>
    <w:rsid w:val="00712487"/>
    <w:rsid w:val="00723A57"/>
    <w:rsid w:val="00731DE8"/>
    <w:rsid w:val="007429CD"/>
    <w:rsid w:val="0074554D"/>
    <w:rsid w:val="00750F3F"/>
    <w:rsid w:val="007530CA"/>
    <w:rsid w:val="007554B8"/>
    <w:rsid w:val="00755F2D"/>
    <w:rsid w:val="00756D68"/>
    <w:rsid w:val="007578D9"/>
    <w:rsid w:val="00757E8A"/>
    <w:rsid w:val="00762F9F"/>
    <w:rsid w:val="00763E43"/>
    <w:rsid w:val="00764EB5"/>
    <w:rsid w:val="00772CE6"/>
    <w:rsid w:val="00774D8C"/>
    <w:rsid w:val="007776FD"/>
    <w:rsid w:val="00777A95"/>
    <w:rsid w:val="00782416"/>
    <w:rsid w:val="007901F3"/>
    <w:rsid w:val="00790511"/>
    <w:rsid w:val="00790D15"/>
    <w:rsid w:val="00797D8E"/>
    <w:rsid w:val="007A5D00"/>
    <w:rsid w:val="007B0364"/>
    <w:rsid w:val="007B76D5"/>
    <w:rsid w:val="007C53F9"/>
    <w:rsid w:val="007C67AD"/>
    <w:rsid w:val="007D0981"/>
    <w:rsid w:val="007D0FE7"/>
    <w:rsid w:val="007D1929"/>
    <w:rsid w:val="007D237A"/>
    <w:rsid w:val="007D29EA"/>
    <w:rsid w:val="007D54DD"/>
    <w:rsid w:val="007D7A6A"/>
    <w:rsid w:val="007E45B6"/>
    <w:rsid w:val="007E4F43"/>
    <w:rsid w:val="008005BD"/>
    <w:rsid w:val="00803C27"/>
    <w:rsid w:val="00803CF1"/>
    <w:rsid w:val="00804696"/>
    <w:rsid w:val="008104BB"/>
    <w:rsid w:val="00817A13"/>
    <w:rsid w:val="008249C5"/>
    <w:rsid w:val="008526F9"/>
    <w:rsid w:val="0085285E"/>
    <w:rsid w:val="00853023"/>
    <w:rsid w:val="008534D4"/>
    <w:rsid w:val="00853BE2"/>
    <w:rsid w:val="008656B0"/>
    <w:rsid w:val="008660AB"/>
    <w:rsid w:val="00871696"/>
    <w:rsid w:val="00874880"/>
    <w:rsid w:val="00881E28"/>
    <w:rsid w:val="008905CE"/>
    <w:rsid w:val="00894C4B"/>
    <w:rsid w:val="008963F0"/>
    <w:rsid w:val="008A12E3"/>
    <w:rsid w:val="008A42FA"/>
    <w:rsid w:val="008B0AC7"/>
    <w:rsid w:val="008B17AC"/>
    <w:rsid w:val="008C2335"/>
    <w:rsid w:val="008C67C1"/>
    <w:rsid w:val="008D010E"/>
    <w:rsid w:val="008D1D39"/>
    <w:rsid w:val="008D6955"/>
    <w:rsid w:val="008F07D2"/>
    <w:rsid w:val="009077B6"/>
    <w:rsid w:val="00917851"/>
    <w:rsid w:val="00917F65"/>
    <w:rsid w:val="00923A53"/>
    <w:rsid w:val="009311E7"/>
    <w:rsid w:val="009363C6"/>
    <w:rsid w:val="00942694"/>
    <w:rsid w:val="00952BF9"/>
    <w:rsid w:val="0095678E"/>
    <w:rsid w:val="0097025B"/>
    <w:rsid w:val="00996A43"/>
    <w:rsid w:val="009A68FC"/>
    <w:rsid w:val="009A7E3A"/>
    <w:rsid w:val="009B1265"/>
    <w:rsid w:val="009B2F89"/>
    <w:rsid w:val="009B4A15"/>
    <w:rsid w:val="009B5693"/>
    <w:rsid w:val="009C18B7"/>
    <w:rsid w:val="009C3407"/>
    <w:rsid w:val="009C61A2"/>
    <w:rsid w:val="009C78E4"/>
    <w:rsid w:val="009D687E"/>
    <w:rsid w:val="009D78CA"/>
    <w:rsid w:val="009F123B"/>
    <w:rsid w:val="009F286E"/>
    <w:rsid w:val="009F6DE7"/>
    <w:rsid w:val="00A03060"/>
    <w:rsid w:val="00A069A9"/>
    <w:rsid w:val="00A07B59"/>
    <w:rsid w:val="00A10583"/>
    <w:rsid w:val="00A13114"/>
    <w:rsid w:val="00A1613C"/>
    <w:rsid w:val="00A27E6C"/>
    <w:rsid w:val="00A3075B"/>
    <w:rsid w:val="00A37FCB"/>
    <w:rsid w:val="00A40BEB"/>
    <w:rsid w:val="00A455E4"/>
    <w:rsid w:val="00A455F5"/>
    <w:rsid w:val="00A47E0C"/>
    <w:rsid w:val="00A54863"/>
    <w:rsid w:val="00A61D74"/>
    <w:rsid w:val="00A6295E"/>
    <w:rsid w:val="00A64F64"/>
    <w:rsid w:val="00A71015"/>
    <w:rsid w:val="00A84CCE"/>
    <w:rsid w:val="00A8688B"/>
    <w:rsid w:val="00A91163"/>
    <w:rsid w:val="00A9286F"/>
    <w:rsid w:val="00A96255"/>
    <w:rsid w:val="00AA5AFF"/>
    <w:rsid w:val="00AA67B7"/>
    <w:rsid w:val="00AB285B"/>
    <w:rsid w:val="00AB4CBA"/>
    <w:rsid w:val="00AB4E2E"/>
    <w:rsid w:val="00AC5277"/>
    <w:rsid w:val="00AD6005"/>
    <w:rsid w:val="00AF5552"/>
    <w:rsid w:val="00AF5CB4"/>
    <w:rsid w:val="00AF5ED1"/>
    <w:rsid w:val="00AF71D6"/>
    <w:rsid w:val="00AF7A38"/>
    <w:rsid w:val="00B02D13"/>
    <w:rsid w:val="00B06005"/>
    <w:rsid w:val="00B060B1"/>
    <w:rsid w:val="00B216EE"/>
    <w:rsid w:val="00B3175F"/>
    <w:rsid w:val="00B31E2C"/>
    <w:rsid w:val="00B329B0"/>
    <w:rsid w:val="00B402D8"/>
    <w:rsid w:val="00B410B4"/>
    <w:rsid w:val="00B419D9"/>
    <w:rsid w:val="00B4237C"/>
    <w:rsid w:val="00B42FE8"/>
    <w:rsid w:val="00B43D6D"/>
    <w:rsid w:val="00B52AFD"/>
    <w:rsid w:val="00B54077"/>
    <w:rsid w:val="00B54C82"/>
    <w:rsid w:val="00B61FBE"/>
    <w:rsid w:val="00B67A73"/>
    <w:rsid w:val="00B8087E"/>
    <w:rsid w:val="00B8111F"/>
    <w:rsid w:val="00B81F04"/>
    <w:rsid w:val="00B831CA"/>
    <w:rsid w:val="00B86874"/>
    <w:rsid w:val="00BA0C8D"/>
    <w:rsid w:val="00BA2B1A"/>
    <w:rsid w:val="00BA5BDF"/>
    <w:rsid w:val="00BB42BE"/>
    <w:rsid w:val="00BB444A"/>
    <w:rsid w:val="00BB646E"/>
    <w:rsid w:val="00BD0C2E"/>
    <w:rsid w:val="00BD1BA1"/>
    <w:rsid w:val="00BD533E"/>
    <w:rsid w:val="00BE25E3"/>
    <w:rsid w:val="00BF7F64"/>
    <w:rsid w:val="00C019E5"/>
    <w:rsid w:val="00C15FF0"/>
    <w:rsid w:val="00C16774"/>
    <w:rsid w:val="00C31736"/>
    <w:rsid w:val="00C35BC4"/>
    <w:rsid w:val="00C37EF0"/>
    <w:rsid w:val="00C406F8"/>
    <w:rsid w:val="00C421D8"/>
    <w:rsid w:val="00C43F5B"/>
    <w:rsid w:val="00C520AC"/>
    <w:rsid w:val="00C661FD"/>
    <w:rsid w:val="00C66754"/>
    <w:rsid w:val="00C73EFF"/>
    <w:rsid w:val="00C92744"/>
    <w:rsid w:val="00CA0E4E"/>
    <w:rsid w:val="00CB4371"/>
    <w:rsid w:val="00CC516D"/>
    <w:rsid w:val="00CD13A3"/>
    <w:rsid w:val="00CD4A5B"/>
    <w:rsid w:val="00CE54BB"/>
    <w:rsid w:val="00D06B87"/>
    <w:rsid w:val="00D17F38"/>
    <w:rsid w:val="00D232FF"/>
    <w:rsid w:val="00D24330"/>
    <w:rsid w:val="00D25E8C"/>
    <w:rsid w:val="00D40056"/>
    <w:rsid w:val="00D41521"/>
    <w:rsid w:val="00D436EB"/>
    <w:rsid w:val="00D51E7C"/>
    <w:rsid w:val="00D54F29"/>
    <w:rsid w:val="00D61F59"/>
    <w:rsid w:val="00D62232"/>
    <w:rsid w:val="00D7020C"/>
    <w:rsid w:val="00D70AD9"/>
    <w:rsid w:val="00D72152"/>
    <w:rsid w:val="00D72421"/>
    <w:rsid w:val="00D74BDB"/>
    <w:rsid w:val="00D773CE"/>
    <w:rsid w:val="00D90A10"/>
    <w:rsid w:val="00D93141"/>
    <w:rsid w:val="00D94BA5"/>
    <w:rsid w:val="00D9510F"/>
    <w:rsid w:val="00D96989"/>
    <w:rsid w:val="00DA615C"/>
    <w:rsid w:val="00DB7EEC"/>
    <w:rsid w:val="00DC1006"/>
    <w:rsid w:val="00DC796A"/>
    <w:rsid w:val="00DD1BC6"/>
    <w:rsid w:val="00DE0238"/>
    <w:rsid w:val="00DE2AC8"/>
    <w:rsid w:val="00DE5DC3"/>
    <w:rsid w:val="00DE5E0A"/>
    <w:rsid w:val="00DF2C48"/>
    <w:rsid w:val="00DF4288"/>
    <w:rsid w:val="00E00D8A"/>
    <w:rsid w:val="00E06010"/>
    <w:rsid w:val="00E1050F"/>
    <w:rsid w:val="00E11604"/>
    <w:rsid w:val="00E11D92"/>
    <w:rsid w:val="00E130A0"/>
    <w:rsid w:val="00E15B9E"/>
    <w:rsid w:val="00E210C4"/>
    <w:rsid w:val="00E23DB7"/>
    <w:rsid w:val="00E408B9"/>
    <w:rsid w:val="00E42303"/>
    <w:rsid w:val="00E46D96"/>
    <w:rsid w:val="00E508D6"/>
    <w:rsid w:val="00E52585"/>
    <w:rsid w:val="00E52CCA"/>
    <w:rsid w:val="00E64C37"/>
    <w:rsid w:val="00E66409"/>
    <w:rsid w:val="00E8059D"/>
    <w:rsid w:val="00E81D5B"/>
    <w:rsid w:val="00E90D63"/>
    <w:rsid w:val="00E976B9"/>
    <w:rsid w:val="00EA03AE"/>
    <w:rsid w:val="00EA05D3"/>
    <w:rsid w:val="00EA18C3"/>
    <w:rsid w:val="00EA399B"/>
    <w:rsid w:val="00EB19AD"/>
    <w:rsid w:val="00EB2F31"/>
    <w:rsid w:val="00EB56AB"/>
    <w:rsid w:val="00EB58AF"/>
    <w:rsid w:val="00EB6493"/>
    <w:rsid w:val="00EC2567"/>
    <w:rsid w:val="00EC2915"/>
    <w:rsid w:val="00EC63A8"/>
    <w:rsid w:val="00ED05A9"/>
    <w:rsid w:val="00ED1BA0"/>
    <w:rsid w:val="00EF47E2"/>
    <w:rsid w:val="00EF5E26"/>
    <w:rsid w:val="00EF5E9D"/>
    <w:rsid w:val="00F138AB"/>
    <w:rsid w:val="00F17257"/>
    <w:rsid w:val="00F17777"/>
    <w:rsid w:val="00F34D24"/>
    <w:rsid w:val="00F4130B"/>
    <w:rsid w:val="00F556A2"/>
    <w:rsid w:val="00F574C8"/>
    <w:rsid w:val="00F67109"/>
    <w:rsid w:val="00F67AB4"/>
    <w:rsid w:val="00F719A8"/>
    <w:rsid w:val="00F72E99"/>
    <w:rsid w:val="00F76272"/>
    <w:rsid w:val="00F878B9"/>
    <w:rsid w:val="00F879B9"/>
    <w:rsid w:val="00F9625B"/>
    <w:rsid w:val="00FA6DA9"/>
    <w:rsid w:val="00FA7867"/>
    <w:rsid w:val="00FB24E8"/>
    <w:rsid w:val="00FB3B2B"/>
    <w:rsid w:val="00FC18DA"/>
    <w:rsid w:val="00FC3917"/>
    <w:rsid w:val="00FC4EFD"/>
    <w:rsid w:val="00FC7ACF"/>
    <w:rsid w:val="00FD3543"/>
    <w:rsid w:val="00FD50D3"/>
    <w:rsid w:val="00FD60DA"/>
    <w:rsid w:val="00FF07B4"/>
    <w:rsid w:val="00FF76F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2E1591"/>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UnresolvedMention2">
    <w:name w:val="Unresolved Mention2"/>
    <w:basedOn w:val="DefaultParagraphFont"/>
    <w:uiPriority w:val="99"/>
    <w:semiHidden/>
    <w:unhideWhenUsed/>
    <w:rsid w:val="0074554D"/>
    <w:rPr>
      <w:color w:val="605E5C"/>
      <w:shd w:val="clear" w:color="auto" w:fill="E1DFDD"/>
    </w:rPr>
  </w:style>
  <w:style w:type="character" w:customStyle="1" w:styleId="UnresolvedMention3">
    <w:name w:val="Unresolved Mention3"/>
    <w:basedOn w:val="DefaultParagraphFont"/>
    <w:uiPriority w:val="99"/>
    <w:semiHidden/>
    <w:unhideWhenUsed/>
    <w:rsid w:val="002B5501"/>
    <w:rPr>
      <w:color w:val="605E5C"/>
      <w:shd w:val="clear" w:color="auto" w:fill="E1DFDD"/>
    </w:rPr>
  </w:style>
  <w:style w:type="character" w:styleId="FollowedHyperlink">
    <w:name w:val="FollowedHyperlink"/>
    <w:basedOn w:val="DefaultParagraphFont"/>
    <w:uiPriority w:val="99"/>
    <w:semiHidden/>
    <w:unhideWhenUsed/>
    <w:rsid w:val="0041693E"/>
    <w:rPr>
      <w:color w:val="800080" w:themeColor="followedHyperlink"/>
      <w:u w:val="single"/>
    </w:rPr>
  </w:style>
  <w:style w:type="character" w:styleId="UnresolvedMention">
    <w:name w:val="Unresolved Mention"/>
    <w:basedOn w:val="DefaultParagraphFont"/>
    <w:uiPriority w:val="99"/>
    <w:semiHidden/>
    <w:unhideWhenUsed/>
    <w:rsid w:val="002E1591"/>
    <w:rPr>
      <w:color w:val="605E5C"/>
      <w:shd w:val="clear" w:color="auto" w:fill="E1DFDD"/>
    </w:rPr>
  </w:style>
  <w:style w:type="paragraph" w:styleId="Revision">
    <w:name w:val="Revision"/>
    <w:hidden/>
    <w:uiPriority w:val="99"/>
    <w:semiHidden/>
    <w:rsid w:val="00C661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19121">
      <w:bodyDiv w:val="1"/>
      <w:marLeft w:val="0"/>
      <w:marRight w:val="0"/>
      <w:marTop w:val="0"/>
      <w:marBottom w:val="0"/>
      <w:divBdr>
        <w:top w:val="none" w:sz="0" w:space="0" w:color="auto"/>
        <w:left w:val="none" w:sz="0" w:space="0" w:color="auto"/>
        <w:bottom w:val="none" w:sz="0" w:space="0" w:color="auto"/>
        <w:right w:val="none" w:sz="0" w:space="0" w:color="auto"/>
      </w:divBdr>
    </w:div>
    <w:div w:id="172688161">
      <w:bodyDiv w:val="1"/>
      <w:marLeft w:val="0"/>
      <w:marRight w:val="0"/>
      <w:marTop w:val="0"/>
      <w:marBottom w:val="0"/>
      <w:divBdr>
        <w:top w:val="none" w:sz="0" w:space="0" w:color="auto"/>
        <w:left w:val="none" w:sz="0" w:space="0" w:color="auto"/>
        <w:bottom w:val="none" w:sz="0" w:space="0" w:color="auto"/>
        <w:right w:val="none" w:sz="0" w:space="0" w:color="auto"/>
      </w:divBdr>
    </w:div>
    <w:div w:id="193688152">
      <w:bodyDiv w:val="1"/>
      <w:marLeft w:val="0"/>
      <w:marRight w:val="0"/>
      <w:marTop w:val="0"/>
      <w:marBottom w:val="0"/>
      <w:divBdr>
        <w:top w:val="none" w:sz="0" w:space="0" w:color="auto"/>
        <w:left w:val="none" w:sz="0" w:space="0" w:color="auto"/>
        <w:bottom w:val="none" w:sz="0" w:space="0" w:color="auto"/>
        <w:right w:val="none" w:sz="0" w:space="0" w:color="auto"/>
      </w:divBdr>
    </w:div>
    <w:div w:id="480737525">
      <w:bodyDiv w:val="1"/>
      <w:marLeft w:val="0"/>
      <w:marRight w:val="0"/>
      <w:marTop w:val="0"/>
      <w:marBottom w:val="0"/>
      <w:divBdr>
        <w:top w:val="none" w:sz="0" w:space="0" w:color="auto"/>
        <w:left w:val="none" w:sz="0" w:space="0" w:color="auto"/>
        <w:bottom w:val="none" w:sz="0" w:space="0" w:color="auto"/>
        <w:right w:val="none" w:sz="0" w:space="0" w:color="auto"/>
      </w:divBdr>
    </w:div>
    <w:div w:id="534848705">
      <w:bodyDiv w:val="1"/>
      <w:marLeft w:val="0"/>
      <w:marRight w:val="0"/>
      <w:marTop w:val="0"/>
      <w:marBottom w:val="0"/>
      <w:divBdr>
        <w:top w:val="none" w:sz="0" w:space="0" w:color="auto"/>
        <w:left w:val="none" w:sz="0" w:space="0" w:color="auto"/>
        <w:bottom w:val="none" w:sz="0" w:space="0" w:color="auto"/>
        <w:right w:val="none" w:sz="0" w:space="0" w:color="auto"/>
      </w:divBdr>
    </w:div>
    <w:div w:id="548882261">
      <w:bodyDiv w:val="1"/>
      <w:marLeft w:val="0"/>
      <w:marRight w:val="0"/>
      <w:marTop w:val="0"/>
      <w:marBottom w:val="0"/>
      <w:divBdr>
        <w:top w:val="none" w:sz="0" w:space="0" w:color="auto"/>
        <w:left w:val="none" w:sz="0" w:space="0" w:color="auto"/>
        <w:bottom w:val="none" w:sz="0" w:space="0" w:color="auto"/>
        <w:right w:val="none" w:sz="0" w:space="0" w:color="auto"/>
      </w:divBdr>
    </w:div>
    <w:div w:id="725301259">
      <w:bodyDiv w:val="1"/>
      <w:marLeft w:val="0"/>
      <w:marRight w:val="0"/>
      <w:marTop w:val="0"/>
      <w:marBottom w:val="0"/>
      <w:divBdr>
        <w:top w:val="none" w:sz="0" w:space="0" w:color="auto"/>
        <w:left w:val="none" w:sz="0" w:space="0" w:color="auto"/>
        <w:bottom w:val="none" w:sz="0" w:space="0" w:color="auto"/>
        <w:right w:val="none" w:sz="0" w:space="0" w:color="auto"/>
      </w:divBdr>
    </w:div>
    <w:div w:id="843974516">
      <w:bodyDiv w:val="1"/>
      <w:marLeft w:val="0"/>
      <w:marRight w:val="0"/>
      <w:marTop w:val="0"/>
      <w:marBottom w:val="0"/>
      <w:divBdr>
        <w:top w:val="none" w:sz="0" w:space="0" w:color="auto"/>
        <w:left w:val="none" w:sz="0" w:space="0" w:color="auto"/>
        <w:bottom w:val="none" w:sz="0" w:space="0" w:color="auto"/>
        <w:right w:val="none" w:sz="0" w:space="0" w:color="auto"/>
      </w:divBdr>
    </w:div>
    <w:div w:id="85361104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14735605">
      <w:bodyDiv w:val="1"/>
      <w:marLeft w:val="0"/>
      <w:marRight w:val="0"/>
      <w:marTop w:val="0"/>
      <w:marBottom w:val="0"/>
      <w:divBdr>
        <w:top w:val="none" w:sz="0" w:space="0" w:color="auto"/>
        <w:left w:val="none" w:sz="0" w:space="0" w:color="auto"/>
        <w:bottom w:val="none" w:sz="0" w:space="0" w:color="auto"/>
        <w:right w:val="none" w:sz="0" w:space="0" w:color="auto"/>
      </w:divBdr>
    </w:div>
    <w:div w:id="1351948835">
      <w:bodyDiv w:val="1"/>
      <w:marLeft w:val="0"/>
      <w:marRight w:val="0"/>
      <w:marTop w:val="0"/>
      <w:marBottom w:val="0"/>
      <w:divBdr>
        <w:top w:val="none" w:sz="0" w:space="0" w:color="auto"/>
        <w:left w:val="none" w:sz="0" w:space="0" w:color="auto"/>
        <w:bottom w:val="none" w:sz="0" w:space="0" w:color="auto"/>
        <w:right w:val="none" w:sz="0" w:space="0" w:color="auto"/>
      </w:divBdr>
    </w:div>
    <w:div w:id="1415009935">
      <w:bodyDiv w:val="1"/>
      <w:marLeft w:val="0"/>
      <w:marRight w:val="0"/>
      <w:marTop w:val="0"/>
      <w:marBottom w:val="0"/>
      <w:divBdr>
        <w:top w:val="none" w:sz="0" w:space="0" w:color="auto"/>
        <w:left w:val="none" w:sz="0" w:space="0" w:color="auto"/>
        <w:bottom w:val="none" w:sz="0" w:space="0" w:color="auto"/>
        <w:right w:val="none" w:sz="0" w:space="0" w:color="auto"/>
      </w:divBdr>
    </w:div>
    <w:div w:id="1417900961">
      <w:bodyDiv w:val="1"/>
      <w:marLeft w:val="0"/>
      <w:marRight w:val="0"/>
      <w:marTop w:val="0"/>
      <w:marBottom w:val="0"/>
      <w:divBdr>
        <w:top w:val="none" w:sz="0" w:space="0" w:color="auto"/>
        <w:left w:val="none" w:sz="0" w:space="0" w:color="auto"/>
        <w:bottom w:val="none" w:sz="0" w:space="0" w:color="auto"/>
        <w:right w:val="none" w:sz="0" w:space="0" w:color="auto"/>
      </w:divBdr>
    </w:div>
    <w:div w:id="1987321897">
      <w:bodyDiv w:val="1"/>
      <w:marLeft w:val="0"/>
      <w:marRight w:val="0"/>
      <w:marTop w:val="0"/>
      <w:marBottom w:val="0"/>
      <w:divBdr>
        <w:top w:val="none" w:sz="0" w:space="0" w:color="auto"/>
        <w:left w:val="none" w:sz="0" w:space="0" w:color="auto"/>
        <w:bottom w:val="none" w:sz="0" w:space="0" w:color="auto"/>
        <w:right w:val="none" w:sz="0" w:space="0" w:color="auto"/>
      </w:divBdr>
    </w:div>
    <w:div w:id="210110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bd.int/abs/common-formats/en/ABSCH-MSR-en.doc" TargetMode="External"/><Relationship Id="rId18" Type="http://schemas.openxmlformats.org/officeDocument/2006/relationships/hyperlink" Target="http://www.fao.org/plant-treaty/areas-of-work/compliance/compliance-reports/en/"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cbd.int/abs/text/default.shtml" TargetMode="External"/><Relationship Id="rId7" Type="http://schemas.openxmlformats.org/officeDocument/2006/relationships/settings" Target="settings.xml"/><Relationship Id="rId12" Type="http://schemas.openxmlformats.org/officeDocument/2006/relationships/hyperlink" Target="https://mls.planttreaty.org" TargetMode="External"/><Relationship Id="rId17" Type="http://schemas.openxmlformats.org/officeDocument/2006/relationships/hyperlink" Target="https://absch.cbd.int/countri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reaties.un.org/Pages/ViewDetails.aspx?src=TREATY&amp;mtdsg_no=XXVII-8-b&amp;chapter=27" TargetMode="External"/><Relationship Id="rId20" Type="http://schemas.openxmlformats.org/officeDocument/2006/relationships/hyperlink" Target="https://absch.cbd.int/en/kb/tags/getting-started/Getting-started-using-the-ABS-Clearing-House-for-Governments/5bbe211fb899670001de9bb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plant-treaty/areas-of-work/compliance/compliance-reports/en/"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fao.org/3/a-mn566e.pdf" TargetMode="External"/><Relationship Id="rId23" Type="http://schemas.openxmlformats.org/officeDocument/2006/relationships/hyperlink" Target="https://mls.planttreaty.org" TargetMode="External"/><Relationship Id="rId10" Type="http://schemas.openxmlformats.org/officeDocument/2006/relationships/endnotes" Target="endnotes.xml"/><Relationship Id="rId19" Type="http://schemas.openxmlformats.org/officeDocument/2006/relationships/hyperlink" Target="https://mls.planttreaty.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3/a-be452e.pdf" TargetMode="External"/><Relationship Id="rId22" Type="http://schemas.openxmlformats.org/officeDocument/2006/relationships/hyperlink" Target="http://absch.cbd.int"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B20D351-7A40-462C-837B-22178834B720}"/>
      </w:docPartPr>
      <w:docPartBody>
        <w:p w:rsidR="00000000" w:rsidRDefault="008544E8">
          <w:r w:rsidRPr="005C7A5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E8"/>
    <w:rsid w:val="008544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44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anguage xmlns="394bbfa8-7490-4a48-8e49-faa91c2d11d7">English</Language>
    <BriefDescription xmlns="394bbfa8-7490-4a48-8e49-faa91c2d11d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2DCE20B4A46324F91882C0B469D095E" ma:contentTypeVersion="16" ma:contentTypeDescription="Create a new document." ma:contentTypeScope="" ma:versionID="8894a9de68c07c4d1932688842b432e5">
  <xsd:schema xmlns:xsd="http://www.w3.org/2001/XMLSchema" xmlns:xs="http://www.w3.org/2001/XMLSchema" xmlns:p="http://schemas.microsoft.com/office/2006/metadata/properties" xmlns:ns2="394bbfa8-7490-4a48-8e49-faa91c2d11d7" xmlns:ns3="600c1254-847a-46ac-8186-5eb644b4cfcd" targetNamespace="http://schemas.microsoft.com/office/2006/metadata/properties" ma:root="true" ma:fieldsID="799e5412ea7673e81c020335328526de" ns2:_="" ns3:_="">
    <xsd:import namespace="394bbfa8-7490-4a48-8e49-faa91c2d11d7"/>
    <xsd:import namespace="600c1254-847a-46ac-8186-5eb644b4cfc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BriefDescription" minOccurs="0"/>
                <xsd:element ref="ns2:Langu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bbfa8-7490-4a48-8e49-faa91c2d11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BriefDescription" ma:index="21" nillable="true" ma:displayName="Brief Description" ma:format="Dropdown" ma:internalName="BriefDescription">
      <xsd:simpleType>
        <xsd:restriction base="dms:Note">
          <xsd:maxLength value="255"/>
        </xsd:restriction>
      </xsd:simpleType>
    </xsd:element>
    <xsd:element name="Language" ma:index="22" nillable="true" ma:displayName="Language" ma:default="English" ma:format="Dropdown" ma:internalName="Language">
      <xsd:simpleType>
        <xsd:union memberTypes="dms:Text">
          <xsd:simpleType>
            <xsd:restriction base="dms:Choice">
              <xsd:enumeration value="English"/>
              <xsd:enumeration value="Spanish"/>
              <xsd:enumeration value="French"/>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600c1254-847a-46ac-8186-5eb644b4cfc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394bbfa8-7490-4a48-8e49-faa91c2d11d7"/>
    <ds:schemaRef ds:uri="http://purl.org/dc/elements/1.1/"/>
    <ds:schemaRef ds:uri="http://purl.org/dc/terms/"/>
    <ds:schemaRef ds:uri="http://www.w3.org/XML/1998/namespace"/>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600c1254-847a-46ac-8186-5eb644b4cfcd"/>
    <ds:schemaRef ds:uri="http://schemas.microsoft.com/office/2006/metadata/propertie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E88391AA-B116-4C81-9CF5-13717CA5FCBC}">
  <ds:schemaRefs>
    <ds:schemaRef ds:uri="http://schemas.openxmlformats.org/officeDocument/2006/bibliography"/>
  </ds:schemaRefs>
</ds:datastoreItem>
</file>

<file path=customXml/itemProps4.xml><?xml version="1.0" encoding="utf-8"?>
<ds:datastoreItem xmlns:ds="http://schemas.openxmlformats.org/officeDocument/2006/customXml" ds:itemID="{240DB66A-77D1-43DA-96B2-AE8409B7A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bbfa8-7490-4a48-8e49-faa91c2d11d7"/>
    <ds:schemaRef ds:uri="600c1254-847a-46ac-8186-5eb644b4cf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3698</Words>
  <Characters>21079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Harumi Shibata Salazar</cp:lastModifiedBy>
  <cp:revision>6</cp:revision>
  <cp:lastPrinted>2022-03-23T09:32:00Z</cp:lastPrinted>
  <dcterms:created xsi:type="dcterms:W3CDTF">2022-03-23T13:16:00Z</dcterms:created>
  <dcterms:modified xsi:type="dcterms:W3CDTF">2022-12-20T22:28:00Z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0x010100D2DCE20B4A46324F91882C0B469D095E</vt:lpwstr>
  </property>
</Properties>
</file>