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3413471B" w:rsidR="00B31E2C" w:rsidRPr="00A96255" w:rsidRDefault="00B31E2C" w:rsidP="00D95508">
      <w:pPr>
        <w:pStyle w:val="MIndHeader2"/>
        <w:jc w:val="both"/>
      </w:pPr>
      <w:r w:rsidRPr="00A96255">
        <w:t xml:space="preserve">0. Indicator information </w:t>
      </w:r>
      <w:r>
        <w:rPr>
          <w:color w:val="B4B4B4"/>
          <w:sz w:val="20"/>
        </w:rPr>
        <w:t>(SDG_INDICATOR_INFO)</w:t>
      </w:r>
    </w:p>
    <w:p w14:paraId="043ED752" w14:textId="28D7692E" w:rsidR="00D24330" w:rsidRPr="00A96255" w:rsidRDefault="00D24330" w:rsidP="00D95508">
      <w:pPr>
        <w:pStyle w:val="MIndHeader"/>
        <w:jc w:val="both"/>
      </w:pPr>
      <w:r w:rsidRPr="00A96255">
        <w:t xml:space="preserve">0.a. Goal </w:t>
      </w:r>
      <w:r>
        <w:rPr>
          <w:color w:val="B4B4B4"/>
          <w:sz w:val="20"/>
        </w:rPr>
        <w:t>(SDG_GOAL)</w:t>
      </w:r>
    </w:p>
    <w:p w14:paraId="24CFFA38" w14:textId="5D35080A" w:rsidR="0097795D" w:rsidRPr="00A96255" w:rsidRDefault="0097795D" w:rsidP="00D95508">
      <w:pPr>
        <w:pStyle w:val="MGTHeader"/>
        <w:jc w:val="both"/>
      </w:pPr>
      <w:r w:rsidRPr="0097795D">
        <w:t xml:space="preserve">Goal 16: Promote peaceful and inclusive societies for sustainable development, provide access to justice for all and build effective, accountable and inclusive institutions at all </w:t>
      </w:r>
      <w:proofErr w:type="gramStart"/>
      <w:r w:rsidRPr="0097795D">
        <w:t>levels</w:t>
      </w:r>
      <w:proofErr w:type="gramEnd"/>
    </w:p>
    <w:p w14:paraId="084142D2" w14:textId="77777777" w:rsidR="00D24330" w:rsidRPr="00A96255" w:rsidRDefault="00D24330" w:rsidP="00D95508">
      <w:pPr>
        <w:pStyle w:val="MIndHeader"/>
        <w:jc w:val="both"/>
      </w:pPr>
      <w:r w:rsidRPr="00A96255">
        <w:t xml:space="preserve">0.b. Target </w:t>
      </w:r>
      <w:r>
        <w:rPr>
          <w:color w:val="B4B4B4"/>
          <w:sz w:val="20"/>
        </w:rPr>
        <w:t>(SDG_TARGET)</w:t>
      </w:r>
    </w:p>
    <w:p w14:paraId="4FCC0786" w14:textId="28B84A29" w:rsidR="0097795D" w:rsidRPr="00A96255" w:rsidRDefault="0097795D" w:rsidP="00D95508">
      <w:pPr>
        <w:pStyle w:val="MGTHeader"/>
        <w:jc w:val="both"/>
      </w:pPr>
      <w:r w:rsidRPr="0097795D">
        <w:t xml:space="preserve">Target 16.6: Develop effective, accountable and transparent institutions at all </w:t>
      </w:r>
      <w:proofErr w:type="gramStart"/>
      <w:r w:rsidRPr="0097795D">
        <w:t>levels</w:t>
      </w:r>
      <w:proofErr w:type="gramEnd"/>
    </w:p>
    <w:p w14:paraId="3E67E7E0" w14:textId="77777777" w:rsidR="00D24330" w:rsidRPr="00A96255" w:rsidRDefault="00D24330" w:rsidP="00D95508">
      <w:pPr>
        <w:pStyle w:val="MIndHeader"/>
        <w:jc w:val="both"/>
      </w:pPr>
      <w:r w:rsidRPr="00A96255">
        <w:t xml:space="preserve">0.c. Indicator </w:t>
      </w:r>
      <w:r>
        <w:rPr>
          <w:color w:val="B4B4B4"/>
          <w:sz w:val="20"/>
        </w:rPr>
        <w:t>(SDG_INDICATOR)</w:t>
      </w:r>
    </w:p>
    <w:p w14:paraId="7A2EBE8A" w14:textId="1A719F5E" w:rsidR="0097795D" w:rsidRPr="00A96255" w:rsidRDefault="0097795D" w:rsidP="00D95508">
      <w:pPr>
        <w:pStyle w:val="MGTHeader"/>
        <w:jc w:val="both"/>
      </w:pPr>
      <w:r w:rsidRPr="0097795D">
        <w:t>Indicator 16.6.1: Primary government expenditures as a proportion of original approved budget, by sector (or by budget codes or similar)</w:t>
      </w:r>
    </w:p>
    <w:p w14:paraId="37E5E4F6" w14:textId="77777777" w:rsidR="00D24330" w:rsidRPr="00A96255" w:rsidRDefault="00D24330" w:rsidP="00D95508">
      <w:pPr>
        <w:pStyle w:val="MIndHeader"/>
        <w:jc w:val="both"/>
      </w:pPr>
      <w:r w:rsidRPr="00A96255">
        <w:t xml:space="preserve">0.d. Series </w:t>
      </w:r>
      <w:r>
        <w:rPr>
          <w:color w:val="B4B4B4"/>
          <w:sz w:val="20"/>
        </w:rPr>
        <w:t>(SDG_SERIES_DESCR)</w:t>
      </w:r>
    </w:p>
    <w:p w14:paraId="771888BA" w14:textId="39CBCF28" w:rsidR="00D24330" w:rsidRPr="00A96255" w:rsidRDefault="00F0158B" w:rsidP="00D95508">
      <w:pPr>
        <w:pStyle w:val="MGTHeader"/>
        <w:jc w:val="both"/>
      </w:pPr>
      <w:r w:rsidRPr="00F0158B">
        <w:t>GF_XPD_GBPC - Primary government expenditures as a proportion of original approved budget [16.6.1]</w:t>
      </w:r>
    </w:p>
    <w:p w14:paraId="157DACE7" w14:textId="77777777" w:rsidR="00D24330" w:rsidRPr="00A96255" w:rsidRDefault="00D24330" w:rsidP="00D95508">
      <w:pPr>
        <w:pStyle w:val="MIndHeader"/>
        <w:jc w:val="both"/>
      </w:pPr>
      <w:r w:rsidRPr="00A96255">
        <w:t xml:space="preserve">0.e. Metadata update </w:t>
      </w:r>
      <w:r>
        <w:rPr>
          <w:color w:val="B4B4B4"/>
          <w:sz w:val="20"/>
        </w:rPr>
        <w:t>(META_LAST_UPDATE)</w:t>
      </w:r>
    </w:p>
    <w:sdt>
      <w:sdtPr>
        <w:id w:val="1880348461"/>
        <w:placeholder>
          <w:docPart w:val="DefaultPlaceholder_-1854013437"/>
        </w:placeholder>
        <w:date w:fullDate="2024-07-29T00:00:00Z">
          <w:dateFormat w:val="yyyy-MM-dd"/>
          <w:lid w:val="en-US"/>
          <w:storeMappedDataAs w:val="dateTime"/>
          <w:calendar w:val="gregorian"/>
        </w:date>
      </w:sdtPr>
      <w:sdtContent>
        <w:p w14:paraId="6EB8C888" w14:textId="35FD7961" w:rsidR="0097795D" w:rsidRPr="00A96255" w:rsidRDefault="00381843" w:rsidP="00D95508">
          <w:pPr>
            <w:pStyle w:val="MGTHeader"/>
            <w:jc w:val="both"/>
          </w:pPr>
          <w:r>
            <w:rPr>
              <w:lang w:val="en-US"/>
            </w:rPr>
            <w:t>2024-07-29</w:t>
          </w:r>
        </w:p>
      </w:sdtContent>
    </w:sdt>
    <w:p w14:paraId="415C9FF1" w14:textId="77777777" w:rsidR="00D24330" w:rsidRPr="00A96255" w:rsidRDefault="00D24330" w:rsidP="00D95508">
      <w:pPr>
        <w:pStyle w:val="MIndHeader"/>
        <w:jc w:val="both"/>
      </w:pPr>
      <w:r w:rsidRPr="00A96255">
        <w:t xml:space="preserve">0.f. Related indicators </w:t>
      </w:r>
      <w:r>
        <w:rPr>
          <w:color w:val="B4B4B4"/>
          <w:sz w:val="20"/>
        </w:rPr>
        <w:t>(SDG_RELATED_INDICATORS)</w:t>
      </w:r>
    </w:p>
    <w:p w14:paraId="719589AD" w14:textId="77777777" w:rsidR="001465B6" w:rsidRDefault="001465B6">
      <w:pPr>
        <w:pStyle w:val="MIndHeader"/>
        <w:jc w:val="both"/>
      </w:pPr>
    </w:p>
    <w:p w14:paraId="077BC49E" w14:textId="4DDEA610" w:rsidR="00D24330" w:rsidRPr="00A96255" w:rsidRDefault="00D24330" w:rsidP="00D63CDD">
      <w:pPr>
        <w:pStyle w:val="MIndHeader"/>
      </w:pPr>
      <w:r w:rsidRPr="00A96255">
        <w:t xml:space="preserve">0.g. International organisations(s) responsible for global monitoring </w:t>
      </w:r>
      <w:r>
        <w:rPr>
          <w:color w:val="B4B4B4"/>
          <w:sz w:val="20"/>
        </w:rPr>
        <w:t>(SDG_CUSTODIAN_AGENCIES)</w:t>
      </w:r>
    </w:p>
    <w:p w14:paraId="6530980D" w14:textId="0E9A5FB1" w:rsidR="0097795D" w:rsidRPr="00A96255" w:rsidRDefault="0097795D" w:rsidP="00D95508">
      <w:pPr>
        <w:pStyle w:val="MGTHeader"/>
        <w:jc w:val="both"/>
        <w:rPr>
          <w:color w:val="4A4A4A"/>
        </w:rPr>
      </w:pPr>
      <w:r w:rsidRPr="0097795D">
        <w:t>World Bank (WB)</w:t>
      </w:r>
    </w:p>
    <w:p w14:paraId="19F29921" w14:textId="77777777" w:rsidR="008D1D39" w:rsidRPr="00A96255" w:rsidRDefault="008D1D39" w:rsidP="00D95508">
      <w:pPr>
        <w:shd w:val="clear" w:color="auto" w:fill="FFFFFF"/>
        <w:spacing w:after="0"/>
        <w:jc w:val="both"/>
        <w:rPr>
          <w:rFonts w:eastAsia="Times New Roman" w:cs="Times New Roman"/>
          <w:color w:val="4A4A4A"/>
          <w:sz w:val="21"/>
          <w:szCs w:val="21"/>
          <w:lang w:eastAsia="en-GB"/>
        </w:rPr>
      </w:pPr>
    </w:p>
    <w:p w14:paraId="12E0D73A" w14:textId="48126E58" w:rsidR="00B31E2C" w:rsidRPr="00EA05D3" w:rsidRDefault="00B31E2C" w:rsidP="00D95508">
      <w:pPr>
        <w:pStyle w:val="MHeader"/>
        <w:jc w:val="both"/>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D95508">
      <w:pPr>
        <w:pStyle w:val="MHeader2"/>
        <w:jc w:val="both"/>
      </w:pPr>
      <w:r w:rsidRPr="00A96255">
        <w:t xml:space="preserve">1.a. Organisation </w:t>
      </w:r>
      <w:r>
        <w:rPr>
          <w:color w:val="B4B4B4"/>
          <w:sz w:val="20"/>
        </w:rPr>
        <w:t>(CONTACT_ORGANISATION)</w:t>
      </w:r>
    </w:p>
    <w:p w14:paraId="1EE6C58C" w14:textId="397CA5C7" w:rsidR="0097795D" w:rsidRDefault="0097795D" w:rsidP="00D95508">
      <w:pPr>
        <w:pStyle w:val="MText"/>
        <w:jc w:val="both"/>
      </w:pPr>
      <w:r w:rsidRPr="0097795D">
        <w:t>World Bank (WB)</w:t>
      </w:r>
    </w:p>
    <w:p w14:paraId="6E829FD0" w14:textId="2439F30A" w:rsidR="00F719A8" w:rsidRDefault="00F719A8" w:rsidP="00D95508">
      <w:pPr>
        <w:pStyle w:val="MText"/>
        <w:jc w:val="both"/>
      </w:pPr>
    </w:p>
    <w:p w14:paraId="14915AC8" w14:textId="7D506133" w:rsidR="00B31E2C" w:rsidRPr="00A96255" w:rsidRDefault="00B31E2C" w:rsidP="00D95508">
      <w:pPr>
        <w:pStyle w:val="MHeader"/>
        <w:jc w:val="both"/>
      </w:pPr>
      <w:r w:rsidRPr="00A96255">
        <w:t xml:space="preserve">2. Definition, concepts, and classifications </w:t>
      </w:r>
      <w:r>
        <w:rPr>
          <w:color w:val="B4B4B4"/>
          <w:sz w:val="20"/>
        </w:rPr>
        <w:t>(IND_DEF_CON_CLASS)</w:t>
      </w:r>
    </w:p>
    <w:p w14:paraId="2AC373EA" w14:textId="44236363" w:rsidR="008B0AC7" w:rsidRPr="00A96255" w:rsidRDefault="008B0AC7" w:rsidP="00D95508">
      <w:pPr>
        <w:pStyle w:val="MHeader2"/>
        <w:jc w:val="both"/>
      </w:pPr>
      <w:r w:rsidRPr="00A96255">
        <w:t xml:space="preserve">2.a. Definition and concepts </w:t>
      </w:r>
      <w:r>
        <w:rPr>
          <w:color w:val="B4B4B4"/>
          <w:sz w:val="20"/>
        </w:rPr>
        <w:t>(STAT_CONC_DEF)</w:t>
      </w:r>
    </w:p>
    <w:p w14:paraId="4F2F5666" w14:textId="77777777" w:rsidR="0097795D" w:rsidRPr="0021400E" w:rsidRDefault="0097795D" w:rsidP="00D95508">
      <w:pPr>
        <w:shd w:val="clear" w:color="auto" w:fill="FFFFFF"/>
        <w:spacing w:after="0"/>
        <w:jc w:val="both"/>
        <w:rPr>
          <w:rFonts w:cs="Times New Roman"/>
          <w:color w:val="4A4A4A"/>
          <w:sz w:val="21"/>
          <w:szCs w:val="21"/>
        </w:rPr>
      </w:pPr>
      <w:r w:rsidRPr="0021400E">
        <w:rPr>
          <w:rStyle w:val="Strong"/>
          <w:rFonts w:cs="Times New Roman"/>
          <w:color w:val="4A4A4A"/>
          <w:sz w:val="21"/>
          <w:szCs w:val="21"/>
        </w:rPr>
        <w:t>Definition:</w:t>
      </w:r>
    </w:p>
    <w:p w14:paraId="69418CB1" w14:textId="77777777" w:rsidR="0097795D" w:rsidRPr="0021400E" w:rsidRDefault="0097795D" w:rsidP="00D95508">
      <w:pPr>
        <w:shd w:val="clear" w:color="auto" w:fill="FFFFFF"/>
        <w:spacing w:after="0"/>
        <w:jc w:val="both"/>
        <w:rPr>
          <w:rFonts w:cs="Times New Roman"/>
          <w:color w:val="4A4A4A"/>
          <w:sz w:val="21"/>
          <w:szCs w:val="21"/>
        </w:rPr>
      </w:pPr>
      <w:r w:rsidRPr="0021400E">
        <w:rPr>
          <w:rFonts w:cs="Times New Roman"/>
          <w:color w:val="4A4A4A"/>
          <w:sz w:val="21"/>
          <w:szCs w:val="21"/>
        </w:rPr>
        <w:t>Primary government expenditures as a proportion of original approved budget</w:t>
      </w:r>
    </w:p>
    <w:p w14:paraId="12BF41FD" w14:textId="77777777" w:rsidR="0097795D" w:rsidRPr="0021400E" w:rsidRDefault="0097795D" w:rsidP="00D95508">
      <w:pPr>
        <w:shd w:val="clear" w:color="auto" w:fill="FFFFFF"/>
        <w:spacing w:after="0"/>
        <w:jc w:val="both"/>
        <w:rPr>
          <w:rFonts w:cs="Times New Roman"/>
          <w:color w:val="4A4A4A"/>
          <w:sz w:val="21"/>
          <w:szCs w:val="21"/>
        </w:rPr>
      </w:pPr>
    </w:p>
    <w:p w14:paraId="4E5338A9" w14:textId="03A21D55" w:rsidR="0097795D" w:rsidRPr="00934759" w:rsidRDefault="0097795D"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 xml:space="preserve">This indicator measures the extent to which aggregate budget expenditure outturn reflects the amount originally approved, as defined in government budget documentation and fiscal reports. The coverage is budgetary central government (BCG) and the time period </w:t>
      </w:r>
      <w:r w:rsidR="008457A2" w:rsidRPr="0021400E">
        <w:rPr>
          <w:rFonts w:asciiTheme="minorHAnsi" w:hAnsiTheme="minorHAnsi"/>
          <w:color w:val="4A4A4A"/>
          <w:sz w:val="21"/>
          <w:szCs w:val="21"/>
        </w:rPr>
        <w:t>covers</w:t>
      </w:r>
      <w:r w:rsidRPr="0021400E">
        <w:rPr>
          <w:rFonts w:asciiTheme="minorHAnsi" w:hAnsiTheme="minorHAnsi"/>
          <w:color w:val="4A4A4A"/>
          <w:sz w:val="21"/>
          <w:szCs w:val="21"/>
        </w:rPr>
        <w:t xml:space="preserve"> </w:t>
      </w:r>
      <w:r w:rsidR="004E736E">
        <w:rPr>
          <w:rFonts w:asciiTheme="minorHAnsi" w:hAnsiTheme="minorHAnsi"/>
          <w:color w:val="4A4A4A"/>
          <w:sz w:val="21"/>
          <w:szCs w:val="21"/>
        </w:rPr>
        <w:t>every f</w:t>
      </w:r>
      <w:r w:rsidR="00FC78F0">
        <w:rPr>
          <w:rFonts w:asciiTheme="minorHAnsi" w:hAnsiTheme="minorHAnsi"/>
          <w:color w:val="4A4A4A"/>
          <w:sz w:val="21"/>
          <w:szCs w:val="21"/>
        </w:rPr>
        <w:t>i</w:t>
      </w:r>
      <w:r w:rsidR="004E736E">
        <w:rPr>
          <w:rFonts w:asciiTheme="minorHAnsi" w:hAnsiTheme="minorHAnsi"/>
          <w:color w:val="4A4A4A"/>
          <w:sz w:val="21"/>
          <w:szCs w:val="21"/>
        </w:rPr>
        <w:t xml:space="preserve">scal </w:t>
      </w:r>
      <w:r w:rsidRPr="0021400E">
        <w:rPr>
          <w:rFonts w:asciiTheme="minorHAnsi" w:hAnsiTheme="minorHAnsi"/>
          <w:color w:val="4A4A4A"/>
          <w:sz w:val="21"/>
          <w:szCs w:val="21"/>
        </w:rPr>
        <w:t>year</w:t>
      </w:r>
      <w:r w:rsidR="004E736E">
        <w:rPr>
          <w:rFonts w:asciiTheme="minorHAnsi" w:hAnsiTheme="minorHAnsi"/>
          <w:color w:val="4A4A4A"/>
          <w:sz w:val="21"/>
          <w:szCs w:val="21"/>
        </w:rPr>
        <w:t xml:space="preserve"> for the </w:t>
      </w:r>
      <w:proofErr w:type="gramStart"/>
      <w:r w:rsidR="004E736E">
        <w:rPr>
          <w:rFonts w:asciiTheme="minorHAnsi" w:hAnsiTheme="minorHAnsi"/>
          <w:color w:val="4A4A4A"/>
          <w:sz w:val="21"/>
          <w:szCs w:val="21"/>
        </w:rPr>
        <w:t>count</w:t>
      </w:r>
      <w:r w:rsidR="00FC78F0">
        <w:rPr>
          <w:rFonts w:asciiTheme="minorHAnsi" w:hAnsiTheme="minorHAnsi"/>
          <w:color w:val="4A4A4A"/>
          <w:sz w:val="21"/>
          <w:szCs w:val="21"/>
        </w:rPr>
        <w:t>ries.</w:t>
      </w:r>
      <w:r w:rsidRPr="0021400E">
        <w:rPr>
          <w:rFonts w:asciiTheme="minorHAnsi" w:hAnsiTheme="minorHAnsi"/>
          <w:color w:val="4A4A4A"/>
          <w:sz w:val="21"/>
          <w:szCs w:val="21"/>
        </w:rPr>
        <w:t>.</w:t>
      </w:r>
      <w:proofErr w:type="gramEnd"/>
    </w:p>
    <w:p w14:paraId="69B19C9C" w14:textId="77777777" w:rsidR="0097795D" w:rsidRPr="0021400E" w:rsidRDefault="0097795D"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5DD1F81E" w14:textId="77777777" w:rsidR="0097795D" w:rsidRPr="0021400E" w:rsidRDefault="0097795D" w:rsidP="00D95508">
      <w:pPr>
        <w:shd w:val="clear" w:color="auto" w:fill="FFFFFF"/>
        <w:spacing w:after="0"/>
        <w:jc w:val="both"/>
        <w:rPr>
          <w:rFonts w:cs="Times New Roman"/>
          <w:color w:val="4A4A4A"/>
          <w:sz w:val="21"/>
          <w:szCs w:val="21"/>
        </w:rPr>
      </w:pPr>
      <w:r w:rsidRPr="0021400E">
        <w:rPr>
          <w:rStyle w:val="Strong"/>
          <w:rFonts w:cs="Times New Roman"/>
          <w:color w:val="4A4A4A"/>
          <w:sz w:val="21"/>
          <w:szCs w:val="21"/>
        </w:rPr>
        <w:t>Concepts:</w:t>
      </w:r>
    </w:p>
    <w:p w14:paraId="3C317509" w14:textId="77777777" w:rsidR="0097795D" w:rsidRPr="0021400E" w:rsidRDefault="0097795D"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 xml:space="preserve">Aggregate expenditure includes actual expenditures incorporating those incurred </w:t>
      </w:r>
      <w:proofErr w:type="gramStart"/>
      <w:r w:rsidRPr="0021400E">
        <w:rPr>
          <w:rFonts w:asciiTheme="minorHAnsi" w:hAnsiTheme="minorHAnsi"/>
          <w:color w:val="4A4A4A"/>
          <w:sz w:val="21"/>
          <w:szCs w:val="21"/>
        </w:rPr>
        <w:t>as a result of</w:t>
      </w:r>
      <w:proofErr w:type="gramEnd"/>
      <w:r w:rsidRPr="0021400E">
        <w:rPr>
          <w:rFonts w:asciiTheme="minorHAnsi" w:hAnsiTheme="minorHAnsi"/>
          <w:color w:val="4A4A4A"/>
          <w:sz w:val="21"/>
          <w:szCs w:val="21"/>
        </w:rPr>
        <w:t xml:space="preserve"> unplanned or exceptional events—for example, armed conflicts or natural disasters. Expenditures financed by windfall revenues, including privatization, should be included and noted in the supporting fiscal tables and narrative. Expenditures financed externally by loans or grants should be included, if covered by the budget, </w:t>
      </w:r>
      <w:r w:rsidRPr="0021400E">
        <w:rPr>
          <w:rFonts w:asciiTheme="minorHAnsi" w:hAnsiTheme="minorHAnsi"/>
          <w:color w:val="4A4A4A"/>
          <w:sz w:val="21"/>
          <w:szCs w:val="21"/>
        </w:rPr>
        <w:lastRenderedPageBreak/>
        <w:t>along with contingency vote(s) and interest on debt. Expenditure assigned to suspense accounts is not included in the aggregate. However, if amounts are held in suspense accounts at the end of any year that could affect the scores if included in the calculations, they can be included. In such cases the reason(s) for inclusion must be clearly stated.</w:t>
      </w:r>
    </w:p>
    <w:p w14:paraId="5063B3CF" w14:textId="77777777" w:rsidR="0097795D" w:rsidRPr="0021400E" w:rsidRDefault="0097795D"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1BF5E85D" w14:textId="77777777" w:rsidR="0097795D" w:rsidRPr="0021400E" w:rsidRDefault="0097795D"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 xml:space="preserve">Actual expenditure outturns can deviate from the originally approved budget for reasons unrelated to the accuracy of forecasts—for example, </w:t>
      </w:r>
      <w:proofErr w:type="gramStart"/>
      <w:r w:rsidRPr="0021400E">
        <w:rPr>
          <w:rFonts w:asciiTheme="minorHAnsi" w:hAnsiTheme="minorHAnsi"/>
          <w:color w:val="4A4A4A"/>
          <w:sz w:val="21"/>
          <w:szCs w:val="21"/>
        </w:rPr>
        <w:t>as a result of</w:t>
      </w:r>
      <w:proofErr w:type="gramEnd"/>
      <w:r w:rsidRPr="0021400E">
        <w:rPr>
          <w:rFonts w:asciiTheme="minorHAnsi" w:hAnsiTheme="minorHAnsi"/>
          <w:color w:val="4A4A4A"/>
          <w:sz w:val="21"/>
          <w:szCs w:val="21"/>
        </w:rPr>
        <w:t xml:space="preserve"> a major macroeconomic shock. The calibration of this indicator accommodates one unusual or “outlier” year and focuses on deviations from the forecast which occur in two of the three years covered by the assessment.</w:t>
      </w:r>
    </w:p>
    <w:p w14:paraId="43DFFB4C" w14:textId="77777777" w:rsidR="0097795D" w:rsidRPr="0021400E" w:rsidRDefault="0097795D"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45E72C90" w14:textId="35C418FA" w:rsidR="00E81EF0" w:rsidRDefault="00E81EF0" w:rsidP="00E81EF0">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Very detailed resources are available at</w:t>
      </w:r>
      <w:r>
        <w:rPr>
          <w:rFonts w:asciiTheme="minorHAnsi" w:hAnsiTheme="minorHAnsi"/>
          <w:color w:val="4A4A4A"/>
          <w:sz w:val="21"/>
          <w:szCs w:val="21"/>
        </w:rPr>
        <w:t xml:space="preserve"> </w:t>
      </w:r>
      <w:hyperlink r:id="rId11" w:history="1">
        <w:r w:rsidRPr="00E22AB7">
          <w:rPr>
            <w:rStyle w:val="Hyperlink"/>
            <w:rFonts w:asciiTheme="minorHAnsi" w:hAnsiTheme="minorHAnsi"/>
            <w:sz w:val="21"/>
            <w:szCs w:val="21"/>
          </w:rPr>
          <w:t>www.pefa.org</w:t>
        </w:r>
      </w:hyperlink>
      <w:r w:rsidRPr="0021400E">
        <w:rPr>
          <w:rFonts w:asciiTheme="minorHAnsi" w:hAnsiTheme="minorHAnsi"/>
          <w:color w:val="4A4A4A"/>
          <w:sz w:val="21"/>
          <w:szCs w:val="21"/>
        </w:rPr>
        <w:t xml:space="preserve">. The document </w:t>
      </w:r>
      <w:r>
        <w:rPr>
          <w:rFonts w:asciiTheme="minorHAnsi" w:hAnsiTheme="minorHAnsi"/>
          <w:color w:val="4A4A4A"/>
          <w:sz w:val="21"/>
          <w:szCs w:val="21"/>
        </w:rPr>
        <w:t xml:space="preserve">directly related to the SDG Indicator 16.6.1 is the </w:t>
      </w:r>
      <w:r w:rsidRPr="0021400E">
        <w:rPr>
          <w:rFonts w:asciiTheme="minorHAnsi" w:hAnsiTheme="minorHAnsi"/>
          <w:color w:val="4A4A4A"/>
          <w:sz w:val="21"/>
          <w:szCs w:val="21"/>
        </w:rPr>
        <w:t>“</w:t>
      </w:r>
      <w:r>
        <w:rPr>
          <w:rFonts w:asciiTheme="minorHAnsi" w:hAnsiTheme="minorHAnsi"/>
          <w:color w:val="4A4A4A"/>
          <w:sz w:val="21"/>
          <w:szCs w:val="21"/>
        </w:rPr>
        <w:t xml:space="preserve">PEFA </w:t>
      </w:r>
      <w:r w:rsidRPr="0021400E">
        <w:rPr>
          <w:rFonts w:asciiTheme="minorHAnsi" w:hAnsiTheme="minorHAnsi"/>
          <w:color w:val="4A4A4A"/>
          <w:sz w:val="21"/>
          <w:szCs w:val="21"/>
        </w:rPr>
        <w:t>Framework for assessing public financial management</w:t>
      </w:r>
      <w:proofErr w:type="gramStart"/>
      <w:r w:rsidRPr="0021400E">
        <w:rPr>
          <w:rFonts w:asciiTheme="minorHAnsi" w:hAnsiTheme="minorHAnsi"/>
          <w:color w:val="4A4A4A"/>
          <w:sz w:val="21"/>
          <w:szCs w:val="21"/>
        </w:rPr>
        <w:t xml:space="preserve">” </w:t>
      </w:r>
      <w:r>
        <w:rPr>
          <w:rFonts w:asciiTheme="minorHAnsi" w:hAnsiTheme="minorHAnsi"/>
          <w:color w:val="4A4A4A"/>
          <w:sz w:val="21"/>
          <w:szCs w:val="21"/>
        </w:rPr>
        <w:t>:</w:t>
      </w:r>
      <w:proofErr w:type="gramEnd"/>
      <w:r>
        <w:rPr>
          <w:rFonts w:asciiTheme="minorHAnsi" w:hAnsiTheme="minorHAnsi"/>
          <w:color w:val="4A4A4A"/>
          <w:sz w:val="21"/>
          <w:szCs w:val="21"/>
        </w:rPr>
        <w:t xml:space="preserve"> </w:t>
      </w:r>
      <w:hyperlink r:id="rId12" w:history="1">
        <w:r w:rsidRPr="00E22AB7">
          <w:rPr>
            <w:rStyle w:val="Hyperlink"/>
            <w:rFonts w:asciiTheme="minorHAnsi" w:hAnsiTheme="minorHAnsi"/>
            <w:sz w:val="21"/>
            <w:szCs w:val="21"/>
          </w:rPr>
          <w:t>https://www.pefa.org/resources/pefa-2016-framework</w:t>
        </w:r>
      </w:hyperlink>
      <w:r w:rsidRPr="0021400E">
        <w:rPr>
          <w:rFonts w:asciiTheme="minorHAnsi" w:hAnsiTheme="minorHAnsi"/>
          <w:color w:val="4A4A4A"/>
          <w:sz w:val="21"/>
          <w:szCs w:val="21"/>
        </w:rPr>
        <w:t xml:space="preserve">). There are seven </w:t>
      </w:r>
      <w:r>
        <w:rPr>
          <w:rFonts w:asciiTheme="minorHAnsi" w:hAnsiTheme="minorHAnsi"/>
          <w:color w:val="4A4A4A"/>
          <w:sz w:val="21"/>
          <w:szCs w:val="21"/>
        </w:rPr>
        <w:t xml:space="preserve">Pillars in this document </w:t>
      </w:r>
      <w:r w:rsidRPr="0021400E">
        <w:rPr>
          <w:rFonts w:asciiTheme="minorHAnsi" w:hAnsiTheme="minorHAnsi"/>
          <w:color w:val="4A4A4A"/>
          <w:sz w:val="21"/>
          <w:szCs w:val="21"/>
        </w:rPr>
        <w:t xml:space="preserve">containing a total of 31 indicators. The pillar containing </w:t>
      </w:r>
      <w:r>
        <w:rPr>
          <w:rFonts w:asciiTheme="minorHAnsi" w:hAnsiTheme="minorHAnsi"/>
          <w:color w:val="4A4A4A"/>
          <w:sz w:val="21"/>
          <w:szCs w:val="21"/>
        </w:rPr>
        <w:t xml:space="preserve">the indicator PI-1 </w:t>
      </w:r>
      <w:r w:rsidR="005F5E37">
        <w:rPr>
          <w:rFonts w:asciiTheme="minorHAnsi" w:hAnsiTheme="minorHAnsi"/>
          <w:color w:val="4A4A4A"/>
          <w:sz w:val="21"/>
          <w:szCs w:val="21"/>
        </w:rPr>
        <w:t>corresponding</w:t>
      </w:r>
      <w:r>
        <w:rPr>
          <w:rFonts w:asciiTheme="minorHAnsi" w:hAnsiTheme="minorHAnsi"/>
          <w:color w:val="4A4A4A"/>
          <w:sz w:val="21"/>
          <w:szCs w:val="21"/>
        </w:rPr>
        <w:t xml:space="preserve"> to SDG 16.6.1</w:t>
      </w:r>
      <w:r w:rsidRPr="0021400E">
        <w:rPr>
          <w:rFonts w:asciiTheme="minorHAnsi" w:hAnsiTheme="minorHAnsi"/>
          <w:color w:val="4A4A4A"/>
          <w:sz w:val="21"/>
          <w:szCs w:val="21"/>
        </w:rPr>
        <w:t xml:space="preserve"> is part of Pillar I which measures Budget reliability.</w:t>
      </w:r>
      <w:r>
        <w:rPr>
          <w:rFonts w:asciiTheme="minorHAnsi" w:hAnsiTheme="minorHAnsi"/>
          <w:color w:val="4A4A4A"/>
          <w:sz w:val="21"/>
          <w:szCs w:val="21"/>
        </w:rPr>
        <w:t xml:space="preserve"> </w:t>
      </w:r>
    </w:p>
    <w:p w14:paraId="50A56B80" w14:textId="77777777" w:rsidR="00E81EF0" w:rsidRPr="0097795D" w:rsidRDefault="00E81EF0" w:rsidP="00E81EF0">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The SDG 16.6.1 Indicator follows the definition and concept for PEFA PI-1 Indicator</w:t>
      </w:r>
      <w:r w:rsidRPr="00D11851">
        <w:rPr>
          <w:rFonts w:asciiTheme="minorHAnsi" w:hAnsiTheme="minorHAnsi"/>
          <w:color w:val="4A4A4A"/>
          <w:sz w:val="21"/>
          <w:szCs w:val="21"/>
        </w:rPr>
        <w:t xml:space="preserve"> </w:t>
      </w:r>
      <w:r>
        <w:rPr>
          <w:rFonts w:asciiTheme="minorHAnsi" w:hAnsiTheme="minorHAnsi"/>
          <w:color w:val="4A4A4A"/>
          <w:sz w:val="21"/>
          <w:szCs w:val="21"/>
        </w:rPr>
        <w:t xml:space="preserve">in PEFA Framework with the only difference that the budget deviations for PI-1 are computed based on three years country performance, while the SDG 16.6.1 indicator is based on the annual </w:t>
      </w:r>
      <w:proofErr w:type="gramStart"/>
      <w:r>
        <w:rPr>
          <w:rFonts w:asciiTheme="minorHAnsi" w:hAnsiTheme="minorHAnsi"/>
          <w:color w:val="4A4A4A"/>
          <w:sz w:val="21"/>
          <w:szCs w:val="21"/>
        </w:rPr>
        <w:t>budgets</w:t>
      </w:r>
      <w:proofErr w:type="gramEnd"/>
      <w:r>
        <w:rPr>
          <w:rFonts w:asciiTheme="minorHAnsi" w:hAnsiTheme="minorHAnsi"/>
          <w:color w:val="4A4A4A"/>
          <w:sz w:val="21"/>
          <w:szCs w:val="21"/>
        </w:rPr>
        <w:t xml:space="preserve"> deviations.</w:t>
      </w:r>
    </w:p>
    <w:p w14:paraId="6E54D3D6" w14:textId="77777777" w:rsidR="00EC2915" w:rsidRPr="00A96255" w:rsidRDefault="00EC2915" w:rsidP="00D95508">
      <w:pPr>
        <w:pStyle w:val="MText"/>
        <w:jc w:val="both"/>
      </w:pPr>
    </w:p>
    <w:p w14:paraId="7932F8BD" w14:textId="3869C451" w:rsidR="008B0AC7" w:rsidRPr="00A96255" w:rsidRDefault="00576CFA" w:rsidP="00D95508">
      <w:pPr>
        <w:pStyle w:val="MHeader2"/>
        <w:jc w:val="both"/>
      </w:pPr>
      <w:r w:rsidRPr="00A96255">
        <w:t xml:space="preserve">2.b. Unit of measure </w:t>
      </w:r>
      <w:r>
        <w:rPr>
          <w:color w:val="B4B4B4"/>
          <w:sz w:val="20"/>
        </w:rPr>
        <w:t>(UNIT_MEASURE)</w:t>
      </w:r>
    </w:p>
    <w:p w14:paraId="548E9AAA" w14:textId="2B6612CE" w:rsidR="00EC2915" w:rsidRPr="006C3413" w:rsidRDefault="00576209" w:rsidP="006C3413">
      <w:pPr>
        <w:pStyle w:val="MText"/>
      </w:pPr>
      <w:r w:rsidRPr="006C3413">
        <w:t>Percent (%)</w:t>
      </w:r>
    </w:p>
    <w:p w14:paraId="4E08EAA4" w14:textId="77777777" w:rsidR="00576209" w:rsidRPr="00D63CDD" w:rsidRDefault="00576209" w:rsidP="00D63CDD">
      <w:pPr>
        <w:pStyle w:val="MText"/>
        <w:jc w:val="both"/>
        <w:rPr>
          <w:b/>
          <w:bCs/>
        </w:rPr>
      </w:pPr>
    </w:p>
    <w:p w14:paraId="651AA7AC" w14:textId="3FBCEE25" w:rsidR="00DA615C" w:rsidRPr="00A96255" w:rsidRDefault="008B0AC7" w:rsidP="00D95508">
      <w:pPr>
        <w:pStyle w:val="MHeader2"/>
        <w:jc w:val="both"/>
      </w:pPr>
      <w:r w:rsidRPr="00A96255">
        <w:t xml:space="preserve">2.c. Classifications </w:t>
      </w:r>
      <w:r>
        <w:rPr>
          <w:color w:val="B4B4B4"/>
          <w:sz w:val="20"/>
        </w:rPr>
        <w:t>(CLASS_SYSTEM)</w:t>
      </w:r>
    </w:p>
    <w:p w14:paraId="28E7ED5D" w14:textId="77777777" w:rsidR="006C3413" w:rsidRDefault="006C3413">
      <w:pPr>
        <w:pStyle w:val="MText"/>
        <w:jc w:val="both"/>
        <w:rPr>
          <w:b/>
          <w:bCs/>
        </w:rPr>
      </w:pPr>
    </w:p>
    <w:p w14:paraId="123172F4" w14:textId="77777777" w:rsidR="00F719A8" w:rsidRPr="00A96255" w:rsidRDefault="00F719A8" w:rsidP="00D95508">
      <w:pPr>
        <w:pStyle w:val="MText"/>
        <w:jc w:val="both"/>
      </w:pPr>
    </w:p>
    <w:p w14:paraId="1D3AEECA" w14:textId="4C5EC949" w:rsidR="00B31E2C" w:rsidRPr="00F719A8" w:rsidRDefault="00B31E2C" w:rsidP="00D95508">
      <w:pPr>
        <w:pStyle w:val="MHeader"/>
        <w:jc w:val="both"/>
      </w:pPr>
      <w:r w:rsidRPr="00F719A8">
        <w:t xml:space="preserve">3. Data source type and data collection method </w:t>
      </w:r>
      <w:r>
        <w:rPr>
          <w:color w:val="B4B4B4"/>
          <w:sz w:val="20"/>
        </w:rPr>
        <w:t>(SRC_TYPE_COLL_METHOD)</w:t>
      </w:r>
    </w:p>
    <w:p w14:paraId="340B050E" w14:textId="31C09E5F" w:rsidR="008B0AC7" w:rsidRPr="00A96255" w:rsidRDefault="008B0AC7" w:rsidP="00D95508">
      <w:pPr>
        <w:pStyle w:val="MHeader2"/>
        <w:jc w:val="both"/>
      </w:pPr>
      <w:r w:rsidRPr="00A96255">
        <w:t xml:space="preserve">3.a. Data sources </w:t>
      </w:r>
      <w:r>
        <w:rPr>
          <w:color w:val="B4B4B4"/>
          <w:sz w:val="20"/>
        </w:rPr>
        <w:t>(SOURCE_TYPE)</w:t>
      </w:r>
    </w:p>
    <w:p w14:paraId="7D114B28" w14:textId="24843D7E" w:rsidR="0097256C" w:rsidRPr="0021400E" w:rsidRDefault="0097256C"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 xml:space="preserve">The </w:t>
      </w:r>
      <w:r w:rsidR="004F7D8F">
        <w:rPr>
          <w:rFonts w:asciiTheme="minorHAnsi" w:hAnsiTheme="minorHAnsi"/>
          <w:color w:val="4A4A4A"/>
          <w:sz w:val="21"/>
          <w:szCs w:val="21"/>
        </w:rPr>
        <w:t xml:space="preserve">raw Data collected </w:t>
      </w:r>
      <w:proofErr w:type="gramStart"/>
      <w:r w:rsidR="004F7D8F">
        <w:rPr>
          <w:rFonts w:asciiTheme="minorHAnsi" w:hAnsiTheme="minorHAnsi"/>
          <w:color w:val="4A4A4A"/>
          <w:sz w:val="21"/>
          <w:szCs w:val="21"/>
        </w:rPr>
        <w:t>in order to</w:t>
      </w:r>
      <w:proofErr w:type="gramEnd"/>
      <w:r w:rsidR="004F7D8F">
        <w:rPr>
          <w:rFonts w:asciiTheme="minorHAnsi" w:hAnsiTheme="minorHAnsi"/>
          <w:color w:val="4A4A4A"/>
          <w:sz w:val="21"/>
          <w:szCs w:val="21"/>
        </w:rPr>
        <w:t xml:space="preserve"> calculate indicator 16.6.1 are the initially Approved and Executed Budgets. </w:t>
      </w:r>
      <w:r w:rsidRPr="0021400E">
        <w:rPr>
          <w:rFonts w:asciiTheme="minorHAnsi" w:hAnsiTheme="minorHAnsi"/>
          <w:color w:val="4A4A4A"/>
          <w:sz w:val="21"/>
          <w:szCs w:val="21"/>
        </w:rPr>
        <w:t>Budget Laws of countries is the usual source of the approved budget of countries. The end-of-year fiscal reports (/budget execution reports) are the sources of the actual spending. This data is typically obtained from websites of the Ministry of Finance (MoF) or the national Parliament, or data are collected through communication with the MoF.</w:t>
      </w:r>
      <w:r w:rsidR="004F7D8F">
        <w:rPr>
          <w:rFonts w:asciiTheme="minorHAnsi" w:hAnsiTheme="minorHAnsi"/>
          <w:color w:val="4A4A4A"/>
          <w:sz w:val="21"/>
          <w:szCs w:val="21"/>
        </w:rPr>
        <w:t xml:space="preserve"> Based on the SDG Data collected since 2017 the main sources of information are the Ministry of Finance</w:t>
      </w:r>
      <w:r w:rsidR="00B15CA1">
        <w:rPr>
          <w:rFonts w:asciiTheme="minorHAnsi" w:hAnsiTheme="minorHAnsi"/>
          <w:color w:val="4A4A4A"/>
          <w:sz w:val="21"/>
          <w:szCs w:val="21"/>
        </w:rPr>
        <w:t xml:space="preserve">s in countries and </w:t>
      </w:r>
      <w:r w:rsidR="00EB54D3">
        <w:rPr>
          <w:rFonts w:asciiTheme="minorHAnsi" w:hAnsiTheme="minorHAnsi"/>
          <w:color w:val="4A4A4A"/>
          <w:sz w:val="21"/>
          <w:szCs w:val="21"/>
        </w:rPr>
        <w:t>additional</w:t>
      </w:r>
      <w:r w:rsidR="00B15CA1">
        <w:rPr>
          <w:rFonts w:asciiTheme="minorHAnsi" w:hAnsiTheme="minorHAnsi"/>
          <w:color w:val="4A4A4A"/>
          <w:sz w:val="21"/>
          <w:szCs w:val="21"/>
        </w:rPr>
        <w:t xml:space="preserve"> sources </w:t>
      </w:r>
      <w:r w:rsidR="00EB54D3">
        <w:rPr>
          <w:rFonts w:asciiTheme="minorHAnsi" w:hAnsiTheme="minorHAnsi"/>
          <w:color w:val="4A4A4A"/>
          <w:sz w:val="21"/>
          <w:szCs w:val="21"/>
        </w:rPr>
        <w:t>could be</w:t>
      </w:r>
      <w:r w:rsidR="004F7D8F">
        <w:rPr>
          <w:rFonts w:asciiTheme="minorHAnsi" w:hAnsiTheme="minorHAnsi"/>
          <w:color w:val="4A4A4A"/>
          <w:sz w:val="21"/>
          <w:szCs w:val="21"/>
        </w:rPr>
        <w:t xml:space="preserve">:  </w:t>
      </w:r>
    </w:p>
    <w:p w14:paraId="6537879B" w14:textId="77777777" w:rsidR="004F7D8F" w:rsidRPr="00B15CA1" w:rsidRDefault="004F7D8F" w:rsidP="00D95508">
      <w:pPr>
        <w:pStyle w:val="MText"/>
        <w:numPr>
          <w:ilvl w:val="0"/>
          <w:numId w:val="5"/>
        </w:numPr>
        <w:jc w:val="both"/>
        <w:rPr>
          <w:lang w:val="en-US"/>
        </w:rPr>
      </w:pPr>
      <w:r w:rsidRPr="00D95508">
        <w:rPr>
          <w:lang w:val="en-US"/>
        </w:rPr>
        <w:t>End of the year Fiscal reports</w:t>
      </w:r>
    </w:p>
    <w:p w14:paraId="1E5A351B" w14:textId="77777777" w:rsidR="004F7D8F" w:rsidRPr="00B15CA1" w:rsidRDefault="004F7D8F" w:rsidP="00D95508">
      <w:pPr>
        <w:pStyle w:val="MText"/>
        <w:numPr>
          <w:ilvl w:val="0"/>
          <w:numId w:val="5"/>
        </w:numPr>
        <w:jc w:val="both"/>
        <w:rPr>
          <w:lang w:val="en-US"/>
        </w:rPr>
      </w:pPr>
      <w:r w:rsidRPr="00D95508">
        <w:rPr>
          <w:lang w:val="en-US"/>
        </w:rPr>
        <w:t>Annual Financial Statements</w:t>
      </w:r>
    </w:p>
    <w:p w14:paraId="05B40097" w14:textId="77777777" w:rsidR="004F7D8F" w:rsidRPr="00B15CA1" w:rsidRDefault="004F7D8F" w:rsidP="00D95508">
      <w:pPr>
        <w:pStyle w:val="MText"/>
        <w:numPr>
          <w:ilvl w:val="0"/>
          <w:numId w:val="5"/>
        </w:numPr>
        <w:jc w:val="both"/>
        <w:rPr>
          <w:lang w:val="en-US"/>
        </w:rPr>
      </w:pPr>
      <w:r w:rsidRPr="00D95508">
        <w:rPr>
          <w:lang w:val="en-US"/>
        </w:rPr>
        <w:t>Controller General Accounts</w:t>
      </w:r>
    </w:p>
    <w:p w14:paraId="658741AC" w14:textId="77777777" w:rsidR="004F7D8F" w:rsidRPr="00B15CA1" w:rsidRDefault="004F7D8F" w:rsidP="00D95508">
      <w:pPr>
        <w:pStyle w:val="MText"/>
        <w:numPr>
          <w:ilvl w:val="0"/>
          <w:numId w:val="5"/>
        </w:numPr>
        <w:jc w:val="both"/>
        <w:rPr>
          <w:lang w:val="en-US"/>
        </w:rPr>
      </w:pPr>
      <w:r w:rsidRPr="00D95508">
        <w:rPr>
          <w:lang w:val="en-US"/>
        </w:rPr>
        <w:t>Federal Government Data</w:t>
      </w:r>
    </w:p>
    <w:p w14:paraId="10EF52C2" w14:textId="77777777" w:rsidR="004F7D8F" w:rsidRPr="00B15CA1" w:rsidRDefault="004F7D8F" w:rsidP="00D95508">
      <w:pPr>
        <w:pStyle w:val="MText"/>
        <w:numPr>
          <w:ilvl w:val="0"/>
          <w:numId w:val="5"/>
        </w:numPr>
        <w:jc w:val="both"/>
        <w:rPr>
          <w:lang w:val="en-US"/>
        </w:rPr>
      </w:pPr>
      <w:r w:rsidRPr="00D95508">
        <w:rPr>
          <w:lang w:val="en-US"/>
        </w:rPr>
        <w:t>Department of Budget and Management</w:t>
      </w:r>
    </w:p>
    <w:p w14:paraId="484685D6" w14:textId="77777777" w:rsidR="004F7D8F" w:rsidRPr="00B15CA1" w:rsidRDefault="004F7D8F" w:rsidP="00D95508">
      <w:pPr>
        <w:pStyle w:val="MText"/>
        <w:numPr>
          <w:ilvl w:val="0"/>
          <w:numId w:val="5"/>
        </w:numPr>
        <w:jc w:val="both"/>
        <w:rPr>
          <w:lang w:val="en-US"/>
        </w:rPr>
      </w:pPr>
      <w:r w:rsidRPr="00D95508">
        <w:rPr>
          <w:lang w:val="en-US"/>
        </w:rPr>
        <w:t>Supreme Audit Institutions</w:t>
      </w:r>
    </w:p>
    <w:p w14:paraId="548946C5" w14:textId="77777777" w:rsidR="004F7D8F" w:rsidRPr="00B15CA1" w:rsidRDefault="004F7D8F" w:rsidP="00D95508">
      <w:pPr>
        <w:pStyle w:val="MText"/>
        <w:numPr>
          <w:ilvl w:val="0"/>
          <w:numId w:val="5"/>
        </w:numPr>
        <w:jc w:val="both"/>
        <w:rPr>
          <w:lang w:val="en-US"/>
        </w:rPr>
      </w:pPr>
      <w:r w:rsidRPr="00D95508">
        <w:rPr>
          <w:lang w:val="en-US"/>
        </w:rPr>
        <w:t>Federal Finance Administration /FFA</w:t>
      </w:r>
    </w:p>
    <w:p w14:paraId="316CE037" w14:textId="77777777" w:rsidR="004F7D8F" w:rsidRPr="00B15CA1" w:rsidRDefault="004F7D8F" w:rsidP="00D95508">
      <w:pPr>
        <w:pStyle w:val="MText"/>
        <w:numPr>
          <w:ilvl w:val="0"/>
          <w:numId w:val="5"/>
        </w:numPr>
        <w:jc w:val="both"/>
        <w:rPr>
          <w:lang w:val="en-US"/>
        </w:rPr>
      </w:pPr>
      <w:r w:rsidRPr="00D95508">
        <w:rPr>
          <w:lang w:val="en-US"/>
        </w:rPr>
        <w:t>Statistics Institutions</w:t>
      </w:r>
    </w:p>
    <w:p w14:paraId="3018A8D8" w14:textId="77777777" w:rsidR="00EC2915" w:rsidRPr="00A96255" w:rsidRDefault="00EC2915" w:rsidP="00D95508">
      <w:pPr>
        <w:pStyle w:val="MText"/>
        <w:jc w:val="both"/>
      </w:pPr>
    </w:p>
    <w:p w14:paraId="79368080" w14:textId="32CB9C2E" w:rsidR="008B0AC7" w:rsidRPr="00A96255" w:rsidRDefault="00576CFA" w:rsidP="00D95508">
      <w:pPr>
        <w:pStyle w:val="MHeader2"/>
        <w:jc w:val="both"/>
      </w:pPr>
      <w:r w:rsidRPr="00A96255">
        <w:t xml:space="preserve">3.b. Data collection method </w:t>
      </w:r>
      <w:r>
        <w:rPr>
          <w:color w:val="B4B4B4"/>
          <w:sz w:val="20"/>
        </w:rPr>
        <w:t>(COLL_METHOD)</w:t>
      </w:r>
    </w:p>
    <w:p w14:paraId="7DD95745" w14:textId="77777777" w:rsidR="00B774C9" w:rsidRDefault="00B774C9" w:rsidP="00B774C9">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 xml:space="preserve">PEFA Secretariat, a unit hosted by the WB, is collecting the data in cooperation with the WB Data department and using a collaborative approach using the WB network, that involves the WB Governance Practice managers, in charge of the WB regions,  and country economists from the WB country offices, that </w:t>
      </w:r>
      <w:r>
        <w:rPr>
          <w:rFonts w:asciiTheme="minorHAnsi" w:hAnsiTheme="minorHAnsi"/>
          <w:color w:val="4A4A4A"/>
          <w:sz w:val="21"/>
          <w:szCs w:val="21"/>
        </w:rPr>
        <w:lastRenderedPageBreak/>
        <w:t>have better access to the budgets data in the countries and better knowledge where to find the information (sometimes is available only in local languages). This method proved to be very successful.</w:t>
      </w:r>
    </w:p>
    <w:p w14:paraId="5A7D5F51" w14:textId="77777777" w:rsidR="00B774C9" w:rsidRPr="0021400E" w:rsidRDefault="00B774C9" w:rsidP="00B774C9">
      <w:pPr>
        <w:pStyle w:val="form-control-static"/>
        <w:shd w:val="clear" w:color="auto" w:fill="FFFFFF"/>
        <w:spacing w:before="0" w:beforeAutospacing="0" w:after="0" w:afterAutospacing="0"/>
        <w:jc w:val="both"/>
        <w:rPr>
          <w:rFonts w:asciiTheme="minorHAnsi" w:hAnsiTheme="minorHAnsi"/>
          <w:color w:val="4A4A4A"/>
          <w:sz w:val="21"/>
          <w:szCs w:val="21"/>
        </w:rPr>
      </w:pPr>
    </w:p>
    <w:p w14:paraId="170A2C05" w14:textId="34873ECA" w:rsidR="00E46D96" w:rsidRPr="00A96255" w:rsidRDefault="00E46D96" w:rsidP="00D95508">
      <w:pPr>
        <w:pStyle w:val="MHeader2"/>
        <w:jc w:val="both"/>
      </w:pPr>
      <w:r w:rsidRPr="00A96255">
        <w:t xml:space="preserve">3.c. Data collection calendar </w:t>
      </w:r>
      <w:r>
        <w:rPr>
          <w:color w:val="B4B4B4"/>
          <w:sz w:val="20"/>
        </w:rPr>
        <w:t>(FREQ_COLL)</w:t>
      </w:r>
    </w:p>
    <w:p w14:paraId="7666F202" w14:textId="2E946966" w:rsidR="00C843B6" w:rsidRPr="0021400E" w:rsidRDefault="00B15CA1" w:rsidP="00D63CDD">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 xml:space="preserve">The data is collected in the beginning of the </w:t>
      </w:r>
      <w:r w:rsidR="00EB54D3">
        <w:rPr>
          <w:rFonts w:asciiTheme="minorHAnsi" w:hAnsiTheme="minorHAnsi"/>
          <w:color w:val="4A4A4A"/>
          <w:sz w:val="21"/>
          <w:szCs w:val="21"/>
        </w:rPr>
        <w:t xml:space="preserve">fiscal </w:t>
      </w:r>
      <w:r>
        <w:rPr>
          <w:rFonts w:asciiTheme="minorHAnsi" w:hAnsiTheme="minorHAnsi"/>
          <w:color w:val="4A4A4A"/>
          <w:sz w:val="21"/>
          <w:szCs w:val="21"/>
        </w:rPr>
        <w:t>year</w:t>
      </w:r>
      <w:r w:rsidR="002F4A6B">
        <w:rPr>
          <w:rFonts w:asciiTheme="minorHAnsi" w:hAnsiTheme="minorHAnsi"/>
          <w:color w:val="4A4A4A"/>
          <w:sz w:val="21"/>
          <w:szCs w:val="21"/>
        </w:rPr>
        <w:t>, as requested by UN</w:t>
      </w:r>
      <w:r>
        <w:rPr>
          <w:rFonts w:asciiTheme="minorHAnsi" w:hAnsiTheme="minorHAnsi"/>
          <w:color w:val="4A4A4A"/>
          <w:sz w:val="21"/>
          <w:szCs w:val="21"/>
        </w:rPr>
        <w:t xml:space="preserve">. </w:t>
      </w:r>
      <w:r w:rsidR="00EB54D3">
        <w:rPr>
          <w:rFonts w:asciiTheme="minorHAnsi" w:hAnsiTheme="minorHAnsi"/>
          <w:color w:val="4A4A4A"/>
          <w:sz w:val="21"/>
          <w:szCs w:val="21"/>
        </w:rPr>
        <w:t xml:space="preserve">Additional provided data during the year is updated and shared during the next year </w:t>
      </w:r>
      <w:r w:rsidR="008457A2">
        <w:rPr>
          <w:rFonts w:asciiTheme="minorHAnsi" w:hAnsiTheme="minorHAnsi"/>
          <w:color w:val="4A4A4A"/>
          <w:sz w:val="21"/>
          <w:szCs w:val="21"/>
        </w:rPr>
        <w:t>cycle</w:t>
      </w:r>
      <w:r w:rsidR="00EB54D3">
        <w:rPr>
          <w:rFonts w:asciiTheme="minorHAnsi" w:hAnsiTheme="minorHAnsi"/>
          <w:color w:val="4A4A4A"/>
          <w:sz w:val="21"/>
          <w:szCs w:val="21"/>
        </w:rPr>
        <w:t xml:space="preserve"> of data collection.</w:t>
      </w:r>
    </w:p>
    <w:p w14:paraId="01BA862E" w14:textId="77777777" w:rsidR="00EC2915" w:rsidRPr="00A96255" w:rsidRDefault="00EC2915" w:rsidP="00D95508">
      <w:pPr>
        <w:pStyle w:val="MText"/>
        <w:jc w:val="both"/>
      </w:pPr>
    </w:p>
    <w:p w14:paraId="7D466604" w14:textId="674844F0" w:rsidR="00E46D96" w:rsidRPr="00F719A8" w:rsidRDefault="00E46D96" w:rsidP="00D95508">
      <w:pPr>
        <w:pStyle w:val="MHeader2"/>
        <w:jc w:val="both"/>
      </w:pPr>
      <w:r w:rsidRPr="00A96255">
        <w:t xml:space="preserve">3.d. Data release calendar </w:t>
      </w:r>
      <w:r>
        <w:rPr>
          <w:color w:val="B4B4B4"/>
          <w:sz w:val="20"/>
        </w:rPr>
        <w:t>(REL_CAL_POLICY)</w:t>
      </w:r>
    </w:p>
    <w:p w14:paraId="5644B531" w14:textId="0E9C48B9" w:rsidR="00C843B6" w:rsidRPr="0021400E" w:rsidRDefault="00EB54D3" w:rsidP="00D63CDD">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 xml:space="preserve">The data is updated to meet the deadlines for submission to UN. </w:t>
      </w:r>
    </w:p>
    <w:p w14:paraId="64C749BD" w14:textId="77777777" w:rsidR="00EC2915" w:rsidRPr="00B4124F" w:rsidRDefault="00EC2915" w:rsidP="00D63CDD">
      <w:pPr>
        <w:pStyle w:val="form-control-static"/>
        <w:shd w:val="clear" w:color="auto" w:fill="FFFFFF"/>
        <w:spacing w:before="0" w:beforeAutospacing="0" w:after="0" w:afterAutospacing="0"/>
        <w:jc w:val="both"/>
      </w:pPr>
    </w:p>
    <w:p w14:paraId="3A4F3065" w14:textId="3AD52F9D" w:rsidR="00E46D96" w:rsidRPr="00A96255" w:rsidRDefault="00E46D96" w:rsidP="00D95508">
      <w:pPr>
        <w:pStyle w:val="MHeader2"/>
        <w:jc w:val="both"/>
      </w:pPr>
      <w:r w:rsidRPr="00A96255">
        <w:t xml:space="preserve">3.e. Data providers </w:t>
      </w:r>
      <w:r>
        <w:rPr>
          <w:color w:val="B4B4B4"/>
          <w:sz w:val="20"/>
        </w:rPr>
        <w:t>(DATA_SOURCE)</w:t>
      </w:r>
    </w:p>
    <w:p w14:paraId="5B9B5733" w14:textId="1C9E8C71" w:rsidR="00C843B6" w:rsidRDefault="00B15CA1"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WB</w:t>
      </w:r>
      <w:r w:rsidR="00EB54D3">
        <w:rPr>
          <w:rFonts w:asciiTheme="minorHAnsi" w:hAnsiTheme="minorHAnsi"/>
          <w:color w:val="4A4A4A"/>
          <w:sz w:val="21"/>
          <w:szCs w:val="21"/>
        </w:rPr>
        <w:t xml:space="preserve"> </w:t>
      </w:r>
      <w:r>
        <w:rPr>
          <w:rFonts w:asciiTheme="minorHAnsi" w:hAnsiTheme="minorHAnsi"/>
          <w:color w:val="4A4A4A"/>
          <w:sz w:val="21"/>
          <w:szCs w:val="21"/>
        </w:rPr>
        <w:t xml:space="preserve">country offices obtain the data mainly form the </w:t>
      </w:r>
      <w:r w:rsidR="00C843B6" w:rsidRPr="0021400E">
        <w:rPr>
          <w:rFonts w:asciiTheme="minorHAnsi" w:hAnsiTheme="minorHAnsi"/>
          <w:color w:val="4A4A4A"/>
          <w:sz w:val="21"/>
          <w:szCs w:val="21"/>
        </w:rPr>
        <w:t>Ministry of Finances o</w:t>
      </w:r>
      <w:r w:rsidR="00FC78F0">
        <w:rPr>
          <w:rFonts w:asciiTheme="minorHAnsi" w:hAnsiTheme="minorHAnsi"/>
          <w:color w:val="4A4A4A"/>
          <w:sz w:val="21"/>
          <w:szCs w:val="21"/>
        </w:rPr>
        <w:t>f</w:t>
      </w:r>
      <w:r w:rsidR="00C843B6" w:rsidRPr="0021400E">
        <w:rPr>
          <w:rFonts w:asciiTheme="minorHAnsi" w:hAnsiTheme="minorHAnsi"/>
          <w:color w:val="4A4A4A"/>
          <w:sz w:val="21"/>
          <w:szCs w:val="21"/>
        </w:rPr>
        <w:t xml:space="preserve"> countries</w:t>
      </w:r>
      <w:r>
        <w:rPr>
          <w:rFonts w:asciiTheme="minorHAnsi" w:hAnsiTheme="minorHAnsi"/>
          <w:color w:val="4A4A4A"/>
          <w:sz w:val="21"/>
          <w:szCs w:val="21"/>
        </w:rPr>
        <w:t xml:space="preserve">. Additional sources are: </w:t>
      </w:r>
    </w:p>
    <w:p w14:paraId="5CF21ECC" w14:textId="77777777" w:rsidR="00EB54D3" w:rsidRPr="00B15CA1" w:rsidRDefault="00EB54D3" w:rsidP="00D95508">
      <w:pPr>
        <w:pStyle w:val="MText"/>
        <w:numPr>
          <w:ilvl w:val="0"/>
          <w:numId w:val="5"/>
        </w:numPr>
        <w:jc w:val="both"/>
        <w:rPr>
          <w:lang w:val="en-US"/>
        </w:rPr>
      </w:pPr>
      <w:r w:rsidRPr="00430AC1">
        <w:rPr>
          <w:lang w:val="en-US"/>
        </w:rPr>
        <w:t>End of the year Fiscal reports</w:t>
      </w:r>
    </w:p>
    <w:p w14:paraId="4F944E34" w14:textId="77777777" w:rsidR="00EB54D3" w:rsidRPr="00B15CA1" w:rsidRDefault="00EB54D3" w:rsidP="00D95508">
      <w:pPr>
        <w:pStyle w:val="MText"/>
        <w:numPr>
          <w:ilvl w:val="0"/>
          <w:numId w:val="5"/>
        </w:numPr>
        <w:jc w:val="both"/>
        <w:rPr>
          <w:lang w:val="en-US"/>
        </w:rPr>
      </w:pPr>
      <w:r w:rsidRPr="00430AC1">
        <w:rPr>
          <w:lang w:val="en-US"/>
        </w:rPr>
        <w:t>Annual Financial Statements</w:t>
      </w:r>
    </w:p>
    <w:p w14:paraId="0788EF6B" w14:textId="77777777" w:rsidR="00EB54D3" w:rsidRPr="00B15CA1" w:rsidRDefault="00EB54D3" w:rsidP="00D95508">
      <w:pPr>
        <w:pStyle w:val="MText"/>
        <w:numPr>
          <w:ilvl w:val="0"/>
          <w:numId w:val="5"/>
        </w:numPr>
        <w:jc w:val="both"/>
        <w:rPr>
          <w:lang w:val="en-US"/>
        </w:rPr>
      </w:pPr>
      <w:r w:rsidRPr="00430AC1">
        <w:rPr>
          <w:lang w:val="en-US"/>
        </w:rPr>
        <w:t>Controller General Accounts</w:t>
      </w:r>
    </w:p>
    <w:p w14:paraId="2B559D23" w14:textId="77777777" w:rsidR="00EB54D3" w:rsidRPr="00B15CA1" w:rsidRDefault="00EB54D3" w:rsidP="00D95508">
      <w:pPr>
        <w:pStyle w:val="MText"/>
        <w:numPr>
          <w:ilvl w:val="0"/>
          <w:numId w:val="5"/>
        </w:numPr>
        <w:jc w:val="both"/>
        <w:rPr>
          <w:lang w:val="en-US"/>
        </w:rPr>
      </w:pPr>
      <w:r w:rsidRPr="00430AC1">
        <w:rPr>
          <w:lang w:val="en-US"/>
        </w:rPr>
        <w:t>Federal Government Data</w:t>
      </w:r>
    </w:p>
    <w:p w14:paraId="0E7A0336" w14:textId="77777777" w:rsidR="00EB54D3" w:rsidRPr="00B15CA1" w:rsidRDefault="00EB54D3" w:rsidP="00D95508">
      <w:pPr>
        <w:pStyle w:val="MText"/>
        <w:numPr>
          <w:ilvl w:val="0"/>
          <w:numId w:val="5"/>
        </w:numPr>
        <w:jc w:val="both"/>
        <w:rPr>
          <w:lang w:val="en-US"/>
        </w:rPr>
      </w:pPr>
      <w:r w:rsidRPr="00430AC1">
        <w:rPr>
          <w:lang w:val="en-US"/>
        </w:rPr>
        <w:t>Department of Budget and Management</w:t>
      </w:r>
    </w:p>
    <w:p w14:paraId="79D9EAA2" w14:textId="77777777" w:rsidR="00EB54D3" w:rsidRPr="00B15CA1" w:rsidRDefault="00EB54D3" w:rsidP="00D95508">
      <w:pPr>
        <w:pStyle w:val="MText"/>
        <w:numPr>
          <w:ilvl w:val="0"/>
          <w:numId w:val="5"/>
        </w:numPr>
        <w:jc w:val="both"/>
        <w:rPr>
          <w:lang w:val="en-US"/>
        </w:rPr>
      </w:pPr>
      <w:r w:rsidRPr="00430AC1">
        <w:rPr>
          <w:lang w:val="en-US"/>
        </w:rPr>
        <w:t>Supreme Audit Institutions</w:t>
      </w:r>
    </w:p>
    <w:p w14:paraId="380B35A6" w14:textId="77777777" w:rsidR="00EB54D3" w:rsidRPr="00B15CA1" w:rsidRDefault="00EB54D3" w:rsidP="00D95508">
      <w:pPr>
        <w:pStyle w:val="MText"/>
        <w:numPr>
          <w:ilvl w:val="0"/>
          <w:numId w:val="5"/>
        </w:numPr>
        <w:jc w:val="both"/>
        <w:rPr>
          <w:lang w:val="en-US"/>
        </w:rPr>
      </w:pPr>
      <w:r w:rsidRPr="00430AC1">
        <w:rPr>
          <w:lang w:val="en-US"/>
        </w:rPr>
        <w:t>Federal Finance Administration /FFA</w:t>
      </w:r>
    </w:p>
    <w:p w14:paraId="21F2068D" w14:textId="428C8A9F" w:rsidR="00EB54D3" w:rsidRDefault="00EB54D3">
      <w:pPr>
        <w:pStyle w:val="MText"/>
        <w:numPr>
          <w:ilvl w:val="0"/>
          <w:numId w:val="5"/>
        </w:numPr>
        <w:jc w:val="both"/>
        <w:rPr>
          <w:lang w:val="en-US"/>
        </w:rPr>
      </w:pPr>
      <w:r w:rsidRPr="00430AC1">
        <w:rPr>
          <w:lang w:val="en-US"/>
        </w:rPr>
        <w:t>Statistics Institutions</w:t>
      </w:r>
    </w:p>
    <w:p w14:paraId="42AD7FF7" w14:textId="77777777" w:rsidR="006B6731" w:rsidRPr="00D95508" w:rsidRDefault="006B6731" w:rsidP="00D95508">
      <w:pPr>
        <w:pStyle w:val="MText"/>
        <w:ind w:left="720"/>
        <w:jc w:val="both"/>
        <w:rPr>
          <w:lang w:val="en-US"/>
        </w:rPr>
      </w:pPr>
    </w:p>
    <w:p w14:paraId="50A66E64" w14:textId="097E9D7A" w:rsidR="00EC2915" w:rsidRDefault="00252E77">
      <w:pPr>
        <w:pStyle w:val="MText"/>
        <w:jc w:val="both"/>
      </w:pPr>
      <w:r>
        <w:t xml:space="preserve">The provided raw data </w:t>
      </w:r>
      <w:proofErr w:type="gramStart"/>
      <w:r>
        <w:t xml:space="preserve">is  </w:t>
      </w:r>
      <w:r w:rsidR="006B6731">
        <w:t>processed</w:t>
      </w:r>
      <w:proofErr w:type="gramEnd"/>
      <w:r w:rsidR="006B6731">
        <w:t xml:space="preserve"> by </w:t>
      </w:r>
      <w:r>
        <w:t>PEFA Secretariat/WB/</w:t>
      </w:r>
      <w:r w:rsidR="006B6731">
        <w:t xml:space="preserve"> and </w:t>
      </w:r>
      <w:r w:rsidR="005F5E37">
        <w:t>submitted</w:t>
      </w:r>
      <w:r w:rsidR="006B6731">
        <w:t xml:space="preserve"> to UN</w:t>
      </w:r>
    </w:p>
    <w:p w14:paraId="15B34B15" w14:textId="77777777" w:rsidR="006B6731" w:rsidRPr="00A96255" w:rsidRDefault="006B6731" w:rsidP="00D95508">
      <w:pPr>
        <w:pStyle w:val="MText"/>
        <w:jc w:val="both"/>
      </w:pPr>
    </w:p>
    <w:p w14:paraId="30DC8E05" w14:textId="484D6EC2" w:rsidR="00E46D96" w:rsidRPr="00A96255" w:rsidRDefault="00E46D96" w:rsidP="00D95508">
      <w:pPr>
        <w:pStyle w:val="MHeader2"/>
        <w:jc w:val="both"/>
      </w:pPr>
      <w:r w:rsidRPr="00A96255">
        <w:t xml:space="preserve">3.f. Data compilers </w:t>
      </w:r>
      <w:r>
        <w:rPr>
          <w:color w:val="B4B4B4"/>
          <w:sz w:val="20"/>
        </w:rPr>
        <w:t>(COMPILING_ORG)</w:t>
      </w:r>
    </w:p>
    <w:p w14:paraId="5C338645"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World Bank</w:t>
      </w:r>
    </w:p>
    <w:p w14:paraId="5C43435B" w14:textId="77777777" w:rsidR="00EC2915" w:rsidRPr="00A96255" w:rsidRDefault="00EC2915" w:rsidP="00D95508">
      <w:pPr>
        <w:pStyle w:val="MText"/>
        <w:jc w:val="both"/>
      </w:pPr>
    </w:p>
    <w:p w14:paraId="5655E768" w14:textId="5429F32E" w:rsidR="00E46D96" w:rsidRPr="00A96255" w:rsidRDefault="00E46D96" w:rsidP="00D95508">
      <w:pPr>
        <w:pStyle w:val="MHeader2"/>
        <w:jc w:val="both"/>
      </w:pPr>
      <w:r w:rsidRPr="00A96255">
        <w:t xml:space="preserve">3.g. Institutional mandate </w:t>
      </w:r>
      <w:r>
        <w:rPr>
          <w:color w:val="B4B4B4"/>
          <w:sz w:val="20"/>
        </w:rPr>
        <w:t>(INST_MANDATE)</w:t>
      </w:r>
    </w:p>
    <w:p w14:paraId="3D063F4C" w14:textId="596BFD4D" w:rsidR="00F719A8" w:rsidRDefault="00455F6E" w:rsidP="00D95508">
      <w:pPr>
        <w:pStyle w:val="MText"/>
        <w:jc w:val="both"/>
      </w:pPr>
      <w:r>
        <w:t>N</w:t>
      </w:r>
      <w:r w:rsidR="006C3413">
        <w:t>ot applicable</w:t>
      </w:r>
    </w:p>
    <w:p w14:paraId="34A2F65D" w14:textId="77777777" w:rsidR="00455F6E" w:rsidRPr="00A96255" w:rsidRDefault="00455F6E" w:rsidP="00D95508">
      <w:pPr>
        <w:pStyle w:val="MText"/>
        <w:jc w:val="both"/>
      </w:pPr>
    </w:p>
    <w:p w14:paraId="6149DC94" w14:textId="05781947" w:rsidR="00B31E2C" w:rsidRPr="00A96255" w:rsidRDefault="00B31E2C" w:rsidP="00D95508">
      <w:pPr>
        <w:pStyle w:val="MHeader"/>
        <w:jc w:val="both"/>
      </w:pPr>
      <w:r w:rsidRPr="00A96255">
        <w:t xml:space="preserve">4. Other methodological considerations </w:t>
      </w:r>
      <w:r>
        <w:rPr>
          <w:color w:val="B4B4B4"/>
          <w:sz w:val="20"/>
        </w:rPr>
        <w:t>(OTHER_METHOD)</w:t>
      </w:r>
    </w:p>
    <w:p w14:paraId="1AFA5517" w14:textId="54FD9B10" w:rsidR="00AF5ED1" w:rsidRPr="00A96255" w:rsidRDefault="00576CFA" w:rsidP="00D95508">
      <w:pPr>
        <w:pStyle w:val="MHeader2"/>
        <w:jc w:val="both"/>
      </w:pPr>
      <w:r w:rsidRPr="00A96255">
        <w:t xml:space="preserve">4.a. Rationale </w:t>
      </w:r>
      <w:r>
        <w:rPr>
          <w:color w:val="B4B4B4"/>
          <w:sz w:val="20"/>
        </w:rPr>
        <w:t>(RATIONALE)</w:t>
      </w:r>
    </w:p>
    <w:p w14:paraId="18EA7892" w14:textId="622D450C" w:rsidR="00576CFA" w:rsidRDefault="0097795D" w:rsidP="00D95508">
      <w:pPr>
        <w:pStyle w:val="MText"/>
        <w:jc w:val="both"/>
      </w:pPr>
      <w:r w:rsidRPr="0097795D">
        <w:t xml:space="preserve">The indicator attempts to capture the reliability of government budgets: do governments spend what they intend </w:t>
      </w:r>
      <w:proofErr w:type="gramStart"/>
      <w:r w:rsidRPr="0097795D">
        <w:t>to</w:t>
      </w:r>
      <w:proofErr w:type="gramEnd"/>
      <w:r w:rsidRPr="0097795D">
        <w:t xml:space="preserve"> and do they collect what they set out to collect. It is a simple and intuitive indicator that is easily </w:t>
      </w:r>
      <w:proofErr w:type="gramStart"/>
      <w:r w:rsidRPr="0097795D">
        <w:t>understood</w:t>
      </w:r>
      <w:proofErr w:type="gramEnd"/>
      <w:r w:rsidRPr="0097795D">
        <w:t xml:space="preserve"> and the methodology is transparent and every rating easily verifiable.</w:t>
      </w:r>
    </w:p>
    <w:p w14:paraId="7DBEC009" w14:textId="77777777" w:rsidR="0097795D" w:rsidRPr="00A96255" w:rsidRDefault="0097795D" w:rsidP="00D95508">
      <w:pPr>
        <w:pStyle w:val="MText"/>
        <w:jc w:val="both"/>
      </w:pPr>
    </w:p>
    <w:p w14:paraId="2529B069" w14:textId="618DCD10" w:rsidR="00E1050F" w:rsidRPr="00A96255" w:rsidRDefault="00E1050F" w:rsidP="00D95508">
      <w:pPr>
        <w:pStyle w:val="MHeader2"/>
        <w:jc w:val="both"/>
      </w:pPr>
      <w:r w:rsidRPr="00A96255">
        <w:t xml:space="preserve">4.b. Comment and limitations </w:t>
      </w:r>
      <w:r>
        <w:rPr>
          <w:color w:val="B4B4B4"/>
          <w:sz w:val="20"/>
        </w:rPr>
        <w:t>(REC_USE_LIM)</w:t>
      </w:r>
    </w:p>
    <w:p w14:paraId="3056094B" w14:textId="1EE164B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 xml:space="preserve">Although not all countries have used the </w:t>
      </w:r>
      <w:r w:rsidR="00455F6E">
        <w:rPr>
          <w:rFonts w:asciiTheme="minorHAnsi" w:hAnsiTheme="minorHAnsi"/>
          <w:color w:val="4A4A4A"/>
          <w:sz w:val="21"/>
          <w:szCs w:val="21"/>
        </w:rPr>
        <w:t xml:space="preserve">PEFA </w:t>
      </w:r>
      <w:r w:rsidRPr="0021400E">
        <w:rPr>
          <w:rFonts w:asciiTheme="minorHAnsi" w:hAnsiTheme="minorHAnsi"/>
          <w:color w:val="4A4A4A"/>
          <w:sz w:val="21"/>
          <w:szCs w:val="21"/>
        </w:rPr>
        <w:t xml:space="preserve">methodology on an annual basis for </w:t>
      </w:r>
      <w:r w:rsidR="00FC78F0">
        <w:rPr>
          <w:rFonts w:asciiTheme="minorHAnsi" w:hAnsiTheme="minorHAnsi"/>
          <w:color w:val="4A4A4A"/>
          <w:sz w:val="21"/>
          <w:szCs w:val="21"/>
        </w:rPr>
        <w:t>the PEFA PI-1</w:t>
      </w:r>
      <w:r w:rsidR="00FC78F0" w:rsidRPr="0021400E">
        <w:rPr>
          <w:rFonts w:asciiTheme="minorHAnsi" w:hAnsiTheme="minorHAnsi"/>
          <w:color w:val="4A4A4A"/>
          <w:sz w:val="21"/>
          <w:szCs w:val="21"/>
        </w:rPr>
        <w:t xml:space="preserve"> </w:t>
      </w:r>
      <w:r w:rsidRPr="0021400E">
        <w:rPr>
          <w:rFonts w:asciiTheme="minorHAnsi" w:hAnsiTheme="minorHAnsi"/>
          <w:color w:val="4A4A4A"/>
          <w:sz w:val="21"/>
          <w:szCs w:val="21"/>
        </w:rPr>
        <w:t xml:space="preserve">indicator, the methodology relies on standard data sets for approved and final budget outturns which are commonly produced at least annually in every country. The countries that have not used the methodology to date are primarily highly developed countries which would have less difficulty in providing the necessary data than those in the </w:t>
      </w:r>
      <w:proofErr w:type="gramStart"/>
      <w:r w:rsidRPr="0021400E">
        <w:rPr>
          <w:rFonts w:asciiTheme="minorHAnsi" w:hAnsiTheme="minorHAnsi"/>
          <w:color w:val="4A4A4A"/>
          <w:sz w:val="21"/>
          <w:szCs w:val="21"/>
        </w:rPr>
        <w:t>lower and middle income</w:t>
      </w:r>
      <w:proofErr w:type="gramEnd"/>
      <w:r w:rsidRPr="0021400E">
        <w:rPr>
          <w:rFonts w:asciiTheme="minorHAnsi" w:hAnsiTheme="minorHAnsi"/>
          <w:color w:val="4A4A4A"/>
          <w:sz w:val="21"/>
          <w:szCs w:val="21"/>
        </w:rPr>
        <w:t xml:space="preserve"> categories that have been primary users of </w:t>
      </w:r>
      <w:bookmarkStart w:id="5" w:name="_Hlk123714460"/>
      <w:r w:rsidRPr="0021400E">
        <w:rPr>
          <w:rFonts w:asciiTheme="minorHAnsi" w:hAnsiTheme="minorHAnsi"/>
          <w:color w:val="4A4A4A"/>
          <w:sz w:val="21"/>
          <w:szCs w:val="21"/>
        </w:rPr>
        <w:t>Public Expenditure and Financial Accountability (PEFA)</w:t>
      </w:r>
      <w:bookmarkEnd w:id="5"/>
      <w:r w:rsidRPr="0021400E">
        <w:rPr>
          <w:rFonts w:asciiTheme="minorHAnsi" w:hAnsiTheme="minorHAnsi"/>
          <w:color w:val="4A4A4A"/>
          <w:sz w:val="21"/>
          <w:szCs w:val="21"/>
        </w:rPr>
        <w:t xml:space="preserve"> to date.</w:t>
      </w:r>
    </w:p>
    <w:p w14:paraId="6FAF442E"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31D792EC"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 xml:space="preserve">One limitation of the indicator is that it is an aggregate indicator of budget reliability. While it can be disaggregated across regions, it is not disaggregated across various budget subcomponents. Different indicators are used for assessing changes in expenditure composition in the PEFA framework. Also, while this indicator is intended to measure budget reliability </w:t>
      </w:r>
      <w:proofErr w:type="gramStart"/>
      <w:r w:rsidRPr="0021400E">
        <w:rPr>
          <w:rFonts w:asciiTheme="minorHAnsi" w:hAnsiTheme="minorHAnsi"/>
          <w:color w:val="4A4A4A"/>
          <w:sz w:val="21"/>
          <w:szCs w:val="21"/>
        </w:rPr>
        <w:t>it should be understood that actual</w:t>
      </w:r>
      <w:proofErr w:type="gramEnd"/>
      <w:r w:rsidRPr="0021400E">
        <w:rPr>
          <w:rFonts w:asciiTheme="minorHAnsi" w:hAnsiTheme="minorHAnsi"/>
          <w:color w:val="4A4A4A"/>
          <w:sz w:val="21"/>
          <w:szCs w:val="21"/>
        </w:rPr>
        <w:t xml:space="preserve"> expenditure outturns can deviate from the originally approved budget for reasons unrelated to the accuracy of forecasts—for example, as a result of a major macroeconomic shock. However, the calibration of this indicator accommodates one unusual or “outlier” year and focuses on deviations from the forecast which occur in two of the three years covered by the assessment. Therefore, single year shocks are discounted allowing a more balanced assessment.</w:t>
      </w:r>
    </w:p>
    <w:p w14:paraId="362C251A"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56982738"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The broader context in which the indicator was developed is as follows. PEFA is a tool for assessing the status of public financial management and reporting on the strengths and weaknesses of Public Financial Management (PFM). A PEFA assessment provides a thorough, consistent and evidence-based analysis of PFM performance at a specific point in time and can be reapplied in successive assessments to track changes over time. The PEFA framework provides the foundation for evidence-based measurement of countries’ PFM systems using 31 performance indicators that are further disaggregated into 94 dimensions. A PEFA assessment measures the extent to which PFM systems, processes and institutions contribute to the achievement of desirable budget outcomes: aggregate fiscal discipline, strategic allocation of resources, and efficient service delivery.</w:t>
      </w:r>
    </w:p>
    <w:p w14:paraId="398C00AE" w14:textId="77777777" w:rsidR="00EC2915" w:rsidRPr="00A96255" w:rsidRDefault="00EC2915" w:rsidP="00D95508">
      <w:pPr>
        <w:pStyle w:val="MText"/>
        <w:jc w:val="both"/>
      </w:pPr>
    </w:p>
    <w:p w14:paraId="79EEEE38" w14:textId="75AB172D" w:rsidR="00E1050F" w:rsidRPr="00A96255" w:rsidRDefault="00E1050F" w:rsidP="00D95508">
      <w:pPr>
        <w:pStyle w:val="MHeader2"/>
        <w:jc w:val="both"/>
      </w:pPr>
      <w:r w:rsidRPr="00A96255">
        <w:t xml:space="preserve">4.c. Method of computation </w:t>
      </w:r>
      <w:r>
        <w:rPr>
          <w:color w:val="B4B4B4"/>
          <w:sz w:val="20"/>
        </w:rPr>
        <w:t>(DATA_COMP)</w:t>
      </w:r>
    </w:p>
    <w:p w14:paraId="1EB2F42F" w14:textId="15290DAC" w:rsidR="005A5E9D" w:rsidRDefault="005A5E9D" w:rsidP="005A5E9D">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 xml:space="preserve">The PEFA </w:t>
      </w:r>
      <w:r w:rsidR="00154EBC">
        <w:rPr>
          <w:rFonts w:asciiTheme="minorHAnsi" w:hAnsiTheme="minorHAnsi"/>
          <w:color w:val="4A4A4A"/>
          <w:sz w:val="21"/>
          <w:szCs w:val="21"/>
        </w:rPr>
        <w:t xml:space="preserve">PI-1 </w:t>
      </w:r>
      <w:r>
        <w:rPr>
          <w:rFonts w:asciiTheme="minorHAnsi" w:hAnsiTheme="minorHAnsi"/>
          <w:color w:val="4A4A4A"/>
          <w:sz w:val="21"/>
          <w:szCs w:val="21"/>
        </w:rPr>
        <w:t xml:space="preserve">Indicator </w:t>
      </w:r>
      <w:r w:rsidR="00D4024A">
        <w:rPr>
          <w:rFonts w:asciiTheme="minorHAnsi" w:hAnsiTheme="minorHAnsi"/>
          <w:color w:val="4A4A4A"/>
          <w:sz w:val="21"/>
          <w:szCs w:val="21"/>
        </w:rPr>
        <w:t xml:space="preserve">(described below) </w:t>
      </w:r>
      <w:r>
        <w:rPr>
          <w:rFonts w:asciiTheme="minorHAnsi" w:hAnsiTheme="minorHAnsi"/>
          <w:color w:val="4A4A4A"/>
          <w:sz w:val="21"/>
          <w:szCs w:val="21"/>
        </w:rPr>
        <w:t xml:space="preserve">is used as a basis for the SDG 16.6.1 Indicator, </w:t>
      </w:r>
      <w:r w:rsidR="00343104">
        <w:rPr>
          <w:rFonts w:asciiTheme="minorHAnsi" w:hAnsiTheme="minorHAnsi"/>
          <w:color w:val="4A4A4A"/>
          <w:sz w:val="21"/>
          <w:szCs w:val="21"/>
        </w:rPr>
        <w:t xml:space="preserve">following </w:t>
      </w:r>
      <w:r w:rsidR="00832C8A">
        <w:rPr>
          <w:rFonts w:asciiTheme="minorHAnsi" w:hAnsiTheme="minorHAnsi"/>
          <w:color w:val="4A4A4A"/>
          <w:sz w:val="21"/>
          <w:szCs w:val="21"/>
        </w:rPr>
        <w:t xml:space="preserve">the </w:t>
      </w:r>
      <w:r w:rsidR="005F5E37">
        <w:rPr>
          <w:rFonts w:asciiTheme="minorHAnsi" w:hAnsiTheme="minorHAnsi"/>
          <w:color w:val="4A4A4A"/>
          <w:sz w:val="21"/>
          <w:szCs w:val="21"/>
        </w:rPr>
        <w:t>measurement</w:t>
      </w:r>
      <w:r w:rsidR="00832C8A">
        <w:rPr>
          <w:rFonts w:asciiTheme="minorHAnsi" w:hAnsiTheme="minorHAnsi"/>
          <w:color w:val="4A4A4A"/>
          <w:sz w:val="21"/>
          <w:szCs w:val="21"/>
        </w:rPr>
        <w:t xml:space="preserve"> guidance and coverage. </w:t>
      </w:r>
      <w:proofErr w:type="gramStart"/>
      <w:r w:rsidR="00832C8A">
        <w:rPr>
          <w:rFonts w:asciiTheme="minorHAnsi" w:hAnsiTheme="minorHAnsi"/>
          <w:color w:val="4A4A4A"/>
          <w:sz w:val="21"/>
          <w:szCs w:val="21"/>
        </w:rPr>
        <w:t>In</w:t>
      </w:r>
      <w:r>
        <w:rPr>
          <w:rFonts w:asciiTheme="minorHAnsi" w:hAnsiTheme="minorHAnsi"/>
          <w:color w:val="4A4A4A"/>
          <w:sz w:val="21"/>
          <w:szCs w:val="21"/>
        </w:rPr>
        <w:t xml:space="preserve"> order to</w:t>
      </w:r>
      <w:proofErr w:type="gramEnd"/>
      <w:r>
        <w:rPr>
          <w:rFonts w:asciiTheme="minorHAnsi" w:hAnsiTheme="minorHAnsi"/>
          <w:color w:val="4A4A4A"/>
          <w:sz w:val="21"/>
          <w:szCs w:val="21"/>
        </w:rPr>
        <w:t xml:space="preserve"> make the computation and the analysis of data over time easy and applicable for all countries, it was decided that SDG 16.6.1 indicator will be based on the annual data collection on approved and executed budgets</w:t>
      </w:r>
      <w:r w:rsidR="00E451B6">
        <w:rPr>
          <w:rFonts w:asciiTheme="minorHAnsi" w:hAnsiTheme="minorHAnsi"/>
          <w:color w:val="4A4A4A"/>
          <w:sz w:val="21"/>
          <w:szCs w:val="21"/>
        </w:rPr>
        <w:t xml:space="preserve"> for all countries</w:t>
      </w:r>
      <w:r w:rsidR="00136918">
        <w:rPr>
          <w:rFonts w:asciiTheme="minorHAnsi" w:hAnsiTheme="minorHAnsi"/>
          <w:color w:val="4A4A4A"/>
          <w:sz w:val="21"/>
          <w:szCs w:val="21"/>
        </w:rPr>
        <w:t xml:space="preserve"> and will be calculated annually</w:t>
      </w:r>
      <w:r>
        <w:rPr>
          <w:rFonts w:asciiTheme="minorHAnsi" w:hAnsiTheme="minorHAnsi"/>
          <w:color w:val="4A4A4A"/>
          <w:sz w:val="21"/>
          <w:szCs w:val="21"/>
        </w:rPr>
        <w:t xml:space="preserve">. </w:t>
      </w:r>
    </w:p>
    <w:p w14:paraId="7B6662BA" w14:textId="0F327AAA" w:rsidR="00A7474A" w:rsidRDefault="0052495B" w:rsidP="005A5E9D">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The</w:t>
      </w:r>
      <w:r w:rsidR="002F7F94">
        <w:rPr>
          <w:rFonts w:asciiTheme="minorHAnsi" w:hAnsiTheme="minorHAnsi"/>
          <w:color w:val="4A4A4A"/>
          <w:sz w:val="21"/>
          <w:szCs w:val="21"/>
        </w:rPr>
        <w:t xml:space="preserve"> </w:t>
      </w:r>
      <w:r>
        <w:rPr>
          <w:rFonts w:asciiTheme="minorHAnsi" w:hAnsiTheme="minorHAnsi"/>
          <w:color w:val="4A4A4A"/>
          <w:sz w:val="21"/>
          <w:szCs w:val="21"/>
        </w:rPr>
        <w:t>simple calculation</w:t>
      </w:r>
      <w:r w:rsidR="002F7F94">
        <w:rPr>
          <w:rFonts w:asciiTheme="minorHAnsi" w:hAnsiTheme="minorHAnsi"/>
          <w:color w:val="4A4A4A"/>
          <w:sz w:val="21"/>
          <w:szCs w:val="21"/>
        </w:rPr>
        <w:t xml:space="preserve"> for every year for every country </w:t>
      </w:r>
      <w:r w:rsidR="0002198B">
        <w:rPr>
          <w:rFonts w:asciiTheme="minorHAnsi" w:hAnsiTheme="minorHAnsi"/>
          <w:color w:val="4A4A4A"/>
          <w:sz w:val="21"/>
          <w:szCs w:val="21"/>
        </w:rPr>
        <w:t xml:space="preserve">in </w:t>
      </w:r>
      <w:r w:rsidR="00216A9D">
        <w:rPr>
          <w:rFonts w:asciiTheme="minorHAnsi" w:hAnsiTheme="minorHAnsi"/>
          <w:color w:val="4A4A4A"/>
          <w:sz w:val="21"/>
          <w:szCs w:val="21"/>
        </w:rPr>
        <w:t>the</w:t>
      </w:r>
      <w:r w:rsidR="0002198B">
        <w:rPr>
          <w:rFonts w:asciiTheme="minorHAnsi" w:hAnsiTheme="minorHAnsi"/>
          <w:color w:val="4A4A4A"/>
          <w:sz w:val="21"/>
          <w:szCs w:val="21"/>
        </w:rPr>
        <w:t xml:space="preserve"> submitted excel sheet </w:t>
      </w:r>
      <w:proofErr w:type="gramStart"/>
      <w:r w:rsidR="00A7474A">
        <w:rPr>
          <w:rFonts w:asciiTheme="minorHAnsi" w:hAnsiTheme="minorHAnsi"/>
          <w:color w:val="4A4A4A"/>
          <w:sz w:val="21"/>
          <w:szCs w:val="21"/>
        </w:rPr>
        <w:t xml:space="preserve">is </w:t>
      </w:r>
      <w:r>
        <w:rPr>
          <w:rFonts w:asciiTheme="minorHAnsi" w:hAnsiTheme="minorHAnsi"/>
          <w:color w:val="4A4A4A"/>
          <w:sz w:val="21"/>
          <w:szCs w:val="21"/>
        </w:rPr>
        <w:t xml:space="preserve"> for</w:t>
      </w:r>
      <w:proofErr w:type="gramEnd"/>
      <w:r>
        <w:rPr>
          <w:rFonts w:asciiTheme="minorHAnsi" w:hAnsiTheme="minorHAnsi"/>
          <w:color w:val="4A4A4A"/>
          <w:sz w:val="21"/>
          <w:szCs w:val="21"/>
        </w:rPr>
        <w:t xml:space="preserve"> the</w:t>
      </w:r>
    </w:p>
    <w:p w14:paraId="02D34FCB" w14:textId="4D68D3DE" w:rsidR="00A7474A" w:rsidRDefault="00A7474A" w:rsidP="005A5E9D">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A</w:t>
      </w:r>
      <w:r w:rsidR="00E16A35">
        <w:rPr>
          <w:rFonts w:asciiTheme="minorHAnsi" w:hAnsiTheme="minorHAnsi"/>
          <w:color w:val="4A4A4A"/>
          <w:sz w:val="21"/>
          <w:szCs w:val="21"/>
        </w:rPr>
        <w:t xml:space="preserve">ggregate </w:t>
      </w:r>
      <w:r w:rsidR="005F5E37">
        <w:rPr>
          <w:rFonts w:asciiTheme="minorHAnsi" w:hAnsiTheme="minorHAnsi"/>
          <w:color w:val="4A4A4A"/>
          <w:sz w:val="21"/>
          <w:szCs w:val="21"/>
        </w:rPr>
        <w:t>expenditure</w:t>
      </w:r>
      <w:r w:rsidR="00E16A35">
        <w:rPr>
          <w:rFonts w:asciiTheme="minorHAnsi" w:hAnsiTheme="minorHAnsi"/>
          <w:color w:val="4A4A4A"/>
          <w:sz w:val="21"/>
          <w:szCs w:val="21"/>
        </w:rPr>
        <w:t xml:space="preserve"> outturn</w:t>
      </w:r>
      <w:r>
        <w:rPr>
          <w:rFonts w:asciiTheme="minorHAnsi" w:hAnsiTheme="minorHAnsi"/>
          <w:color w:val="4A4A4A"/>
          <w:sz w:val="21"/>
          <w:szCs w:val="21"/>
        </w:rPr>
        <w:t xml:space="preserve"> = Executed Budget</w:t>
      </w:r>
      <w:r w:rsidR="0002198B">
        <w:rPr>
          <w:rFonts w:asciiTheme="minorHAnsi" w:hAnsiTheme="minorHAnsi"/>
          <w:color w:val="4A4A4A"/>
          <w:sz w:val="21"/>
          <w:szCs w:val="21"/>
        </w:rPr>
        <w:t>/Approved Budget*100</w:t>
      </w:r>
    </w:p>
    <w:p w14:paraId="16634299" w14:textId="77777777" w:rsidR="0002198B" w:rsidRDefault="0002198B" w:rsidP="005A5E9D">
      <w:pPr>
        <w:pStyle w:val="form-control-static"/>
        <w:shd w:val="clear" w:color="auto" w:fill="FFFFFF"/>
        <w:spacing w:before="0" w:beforeAutospacing="0" w:after="0" w:afterAutospacing="0"/>
        <w:jc w:val="both"/>
        <w:rPr>
          <w:rFonts w:asciiTheme="minorHAnsi" w:hAnsiTheme="minorHAnsi"/>
          <w:color w:val="4A4A4A"/>
          <w:sz w:val="21"/>
          <w:szCs w:val="21"/>
        </w:rPr>
      </w:pPr>
    </w:p>
    <w:p w14:paraId="70CE4A3C" w14:textId="2B3E8A4C" w:rsidR="00E24A38" w:rsidRDefault="00E24A38" w:rsidP="005A5E9D">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 xml:space="preserve">In the </w:t>
      </w:r>
      <w:r w:rsidR="00D076F3">
        <w:rPr>
          <w:rFonts w:asciiTheme="minorHAnsi" w:hAnsiTheme="minorHAnsi"/>
          <w:color w:val="4A4A4A"/>
          <w:sz w:val="21"/>
          <w:szCs w:val="21"/>
        </w:rPr>
        <w:t>countries</w:t>
      </w:r>
      <w:r w:rsidR="00886B2A">
        <w:rPr>
          <w:rFonts w:asciiTheme="minorHAnsi" w:hAnsiTheme="minorHAnsi"/>
          <w:color w:val="4A4A4A"/>
          <w:sz w:val="21"/>
          <w:szCs w:val="21"/>
        </w:rPr>
        <w:t xml:space="preserve"> and </w:t>
      </w:r>
      <w:r>
        <w:rPr>
          <w:rFonts w:asciiTheme="minorHAnsi" w:hAnsiTheme="minorHAnsi"/>
          <w:color w:val="4A4A4A"/>
          <w:sz w:val="21"/>
          <w:szCs w:val="21"/>
        </w:rPr>
        <w:t>regional groupings</w:t>
      </w:r>
      <w:r w:rsidR="00886B2A">
        <w:rPr>
          <w:rFonts w:asciiTheme="minorHAnsi" w:hAnsiTheme="minorHAnsi"/>
          <w:color w:val="4A4A4A"/>
          <w:sz w:val="21"/>
          <w:szCs w:val="21"/>
        </w:rPr>
        <w:t>,</w:t>
      </w:r>
      <w:r w:rsidR="00360A9F">
        <w:rPr>
          <w:rFonts w:asciiTheme="minorHAnsi" w:hAnsiTheme="minorHAnsi"/>
          <w:color w:val="4A4A4A"/>
          <w:sz w:val="21"/>
          <w:szCs w:val="21"/>
        </w:rPr>
        <w:t xml:space="preserve"> analysis of</w:t>
      </w:r>
      <w:r w:rsidR="00D076F3">
        <w:rPr>
          <w:rFonts w:asciiTheme="minorHAnsi" w:hAnsiTheme="minorHAnsi"/>
          <w:color w:val="4A4A4A"/>
          <w:sz w:val="21"/>
          <w:szCs w:val="21"/>
        </w:rPr>
        <w:t xml:space="preserve"> the</w:t>
      </w:r>
      <w:r>
        <w:rPr>
          <w:rFonts w:asciiTheme="minorHAnsi" w:hAnsiTheme="minorHAnsi"/>
          <w:color w:val="4A4A4A"/>
          <w:sz w:val="21"/>
          <w:szCs w:val="21"/>
        </w:rPr>
        <w:t xml:space="preserve"> </w:t>
      </w:r>
      <w:r w:rsidR="00D076F3">
        <w:rPr>
          <w:rFonts w:asciiTheme="minorHAnsi" w:hAnsiTheme="minorHAnsi"/>
          <w:color w:val="4A4A4A"/>
          <w:sz w:val="21"/>
          <w:szCs w:val="21"/>
        </w:rPr>
        <w:t xml:space="preserve">deviations </w:t>
      </w:r>
      <w:proofErr w:type="gramStart"/>
      <w:r w:rsidR="00672176">
        <w:rPr>
          <w:rFonts w:asciiTheme="minorHAnsi" w:hAnsiTheme="minorHAnsi"/>
          <w:color w:val="4A4A4A"/>
          <w:sz w:val="21"/>
          <w:szCs w:val="21"/>
        </w:rPr>
        <w:t>are</w:t>
      </w:r>
      <w:proofErr w:type="gramEnd"/>
      <w:r w:rsidR="00672176">
        <w:rPr>
          <w:rFonts w:asciiTheme="minorHAnsi" w:hAnsiTheme="minorHAnsi"/>
          <w:color w:val="4A4A4A"/>
          <w:sz w:val="21"/>
          <w:szCs w:val="21"/>
        </w:rPr>
        <w:t xml:space="preserve"> </w:t>
      </w:r>
      <w:r w:rsidR="00360A9F">
        <w:rPr>
          <w:rFonts w:asciiTheme="minorHAnsi" w:hAnsiTheme="minorHAnsi"/>
          <w:color w:val="4A4A4A"/>
          <w:sz w:val="21"/>
          <w:szCs w:val="21"/>
        </w:rPr>
        <w:t>done</w:t>
      </w:r>
      <w:r w:rsidR="00672176">
        <w:rPr>
          <w:rFonts w:asciiTheme="minorHAnsi" w:hAnsiTheme="minorHAnsi"/>
          <w:color w:val="4A4A4A"/>
          <w:sz w:val="21"/>
          <w:szCs w:val="21"/>
        </w:rPr>
        <w:t xml:space="preserve"> </w:t>
      </w:r>
      <w:r w:rsidR="005F5E37">
        <w:rPr>
          <w:rFonts w:asciiTheme="minorHAnsi" w:hAnsiTheme="minorHAnsi"/>
          <w:color w:val="4A4A4A"/>
          <w:sz w:val="21"/>
          <w:szCs w:val="21"/>
        </w:rPr>
        <w:t>according</w:t>
      </w:r>
      <w:r>
        <w:rPr>
          <w:rFonts w:asciiTheme="minorHAnsi" w:hAnsiTheme="minorHAnsi"/>
          <w:color w:val="4A4A4A"/>
          <w:sz w:val="21"/>
          <w:szCs w:val="21"/>
        </w:rPr>
        <w:t xml:space="preserve"> regions/years/countries</w:t>
      </w:r>
      <w:r w:rsidR="00360A9F">
        <w:rPr>
          <w:rFonts w:asciiTheme="minorHAnsi" w:hAnsiTheme="minorHAnsi"/>
          <w:color w:val="4A4A4A"/>
          <w:sz w:val="21"/>
          <w:szCs w:val="21"/>
        </w:rPr>
        <w:t>, using the requirements of PEFA PI-1 indictor below.</w:t>
      </w:r>
    </w:p>
    <w:p w14:paraId="234D4996" w14:textId="1D19E873" w:rsidR="00D4024A" w:rsidRDefault="00D4024A" w:rsidP="00D4024A">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 xml:space="preserve">Although the </w:t>
      </w:r>
      <w:r w:rsidR="00660321">
        <w:rPr>
          <w:rFonts w:asciiTheme="minorHAnsi" w:hAnsiTheme="minorHAnsi"/>
          <w:color w:val="4A4A4A"/>
          <w:sz w:val="21"/>
          <w:szCs w:val="21"/>
        </w:rPr>
        <w:t xml:space="preserve">computation and </w:t>
      </w:r>
      <w:r>
        <w:rPr>
          <w:rFonts w:asciiTheme="minorHAnsi" w:hAnsiTheme="minorHAnsi"/>
          <w:color w:val="4A4A4A"/>
          <w:sz w:val="21"/>
          <w:szCs w:val="21"/>
        </w:rPr>
        <w:t xml:space="preserve">scoring </w:t>
      </w:r>
      <w:r w:rsidR="00170EE8">
        <w:rPr>
          <w:rFonts w:asciiTheme="minorHAnsi" w:hAnsiTheme="minorHAnsi"/>
          <w:color w:val="4A4A4A"/>
          <w:sz w:val="21"/>
          <w:szCs w:val="21"/>
        </w:rPr>
        <w:t xml:space="preserve">used </w:t>
      </w:r>
      <w:r w:rsidR="005F5E37">
        <w:rPr>
          <w:rFonts w:asciiTheme="minorHAnsi" w:hAnsiTheme="minorHAnsi"/>
          <w:color w:val="4A4A4A"/>
          <w:sz w:val="21"/>
          <w:szCs w:val="21"/>
        </w:rPr>
        <w:t>for</w:t>
      </w:r>
      <w:r w:rsidR="00170EE8">
        <w:rPr>
          <w:rFonts w:asciiTheme="minorHAnsi" w:hAnsiTheme="minorHAnsi"/>
          <w:color w:val="4A4A4A"/>
          <w:sz w:val="21"/>
          <w:szCs w:val="21"/>
        </w:rPr>
        <w:t xml:space="preserve"> PI-1 indicator are not applied for the SDG 16.6.1 indicator, </w:t>
      </w:r>
      <w:r>
        <w:rPr>
          <w:rFonts w:asciiTheme="minorHAnsi" w:hAnsiTheme="minorHAnsi"/>
          <w:color w:val="4A4A4A"/>
          <w:sz w:val="21"/>
          <w:szCs w:val="21"/>
        </w:rPr>
        <w:t>the categorization</w:t>
      </w:r>
      <w:r w:rsidR="00641435">
        <w:rPr>
          <w:rFonts w:asciiTheme="minorHAnsi" w:hAnsiTheme="minorHAnsi"/>
          <w:color w:val="4A4A4A"/>
          <w:sz w:val="21"/>
          <w:szCs w:val="21"/>
        </w:rPr>
        <w:t xml:space="preserve"> described below </w:t>
      </w:r>
      <w:r>
        <w:rPr>
          <w:rFonts w:asciiTheme="minorHAnsi" w:hAnsiTheme="minorHAnsi"/>
          <w:color w:val="4A4A4A"/>
          <w:sz w:val="21"/>
          <w:szCs w:val="21"/>
        </w:rPr>
        <w:t>is applied and is the basis for the SDG 16.6.1 indicator.</w:t>
      </w:r>
    </w:p>
    <w:p w14:paraId="46EFD84E" w14:textId="77777777" w:rsidR="00A23FDC" w:rsidRDefault="00A23FDC">
      <w:pPr>
        <w:pStyle w:val="form-control-static"/>
        <w:shd w:val="clear" w:color="auto" w:fill="FFFFFF"/>
        <w:spacing w:before="0" w:beforeAutospacing="0" w:after="0" w:afterAutospacing="0"/>
        <w:jc w:val="both"/>
        <w:rPr>
          <w:rFonts w:asciiTheme="minorHAnsi" w:hAnsiTheme="minorHAnsi"/>
          <w:color w:val="4A4A4A"/>
          <w:sz w:val="21"/>
          <w:szCs w:val="21"/>
        </w:rPr>
      </w:pPr>
    </w:p>
    <w:p w14:paraId="4224F40A" w14:textId="1E40AF22" w:rsidR="005A5E9D" w:rsidRDefault="00641435">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 xml:space="preserve">PEFA Methodology </w:t>
      </w:r>
    </w:p>
    <w:p w14:paraId="47E0E9E7" w14:textId="1AA971A0" w:rsidR="00C843B6"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 xml:space="preserve">The methodology for calculating </w:t>
      </w:r>
      <w:r w:rsidR="00AC2231">
        <w:rPr>
          <w:rFonts w:asciiTheme="minorHAnsi" w:hAnsiTheme="minorHAnsi"/>
          <w:color w:val="4A4A4A"/>
          <w:sz w:val="21"/>
          <w:szCs w:val="21"/>
        </w:rPr>
        <w:t>the PEFA PI-1</w:t>
      </w:r>
      <w:r w:rsidR="00AC2231" w:rsidRPr="0021400E">
        <w:rPr>
          <w:rFonts w:asciiTheme="minorHAnsi" w:hAnsiTheme="minorHAnsi"/>
          <w:color w:val="4A4A4A"/>
          <w:sz w:val="21"/>
          <w:szCs w:val="21"/>
        </w:rPr>
        <w:t xml:space="preserve"> </w:t>
      </w:r>
      <w:r w:rsidRPr="0021400E">
        <w:rPr>
          <w:rFonts w:asciiTheme="minorHAnsi" w:hAnsiTheme="minorHAnsi"/>
          <w:color w:val="4A4A4A"/>
          <w:sz w:val="21"/>
          <w:szCs w:val="21"/>
        </w:rPr>
        <w:t>indicator is provided in a spreadsheet (titled “</w:t>
      </w:r>
      <w:hyperlink r:id="rId13" w:history="1">
        <w:r w:rsidRPr="00AC2231">
          <w:rPr>
            <w:rStyle w:val="Hyperlink"/>
            <w:rFonts w:asciiTheme="minorHAnsi" w:hAnsiTheme="minorHAnsi"/>
            <w:sz w:val="21"/>
            <w:szCs w:val="21"/>
          </w:rPr>
          <w:t>En PI-1 and PI-2 Exp Calculation-Feb 1 2016 (</w:t>
        </w:r>
        <w:proofErr w:type="spellStart"/>
        <w:r w:rsidRPr="00AC2231">
          <w:rPr>
            <w:rStyle w:val="Hyperlink"/>
            <w:rFonts w:asciiTheme="minorHAnsi" w:hAnsiTheme="minorHAnsi"/>
            <w:sz w:val="21"/>
            <w:szCs w:val="21"/>
          </w:rPr>
          <w:t>xls</w:t>
        </w:r>
        <w:proofErr w:type="spellEnd"/>
      </w:hyperlink>
      <w:r w:rsidRPr="0021400E">
        <w:rPr>
          <w:rFonts w:asciiTheme="minorHAnsi" w:hAnsiTheme="minorHAnsi"/>
          <w:color w:val="4A4A4A"/>
          <w:sz w:val="21"/>
          <w:szCs w:val="21"/>
        </w:rPr>
        <w:t xml:space="preserve">)”) </w:t>
      </w:r>
      <w:r w:rsidR="00AC2231">
        <w:rPr>
          <w:rFonts w:asciiTheme="minorHAnsi" w:hAnsiTheme="minorHAnsi"/>
          <w:color w:val="4A4A4A"/>
          <w:sz w:val="21"/>
          <w:szCs w:val="21"/>
        </w:rPr>
        <w:t>and is based on the PEFA</w:t>
      </w:r>
      <w:r w:rsidRPr="0021400E">
        <w:rPr>
          <w:rFonts w:asciiTheme="minorHAnsi" w:hAnsiTheme="minorHAnsi"/>
          <w:color w:val="4A4A4A"/>
          <w:sz w:val="21"/>
          <w:szCs w:val="21"/>
        </w:rPr>
        <w:t xml:space="preserve"> </w:t>
      </w:r>
      <w:hyperlink r:id="rId14" w:history="1">
        <w:r w:rsidR="00576209" w:rsidRPr="00455F6E">
          <w:rPr>
            <w:rStyle w:val="Hyperlink"/>
            <w:rFonts w:asciiTheme="minorHAnsi" w:hAnsiTheme="minorHAnsi"/>
            <w:sz w:val="21"/>
            <w:szCs w:val="21"/>
          </w:rPr>
          <w:t>Public Expenditure and Financial Accountability (PEFA)</w:t>
        </w:r>
        <w:r w:rsidR="00AC2231" w:rsidRPr="00455F6E">
          <w:rPr>
            <w:rStyle w:val="Hyperlink"/>
            <w:rFonts w:asciiTheme="minorHAnsi" w:hAnsiTheme="minorHAnsi"/>
            <w:sz w:val="21"/>
            <w:szCs w:val="21"/>
          </w:rPr>
          <w:t xml:space="preserve"> Framework</w:t>
        </w:r>
      </w:hyperlink>
      <w:r w:rsidR="00AC2231">
        <w:rPr>
          <w:rFonts w:asciiTheme="minorHAnsi" w:hAnsiTheme="minorHAnsi"/>
          <w:color w:val="4A4A4A"/>
          <w:sz w:val="21"/>
          <w:szCs w:val="21"/>
        </w:rPr>
        <w:t xml:space="preserve">. </w:t>
      </w:r>
      <w:r w:rsidRPr="0021400E">
        <w:rPr>
          <w:rFonts w:asciiTheme="minorHAnsi" w:hAnsiTheme="minorHAnsi"/>
          <w:color w:val="4A4A4A"/>
          <w:sz w:val="21"/>
          <w:szCs w:val="21"/>
        </w:rPr>
        <w:t xml:space="preserve"> </w:t>
      </w:r>
    </w:p>
    <w:p w14:paraId="6CDDF70F" w14:textId="77777777" w:rsidR="00AC2231" w:rsidRPr="0021400E" w:rsidRDefault="00AC2231"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1A7A1C3C"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Scoring is at the heart of the indicator. A country is scored separately on a four-point ordinal scale: A, B, C, or D, according to precise criteria:</w:t>
      </w:r>
      <w:r w:rsidRPr="0021400E">
        <w:rPr>
          <w:rStyle w:val="apple-converted-space"/>
          <w:rFonts w:asciiTheme="minorHAnsi" w:hAnsiTheme="minorHAnsi"/>
          <w:color w:val="4A4A4A"/>
          <w:sz w:val="21"/>
          <w:szCs w:val="21"/>
        </w:rPr>
        <w:t xml:space="preserve"> </w:t>
      </w:r>
    </w:p>
    <w:p w14:paraId="5999F10D"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(A) Aggregate expenditure outturn was between 95% and 105% of the approved aggregate budgeted expenditure in at least two of the last three years.</w:t>
      </w:r>
    </w:p>
    <w:p w14:paraId="01C175F7"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(B) Aggregate expenditure outturn was between 90% and 110% of the approved aggregate budgeted expenditure in at least two of the last three years.</w:t>
      </w:r>
    </w:p>
    <w:p w14:paraId="75D729F8"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(C Aggregate expenditure outturn was between 85% and 115% of the approved aggregate budgeted expenditure in at least two of the last three years.</w:t>
      </w:r>
    </w:p>
    <w:p w14:paraId="5A71F380"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(D) Performance is less than required for a C score.</w:t>
      </w:r>
    </w:p>
    <w:p w14:paraId="60974F56"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27CB8E47"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proofErr w:type="gramStart"/>
      <w:r w:rsidRPr="0021400E">
        <w:rPr>
          <w:rFonts w:asciiTheme="minorHAnsi" w:hAnsiTheme="minorHAnsi"/>
          <w:color w:val="4A4A4A"/>
          <w:sz w:val="21"/>
          <w:szCs w:val="21"/>
        </w:rPr>
        <w:t>In order to</w:t>
      </w:r>
      <w:proofErr w:type="gramEnd"/>
      <w:r w:rsidRPr="0021400E">
        <w:rPr>
          <w:rFonts w:asciiTheme="minorHAnsi" w:hAnsiTheme="minorHAnsi"/>
          <w:color w:val="4A4A4A"/>
          <w:sz w:val="21"/>
          <w:szCs w:val="21"/>
        </w:rPr>
        <w:t xml:space="preserve"> justify a particular score, every aspect specified in the scoring requirements must be fulfilled. If the requirements are only partly met, the criteria are not </w:t>
      </w:r>
      <w:proofErr w:type="gramStart"/>
      <w:r w:rsidRPr="0021400E">
        <w:rPr>
          <w:rFonts w:asciiTheme="minorHAnsi" w:hAnsiTheme="minorHAnsi"/>
          <w:color w:val="4A4A4A"/>
          <w:sz w:val="21"/>
          <w:szCs w:val="21"/>
        </w:rPr>
        <w:t>satisfied</w:t>
      </w:r>
      <w:proofErr w:type="gramEnd"/>
      <w:r w:rsidRPr="0021400E">
        <w:rPr>
          <w:rFonts w:asciiTheme="minorHAnsi" w:hAnsiTheme="minorHAnsi"/>
          <w:color w:val="4A4A4A"/>
          <w:sz w:val="21"/>
          <w:szCs w:val="21"/>
        </w:rPr>
        <w:t xml:space="preserve"> and a lower score should be given that coincides with achievement of all requirements for the lower performance rating. A score of C reflects the basic level of performance for each indicator and dimension, consistent with good international practices. </w:t>
      </w:r>
      <w:r w:rsidRPr="0021400E">
        <w:rPr>
          <w:rFonts w:asciiTheme="minorHAnsi" w:hAnsiTheme="minorHAnsi"/>
          <w:color w:val="4A4A4A"/>
          <w:sz w:val="21"/>
          <w:szCs w:val="21"/>
        </w:rPr>
        <w:lastRenderedPageBreak/>
        <w:t>A score of D means that the feature being measured is present at less than the basic level of performance or is absent altogether, or that there is insufficient information to score the dimension.</w:t>
      </w:r>
    </w:p>
    <w:p w14:paraId="471E132F"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67D2C04C"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 xml:space="preserve">The D score indicates performance that falls below the basic level. ‘D’ is applied if the performance observed is less than required for any higher score. For this reason, a D score is warranted when sufficient information is not available to establish the actual level of performance. A score of D due to insufficient information is distinguished from D scores for low-level performance </w:t>
      </w:r>
      <w:proofErr w:type="gramStart"/>
      <w:r w:rsidRPr="0021400E">
        <w:rPr>
          <w:rFonts w:asciiTheme="minorHAnsi" w:hAnsiTheme="minorHAnsi"/>
          <w:color w:val="4A4A4A"/>
          <w:sz w:val="21"/>
          <w:szCs w:val="21"/>
        </w:rPr>
        <w:t>by the use of</w:t>
      </w:r>
      <w:proofErr w:type="gramEnd"/>
      <w:r w:rsidRPr="0021400E">
        <w:rPr>
          <w:rFonts w:asciiTheme="minorHAnsi" w:hAnsiTheme="minorHAnsi"/>
          <w:color w:val="4A4A4A"/>
          <w:sz w:val="21"/>
          <w:szCs w:val="21"/>
        </w:rPr>
        <w:t xml:space="preserve"> an asterisk—that is, D* at the dimension level. The asterisk is not included at the indicator level.</w:t>
      </w:r>
    </w:p>
    <w:p w14:paraId="1B2815BA"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6BD64C8C" w14:textId="2D6F3046" w:rsidR="00C843B6"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The coverage is budgetary central government (BCG) and requires data for three consecutive years as a basis for assessment. The data would cover the most recent completed fiscal year for which data is available and the two immediately preceding years.</w:t>
      </w:r>
    </w:p>
    <w:p w14:paraId="6A89839E" w14:textId="151BF396" w:rsidR="00576CFA" w:rsidRPr="00A96255" w:rsidRDefault="00576CFA" w:rsidP="00D95508">
      <w:pPr>
        <w:pStyle w:val="MText"/>
        <w:jc w:val="both"/>
      </w:pPr>
    </w:p>
    <w:p w14:paraId="514CE3C0" w14:textId="3F3F7A53" w:rsidR="00E1050F" w:rsidRPr="00A96255" w:rsidRDefault="00576CFA" w:rsidP="00D95508">
      <w:pPr>
        <w:pStyle w:val="MHeader2"/>
        <w:jc w:val="both"/>
      </w:pPr>
      <w:r w:rsidRPr="00A96255">
        <w:t xml:space="preserve">4.d. Validation </w:t>
      </w:r>
      <w:r>
        <w:rPr>
          <w:color w:val="B4B4B4"/>
          <w:sz w:val="20"/>
        </w:rPr>
        <w:t>(DATA_VALIDATION)</w:t>
      </w:r>
    </w:p>
    <w:p w14:paraId="541338D3" w14:textId="35148570" w:rsidR="00F628A8" w:rsidRDefault="00F628A8" w:rsidP="00F628A8">
      <w:pPr>
        <w:pStyle w:val="MText"/>
        <w:jc w:val="both"/>
      </w:pPr>
      <w:r>
        <w:t xml:space="preserve">The collected data cannot be directly validated, however using the WB network of experts at local level to collect the information form local sources gives a high </w:t>
      </w:r>
      <w:r w:rsidR="005F5E37">
        <w:t>potential</w:t>
      </w:r>
      <w:r>
        <w:t xml:space="preserve"> of the </w:t>
      </w:r>
      <w:r w:rsidR="005F5E37">
        <w:t>credibility</w:t>
      </w:r>
      <w:r>
        <w:t xml:space="preserve"> of the collected data. Another </w:t>
      </w:r>
      <w:r w:rsidR="005F5E37">
        <w:t>approach</w:t>
      </w:r>
      <w:r>
        <w:t xml:space="preserve"> that confirms the validity of data is sharing the existing information during the following years of annual circulation to double check if the provided data is correct.</w:t>
      </w:r>
    </w:p>
    <w:p w14:paraId="181129C0" w14:textId="77777777" w:rsidR="00FC7E48" w:rsidRPr="00A96255" w:rsidRDefault="00FC7E48" w:rsidP="00D95508">
      <w:pPr>
        <w:pStyle w:val="MText"/>
        <w:jc w:val="both"/>
      </w:pPr>
    </w:p>
    <w:p w14:paraId="2CF2A343" w14:textId="0A7F0CBE" w:rsidR="00E1050F" w:rsidRPr="00A96255" w:rsidRDefault="00E1050F" w:rsidP="00D95508">
      <w:pPr>
        <w:pStyle w:val="MHeader2"/>
        <w:jc w:val="both"/>
      </w:pPr>
      <w:r w:rsidRPr="00A96255">
        <w:t xml:space="preserve">4.e. Adjustments </w:t>
      </w:r>
      <w:r>
        <w:rPr>
          <w:color w:val="B4B4B4"/>
          <w:sz w:val="20"/>
        </w:rPr>
        <w:t>(ADJUSTMENT)</w:t>
      </w:r>
    </w:p>
    <w:p w14:paraId="7FBAEBBA" w14:textId="56B4A1E1" w:rsidR="00EC2915" w:rsidRDefault="00FC7E48" w:rsidP="00D95508">
      <w:pPr>
        <w:pStyle w:val="MText"/>
        <w:jc w:val="both"/>
      </w:pPr>
      <w:r>
        <w:t xml:space="preserve">If additional information is provided from </w:t>
      </w:r>
      <w:r w:rsidR="00F628A8">
        <w:t>the</w:t>
      </w:r>
      <w:r>
        <w:t xml:space="preserve"> data source the data is </w:t>
      </w:r>
      <w:r w:rsidR="0024335F">
        <w:t>adjusted</w:t>
      </w:r>
      <w:r>
        <w:t xml:space="preserve"> every year.</w:t>
      </w:r>
    </w:p>
    <w:p w14:paraId="0BDCC7FD" w14:textId="77777777" w:rsidR="00FC7E48" w:rsidRPr="00A96255" w:rsidRDefault="00FC7E48" w:rsidP="00D95508">
      <w:pPr>
        <w:pStyle w:val="MText"/>
        <w:jc w:val="both"/>
      </w:pPr>
    </w:p>
    <w:p w14:paraId="67043C18" w14:textId="55FDF5ED" w:rsidR="00D51E7C" w:rsidRDefault="00576CFA" w:rsidP="00D95508">
      <w:pPr>
        <w:pStyle w:val="MHeader2"/>
        <w:jc w:val="both"/>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50C53923" w:rsidR="00D51E7C" w:rsidRPr="00132CBF" w:rsidRDefault="00D51E7C" w:rsidP="00D95508">
      <w:pPr>
        <w:pStyle w:val="MText"/>
        <w:jc w:val="both"/>
        <w:rPr>
          <w:b/>
          <w:bCs/>
        </w:rPr>
      </w:pPr>
      <w:r w:rsidRPr="00132CBF">
        <w:rPr>
          <w:b/>
          <w:bCs/>
        </w:rPr>
        <w:t>•</w:t>
      </w:r>
      <w:r w:rsidRPr="00132CBF">
        <w:rPr>
          <w:b/>
          <w:bCs/>
        </w:rPr>
        <w:tab/>
        <w:t>At country level</w:t>
      </w:r>
    </w:p>
    <w:p w14:paraId="53F7C8D1" w14:textId="106292EF" w:rsidR="00D34AF9" w:rsidRPr="0021400E" w:rsidRDefault="00D34AF9" w:rsidP="00D34AF9">
      <w:pPr>
        <w:pStyle w:val="NormalWeb"/>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 xml:space="preserve">As the data collection is a complex process in finding the sources of information, the number of countries increases every </w:t>
      </w:r>
      <w:proofErr w:type="gramStart"/>
      <w:r>
        <w:rPr>
          <w:rFonts w:asciiTheme="minorHAnsi" w:hAnsiTheme="minorHAnsi"/>
          <w:color w:val="4A4A4A"/>
          <w:sz w:val="21"/>
          <w:szCs w:val="21"/>
        </w:rPr>
        <w:t>year</w:t>
      </w:r>
      <w:proofErr w:type="gramEnd"/>
      <w:r>
        <w:rPr>
          <w:rFonts w:asciiTheme="minorHAnsi" w:hAnsiTheme="minorHAnsi"/>
          <w:color w:val="4A4A4A"/>
          <w:sz w:val="21"/>
          <w:szCs w:val="21"/>
        </w:rPr>
        <w:t xml:space="preserve"> and the missing values are constantly filled. The target is to collect data for new countries and to fill the gap years for existing countries.</w:t>
      </w:r>
      <w:r w:rsidRPr="00115CCD">
        <w:rPr>
          <w:rFonts w:asciiTheme="minorHAnsi" w:hAnsiTheme="minorHAnsi"/>
          <w:color w:val="4A4A4A"/>
          <w:sz w:val="21"/>
          <w:szCs w:val="21"/>
        </w:rPr>
        <w:t xml:space="preserve"> </w:t>
      </w:r>
      <w:r>
        <w:rPr>
          <w:rFonts w:asciiTheme="minorHAnsi" w:hAnsiTheme="minorHAnsi"/>
          <w:color w:val="4A4A4A"/>
          <w:sz w:val="21"/>
          <w:szCs w:val="21"/>
        </w:rPr>
        <w:t xml:space="preserve">Example: in 2018 the available data was for 60 countries, in 2023 the data is available for 171. In the current 2023 annual data collection </w:t>
      </w:r>
      <w:proofErr w:type="gramStart"/>
      <w:r>
        <w:rPr>
          <w:rFonts w:asciiTheme="minorHAnsi" w:hAnsiTheme="minorHAnsi"/>
          <w:color w:val="4A4A4A"/>
          <w:sz w:val="21"/>
          <w:szCs w:val="21"/>
        </w:rPr>
        <w:t>-  16</w:t>
      </w:r>
      <w:proofErr w:type="gramEnd"/>
      <w:r>
        <w:rPr>
          <w:rFonts w:asciiTheme="minorHAnsi" w:hAnsiTheme="minorHAnsi"/>
          <w:color w:val="4A4A4A"/>
          <w:sz w:val="21"/>
          <w:szCs w:val="21"/>
        </w:rPr>
        <w:t xml:space="preserve"> new countries were added to the </w:t>
      </w:r>
      <w:r w:rsidR="005F5E37">
        <w:rPr>
          <w:rFonts w:asciiTheme="minorHAnsi" w:hAnsiTheme="minorHAnsi"/>
          <w:color w:val="4A4A4A"/>
          <w:sz w:val="21"/>
          <w:szCs w:val="21"/>
        </w:rPr>
        <w:t>existing</w:t>
      </w:r>
      <w:r>
        <w:rPr>
          <w:rFonts w:asciiTheme="minorHAnsi" w:hAnsiTheme="minorHAnsi"/>
          <w:color w:val="4A4A4A"/>
          <w:sz w:val="21"/>
          <w:szCs w:val="21"/>
        </w:rPr>
        <w:t xml:space="preserve"> pool of data.</w:t>
      </w:r>
      <w:r w:rsidR="00081030">
        <w:rPr>
          <w:rFonts w:asciiTheme="minorHAnsi" w:hAnsiTheme="minorHAnsi"/>
          <w:color w:val="4A4A4A"/>
          <w:sz w:val="21"/>
          <w:szCs w:val="21"/>
        </w:rPr>
        <w:t xml:space="preserve"> </w:t>
      </w:r>
      <w:r w:rsidR="005906A4">
        <w:rPr>
          <w:rFonts w:asciiTheme="minorHAnsi" w:hAnsiTheme="minorHAnsi"/>
          <w:color w:val="4A4A4A"/>
          <w:sz w:val="21"/>
          <w:szCs w:val="21"/>
        </w:rPr>
        <w:t>It is expected that based on the created network, in the future data will be collected only for the last fiscal year.</w:t>
      </w:r>
    </w:p>
    <w:p w14:paraId="1B6182A5" w14:textId="54983DC5" w:rsidR="00D51E7C" w:rsidRPr="00C019E5" w:rsidRDefault="00D51E7C" w:rsidP="00D95508">
      <w:pPr>
        <w:pStyle w:val="MText"/>
        <w:jc w:val="both"/>
        <w:rPr>
          <w:highlight w:val="cyan"/>
        </w:rPr>
      </w:pPr>
    </w:p>
    <w:p w14:paraId="06DDC253" w14:textId="77777777" w:rsidR="00D51E7C" w:rsidRPr="00132CBF" w:rsidRDefault="00D51E7C" w:rsidP="00D95508">
      <w:pPr>
        <w:pStyle w:val="MText"/>
        <w:jc w:val="both"/>
        <w:rPr>
          <w:b/>
          <w:bCs/>
        </w:rPr>
      </w:pPr>
      <w:r w:rsidRPr="00132CBF">
        <w:rPr>
          <w:b/>
          <w:bCs/>
        </w:rPr>
        <w:t>•</w:t>
      </w:r>
      <w:r w:rsidRPr="00132CBF">
        <w:rPr>
          <w:b/>
          <w:bCs/>
        </w:rPr>
        <w:tab/>
        <w:t>At regional and global levels</w:t>
      </w:r>
    </w:p>
    <w:p w14:paraId="5DC44953" w14:textId="745FC12F" w:rsidR="00FE21B6" w:rsidRPr="0021400E" w:rsidRDefault="00FE21B6" w:rsidP="00FE21B6">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 xml:space="preserve">The regional aggregation </w:t>
      </w:r>
      <w:proofErr w:type="gramStart"/>
      <w:r>
        <w:rPr>
          <w:rFonts w:asciiTheme="minorHAnsi" w:hAnsiTheme="minorHAnsi"/>
          <w:color w:val="4A4A4A"/>
          <w:sz w:val="21"/>
          <w:szCs w:val="21"/>
        </w:rPr>
        <w:t>according</w:t>
      </w:r>
      <w:proofErr w:type="gramEnd"/>
      <w:r>
        <w:rPr>
          <w:rFonts w:asciiTheme="minorHAnsi" w:hAnsiTheme="minorHAnsi"/>
          <w:color w:val="4A4A4A"/>
          <w:sz w:val="21"/>
          <w:szCs w:val="21"/>
        </w:rPr>
        <w:t xml:space="preserve"> the UN regions is done </w:t>
      </w:r>
      <w:r w:rsidR="005F5E37">
        <w:rPr>
          <w:rFonts w:asciiTheme="minorHAnsi" w:hAnsiTheme="minorHAnsi"/>
          <w:color w:val="4A4A4A"/>
          <w:sz w:val="21"/>
          <w:szCs w:val="21"/>
        </w:rPr>
        <w:t>annually</w:t>
      </w:r>
      <w:r>
        <w:rPr>
          <w:rFonts w:asciiTheme="minorHAnsi" w:hAnsiTheme="minorHAnsi"/>
          <w:color w:val="4A4A4A"/>
          <w:sz w:val="21"/>
          <w:szCs w:val="21"/>
        </w:rPr>
        <w:t>, based on the collected data.</w:t>
      </w:r>
    </w:p>
    <w:p w14:paraId="448F77DC" w14:textId="77777777" w:rsidR="00FC78F0" w:rsidRPr="00A96255" w:rsidRDefault="00FC78F0" w:rsidP="00D95508">
      <w:pPr>
        <w:pStyle w:val="MText"/>
        <w:jc w:val="both"/>
      </w:pPr>
    </w:p>
    <w:p w14:paraId="51FCD280" w14:textId="0DAB30E3" w:rsidR="00E1050F" w:rsidRPr="00A96255" w:rsidRDefault="00E1050F" w:rsidP="00D95508">
      <w:pPr>
        <w:pStyle w:val="MHeader2"/>
        <w:jc w:val="both"/>
      </w:pPr>
      <w:r w:rsidRPr="00A96255">
        <w:t xml:space="preserve">4.g. Regional aggregations </w:t>
      </w:r>
      <w:r>
        <w:rPr>
          <w:color w:val="B4B4B4"/>
          <w:sz w:val="20"/>
        </w:rPr>
        <w:t>(REG_AGG)</w:t>
      </w:r>
    </w:p>
    <w:p w14:paraId="0836B6E5" w14:textId="5865BCF2" w:rsidR="0097256C" w:rsidRPr="0021400E" w:rsidRDefault="0097256C"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Not applicable</w:t>
      </w:r>
    </w:p>
    <w:p w14:paraId="2EA010B7" w14:textId="77777777" w:rsidR="00EC2915" w:rsidRPr="00A96255" w:rsidRDefault="00EC2915" w:rsidP="00D95508">
      <w:pPr>
        <w:pStyle w:val="MText"/>
        <w:jc w:val="both"/>
      </w:pPr>
    </w:p>
    <w:p w14:paraId="71213FF2" w14:textId="52980C15" w:rsidR="00E1050F" w:rsidRPr="00A96255" w:rsidRDefault="00576CFA" w:rsidP="00D95508">
      <w:pPr>
        <w:pStyle w:val="MHeader2"/>
        <w:jc w:val="both"/>
      </w:pPr>
      <w:r w:rsidRPr="00A96255">
        <w:t xml:space="preserve">4.h. Methods and guidance available to countries for the compilation of the data at the national level </w:t>
      </w:r>
      <w:r>
        <w:rPr>
          <w:color w:val="B4B4B4"/>
          <w:sz w:val="20"/>
        </w:rPr>
        <w:t>(DOC_METHOD)</w:t>
      </w:r>
    </w:p>
    <w:p w14:paraId="2939895F" w14:textId="520E7F08" w:rsidR="00EC2915" w:rsidRDefault="001A2FFB">
      <w:pPr>
        <w:pStyle w:val="MText"/>
        <w:jc w:val="both"/>
      </w:pPr>
      <w:r>
        <w:t>N</w:t>
      </w:r>
      <w:r w:rsidR="006C3413">
        <w:t>ot applicable</w:t>
      </w:r>
    </w:p>
    <w:p w14:paraId="3EC5F0DA" w14:textId="77777777" w:rsidR="006C3413" w:rsidRPr="00A96255" w:rsidRDefault="006C3413" w:rsidP="00D95508">
      <w:pPr>
        <w:pStyle w:val="MText"/>
        <w:jc w:val="both"/>
      </w:pPr>
    </w:p>
    <w:p w14:paraId="494C36E8" w14:textId="22C3CD05" w:rsidR="00E1050F" w:rsidRPr="00A96255" w:rsidRDefault="00576CFA" w:rsidP="00D95508">
      <w:pPr>
        <w:pStyle w:val="MHeader2"/>
        <w:jc w:val="both"/>
      </w:pPr>
      <w:r w:rsidRPr="00A96255">
        <w:t xml:space="preserve">4.i. Quality management </w:t>
      </w:r>
      <w:r>
        <w:rPr>
          <w:color w:val="B4B4B4"/>
          <w:sz w:val="20"/>
        </w:rPr>
        <w:t>(QUALITY_MGMNT)</w:t>
      </w:r>
    </w:p>
    <w:p w14:paraId="5484B16D" w14:textId="112C3E0F" w:rsidR="00EC2915" w:rsidRDefault="001A2FFB">
      <w:pPr>
        <w:pStyle w:val="MText"/>
        <w:jc w:val="both"/>
      </w:pPr>
      <w:r>
        <w:t>N</w:t>
      </w:r>
      <w:r w:rsidR="006C3413">
        <w:t>ot applicable</w:t>
      </w:r>
    </w:p>
    <w:p w14:paraId="6F583C4C" w14:textId="77777777" w:rsidR="006C3413" w:rsidRPr="00A96255" w:rsidRDefault="006C3413" w:rsidP="00D95508">
      <w:pPr>
        <w:pStyle w:val="MText"/>
        <w:jc w:val="both"/>
      </w:pPr>
    </w:p>
    <w:p w14:paraId="17B979CA" w14:textId="449C0153" w:rsidR="00E1050F" w:rsidRPr="00A96255" w:rsidRDefault="00E1050F" w:rsidP="00D95508">
      <w:pPr>
        <w:pStyle w:val="MHeader2"/>
        <w:jc w:val="both"/>
      </w:pPr>
      <w:r w:rsidRPr="00A96255">
        <w:lastRenderedPageBreak/>
        <w:t xml:space="preserve">4.j Quality assurance </w:t>
      </w:r>
      <w:r>
        <w:rPr>
          <w:color w:val="B4B4B4"/>
          <w:sz w:val="20"/>
        </w:rPr>
        <w:t>(QUALITY_ASSURE)</w:t>
      </w:r>
    </w:p>
    <w:p w14:paraId="03EF3244" w14:textId="69558B5B" w:rsidR="00EC2915" w:rsidRDefault="001A2FFB">
      <w:pPr>
        <w:pStyle w:val="MText"/>
        <w:jc w:val="both"/>
      </w:pPr>
      <w:r>
        <w:t>N</w:t>
      </w:r>
      <w:r w:rsidR="006C3413">
        <w:t>ot applicable</w:t>
      </w:r>
    </w:p>
    <w:p w14:paraId="7F9A6350" w14:textId="77777777" w:rsidR="006C3413" w:rsidRPr="00A96255" w:rsidRDefault="006C3413" w:rsidP="00D95508">
      <w:pPr>
        <w:pStyle w:val="MText"/>
        <w:jc w:val="both"/>
      </w:pPr>
    </w:p>
    <w:p w14:paraId="34ADD322" w14:textId="09D1B22D" w:rsidR="00E1050F" w:rsidRPr="00A96255" w:rsidRDefault="00576CFA" w:rsidP="00D95508">
      <w:pPr>
        <w:pStyle w:val="MHeader2"/>
        <w:jc w:val="both"/>
      </w:pPr>
      <w:r w:rsidRPr="00A96255">
        <w:t xml:space="preserve">4.k Quality assessment </w:t>
      </w:r>
      <w:r>
        <w:rPr>
          <w:color w:val="B4B4B4"/>
          <w:sz w:val="20"/>
        </w:rPr>
        <w:t>(QUALITY_ASSMNT)</w:t>
      </w:r>
    </w:p>
    <w:p w14:paraId="5B7C52CE" w14:textId="11D00DF5" w:rsidR="00576CFA" w:rsidRDefault="001A2FFB">
      <w:pPr>
        <w:pStyle w:val="MText"/>
        <w:jc w:val="both"/>
      </w:pPr>
      <w:r>
        <w:t>N</w:t>
      </w:r>
      <w:r w:rsidR="006C3413">
        <w:t>ot applicable</w:t>
      </w:r>
    </w:p>
    <w:p w14:paraId="300ED63E" w14:textId="77777777" w:rsidR="006C3413" w:rsidRPr="00A96255" w:rsidRDefault="006C3413" w:rsidP="00D95508">
      <w:pPr>
        <w:pStyle w:val="MText"/>
        <w:jc w:val="both"/>
      </w:pPr>
    </w:p>
    <w:p w14:paraId="4CD8F3EF" w14:textId="6E660007" w:rsidR="00F719A8" w:rsidRPr="00C843B6" w:rsidRDefault="00576CFA" w:rsidP="00D95508">
      <w:pPr>
        <w:pStyle w:val="MHeader"/>
        <w:spacing w:after="100"/>
        <w:jc w:val="both"/>
      </w:pPr>
      <w:r w:rsidRPr="00A96255">
        <w:t xml:space="preserve">5. Data availability and disaggregation </w:t>
      </w:r>
      <w:r>
        <w:rPr>
          <w:color w:val="B4B4B4"/>
          <w:sz w:val="20"/>
        </w:rPr>
        <w:t>(COVERAGE)</w:t>
      </w:r>
    </w:p>
    <w:p w14:paraId="464A8CCF" w14:textId="1372FC7A" w:rsidR="00576CFA" w:rsidRPr="00132CBF" w:rsidRDefault="00D51E7C" w:rsidP="00D95508">
      <w:pPr>
        <w:pStyle w:val="MText"/>
        <w:jc w:val="both"/>
        <w:rPr>
          <w:b/>
          <w:bCs/>
        </w:rPr>
      </w:pPr>
      <w:r w:rsidRPr="00132CBF">
        <w:rPr>
          <w:b/>
          <w:bCs/>
        </w:rPr>
        <w:t>Data availability:</w:t>
      </w:r>
    </w:p>
    <w:p w14:paraId="3FB7041B" w14:textId="6CCCF1CB" w:rsidR="00C843B6" w:rsidRPr="00D95508" w:rsidRDefault="00C843B6" w:rsidP="00D63CDD">
      <w:pPr>
        <w:pStyle w:val="MText"/>
        <w:jc w:val="both"/>
      </w:pPr>
      <w:r w:rsidRPr="0066625A">
        <w:t xml:space="preserve">Data Availability 2010 to present </w:t>
      </w:r>
      <w:r w:rsidR="0066625A" w:rsidRPr="0066625A">
        <w:t xml:space="preserve">as </w:t>
      </w:r>
      <w:proofErr w:type="gramStart"/>
      <w:r w:rsidR="0066625A" w:rsidRPr="0066625A">
        <w:t>at</w:t>
      </w:r>
      <w:proofErr w:type="gramEnd"/>
      <w:r w:rsidR="0066625A" w:rsidRPr="0066625A">
        <w:t xml:space="preserve"> February 2023 </w:t>
      </w:r>
      <w:r w:rsidRPr="0066625A">
        <w:t>(in terms of how many countries have at least 1 data point after 2010 for this indicator)</w:t>
      </w:r>
    </w:p>
    <w:p w14:paraId="6CD53AC2" w14:textId="5AD119E9" w:rsidR="00BF3DC7" w:rsidRPr="00D95508" w:rsidRDefault="000810CA" w:rsidP="00D63CDD">
      <w:pPr>
        <w:pStyle w:val="MText"/>
        <w:jc w:val="both"/>
      </w:pPr>
      <w:r w:rsidRPr="00D95508">
        <w:t>New Zealand and Australia:1</w:t>
      </w:r>
      <w:r w:rsidR="00453757" w:rsidRPr="00D95508">
        <w:t>; Oceania:13</w:t>
      </w:r>
      <w:r w:rsidR="00E57096" w:rsidRPr="00D95508">
        <w:t xml:space="preserve">; Central and Southern Asia:13; </w:t>
      </w:r>
      <w:r w:rsidR="003670B5" w:rsidRPr="00D95508">
        <w:t xml:space="preserve">Eastern and </w:t>
      </w:r>
      <w:proofErr w:type="gramStart"/>
      <w:r w:rsidR="003670B5" w:rsidRPr="00D95508">
        <w:t>So</w:t>
      </w:r>
      <w:r w:rsidR="002E0315" w:rsidRPr="00D95508">
        <w:t>u</w:t>
      </w:r>
      <w:r w:rsidR="003670B5" w:rsidRPr="00D95508">
        <w:t>th Eastern</w:t>
      </w:r>
      <w:proofErr w:type="gramEnd"/>
      <w:r w:rsidR="003670B5" w:rsidRPr="00D95508">
        <w:t xml:space="preserve"> Asia</w:t>
      </w:r>
      <w:r w:rsidR="002E0315" w:rsidRPr="00D95508">
        <w:t xml:space="preserve">: </w:t>
      </w:r>
      <w:r w:rsidR="00C91AC4" w:rsidRPr="00D95508">
        <w:t xml:space="preserve">12; </w:t>
      </w:r>
      <w:r w:rsidR="00CB1476" w:rsidRPr="00D95508">
        <w:t xml:space="preserve">Europe and North America: </w:t>
      </w:r>
      <w:r w:rsidR="001774DE" w:rsidRPr="00D95508">
        <w:t>37</w:t>
      </w:r>
      <w:r w:rsidR="00CB1476" w:rsidRPr="00D95508">
        <w:t>;</w:t>
      </w:r>
      <w:r w:rsidR="00FE5F09" w:rsidRPr="00D95508">
        <w:t xml:space="preserve"> Western Asia and Northern Africa</w:t>
      </w:r>
      <w:r w:rsidR="00B4598F" w:rsidRPr="00D95508">
        <w:t>: 1</w:t>
      </w:r>
      <w:r w:rsidR="00363075" w:rsidRPr="00D95508">
        <w:t>8</w:t>
      </w:r>
      <w:r w:rsidR="00B4598F" w:rsidRPr="00D95508">
        <w:t xml:space="preserve">; </w:t>
      </w:r>
      <w:r w:rsidR="001774DE" w:rsidRPr="00D95508">
        <w:t xml:space="preserve">Latin America and </w:t>
      </w:r>
      <w:proofErr w:type="spellStart"/>
      <w:r w:rsidR="001774DE" w:rsidRPr="00D95508">
        <w:t>Carrebean</w:t>
      </w:r>
      <w:proofErr w:type="spellEnd"/>
      <w:r w:rsidR="001774DE" w:rsidRPr="00D95508">
        <w:t xml:space="preserve">: </w:t>
      </w:r>
      <w:r w:rsidR="0066625A">
        <w:t>30</w:t>
      </w:r>
    </w:p>
    <w:p w14:paraId="6E04A2B6" w14:textId="46B24A3D" w:rsidR="001774DE" w:rsidRPr="0066625A" w:rsidRDefault="001774DE" w:rsidP="00D63CDD">
      <w:pPr>
        <w:pStyle w:val="MText"/>
        <w:jc w:val="both"/>
      </w:pPr>
      <w:r w:rsidRPr="00D95508">
        <w:t xml:space="preserve">Sub-Saharan Africa: </w:t>
      </w:r>
      <w:r w:rsidR="00D3456D" w:rsidRPr="00D95508">
        <w:t>47</w:t>
      </w:r>
    </w:p>
    <w:p w14:paraId="1046A580" w14:textId="77777777" w:rsidR="00C843B6" w:rsidRPr="0066625A" w:rsidRDefault="00C843B6" w:rsidP="00D63CDD">
      <w:pPr>
        <w:pStyle w:val="MText"/>
        <w:jc w:val="both"/>
      </w:pPr>
    </w:p>
    <w:p w14:paraId="0147E02B" w14:textId="77777777" w:rsidR="00C843B6" w:rsidRPr="00D95508" w:rsidRDefault="00C843B6" w:rsidP="00D63CDD">
      <w:pPr>
        <w:pStyle w:val="MText"/>
        <w:jc w:val="both"/>
      </w:pPr>
      <w:r w:rsidRPr="0066625A">
        <w:t>Data Availability 2000-2009:</w:t>
      </w:r>
    </w:p>
    <w:p w14:paraId="5A6B3E50" w14:textId="79667A45" w:rsidR="00D3456D" w:rsidRPr="00D95508" w:rsidRDefault="000810CA" w:rsidP="00D63CDD">
      <w:pPr>
        <w:pStyle w:val="MText"/>
        <w:jc w:val="both"/>
      </w:pPr>
      <w:r w:rsidRPr="00D95508">
        <w:t>New Zealand and Australia:1</w:t>
      </w:r>
      <w:r w:rsidR="00453757" w:rsidRPr="00D95508">
        <w:t>;</w:t>
      </w:r>
      <w:r w:rsidRPr="00D95508">
        <w:t xml:space="preserve"> </w:t>
      </w:r>
      <w:r w:rsidR="00453757" w:rsidRPr="00D95508">
        <w:t>Oceania:13</w:t>
      </w:r>
      <w:r w:rsidR="00E57096" w:rsidRPr="00D95508">
        <w:t>; Central and Southern Asia:13;</w:t>
      </w:r>
      <w:r w:rsidR="00C91AC4" w:rsidRPr="00D95508">
        <w:t xml:space="preserve"> Eastern and </w:t>
      </w:r>
      <w:proofErr w:type="gramStart"/>
      <w:r w:rsidR="00C91AC4" w:rsidRPr="00D95508">
        <w:t>South Eastern</w:t>
      </w:r>
      <w:proofErr w:type="gramEnd"/>
      <w:r w:rsidR="00C91AC4" w:rsidRPr="00D95508">
        <w:t xml:space="preserve"> Asia: 1</w:t>
      </w:r>
      <w:r w:rsidR="007C2C48" w:rsidRPr="00D95508">
        <w:t>1</w:t>
      </w:r>
      <w:r w:rsidR="00CB1476" w:rsidRPr="00D95508">
        <w:t>;</w:t>
      </w:r>
      <w:r w:rsidR="00234491" w:rsidRPr="00D95508">
        <w:t xml:space="preserve"> Europe and North Ameri</w:t>
      </w:r>
      <w:r w:rsidR="00CB1476" w:rsidRPr="00D95508">
        <w:t xml:space="preserve">ca: </w:t>
      </w:r>
      <w:r w:rsidR="001774DE" w:rsidRPr="00D95508">
        <w:t>28</w:t>
      </w:r>
      <w:r w:rsidR="00CB1476" w:rsidRPr="00D95508">
        <w:t xml:space="preserve">; </w:t>
      </w:r>
      <w:r w:rsidR="00363075" w:rsidRPr="00D95508">
        <w:t>Western Asia and Northern Africa: 16;</w:t>
      </w:r>
      <w:r w:rsidR="00D3456D" w:rsidRPr="00D95508">
        <w:t xml:space="preserve"> Latin America and </w:t>
      </w:r>
      <w:proofErr w:type="spellStart"/>
      <w:r w:rsidR="00D3456D" w:rsidRPr="00D95508">
        <w:t>Carrebean</w:t>
      </w:r>
      <w:proofErr w:type="spellEnd"/>
      <w:r w:rsidR="00D3456D" w:rsidRPr="00D95508">
        <w:t xml:space="preserve">: </w:t>
      </w:r>
      <w:r w:rsidR="0066625A">
        <w:t>30</w:t>
      </w:r>
    </w:p>
    <w:p w14:paraId="5F4267C4" w14:textId="025D8A47" w:rsidR="00D3456D" w:rsidRPr="00D95508" w:rsidRDefault="00D3456D" w:rsidP="00D63CDD">
      <w:pPr>
        <w:pStyle w:val="MText"/>
        <w:jc w:val="both"/>
      </w:pPr>
      <w:r w:rsidRPr="00D95508">
        <w:t>Sub-Saharan Africa: 45</w:t>
      </w:r>
    </w:p>
    <w:p w14:paraId="2D0542F7" w14:textId="3DE6BFAB" w:rsidR="00D51E7C" w:rsidRPr="00D95508" w:rsidRDefault="00D51E7C" w:rsidP="00D95508">
      <w:pPr>
        <w:pStyle w:val="MText"/>
        <w:jc w:val="both"/>
      </w:pPr>
    </w:p>
    <w:p w14:paraId="5853D6F7" w14:textId="44EE14E1" w:rsidR="00D51E7C" w:rsidRPr="00132CBF" w:rsidRDefault="00D51E7C" w:rsidP="00D95508">
      <w:pPr>
        <w:pStyle w:val="MText"/>
        <w:jc w:val="both"/>
        <w:rPr>
          <w:b/>
          <w:bCs/>
        </w:rPr>
      </w:pPr>
      <w:r w:rsidRPr="00132CBF">
        <w:rPr>
          <w:b/>
          <w:bCs/>
        </w:rPr>
        <w:t>Time series:</w:t>
      </w:r>
    </w:p>
    <w:p w14:paraId="48F446BD" w14:textId="299F28D4" w:rsidR="001A2FFB" w:rsidRPr="00D95508" w:rsidRDefault="001A2FFB" w:rsidP="00D95508">
      <w:pPr>
        <w:pStyle w:val="MText"/>
        <w:jc w:val="both"/>
      </w:pPr>
      <w:r w:rsidRPr="00D95508">
        <w:t xml:space="preserve">On </w:t>
      </w:r>
      <w:r w:rsidR="0024335F" w:rsidRPr="0024335F">
        <w:t>average</w:t>
      </w:r>
      <w:r w:rsidRPr="00D95508">
        <w:t xml:space="preserve"> all data available for 17</w:t>
      </w:r>
      <w:r w:rsidR="00937E45">
        <w:t>1</w:t>
      </w:r>
      <w:r w:rsidRPr="00D95508">
        <w:t xml:space="preserve"> countries is for an average of </w:t>
      </w:r>
      <w:proofErr w:type="gramStart"/>
      <w:r w:rsidRPr="00D95508">
        <w:t>1</w:t>
      </w:r>
      <w:r w:rsidR="00937E45">
        <w:t>2</w:t>
      </w:r>
      <w:r w:rsidRPr="00D95508">
        <w:t xml:space="preserve"> year</w:t>
      </w:r>
      <w:proofErr w:type="gramEnd"/>
      <w:r w:rsidRPr="00D95508">
        <w:t xml:space="preserve"> </w:t>
      </w:r>
      <w:r w:rsidR="0024335F" w:rsidRPr="0024335F">
        <w:t>period</w:t>
      </w:r>
      <w:r w:rsidRPr="00D95508">
        <w:t xml:space="preserve"> of time.</w:t>
      </w:r>
    </w:p>
    <w:p w14:paraId="760C013A" w14:textId="1AF274F7" w:rsidR="00D51E7C" w:rsidRPr="00132CBF" w:rsidRDefault="00D51E7C" w:rsidP="00D95508">
      <w:pPr>
        <w:pStyle w:val="MText"/>
        <w:jc w:val="both"/>
        <w:rPr>
          <w:b/>
          <w:bCs/>
        </w:rPr>
      </w:pPr>
    </w:p>
    <w:p w14:paraId="72C7C370" w14:textId="46FB5BF6" w:rsidR="00D51E7C" w:rsidRPr="00132CBF" w:rsidRDefault="00D51E7C" w:rsidP="00D95508">
      <w:pPr>
        <w:pStyle w:val="MText"/>
        <w:jc w:val="both"/>
        <w:rPr>
          <w:b/>
          <w:bCs/>
        </w:rPr>
      </w:pPr>
      <w:r w:rsidRPr="00132CBF">
        <w:rPr>
          <w:b/>
          <w:bCs/>
        </w:rPr>
        <w:t>Disaggregation:</w:t>
      </w:r>
    </w:p>
    <w:p w14:paraId="3403C8FB" w14:textId="6A87939E" w:rsidR="0097256C" w:rsidRPr="0097256C" w:rsidRDefault="0097256C"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This is an aggregate national level figure. However, subnational figures can be obtained for countries with decentralized government systems.</w:t>
      </w:r>
    </w:p>
    <w:p w14:paraId="42E8CA56" w14:textId="77777777" w:rsidR="00D51E7C" w:rsidRPr="00A96255" w:rsidRDefault="00D51E7C" w:rsidP="00D95508">
      <w:pPr>
        <w:pStyle w:val="MText"/>
        <w:jc w:val="both"/>
      </w:pPr>
    </w:p>
    <w:p w14:paraId="33CAB7BE" w14:textId="794D10BD" w:rsidR="00EC2915" w:rsidRDefault="00B31E2C" w:rsidP="00D95508">
      <w:pPr>
        <w:pStyle w:val="MHeader"/>
        <w:spacing w:after="100"/>
        <w:jc w:val="both"/>
      </w:pPr>
      <w:r w:rsidRPr="00A96255">
        <w:t xml:space="preserve">6. Comparability / deviation from international standards </w:t>
      </w:r>
      <w:r>
        <w:rPr>
          <w:color w:val="B4B4B4"/>
          <w:sz w:val="20"/>
        </w:rPr>
        <w:t>(COMPARABILITY)</w:t>
      </w:r>
    </w:p>
    <w:p w14:paraId="3595E072" w14:textId="55463678" w:rsidR="00D51E7C" w:rsidRPr="00132CBF" w:rsidRDefault="00D51E7C" w:rsidP="00D95508">
      <w:pPr>
        <w:pStyle w:val="MText"/>
        <w:jc w:val="both"/>
        <w:rPr>
          <w:b/>
          <w:bCs/>
        </w:rPr>
      </w:pPr>
      <w:r w:rsidRPr="00132CBF">
        <w:rPr>
          <w:b/>
          <w:bCs/>
        </w:rPr>
        <w:t>Sources of discrepancies:</w:t>
      </w:r>
    </w:p>
    <w:p w14:paraId="1F37A09E" w14:textId="77777777" w:rsidR="0097256C" w:rsidRPr="0021400E" w:rsidRDefault="0097256C" w:rsidP="00D95508">
      <w:pPr>
        <w:pStyle w:val="form-control-static"/>
        <w:shd w:val="clear" w:color="auto" w:fill="FFFFFF"/>
        <w:spacing w:before="0" w:beforeAutospacing="0" w:after="0" w:afterAutospacing="0"/>
        <w:jc w:val="both"/>
        <w:rPr>
          <w:rFonts w:asciiTheme="minorHAnsi" w:hAnsiTheme="minorHAnsi"/>
          <w:color w:val="4A4A4A"/>
          <w:sz w:val="21"/>
          <w:szCs w:val="21"/>
        </w:rPr>
      </w:pPr>
      <w:r w:rsidRPr="0021400E">
        <w:rPr>
          <w:rFonts w:asciiTheme="minorHAnsi" w:hAnsiTheme="minorHAnsi"/>
          <w:color w:val="4A4A4A"/>
          <w:sz w:val="21"/>
          <w:szCs w:val="21"/>
        </w:rPr>
        <w:t>Not applicable as all figures are obtained from national budget data.</w:t>
      </w:r>
    </w:p>
    <w:p w14:paraId="5AB6DD91" w14:textId="77777777" w:rsidR="00F719A8" w:rsidRPr="00A96255" w:rsidRDefault="00F719A8" w:rsidP="00D95508">
      <w:pPr>
        <w:pStyle w:val="MText"/>
        <w:jc w:val="both"/>
      </w:pPr>
    </w:p>
    <w:p w14:paraId="76DF099C" w14:textId="703C09F1" w:rsidR="00382CF3" w:rsidRPr="00A96255" w:rsidRDefault="00576CFA" w:rsidP="00D95508">
      <w:pPr>
        <w:pStyle w:val="MHeader"/>
        <w:spacing w:after="100"/>
        <w:jc w:val="both"/>
      </w:pPr>
      <w:r w:rsidRPr="00A96255">
        <w:t xml:space="preserve">7. References and Documentation </w:t>
      </w:r>
      <w:r>
        <w:rPr>
          <w:color w:val="B4B4B4"/>
          <w:sz w:val="20"/>
        </w:rPr>
        <w:t>(OTHER_DOC)</w:t>
      </w:r>
    </w:p>
    <w:p w14:paraId="28DAFA6B" w14:textId="77777777" w:rsidR="00C843B6" w:rsidRPr="0021400E" w:rsidRDefault="00C843B6" w:rsidP="00D95508">
      <w:pPr>
        <w:shd w:val="clear" w:color="auto" w:fill="FFFFFF"/>
        <w:spacing w:after="0"/>
        <w:jc w:val="both"/>
        <w:rPr>
          <w:rFonts w:cs="Times New Roman"/>
          <w:color w:val="4A4A4A"/>
          <w:sz w:val="21"/>
          <w:szCs w:val="21"/>
        </w:rPr>
      </w:pPr>
      <w:r w:rsidRPr="0021400E">
        <w:rPr>
          <w:rStyle w:val="Strong"/>
          <w:rFonts w:cs="Times New Roman"/>
          <w:color w:val="4A4A4A"/>
          <w:sz w:val="21"/>
          <w:szCs w:val="21"/>
        </w:rPr>
        <w:t>URL:</w:t>
      </w:r>
    </w:p>
    <w:p w14:paraId="38045DD3" w14:textId="1A903A73" w:rsidR="001A2FFB" w:rsidRDefault="00000000" w:rsidP="00311660">
      <w:pPr>
        <w:pStyle w:val="form-control-static"/>
        <w:shd w:val="clear" w:color="auto" w:fill="FFFFFF"/>
        <w:spacing w:before="0" w:beforeAutospacing="0" w:after="0" w:afterAutospacing="0"/>
        <w:jc w:val="both"/>
        <w:rPr>
          <w:rFonts w:asciiTheme="minorHAnsi" w:hAnsiTheme="minorHAnsi"/>
          <w:color w:val="4A4A4A"/>
          <w:sz w:val="21"/>
          <w:szCs w:val="21"/>
        </w:rPr>
      </w:pPr>
      <w:hyperlink r:id="rId15" w:history="1">
        <w:r w:rsidR="00AC4737" w:rsidRPr="00055259">
          <w:rPr>
            <w:rStyle w:val="Hyperlink"/>
            <w:rFonts w:asciiTheme="minorHAnsi" w:hAnsiTheme="minorHAnsi"/>
            <w:sz w:val="21"/>
            <w:szCs w:val="21"/>
          </w:rPr>
          <w:t>www.worldbank.org</w:t>
        </w:r>
      </w:hyperlink>
      <w:r w:rsidR="00AC4737">
        <w:rPr>
          <w:rFonts w:asciiTheme="minorHAnsi" w:hAnsiTheme="minorHAnsi"/>
          <w:color w:val="4A4A4A"/>
          <w:sz w:val="21"/>
          <w:szCs w:val="21"/>
        </w:rPr>
        <w:t xml:space="preserve"> </w:t>
      </w:r>
    </w:p>
    <w:p w14:paraId="7272D6DF" w14:textId="77777777" w:rsidR="00EB1C6F" w:rsidRDefault="00EB1C6F" w:rsidP="00311660">
      <w:pPr>
        <w:pStyle w:val="form-control-static"/>
        <w:shd w:val="clear" w:color="auto" w:fill="FFFFFF"/>
        <w:spacing w:before="0" w:beforeAutospacing="0" w:after="0" w:afterAutospacing="0"/>
        <w:jc w:val="both"/>
        <w:rPr>
          <w:rFonts w:asciiTheme="minorHAnsi" w:hAnsiTheme="minorHAnsi"/>
          <w:color w:val="4A4A4A"/>
          <w:sz w:val="21"/>
          <w:szCs w:val="21"/>
        </w:rPr>
      </w:pPr>
    </w:p>
    <w:p w14:paraId="3D3CA7BF" w14:textId="53889359" w:rsidR="00EB1C6F" w:rsidRPr="00EB1C6F" w:rsidRDefault="00000000" w:rsidP="00D95508">
      <w:pPr>
        <w:pStyle w:val="form-control-static"/>
        <w:shd w:val="clear" w:color="auto" w:fill="FFFFFF"/>
        <w:spacing w:before="0" w:beforeAutospacing="0" w:after="0" w:afterAutospacing="0"/>
        <w:jc w:val="both"/>
        <w:rPr>
          <w:rFonts w:asciiTheme="minorHAnsi" w:hAnsiTheme="minorHAnsi" w:cstheme="minorHAnsi"/>
          <w:color w:val="4A4A4A"/>
          <w:sz w:val="21"/>
          <w:szCs w:val="21"/>
        </w:rPr>
      </w:pPr>
      <w:hyperlink r:id="rId16" w:history="1">
        <w:r w:rsidR="00EB1C6F" w:rsidRPr="00D33A9A">
          <w:rPr>
            <w:rStyle w:val="Hyperlink"/>
            <w:rFonts w:asciiTheme="minorHAnsi" w:hAnsiTheme="minorHAnsi" w:cstheme="minorHAnsi"/>
            <w:sz w:val="21"/>
            <w:szCs w:val="21"/>
          </w:rPr>
          <w:t>World Bank Data Portal for SDG 16.6.1</w:t>
        </w:r>
      </w:hyperlink>
    </w:p>
    <w:p w14:paraId="2E3485AC" w14:textId="77777777" w:rsidR="00C843B6" w:rsidRPr="0021400E" w:rsidRDefault="00C843B6" w:rsidP="00D95508">
      <w:pPr>
        <w:pStyle w:val="form-control-static"/>
        <w:shd w:val="clear" w:color="auto" w:fill="FFFFFF"/>
        <w:spacing w:before="0" w:beforeAutospacing="0" w:after="0" w:afterAutospacing="0"/>
        <w:jc w:val="both"/>
        <w:rPr>
          <w:rFonts w:asciiTheme="minorHAnsi" w:hAnsiTheme="minorHAnsi"/>
          <w:color w:val="4A4A4A"/>
          <w:sz w:val="21"/>
          <w:szCs w:val="21"/>
        </w:rPr>
      </w:pPr>
    </w:p>
    <w:p w14:paraId="2FF8EE41" w14:textId="77777777" w:rsidR="00C843B6" w:rsidRPr="0021400E" w:rsidRDefault="00C843B6" w:rsidP="00D95508">
      <w:pPr>
        <w:shd w:val="clear" w:color="auto" w:fill="FFFFFF"/>
        <w:spacing w:after="0"/>
        <w:jc w:val="both"/>
        <w:rPr>
          <w:rFonts w:cs="Times New Roman"/>
          <w:color w:val="4A4A4A"/>
          <w:sz w:val="21"/>
          <w:szCs w:val="21"/>
        </w:rPr>
      </w:pPr>
      <w:r w:rsidRPr="0021400E">
        <w:rPr>
          <w:rStyle w:val="Strong"/>
          <w:rFonts w:cs="Times New Roman"/>
          <w:color w:val="4A4A4A"/>
          <w:sz w:val="21"/>
          <w:szCs w:val="21"/>
        </w:rPr>
        <w:t>References:</w:t>
      </w:r>
    </w:p>
    <w:p w14:paraId="7DC44708" w14:textId="615F3432" w:rsidR="00D33A9A" w:rsidRPr="00D33A9A" w:rsidRDefault="00C843B6" w:rsidP="00D95508">
      <w:pPr>
        <w:pStyle w:val="form-control-static"/>
        <w:shd w:val="clear" w:color="auto" w:fill="FFFFFF"/>
        <w:spacing w:before="0" w:beforeAutospacing="0" w:after="0" w:afterAutospacing="0"/>
        <w:jc w:val="both"/>
        <w:rPr>
          <w:rFonts w:asciiTheme="minorHAnsi" w:hAnsiTheme="minorHAnsi" w:cstheme="minorHAnsi"/>
          <w:color w:val="4A4A4A"/>
          <w:sz w:val="21"/>
          <w:szCs w:val="21"/>
        </w:rPr>
      </w:pPr>
      <w:r w:rsidRPr="00D33A9A">
        <w:rPr>
          <w:rFonts w:asciiTheme="minorHAnsi" w:hAnsiTheme="minorHAnsi" w:cstheme="minorHAnsi"/>
          <w:color w:val="4A4A4A"/>
          <w:sz w:val="21"/>
          <w:szCs w:val="21"/>
        </w:rPr>
        <w:t>Very detailed resource</w:t>
      </w:r>
      <w:r w:rsidR="001A2FFB" w:rsidRPr="00D33A9A">
        <w:rPr>
          <w:rFonts w:asciiTheme="minorHAnsi" w:hAnsiTheme="minorHAnsi" w:cstheme="minorHAnsi"/>
          <w:color w:val="4A4A4A"/>
          <w:sz w:val="21"/>
          <w:szCs w:val="21"/>
        </w:rPr>
        <w:t xml:space="preserve"> on which is based the methodology of the indicator </w:t>
      </w:r>
      <w:r w:rsidR="001A2FFB" w:rsidRPr="00D95508">
        <w:rPr>
          <w:rFonts w:cstheme="minorHAnsi"/>
          <w:color w:val="4A4A4A"/>
          <w:sz w:val="21"/>
          <w:szCs w:val="21"/>
        </w:rPr>
        <w:t xml:space="preserve">is the latest </w:t>
      </w:r>
      <w:r w:rsidR="00D33A9A">
        <w:rPr>
          <w:rFonts w:asciiTheme="minorHAnsi" w:hAnsiTheme="minorHAnsi" w:cstheme="minorHAnsi"/>
          <w:color w:val="4A4A4A"/>
          <w:sz w:val="21"/>
          <w:szCs w:val="21"/>
        </w:rPr>
        <w:t xml:space="preserve">2016 </w:t>
      </w:r>
      <w:r w:rsidR="001A2FFB" w:rsidRPr="00D33A9A">
        <w:rPr>
          <w:rFonts w:asciiTheme="minorHAnsi" w:hAnsiTheme="minorHAnsi" w:cstheme="minorHAnsi"/>
          <w:color w:val="4A4A4A"/>
          <w:sz w:val="21"/>
          <w:szCs w:val="21"/>
        </w:rPr>
        <w:t xml:space="preserve">version of the </w:t>
      </w:r>
      <w:r w:rsidRPr="00D95508">
        <w:rPr>
          <w:rFonts w:asciiTheme="minorHAnsi" w:hAnsiTheme="minorHAnsi" w:cstheme="minorHAnsi"/>
          <w:color w:val="4A4A4A"/>
          <w:sz w:val="21"/>
          <w:szCs w:val="21"/>
        </w:rPr>
        <w:t xml:space="preserve"> “</w:t>
      </w:r>
      <w:hyperlink r:id="rId17" w:history="1">
        <w:r w:rsidR="001A2FFB" w:rsidRPr="00D33A9A">
          <w:rPr>
            <w:rStyle w:val="Hyperlink"/>
            <w:rFonts w:asciiTheme="minorHAnsi" w:hAnsiTheme="minorHAnsi" w:cstheme="minorHAnsi"/>
            <w:sz w:val="21"/>
            <w:szCs w:val="21"/>
          </w:rPr>
          <w:t xml:space="preserve">PEFA </w:t>
        </w:r>
        <w:r w:rsidRPr="00D33A9A">
          <w:rPr>
            <w:rStyle w:val="Hyperlink"/>
            <w:rFonts w:asciiTheme="minorHAnsi" w:hAnsiTheme="minorHAnsi" w:cstheme="minorHAnsi"/>
            <w:sz w:val="21"/>
            <w:szCs w:val="21"/>
          </w:rPr>
          <w:t xml:space="preserve">Framework for </w:t>
        </w:r>
        <w:r w:rsidR="001A2FFB" w:rsidRPr="00D33A9A">
          <w:rPr>
            <w:rStyle w:val="Hyperlink"/>
            <w:rFonts w:asciiTheme="minorHAnsi" w:hAnsiTheme="minorHAnsi" w:cstheme="minorHAnsi"/>
            <w:sz w:val="21"/>
            <w:szCs w:val="21"/>
          </w:rPr>
          <w:t>A</w:t>
        </w:r>
        <w:r w:rsidRPr="00D95508">
          <w:rPr>
            <w:rStyle w:val="Hyperlink"/>
            <w:rFonts w:asciiTheme="minorHAnsi" w:hAnsiTheme="minorHAnsi" w:cstheme="minorHAnsi"/>
            <w:sz w:val="21"/>
            <w:szCs w:val="21"/>
          </w:rPr>
          <w:t xml:space="preserve">ssessing </w:t>
        </w:r>
        <w:r w:rsidR="001A2FFB" w:rsidRPr="00D95508">
          <w:rPr>
            <w:rStyle w:val="Hyperlink"/>
            <w:rFonts w:asciiTheme="minorHAnsi" w:hAnsiTheme="minorHAnsi" w:cstheme="minorHAnsi"/>
            <w:sz w:val="21"/>
            <w:szCs w:val="21"/>
          </w:rPr>
          <w:t>P</w:t>
        </w:r>
        <w:r w:rsidRPr="00D95508">
          <w:rPr>
            <w:rStyle w:val="Hyperlink"/>
            <w:rFonts w:asciiTheme="minorHAnsi" w:hAnsiTheme="minorHAnsi" w:cstheme="minorHAnsi"/>
            <w:sz w:val="21"/>
            <w:szCs w:val="21"/>
          </w:rPr>
          <w:t xml:space="preserve">ublic </w:t>
        </w:r>
        <w:r w:rsidR="001A2FFB" w:rsidRPr="00D95508">
          <w:rPr>
            <w:rStyle w:val="Hyperlink"/>
            <w:rFonts w:asciiTheme="minorHAnsi" w:hAnsiTheme="minorHAnsi" w:cstheme="minorHAnsi"/>
            <w:sz w:val="21"/>
            <w:szCs w:val="21"/>
          </w:rPr>
          <w:t>F</w:t>
        </w:r>
        <w:r w:rsidRPr="00D95508">
          <w:rPr>
            <w:rStyle w:val="Hyperlink"/>
            <w:rFonts w:asciiTheme="minorHAnsi" w:hAnsiTheme="minorHAnsi" w:cstheme="minorHAnsi"/>
            <w:sz w:val="21"/>
            <w:szCs w:val="21"/>
          </w:rPr>
          <w:t xml:space="preserve">inancial </w:t>
        </w:r>
        <w:r w:rsidR="001A2FFB" w:rsidRPr="00D95508">
          <w:rPr>
            <w:rStyle w:val="Hyperlink"/>
            <w:rFonts w:asciiTheme="minorHAnsi" w:hAnsiTheme="minorHAnsi" w:cstheme="minorHAnsi"/>
            <w:sz w:val="21"/>
            <w:szCs w:val="21"/>
          </w:rPr>
          <w:t>M</w:t>
        </w:r>
        <w:r w:rsidRPr="00D95508">
          <w:rPr>
            <w:rStyle w:val="Hyperlink"/>
            <w:rFonts w:asciiTheme="minorHAnsi" w:hAnsiTheme="minorHAnsi" w:cstheme="minorHAnsi"/>
            <w:sz w:val="21"/>
            <w:szCs w:val="21"/>
          </w:rPr>
          <w:t>anagement</w:t>
        </w:r>
      </w:hyperlink>
      <w:r w:rsidRPr="00D33A9A">
        <w:rPr>
          <w:rFonts w:asciiTheme="minorHAnsi" w:hAnsiTheme="minorHAnsi" w:cstheme="minorHAnsi"/>
          <w:color w:val="4A4A4A"/>
          <w:sz w:val="21"/>
          <w:szCs w:val="21"/>
        </w:rPr>
        <w:t xml:space="preserve">” </w:t>
      </w:r>
      <w:r w:rsidR="001A2FFB" w:rsidRPr="00D95508">
        <w:rPr>
          <w:rFonts w:asciiTheme="minorHAnsi" w:hAnsiTheme="minorHAnsi" w:cstheme="minorHAnsi"/>
          <w:color w:val="4A4A4A"/>
          <w:sz w:val="21"/>
          <w:szCs w:val="21"/>
        </w:rPr>
        <w:t xml:space="preserve">that is available on PEFA Website: </w:t>
      </w:r>
      <w:hyperlink r:id="rId18" w:history="1">
        <w:r w:rsidR="00D33A9A" w:rsidRPr="00D33A9A">
          <w:rPr>
            <w:rStyle w:val="Hyperlink"/>
            <w:rFonts w:asciiTheme="minorHAnsi" w:hAnsiTheme="minorHAnsi" w:cstheme="minorHAnsi"/>
            <w:sz w:val="21"/>
            <w:szCs w:val="21"/>
          </w:rPr>
          <w:t>www.pefa.org</w:t>
        </w:r>
      </w:hyperlink>
    </w:p>
    <w:p w14:paraId="3437093F" w14:textId="77777777" w:rsidR="00D33A9A" w:rsidRPr="00D33A9A" w:rsidRDefault="00D33A9A" w:rsidP="00D95508">
      <w:pPr>
        <w:pStyle w:val="form-control-static"/>
        <w:shd w:val="clear" w:color="auto" w:fill="FFFFFF"/>
        <w:spacing w:before="0" w:beforeAutospacing="0" w:after="0" w:afterAutospacing="0"/>
        <w:jc w:val="both"/>
        <w:rPr>
          <w:rFonts w:asciiTheme="minorHAnsi" w:hAnsiTheme="minorHAnsi" w:cstheme="minorHAnsi"/>
          <w:color w:val="4A4A4A"/>
          <w:sz w:val="21"/>
          <w:szCs w:val="21"/>
        </w:rPr>
      </w:pPr>
    </w:p>
    <w:p w14:paraId="684E86D0" w14:textId="3AAA27B7" w:rsidR="001A2FFB" w:rsidRPr="00D33A9A" w:rsidRDefault="001A2FFB" w:rsidP="00D95508">
      <w:pPr>
        <w:pStyle w:val="form-control-static"/>
        <w:shd w:val="clear" w:color="auto" w:fill="FFFFFF"/>
        <w:spacing w:before="0" w:beforeAutospacing="0" w:after="0" w:afterAutospacing="0"/>
        <w:jc w:val="both"/>
        <w:rPr>
          <w:rFonts w:asciiTheme="minorHAnsi" w:hAnsiTheme="minorHAnsi" w:cstheme="minorHAnsi"/>
          <w:color w:val="4A4A4A"/>
          <w:sz w:val="21"/>
          <w:szCs w:val="21"/>
        </w:rPr>
      </w:pPr>
      <w:r w:rsidRPr="00D33A9A">
        <w:rPr>
          <w:rFonts w:asciiTheme="minorHAnsi" w:hAnsiTheme="minorHAnsi" w:cstheme="minorHAnsi"/>
          <w:color w:val="4A4A4A"/>
          <w:sz w:val="21"/>
          <w:szCs w:val="21"/>
        </w:rPr>
        <w:t>Data</w:t>
      </w:r>
      <w:r w:rsidR="00FD1F23" w:rsidRPr="00D33A9A">
        <w:rPr>
          <w:rFonts w:asciiTheme="minorHAnsi" w:hAnsiTheme="minorHAnsi" w:cstheme="minorHAnsi"/>
          <w:color w:val="4A4A4A"/>
          <w:sz w:val="21"/>
          <w:szCs w:val="21"/>
        </w:rPr>
        <w:t xml:space="preserve"> </w:t>
      </w:r>
      <w:r w:rsidRPr="00D33A9A">
        <w:rPr>
          <w:rFonts w:asciiTheme="minorHAnsi" w:hAnsiTheme="minorHAnsi" w:cstheme="minorHAnsi"/>
          <w:color w:val="4A4A4A"/>
          <w:sz w:val="21"/>
          <w:szCs w:val="21"/>
        </w:rPr>
        <w:t>about PEFA Assessme</w:t>
      </w:r>
      <w:r w:rsidR="00FD1F23" w:rsidRPr="00D33A9A">
        <w:rPr>
          <w:rFonts w:asciiTheme="minorHAnsi" w:hAnsiTheme="minorHAnsi" w:cstheme="minorHAnsi"/>
          <w:color w:val="4A4A4A"/>
          <w:sz w:val="21"/>
          <w:szCs w:val="21"/>
        </w:rPr>
        <w:t>nts</w:t>
      </w:r>
      <w:r w:rsidRPr="00D33A9A">
        <w:rPr>
          <w:rFonts w:asciiTheme="minorHAnsi" w:hAnsiTheme="minorHAnsi" w:cstheme="minorHAnsi"/>
          <w:color w:val="4A4A4A"/>
          <w:sz w:val="21"/>
          <w:szCs w:val="21"/>
        </w:rPr>
        <w:t xml:space="preserve"> could be found on </w:t>
      </w:r>
      <w:hyperlink r:id="rId19" w:history="1">
        <w:r w:rsidRPr="00D33A9A">
          <w:rPr>
            <w:rStyle w:val="Hyperlink"/>
            <w:rFonts w:asciiTheme="minorHAnsi" w:hAnsiTheme="minorHAnsi" w:cstheme="minorHAnsi"/>
            <w:sz w:val="21"/>
            <w:szCs w:val="21"/>
          </w:rPr>
          <w:t xml:space="preserve">PEFA </w:t>
        </w:r>
        <w:r w:rsidR="0024335F" w:rsidRPr="00D33A9A">
          <w:rPr>
            <w:rStyle w:val="Hyperlink"/>
            <w:rFonts w:asciiTheme="minorHAnsi" w:hAnsiTheme="minorHAnsi" w:cstheme="minorHAnsi"/>
            <w:sz w:val="21"/>
            <w:szCs w:val="21"/>
          </w:rPr>
          <w:t>Assessments</w:t>
        </w:r>
        <w:r w:rsidRPr="00D33A9A">
          <w:rPr>
            <w:rStyle w:val="Hyperlink"/>
            <w:rFonts w:asciiTheme="minorHAnsi" w:hAnsiTheme="minorHAnsi" w:cstheme="minorHAnsi"/>
            <w:sz w:val="21"/>
            <w:szCs w:val="21"/>
          </w:rPr>
          <w:t xml:space="preserve"> Portal</w:t>
        </w:r>
      </w:hyperlink>
    </w:p>
    <w:p w14:paraId="021BD80B" w14:textId="77777777" w:rsidR="001A2FFB" w:rsidRPr="00311660" w:rsidRDefault="001A2FFB" w:rsidP="00D95508">
      <w:pPr>
        <w:pStyle w:val="form-control-static"/>
        <w:shd w:val="clear" w:color="auto" w:fill="FFFFFF"/>
        <w:spacing w:before="0" w:beforeAutospacing="0" w:after="0" w:afterAutospacing="0"/>
        <w:jc w:val="both"/>
        <w:rPr>
          <w:rFonts w:asciiTheme="minorHAnsi" w:hAnsiTheme="minorHAnsi" w:cstheme="minorHAnsi"/>
          <w:color w:val="4A4A4A"/>
          <w:sz w:val="21"/>
          <w:szCs w:val="21"/>
        </w:rPr>
      </w:pPr>
    </w:p>
    <w:p w14:paraId="4677D7C1" w14:textId="7C60A9D7" w:rsidR="00D33A9A" w:rsidRPr="00D33A9A" w:rsidRDefault="001A2FFB" w:rsidP="00D95508">
      <w:pPr>
        <w:pStyle w:val="form-control-static"/>
        <w:shd w:val="clear" w:color="auto" w:fill="FFFFFF"/>
        <w:spacing w:before="0" w:beforeAutospacing="0" w:after="0" w:afterAutospacing="0"/>
        <w:jc w:val="both"/>
        <w:rPr>
          <w:rFonts w:asciiTheme="minorHAnsi" w:eastAsiaTheme="minorEastAsia" w:hAnsiTheme="minorHAnsi" w:cstheme="minorHAnsi"/>
          <w:color w:val="4A4A4A"/>
          <w:sz w:val="21"/>
          <w:szCs w:val="21"/>
          <w:lang w:eastAsia="zh-CN"/>
        </w:rPr>
      </w:pPr>
      <w:r w:rsidRPr="00002980">
        <w:rPr>
          <w:rFonts w:cstheme="minorHAnsi"/>
          <w:color w:val="4A4A4A"/>
          <w:sz w:val="21"/>
          <w:szCs w:val="21"/>
        </w:rPr>
        <w:lastRenderedPageBreak/>
        <w:t xml:space="preserve">Additional source of information on budget reliability is the </w:t>
      </w:r>
      <w:hyperlink r:id="rId20" w:history="1">
        <w:r w:rsidR="00FD1F23" w:rsidRPr="00002980">
          <w:rPr>
            <w:rStyle w:val="Hyperlink"/>
            <w:rFonts w:cstheme="minorHAnsi"/>
            <w:sz w:val="21"/>
            <w:szCs w:val="21"/>
          </w:rPr>
          <w:t>PEFA Global Report on PFM</w:t>
        </w:r>
      </w:hyperlink>
    </w:p>
    <w:p w14:paraId="617D78AF" w14:textId="258BC172" w:rsidR="00D33A9A" w:rsidRPr="00311660" w:rsidRDefault="00D33A9A" w:rsidP="00D95508">
      <w:pPr>
        <w:pStyle w:val="form-control-static"/>
        <w:shd w:val="clear" w:color="auto" w:fill="FFFFFF"/>
        <w:spacing w:before="0" w:beforeAutospacing="0" w:after="0" w:afterAutospacing="0"/>
        <w:jc w:val="both"/>
        <w:rPr>
          <w:rFonts w:asciiTheme="minorHAnsi" w:eastAsiaTheme="minorEastAsia" w:hAnsiTheme="minorHAnsi" w:cstheme="minorHAnsi"/>
          <w:color w:val="4A4A4A"/>
          <w:sz w:val="21"/>
          <w:szCs w:val="21"/>
          <w:lang w:eastAsia="zh-CN"/>
        </w:rPr>
      </w:pPr>
    </w:p>
    <w:p w14:paraId="7D88ED28" w14:textId="50E903B0" w:rsidR="00D33A9A" w:rsidRPr="00BF3DC7" w:rsidRDefault="00D33A9A" w:rsidP="00D95508">
      <w:pPr>
        <w:pStyle w:val="form-control-static"/>
        <w:shd w:val="clear" w:color="auto" w:fill="FFFFFF"/>
        <w:spacing w:before="0" w:beforeAutospacing="0" w:after="0" w:afterAutospacing="0"/>
        <w:jc w:val="both"/>
        <w:rPr>
          <w:rFonts w:asciiTheme="minorHAnsi" w:eastAsiaTheme="minorEastAsia" w:hAnsiTheme="minorHAnsi" w:cstheme="minorHAnsi"/>
          <w:color w:val="4A4A4A"/>
          <w:sz w:val="21"/>
          <w:szCs w:val="21"/>
          <w:lang w:eastAsia="zh-CN"/>
        </w:rPr>
      </w:pPr>
      <w:r w:rsidRPr="00EB1C6F">
        <w:rPr>
          <w:rFonts w:asciiTheme="minorHAnsi" w:eastAsiaTheme="minorEastAsia" w:hAnsiTheme="minorHAnsi" w:cstheme="minorHAnsi"/>
          <w:color w:val="4A4A4A"/>
          <w:sz w:val="21"/>
          <w:szCs w:val="21"/>
          <w:lang w:eastAsia="zh-CN"/>
        </w:rPr>
        <w:t>Publications on the</w:t>
      </w:r>
      <w:r w:rsidRPr="00BF3DC7">
        <w:rPr>
          <w:rFonts w:asciiTheme="minorHAnsi" w:eastAsiaTheme="minorEastAsia" w:hAnsiTheme="minorHAnsi" w:cstheme="minorHAnsi"/>
          <w:color w:val="4A4A4A"/>
          <w:sz w:val="21"/>
          <w:szCs w:val="21"/>
          <w:lang w:eastAsia="zh-CN"/>
        </w:rPr>
        <w:t xml:space="preserve"> SDG 16.6.1 Indicator are:</w:t>
      </w:r>
    </w:p>
    <w:p w14:paraId="163F453E" w14:textId="78120C28" w:rsidR="00D33A9A" w:rsidRDefault="00D33A9A" w:rsidP="00D95508">
      <w:pPr>
        <w:pStyle w:val="form-control-static"/>
        <w:shd w:val="clear" w:color="auto" w:fill="FFFFFF"/>
        <w:spacing w:before="0" w:beforeAutospacing="0" w:after="0" w:afterAutospacing="0"/>
        <w:jc w:val="both"/>
        <w:rPr>
          <w:rFonts w:asciiTheme="minorHAnsi" w:eastAsiaTheme="minorEastAsia" w:hAnsiTheme="minorHAnsi" w:cstheme="minorHAnsi"/>
          <w:color w:val="4A4A4A"/>
          <w:sz w:val="21"/>
          <w:szCs w:val="21"/>
          <w:lang w:eastAsia="zh-CN"/>
        </w:rPr>
      </w:pPr>
    </w:p>
    <w:p w14:paraId="229DD8E3" w14:textId="50CFBA66" w:rsidR="00D33A9A" w:rsidRPr="00D33A9A" w:rsidRDefault="00000000" w:rsidP="00D95508">
      <w:pPr>
        <w:pStyle w:val="form-control-static"/>
        <w:shd w:val="clear" w:color="auto" w:fill="FFFFFF"/>
        <w:spacing w:before="0" w:beforeAutospacing="0" w:after="0" w:afterAutospacing="0"/>
        <w:jc w:val="both"/>
        <w:rPr>
          <w:rFonts w:asciiTheme="minorHAnsi" w:eastAsiaTheme="minorEastAsia" w:hAnsiTheme="minorHAnsi" w:cstheme="minorHAnsi"/>
          <w:color w:val="4A4A4A"/>
          <w:sz w:val="21"/>
          <w:szCs w:val="21"/>
          <w:lang w:eastAsia="zh-CN"/>
        </w:rPr>
      </w:pPr>
      <w:hyperlink r:id="rId21" w:history="1">
        <w:r w:rsidR="00D33A9A" w:rsidRPr="00D33A9A">
          <w:rPr>
            <w:rStyle w:val="Hyperlink"/>
            <w:rFonts w:asciiTheme="minorHAnsi" w:eastAsiaTheme="minorEastAsia" w:hAnsiTheme="minorHAnsi" w:cstheme="minorHAnsi"/>
            <w:sz w:val="21"/>
            <w:szCs w:val="21"/>
            <w:lang w:eastAsia="zh-CN"/>
          </w:rPr>
          <w:t>Government Budget credibility and the Impact of COVID-19</w:t>
        </w:r>
      </w:hyperlink>
      <w:r w:rsidR="00D33A9A">
        <w:rPr>
          <w:rFonts w:asciiTheme="minorHAnsi" w:eastAsiaTheme="minorEastAsia" w:hAnsiTheme="minorHAnsi" w:cstheme="minorHAnsi"/>
          <w:color w:val="4A4A4A"/>
          <w:sz w:val="21"/>
          <w:szCs w:val="21"/>
          <w:lang w:eastAsia="zh-CN"/>
        </w:rPr>
        <w:t xml:space="preserve"> – published on the WB Story Site</w:t>
      </w:r>
    </w:p>
    <w:p w14:paraId="6B43EA37" w14:textId="77777777" w:rsidR="00D33A9A" w:rsidRPr="00D33A9A" w:rsidRDefault="00D33A9A" w:rsidP="00D95508">
      <w:pPr>
        <w:pStyle w:val="form-control-static"/>
        <w:shd w:val="clear" w:color="auto" w:fill="FFFFFF"/>
        <w:spacing w:before="0" w:beforeAutospacing="0" w:after="0" w:afterAutospacing="0"/>
        <w:jc w:val="both"/>
        <w:rPr>
          <w:rFonts w:asciiTheme="minorHAnsi" w:eastAsiaTheme="minorEastAsia" w:hAnsiTheme="minorHAnsi" w:cstheme="minorHAnsi"/>
          <w:color w:val="4A4A4A"/>
          <w:sz w:val="21"/>
          <w:szCs w:val="21"/>
          <w:lang w:eastAsia="zh-CN"/>
        </w:rPr>
      </w:pPr>
    </w:p>
    <w:p w14:paraId="402641D5" w14:textId="77777777" w:rsidR="00D33A9A" w:rsidRPr="00D95508" w:rsidRDefault="00D33A9A" w:rsidP="00D95508">
      <w:pPr>
        <w:pStyle w:val="form-control-static"/>
        <w:shd w:val="clear" w:color="auto" w:fill="FFFFFF"/>
        <w:spacing w:before="0" w:beforeAutospacing="0" w:after="0" w:afterAutospacing="0"/>
        <w:jc w:val="both"/>
        <w:rPr>
          <w:rStyle w:val="Hyperlink"/>
          <w:rFonts w:asciiTheme="minorHAnsi" w:eastAsiaTheme="minorEastAsia" w:hAnsiTheme="minorHAnsi" w:cstheme="minorHAnsi"/>
          <w:sz w:val="21"/>
          <w:szCs w:val="21"/>
          <w:lang w:eastAsia="zh-CN"/>
        </w:rPr>
      </w:pPr>
      <w:r w:rsidRPr="00D95508">
        <w:rPr>
          <w:rStyle w:val="Hyperlink"/>
          <w:rFonts w:asciiTheme="minorHAnsi" w:eastAsiaTheme="minorEastAsia" w:hAnsiTheme="minorHAnsi" w:cstheme="minorHAnsi" w:hint="eastAsia"/>
          <w:sz w:val="21"/>
          <w:szCs w:val="21"/>
          <w:lang w:eastAsia="zh-CN"/>
        </w:rPr>
        <w:t>SDG Indicator 16.6.1 Speaks how Budgets are Affected by COVID-19 Pandemic</w:t>
      </w:r>
    </w:p>
    <w:p w14:paraId="384B0992" w14:textId="36889691" w:rsidR="00186795" w:rsidRPr="00D33A9A" w:rsidRDefault="00186795" w:rsidP="00D95508">
      <w:pPr>
        <w:jc w:val="both"/>
        <w:rPr>
          <w:rFonts w:cstheme="minorHAnsi"/>
        </w:rPr>
      </w:pPr>
    </w:p>
    <w:sectPr w:rsidR="00186795" w:rsidRPr="00D33A9A">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7B372" w14:textId="77777777" w:rsidR="00EA433D" w:rsidRDefault="00EA433D" w:rsidP="00573C0B">
      <w:pPr>
        <w:spacing w:after="0" w:line="240" w:lineRule="auto"/>
      </w:pPr>
      <w:r>
        <w:separator/>
      </w:r>
    </w:p>
  </w:endnote>
  <w:endnote w:type="continuationSeparator" w:id="0">
    <w:p w14:paraId="0FC31EF3" w14:textId="77777777" w:rsidR="00EA433D" w:rsidRDefault="00EA433D" w:rsidP="00573C0B">
      <w:pPr>
        <w:spacing w:after="0" w:line="240" w:lineRule="auto"/>
      </w:pPr>
      <w:r>
        <w:continuationSeparator/>
      </w:r>
    </w:p>
  </w:endnote>
  <w:endnote w:type="continuationNotice" w:id="1">
    <w:p w14:paraId="17068503" w14:textId="77777777" w:rsidR="00EA433D" w:rsidRDefault="00EA4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5E36AD4" w14:paraId="79605761" w14:textId="77777777" w:rsidTr="05E36AD4">
      <w:tc>
        <w:tcPr>
          <w:tcW w:w="3005" w:type="dxa"/>
        </w:tcPr>
        <w:p w14:paraId="41D7B61F" w14:textId="679E7EBE" w:rsidR="05E36AD4" w:rsidRDefault="05E36AD4" w:rsidP="05E36AD4">
          <w:pPr>
            <w:pStyle w:val="Header"/>
            <w:ind w:left="-115"/>
          </w:pPr>
        </w:p>
      </w:tc>
      <w:tc>
        <w:tcPr>
          <w:tcW w:w="3005" w:type="dxa"/>
        </w:tcPr>
        <w:p w14:paraId="017FB38C" w14:textId="6F756D9A" w:rsidR="05E36AD4" w:rsidRDefault="05E36AD4" w:rsidP="05E36AD4">
          <w:pPr>
            <w:pStyle w:val="Header"/>
            <w:jc w:val="center"/>
          </w:pPr>
        </w:p>
      </w:tc>
      <w:tc>
        <w:tcPr>
          <w:tcW w:w="3005" w:type="dxa"/>
        </w:tcPr>
        <w:p w14:paraId="34C26C55" w14:textId="1794FBA6" w:rsidR="05E36AD4" w:rsidRDefault="05E36AD4" w:rsidP="05E36AD4">
          <w:pPr>
            <w:pStyle w:val="Header"/>
            <w:ind w:right="-115"/>
            <w:jc w:val="right"/>
          </w:pPr>
        </w:p>
      </w:tc>
    </w:tr>
  </w:tbl>
  <w:p w14:paraId="7F89ED91" w14:textId="5B926909" w:rsidR="05E36AD4" w:rsidRDefault="05E36AD4" w:rsidP="05E36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A577C" w14:textId="77777777" w:rsidR="00EA433D" w:rsidRDefault="00EA433D" w:rsidP="00573C0B">
      <w:pPr>
        <w:spacing w:after="0" w:line="240" w:lineRule="auto"/>
      </w:pPr>
      <w:r>
        <w:separator/>
      </w:r>
    </w:p>
  </w:footnote>
  <w:footnote w:type="continuationSeparator" w:id="0">
    <w:p w14:paraId="1E7EED81" w14:textId="77777777" w:rsidR="00EA433D" w:rsidRDefault="00EA433D" w:rsidP="00573C0B">
      <w:pPr>
        <w:spacing w:after="0" w:line="240" w:lineRule="auto"/>
      </w:pPr>
      <w:r>
        <w:continuationSeparator/>
      </w:r>
    </w:p>
  </w:footnote>
  <w:footnote w:type="continuationNotice" w:id="1">
    <w:p w14:paraId="31F2483E" w14:textId="77777777" w:rsidR="00EA433D" w:rsidRDefault="00EA43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95FB8EC" w:rsidR="00077F46" w:rsidRPr="00757E8A" w:rsidRDefault="05E36AD4"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5E36AD4">
      <w:rPr>
        <w:color w:val="404040" w:themeColor="text1" w:themeTint="BF"/>
        <w:sz w:val="18"/>
        <w:szCs w:val="18"/>
      </w:rPr>
      <w:t>Last updated:</w:t>
    </w:r>
    <w:bookmarkEnd w:id="6"/>
    <w:bookmarkEnd w:id="7"/>
    <w:bookmarkEnd w:id="8"/>
    <w:bookmarkEnd w:id="9"/>
    <w:bookmarkEnd w:id="10"/>
    <w:bookmarkEnd w:id="11"/>
    <w:r w:rsidRPr="05E36AD4">
      <w:rPr>
        <w:color w:val="404040" w:themeColor="text1" w:themeTint="BF"/>
        <w:sz w:val="18"/>
        <w:szCs w:val="18"/>
      </w:rPr>
      <w:t xml:space="preserve"> </w:t>
    </w:r>
    <w:r w:rsidR="00381843">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4A7D"/>
    <w:multiLevelType w:val="hybridMultilevel"/>
    <w:tmpl w:val="B0D42C7A"/>
    <w:lvl w:ilvl="0" w:tplc="D0C8447E">
      <w:start w:val="1"/>
      <w:numFmt w:val="bullet"/>
      <w:lvlText w:val=""/>
      <w:lvlJc w:val="left"/>
      <w:pPr>
        <w:tabs>
          <w:tab w:val="num" w:pos="720"/>
        </w:tabs>
        <w:ind w:left="720" w:hanging="360"/>
      </w:pPr>
      <w:rPr>
        <w:rFonts w:ascii="Wingdings" w:hAnsi="Wingdings" w:hint="default"/>
      </w:rPr>
    </w:lvl>
    <w:lvl w:ilvl="1" w:tplc="0B561FD2" w:tentative="1">
      <w:start w:val="1"/>
      <w:numFmt w:val="bullet"/>
      <w:lvlText w:val=""/>
      <w:lvlJc w:val="left"/>
      <w:pPr>
        <w:tabs>
          <w:tab w:val="num" w:pos="1440"/>
        </w:tabs>
        <w:ind w:left="1440" w:hanging="360"/>
      </w:pPr>
      <w:rPr>
        <w:rFonts w:ascii="Wingdings" w:hAnsi="Wingdings" w:hint="default"/>
      </w:rPr>
    </w:lvl>
    <w:lvl w:ilvl="2" w:tplc="0926572A" w:tentative="1">
      <w:start w:val="1"/>
      <w:numFmt w:val="bullet"/>
      <w:lvlText w:val=""/>
      <w:lvlJc w:val="left"/>
      <w:pPr>
        <w:tabs>
          <w:tab w:val="num" w:pos="2160"/>
        </w:tabs>
        <w:ind w:left="2160" w:hanging="360"/>
      </w:pPr>
      <w:rPr>
        <w:rFonts w:ascii="Wingdings" w:hAnsi="Wingdings" w:hint="default"/>
      </w:rPr>
    </w:lvl>
    <w:lvl w:ilvl="3" w:tplc="589EF63E" w:tentative="1">
      <w:start w:val="1"/>
      <w:numFmt w:val="bullet"/>
      <w:lvlText w:val=""/>
      <w:lvlJc w:val="left"/>
      <w:pPr>
        <w:tabs>
          <w:tab w:val="num" w:pos="2880"/>
        </w:tabs>
        <w:ind w:left="2880" w:hanging="360"/>
      </w:pPr>
      <w:rPr>
        <w:rFonts w:ascii="Wingdings" w:hAnsi="Wingdings" w:hint="default"/>
      </w:rPr>
    </w:lvl>
    <w:lvl w:ilvl="4" w:tplc="2DFA2BF6" w:tentative="1">
      <w:start w:val="1"/>
      <w:numFmt w:val="bullet"/>
      <w:lvlText w:val=""/>
      <w:lvlJc w:val="left"/>
      <w:pPr>
        <w:tabs>
          <w:tab w:val="num" w:pos="3600"/>
        </w:tabs>
        <w:ind w:left="3600" w:hanging="360"/>
      </w:pPr>
      <w:rPr>
        <w:rFonts w:ascii="Wingdings" w:hAnsi="Wingdings" w:hint="default"/>
      </w:rPr>
    </w:lvl>
    <w:lvl w:ilvl="5" w:tplc="C1A2DF08" w:tentative="1">
      <w:start w:val="1"/>
      <w:numFmt w:val="bullet"/>
      <w:lvlText w:val=""/>
      <w:lvlJc w:val="left"/>
      <w:pPr>
        <w:tabs>
          <w:tab w:val="num" w:pos="4320"/>
        </w:tabs>
        <w:ind w:left="4320" w:hanging="360"/>
      </w:pPr>
      <w:rPr>
        <w:rFonts w:ascii="Wingdings" w:hAnsi="Wingdings" w:hint="default"/>
      </w:rPr>
    </w:lvl>
    <w:lvl w:ilvl="6" w:tplc="BACA4DEC" w:tentative="1">
      <w:start w:val="1"/>
      <w:numFmt w:val="bullet"/>
      <w:lvlText w:val=""/>
      <w:lvlJc w:val="left"/>
      <w:pPr>
        <w:tabs>
          <w:tab w:val="num" w:pos="5040"/>
        </w:tabs>
        <w:ind w:left="5040" w:hanging="360"/>
      </w:pPr>
      <w:rPr>
        <w:rFonts w:ascii="Wingdings" w:hAnsi="Wingdings" w:hint="default"/>
      </w:rPr>
    </w:lvl>
    <w:lvl w:ilvl="7" w:tplc="E1540C3E" w:tentative="1">
      <w:start w:val="1"/>
      <w:numFmt w:val="bullet"/>
      <w:lvlText w:val=""/>
      <w:lvlJc w:val="left"/>
      <w:pPr>
        <w:tabs>
          <w:tab w:val="num" w:pos="5760"/>
        </w:tabs>
        <w:ind w:left="5760" w:hanging="360"/>
      </w:pPr>
      <w:rPr>
        <w:rFonts w:ascii="Wingdings" w:hAnsi="Wingdings" w:hint="default"/>
      </w:rPr>
    </w:lvl>
    <w:lvl w:ilvl="8" w:tplc="0F42B9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3044532">
    <w:abstractNumId w:val="3"/>
  </w:num>
  <w:num w:numId="2" w16cid:durableId="1277833298">
    <w:abstractNumId w:val="1"/>
  </w:num>
  <w:num w:numId="3" w16cid:durableId="1782454494">
    <w:abstractNumId w:val="4"/>
  </w:num>
  <w:num w:numId="4" w16cid:durableId="2145006610">
    <w:abstractNumId w:val="2"/>
  </w:num>
  <w:num w:numId="5" w16cid:durableId="165441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2980"/>
    <w:rsid w:val="00003688"/>
    <w:rsid w:val="000070BA"/>
    <w:rsid w:val="000173F9"/>
    <w:rsid w:val="0002198B"/>
    <w:rsid w:val="000412A0"/>
    <w:rsid w:val="00047DDA"/>
    <w:rsid w:val="0005455A"/>
    <w:rsid w:val="00071F07"/>
    <w:rsid w:val="0007759D"/>
    <w:rsid w:val="000777AB"/>
    <w:rsid w:val="00077F46"/>
    <w:rsid w:val="00081030"/>
    <w:rsid w:val="000810CA"/>
    <w:rsid w:val="00090FB1"/>
    <w:rsid w:val="00092218"/>
    <w:rsid w:val="00096186"/>
    <w:rsid w:val="000A72E4"/>
    <w:rsid w:val="000B0E2F"/>
    <w:rsid w:val="000B2430"/>
    <w:rsid w:val="000D0B30"/>
    <w:rsid w:val="000E21F1"/>
    <w:rsid w:val="000F703E"/>
    <w:rsid w:val="00120E86"/>
    <w:rsid w:val="00125DE9"/>
    <w:rsid w:val="00132CBF"/>
    <w:rsid w:val="001332E0"/>
    <w:rsid w:val="00134DE7"/>
    <w:rsid w:val="00136918"/>
    <w:rsid w:val="001465B6"/>
    <w:rsid w:val="00154EBC"/>
    <w:rsid w:val="001708DC"/>
    <w:rsid w:val="00170EE8"/>
    <w:rsid w:val="001774DE"/>
    <w:rsid w:val="00185354"/>
    <w:rsid w:val="001854DC"/>
    <w:rsid w:val="00186795"/>
    <w:rsid w:val="00191D89"/>
    <w:rsid w:val="00194D09"/>
    <w:rsid w:val="001A2FFB"/>
    <w:rsid w:val="001A7D5C"/>
    <w:rsid w:val="001B60AA"/>
    <w:rsid w:val="001B63C8"/>
    <w:rsid w:val="001C1972"/>
    <w:rsid w:val="001C421F"/>
    <w:rsid w:val="001D360D"/>
    <w:rsid w:val="001F5C6A"/>
    <w:rsid w:val="00216A9D"/>
    <w:rsid w:val="00234491"/>
    <w:rsid w:val="0024335F"/>
    <w:rsid w:val="00252E77"/>
    <w:rsid w:val="0025433E"/>
    <w:rsid w:val="00261A8D"/>
    <w:rsid w:val="00281B3C"/>
    <w:rsid w:val="00283C1C"/>
    <w:rsid w:val="00291A00"/>
    <w:rsid w:val="00291A11"/>
    <w:rsid w:val="002A315C"/>
    <w:rsid w:val="002A3342"/>
    <w:rsid w:val="002A64BA"/>
    <w:rsid w:val="002B2559"/>
    <w:rsid w:val="002B4989"/>
    <w:rsid w:val="002C2510"/>
    <w:rsid w:val="002D3967"/>
    <w:rsid w:val="002D4C91"/>
    <w:rsid w:val="002D714E"/>
    <w:rsid w:val="002E0315"/>
    <w:rsid w:val="002E53C3"/>
    <w:rsid w:val="002F1468"/>
    <w:rsid w:val="002F4A6B"/>
    <w:rsid w:val="002F5F0C"/>
    <w:rsid w:val="002F7F94"/>
    <w:rsid w:val="00311660"/>
    <w:rsid w:val="003265EB"/>
    <w:rsid w:val="00343104"/>
    <w:rsid w:val="0034329E"/>
    <w:rsid w:val="00343FAA"/>
    <w:rsid w:val="00347F5E"/>
    <w:rsid w:val="00353C98"/>
    <w:rsid w:val="00360A9F"/>
    <w:rsid w:val="00363075"/>
    <w:rsid w:val="003670B5"/>
    <w:rsid w:val="00371A20"/>
    <w:rsid w:val="00380EC3"/>
    <w:rsid w:val="00381843"/>
    <w:rsid w:val="003821B4"/>
    <w:rsid w:val="00382CF3"/>
    <w:rsid w:val="0038336A"/>
    <w:rsid w:val="00387D52"/>
    <w:rsid w:val="003A7CEA"/>
    <w:rsid w:val="003F0BD3"/>
    <w:rsid w:val="003F278A"/>
    <w:rsid w:val="003F7A02"/>
    <w:rsid w:val="00407232"/>
    <w:rsid w:val="00422EA5"/>
    <w:rsid w:val="00422EFA"/>
    <w:rsid w:val="0042791F"/>
    <w:rsid w:val="004456ED"/>
    <w:rsid w:val="00453757"/>
    <w:rsid w:val="00455F6E"/>
    <w:rsid w:val="00476A2E"/>
    <w:rsid w:val="0048045A"/>
    <w:rsid w:val="004841B8"/>
    <w:rsid w:val="004930F2"/>
    <w:rsid w:val="004B0F1C"/>
    <w:rsid w:val="004B20BE"/>
    <w:rsid w:val="004E736E"/>
    <w:rsid w:val="004F1838"/>
    <w:rsid w:val="004F2EE6"/>
    <w:rsid w:val="004F7D8F"/>
    <w:rsid w:val="00502DBA"/>
    <w:rsid w:val="005040C4"/>
    <w:rsid w:val="00507637"/>
    <w:rsid w:val="00507852"/>
    <w:rsid w:val="00514DBF"/>
    <w:rsid w:val="0052495B"/>
    <w:rsid w:val="00532BC1"/>
    <w:rsid w:val="00550921"/>
    <w:rsid w:val="00563712"/>
    <w:rsid w:val="00573631"/>
    <w:rsid w:val="00573C0B"/>
    <w:rsid w:val="00576209"/>
    <w:rsid w:val="00576CFA"/>
    <w:rsid w:val="0058556D"/>
    <w:rsid w:val="00585A51"/>
    <w:rsid w:val="005906A4"/>
    <w:rsid w:val="00592AF2"/>
    <w:rsid w:val="005947AD"/>
    <w:rsid w:val="00597748"/>
    <w:rsid w:val="005979E8"/>
    <w:rsid w:val="005A5E9D"/>
    <w:rsid w:val="005D0AF4"/>
    <w:rsid w:val="005E54BD"/>
    <w:rsid w:val="005F5E37"/>
    <w:rsid w:val="005F6CCA"/>
    <w:rsid w:val="006104AF"/>
    <w:rsid w:val="00621893"/>
    <w:rsid w:val="006351E1"/>
    <w:rsid w:val="00641435"/>
    <w:rsid w:val="006447B1"/>
    <w:rsid w:val="00660321"/>
    <w:rsid w:val="00662775"/>
    <w:rsid w:val="0066625A"/>
    <w:rsid w:val="00672176"/>
    <w:rsid w:val="006852FC"/>
    <w:rsid w:val="0069326C"/>
    <w:rsid w:val="006B40AB"/>
    <w:rsid w:val="006B5DC5"/>
    <w:rsid w:val="006B6731"/>
    <w:rsid w:val="006C3413"/>
    <w:rsid w:val="006C4BFD"/>
    <w:rsid w:val="006C7D30"/>
    <w:rsid w:val="006E3C08"/>
    <w:rsid w:val="006F0400"/>
    <w:rsid w:val="006F1C6A"/>
    <w:rsid w:val="00700ACF"/>
    <w:rsid w:val="00712487"/>
    <w:rsid w:val="00723941"/>
    <w:rsid w:val="00723947"/>
    <w:rsid w:val="007530CA"/>
    <w:rsid w:val="00756D68"/>
    <w:rsid w:val="007578D9"/>
    <w:rsid w:val="00757E8A"/>
    <w:rsid w:val="00763E43"/>
    <w:rsid w:val="00764EB5"/>
    <w:rsid w:val="00773129"/>
    <w:rsid w:val="00777A95"/>
    <w:rsid w:val="00782416"/>
    <w:rsid w:val="007B0364"/>
    <w:rsid w:val="007C2C48"/>
    <w:rsid w:val="007C47F3"/>
    <w:rsid w:val="007D0981"/>
    <w:rsid w:val="007D1929"/>
    <w:rsid w:val="007E3A3A"/>
    <w:rsid w:val="00803CF1"/>
    <w:rsid w:val="008104BB"/>
    <w:rsid w:val="008134C7"/>
    <w:rsid w:val="008249C5"/>
    <w:rsid w:val="00832C8A"/>
    <w:rsid w:val="008457A2"/>
    <w:rsid w:val="008526F9"/>
    <w:rsid w:val="0085285E"/>
    <w:rsid w:val="00853023"/>
    <w:rsid w:val="008534D4"/>
    <w:rsid w:val="00881E28"/>
    <w:rsid w:val="00886B2A"/>
    <w:rsid w:val="00894C4B"/>
    <w:rsid w:val="008A12E3"/>
    <w:rsid w:val="008A42FA"/>
    <w:rsid w:val="008B0AC7"/>
    <w:rsid w:val="008C2335"/>
    <w:rsid w:val="008C67C1"/>
    <w:rsid w:val="008D1D39"/>
    <w:rsid w:val="008F07D2"/>
    <w:rsid w:val="009103B3"/>
    <w:rsid w:val="00917851"/>
    <w:rsid w:val="00917F65"/>
    <w:rsid w:val="009311E7"/>
    <w:rsid w:val="00937E45"/>
    <w:rsid w:val="00942694"/>
    <w:rsid w:val="0097256C"/>
    <w:rsid w:val="0097795D"/>
    <w:rsid w:val="009A7E3A"/>
    <w:rsid w:val="009B1265"/>
    <w:rsid w:val="009B4A15"/>
    <w:rsid w:val="009B5693"/>
    <w:rsid w:val="009C61A2"/>
    <w:rsid w:val="009C78E4"/>
    <w:rsid w:val="009D1359"/>
    <w:rsid w:val="009D687E"/>
    <w:rsid w:val="009E1C75"/>
    <w:rsid w:val="009F6DE7"/>
    <w:rsid w:val="00A10583"/>
    <w:rsid w:val="00A23FDC"/>
    <w:rsid w:val="00A37FCB"/>
    <w:rsid w:val="00A54863"/>
    <w:rsid w:val="00A61D74"/>
    <w:rsid w:val="00A66A17"/>
    <w:rsid w:val="00A7474A"/>
    <w:rsid w:val="00A8688B"/>
    <w:rsid w:val="00A91163"/>
    <w:rsid w:val="00A9286F"/>
    <w:rsid w:val="00A9579B"/>
    <w:rsid w:val="00A96255"/>
    <w:rsid w:val="00AB285B"/>
    <w:rsid w:val="00AC2231"/>
    <w:rsid w:val="00AC4737"/>
    <w:rsid w:val="00AD409D"/>
    <w:rsid w:val="00AF5552"/>
    <w:rsid w:val="00AF5CB4"/>
    <w:rsid w:val="00AF5ED1"/>
    <w:rsid w:val="00AF71D6"/>
    <w:rsid w:val="00B15CA1"/>
    <w:rsid w:val="00B216EE"/>
    <w:rsid w:val="00B3175F"/>
    <w:rsid w:val="00B31E2C"/>
    <w:rsid w:val="00B329B0"/>
    <w:rsid w:val="00B402D8"/>
    <w:rsid w:val="00B4124F"/>
    <w:rsid w:val="00B4237C"/>
    <w:rsid w:val="00B42FE8"/>
    <w:rsid w:val="00B4598F"/>
    <w:rsid w:val="00B52AFD"/>
    <w:rsid w:val="00B54077"/>
    <w:rsid w:val="00B5711C"/>
    <w:rsid w:val="00B774C9"/>
    <w:rsid w:val="00B8087E"/>
    <w:rsid w:val="00BB3EE0"/>
    <w:rsid w:val="00BB646E"/>
    <w:rsid w:val="00BC784E"/>
    <w:rsid w:val="00BD1BA1"/>
    <w:rsid w:val="00BE7958"/>
    <w:rsid w:val="00BF3DC7"/>
    <w:rsid w:val="00C019E5"/>
    <w:rsid w:val="00C06002"/>
    <w:rsid w:val="00C35BC4"/>
    <w:rsid w:val="00C43F5B"/>
    <w:rsid w:val="00C843B6"/>
    <w:rsid w:val="00C91AC4"/>
    <w:rsid w:val="00CB1476"/>
    <w:rsid w:val="00CB4371"/>
    <w:rsid w:val="00CC516D"/>
    <w:rsid w:val="00CD2741"/>
    <w:rsid w:val="00CF5CB3"/>
    <w:rsid w:val="00D076F3"/>
    <w:rsid w:val="00D11851"/>
    <w:rsid w:val="00D24330"/>
    <w:rsid w:val="00D33A9A"/>
    <w:rsid w:val="00D3456D"/>
    <w:rsid w:val="00D34AF9"/>
    <w:rsid w:val="00D40056"/>
    <w:rsid w:val="00D4024A"/>
    <w:rsid w:val="00D47840"/>
    <w:rsid w:val="00D51E7C"/>
    <w:rsid w:val="00D54F29"/>
    <w:rsid w:val="00D63CDD"/>
    <w:rsid w:val="00D7020C"/>
    <w:rsid w:val="00D70AD9"/>
    <w:rsid w:val="00D72152"/>
    <w:rsid w:val="00D94BA5"/>
    <w:rsid w:val="00D9510F"/>
    <w:rsid w:val="00D95508"/>
    <w:rsid w:val="00DA615C"/>
    <w:rsid w:val="00DD1BC6"/>
    <w:rsid w:val="00DE5DC3"/>
    <w:rsid w:val="00E00D8A"/>
    <w:rsid w:val="00E1050F"/>
    <w:rsid w:val="00E11604"/>
    <w:rsid w:val="00E11D92"/>
    <w:rsid w:val="00E130A0"/>
    <w:rsid w:val="00E16A35"/>
    <w:rsid w:val="00E210C4"/>
    <w:rsid w:val="00E23DB7"/>
    <w:rsid w:val="00E24A38"/>
    <w:rsid w:val="00E451B6"/>
    <w:rsid w:val="00E46D96"/>
    <w:rsid w:val="00E52CCA"/>
    <w:rsid w:val="00E57096"/>
    <w:rsid w:val="00E66409"/>
    <w:rsid w:val="00E81D5B"/>
    <w:rsid w:val="00E81EF0"/>
    <w:rsid w:val="00E976B9"/>
    <w:rsid w:val="00EA05D3"/>
    <w:rsid w:val="00EA433D"/>
    <w:rsid w:val="00EB19AD"/>
    <w:rsid w:val="00EB1C6F"/>
    <w:rsid w:val="00EB2F31"/>
    <w:rsid w:val="00EB54D3"/>
    <w:rsid w:val="00EB6493"/>
    <w:rsid w:val="00EB680C"/>
    <w:rsid w:val="00EC2915"/>
    <w:rsid w:val="00ED05A9"/>
    <w:rsid w:val="00ED1BA0"/>
    <w:rsid w:val="00F0158B"/>
    <w:rsid w:val="00F14E4E"/>
    <w:rsid w:val="00F17257"/>
    <w:rsid w:val="00F34D24"/>
    <w:rsid w:val="00F4130B"/>
    <w:rsid w:val="00F556A2"/>
    <w:rsid w:val="00F5768D"/>
    <w:rsid w:val="00F628A8"/>
    <w:rsid w:val="00F703FF"/>
    <w:rsid w:val="00F719A8"/>
    <w:rsid w:val="00F878B9"/>
    <w:rsid w:val="00FB24E8"/>
    <w:rsid w:val="00FB3B2B"/>
    <w:rsid w:val="00FB7491"/>
    <w:rsid w:val="00FC18DA"/>
    <w:rsid w:val="00FC3917"/>
    <w:rsid w:val="00FC76D9"/>
    <w:rsid w:val="00FC78F0"/>
    <w:rsid w:val="00FC7E48"/>
    <w:rsid w:val="00FD1F23"/>
    <w:rsid w:val="00FD60DA"/>
    <w:rsid w:val="00FE21B6"/>
    <w:rsid w:val="00FE5F09"/>
    <w:rsid w:val="00FF07B4"/>
    <w:rsid w:val="05E36AD4"/>
    <w:rsid w:val="7D9457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9779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7795D"/>
    <w:rPr>
      <w:b/>
      <w:bCs/>
    </w:rPr>
  </w:style>
  <w:style w:type="character" w:customStyle="1" w:styleId="apple-converted-space">
    <w:name w:val="apple-converted-space"/>
    <w:basedOn w:val="DefaultParagraphFont"/>
    <w:rsid w:val="00C843B6"/>
  </w:style>
  <w:style w:type="paragraph" w:styleId="NormalWeb">
    <w:name w:val="Normal (Web)"/>
    <w:basedOn w:val="Normal"/>
    <w:uiPriority w:val="99"/>
    <w:semiHidden/>
    <w:unhideWhenUsed/>
    <w:rsid w:val="009725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8336A"/>
    <w:rPr>
      <w:color w:val="605E5C"/>
      <w:shd w:val="clear" w:color="auto" w:fill="E1DFDD"/>
    </w:rPr>
  </w:style>
  <w:style w:type="paragraph" w:styleId="Revision">
    <w:name w:val="Revision"/>
    <w:hidden/>
    <w:uiPriority w:val="99"/>
    <w:semiHidden/>
    <w:rsid w:val="006F1C6A"/>
    <w:pPr>
      <w:spacing w:after="0" w:line="240" w:lineRule="auto"/>
    </w:pPr>
  </w:style>
  <w:style w:type="character" w:styleId="FollowedHyperlink">
    <w:name w:val="FollowedHyperlink"/>
    <w:basedOn w:val="DefaultParagraphFont"/>
    <w:uiPriority w:val="99"/>
    <w:semiHidden/>
    <w:unhideWhenUsed/>
    <w:rsid w:val="004E73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237193">
      <w:bodyDiv w:val="1"/>
      <w:marLeft w:val="0"/>
      <w:marRight w:val="0"/>
      <w:marTop w:val="0"/>
      <w:marBottom w:val="0"/>
      <w:divBdr>
        <w:top w:val="none" w:sz="0" w:space="0" w:color="auto"/>
        <w:left w:val="none" w:sz="0" w:space="0" w:color="auto"/>
        <w:bottom w:val="none" w:sz="0" w:space="0" w:color="auto"/>
        <w:right w:val="none" w:sz="0" w:space="0" w:color="auto"/>
      </w:divBdr>
      <w:divsChild>
        <w:div w:id="822818037">
          <w:marLeft w:val="547"/>
          <w:marRight w:val="0"/>
          <w:marTop w:val="0"/>
          <w:marBottom w:val="0"/>
          <w:divBdr>
            <w:top w:val="none" w:sz="0" w:space="0" w:color="auto"/>
            <w:left w:val="none" w:sz="0" w:space="0" w:color="auto"/>
            <w:bottom w:val="none" w:sz="0" w:space="0" w:color="auto"/>
            <w:right w:val="none" w:sz="0" w:space="0" w:color="auto"/>
          </w:divBdr>
        </w:div>
        <w:div w:id="1647784330">
          <w:marLeft w:val="547"/>
          <w:marRight w:val="0"/>
          <w:marTop w:val="0"/>
          <w:marBottom w:val="0"/>
          <w:divBdr>
            <w:top w:val="none" w:sz="0" w:space="0" w:color="auto"/>
            <w:left w:val="none" w:sz="0" w:space="0" w:color="auto"/>
            <w:bottom w:val="none" w:sz="0" w:space="0" w:color="auto"/>
            <w:right w:val="none" w:sz="0" w:space="0" w:color="auto"/>
          </w:divBdr>
        </w:div>
        <w:div w:id="896551107">
          <w:marLeft w:val="547"/>
          <w:marRight w:val="0"/>
          <w:marTop w:val="0"/>
          <w:marBottom w:val="0"/>
          <w:divBdr>
            <w:top w:val="none" w:sz="0" w:space="0" w:color="auto"/>
            <w:left w:val="none" w:sz="0" w:space="0" w:color="auto"/>
            <w:bottom w:val="none" w:sz="0" w:space="0" w:color="auto"/>
            <w:right w:val="none" w:sz="0" w:space="0" w:color="auto"/>
          </w:divBdr>
        </w:div>
        <w:div w:id="65538593">
          <w:marLeft w:val="547"/>
          <w:marRight w:val="0"/>
          <w:marTop w:val="0"/>
          <w:marBottom w:val="0"/>
          <w:divBdr>
            <w:top w:val="none" w:sz="0" w:space="0" w:color="auto"/>
            <w:left w:val="none" w:sz="0" w:space="0" w:color="auto"/>
            <w:bottom w:val="none" w:sz="0" w:space="0" w:color="auto"/>
            <w:right w:val="none" w:sz="0" w:space="0" w:color="auto"/>
          </w:divBdr>
        </w:div>
        <w:div w:id="716970748">
          <w:marLeft w:val="547"/>
          <w:marRight w:val="0"/>
          <w:marTop w:val="0"/>
          <w:marBottom w:val="0"/>
          <w:divBdr>
            <w:top w:val="none" w:sz="0" w:space="0" w:color="auto"/>
            <w:left w:val="none" w:sz="0" w:space="0" w:color="auto"/>
            <w:bottom w:val="none" w:sz="0" w:space="0" w:color="auto"/>
            <w:right w:val="none" w:sz="0" w:space="0" w:color="auto"/>
          </w:divBdr>
        </w:div>
        <w:div w:id="1689212400">
          <w:marLeft w:val="547"/>
          <w:marRight w:val="0"/>
          <w:marTop w:val="0"/>
          <w:marBottom w:val="0"/>
          <w:divBdr>
            <w:top w:val="none" w:sz="0" w:space="0" w:color="auto"/>
            <w:left w:val="none" w:sz="0" w:space="0" w:color="auto"/>
            <w:bottom w:val="none" w:sz="0" w:space="0" w:color="auto"/>
            <w:right w:val="none" w:sz="0" w:space="0" w:color="auto"/>
          </w:divBdr>
        </w:div>
        <w:div w:id="472257145">
          <w:marLeft w:val="547"/>
          <w:marRight w:val="0"/>
          <w:marTop w:val="0"/>
          <w:marBottom w:val="0"/>
          <w:divBdr>
            <w:top w:val="none" w:sz="0" w:space="0" w:color="auto"/>
            <w:left w:val="none" w:sz="0" w:space="0" w:color="auto"/>
            <w:bottom w:val="none" w:sz="0" w:space="0" w:color="auto"/>
            <w:right w:val="none" w:sz="0" w:space="0" w:color="auto"/>
          </w:divBdr>
        </w:div>
        <w:div w:id="755059902">
          <w:marLeft w:val="547"/>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5494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fa.org/resources/calculation-sheets-pefa-performance-indicators-pi-1-pi-2-and-pi-23-november-2018" TargetMode="External"/><Relationship Id="rId18" Type="http://schemas.openxmlformats.org/officeDocument/2006/relationships/hyperlink" Target="http://www.pefa.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topics.worldbank.org/world-development-indicators/stories/government-budget-credibility-and-the-impact-of-covid-19.html" TargetMode="External"/><Relationship Id="rId7" Type="http://schemas.openxmlformats.org/officeDocument/2006/relationships/settings" Target="settings.xml"/><Relationship Id="rId12" Type="http://schemas.openxmlformats.org/officeDocument/2006/relationships/hyperlink" Target="https://www.pefa.org/resources/pefa-2016-framework" TargetMode="External"/><Relationship Id="rId17" Type="http://schemas.openxmlformats.org/officeDocument/2006/relationships/hyperlink" Target="https://www.pefa.org/resources/pefa-2016-framework"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ata.worldbank.org/indicator/GF.XPD.BUDG.ZS" TargetMode="External"/><Relationship Id="rId20" Type="http://schemas.openxmlformats.org/officeDocument/2006/relationships/hyperlink" Target="https://www.pefa.org/global-report-2022/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efa.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worldbank.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pefa.org/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fa.org/resources/pefa-2016-framework"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0CD672B-4A37-43E4-9976-F3B35E52D9AF}"/>
      </w:docPartPr>
      <w:docPartBody>
        <w:p w:rsidR="00024397" w:rsidRDefault="00E76F5D">
          <w:r w:rsidRPr="0097337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5D"/>
    <w:rsid w:val="00024397"/>
    <w:rsid w:val="001132E7"/>
    <w:rsid w:val="001F6557"/>
    <w:rsid w:val="00280130"/>
    <w:rsid w:val="00371DEC"/>
    <w:rsid w:val="00785EDC"/>
    <w:rsid w:val="00AD156C"/>
    <w:rsid w:val="00CD6C51"/>
    <w:rsid w:val="00D17259"/>
    <w:rsid w:val="00E76F5D"/>
    <w:rsid w:val="00ED5FF0"/>
    <w:rsid w:val="00F121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6F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C558C7-DF8F-4CB8-BDC5-A4970BCB3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3.xml><?xml version="1.0" encoding="utf-8"?>
<ds:datastoreItem xmlns:ds="http://schemas.openxmlformats.org/officeDocument/2006/customXml" ds:itemID="{C1B3A450-260F-452D-B929-1EFC9C1EF3B2}">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2426</Words>
  <Characters>13832</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Truszczynski</dc:creator>
  <cp:lastModifiedBy>Kebebush Welkema</cp:lastModifiedBy>
  <cp:revision>7</cp:revision>
  <cp:lastPrinted>2016-07-16T14:25:00Z</cp:lastPrinted>
  <dcterms:created xsi:type="dcterms:W3CDTF">2024-05-29T20:51:00Z</dcterms:created>
  <dcterms:modified xsi:type="dcterms:W3CDTF">2024-07-25T21:32:00Z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ediaServiceImageTags">
    <vt:lpwstr/>
  </property>
  <property fmtid="{D5CDD505-2E9C-101B-9397-08002B2CF9AE}" pid="9" name="m23003d518f743f49dcbc82909afe93a">
    <vt:lpwstr/>
  </property>
  <property fmtid="{D5CDD505-2E9C-101B-9397-08002B2CF9AE}" pid="10" name="d744a75525f04a8c9e54f4ed11bfe7c0">
    <vt:lpwstr/>
  </property>
  <property fmtid="{D5CDD505-2E9C-101B-9397-08002B2CF9AE}" pid="11" name="WBDocs_Topic">
    <vt:lpwstr/>
  </property>
  <property fmtid="{D5CDD505-2E9C-101B-9397-08002B2CF9AE}" pid="12" name="WBDocs_Originating_Unit">
    <vt:lpwstr>5;#EA1G2|eccd389d-4f66-4494-8eaa-cd8e94c9963f;#6;#EA2G2|c7b3c88d-0687-4992-ac30-380edcf2a407;#7;#EA1G1|9401fb78-5417-4768-9943-d9a568d2a3e2;#8;#EA2G1|f2c5176f-f21a-4370-bc65-cb08c1df243a</vt:lpwstr>
  </property>
  <property fmtid="{D5CDD505-2E9C-101B-9397-08002B2CF9AE}" pid="13" name="TaxKeywordTaxHTField">
    <vt:lpwstr/>
  </property>
  <property fmtid="{D5CDD505-2E9C-101B-9397-08002B2CF9AE}" pid="14" name="Organization">
    <vt:lpwstr>3;#World Bank|bc205cc9-8a56-48a3-9f30-b099e7707c1b</vt:lpwstr>
  </property>
  <property fmtid="{D5CDD505-2E9C-101B-9397-08002B2CF9AE}" pid="15" name="WBDocs_Category">
    <vt:lpwstr/>
  </property>
  <property fmtid="{D5CDD505-2E9C-101B-9397-08002B2CF9AE}" pid="16" name="WBDocs_Language">
    <vt:lpwstr/>
  </property>
  <property fmtid="{D5CDD505-2E9C-101B-9397-08002B2CF9AE}" pid="17" name="n51c50147e554be9a5479ee6e2785bf7">
    <vt:lpwstr/>
  </property>
  <property fmtid="{D5CDD505-2E9C-101B-9397-08002B2CF9AE}" pid="18" name="pf1bc08d06b541998378c6b8090400d8">
    <vt:lpwstr/>
  </property>
  <property fmtid="{D5CDD505-2E9C-101B-9397-08002B2CF9AE}" pid="19" name="WBDocs_Business_Function">
    <vt:lpwstr/>
  </property>
  <property fmtid="{D5CDD505-2E9C-101B-9397-08002B2CF9AE}" pid="20" name="lcf76f155ced4ddcb4097134ff3c332f">
    <vt:lpwstr/>
  </property>
</Properties>
</file>