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1445A8" w:rsidRDefault="006C4BFD" w:rsidP="006C4BFD">
      <w:pPr>
        <w:spacing w:after="0"/>
        <w:jc w:val="center"/>
        <w:rPr>
          <w:rFonts w:cs="Calibri"/>
          <w:lang w:val="en-US"/>
        </w:rPr>
      </w:pPr>
      <w:r w:rsidRPr="001445A8">
        <w:rPr>
          <w:rFonts w:eastAsia="Times New Roman" w:cs="Calibri"/>
          <w:color w:val="1C75BC"/>
          <w:sz w:val="36"/>
          <w:szCs w:val="36"/>
          <w:lang w:val="en-US" w:eastAsia="en-GB"/>
        </w:rPr>
        <w:t>SDG indicator metadata</w:t>
      </w:r>
    </w:p>
    <w:p w14:paraId="129054E9" w14:textId="2E583254" w:rsidR="006C4BFD" w:rsidRPr="001445A8" w:rsidRDefault="002C2510" w:rsidP="006C4BFD">
      <w:pPr>
        <w:spacing w:after="0"/>
        <w:jc w:val="center"/>
        <w:rPr>
          <w:rFonts w:eastAsia="Times New Roman" w:cs="Calibri"/>
          <w:b/>
          <w:bCs/>
          <w:color w:val="4A4A4A"/>
          <w:sz w:val="21"/>
          <w:szCs w:val="21"/>
          <w:lang w:val="en-US" w:eastAsia="en-GB"/>
        </w:rPr>
      </w:pPr>
      <w:r w:rsidRPr="001445A8">
        <w:rPr>
          <w:rFonts w:eastAsia="Times New Roman" w:cs="Calibri"/>
          <w:b/>
          <w:bCs/>
          <w:color w:val="4A4A4A"/>
          <w:sz w:val="21"/>
          <w:szCs w:val="21"/>
          <w:lang w:val="en-US" w:eastAsia="en-GB"/>
        </w:rPr>
        <w:t>(Harmonized metadata template - format version 1.1)</w:t>
      </w:r>
    </w:p>
    <w:p w14:paraId="773F63CF" w14:textId="77777777" w:rsidR="006C4BFD" w:rsidRPr="001445A8" w:rsidRDefault="006C4BFD" w:rsidP="006C4BFD">
      <w:pPr>
        <w:spacing w:after="0"/>
        <w:rPr>
          <w:rFonts w:eastAsia="Times New Roman" w:cs="Times New Roman"/>
          <w:b/>
          <w:bCs/>
          <w:color w:val="4A4A4A"/>
          <w:sz w:val="21"/>
          <w:szCs w:val="21"/>
          <w:lang w:val="en-US"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F371045" w14:textId="5F99BBD2" w:rsidR="002661A3" w:rsidRDefault="002661A3" w:rsidP="00D24330">
      <w:pPr>
        <w:pStyle w:val="MIndHeader"/>
        <w:rPr>
          <w:color w:val="333333"/>
          <w:sz w:val="21"/>
          <w:szCs w:val="21"/>
        </w:rPr>
      </w:pPr>
      <w:r w:rsidRPr="002661A3">
        <w:rPr>
          <w:color w:val="333333"/>
          <w:sz w:val="21"/>
          <w:szCs w:val="21"/>
        </w:rPr>
        <w:t xml:space="preserve">Goal 16: Promote peaceful and inclusive societies for sustainable development, provide access to justice for all and build effective, </w:t>
      </w:r>
      <w:proofErr w:type="gramStart"/>
      <w:r w:rsidRPr="002661A3">
        <w:rPr>
          <w:color w:val="333333"/>
          <w:sz w:val="21"/>
          <w:szCs w:val="21"/>
        </w:rPr>
        <w:t>accountable</w:t>
      </w:r>
      <w:proofErr w:type="gramEnd"/>
      <w:r w:rsidRPr="002661A3">
        <w:rPr>
          <w:color w:val="333333"/>
          <w:sz w:val="21"/>
          <w:szCs w:val="21"/>
        </w:rPr>
        <w:t xml:space="preserve"> and inclusive institutions at all levels</w:t>
      </w:r>
    </w:p>
    <w:p w14:paraId="084142D2" w14:textId="4A732AA0" w:rsidR="00D24330" w:rsidRPr="00A96255" w:rsidRDefault="00D24330" w:rsidP="00D24330">
      <w:pPr>
        <w:pStyle w:val="MIndHeader"/>
      </w:pPr>
      <w:r w:rsidRPr="00A96255">
        <w:t xml:space="preserve">0.b. Target </w:t>
      </w:r>
      <w:r>
        <w:rPr>
          <w:color w:val="B4B4B4"/>
          <w:sz w:val="20"/>
        </w:rPr>
        <w:t>(SDG_TARGET)</w:t>
      </w:r>
    </w:p>
    <w:p w14:paraId="4F56D203" w14:textId="27C74660" w:rsidR="002661A3" w:rsidRPr="00A96255" w:rsidRDefault="002661A3" w:rsidP="00D24330">
      <w:pPr>
        <w:pStyle w:val="MGTHeader"/>
      </w:pPr>
      <w:r w:rsidRPr="002661A3">
        <w:t xml:space="preserve">Target 16.7: Ensure responsive, inclusive, </w:t>
      </w:r>
      <w:proofErr w:type="gramStart"/>
      <w:r w:rsidRPr="002661A3">
        <w:t>participatory</w:t>
      </w:r>
      <w:proofErr w:type="gramEnd"/>
      <w:r w:rsidRPr="002661A3">
        <w:t xml:space="preserve"> and representative decision-making at all levels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679BC7F" w14:textId="103C0122" w:rsidR="00830FD0" w:rsidRDefault="00830FD0" w:rsidP="00D24330">
      <w:pPr>
        <w:pStyle w:val="MGTHeader"/>
      </w:pPr>
      <w:r>
        <w:t>Indicator 16.7.1: Proportions of positions in national and local institutions, including (a) the legislatures; (b) the public service; and (c) the judiciary, compared to national distributions, by sex, age, persons with disabilities and population groups</w:t>
      </w:r>
    </w:p>
    <w:p w14:paraId="37E5E4F6" w14:textId="1C1A433F" w:rsidR="00D24330" w:rsidRDefault="00D24330" w:rsidP="00D24330">
      <w:pPr>
        <w:pStyle w:val="MIndHeader"/>
      </w:pPr>
      <w:r w:rsidRPr="001445A8">
        <w:t xml:space="preserve">0.d. Series </w:t>
      </w:r>
      <w:r>
        <w:rPr>
          <w:color w:val="B4B4B4"/>
          <w:sz w:val="20"/>
        </w:rPr>
        <w:t>(SDG_SERIES_DESCR)</w:t>
      </w:r>
    </w:p>
    <w:p w14:paraId="4248908E" w14:textId="7D09D990" w:rsidR="00E4496C" w:rsidRPr="00ED366B" w:rsidRDefault="00C65493" w:rsidP="00013637">
      <w:pPr>
        <w:pStyle w:val="MGTHeader"/>
        <w:spacing w:after="0"/>
      </w:pPr>
      <w:r w:rsidRPr="00C65493">
        <w:t>Proportions of positions in the public service compared to national distributions (ratio)</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rPr>
          <w:color w:val="333333"/>
          <w:sz w:val="21"/>
          <w:szCs w:val="21"/>
        </w:rPr>
        <w:id w:val="1198739981"/>
        <w:placeholder>
          <w:docPart w:val="DefaultPlaceholder_-1854013437"/>
        </w:placeholder>
        <w:date w:fullDate="2022-03-31T00:00:00Z">
          <w:dateFormat w:val="yyyy-MM-dd"/>
          <w:lid w:val="en-US"/>
          <w:storeMappedDataAs w:val="dateTime"/>
          <w:calendar w:val="gregorian"/>
        </w:date>
      </w:sdtPr>
      <w:sdtContent>
        <w:p w14:paraId="6F7A1142" w14:textId="6AFE123A" w:rsidR="00881470" w:rsidRDefault="000C6280" w:rsidP="00D24330">
          <w:pPr>
            <w:pStyle w:val="MIndHeader"/>
            <w:rPr>
              <w:color w:val="333333"/>
              <w:sz w:val="21"/>
              <w:szCs w:val="21"/>
            </w:rPr>
          </w:pPr>
          <w:r>
            <w:rPr>
              <w:color w:val="333333"/>
              <w:sz w:val="21"/>
              <w:szCs w:val="21"/>
              <w:lang w:val="en-US"/>
            </w:rPr>
            <w:t>2022-03-31</w:t>
          </w:r>
        </w:p>
      </w:sdtContent>
    </w:sdt>
    <w:p w14:paraId="415C9FF1" w14:textId="3640D00B" w:rsidR="00D24330" w:rsidRPr="00A96255" w:rsidRDefault="00D24330" w:rsidP="00D24330">
      <w:pPr>
        <w:pStyle w:val="MIndHeader"/>
      </w:pPr>
      <w:r w:rsidRPr="00A96255">
        <w:t xml:space="preserve">0.f. Related indicators </w:t>
      </w:r>
      <w:r>
        <w:rPr>
          <w:color w:val="B4B4B4"/>
          <w:sz w:val="20"/>
        </w:rPr>
        <w:t>(SDG_RELATED_INDICATORS)</w:t>
      </w:r>
    </w:p>
    <w:p w14:paraId="14FDF0F2" w14:textId="0B3CA8F6" w:rsidR="00881470" w:rsidRPr="00B237F5" w:rsidRDefault="00881470" w:rsidP="00540CE7">
      <w:pPr>
        <w:pStyle w:val="MGTHeader"/>
      </w:pPr>
      <w:r w:rsidRPr="00D14B89">
        <w:t xml:space="preserve">This indicator can also be used to monitor SDG target 5.5 on </w:t>
      </w:r>
      <w:r w:rsidRPr="00D14B89">
        <w:rPr>
          <w:rStyle w:val="apple-converted-space"/>
          <w:rFonts w:ascii="Calibri Light" w:hAnsi="Calibri Light" w:cs="Calibri Light"/>
          <w:color w:val="000000" w:themeColor="text1"/>
        </w:rPr>
        <w:t>women’s “</w:t>
      </w:r>
      <w:r w:rsidRPr="00D14B89">
        <w:t>full and effective participation and equal opportunities for leadership at all levels of decision-making in political, economic and public life”</w:t>
      </w:r>
      <w:r w:rsidRPr="00D14B89">
        <w:rPr>
          <w:rStyle w:val="FootnoteReference"/>
          <w:rFonts w:ascii="Calibri Light" w:hAnsi="Calibri Light" w:cs="Calibri Light"/>
          <w:color w:val="000000" w:themeColor="text1"/>
        </w:rPr>
        <w:footnoteReference w:id="2"/>
      </w:r>
      <w:r w:rsidRPr="00D14B89">
        <w:t>, which does not have an indicator specifically focused on decision-making in the public service, and SDG target 10.2 on the promotion of the “social, economic and political inclusion of all, irrespective of age, sex, disability, race, ethnicity, origin, religion or economic or other status”, which only has one indicator measuring</w:t>
      </w:r>
      <w:r w:rsidRPr="00B237F5">
        <w:t xml:space="preserve"> economic exclusion</w:t>
      </w:r>
      <w:r w:rsidRPr="00B237F5">
        <w:rPr>
          <w:rStyle w:val="FootnoteReference"/>
          <w:rFonts w:ascii="Calibri Light" w:hAnsi="Calibri Light" w:cs="Calibri Light"/>
          <w:color w:val="000000" w:themeColor="text1"/>
        </w:rPr>
        <w:footnoteReference w:id="3"/>
      </w:r>
      <w:r w:rsidRPr="00B237F5">
        <w:t xml:space="preserve">. </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4709281" w14:textId="2157CDE0" w:rsidR="00830FD0" w:rsidRPr="005B5152" w:rsidRDefault="00830FD0" w:rsidP="00D24330">
      <w:pPr>
        <w:pStyle w:val="MGTHeader"/>
        <w:rPr>
          <w:color w:val="4A4A4A"/>
          <w:lang w:val="pt-PT"/>
        </w:rPr>
      </w:pPr>
      <w:r w:rsidRPr="005B5152">
        <w:rPr>
          <w:lang w:val="pt-PT"/>
        </w:rPr>
        <w:t>UNDP Oslo Governance Centre</w:t>
      </w:r>
    </w:p>
    <w:p w14:paraId="19F29921" w14:textId="77777777" w:rsidR="008D1D39" w:rsidRPr="005B5152" w:rsidRDefault="008D1D39" w:rsidP="00573631">
      <w:pPr>
        <w:shd w:val="clear" w:color="auto" w:fill="FFFFFF"/>
        <w:spacing w:after="0"/>
        <w:rPr>
          <w:rFonts w:eastAsia="Times New Roman" w:cs="Times New Roman"/>
          <w:color w:val="4A4A4A"/>
          <w:sz w:val="21"/>
          <w:szCs w:val="21"/>
          <w:lang w:val="pt-PT" w:eastAsia="en-GB"/>
        </w:rPr>
      </w:pPr>
    </w:p>
    <w:p w14:paraId="12E0D73A" w14:textId="48126E58" w:rsidR="00B31E2C" w:rsidRPr="005B5152" w:rsidRDefault="00B31E2C" w:rsidP="00EA05D3">
      <w:pPr>
        <w:pStyle w:val="MHeader"/>
        <w:rPr>
          <w:lang w:val="pt-PT"/>
        </w:rPr>
      </w:pPr>
      <w:bookmarkStart w:id="0" w:name="_Toc37932744"/>
      <w:bookmarkStart w:id="1" w:name="_Toc36813072"/>
      <w:bookmarkStart w:id="2" w:name="_Toc36812685"/>
      <w:bookmarkStart w:id="3" w:name="_Toc36812572"/>
      <w:bookmarkStart w:id="4" w:name="_Toc36655609"/>
      <w:r w:rsidRPr="005B5152">
        <w:rPr>
          <w:lang w:val="pt-PT"/>
        </w:rPr>
        <w:t xml:space="preserve">1. Data reporter </w:t>
      </w:r>
      <w:bookmarkEnd w:id="0"/>
      <w:bookmarkEnd w:id="1"/>
      <w:bookmarkEnd w:id="2"/>
      <w:bookmarkEnd w:id="3"/>
      <w:bookmarkEnd w:id="4"/>
      <w:r>
        <w:rPr>
          <w:color w:val="B4B4B4"/>
          <w:sz w:val="20"/>
        </w:rPr>
        <w:t>(CONTACT)</w:t>
      </w:r>
    </w:p>
    <w:p w14:paraId="0BD77982" w14:textId="72DFE854" w:rsidR="00576CFA" w:rsidRPr="000C6280" w:rsidRDefault="00576CFA" w:rsidP="00F719A8">
      <w:pPr>
        <w:pStyle w:val="MHeader2"/>
        <w:rPr>
          <w:lang w:val="pt-PT"/>
        </w:rPr>
      </w:pPr>
      <w:r w:rsidRPr="000C6280">
        <w:rPr>
          <w:lang w:val="pt-PT"/>
        </w:rPr>
        <w:t xml:space="preserve">1.a. Organisation </w:t>
      </w:r>
      <w:r>
        <w:rPr>
          <w:color w:val="B4B4B4"/>
          <w:sz w:val="20"/>
        </w:rPr>
        <w:t>(CONTACT_ORGANISATION)</w:t>
      </w:r>
    </w:p>
    <w:p w14:paraId="4B4C5ECF" w14:textId="3978044C" w:rsidR="00C43C07" w:rsidRPr="000C6280" w:rsidRDefault="00C43C07" w:rsidP="00576CFA">
      <w:pPr>
        <w:pStyle w:val="MText"/>
        <w:rPr>
          <w:lang w:val="pt-PT"/>
        </w:rPr>
      </w:pPr>
      <w:r w:rsidRPr="000C6280">
        <w:rPr>
          <w:lang w:val="pt-PT"/>
        </w:rPr>
        <w:t>UNDP Oslo Governance Centre</w:t>
      </w:r>
    </w:p>
    <w:p w14:paraId="6E829FD0" w14:textId="2439F30A" w:rsidR="00F719A8" w:rsidRPr="000C6280" w:rsidRDefault="00F719A8" w:rsidP="00576CFA">
      <w:pPr>
        <w:pStyle w:val="MText"/>
        <w:rPr>
          <w:lang w:val="pt-PT"/>
        </w:rPr>
      </w:pPr>
    </w:p>
    <w:p w14:paraId="14915AC8" w14:textId="7D506133" w:rsidR="00B31E2C" w:rsidRPr="000C6280" w:rsidRDefault="00B31E2C" w:rsidP="008B0AC7">
      <w:pPr>
        <w:pStyle w:val="MHeader"/>
        <w:rPr>
          <w:lang w:val="pt-PT"/>
        </w:rPr>
      </w:pPr>
      <w:r w:rsidRPr="000C6280">
        <w:rPr>
          <w:lang w:val="pt-PT"/>
        </w:rPr>
        <w:t xml:space="preserve">2. Definition, concepts, and classifications </w:t>
      </w:r>
      <w:r>
        <w:rPr>
          <w:color w:val="B4B4B4"/>
          <w:sz w:val="20"/>
        </w:rPr>
        <w:t>(IND_DEF_CON_CLASS)</w:t>
      </w:r>
    </w:p>
    <w:p w14:paraId="752FA08E" w14:textId="5B8E88D3" w:rsidR="00D51E7C" w:rsidRPr="000C6280" w:rsidRDefault="008B0AC7" w:rsidP="00830FD0">
      <w:pPr>
        <w:pStyle w:val="MHeader2"/>
        <w:rPr>
          <w:lang w:val="pt-PT"/>
        </w:rPr>
      </w:pPr>
      <w:r w:rsidRPr="000C6280">
        <w:rPr>
          <w:lang w:val="pt-PT"/>
        </w:rPr>
        <w:t xml:space="preserve">2.a. Definition and concepts </w:t>
      </w:r>
      <w:r>
        <w:rPr>
          <w:color w:val="B4B4B4"/>
          <w:sz w:val="20"/>
        </w:rPr>
        <w:t>(STAT_CONC_DEF)</w:t>
      </w:r>
    </w:p>
    <w:p w14:paraId="2A29E44C" w14:textId="285678C5" w:rsidR="00D51E7C" w:rsidRPr="006A3585" w:rsidRDefault="00D51E7C" w:rsidP="00576CFA">
      <w:pPr>
        <w:pStyle w:val="MText"/>
        <w:rPr>
          <w:rFonts w:ascii="Calibri" w:hAnsi="Calibri"/>
          <w:b/>
        </w:rPr>
      </w:pPr>
      <w:r w:rsidRPr="00ED366B">
        <w:rPr>
          <w:rFonts w:ascii="Calibri" w:hAnsi="Calibri"/>
          <w:b/>
        </w:rPr>
        <w:t>Definitions:</w:t>
      </w:r>
    </w:p>
    <w:p w14:paraId="1FF6180F" w14:textId="3A35FEE8" w:rsidR="00830FD0" w:rsidRPr="00EE6549" w:rsidRDefault="00830FD0" w:rsidP="00830FD0">
      <w:pPr>
        <w:pStyle w:val="MText"/>
        <w:rPr>
          <w:rFonts w:ascii="Calibri" w:hAnsi="Calibri" w:cs="Calibri"/>
        </w:rPr>
      </w:pPr>
      <w:r w:rsidRPr="00EE6549">
        <w:rPr>
          <w:rFonts w:ascii="Calibri" w:hAnsi="Calibri" w:cs="Calibri"/>
        </w:rPr>
        <w:lastRenderedPageBreak/>
        <w:t xml:space="preserve">This metadata is focused only on the public service sub-component of indicator 16.7.1. It measures representation in the public service with respect to the sex, age, </w:t>
      </w:r>
      <w:proofErr w:type="gramStart"/>
      <w:r w:rsidRPr="00EE6549">
        <w:rPr>
          <w:rFonts w:ascii="Calibri" w:hAnsi="Calibri" w:cs="Calibri"/>
        </w:rPr>
        <w:t>disability</w:t>
      </w:r>
      <w:proofErr w:type="gramEnd"/>
      <w:r w:rsidRPr="00EE6549">
        <w:rPr>
          <w:rFonts w:ascii="Calibri" w:hAnsi="Calibri" w:cs="Calibri"/>
        </w:rPr>
        <w:t xml:space="preserve"> and population group status of public servants, and assesses how these correspond to the proportion of these groups in society as a whole. </w:t>
      </w:r>
    </w:p>
    <w:p w14:paraId="1863D325" w14:textId="3F05C620" w:rsidR="00830FD0" w:rsidRPr="00EE6549" w:rsidRDefault="00830FD0" w:rsidP="00830FD0">
      <w:pPr>
        <w:pStyle w:val="MText"/>
        <w:rPr>
          <w:rFonts w:ascii="Calibri" w:hAnsi="Calibri" w:cs="Calibri"/>
          <w:highlight w:val="cyan"/>
        </w:rPr>
      </w:pPr>
      <w:r w:rsidRPr="00EE6549">
        <w:rPr>
          <w:rFonts w:ascii="Calibri" w:hAnsi="Calibri" w:cs="Calibri"/>
        </w:rPr>
        <w:t>More specifically, this indicator measures the proportional representation of various demographic groups (women, youth, persons with disability, and nationally relevant population groups) across various occupational categories as well as across two administrative levels (national and sub-national).</w:t>
      </w:r>
    </w:p>
    <w:p w14:paraId="2E9433A3" w14:textId="068DB734" w:rsidR="00D51E7C" w:rsidRPr="00540CE7" w:rsidRDefault="00D51E7C" w:rsidP="00576CFA">
      <w:pPr>
        <w:pStyle w:val="MText"/>
        <w:rPr>
          <w:highlight w:val="cyan"/>
        </w:rPr>
      </w:pPr>
    </w:p>
    <w:p w14:paraId="2623A684" w14:textId="77777777" w:rsidR="00EE6549" w:rsidRPr="00DC3760" w:rsidRDefault="00830FD0" w:rsidP="00013637">
      <w:pPr>
        <w:shd w:val="clear" w:color="auto" w:fill="FFFFFF" w:themeFill="background1"/>
        <w:spacing w:after="0"/>
        <w:rPr>
          <w:rFonts w:cstheme="minorHAnsi"/>
          <w:b/>
          <w:bCs/>
          <w:color w:val="4A4A4A"/>
          <w:sz w:val="21"/>
          <w:szCs w:val="21"/>
          <w:lang w:eastAsia="en-GB"/>
        </w:rPr>
      </w:pPr>
      <w:r w:rsidRPr="00ED366B">
        <w:rPr>
          <w:b/>
          <w:color w:val="4A4A4A"/>
          <w:sz w:val="21"/>
        </w:rPr>
        <w:t>Concepts</w:t>
      </w:r>
      <w:r w:rsidRPr="00DC3760">
        <w:rPr>
          <w:rFonts w:cstheme="minorHAnsi"/>
          <w:b/>
          <w:bCs/>
          <w:color w:val="4A4A4A"/>
          <w:sz w:val="21"/>
          <w:szCs w:val="21"/>
          <w:lang w:eastAsia="en-GB"/>
        </w:rPr>
        <w:t>:</w:t>
      </w:r>
    </w:p>
    <w:p w14:paraId="37B27507" w14:textId="6295C140" w:rsidR="00830FD0" w:rsidRPr="00540CE7" w:rsidRDefault="00830FD0" w:rsidP="00EE6549">
      <w:pPr>
        <w:shd w:val="clear" w:color="auto" w:fill="FFFFFF"/>
        <w:rPr>
          <w:rFonts w:cstheme="minorHAnsi"/>
          <w:b/>
          <w:bCs/>
          <w:color w:val="4A4A4A"/>
          <w:sz w:val="21"/>
          <w:szCs w:val="21"/>
          <w:lang w:eastAsia="en-GB"/>
        </w:rPr>
      </w:pPr>
      <w:r w:rsidRPr="00540CE7">
        <w:rPr>
          <w:rFonts w:cstheme="minorHAnsi"/>
          <w:color w:val="4A4A4A"/>
          <w:sz w:val="21"/>
          <w:szCs w:val="21"/>
          <w:lang w:eastAsia="en-GB"/>
        </w:rPr>
        <w:t>This indicator builds on various concepts and terms from international statistical standards and classifications as well as normative frameworks:</w:t>
      </w:r>
    </w:p>
    <w:p w14:paraId="54406A27" w14:textId="65388025" w:rsidR="00830FD0" w:rsidRPr="00540CE7" w:rsidRDefault="00830FD0" w:rsidP="00326A66">
      <w:pPr>
        <w:pStyle w:val="ListParagraph"/>
        <w:numPr>
          <w:ilvl w:val="0"/>
          <w:numId w:val="9"/>
        </w:numPr>
        <w:shd w:val="clear" w:color="auto" w:fill="FFFFFF"/>
        <w:jc w:val="both"/>
        <w:rPr>
          <w:rFonts w:cstheme="minorHAnsi"/>
          <w:color w:val="4A4A4A"/>
          <w:sz w:val="21"/>
          <w:szCs w:val="21"/>
          <w:lang w:eastAsia="en-GB"/>
        </w:rPr>
      </w:pPr>
      <w:r w:rsidRPr="00540CE7">
        <w:rPr>
          <w:rFonts w:cstheme="minorHAnsi"/>
          <w:b/>
          <w:bCs/>
          <w:i/>
          <w:iCs/>
          <w:color w:val="4A4A4A"/>
          <w:sz w:val="21"/>
          <w:szCs w:val="21"/>
          <w:lang w:eastAsia="en-GB"/>
        </w:rPr>
        <w:t>Institutional units covered:</w:t>
      </w:r>
      <w:r w:rsidRPr="00540CE7">
        <w:rPr>
          <w:rFonts w:cstheme="minorHAnsi"/>
          <w:i/>
          <w:iCs/>
          <w:color w:val="4A4A4A"/>
          <w:sz w:val="21"/>
          <w:szCs w:val="21"/>
          <w:lang w:eastAsia="en-GB"/>
        </w:rPr>
        <w:t xml:space="preserve"> </w:t>
      </w:r>
      <w:r w:rsidRPr="00540CE7">
        <w:rPr>
          <w:rFonts w:cstheme="minorHAnsi"/>
          <w:color w:val="4A4A4A"/>
          <w:sz w:val="21"/>
          <w:szCs w:val="21"/>
          <w:lang w:eastAsia="en-GB"/>
        </w:rPr>
        <w:t xml:space="preserve">The concepts of ‘General Government Sector’ and ‘General </w:t>
      </w:r>
      <w:r w:rsidR="009C5DA4" w:rsidRPr="00540CE7">
        <w:rPr>
          <w:rFonts w:cstheme="minorHAnsi"/>
          <w:color w:val="4A4A4A"/>
          <w:sz w:val="21"/>
          <w:szCs w:val="21"/>
          <w:lang w:eastAsia="en-GB"/>
        </w:rPr>
        <w:t>Government</w:t>
      </w:r>
      <w:r w:rsidRPr="00540CE7">
        <w:rPr>
          <w:rFonts w:cstheme="minorHAnsi"/>
          <w:color w:val="4A4A4A"/>
          <w:sz w:val="21"/>
          <w:szCs w:val="21"/>
          <w:lang w:eastAsia="en-GB"/>
        </w:rPr>
        <w:t xml:space="preserve"> Employment’</w:t>
      </w:r>
      <w:r w:rsidRPr="00540CE7">
        <w:rPr>
          <w:rStyle w:val="FootnoteReference"/>
          <w:rFonts w:cstheme="minorHAnsi"/>
          <w:color w:val="4A4A4A"/>
          <w:sz w:val="21"/>
          <w:szCs w:val="21"/>
          <w:lang w:eastAsia="en-GB"/>
        </w:rPr>
        <w:footnoteReference w:id="4"/>
      </w:r>
      <w:r w:rsidRPr="00540CE7">
        <w:rPr>
          <w:rFonts w:cstheme="minorHAnsi"/>
          <w:color w:val="4A4A4A"/>
          <w:sz w:val="21"/>
          <w:szCs w:val="21"/>
          <w:lang w:eastAsia="en-GB"/>
        </w:rPr>
        <w:t>,</w:t>
      </w:r>
      <w:r w:rsidRPr="00540CE7">
        <w:rPr>
          <w:rFonts w:cstheme="minorHAnsi"/>
          <w:b/>
          <w:bCs/>
          <w:color w:val="4A4A4A"/>
          <w:sz w:val="21"/>
          <w:szCs w:val="21"/>
          <w:lang w:eastAsia="en-GB"/>
        </w:rPr>
        <w:t xml:space="preserve"> </w:t>
      </w:r>
      <w:r w:rsidRPr="00540CE7">
        <w:rPr>
          <w:rFonts w:cstheme="minorHAnsi"/>
          <w:color w:val="4A4A4A"/>
          <w:sz w:val="21"/>
          <w:szCs w:val="21"/>
          <w:lang w:eastAsia="en-GB"/>
        </w:rPr>
        <w:t>as found in the 2008 System of National Accounts (SNA) but with some minor modifications</w:t>
      </w:r>
      <w:r w:rsidRPr="00540CE7">
        <w:rPr>
          <w:rStyle w:val="FootnoteReference"/>
          <w:rFonts w:cstheme="minorHAnsi"/>
          <w:color w:val="4A4A4A"/>
          <w:sz w:val="21"/>
          <w:szCs w:val="21"/>
          <w:lang w:eastAsia="en-GB"/>
        </w:rPr>
        <w:footnoteReference w:id="5"/>
      </w:r>
      <w:r w:rsidRPr="00540CE7">
        <w:rPr>
          <w:rFonts w:cstheme="minorHAnsi"/>
          <w:color w:val="4A4A4A"/>
          <w:sz w:val="21"/>
          <w:szCs w:val="21"/>
          <w:lang w:eastAsia="en-GB"/>
        </w:rPr>
        <w:t xml:space="preserve">, define the boundaries of the institutional units covered under this indicator. </w:t>
      </w:r>
    </w:p>
    <w:p w14:paraId="4635477D" w14:textId="77777777" w:rsidR="00830FD0" w:rsidRPr="00540CE7" w:rsidRDefault="00830FD0" w:rsidP="00326A66">
      <w:pPr>
        <w:pStyle w:val="ListParagraph"/>
        <w:numPr>
          <w:ilvl w:val="1"/>
          <w:numId w:val="9"/>
        </w:numPr>
        <w:shd w:val="clear" w:color="auto" w:fill="FFFFFF"/>
        <w:jc w:val="both"/>
        <w:rPr>
          <w:rFonts w:cstheme="minorHAnsi"/>
          <w:color w:val="4A4A4A"/>
          <w:sz w:val="21"/>
          <w:szCs w:val="21"/>
          <w:lang w:eastAsia="en-GB"/>
        </w:rPr>
      </w:pPr>
      <w:r w:rsidRPr="00540CE7">
        <w:rPr>
          <w:rFonts w:cstheme="minorHAnsi"/>
          <w:color w:val="4A4A4A"/>
          <w:sz w:val="21"/>
          <w:szCs w:val="21"/>
          <w:lang w:eastAsia="en-GB"/>
        </w:rPr>
        <w:t xml:space="preserve">The following institutional units should be included: All units of central and “state” (or equivalent sub-central level) government, </w:t>
      </w:r>
      <w:proofErr w:type="gramStart"/>
      <w:r w:rsidRPr="00540CE7">
        <w:rPr>
          <w:rFonts w:cstheme="minorHAnsi"/>
          <w:color w:val="4A4A4A"/>
          <w:sz w:val="21"/>
          <w:szCs w:val="21"/>
          <w:lang w:eastAsia="en-GB"/>
        </w:rPr>
        <w:t>i.e.</w:t>
      </w:r>
      <w:proofErr w:type="gramEnd"/>
      <w:r w:rsidRPr="00540CE7">
        <w:rPr>
          <w:rFonts w:cstheme="minorHAnsi"/>
          <w:color w:val="4A4A4A"/>
          <w:sz w:val="21"/>
          <w:szCs w:val="21"/>
          <w:lang w:eastAsia="en-GB"/>
        </w:rPr>
        <w:t xml:space="preserve"> all ministries, agencies, departments and non-profit institutions that are controlled by public authorities.</w:t>
      </w:r>
    </w:p>
    <w:p w14:paraId="14016805" w14:textId="1A6253A7" w:rsidR="00830FD0" w:rsidRPr="00540CE7" w:rsidRDefault="00830FD0" w:rsidP="00830FD0">
      <w:pPr>
        <w:pStyle w:val="ListParagraph"/>
        <w:numPr>
          <w:ilvl w:val="1"/>
          <w:numId w:val="9"/>
        </w:numPr>
        <w:shd w:val="clear" w:color="auto" w:fill="FFFFFF"/>
        <w:spacing w:after="0"/>
        <w:ind w:left="1434" w:hanging="357"/>
        <w:contextualSpacing w:val="0"/>
        <w:jc w:val="both"/>
        <w:rPr>
          <w:rFonts w:cstheme="minorHAnsi"/>
          <w:color w:val="4A4A4A"/>
          <w:sz w:val="21"/>
          <w:szCs w:val="21"/>
          <w:lang w:eastAsia="en-GB"/>
        </w:rPr>
      </w:pPr>
      <w:r w:rsidRPr="00540CE7">
        <w:rPr>
          <w:rFonts w:cstheme="minorHAnsi"/>
          <w:color w:val="4A4A4A"/>
          <w:sz w:val="21"/>
          <w:szCs w:val="21"/>
          <w:lang w:eastAsia="en-GB"/>
        </w:rPr>
        <w:t>The following institutional units should be excluded: local government units</w:t>
      </w:r>
      <w:r w:rsidRPr="00540CE7">
        <w:rPr>
          <w:rStyle w:val="FootnoteReference"/>
          <w:rFonts w:cstheme="minorHAnsi"/>
          <w:color w:val="4A4A4A"/>
          <w:sz w:val="21"/>
          <w:szCs w:val="21"/>
          <w:lang w:eastAsia="en-GB"/>
        </w:rPr>
        <w:footnoteReference w:id="6"/>
      </w:r>
      <w:r w:rsidRPr="00540CE7">
        <w:rPr>
          <w:rFonts w:cstheme="minorHAnsi"/>
          <w:color w:val="4A4A4A"/>
          <w:sz w:val="21"/>
          <w:szCs w:val="21"/>
          <w:lang w:eastAsia="en-GB"/>
        </w:rPr>
        <w:t>, the military, social security funds, public corporations and quasi-corporations that are owned and controlled by government units.</w:t>
      </w:r>
    </w:p>
    <w:p w14:paraId="492FFDB1" w14:textId="77777777" w:rsidR="00603191" w:rsidRPr="00540CE7" w:rsidRDefault="00603191" w:rsidP="00603191">
      <w:pPr>
        <w:pStyle w:val="ListParagraph"/>
        <w:shd w:val="clear" w:color="auto" w:fill="FFFFFF"/>
        <w:spacing w:after="0"/>
        <w:ind w:left="1434"/>
        <w:contextualSpacing w:val="0"/>
        <w:jc w:val="both"/>
        <w:rPr>
          <w:rFonts w:cstheme="minorHAnsi"/>
          <w:color w:val="4A4A4A"/>
          <w:sz w:val="21"/>
          <w:szCs w:val="21"/>
          <w:lang w:eastAsia="en-GB"/>
        </w:rPr>
      </w:pPr>
    </w:p>
    <w:p w14:paraId="1500445D" w14:textId="77777777" w:rsidR="00830FD0" w:rsidRPr="00540CE7" w:rsidRDefault="00830FD0" w:rsidP="00326A66">
      <w:pPr>
        <w:pStyle w:val="ListParagraph"/>
        <w:numPr>
          <w:ilvl w:val="0"/>
          <w:numId w:val="6"/>
        </w:numPr>
        <w:shd w:val="clear" w:color="auto" w:fill="FFFFFF"/>
        <w:spacing w:after="0"/>
        <w:jc w:val="both"/>
        <w:rPr>
          <w:rFonts w:cstheme="minorHAnsi"/>
          <w:color w:val="4A4A4A"/>
          <w:sz w:val="21"/>
          <w:szCs w:val="21"/>
          <w:lang w:eastAsia="en-GB"/>
        </w:rPr>
      </w:pPr>
      <w:r w:rsidRPr="00540CE7">
        <w:rPr>
          <w:rFonts w:cstheme="minorHAnsi"/>
          <w:b/>
          <w:i/>
          <w:color w:val="4A4A4A"/>
          <w:sz w:val="21"/>
          <w:szCs w:val="21"/>
        </w:rPr>
        <w:t xml:space="preserve">Administrative levels: </w:t>
      </w:r>
      <w:r w:rsidRPr="00540CE7">
        <w:rPr>
          <w:rFonts w:cstheme="minorHAnsi"/>
          <w:color w:val="4A4A4A"/>
          <w:sz w:val="21"/>
          <w:szCs w:val="21"/>
          <w:lang w:eastAsia="en-GB"/>
        </w:rPr>
        <w:t xml:space="preserve">As outlined above, this indicator covers employment at both central and sub-central levels of government (but excludes local government). Employment data will therefore be collected at two levels: </w:t>
      </w:r>
    </w:p>
    <w:p w14:paraId="464B4E45" w14:textId="77777777" w:rsidR="00830FD0" w:rsidRPr="00540CE7" w:rsidRDefault="00830FD0" w:rsidP="00326A66">
      <w:pPr>
        <w:pStyle w:val="ListParagraph"/>
        <w:numPr>
          <w:ilvl w:val="1"/>
          <w:numId w:val="6"/>
        </w:numPr>
        <w:shd w:val="clear" w:color="auto" w:fill="FFFFFF"/>
        <w:spacing w:after="0"/>
        <w:jc w:val="both"/>
        <w:rPr>
          <w:rFonts w:cstheme="minorHAnsi"/>
          <w:color w:val="4A4A4A"/>
          <w:sz w:val="21"/>
          <w:szCs w:val="21"/>
          <w:lang w:eastAsia="en-GB"/>
        </w:rPr>
      </w:pPr>
      <w:r w:rsidRPr="00540CE7">
        <w:rPr>
          <w:rFonts w:cstheme="minorHAnsi"/>
          <w:color w:val="4A4A4A"/>
          <w:sz w:val="21"/>
          <w:szCs w:val="21"/>
          <w:lang w:eastAsia="en-GB"/>
        </w:rPr>
        <w:t xml:space="preserve">Employment in national/central government; and </w:t>
      </w:r>
    </w:p>
    <w:p w14:paraId="5F63E499" w14:textId="5A78BC6B" w:rsidR="00830FD0" w:rsidRPr="00540CE7" w:rsidRDefault="00830FD0" w:rsidP="00830FD0">
      <w:pPr>
        <w:pStyle w:val="ListParagraph"/>
        <w:numPr>
          <w:ilvl w:val="1"/>
          <w:numId w:val="6"/>
        </w:numPr>
        <w:shd w:val="clear" w:color="auto" w:fill="FFFFFF"/>
        <w:spacing w:after="0"/>
        <w:ind w:left="1434" w:hanging="357"/>
        <w:contextualSpacing w:val="0"/>
        <w:jc w:val="both"/>
        <w:rPr>
          <w:rFonts w:cstheme="minorHAnsi"/>
          <w:color w:val="4A4A4A"/>
          <w:sz w:val="21"/>
          <w:szCs w:val="21"/>
          <w:lang w:eastAsia="en-GB"/>
        </w:rPr>
      </w:pPr>
      <w:r w:rsidRPr="00540CE7">
        <w:rPr>
          <w:rFonts w:cstheme="minorHAnsi"/>
          <w:color w:val="4A4A4A"/>
          <w:sz w:val="21"/>
          <w:szCs w:val="21"/>
          <w:lang w:eastAsia="en-GB"/>
        </w:rPr>
        <w:t xml:space="preserve">Employment in ‘state government units’, described in the 2008 SNA as “institutional units whose fiscal, </w:t>
      </w:r>
      <w:proofErr w:type="gramStart"/>
      <w:r w:rsidRPr="00540CE7">
        <w:rPr>
          <w:rFonts w:cstheme="minorHAnsi"/>
          <w:color w:val="4A4A4A"/>
          <w:sz w:val="21"/>
          <w:szCs w:val="21"/>
          <w:lang w:eastAsia="en-GB"/>
        </w:rPr>
        <w:t>legislative</w:t>
      </w:r>
      <w:proofErr w:type="gramEnd"/>
      <w:r w:rsidRPr="00540CE7">
        <w:rPr>
          <w:rFonts w:cstheme="minorHAnsi"/>
          <w:color w:val="4A4A4A"/>
          <w:sz w:val="21"/>
          <w:szCs w:val="21"/>
          <w:lang w:eastAsia="en-GB"/>
        </w:rPr>
        <w:t xml:space="preserve"> and executive authority extends only over the individual ‘states’ into which the country as a whole may be divided”.</w:t>
      </w:r>
      <w:r w:rsidRPr="00540CE7">
        <w:rPr>
          <w:rStyle w:val="FootnoteReference"/>
          <w:rFonts w:cstheme="minorHAnsi"/>
          <w:color w:val="4A4A4A"/>
          <w:sz w:val="21"/>
          <w:szCs w:val="21"/>
          <w:lang w:eastAsia="en-GB"/>
        </w:rPr>
        <w:footnoteReference w:id="7"/>
      </w:r>
      <w:r w:rsidRPr="00540CE7">
        <w:rPr>
          <w:rFonts w:cstheme="minorHAnsi"/>
          <w:color w:val="4A4A4A"/>
          <w:sz w:val="21"/>
          <w:szCs w:val="21"/>
          <w:lang w:eastAsia="en-GB"/>
        </w:rPr>
        <w:t xml:space="preserve"> </w:t>
      </w:r>
    </w:p>
    <w:p w14:paraId="64E14CE7" w14:textId="77777777" w:rsidR="00603191" w:rsidRPr="00540CE7" w:rsidRDefault="00603191" w:rsidP="00603191">
      <w:pPr>
        <w:pStyle w:val="ListParagraph"/>
        <w:shd w:val="clear" w:color="auto" w:fill="FFFFFF"/>
        <w:spacing w:after="0"/>
        <w:ind w:left="1434"/>
        <w:contextualSpacing w:val="0"/>
        <w:jc w:val="both"/>
        <w:rPr>
          <w:rFonts w:cstheme="minorHAnsi"/>
          <w:color w:val="4A4A4A"/>
          <w:sz w:val="21"/>
          <w:szCs w:val="21"/>
          <w:lang w:eastAsia="en-GB"/>
        </w:rPr>
      </w:pPr>
    </w:p>
    <w:p w14:paraId="1645AF94" w14:textId="77777777" w:rsidR="00830FD0" w:rsidRPr="00540CE7" w:rsidRDefault="00830FD0" w:rsidP="00326A66">
      <w:pPr>
        <w:pStyle w:val="ListParagraph"/>
        <w:numPr>
          <w:ilvl w:val="0"/>
          <w:numId w:val="7"/>
        </w:numPr>
        <w:spacing w:after="0"/>
        <w:jc w:val="both"/>
        <w:rPr>
          <w:rFonts w:cstheme="minorHAnsi"/>
          <w:color w:val="4A4A4A"/>
          <w:sz w:val="21"/>
          <w:szCs w:val="21"/>
        </w:rPr>
      </w:pPr>
      <w:r w:rsidRPr="00540CE7">
        <w:rPr>
          <w:rFonts w:cstheme="minorHAnsi"/>
          <w:b/>
          <w:i/>
          <w:color w:val="4A4A4A"/>
          <w:sz w:val="21"/>
          <w:szCs w:val="21"/>
        </w:rPr>
        <w:t xml:space="preserve">Occupational categories in the public service: </w:t>
      </w:r>
      <w:r w:rsidRPr="00540CE7">
        <w:rPr>
          <w:rFonts w:cstheme="minorHAnsi"/>
          <w:color w:val="4A4A4A"/>
          <w:sz w:val="21"/>
          <w:szCs w:val="21"/>
          <w:lang w:eastAsia="en-GB"/>
        </w:rPr>
        <w:t xml:space="preserve">Target 16.7 calls for responsive, inclusive, </w:t>
      </w:r>
      <w:proofErr w:type="gramStart"/>
      <w:r w:rsidRPr="00540CE7">
        <w:rPr>
          <w:rFonts w:cstheme="minorHAnsi"/>
          <w:color w:val="4A4A4A"/>
          <w:sz w:val="21"/>
          <w:szCs w:val="21"/>
          <w:lang w:eastAsia="en-GB"/>
        </w:rPr>
        <w:t>participatory</w:t>
      </w:r>
      <w:proofErr w:type="gramEnd"/>
      <w:r w:rsidRPr="00540CE7">
        <w:rPr>
          <w:rFonts w:cstheme="minorHAnsi"/>
          <w:color w:val="4A4A4A"/>
          <w:sz w:val="21"/>
          <w:szCs w:val="21"/>
          <w:lang w:eastAsia="en-GB"/>
        </w:rPr>
        <w:t xml:space="preserve"> and representative decision-making </w:t>
      </w:r>
      <w:r w:rsidRPr="00540CE7">
        <w:rPr>
          <w:rFonts w:cstheme="minorHAnsi"/>
          <w:i/>
          <w:color w:val="4A4A4A"/>
          <w:sz w:val="21"/>
          <w:szCs w:val="21"/>
          <w:lang w:eastAsia="en-GB"/>
        </w:rPr>
        <w:t>at all levels.</w:t>
      </w:r>
      <w:r w:rsidRPr="00540CE7">
        <w:rPr>
          <w:rFonts w:cstheme="minorHAnsi"/>
          <w:color w:val="4A4A4A"/>
          <w:sz w:val="21"/>
          <w:szCs w:val="21"/>
          <w:lang w:eastAsia="en-GB"/>
        </w:rPr>
        <w:t xml:space="preserve"> As such, reporting on indicator </w:t>
      </w:r>
      <w:r w:rsidRPr="00540CE7">
        <w:rPr>
          <w:rFonts w:cstheme="minorHAnsi"/>
          <w:color w:val="4A4A4A"/>
          <w:sz w:val="21"/>
          <w:szCs w:val="21"/>
          <w:lang w:eastAsia="en-GB"/>
        </w:rPr>
        <w:lastRenderedPageBreak/>
        <w:t xml:space="preserve">16.7.1(b) needs to be done separately for various levels of decision-making. Since there is no international definition of ‘positions’ in the public service and therefore most countries have their own national classification for public service positions, </w:t>
      </w:r>
      <w:r w:rsidRPr="00540CE7">
        <w:rPr>
          <w:rFonts w:cstheme="minorHAnsi"/>
          <w:color w:val="4A4A4A"/>
          <w:sz w:val="21"/>
          <w:szCs w:val="21"/>
          <w:lang w:val="en-CA"/>
        </w:rPr>
        <w:t xml:space="preserve">a harmonized set of occupational categories in the public service is needed to ensure the comparability of data reported for this indicator. </w:t>
      </w:r>
      <w:r w:rsidRPr="00540CE7">
        <w:rPr>
          <w:rFonts w:cstheme="minorHAnsi"/>
          <w:color w:val="4A4A4A"/>
          <w:sz w:val="21"/>
          <w:szCs w:val="21"/>
        </w:rPr>
        <w:t xml:space="preserve"> </w:t>
      </w:r>
      <w:r w:rsidRPr="00540CE7">
        <w:rPr>
          <w:rFonts w:cstheme="minorHAnsi"/>
          <w:color w:val="4A4A4A"/>
          <w:sz w:val="21"/>
          <w:szCs w:val="21"/>
          <w:lang w:val="en-CA"/>
        </w:rPr>
        <w:t xml:space="preserve"> </w:t>
      </w:r>
    </w:p>
    <w:p w14:paraId="0A6D8D1F" w14:textId="77777777" w:rsidR="00830FD0" w:rsidRPr="00540CE7" w:rsidRDefault="00830FD0" w:rsidP="00326A66">
      <w:pPr>
        <w:pStyle w:val="NormalWeb"/>
        <w:numPr>
          <w:ilvl w:val="1"/>
          <w:numId w:val="7"/>
        </w:numPr>
        <w:spacing w:line="276" w:lineRule="auto"/>
        <w:jc w:val="both"/>
        <w:rPr>
          <w:rFonts w:asciiTheme="minorHAnsi" w:hAnsiTheme="minorHAnsi" w:cstheme="minorHAnsi"/>
          <w:color w:val="4A4A4A"/>
          <w:sz w:val="21"/>
          <w:szCs w:val="21"/>
        </w:rPr>
      </w:pPr>
      <w:r w:rsidRPr="00540CE7">
        <w:rPr>
          <w:rFonts w:asciiTheme="minorHAnsi" w:hAnsiTheme="minorHAnsi" w:cstheme="minorHAnsi"/>
          <w:color w:val="4A4A4A"/>
          <w:sz w:val="21"/>
          <w:szCs w:val="21"/>
          <w:lang w:val="en-CA"/>
        </w:rPr>
        <w:t>The International Standard Classification of Occupations (ISCO-08) was used to identify four ‘core’ occupational categories in the public service</w:t>
      </w:r>
      <w:r w:rsidRPr="00540CE7">
        <w:rPr>
          <w:rStyle w:val="FootnoteReference"/>
          <w:rFonts w:asciiTheme="minorHAnsi" w:hAnsiTheme="minorHAnsi" w:cstheme="minorHAnsi"/>
          <w:color w:val="4A4A4A"/>
          <w:sz w:val="21"/>
          <w:szCs w:val="21"/>
        </w:rPr>
        <w:footnoteReference w:id="8"/>
      </w:r>
      <w:r w:rsidRPr="00540CE7">
        <w:rPr>
          <w:rFonts w:asciiTheme="minorHAnsi" w:hAnsiTheme="minorHAnsi" w:cstheme="minorHAnsi"/>
          <w:color w:val="4A4A4A"/>
          <w:sz w:val="21"/>
          <w:szCs w:val="21"/>
          <w:lang w:val="en-CA"/>
        </w:rPr>
        <w:t xml:space="preserve"> found to be </w:t>
      </w:r>
      <w:r w:rsidRPr="00540CE7">
        <w:rPr>
          <w:rFonts w:asciiTheme="minorHAnsi" w:hAnsiTheme="minorHAnsi" w:cstheme="minorHAnsi"/>
          <w:color w:val="4A4A4A"/>
          <w:sz w:val="21"/>
          <w:szCs w:val="21"/>
          <w:lang w:eastAsia="en-GB"/>
        </w:rPr>
        <w:t>relatively typical in every government,</w:t>
      </w:r>
      <w:r w:rsidRPr="00540CE7">
        <w:rPr>
          <w:rFonts w:asciiTheme="minorHAnsi" w:hAnsiTheme="minorHAnsi" w:cstheme="minorHAnsi"/>
          <w:color w:val="4A4A4A"/>
          <w:sz w:val="21"/>
          <w:szCs w:val="21"/>
          <w:lang w:val="en-CA"/>
        </w:rPr>
        <w:t xml:space="preserve"> namely Managers (ISCO-08 Major Group 1), Professionals (ISCO-08 Major Group 2), Technicians and Associate Professionals (ISCO-08 Major Group 3) and Clerical Support Workers (ISCO-08 Major Group 4)</w:t>
      </w:r>
      <w:r w:rsidRPr="00540CE7">
        <w:rPr>
          <w:rFonts w:asciiTheme="minorHAnsi" w:hAnsiTheme="minorHAnsi" w:cstheme="minorHAnsi"/>
          <w:color w:val="4A4A4A"/>
          <w:sz w:val="21"/>
          <w:szCs w:val="21"/>
        </w:rPr>
        <w:t>.</w:t>
      </w:r>
      <w:r w:rsidRPr="00540CE7">
        <w:rPr>
          <w:rFonts w:asciiTheme="minorHAnsi" w:hAnsiTheme="minorHAnsi" w:cstheme="minorHAnsi"/>
          <w:color w:val="4A4A4A"/>
          <w:sz w:val="21"/>
          <w:szCs w:val="21"/>
          <w:lang w:val="en-CA"/>
        </w:rPr>
        <w:t xml:space="preserve"> </w:t>
      </w:r>
    </w:p>
    <w:p w14:paraId="27CB9543" w14:textId="77777777" w:rsidR="00830FD0" w:rsidRPr="00540CE7" w:rsidRDefault="00830FD0" w:rsidP="00326A66">
      <w:pPr>
        <w:pStyle w:val="NormalWeb"/>
        <w:numPr>
          <w:ilvl w:val="1"/>
          <w:numId w:val="7"/>
        </w:numPr>
        <w:spacing w:after="0" w:afterAutospacing="0" w:line="276" w:lineRule="auto"/>
        <w:ind w:left="1434" w:hanging="357"/>
        <w:jc w:val="both"/>
        <w:rPr>
          <w:rFonts w:asciiTheme="minorHAnsi" w:hAnsiTheme="minorHAnsi" w:cstheme="minorHAnsi"/>
          <w:color w:val="4A4A4A"/>
          <w:sz w:val="21"/>
          <w:szCs w:val="21"/>
        </w:rPr>
      </w:pPr>
      <w:r w:rsidRPr="00540CE7">
        <w:rPr>
          <w:rFonts w:asciiTheme="minorHAnsi" w:hAnsiTheme="minorHAnsi" w:cstheme="minorHAnsi"/>
          <w:color w:val="4A4A4A"/>
          <w:sz w:val="21"/>
          <w:szCs w:val="21"/>
          <w:lang w:val="en-CA"/>
        </w:rPr>
        <w:t>Moreover, the rationale of this indicator places a particular focus on ‘front-line service workers’ which frequently interact directly with the public,</w:t>
      </w:r>
      <w:r w:rsidRPr="00540CE7">
        <w:rPr>
          <w:rStyle w:val="FootnoteReference"/>
          <w:rFonts w:asciiTheme="minorHAnsi" w:hAnsiTheme="minorHAnsi" w:cstheme="minorHAnsi"/>
          <w:color w:val="4A4A4A"/>
          <w:sz w:val="21"/>
          <w:szCs w:val="21"/>
          <w:lang w:val="en-CA"/>
        </w:rPr>
        <w:footnoteReference w:id="9"/>
      </w:r>
      <w:r w:rsidRPr="00540CE7">
        <w:rPr>
          <w:rFonts w:asciiTheme="minorHAnsi" w:hAnsiTheme="minorHAnsi" w:cstheme="minorHAnsi"/>
          <w:color w:val="4A4A4A"/>
          <w:sz w:val="21"/>
          <w:szCs w:val="21"/>
          <w:lang w:val="en-CA"/>
        </w:rPr>
        <w:t xml:space="preserve"> such as police personnel, education personnel, health personnel and front-desk administrative personnel. While this list of front-line public service jobs is not exhaustive, these four categories were selected given the substantial portion of public service jobs they account for, and the frequent direct interaction these public servants have with the public. </w:t>
      </w:r>
    </w:p>
    <w:p w14:paraId="4829EB41" w14:textId="77777777" w:rsidR="00830FD0" w:rsidRPr="00540CE7" w:rsidRDefault="00830FD0" w:rsidP="00830FD0">
      <w:pPr>
        <w:pStyle w:val="NormalWeb"/>
        <w:spacing w:before="0" w:beforeAutospacing="0" w:after="0" w:afterAutospacing="0" w:line="276" w:lineRule="auto"/>
        <w:jc w:val="both"/>
        <w:rPr>
          <w:rFonts w:asciiTheme="minorHAnsi" w:hAnsiTheme="minorHAnsi" w:cstheme="minorHAnsi"/>
          <w:color w:val="4A4A4A"/>
          <w:sz w:val="21"/>
          <w:szCs w:val="21"/>
        </w:rPr>
      </w:pPr>
    </w:p>
    <w:p w14:paraId="0B32F422" w14:textId="77777777" w:rsidR="00830FD0" w:rsidRPr="00540CE7" w:rsidRDefault="00830FD0" w:rsidP="00326A66">
      <w:pPr>
        <w:pStyle w:val="NormalWeb"/>
        <w:numPr>
          <w:ilvl w:val="0"/>
          <w:numId w:val="7"/>
        </w:numPr>
        <w:spacing w:before="0" w:beforeAutospacing="0" w:after="0" w:afterAutospacing="0" w:line="276" w:lineRule="auto"/>
        <w:ind w:left="714" w:hanging="357"/>
        <w:jc w:val="both"/>
        <w:rPr>
          <w:rFonts w:asciiTheme="minorHAnsi" w:hAnsiTheme="minorHAnsi" w:cstheme="minorHAnsi"/>
          <w:color w:val="4A4A4A"/>
          <w:sz w:val="21"/>
          <w:szCs w:val="21"/>
        </w:rPr>
      </w:pPr>
      <w:r w:rsidRPr="00540CE7">
        <w:rPr>
          <w:rFonts w:asciiTheme="minorHAnsi" w:hAnsiTheme="minorHAnsi" w:cstheme="minorHAnsi"/>
          <w:b/>
          <w:bCs/>
          <w:i/>
          <w:iCs/>
          <w:color w:val="4A4A4A"/>
          <w:sz w:val="21"/>
          <w:szCs w:val="21"/>
        </w:rPr>
        <w:t>Appointed/elected positions:</w:t>
      </w:r>
      <w:r w:rsidRPr="00540CE7">
        <w:rPr>
          <w:rFonts w:asciiTheme="minorHAnsi" w:hAnsiTheme="minorHAnsi" w:cstheme="minorHAnsi"/>
          <w:b/>
          <w:bCs/>
          <w:color w:val="4A4A4A"/>
          <w:sz w:val="21"/>
          <w:szCs w:val="21"/>
        </w:rPr>
        <w:t xml:space="preserve"> </w:t>
      </w:r>
      <w:proofErr w:type="gramStart"/>
      <w:r w:rsidRPr="00540CE7">
        <w:rPr>
          <w:rFonts w:asciiTheme="minorHAnsi" w:hAnsiTheme="minorHAnsi" w:cstheme="minorHAnsi"/>
          <w:color w:val="4A4A4A"/>
          <w:sz w:val="21"/>
          <w:szCs w:val="21"/>
        </w:rPr>
        <w:t>In order to</w:t>
      </w:r>
      <w:proofErr w:type="gramEnd"/>
      <w:r w:rsidRPr="00540CE7">
        <w:rPr>
          <w:rFonts w:asciiTheme="minorHAnsi" w:hAnsiTheme="minorHAnsi" w:cstheme="minorHAnsi"/>
          <w:color w:val="4A4A4A"/>
          <w:sz w:val="21"/>
          <w:szCs w:val="21"/>
        </w:rPr>
        <w:t xml:space="preserve"> ensure consistent reporting, it is important to distinguish positions that are appointed (or elected) by the government or the head of government, and career public servant positions obtained on the basis of merit and seniority. This indicator only considers the latter – </w:t>
      </w:r>
      <w:proofErr w:type="gramStart"/>
      <w:r w:rsidRPr="00540CE7">
        <w:rPr>
          <w:rFonts w:asciiTheme="minorHAnsi" w:hAnsiTheme="minorHAnsi" w:cstheme="minorHAnsi"/>
          <w:color w:val="4A4A4A"/>
          <w:sz w:val="21"/>
          <w:szCs w:val="21"/>
        </w:rPr>
        <w:t>i.e.</w:t>
      </w:r>
      <w:proofErr w:type="gramEnd"/>
      <w:r w:rsidRPr="00540CE7">
        <w:rPr>
          <w:rFonts w:asciiTheme="minorHAnsi" w:hAnsiTheme="minorHAnsi" w:cstheme="minorHAnsi"/>
          <w:color w:val="4A4A4A"/>
          <w:sz w:val="21"/>
          <w:szCs w:val="21"/>
        </w:rPr>
        <w:t xml:space="preserve"> positions held by career public servants, obtained on the basis of merit and seniority. NB: This consideration is most likely to affect positions in the ‘managers’ occupational category. </w:t>
      </w:r>
      <w:r w:rsidRPr="00540CE7">
        <w:rPr>
          <w:rStyle w:val="FootnoteReference"/>
          <w:rFonts w:asciiTheme="minorHAnsi" w:hAnsiTheme="minorHAnsi" w:cstheme="minorHAnsi"/>
          <w:color w:val="4A4A4A"/>
          <w:sz w:val="21"/>
          <w:szCs w:val="21"/>
        </w:rPr>
        <w:footnoteReference w:id="10"/>
      </w:r>
      <w:r w:rsidRPr="00540CE7">
        <w:rPr>
          <w:rFonts w:asciiTheme="minorHAnsi" w:hAnsiTheme="minorHAnsi" w:cstheme="minorHAnsi"/>
          <w:color w:val="4A4A4A"/>
          <w:sz w:val="21"/>
          <w:szCs w:val="21"/>
        </w:rPr>
        <w:t xml:space="preserve"> </w:t>
      </w:r>
    </w:p>
    <w:p w14:paraId="3CCC75D2" w14:textId="77777777" w:rsidR="00830FD0" w:rsidRPr="00540CE7" w:rsidRDefault="00830FD0" w:rsidP="00830FD0">
      <w:pPr>
        <w:pStyle w:val="NormalWeb"/>
        <w:spacing w:before="0" w:beforeAutospacing="0" w:after="0" w:afterAutospacing="0" w:line="276" w:lineRule="auto"/>
        <w:jc w:val="both"/>
        <w:rPr>
          <w:rFonts w:asciiTheme="minorHAnsi" w:hAnsiTheme="minorHAnsi" w:cstheme="minorHAnsi"/>
          <w:color w:val="4A4A4A"/>
          <w:sz w:val="21"/>
          <w:szCs w:val="21"/>
        </w:rPr>
      </w:pPr>
    </w:p>
    <w:p w14:paraId="6E54D3D6" w14:textId="09E2068E" w:rsidR="00EC2915" w:rsidRPr="009C4551" w:rsidRDefault="00830FD0" w:rsidP="00576CFA">
      <w:pPr>
        <w:pStyle w:val="ListParagraph"/>
        <w:numPr>
          <w:ilvl w:val="0"/>
          <w:numId w:val="7"/>
        </w:numPr>
        <w:shd w:val="clear" w:color="auto" w:fill="FFFFFF"/>
        <w:spacing w:after="0"/>
        <w:rPr>
          <w:rFonts w:cstheme="minorHAnsi"/>
          <w:color w:val="000000" w:themeColor="text1"/>
          <w:sz w:val="21"/>
          <w:szCs w:val="21"/>
          <w:lang w:val="en-CA"/>
        </w:rPr>
      </w:pPr>
      <w:r w:rsidRPr="00540CE7">
        <w:rPr>
          <w:rFonts w:cstheme="minorHAnsi"/>
          <w:b/>
          <w:bCs/>
          <w:i/>
          <w:color w:val="4A4A4A"/>
          <w:sz w:val="21"/>
          <w:szCs w:val="21"/>
        </w:rPr>
        <w:t>Disability status:</w:t>
      </w:r>
      <w:r w:rsidRPr="00540CE7">
        <w:rPr>
          <w:rFonts w:cstheme="minorHAnsi"/>
          <w:b/>
          <w:bCs/>
          <w:color w:val="4A4A4A"/>
          <w:sz w:val="21"/>
          <w:szCs w:val="21"/>
          <w:lang w:eastAsia="en-GB"/>
        </w:rPr>
        <w:t xml:space="preserve"> </w:t>
      </w:r>
      <w:r w:rsidRPr="00540CE7">
        <w:rPr>
          <w:rFonts w:cstheme="minorHAnsi"/>
          <w:color w:val="4A4A4A"/>
          <w:sz w:val="21"/>
          <w:szCs w:val="21"/>
          <w:lang w:eastAsia="en-GB"/>
        </w:rPr>
        <w:t>To disaggregate public servant data by disability status, it is recommended that countries use the</w:t>
      </w:r>
      <w:r w:rsidRPr="00603191">
        <w:rPr>
          <w:rFonts w:cstheme="minorHAnsi"/>
          <w:color w:val="000000" w:themeColor="text1"/>
          <w:sz w:val="21"/>
          <w:szCs w:val="21"/>
          <w:lang w:eastAsia="en-GB"/>
        </w:rPr>
        <w:t xml:space="preserve"> </w:t>
      </w:r>
      <w:hyperlink r:id="rId12" w:history="1">
        <w:r w:rsidRPr="00603191">
          <w:rPr>
            <w:rStyle w:val="Hyperlink"/>
            <w:rFonts w:cstheme="minorHAnsi"/>
            <w:sz w:val="21"/>
            <w:szCs w:val="21"/>
            <w:lang w:eastAsia="en-GB"/>
          </w:rPr>
          <w:t>Short Set of Questions on</w:t>
        </w:r>
        <w:r w:rsidRPr="00603191">
          <w:rPr>
            <w:rStyle w:val="Hyperlink"/>
            <w:rFonts w:cstheme="minorHAnsi"/>
            <w:b/>
            <w:sz w:val="21"/>
            <w:szCs w:val="21"/>
            <w:lang w:eastAsia="en-GB"/>
          </w:rPr>
          <w:t xml:space="preserve"> </w:t>
        </w:r>
        <w:r w:rsidRPr="00603191">
          <w:rPr>
            <w:rStyle w:val="Hyperlink"/>
            <w:rFonts w:cstheme="minorHAnsi"/>
            <w:sz w:val="21"/>
            <w:szCs w:val="21"/>
            <w:lang w:eastAsia="en-GB"/>
          </w:rPr>
          <w:t>Disability</w:t>
        </w:r>
        <w:r w:rsidRPr="00603191">
          <w:rPr>
            <w:rStyle w:val="Hyperlink"/>
            <w:rFonts w:cstheme="minorHAnsi"/>
            <w:b/>
            <w:sz w:val="21"/>
            <w:szCs w:val="21"/>
            <w:lang w:eastAsia="en-GB"/>
          </w:rPr>
          <w:t xml:space="preserve"> </w:t>
        </w:r>
        <w:r w:rsidRPr="00603191">
          <w:rPr>
            <w:rStyle w:val="Hyperlink"/>
            <w:rFonts w:cstheme="minorHAnsi"/>
            <w:sz w:val="21"/>
            <w:szCs w:val="21"/>
            <w:lang w:eastAsia="en-GB"/>
          </w:rPr>
          <w:t>elaborated by the Washington Group</w:t>
        </w:r>
      </w:hyperlink>
      <w:r w:rsidRPr="00603191">
        <w:rPr>
          <w:rStyle w:val="Hyperlink"/>
          <w:rFonts w:cstheme="minorHAnsi"/>
          <w:sz w:val="21"/>
          <w:szCs w:val="21"/>
          <w:lang w:eastAsia="en-GB"/>
        </w:rPr>
        <w:t>.</w:t>
      </w:r>
      <w:r w:rsidRPr="00603191">
        <w:rPr>
          <w:rStyle w:val="FootnoteReference"/>
          <w:rFonts w:cstheme="minorHAnsi"/>
          <w:color w:val="000000" w:themeColor="text1"/>
          <w:sz w:val="21"/>
          <w:szCs w:val="21"/>
          <w:lang w:eastAsia="en-GB"/>
        </w:rPr>
        <w:footnoteReference w:id="11"/>
      </w:r>
      <w:r w:rsidRPr="00603191">
        <w:rPr>
          <w:rFonts w:cstheme="minorHAnsi"/>
          <w:color w:val="000000" w:themeColor="text1"/>
          <w:sz w:val="21"/>
          <w:szCs w:val="21"/>
          <w:lang w:eastAsia="en-GB"/>
        </w:rPr>
        <w:t xml:space="preserve"> </w:t>
      </w:r>
      <w:r w:rsidRPr="00603191">
        <w:rPr>
          <w:rFonts w:cstheme="minorHAnsi"/>
          <w:b/>
          <w:bCs/>
          <w:sz w:val="21"/>
          <w:szCs w:val="21"/>
          <w:lang w:eastAsia="en-GB"/>
        </w:rPr>
        <w:br w:type="page"/>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295812EF" w:rsidR="00EC2915" w:rsidRPr="00A96255" w:rsidRDefault="00656479" w:rsidP="00576CFA">
      <w:pPr>
        <w:pStyle w:val="MText"/>
      </w:pPr>
      <w:bookmarkStart w:id="5" w:name="_Hlk96975285"/>
      <w:bookmarkStart w:id="6" w:name="_Hlk67561127"/>
      <w:r w:rsidRPr="00656479">
        <w:t>Ratio</w:t>
      </w:r>
      <w:bookmarkEnd w:id="5"/>
      <w:bookmarkEnd w:id="6"/>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0914F64" w14:textId="760DEAF2" w:rsidR="005B5152" w:rsidRDefault="005B5152" w:rsidP="005B5152">
      <w:pPr>
        <w:pStyle w:val="MText"/>
        <w:rPr>
          <w:lang w:val="en-CA"/>
        </w:rPr>
      </w:pPr>
      <w:r w:rsidRPr="005B5152">
        <w:t>International Standard Classification of Occupations (ISCO)</w:t>
      </w:r>
      <w:r>
        <w:t xml:space="preserve"> – The indicator recommends the use of the classification to</w:t>
      </w:r>
      <w:r w:rsidRPr="005B5152">
        <w:rPr>
          <w:lang w:val="en-CA"/>
        </w:rPr>
        <w:t xml:space="preserve"> identify </w:t>
      </w:r>
      <w:r>
        <w:rPr>
          <w:lang w:val="en-CA"/>
        </w:rPr>
        <w:t xml:space="preserve">the </w:t>
      </w:r>
      <w:r w:rsidRPr="005B5152">
        <w:rPr>
          <w:lang w:val="en-CA"/>
        </w:rPr>
        <w:t xml:space="preserve">four </w:t>
      </w:r>
      <w:r>
        <w:rPr>
          <w:lang w:val="en-CA"/>
        </w:rPr>
        <w:t>requested</w:t>
      </w:r>
      <w:r w:rsidRPr="005B5152">
        <w:rPr>
          <w:lang w:val="en-CA"/>
        </w:rPr>
        <w:t xml:space="preserve"> occupational categories in the public service</w:t>
      </w:r>
      <w:r>
        <w:rPr>
          <w:lang w:val="en-CA"/>
        </w:rPr>
        <w:t xml:space="preserve">s. </w:t>
      </w:r>
    </w:p>
    <w:p w14:paraId="0EFB44C5" w14:textId="5C223A69" w:rsidR="005B5152" w:rsidRDefault="005B5152" w:rsidP="005B5152">
      <w:pPr>
        <w:pStyle w:val="MText"/>
        <w:rPr>
          <w:lang w:val="en-CA"/>
        </w:rPr>
      </w:pPr>
      <w:r w:rsidRPr="00540CE7">
        <w:rPr>
          <w:rFonts w:cstheme="minorHAnsi"/>
        </w:rPr>
        <w:t>System of National Accounts (SNA)</w:t>
      </w:r>
      <w:r>
        <w:rPr>
          <w:rFonts w:cstheme="minorHAnsi"/>
        </w:rPr>
        <w:t xml:space="preserve"> 2008 – The indicator recommends the use of the institutional sector of economy definitions to identify and collect information on the institutional units covered in the indicator.</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57F877E" w14:textId="11B1E642" w:rsidR="00830FD0" w:rsidRPr="00711230" w:rsidRDefault="00830FD0" w:rsidP="009C4551">
      <w:pPr>
        <w:jc w:val="both"/>
        <w:rPr>
          <w:rFonts w:cstheme="minorHAnsi"/>
          <w:bCs/>
          <w:iCs/>
          <w:color w:val="4A4A4A"/>
          <w:sz w:val="21"/>
          <w:szCs w:val="21"/>
        </w:rPr>
      </w:pPr>
      <w:r w:rsidRPr="00711230">
        <w:rPr>
          <w:rFonts w:cstheme="minorHAnsi"/>
          <w:bCs/>
          <w:iCs/>
          <w:color w:val="4A4A4A"/>
          <w:sz w:val="21"/>
          <w:szCs w:val="21"/>
        </w:rPr>
        <w:t xml:space="preserve">There are no existing international datasets on the public service with the </w:t>
      </w:r>
      <w:r w:rsidRPr="00711230">
        <w:rPr>
          <w:rFonts w:cstheme="minorHAnsi"/>
          <w:bCs/>
          <w:iCs/>
          <w:color w:val="4A4A4A"/>
          <w:sz w:val="21"/>
          <w:szCs w:val="21"/>
          <w:lang w:val="en-CA"/>
        </w:rPr>
        <w:t xml:space="preserve">level of disaggregation required for this indicator </w:t>
      </w:r>
      <w:proofErr w:type="gramStart"/>
      <w:r w:rsidRPr="00711230">
        <w:rPr>
          <w:rFonts w:cstheme="minorHAnsi"/>
          <w:bCs/>
          <w:iCs/>
          <w:color w:val="4A4A4A"/>
          <w:sz w:val="21"/>
          <w:szCs w:val="21"/>
          <w:lang w:val="en-CA"/>
        </w:rPr>
        <w:t>i.e.</w:t>
      </w:r>
      <w:proofErr w:type="gramEnd"/>
      <w:r w:rsidRPr="00711230">
        <w:rPr>
          <w:rFonts w:cstheme="minorHAnsi"/>
          <w:bCs/>
          <w:iCs/>
          <w:color w:val="4A4A4A"/>
          <w:sz w:val="21"/>
          <w:szCs w:val="21"/>
          <w:lang w:val="en-CA"/>
        </w:rPr>
        <w:t xml:space="preserve"> first by administrative level – national vs. sub-national, then by occupational category, and thirdly by socio-demographic characteristics. </w:t>
      </w:r>
      <w:r w:rsidRPr="00711230">
        <w:rPr>
          <w:rFonts w:cstheme="minorHAnsi"/>
          <w:bCs/>
          <w:iCs/>
          <w:color w:val="4A4A4A"/>
          <w:sz w:val="21"/>
          <w:szCs w:val="21"/>
        </w:rPr>
        <w:t>Data for this indicator must therefore be collected at the country level.</w:t>
      </w:r>
    </w:p>
    <w:p w14:paraId="187DCB09" w14:textId="77777777" w:rsidR="00830FD0" w:rsidRPr="00711230" w:rsidRDefault="00830FD0" w:rsidP="00AC04CB">
      <w:pPr>
        <w:spacing w:after="0"/>
        <w:rPr>
          <w:rFonts w:cstheme="minorHAnsi"/>
          <w:bCs/>
          <w:iCs/>
          <w:color w:val="4A4A4A"/>
          <w:sz w:val="21"/>
          <w:szCs w:val="21"/>
        </w:rPr>
      </w:pPr>
      <w:r w:rsidRPr="00711230">
        <w:rPr>
          <w:rFonts w:cstheme="minorHAnsi"/>
          <w:bCs/>
          <w:iCs/>
          <w:color w:val="4A4A4A"/>
          <w:sz w:val="21"/>
          <w:szCs w:val="21"/>
        </w:rPr>
        <w:t>The types of national data sources that provide information on the public service include:</w:t>
      </w:r>
    </w:p>
    <w:p w14:paraId="2CE2DF14" w14:textId="77777777" w:rsidR="00830FD0" w:rsidRPr="00711230" w:rsidRDefault="00830FD0" w:rsidP="00326A66">
      <w:pPr>
        <w:pStyle w:val="ListParagraph"/>
        <w:numPr>
          <w:ilvl w:val="0"/>
          <w:numId w:val="7"/>
        </w:numPr>
        <w:spacing w:after="0"/>
        <w:jc w:val="both"/>
        <w:rPr>
          <w:rFonts w:eastAsia="Times New Roman" w:cstheme="minorHAnsi"/>
          <w:bCs/>
          <w:iCs/>
          <w:color w:val="4A4A4A"/>
          <w:sz w:val="21"/>
          <w:szCs w:val="21"/>
          <w:lang w:val="en-CA"/>
        </w:rPr>
      </w:pPr>
      <w:r w:rsidRPr="00711230">
        <w:rPr>
          <w:rFonts w:ascii="Calibri" w:eastAsia="Times New Roman" w:hAnsi="Calibri" w:cstheme="minorHAnsi"/>
          <w:bCs/>
          <w:i/>
          <w:color w:val="4A4A4A"/>
          <w:sz w:val="21"/>
          <w:szCs w:val="21"/>
          <w:lang w:val="en-CA"/>
        </w:rPr>
        <w:t>Surveys:</w:t>
      </w:r>
      <w:r w:rsidRPr="00711230">
        <w:rPr>
          <w:rFonts w:ascii="Calibri" w:eastAsia="Times New Roman" w:hAnsi="Calibri" w:cstheme="minorHAnsi"/>
          <w:bCs/>
          <w:iCs/>
          <w:color w:val="4A4A4A"/>
          <w:sz w:val="21"/>
          <w:szCs w:val="21"/>
          <w:lang w:val="en-CA"/>
        </w:rPr>
        <w:t xml:space="preserve"> Very few countries</w:t>
      </w:r>
      <w:r w:rsidRPr="00711230">
        <w:rPr>
          <w:rFonts w:eastAsia="Times New Roman" w:cstheme="minorHAnsi"/>
          <w:bCs/>
          <w:iCs/>
          <w:color w:val="4A4A4A"/>
          <w:sz w:val="21"/>
          <w:szCs w:val="21"/>
          <w:lang w:val="en-CA"/>
        </w:rPr>
        <w:t xml:space="preserve"> carry out periodic employment surveys specifically focused on the public service. Generally, survey data on public service employment is a subset of more comprehensive employment datasets collected through other national surveys, such as labour force surveys, household surveys, surveys/censuses of economic establishments, etc. National population censuses are a better source in term of coverage and level of disaggregation, but they happen only every ten years. Given the level of disaggregation required for this indicator, it is unlikely that existing survey data will be sufficient to report on this indicator.</w:t>
      </w:r>
      <w:r w:rsidRPr="00711230">
        <w:rPr>
          <w:rStyle w:val="FootnoteReference"/>
          <w:rFonts w:eastAsia="Times New Roman" w:cstheme="minorHAnsi"/>
          <w:bCs/>
          <w:iCs/>
          <w:color w:val="4A4A4A"/>
          <w:sz w:val="21"/>
          <w:szCs w:val="21"/>
          <w:lang w:val="en-CA"/>
        </w:rPr>
        <w:footnoteReference w:id="12"/>
      </w:r>
      <w:r w:rsidRPr="00711230">
        <w:rPr>
          <w:rFonts w:eastAsia="Times New Roman" w:cstheme="minorHAnsi"/>
          <w:bCs/>
          <w:iCs/>
          <w:color w:val="4A4A4A"/>
          <w:sz w:val="21"/>
          <w:szCs w:val="21"/>
          <w:lang w:val="en-CA"/>
        </w:rPr>
        <w:t xml:space="preserve"> </w:t>
      </w:r>
    </w:p>
    <w:p w14:paraId="1694CEB2" w14:textId="77777777" w:rsidR="00830FD0" w:rsidRPr="00711230" w:rsidRDefault="00830FD0" w:rsidP="00326A66">
      <w:pPr>
        <w:pStyle w:val="ListParagraph"/>
        <w:numPr>
          <w:ilvl w:val="0"/>
          <w:numId w:val="7"/>
        </w:numPr>
        <w:spacing w:after="0"/>
        <w:jc w:val="both"/>
        <w:rPr>
          <w:rFonts w:eastAsia="Times New Roman" w:cstheme="minorHAnsi"/>
          <w:color w:val="4A4A4A"/>
          <w:sz w:val="21"/>
          <w:szCs w:val="21"/>
          <w:lang w:val="en-US" w:eastAsia="en-US"/>
        </w:rPr>
      </w:pPr>
      <w:r w:rsidRPr="00711230">
        <w:rPr>
          <w:rFonts w:cstheme="minorHAnsi"/>
          <w:bCs/>
          <w:i/>
          <w:color w:val="4A4A4A"/>
          <w:sz w:val="21"/>
          <w:szCs w:val="21"/>
          <w:lang w:val="en-CA"/>
        </w:rPr>
        <w:t>Administrative records:</w:t>
      </w:r>
      <w:r w:rsidRPr="00711230">
        <w:rPr>
          <w:rFonts w:eastAsia="Times New Roman" w:cstheme="minorHAnsi"/>
          <w:bCs/>
          <w:iCs/>
          <w:color w:val="4A4A4A"/>
          <w:sz w:val="21"/>
          <w:szCs w:val="21"/>
          <w:lang w:val="en-CA"/>
        </w:rPr>
        <w:t xml:space="preserve"> Centralized registries on public servants tend to be more precise (</w:t>
      </w:r>
      <w:proofErr w:type="gramStart"/>
      <w:r w:rsidRPr="00711230">
        <w:rPr>
          <w:rFonts w:eastAsia="Times New Roman" w:cstheme="minorHAnsi"/>
          <w:bCs/>
          <w:iCs/>
          <w:color w:val="4A4A4A"/>
          <w:sz w:val="21"/>
          <w:szCs w:val="21"/>
          <w:lang w:val="en-CA"/>
        </w:rPr>
        <w:t>i.e.</w:t>
      </w:r>
      <w:proofErr w:type="gramEnd"/>
      <w:r w:rsidRPr="00711230">
        <w:rPr>
          <w:rFonts w:eastAsia="Times New Roman" w:cstheme="minorHAnsi"/>
          <w:bCs/>
          <w:iCs/>
          <w:color w:val="4A4A4A"/>
          <w:sz w:val="21"/>
          <w:szCs w:val="21"/>
          <w:lang w:val="en-CA"/>
        </w:rPr>
        <w:t xml:space="preserve"> no sampling error), more up-to-date and more amenable to disaggregation than public service employment statistics derived from surveys. </w:t>
      </w:r>
      <w:r w:rsidRPr="00711230">
        <w:rPr>
          <w:rFonts w:eastAsia="Times New Roman" w:cstheme="minorHAnsi"/>
          <w:color w:val="4A4A4A"/>
          <w:sz w:val="21"/>
          <w:szCs w:val="21"/>
          <w:lang w:val="en-US" w:eastAsia="en-US"/>
        </w:rPr>
        <w:t xml:space="preserve">In most countries, several national institutions produce administrative records on public service employment. These typically include: </w:t>
      </w:r>
    </w:p>
    <w:p w14:paraId="65CA40A1" w14:textId="77777777" w:rsidR="00830FD0" w:rsidRPr="00711230" w:rsidRDefault="00830FD0" w:rsidP="00326A66">
      <w:pPr>
        <w:pStyle w:val="ListParagraph"/>
        <w:numPr>
          <w:ilvl w:val="0"/>
          <w:numId w:val="11"/>
        </w:numPr>
        <w:jc w:val="both"/>
        <w:rPr>
          <w:rFonts w:cstheme="minorHAnsi"/>
          <w:color w:val="4A4A4A"/>
          <w:sz w:val="21"/>
          <w:szCs w:val="21"/>
        </w:rPr>
      </w:pPr>
      <w:r w:rsidRPr="00711230">
        <w:rPr>
          <w:rFonts w:cstheme="minorHAnsi"/>
          <w:color w:val="4A4A4A"/>
          <w:sz w:val="21"/>
          <w:szCs w:val="21"/>
        </w:rPr>
        <w:t xml:space="preserve">A Public Service Commission (or related institution such as a Ministry of Public Administration or a Ministry of Finance) maintaining a centralized registry on the public service workforce </w:t>
      </w:r>
      <w:r w:rsidRPr="00711230">
        <w:rPr>
          <w:rFonts w:cstheme="minorHAnsi"/>
          <w:i/>
          <w:color w:val="4A4A4A"/>
          <w:sz w:val="21"/>
          <w:szCs w:val="21"/>
        </w:rPr>
        <w:t xml:space="preserve">at the national/central </w:t>
      </w:r>
      <w:proofErr w:type="gramStart"/>
      <w:r w:rsidRPr="00711230">
        <w:rPr>
          <w:rFonts w:cstheme="minorHAnsi"/>
          <w:i/>
          <w:color w:val="4A4A4A"/>
          <w:sz w:val="21"/>
          <w:szCs w:val="21"/>
        </w:rPr>
        <w:t>level</w:t>
      </w:r>
      <w:r w:rsidRPr="00711230">
        <w:rPr>
          <w:rFonts w:cstheme="minorHAnsi"/>
          <w:color w:val="4A4A4A"/>
          <w:sz w:val="21"/>
          <w:szCs w:val="21"/>
        </w:rPr>
        <w:t>;</w:t>
      </w:r>
      <w:proofErr w:type="gramEnd"/>
      <w:r w:rsidRPr="00711230">
        <w:rPr>
          <w:rFonts w:cstheme="minorHAnsi"/>
          <w:color w:val="4A4A4A"/>
          <w:sz w:val="21"/>
          <w:szCs w:val="21"/>
        </w:rPr>
        <w:t xml:space="preserve"> </w:t>
      </w:r>
    </w:p>
    <w:p w14:paraId="1B1E42A6" w14:textId="77777777" w:rsidR="00830FD0" w:rsidRPr="00711230" w:rsidRDefault="00830FD0" w:rsidP="00326A66">
      <w:pPr>
        <w:pStyle w:val="ListParagraph"/>
        <w:numPr>
          <w:ilvl w:val="0"/>
          <w:numId w:val="11"/>
        </w:numPr>
        <w:jc w:val="both"/>
        <w:rPr>
          <w:rFonts w:cstheme="minorHAnsi"/>
          <w:color w:val="4A4A4A"/>
          <w:sz w:val="21"/>
          <w:szCs w:val="21"/>
        </w:rPr>
      </w:pPr>
      <w:r w:rsidRPr="00711230">
        <w:rPr>
          <w:rFonts w:cstheme="minorHAnsi"/>
          <w:color w:val="4A4A4A"/>
          <w:sz w:val="21"/>
          <w:szCs w:val="21"/>
        </w:rPr>
        <w:t xml:space="preserve">Another institution maintaining a similar registry on the public service workforce </w:t>
      </w:r>
      <w:r w:rsidRPr="00711230">
        <w:rPr>
          <w:rFonts w:cstheme="minorHAnsi"/>
          <w:i/>
          <w:color w:val="4A4A4A"/>
          <w:sz w:val="21"/>
          <w:szCs w:val="21"/>
        </w:rPr>
        <w:t>at the sub-national level</w:t>
      </w:r>
      <w:r w:rsidRPr="00711230">
        <w:rPr>
          <w:rFonts w:cstheme="minorHAnsi"/>
          <w:color w:val="4A4A4A"/>
          <w:sz w:val="21"/>
          <w:szCs w:val="21"/>
        </w:rPr>
        <w:t xml:space="preserve"> (such as a Ministry of Local Government or of Municipal Affairs</w:t>
      </w:r>
      <w:proofErr w:type="gramStart"/>
      <w:r w:rsidRPr="00711230">
        <w:rPr>
          <w:rFonts w:cstheme="minorHAnsi"/>
          <w:color w:val="4A4A4A"/>
          <w:sz w:val="21"/>
          <w:szCs w:val="21"/>
        </w:rPr>
        <w:t>);</w:t>
      </w:r>
      <w:proofErr w:type="gramEnd"/>
      <w:r w:rsidRPr="00711230">
        <w:rPr>
          <w:rFonts w:cstheme="minorHAnsi"/>
          <w:color w:val="4A4A4A"/>
          <w:sz w:val="21"/>
          <w:szCs w:val="21"/>
        </w:rPr>
        <w:t xml:space="preserve"> </w:t>
      </w:r>
    </w:p>
    <w:p w14:paraId="72EF8BD4" w14:textId="77777777" w:rsidR="00830FD0" w:rsidRPr="00711230" w:rsidRDefault="00830FD0" w:rsidP="00326A66">
      <w:pPr>
        <w:pStyle w:val="ListParagraph"/>
        <w:numPr>
          <w:ilvl w:val="0"/>
          <w:numId w:val="11"/>
        </w:numPr>
        <w:jc w:val="both"/>
        <w:rPr>
          <w:rFonts w:cstheme="minorHAnsi"/>
          <w:color w:val="4A4A4A"/>
          <w:sz w:val="21"/>
          <w:szCs w:val="21"/>
        </w:rPr>
      </w:pPr>
      <w:r w:rsidRPr="00711230">
        <w:rPr>
          <w:rFonts w:cstheme="minorHAnsi"/>
          <w:color w:val="4A4A4A"/>
          <w:sz w:val="21"/>
          <w:szCs w:val="21"/>
        </w:rPr>
        <w:t>A Police Services Commission or the like maintaining a centralized registry on police personnel; and</w:t>
      </w:r>
    </w:p>
    <w:p w14:paraId="6CA8C5BF" w14:textId="606D9D5B" w:rsidR="00830FD0" w:rsidRPr="00711230" w:rsidRDefault="00830FD0" w:rsidP="00830FD0">
      <w:pPr>
        <w:pStyle w:val="ListParagraph"/>
        <w:numPr>
          <w:ilvl w:val="0"/>
          <w:numId w:val="11"/>
        </w:numPr>
        <w:jc w:val="both"/>
        <w:rPr>
          <w:rFonts w:cstheme="minorHAnsi"/>
          <w:color w:val="4A4A4A"/>
          <w:sz w:val="21"/>
          <w:szCs w:val="21"/>
        </w:rPr>
      </w:pPr>
      <w:r w:rsidRPr="00711230">
        <w:rPr>
          <w:rFonts w:cstheme="minorHAnsi"/>
          <w:color w:val="4A4A4A"/>
          <w:sz w:val="21"/>
          <w:szCs w:val="21"/>
        </w:rPr>
        <w:lastRenderedPageBreak/>
        <w:t>A National Statistical Office (NSO) producing general government employment statistics from labour force survey data, or from administrative data submitted by the above-mentioned national institutions maintaining public service registers.</w:t>
      </w:r>
    </w:p>
    <w:p w14:paraId="3018A8D8" w14:textId="67716DA7" w:rsidR="00EC2915" w:rsidRPr="00711230" w:rsidRDefault="00830FD0" w:rsidP="00B237F5">
      <w:pPr>
        <w:jc w:val="both"/>
        <w:rPr>
          <w:rFonts w:ascii="Calibri" w:hAnsi="Calibri" w:cstheme="minorHAnsi"/>
          <w:bCs/>
          <w:iCs/>
          <w:color w:val="4A4A4A"/>
          <w:sz w:val="21"/>
          <w:szCs w:val="21"/>
          <w:lang w:val="en-CA"/>
        </w:rPr>
      </w:pPr>
      <w:r w:rsidRPr="00711230">
        <w:rPr>
          <w:rFonts w:ascii="Calibri" w:hAnsi="Calibri" w:cstheme="minorHAnsi"/>
          <w:bCs/>
          <w:iCs/>
          <w:color w:val="4A4A4A"/>
          <w:sz w:val="21"/>
          <w:szCs w:val="21"/>
          <w:lang w:val="en-CA"/>
        </w:rPr>
        <w:t xml:space="preserve">The most common and most comprehensive method for collecting public servant data is a Human Resource Management Information System (HRMIS), which is typically maintained by a Public Service Commission (or related institution such as a Ministry of Public Administration or a Ministry of Finance). Such systems have been found to produce the most robust data and to have the greatest potential for expansion on various dimensions of disaggregation. Since administrative data produced by a HRMIS is not considered “official” data in its raw form, it is recommended that the national institution maintaining a HRMIS collaborate with the NSO for the latter to provide the necessary quality assurance over the data produced by the public service body.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69CC9C7" w14:textId="77777777" w:rsidR="00881470" w:rsidRPr="00711230" w:rsidRDefault="00881470" w:rsidP="00881470">
      <w:pPr>
        <w:rPr>
          <w:rFonts w:ascii="Calibri" w:hAnsi="Calibri" w:cs="Calibri"/>
          <w:color w:val="4A4A4A"/>
          <w:sz w:val="21"/>
          <w:szCs w:val="21"/>
        </w:rPr>
      </w:pPr>
      <w:r w:rsidRPr="00711230">
        <w:rPr>
          <w:rFonts w:ascii="Calibri" w:hAnsi="Calibri" w:cs="Calibri"/>
          <w:color w:val="4A4A4A"/>
          <w:sz w:val="21"/>
          <w:szCs w:val="21"/>
        </w:rPr>
        <w:t>NSOs should coordinate with primary data-producing entities at national and sub-national levels:</w:t>
      </w:r>
    </w:p>
    <w:p w14:paraId="37F5B21B" w14:textId="77777777" w:rsidR="00881470" w:rsidRPr="00711230" w:rsidRDefault="00881470" w:rsidP="00326A66">
      <w:pPr>
        <w:pStyle w:val="ListParagraph"/>
        <w:numPr>
          <w:ilvl w:val="0"/>
          <w:numId w:val="12"/>
        </w:numPr>
        <w:spacing w:after="0"/>
        <w:jc w:val="both"/>
        <w:rPr>
          <w:rFonts w:ascii="Calibri" w:hAnsi="Calibri" w:cs="Calibri"/>
          <w:color w:val="4A4A4A"/>
          <w:sz w:val="21"/>
          <w:szCs w:val="21"/>
        </w:rPr>
      </w:pPr>
      <w:r w:rsidRPr="00711230">
        <w:rPr>
          <w:rFonts w:ascii="Calibri" w:hAnsi="Calibri" w:cs="Calibri"/>
          <w:color w:val="4A4A4A"/>
          <w:sz w:val="21"/>
          <w:szCs w:val="21"/>
        </w:rPr>
        <w:t xml:space="preserve">Public Service Commissions (or responsible bodies producing public servant data) should submit all relevant data to the NSO. If a different institution produces public service data at sub-national level (such as a </w:t>
      </w:r>
      <w:r w:rsidRPr="00711230">
        <w:rPr>
          <w:rFonts w:ascii="Calibri" w:eastAsia="Times New Roman" w:hAnsi="Calibri" w:cs="Calibri"/>
          <w:color w:val="4A4A4A"/>
          <w:sz w:val="21"/>
          <w:szCs w:val="21"/>
          <w:lang w:val="en-US" w:eastAsia="en-US"/>
        </w:rPr>
        <w:t xml:space="preserve">Ministry of Local Government or </w:t>
      </w:r>
      <w:r w:rsidRPr="00711230">
        <w:rPr>
          <w:rFonts w:ascii="Calibri" w:hAnsi="Calibri" w:cs="Calibri"/>
          <w:color w:val="4A4A4A"/>
          <w:sz w:val="21"/>
          <w:szCs w:val="21"/>
        </w:rPr>
        <w:t xml:space="preserve">a Ministry </w:t>
      </w:r>
      <w:r w:rsidRPr="00711230">
        <w:rPr>
          <w:rFonts w:ascii="Calibri" w:eastAsia="Times New Roman" w:hAnsi="Calibri" w:cs="Calibri"/>
          <w:color w:val="4A4A4A"/>
          <w:sz w:val="21"/>
          <w:szCs w:val="21"/>
          <w:lang w:val="en-US" w:eastAsia="en-US"/>
        </w:rPr>
        <w:t>of Municipal Affairs</w:t>
      </w:r>
      <w:r w:rsidRPr="00711230">
        <w:rPr>
          <w:rFonts w:ascii="Calibri" w:hAnsi="Calibri" w:cs="Calibri"/>
          <w:color w:val="4A4A4A"/>
          <w:sz w:val="21"/>
          <w:szCs w:val="21"/>
        </w:rPr>
        <w:t>), this institution should submit all relevant data to the NSO.</w:t>
      </w:r>
    </w:p>
    <w:p w14:paraId="67BE9557" w14:textId="77777777" w:rsidR="00881470" w:rsidRPr="00711230" w:rsidRDefault="00881470" w:rsidP="00326A66">
      <w:pPr>
        <w:pStyle w:val="ListParagraph"/>
        <w:numPr>
          <w:ilvl w:val="0"/>
          <w:numId w:val="12"/>
        </w:numPr>
        <w:spacing w:after="0"/>
        <w:jc w:val="both"/>
        <w:rPr>
          <w:rFonts w:ascii="Calibri" w:hAnsi="Calibri" w:cs="Calibri"/>
          <w:color w:val="4A4A4A"/>
          <w:sz w:val="21"/>
          <w:szCs w:val="21"/>
        </w:rPr>
      </w:pPr>
      <w:r w:rsidRPr="00711230">
        <w:rPr>
          <w:rFonts w:ascii="Calibri" w:hAnsi="Calibri" w:cs="Calibri"/>
          <w:color w:val="4A4A4A"/>
          <w:sz w:val="21"/>
          <w:szCs w:val="21"/>
        </w:rPr>
        <w:t>Similarly, if a different institution produces data on police personnel (such as a Police Services Commission or the like), this institution should also submit all relevant data to the NSO.</w:t>
      </w:r>
    </w:p>
    <w:p w14:paraId="15741B27" w14:textId="77777777" w:rsidR="00881470" w:rsidRPr="00711230" w:rsidRDefault="00881470" w:rsidP="00326A66">
      <w:pPr>
        <w:pStyle w:val="ListParagraph"/>
        <w:numPr>
          <w:ilvl w:val="0"/>
          <w:numId w:val="12"/>
        </w:numPr>
        <w:shd w:val="clear" w:color="auto" w:fill="FFFFFF"/>
        <w:spacing w:after="0"/>
        <w:jc w:val="both"/>
        <w:rPr>
          <w:rFonts w:ascii="Calibri" w:hAnsi="Calibri" w:cs="Calibri"/>
          <w:color w:val="4A4A4A"/>
          <w:sz w:val="21"/>
          <w:szCs w:val="21"/>
        </w:rPr>
      </w:pPr>
      <w:r w:rsidRPr="00711230">
        <w:rPr>
          <w:rFonts w:ascii="Calibri" w:hAnsi="Calibri" w:cs="Calibri"/>
          <w:color w:val="4A4A4A"/>
          <w:sz w:val="21"/>
          <w:szCs w:val="21"/>
        </w:rPr>
        <w:t xml:space="preserve">NSOs, as the main coordinator of the national statistical system, should quality assure the content of the Data Reporting Form before submitting it for SDG reporting at the international level. </w:t>
      </w:r>
    </w:p>
    <w:p w14:paraId="7D9F065F" w14:textId="72133F54" w:rsidR="00EC2915" w:rsidRPr="00711230" w:rsidRDefault="00576CFA" w:rsidP="00576CFA">
      <w:pPr>
        <w:pStyle w:val="MText"/>
        <w:rPr>
          <w:rFonts w:cstheme="minorHAnsi"/>
        </w:rPr>
      </w:pPr>
      <w:r w:rsidRPr="00711230">
        <w:rPr>
          <w:rFonts w:cstheme="minorHAnsi"/>
        </w:rPr>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E41D228" w14:textId="77777777" w:rsidR="00881470" w:rsidRPr="00EE6549" w:rsidRDefault="00881470" w:rsidP="00881470">
      <w:pPr>
        <w:pStyle w:val="MText"/>
        <w:rPr>
          <w:rFonts w:ascii="Calibri" w:hAnsi="Calibri" w:cs="Calibri"/>
        </w:rPr>
      </w:pPr>
      <w:r w:rsidRPr="00EE6549">
        <w:rPr>
          <w:rFonts w:ascii="Calibri" w:hAnsi="Calibri" w:cs="Calibri"/>
        </w:rPr>
        <w:t xml:space="preserve">Data should be reported to the custodian agency (UNDP) at least once every two years, and annually if possible. This will ensure timely capturing of changes in the composition of the public service. </w:t>
      </w:r>
    </w:p>
    <w:p w14:paraId="0E280201" w14:textId="77777777" w:rsidR="00881470" w:rsidRPr="00EE6549" w:rsidRDefault="00881470" w:rsidP="00881470">
      <w:pPr>
        <w:pStyle w:val="MText"/>
        <w:rPr>
          <w:rFonts w:ascii="Calibri" w:hAnsi="Calibri" w:cs="Calibri"/>
        </w:rPr>
      </w:pPr>
    </w:p>
    <w:p w14:paraId="01BA862E" w14:textId="7DC5FBB2" w:rsidR="00EC2915" w:rsidRPr="00EE6549" w:rsidRDefault="00881470" w:rsidP="00881470">
      <w:pPr>
        <w:pStyle w:val="MText"/>
        <w:rPr>
          <w:rFonts w:ascii="Calibri" w:hAnsi="Calibri" w:cs="Calibri"/>
        </w:rPr>
      </w:pPr>
      <w:r w:rsidRPr="00EE6549">
        <w:rPr>
          <w:rFonts w:ascii="Calibri" w:hAnsi="Calibri" w:cs="Calibri"/>
        </w:rPr>
        <w:t>UNDP will send a data submission request to NSOs in January of every year, requesting data that provides a snapshot of the situation as of 31 December of the preceding year.</w:t>
      </w:r>
    </w:p>
    <w:p w14:paraId="2F55C7DD" w14:textId="77777777" w:rsidR="00881470" w:rsidRPr="00A96255" w:rsidRDefault="00881470" w:rsidP="00881470">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91C2BF4" w14:textId="77777777" w:rsidR="00881470" w:rsidRPr="00EE6549" w:rsidRDefault="00881470" w:rsidP="00881470">
      <w:pPr>
        <w:pStyle w:val="MText"/>
        <w:rPr>
          <w:rFonts w:ascii="Calibri" w:hAnsi="Calibri" w:cs="Calibri"/>
        </w:rPr>
      </w:pPr>
      <w:r w:rsidRPr="00EE6549">
        <w:rPr>
          <w:rFonts w:ascii="Calibri" w:hAnsi="Calibri" w:cs="Calibri"/>
        </w:rPr>
        <w:t xml:space="preserve">Data will be reported by UNDP to the international level in April each year, and will provide a snapshot of the situation as </w:t>
      </w:r>
      <w:proofErr w:type="gramStart"/>
      <w:r w:rsidRPr="00EE6549">
        <w:rPr>
          <w:rFonts w:ascii="Calibri" w:hAnsi="Calibri" w:cs="Calibri"/>
        </w:rPr>
        <w:t>at</w:t>
      </w:r>
      <w:proofErr w:type="gramEnd"/>
      <w:r w:rsidRPr="00EE6549">
        <w:rPr>
          <w:rFonts w:ascii="Calibri" w:hAnsi="Calibri" w:cs="Calibri"/>
        </w:rPr>
        <w:t xml:space="preserve"> 31 December of the preceding year.</w:t>
      </w:r>
    </w:p>
    <w:p w14:paraId="08CF06A3" w14:textId="77777777" w:rsidR="00881470" w:rsidRPr="00EE6549" w:rsidRDefault="00881470" w:rsidP="00881470">
      <w:pPr>
        <w:pStyle w:val="MText"/>
        <w:rPr>
          <w:rFonts w:ascii="Calibri" w:hAnsi="Calibri" w:cs="Calibri"/>
        </w:rPr>
      </w:pPr>
    </w:p>
    <w:p w14:paraId="64C749BD" w14:textId="35B4159B" w:rsidR="00EC2915" w:rsidRPr="00EE6549" w:rsidRDefault="00881470" w:rsidP="00881470">
      <w:pPr>
        <w:pStyle w:val="MText"/>
        <w:rPr>
          <w:rFonts w:ascii="Calibri" w:hAnsi="Calibri" w:cs="Calibri"/>
        </w:rPr>
      </w:pPr>
      <w:r w:rsidRPr="00EE6549">
        <w:rPr>
          <w:rFonts w:ascii="Calibri" w:hAnsi="Calibri" w:cs="Calibri"/>
        </w:rPr>
        <w:t xml:space="preserve">The first full release of data for the indicator will take place in April 2020, on the basis of data as </w:t>
      </w:r>
      <w:proofErr w:type="gramStart"/>
      <w:r w:rsidRPr="00EE6549">
        <w:rPr>
          <w:rFonts w:ascii="Calibri" w:hAnsi="Calibri" w:cs="Calibri"/>
        </w:rPr>
        <w:t>at</w:t>
      </w:r>
      <w:proofErr w:type="gramEnd"/>
      <w:r w:rsidRPr="00EE6549">
        <w:rPr>
          <w:rFonts w:ascii="Calibri" w:hAnsi="Calibri" w:cs="Calibri"/>
        </w:rPr>
        <w:t xml:space="preserve"> 31 December 2019.</w:t>
      </w:r>
    </w:p>
    <w:p w14:paraId="58AD9B4C" w14:textId="77777777" w:rsidR="00881470" w:rsidRPr="00A96255" w:rsidRDefault="00881470" w:rsidP="00881470">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729F7D1" w:rsidR="00EC2915" w:rsidRDefault="00881470" w:rsidP="00576CFA">
      <w:pPr>
        <w:pStyle w:val="MText"/>
      </w:pPr>
      <w:r w:rsidRPr="00881470">
        <w:t>National Statistical Offices with relevant primary data-producing entities at national and sub-national levels.</w:t>
      </w:r>
    </w:p>
    <w:p w14:paraId="14F95AAB" w14:textId="77777777" w:rsidR="00881470" w:rsidRPr="00A96255" w:rsidRDefault="00881470" w:rsidP="00576CFA">
      <w:pPr>
        <w:pStyle w:val="MText"/>
      </w:pPr>
    </w:p>
    <w:p w14:paraId="741564CF" w14:textId="77777777" w:rsidR="00137D12" w:rsidRDefault="00137D12" w:rsidP="00F719A8">
      <w:pPr>
        <w:pStyle w:val="MHeader2"/>
      </w:pPr>
    </w:p>
    <w:p w14:paraId="30DC8E05" w14:textId="71055186" w:rsidR="00E46D96" w:rsidRPr="00A96255" w:rsidRDefault="00E46D96" w:rsidP="00F719A8">
      <w:pPr>
        <w:pStyle w:val="MHeader2"/>
      </w:pPr>
      <w:r w:rsidRPr="00A96255">
        <w:t xml:space="preserve">3.f. Data compilers </w:t>
      </w:r>
      <w:r>
        <w:rPr>
          <w:color w:val="B4B4B4"/>
          <w:sz w:val="20"/>
        </w:rPr>
        <w:t>(COMPILING_ORG)</w:t>
      </w:r>
    </w:p>
    <w:p w14:paraId="5C43435B" w14:textId="18B3B355" w:rsidR="00EC2915" w:rsidRDefault="00FE47C8" w:rsidP="00576CFA">
      <w:pPr>
        <w:pStyle w:val="MText"/>
      </w:pPr>
      <w:r>
        <w:t>United Nations Development Programme (</w:t>
      </w:r>
      <w:r w:rsidR="00881470" w:rsidRPr="00881470">
        <w:t>UNDP</w:t>
      </w:r>
      <w:r>
        <w:t>)</w:t>
      </w:r>
    </w:p>
    <w:p w14:paraId="592A0CD4" w14:textId="77777777" w:rsidR="00881470" w:rsidRPr="00A96255" w:rsidRDefault="00881470"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4018AB2" w14:textId="527350C2" w:rsidR="009C5DA4" w:rsidRPr="00A96255" w:rsidRDefault="005B5152" w:rsidP="00576CFA">
      <w:pPr>
        <w:pStyle w:val="MText"/>
      </w:pPr>
      <w:r w:rsidRPr="005B5152">
        <w:t xml:space="preserve">UNDP supports public service reforms to </w:t>
      </w:r>
      <w:r w:rsidR="004D2321">
        <w:t xml:space="preserve">promote for inclusive and responsive governance, </w:t>
      </w:r>
      <w:r w:rsidRPr="005B5152">
        <w:t>and</w:t>
      </w:r>
      <w:r w:rsidR="004D2321">
        <w:t xml:space="preserve"> particularly</w:t>
      </w:r>
      <w:r w:rsidRPr="005B5152">
        <w:t xml:space="preserve"> leads </w:t>
      </w:r>
      <w:r w:rsidRPr="00200CA7">
        <w:t xml:space="preserve">initiatives to support public </w:t>
      </w:r>
      <w:r w:rsidRPr="001445A8">
        <w:rPr>
          <w:color w:val="auto"/>
        </w:rPr>
        <w:t>service reform in transitions, promoting new and more inclusive social contracts.</w:t>
      </w:r>
      <w:r w:rsidR="004D2321" w:rsidRPr="001445A8">
        <w:rPr>
          <w:color w:val="auto"/>
        </w:rPr>
        <w:t xml:space="preserve"> </w:t>
      </w:r>
      <w:r w:rsidR="004D2321" w:rsidRPr="001445A8">
        <w:rPr>
          <w:color w:val="auto"/>
          <w:lang w:val="en-US"/>
        </w:rPr>
        <w:t>UNDP engagement also includes supporting the advancement of women’s equal participation and decision-making in political processes and institutions, promoting youth-focused and youth-led development, advance the rights of persons with disabilities, reduction of inequalities and exclusion of indigenous peoples</w:t>
      </w:r>
      <w:r w:rsidRPr="001445A8">
        <w:rPr>
          <w:color w:val="auto"/>
        </w:rPr>
        <w:t>.</w:t>
      </w:r>
      <w:r w:rsidR="00CF6270" w:rsidRPr="001445A8">
        <w:rPr>
          <w:color w:val="auto"/>
        </w:rPr>
        <w:t xml:space="preserve"> </w:t>
      </w:r>
      <w:bookmarkStart w:id="7" w:name="_Hlk68175848"/>
      <w:r w:rsidR="00C4679C" w:rsidRPr="001445A8">
        <w:rPr>
          <w:color w:val="auto"/>
        </w:rPr>
        <w:t xml:space="preserve">UNDP Oslo Governance Centre was mandated to support countries </w:t>
      </w:r>
      <w:r w:rsidR="00C4679C" w:rsidRPr="00200CA7">
        <w:t>to monitor progress on SDG16 and to</w:t>
      </w:r>
      <w:r w:rsidR="00C4679C">
        <w:t xml:space="preserve"> produce governance statistics which includes the representation and participation in public service. </w:t>
      </w:r>
      <w:bookmarkEnd w:id="7"/>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F80C825" w14:textId="6EB61273" w:rsidR="009357ED" w:rsidRDefault="009357ED">
      <w:pPr>
        <w:shd w:val="clear" w:color="auto" w:fill="FFFFFF" w:themeFill="background1"/>
        <w:spacing w:after="0" w:line="240" w:lineRule="auto"/>
        <w:jc w:val="both"/>
        <w:rPr>
          <w:rFonts w:eastAsiaTheme="minorHAnsi" w:cstheme="minorHAnsi"/>
          <w:color w:val="4A4A4A"/>
          <w:sz w:val="21"/>
          <w:szCs w:val="21"/>
          <w:lang w:eastAsia="en-GB"/>
        </w:rPr>
      </w:pPr>
      <w:r w:rsidRPr="00711230">
        <w:rPr>
          <w:rFonts w:eastAsiaTheme="minorHAnsi" w:cstheme="minorHAnsi"/>
          <w:color w:val="4A4A4A"/>
          <w:sz w:val="21"/>
          <w:szCs w:val="21"/>
          <w:lang w:eastAsia="en-GB"/>
        </w:rPr>
        <w:t>The public service is the bedrock of government – where the development and implementation of public policies and programmes takes place and where society interacts with the government. In most countries, the public service is also the single largest employer. It is in this context that SDG 16, under its target 16.7, encourages countries to ensure that the public service is representative of the people it serves “at all levels”.</w:t>
      </w:r>
    </w:p>
    <w:p w14:paraId="59EEA888" w14:textId="77777777" w:rsidR="000C4D47" w:rsidRPr="00711230" w:rsidRDefault="000C4D47" w:rsidP="00013637">
      <w:pPr>
        <w:shd w:val="clear" w:color="auto" w:fill="FFFFFF" w:themeFill="background1"/>
        <w:spacing w:after="0" w:line="240" w:lineRule="auto"/>
        <w:jc w:val="both"/>
        <w:rPr>
          <w:rFonts w:eastAsiaTheme="minorHAnsi" w:cstheme="minorHAnsi"/>
          <w:color w:val="4A4A4A"/>
          <w:sz w:val="21"/>
          <w:szCs w:val="21"/>
          <w:lang w:eastAsia="en-GB"/>
        </w:rPr>
      </w:pPr>
    </w:p>
    <w:p w14:paraId="3A8B2EB3" w14:textId="77777777" w:rsidR="009357ED" w:rsidRPr="00711230" w:rsidRDefault="009357ED" w:rsidP="00AC04CB">
      <w:pPr>
        <w:shd w:val="clear" w:color="auto" w:fill="FFFFFF"/>
        <w:spacing w:after="0" w:line="240" w:lineRule="auto"/>
        <w:jc w:val="both"/>
        <w:rPr>
          <w:rFonts w:cstheme="minorHAnsi"/>
          <w:b/>
          <w:bCs/>
          <w:color w:val="4A4A4A"/>
          <w:sz w:val="21"/>
          <w:szCs w:val="21"/>
          <w:lang w:eastAsia="en-GB"/>
        </w:rPr>
      </w:pPr>
      <w:r w:rsidRPr="00711230">
        <w:rPr>
          <w:rFonts w:cstheme="minorHAnsi"/>
          <w:color w:val="4A4A4A"/>
          <w:sz w:val="21"/>
          <w:szCs w:val="21"/>
          <w:lang w:eastAsia="en-GB"/>
        </w:rPr>
        <w:t xml:space="preserve">Indicator 16.7.1 focuses on proportional representation in public institutions; it measures the extent to which a country’s public institutions are representative of the general population. Proportional representation (also known as ‘descriptive representation’) in the public service is concerned with the extent to which the composition of the public service mirrors the various socio-demographic groups in the national population. The underlying assumption is that when the public service reflects the social diversity of a nation, this may lead to greater legitimacy of the public service in the eyes of citizens, as public servants resemble the </w:t>
      </w:r>
      <w:proofErr w:type="gramStart"/>
      <w:r w:rsidRPr="00711230">
        <w:rPr>
          <w:rFonts w:cstheme="minorHAnsi"/>
          <w:color w:val="4A4A4A"/>
          <w:sz w:val="21"/>
          <w:szCs w:val="21"/>
          <w:lang w:eastAsia="en-GB"/>
        </w:rPr>
        <w:t>people</w:t>
      </w:r>
      <w:proofErr w:type="gramEnd"/>
      <w:r w:rsidRPr="00711230">
        <w:rPr>
          <w:rFonts w:cstheme="minorHAnsi"/>
          <w:color w:val="4A4A4A"/>
          <w:sz w:val="21"/>
          <w:szCs w:val="21"/>
          <w:lang w:eastAsia="en-GB"/>
        </w:rPr>
        <w:t xml:space="preserve"> they provide services to. Proportional representation has been found to be associated with higher levels of trust in public institutions, as people perceive more inclusive policymaking processes to improve the quality and fairness of policy decisions, and to help curb the undue influence of vested interests over decision-making.</w:t>
      </w:r>
      <w:r w:rsidRPr="00711230">
        <w:rPr>
          <w:rStyle w:val="FootnoteReference"/>
          <w:rFonts w:cstheme="minorHAnsi"/>
          <w:color w:val="4A4A4A"/>
          <w:sz w:val="21"/>
          <w:szCs w:val="21"/>
          <w:lang w:eastAsia="en-GB"/>
        </w:rPr>
        <w:footnoteReference w:id="13"/>
      </w:r>
      <w:r w:rsidRPr="00711230">
        <w:rPr>
          <w:rFonts w:cstheme="minorHAnsi"/>
          <w:color w:val="4A4A4A"/>
          <w:sz w:val="21"/>
          <w:szCs w:val="21"/>
          <w:lang w:eastAsia="en-GB"/>
        </w:rPr>
        <w:t xml:space="preserve"> </w:t>
      </w:r>
    </w:p>
    <w:p w14:paraId="18EA7892" w14:textId="77777777" w:rsidR="00576CFA" w:rsidRPr="00711230" w:rsidRDefault="00576CFA" w:rsidP="00576CFA">
      <w:pPr>
        <w:pStyle w:val="MText"/>
      </w:pPr>
    </w:p>
    <w:p w14:paraId="5BD6C140" w14:textId="42EC3844" w:rsidR="00830FD0" w:rsidRPr="005C79DA" w:rsidRDefault="00E1050F" w:rsidP="005C79DA">
      <w:pPr>
        <w:pStyle w:val="MHeader2"/>
      </w:pPr>
      <w:r w:rsidRPr="00A96255">
        <w:t xml:space="preserve">4.b. Comment and limitations </w:t>
      </w:r>
      <w:r>
        <w:rPr>
          <w:color w:val="B4B4B4"/>
          <w:sz w:val="20"/>
        </w:rPr>
        <w:t>(REC_USE_LIM)</w:t>
      </w:r>
    </w:p>
    <w:p w14:paraId="58C0AA7C" w14:textId="77777777" w:rsidR="00830FD0" w:rsidRPr="00711230" w:rsidRDefault="00830FD0" w:rsidP="00326A66">
      <w:pPr>
        <w:numPr>
          <w:ilvl w:val="0"/>
          <w:numId w:val="3"/>
        </w:numPr>
        <w:shd w:val="clear" w:color="auto" w:fill="FFFFFF"/>
        <w:spacing w:after="0"/>
        <w:rPr>
          <w:rFonts w:ascii="Calibri" w:hAnsi="Calibri" w:cs="Calibri"/>
          <w:color w:val="4A4A4A"/>
          <w:sz w:val="21"/>
          <w:szCs w:val="21"/>
          <w:lang w:eastAsia="en-GB"/>
        </w:rPr>
      </w:pPr>
      <w:r w:rsidRPr="00711230">
        <w:rPr>
          <w:rFonts w:ascii="Calibri" w:hAnsi="Calibri" w:cs="Calibri"/>
          <w:b/>
          <w:bCs/>
          <w:i/>
          <w:iCs/>
          <w:color w:val="4A4A4A"/>
          <w:sz w:val="21"/>
          <w:szCs w:val="21"/>
          <w:lang w:eastAsia="en-GB"/>
        </w:rPr>
        <w:t xml:space="preserve">Measuring representation: </w:t>
      </w:r>
      <w:r w:rsidRPr="00711230">
        <w:rPr>
          <w:rFonts w:ascii="Calibri" w:hAnsi="Calibri" w:cs="Calibri"/>
          <w:color w:val="4A4A4A"/>
          <w:sz w:val="21"/>
          <w:szCs w:val="21"/>
          <w:lang w:eastAsia="en-GB"/>
        </w:rPr>
        <w:t>The significance of ‘descriptive’ or ‘proportional’ representation has been challenged in different ways:</w:t>
      </w:r>
    </w:p>
    <w:p w14:paraId="72594903" w14:textId="77777777" w:rsidR="00830FD0" w:rsidRPr="00711230" w:rsidRDefault="00830FD0" w:rsidP="00326A66">
      <w:pPr>
        <w:numPr>
          <w:ilvl w:val="1"/>
          <w:numId w:val="3"/>
        </w:numPr>
        <w:shd w:val="clear" w:color="auto" w:fill="FFFFFF"/>
        <w:spacing w:after="0"/>
        <w:jc w:val="both"/>
        <w:rPr>
          <w:rFonts w:ascii="Calibri" w:hAnsi="Calibri" w:cs="Calibri"/>
          <w:color w:val="4A4A4A"/>
          <w:sz w:val="21"/>
          <w:szCs w:val="21"/>
          <w:lang w:eastAsia="en-GB"/>
        </w:rPr>
      </w:pPr>
      <w:r w:rsidRPr="00711230">
        <w:rPr>
          <w:rFonts w:ascii="Calibri" w:hAnsi="Calibri" w:cs="Calibri"/>
          <w:color w:val="4A4A4A"/>
          <w:sz w:val="21"/>
          <w:szCs w:val="21"/>
          <w:lang w:eastAsia="en-GB"/>
        </w:rPr>
        <w:t xml:space="preserve">There is the question of why be attentive to some groups (women, young people, minorities, etc.) but not others (the poor, LGBTI, "ethnic" groups who might not be officially recognized, etc.). Moreover, in countries whose populations are a mosaic of many diverse groups (some of which may account for less than 1 percent of the population), an exact reflection of such pluralism in the composition of the public service would be impossible and unnecessary. Finally, descriptive representation has the danger of ultimately becoming an </w:t>
      </w:r>
      <w:proofErr w:type="gramStart"/>
      <w:r w:rsidRPr="00711230">
        <w:rPr>
          <w:rFonts w:ascii="Calibri" w:hAnsi="Calibri" w:cs="Calibri"/>
          <w:color w:val="4A4A4A"/>
          <w:sz w:val="21"/>
          <w:szCs w:val="21"/>
          <w:lang w:eastAsia="en-GB"/>
        </w:rPr>
        <w:t>end in itself</w:t>
      </w:r>
      <w:proofErr w:type="gramEnd"/>
      <w:r w:rsidRPr="00711230">
        <w:rPr>
          <w:rFonts w:ascii="Calibri" w:hAnsi="Calibri" w:cs="Calibri"/>
          <w:color w:val="4A4A4A"/>
          <w:sz w:val="21"/>
          <w:szCs w:val="21"/>
          <w:lang w:eastAsia="en-GB"/>
        </w:rPr>
        <w:t xml:space="preserve">. Concerns about effective representation should not end once the public service has the appropriate number of public servants representing each minority groups. These public servants should be able to articulate </w:t>
      </w:r>
      <w:r w:rsidRPr="00711230">
        <w:rPr>
          <w:rFonts w:ascii="Calibri" w:hAnsi="Calibri" w:cs="Calibri"/>
          <w:color w:val="4A4A4A"/>
          <w:sz w:val="21"/>
          <w:szCs w:val="21"/>
          <w:lang w:eastAsia="en-GB"/>
        </w:rPr>
        <w:lastRenderedPageBreak/>
        <w:t xml:space="preserve">minority concerns and should have the same opportunities as others to have some influence on policy formulation and implementation. Nevertheless, if a public service includes none, or very few, women, young </w:t>
      </w:r>
      <w:proofErr w:type="gramStart"/>
      <w:r w:rsidRPr="00711230">
        <w:rPr>
          <w:rFonts w:ascii="Calibri" w:hAnsi="Calibri" w:cs="Calibri"/>
          <w:color w:val="4A4A4A"/>
          <w:sz w:val="21"/>
          <w:szCs w:val="21"/>
          <w:lang w:eastAsia="en-GB"/>
        </w:rPr>
        <w:t>people</w:t>
      </w:r>
      <w:proofErr w:type="gramEnd"/>
      <w:r w:rsidRPr="00711230">
        <w:rPr>
          <w:rFonts w:ascii="Calibri" w:hAnsi="Calibri" w:cs="Calibri"/>
          <w:color w:val="4A4A4A"/>
          <w:sz w:val="21"/>
          <w:szCs w:val="21"/>
          <w:lang w:eastAsia="en-GB"/>
        </w:rPr>
        <w:t xml:space="preserve"> or minorities, that is probably a worrying sign that the interests of these particular groups are not being heard. </w:t>
      </w:r>
    </w:p>
    <w:p w14:paraId="6652DC7E" w14:textId="77777777" w:rsidR="00830FD0" w:rsidRPr="00711230" w:rsidRDefault="00830FD0" w:rsidP="00326A66">
      <w:pPr>
        <w:numPr>
          <w:ilvl w:val="1"/>
          <w:numId w:val="3"/>
        </w:numPr>
        <w:shd w:val="clear" w:color="auto" w:fill="FFFFFF"/>
        <w:spacing w:after="0"/>
        <w:jc w:val="both"/>
        <w:rPr>
          <w:rFonts w:ascii="Calibri" w:hAnsi="Calibri" w:cs="Calibri"/>
          <w:color w:val="4A4A4A"/>
          <w:sz w:val="21"/>
          <w:szCs w:val="21"/>
          <w:lang w:eastAsia="en-GB"/>
        </w:rPr>
      </w:pPr>
      <w:r w:rsidRPr="00711230">
        <w:rPr>
          <w:rFonts w:ascii="Calibri" w:hAnsi="Calibri" w:cs="Calibri"/>
          <w:color w:val="4A4A4A"/>
          <w:sz w:val="21"/>
          <w:szCs w:val="21"/>
          <w:lang w:eastAsia="en-GB"/>
        </w:rPr>
        <w:t xml:space="preserve">The age, sex, </w:t>
      </w:r>
      <w:proofErr w:type="gramStart"/>
      <w:r w:rsidRPr="00711230">
        <w:rPr>
          <w:rFonts w:ascii="Calibri" w:hAnsi="Calibri" w:cs="Calibri"/>
          <w:color w:val="4A4A4A"/>
          <w:sz w:val="21"/>
          <w:szCs w:val="21"/>
          <w:lang w:eastAsia="en-GB"/>
        </w:rPr>
        <w:t>disability</w:t>
      </w:r>
      <w:proofErr w:type="gramEnd"/>
      <w:r w:rsidRPr="00711230">
        <w:rPr>
          <w:rFonts w:ascii="Calibri" w:hAnsi="Calibri" w:cs="Calibri"/>
          <w:color w:val="4A4A4A"/>
          <w:sz w:val="21"/>
          <w:szCs w:val="21"/>
          <w:lang w:eastAsia="en-GB"/>
        </w:rPr>
        <w:t xml:space="preserve"> and population group status of individuals holding positions at various levels of decision-making in the public service provide an indication at the symbolic level of the way in which power is shared within an institution. However, there is no certainty that because a </w:t>
      </w:r>
      <w:proofErr w:type="gramStart"/>
      <w:r w:rsidRPr="00711230">
        <w:rPr>
          <w:rFonts w:ascii="Calibri" w:hAnsi="Calibri" w:cs="Calibri"/>
          <w:color w:val="4A4A4A"/>
          <w:sz w:val="21"/>
          <w:szCs w:val="21"/>
          <w:lang w:eastAsia="en-GB"/>
        </w:rPr>
        <w:t>Manager</w:t>
      </w:r>
      <w:proofErr w:type="gramEnd"/>
      <w:r w:rsidRPr="00711230">
        <w:rPr>
          <w:rFonts w:ascii="Calibri" w:hAnsi="Calibri" w:cs="Calibri"/>
          <w:color w:val="4A4A4A"/>
          <w:sz w:val="21"/>
          <w:szCs w:val="21"/>
          <w:lang w:eastAsia="en-GB"/>
        </w:rPr>
        <w:t xml:space="preserve"> is young (or old), a woman (or a man), or belongs to a minority group, s/he will bring to the fore issues of interest to groups with the same socio-demographic profile.</w:t>
      </w:r>
    </w:p>
    <w:p w14:paraId="13E1B6E7" w14:textId="77777777" w:rsidR="00830FD0" w:rsidRPr="00711230" w:rsidRDefault="00830FD0" w:rsidP="00326A66">
      <w:pPr>
        <w:numPr>
          <w:ilvl w:val="1"/>
          <w:numId w:val="3"/>
        </w:numPr>
        <w:shd w:val="clear" w:color="auto" w:fill="FFFFFF"/>
        <w:spacing w:after="0"/>
        <w:jc w:val="both"/>
        <w:rPr>
          <w:rFonts w:ascii="Calibri" w:hAnsi="Calibri" w:cs="Calibri"/>
          <w:color w:val="4A4A4A"/>
          <w:sz w:val="21"/>
          <w:szCs w:val="21"/>
          <w:lang w:val="en-CA"/>
        </w:rPr>
      </w:pPr>
      <w:r w:rsidRPr="00711230">
        <w:rPr>
          <w:rFonts w:ascii="Calibri" w:hAnsi="Calibri" w:cs="Calibri"/>
          <w:color w:val="4A4A4A"/>
          <w:sz w:val="21"/>
          <w:szCs w:val="21"/>
          <w:lang w:eastAsia="en-GB"/>
        </w:rPr>
        <w:t xml:space="preserve">Tracking the age of public servants offers some measure of youth representation in the public service. However, in most ministries and agencies constituting the public service around the world, leadership positions such as those falling in the category of ‘Managers’ are considered senior functions which require considerable </w:t>
      </w:r>
      <w:proofErr w:type="gramStart"/>
      <w:r w:rsidRPr="00711230">
        <w:rPr>
          <w:rFonts w:ascii="Calibri" w:hAnsi="Calibri" w:cs="Calibri"/>
          <w:color w:val="4A4A4A"/>
          <w:sz w:val="21"/>
          <w:szCs w:val="21"/>
          <w:lang w:eastAsia="en-GB"/>
        </w:rPr>
        <w:t>experience, and</w:t>
      </w:r>
      <w:proofErr w:type="gramEnd"/>
      <w:r w:rsidRPr="00711230">
        <w:rPr>
          <w:rFonts w:ascii="Calibri" w:hAnsi="Calibri" w:cs="Calibri"/>
          <w:color w:val="4A4A4A"/>
          <w:sz w:val="21"/>
          <w:szCs w:val="21"/>
          <w:lang w:eastAsia="en-GB"/>
        </w:rPr>
        <w:t xml:space="preserve"> are awarded on the basis of seniority. This means that such positions are by nature unlikely to be held by individuals in the younger age brackets. As such, for positions falling in the category of ‘Managers’, more relevant insights will be generated </w:t>
      </w:r>
      <w:proofErr w:type="gramStart"/>
      <w:r w:rsidRPr="00711230">
        <w:rPr>
          <w:rFonts w:ascii="Calibri" w:hAnsi="Calibri" w:cs="Calibri"/>
          <w:color w:val="4A4A4A"/>
          <w:sz w:val="21"/>
          <w:szCs w:val="21"/>
          <w:lang w:eastAsia="en-GB"/>
        </w:rPr>
        <w:t>on the basis of</w:t>
      </w:r>
      <w:proofErr w:type="gramEnd"/>
      <w:r w:rsidRPr="00711230">
        <w:rPr>
          <w:rFonts w:ascii="Calibri" w:hAnsi="Calibri" w:cs="Calibri"/>
          <w:color w:val="4A4A4A"/>
          <w:sz w:val="21"/>
          <w:szCs w:val="21"/>
          <w:lang w:eastAsia="en-GB"/>
        </w:rPr>
        <w:t xml:space="preserve"> sex disaggregation, or disaggregation based on disability or population group status. </w:t>
      </w:r>
    </w:p>
    <w:p w14:paraId="09FF71D8" w14:textId="20470BE5" w:rsidR="00830FD0" w:rsidRPr="00711230" w:rsidRDefault="00830FD0" w:rsidP="00830FD0">
      <w:pPr>
        <w:numPr>
          <w:ilvl w:val="1"/>
          <w:numId w:val="3"/>
        </w:numPr>
        <w:shd w:val="clear" w:color="auto" w:fill="FFFFFF"/>
        <w:spacing w:after="0"/>
        <w:ind w:left="1434" w:hanging="357"/>
        <w:jc w:val="both"/>
        <w:rPr>
          <w:rFonts w:ascii="Calibri" w:hAnsi="Calibri" w:cs="Calibri"/>
          <w:color w:val="4A4A4A"/>
          <w:sz w:val="21"/>
          <w:szCs w:val="21"/>
          <w:lang w:val="en-CA"/>
        </w:rPr>
      </w:pPr>
      <w:r w:rsidRPr="00711230">
        <w:rPr>
          <w:rFonts w:ascii="Calibri" w:hAnsi="Calibri" w:cs="Calibri"/>
          <w:color w:val="4A4A4A"/>
          <w:sz w:val="21"/>
          <w:szCs w:val="21"/>
          <w:lang w:val="en-CA"/>
        </w:rPr>
        <w:t xml:space="preserve">Finally, governments use various ways to deliver public services, including through a range of partnerships with the private or not-for-profit sectors, and this indicator does not account for the staffing composition of other such entities which may have been contracted by the government to deliver public services. While in several countries, </w:t>
      </w:r>
      <w:proofErr w:type="gramStart"/>
      <w:r w:rsidRPr="00711230">
        <w:rPr>
          <w:rFonts w:ascii="Calibri" w:hAnsi="Calibri" w:cs="Calibri"/>
          <w:color w:val="4A4A4A"/>
          <w:sz w:val="21"/>
          <w:szCs w:val="21"/>
          <w:lang w:val="en-CA"/>
        </w:rPr>
        <w:t>the large majority of</w:t>
      </w:r>
      <w:proofErr w:type="gramEnd"/>
      <w:r w:rsidRPr="00711230">
        <w:rPr>
          <w:rFonts w:ascii="Calibri" w:hAnsi="Calibri" w:cs="Calibri"/>
          <w:color w:val="4A4A4A"/>
          <w:sz w:val="21"/>
          <w:szCs w:val="21"/>
          <w:lang w:val="en-CA"/>
        </w:rPr>
        <w:t xml:space="preserve"> health care providers, teachers and emergency workers are directly employed by the government, in others, public-private service delivery arrangements are in place, which means that many of these professionals are employed by organisations that are not state-owned, or by private contractors. Since this indicator does not account for the outsourcing of public service provision by the government, it may not give a complete picture of the representativeness of those who provide public services – irrespective of who their employer is. </w:t>
      </w:r>
    </w:p>
    <w:p w14:paraId="60A023A9" w14:textId="77777777" w:rsidR="00D11E07" w:rsidRPr="00711230" w:rsidRDefault="00D11E07" w:rsidP="00D11E07">
      <w:pPr>
        <w:shd w:val="clear" w:color="auto" w:fill="FFFFFF"/>
        <w:spacing w:after="0"/>
        <w:ind w:left="1434"/>
        <w:jc w:val="both"/>
        <w:rPr>
          <w:rFonts w:ascii="Calibri" w:hAnsi="Calibri" w:cs="Calibri"/>
          <w:color w:val="4A4A4A"/>
          <w:sz w:val="21"/>
          <w:szCs w:val="21"/>
          <w:lang w:val="en-CA"/>
        </w:rPr>
      </w:pPr>
    </w:p>
    <w:p w14:paraId="27BF1308" w14:textId="0DA502EE" w:rsidR="00830FD0" w:rsidRPr="00711230" w:rsidRDefault="00830FD0" w:rsidP="00326A66">
      <w:pPr>
        <w:pStyle w:val="ListParagraph"/>
        <w:numPr>
          <w:ilvl w:val="0"/>
          <w:numId w:val="3"/>
        </w:numPr>
        <w:spacing w:after="0"/>
        <w:ind w:left="714" w:hanging="357"/>
        <w:jc w:val="both"/>
        <w:rPr>
          <w:color w:val="4A4A4A"/>
          <w:sz w:val="21"/>
          <w:szCs w:val="21"/>
        </w:rPr>
      </w:pPr>
      <w:r w:rsidRPr="00711230">
        <w:rPr>
          <w:rFonts w:ascii="Calibri" w:hAnsi="Calibri" w:cs="Calibri"/>
          <w:b/>
          <w:bCs/>
          <w:i/>
          <w:color w:val="4A4A4A"/>
          <w:sz w:val="21"/>
          <w:szCs w:val="21"/>
          <w:lang w:eastAsia="en-GB"/>
        </w:rPr>
        <w:t xml:space="preserve">Rationale for computing ratios rather than proportions: </w:t>
      </w:r>
      <w:r w:rsidRPr="00711230">
        <w:rPr>
          <w:rFonts w:ascii="Calibri" w:hAnsi="Calibri" w:cs="Calibri"/>
          <w:iCs/>
          <w:color w:val="4A4A4A"/>
          <w:sz w:val="21"/>
          <w:szCs w:val="21"/>
          <w:lang w:eastAsia="en-GB"/>
        </w:rPr>
        <w:t>It may be noted that the below computation methods lead to ratios rather than simple proportions. The rationale for this is simple: while a simple proportion of ‘young’ public servants is not internationally comparable. For instance, 32% of ‘young’ public servants (</w:t>
      </w:r>
      <w:hyperlink r:id="rId13" w:history="1">
        <w:r w:rsidRPr="00200CA7">
          <w:rPr>
            <w:rStyle w:val="Hyperlink"/>
            <w:rFonts w:ascii="Calibri" w:hAnsi="Calibri" w:cs="Calibri"/>
            <w:iCs/>
            <w:sz w:val="21"/>
            <w:szCs w:val="21"/>
            <w:lang w:eastAsia="en-GB"/>
          </w:rPr>
          <w:t>34 years old or younger</w:t>
        </w:r>
      </w:hyperlink>
      <w:r w:rsidRPr="00711230">
        <w:rPr>
          <w:rFonts w:ascii="Calibri" w:hAnsi="Calibri" w:cs="Calibri"/>
          <w:iCs/>
          <w:color w:val="4A4A4A"/>
          <w:sz w:val="21"/>
          <w:szCs w:val="21"/>
          <w:lang w:eastAsia="en-GB"/>
        </w:rPr>
        <w:t>) may be an over-representation of youth in country A where only 20% of the national population (above eligibility age for a public service job) falls in this age bracket (Ratio 3 = 38/20 = 1.6), but in country B where 40% of the national population is 34 years old or younger (and above eligibility age for a public service job), the same 32% would be interpreted as under-representation (Ratio = 32/40 = 0.8). In this example, the figure of 32% is not internationally comparable (it means over-representation in one country and under-representation in another), but the ratios 1.6 and 0.8 are internationally comparable. They help us understand whether 32% of public servants aged 34 years old or less is close to, or far from, proportional representation of this age group in the national population.</w:t>
      </w:r>
      <w:r w:rsidRPr="00711230">
        <w:rPr>
          <w:rFonts w:ascii="Calibri" w:hAnsi="Calibri" w:cs="Calibri"/>
          <w:b/>
          <w:bCs/>
          <w:i/>
          <w:color w:val="4A4A4A"/>
          <w:sz w:val="21"/>
          <w:szCs w:val="21"/>
          <w:lang w:eastAsia="en-GB"/>
        </w:rPr>
        <w:t xml:space="preserve"> </w:t>
      </w:r>
    </w:p>
    <w:p w14:paraId="6849F026" w14:textId="77777777" w:rsidR="00830FD0" w:rsidRPr="00711230" w:rsidRDefault="00830FD0" w:rsidP="00830FD0">
      <w:pPr>
        <w:pStyle w:val="ListParagraph"/>
        <w:spacing w:after="0"/>
        <w:ind w:left="714"/>
        <w:jc w:val="both"/>
        <w:rPr>
          <w:color w:val="4A4A4A"/>
          <w:sz w:val="21"/>
          <w:szCs w:val="21"/>
        </w:rPr>
      </w:pPr>
    </w:p>
    <w:p w14:paraId="3A261616" w14:textId="13D7AD9A" w:rsidR="00830FD0" w:rsidRPr="00711230" w:rsidRDefault="00830FD0" w:rsidP="00830FD0">
      <w:pPr>
        <w:pStyle w:val="ListParagraph"/>
        <w:numPr>
          <w:ilvl w:val="0"/>
          <w:numId w:val="3"/>
        </w:numPr>
        <w:spacing w:after="0"/>
        <w:ind w:left="714" w:hanging="357"/>
        <w:jc w:val="both"/>
        <w:rPr>
          <w:color w:val="4A4A4A"/>
          <w:sz w:val="21"/>
          <w:szCs w:val="21"/>
        </w:rPr>
      </w:pPr>
      <w:r w:rsidRPr="00711230">
        <w:rPr>
          <w:rFonts w:ascii="Calibri" w:hAnsi="Calibri" w:cs="Calibri"/>
          <w:b/>
          <w:bCs/>
          <w:i/>
          <w:color w:val="4A4A4A"/>
          <w:sz w:val="21"/>
          <w:szCs w:val="21"/>
          <w:lang w:eastAsia="en-GB"/>
        </w:rPr>
        <w:t xml:space="preserve">Sensitivity of collecting disability and population group data in the public service: </w:t>
      </w:r>
      <w:r w:rsidRPr="00711230">
        <w:rPr>
          <w:color w:val="4A4A4A"/>
          <w:sz w:val="21"/>
          <w:szCs w:val="21"/>
        </w:rPr>
        <w:t xml:space="preserve">In certain contexts, population group status may prove to be a sensitive and politically charged variable. For example, several countries actively restrict or ban identification of ethnic or religious status, </w:t>
      </w:r>
      <w:proofErr w:type="gramStart"/>
      <w:r w:rsidRPr="00711230">
        <w:rPr>
          <w:color w:val="4A4A4A"/>
          <w:sz w:val="21"/>
          <w:szCs w:val="21"/>
        </w:rPr>
        <w:t>in order to</w:t>
      </w:r>
      <w:proofErr w:type="gramEnd"/>
      <w:r w:rsidRPr="00711230">
        <w:rPr>
          <w:color w:val="4A4A4A"/>
          <w:sz w:val="21"/>
          <w:szCs w:val="21"/>
        </w:rPr>
        <w:t xml:space="preserve"> protect vulnerable populations or discourage inter-ethnic conflict. In addition, definitions </w:t>
      </w:r>
      <w:r w:rsidRPr="00711230">
        <w:rPr>
          <w:color w:val="4A4A4A"/>
          <w:sz w:val="21"/>
          <w:szCs w:val="21"/>
        </w:rPr>
        <w:lastRenderedPageBreak/>
        <w:t>of groups that constitute a minority vary greatly between countries.  Furthermore, there is a strong human rights principle that individuals must be able to choose to identify themselves as members of a minority, or not. It would not be appropriate for public service bodies (or any other body) to assume or to assign public servants a certain membership of a particular population group. As such, administrative data collection systems in the public service should allow public servants to self-report on membership of nationally relevant population groups. Similarly, discriminatory perceptions and implicit bias against disability can make the collection of data by public service bodies on this characteristic equally sensitive. This is partly because public servants with disabilities, like everyone else, have a right to privacy and therefore are not under an obligation to reveal a disability. Moreover, in many states, information concerning disability falls under the umbrella of health data and is therefore confidential, thus preventing public service bodies to release this information even on an anonymous basis.</w:t>
      </w:r>
      <w:r w:rsidRPr="00711230">
        <w:rPr>
          <w:rStyle w:val="FootnoteReference"/>
          <w:rFonts w:ascii="Calibri" w:hAnsi="Calibri" w:cs="Calibri"/>
          <w:color w:val="4A4A4A"/>
          <w:sz w:val="21"/>
          <w:szCs w:val="21"/>
          <w:lang w:eastAsia="en-GB"/>
        </w:rPr>
        <w:footnoteReference w:id="14"/>
      </w:r>
      <w:r w:rsidRPr="00711230" w:rsidDel="00B265B6">
        <w:rPr>
          <w:color w:val="4A4A4A"/>
          <w:sz w:val="21"/>
          <w:szCs w:val="21"/>
        </w:rPr>
        <w:t xml:space="preserve"> </w:t>
      </w:r>
      <w:r w:rsidRPr="00711230">
        <w:rPr>
          <w:color w:val="4A4A4A"/>
          <w:sz w:val="21"/>
          <w:szCs w:val="21"/>
        </w:rPr>
        <w:t xml:space="preserve"> </w:t>
      </w:r>
    </w:p>
    <w:p w14:paraId="542BA6A4" w14:textId="77777777" w:rsidR="00D11E07" w:rsidRPr="00711230" w:rsidRDefault="00D11E07" w:rsidP="00D11E07">
      <w:pPr>
        <w:pStyle w:val="ListParagraph"/>
        <w:spacing w:after="0"/>
        <w:ind w:left="714"/>
        <w:jc w:val="both"/>
        <w:rPr>
          <w:color w:val="4A4A4A"/>
          <w:sz w:val="21"/>
          <w:szCs w:val="21"/>
        </w:rPr>
      </w:pPr>
    </w:p>
    <w:p w14:paraId="622A2CAC" w14:textId="77777777" w:rsidR="00830FD0" w:rsidRPr="00711230" w:rsidRDefault="00830FD0" w:rsidP="00326A66">
      <w:pPr>
        <w:pStyle w:val="ListParagraph"/>
        <w:numPr>
          <w:ilvl w:val="0"/>
          <w:numId w:val="7"/>
        </w:numPr>
        <w:shd w:val="clear" w:color="auto" w:fill="FFFFFF"/>
        <w:spacing w:after="0"/>
        <w:jc w:val="both"/>
        <w:rPr>
          <w:rFonts w:ascii="Calibri" w:hAnsi="Calibri" w:cs="Calibri"/>
          <w:color w:val="4A4A4A"/>
          <w:sz w:val="21"/>
          <w:szCs w:val="21"/>
          <w:lang w:eastAsia="en-GB"/>
        </w:rPr>
      </w:pPr>
      <w:r w:rsidRPr="00711230">
        <w:rPr>
          <w:rFonts w:ascii="Calibri" w:hAnsi="Calibri" w:cs="Calibri"/>
          <w:b/>
          <w:i/>
          <w:color w:val="4A4A4A"/>
          <w:sz w:val="21"/>
          <w:szCs w:val="21"/>
          <w:lang w:eastAsia="en-GB"/>
        </w:rPr>
        <w:t xml:space="preserve">Normative framework: </w:t>
      </w:r>
      <w:r w:rsidRPr="00711230">
        <w:rPr>
          <w:rFonts w:ascii="Calibri" w:hAnsi="Calibri" w:cs="Calibri"/>
          <w:color w:val="4A4A4A"/>
          <w:sz w:val="21"/>
          <w:szCs w:val="21"/>
          <w:lang w:eastAsia="en-GB"/>
        </w:rPr>
        <w:t xml:space="preserve">The indicator calls for disaggregation of positions by age, sex, nationally relevant population groups and disability status. The following international human rights instruments contain provisions on enhancing opportunities for participation by individuals and groups holding such characteristics:  </w:t>
      </w:r>
    </w:p>
    <w:p w14:paraId="0700A4CB" w14:textId="77777777" w:rsidR="00830FD0" w:rsidRPr="00711230" w:rsidRDefault="00830FD0" w:rsidP="00326A66">
      <w:pPr>
        <w:pStyle w:val="ListParagraph"/>
        <w:numPr>
          <w:ilvl w:val="1"/>
          <w:numId w:val="7"/>
        </w:numPr>
        <w:shd w:val="clear" w:color="auto" w:fill="FFFFFF"/>
        <w:spacing w:after="0"/>
        <w:jc w:val="both"/>
        <w:rPr>
          <w:rFonts w:ascii="Calibri" w:hAnsi="Calibri" w:cs="Calibri"/>
          <w:color w:val="4A4A4A"/>
          <w:sz w:val="21"/>
          <w:szCs w:val="21"/>
          <w:lang w:eastAsia="en-GB"/>
        </w:rPr>
      </w:pPr>
      <w:r w:rsidRPr="00711230">
        <w:rPr>
          <w:rFonts w:ascii="Calibri" w:hAnsi="Calibri" w:cs="Calibri"/>
          <w:i/>
          <w:color w:val="4A4A4A"/>
          <w:sz w:val="21"/>
          <w:szCs w:val="21"/>
          <w:lang w:eastAsia="en-GB"/>
        </w:rPr>
        <w:t xml:space="preserve">The universal right and opportunity to participate in public affairs: </w:t>
      </w:r>
      <w:r w:rsidRPr="00711230">
        <w:rPr>
          <w:rFonts w:ascii="Calibri" w:hAnsi="Calibri" w:cs="Calibri"/>
          <w:color w:val="4A4A4A"/>
          <w:sz w:val="21"/>
          <w:szCs w:val="21"/>
          <w:lang w:eastAsia="en-GB"/>
        </w:rPr>
        <w:t xml:space="preserve">Article 25 of the International Covenant on Civil and Political Rights (ICCPR) recognizes “the right and opportunity, without distinction of any kind such as race, </w:t>
      </w:r>
      <w:proofErr w:type="spellStart"/>
      <w:r w:rsidRPr="00711230">
        <w:rPr>
          <w:rFonts w:ascii="Calibri" w:hAnsi="Calibri" w:cs="Calibri"/>
          <w:color w:val="4A4A4A"/>
          <w:sz w:val="21"/>
          <w:szCs w:val="21"/>
          <w:lang w:eastAsia="en-GB"/>
        </w:rPr>
        <w:t>color</w:t>
      </w:r>
      <w:proofErr w:type="spellEnd"/>
      <w:r w:rsidRPr="00711230">
        <w:rPr>
          <w:rFonts w:ascii="Calibri" w:hAnsi="Calibri" w:cs="Calibri"/>
          <w:color w:val="4A4A4A"/>
          <w:sz w:val="21"/>
          <w:szCs w:val="21"/>
          <w:lang w:eastAsia="en-GB"/>
        </w:rPr>
        <w:t>, sex, language, religion, political or other opinion, national or social origin, property, birth or other status to take part in the conduct of public affairs, directly or through freely chosen representatives”. General Comment 25 of the Human Rights Committee elaborates that access to public service employment should be based on equal opportunity and general principles of merit, and that the provision of secured tenure would ensure that persons holding public service positions are free from political interference or pressures.</w:t>
      </w:r>
    </w:p>
    <w:p w14:paraId="3EBEBF36" w14:textId="77777777" w:rsidR="00830FD0" w:rsidRPr="00711230" w:rsidRDefault="00830FD0" w:rsidP="00326A66">
      <w:pPr>
        <w:pStyle w:val="ListParagraph"/>
        <w:numPr>
          <w:ilvl w:val="1"/>
          <w:numId w:val="7"/>
        </w:numPr>
        <w:shd w:val="clear" w:color="auto" w:fill="FFFFFF"/>
        <w:spacing w:after="0"/>
        <w:jc w:val="both"/>
        <w:rPr>
          <w:rFonts w:cstheme="minorHAnsi"/>
          <w:color w:val="4A4A4A"/>
          <w:sz w:val="21"/>
          <w:szCs w:val="21"/>
          <w:lang w:val="en-CA"/>
        </w:rPr>
      </w:pPr>
      <w:r w:rsidRPr="00711230">
        <w:rPr>
          <w:rFonts w:ascii="Calibri" w:hAnsi="Calibri" w:cs="Calibri"/>
          <w:i/>
          <w:color w:val="4A4A4A"/>
          <w:sz w:val="21"/>
          <w:szCs w:val="21"/>
          <w:lang w:eastAsia="en-GB"/>
        </w:rPr>
        <w:t xml:space="preserve">Sex: </w:t>
      </w:r>
      <w:r w:rsidRPr="00711230">
        <w:rPr>
          <w:rFonts w:ascii="Calibri" w:hAnsi="Calibri" w:cs="Calibri"/>
          <w:color w:val="4A4A4A"/>
          <w:sz w:val="21"/>
          <w:szCs w:val="21"/>
          <w:lang w:eastAsia="en-GB"/>
        </w:rPr>
        <w:t xml:space="preserve">The 1979 Convention on the Elimination of All Forms of Discrimination against Women (CEDAW) provides the basis for realizing equality between women and men through ensuring women's equal access to, and equal opportunities in, political and public life, including the </w:t>
      </w:r>
      <w:r w:rsidRPr="00711230">
        <w:rPr>
          <w:rFonts w:cstheme="minorHAnsi"/>
          <w:color w:val="4A4A4A"/>
          <w:sz w:val="21"/>
          <w:szCs w:val="21"/>
          <w:lang w:val="en-CA"/>
        </w:rPr>
        <w:t>right to participate in the formulation of government policy and the implementation thereof and to hold public office and perform all public functions at all levels of government</w:t>
      </w:r>
      <w:r w:rsidRPr="00711230">
        <w:rPr>
          <w:rFonts w:ascii="Calibri" w:hAnsi="Calibri" w:cs="Calibri"/>
          <w:color w:val="4A4A4A"/>
          <w:sz w:val="21"/>
          <w:szCs w:val="21"/>
          <w:lang w:eastAsia="en-GB"/>
        </w:rPr>
        <w:t xml:space="preserve"> (Article 7). States parties agree to take all appropriate measures to overcome historical discrimination against women and obstacles to women’s participation in decision-making processes (Article 8), including legislation and temporary special measures (Article 4). </w:t>
      </w:r>
      <w:r w:rsidRPr="00711230">
        <w:rPr>
          <w:rFonts w:cstheme="minorHAnsi"/>
          <w:color w:val="4A4A4A"/>
          <w:sz w:val="21"/>
          <w:szCs w:val="21"/>
          <w:lang w:val="en-CA"/>
        </w:rPr>
        <w:t xml:space="preserve">The Beijing Declaration and </w:t>
      </w:r>
      <w:r w:rsidRPr="00711230">
        <w:rPr>
          <w:rFonts w:ascii="Calibri" w:hAnsi="Calibri" w:cs="Calibri"/>
          <w:color w:val="4A4A4A"/>
          <w:sz w:val="21"/>
          <w:szCs w:val="21"/>
          <w:lang w:eastAsia="en-GB"/>
        </w:rPr>
        <w:t>Platform for Action also call for women’s equal access to public service jobs, by setting a target of a minimum of 30 percent of women in leadership positions.</w:t>
      </w:r>
    </w:p>
    <w:p w14:paraId="36BA4EB0" w14:textId="77777777" w:rsidR="00830FD0" w:rsidRPr="00711230" w:rsidRDefault="00830FD0" w:rsidP="00326A66">
      <w:pPr>
        <w:pStyle w:val="ListParagraph"/>
        <w:numPr>
          <w:ilvl w:val="1"/>
          <w:numId w:val="7"/>
        </w:numPr>
        <w:shd w:val="clear" w:color="auto" w:fill="FFFFFF"/>
        <w:spacing w:after="0"/>
        <w:jc w:val="both"/>
        <w:rPr>
          <w:rFonts w:ascii="Calibri" w:hAnsi="Calibri" w:cs="Calibri"/>
          <w:color w:val="4A4A4A"/>
          <w:sz w:val="21"/>
          <w:szCs w:val="21"/>
          <w:lang w:eastAsia="en-GB"/>
        </w:rPr>
      </w:pPr>
      <w:r w:rsidRPr="00711230">
        <w:rPr>
          <w:rFonts w:ascii="Calibri" w:hAnsi="Calibri" w:cs="Calibri"/>
          <w:i/>
          <w:color w:val="4A4A4A"/>
          <w:sz w:val="21"/>
          <w:szCs w:val="21"/>
          <w:lang w:eastAsia="en-GB"/>
        </w:rPr>
        <w:t xml:space="preserve">Age: </w:t>
      </w:r>
      <w:r w:rsidRPr="00711230">
        <w:rPr>
          <w:rFonts w:ascii="Calibri" w:hAnsi="Calibri" w:cs="Calibri"/>
          <w:color w:val="4A4A4A"/>
          <w:sz w:val="21"/>
          <w:szCs w:val="21"/>
          <w:lang w:eastAsia="en-GB"/>
        </w:rPr>
        <w:t xml:space="preserve">The 2015 Security Council Resolution 2250 urges Member States to consider ways to increase inclusive representation of </w:t>
      </w:r>
      <w:r w:rsidRPr="00711230">
        <w:rPr>
          <w:rFonts w:ascii="Calibri" w:hAnsi="Calibri" w:cs="Calibri"/>
          <w:i/>
          <w:color w:val="4A4A4A"/>
          <w:sz w:val="21"/>
          <w:szCs w:val="21"/>
          <w:lang w:eastAsia="en-GB"/>
        </w:rPr>
        <w:t>youth</w:t>
      </w:r>
      <w:r w:rsidRPr="00711230">
        <w:rPr>
          <w:rFonts w:ascii="Calibri" w:hAnsi="Calibri" w:cs="Calibri"/>
          <w:color w:val="4A4A4A"/>
          <w:sz w:val="21"/>
          <w:szCs w:val="21"/>
          <w:lang w:eastAsia="en-GB"/>
        </w:rPr>
        <w:t xml:space="preserve"> in decision-making at all levels in local, national, </w:t>
      </w:r>
      <w:proofErr w:type="gramStart"/>
      <w:r w:rsidRPr="00711230">
        <w:rPr>
          <w:rFonts w:ascii="Calibri" w:hAnsi="Calibri" w:cs="Calibri"/>
          <w:color w:val="4A4A4A"/>
          <w:sz w:val="21"/>
          <w:szCs w:val="21"/>
          <w:lang w:eastAsia="en-GB"/>
        </w:rPr>
        <w:t>regional</w:t>
      </w:r>
      <w:proofErr w:type="gramEnd"/>
      <w:r w:rsidRPr="00711230">
        <w:rPr>
          <w:rFonts w:ascii="Calibri" w:hAnsi="Calibri" w:cs="Calibri"/>
          <w:color w:val="4A4A4A"/>
          <w:sz w:val="21"/>
          <w:szCs w:val="21"/>
          <w:lang w:eastAsia="en-GB"/>
        </w:rPr>
        <w:t xml:space="preserve"> and international institutions and mechanisms to prevent and resolve conflict and counter violent extremism. </w:t>
      </w:r>
    </w:p>
    <w:p w14:paraId="24698823" w14:textId="77777777" w:rsidR="00830FD0" w:rsidRPr="00711230" w:rsidRDefault="00830FD0" w:rsidP="00326A66">
      <w:pPr>
        <w:pStyle w:val="ListParagraph"/>
        <w:numPr>
          <w:ilvl w:val="1"/>
          <w:numId w:val="7"/>
        </w:numPr>
        <w:shd w:val="clear" w:color="auto" w:fill="FFFFFF"/>
        <w:spacing w:after="0"/>
        <w:jc w:val="both"/>
        <w:rPr>
          <w:rFonts w:ascii="Calibri" w:hAnsi="Calibri" w:cs="Calibri"/>
          <w:color w:val="4A4A4A"/>
          <w:sz w:val="21"/>
          <w:szCs w:val="21"/>
          <w:lang w:eastAsia="en-GB"/>
        </w:rPr>
      </w:pPr>
      <w:r w:rsidRPr="00711230">
        <w:rPr>
          <w:i/>
          <w:color w:val="4A4A4A"/>
          <w:sz w:val="21"/>
          <w:szCs w:val="21"/>
        </w:rPr>
        <w:t xml:space="preserve">‘Population group’ status: </w:t>
      </w:r>
      <w:r w:rsidRPr="00711230">
        <w:rPr>
          <w:rFonts w:ascii="Calibri" w:hAnsi="Calibri" w:cs="Calibri"/>
          <w:color w:val="4A4A4A"/>
          <w:sz w:val="21"/>
          <w:szCs w:val="21"/>
          <w:lang w:eastAsia="en-GB"/>
        </w:rPr>
        <w:t xml:space="preserve">The Declaration on the Rights of Persons belonging to </w:t>
      </w:r>
      <w:proofErr w:type="gramStart"/>
      <w:r w:rsidRPr="00711230">
        <w:rPr>
          <w:rFonts w:ascii="Calibri" w:hAnsi="Calibri" w:cs="Calibri"/>
          <w:color w:val="4A4A4A"/>
          <w:sz w:val="21"/>
          <w:szCs w:val="21"/>
          <w:lang w:eastAsia="en-GB"/>
        </w:rPr>
        <w:t>National</w:t>
      </w:r>
      <w:proofErr w:type="gramEnd"/>
      <w:r w:rsidRPr="00711230">
        <w:rPr>
          <w:rFonts w:ascii="Calibri" w:hAnsi="Calibri" w:cs="Calibri"/>
          <w:color w:val="4A4A4A"/>
          <w:sz w:val="21"/>
          <w:szCs w:val="21"/>
          <w:lang w:eastAsia="en-GB"/>
        </w:rPr>
        <w:t xml:space="preserve"> or Ethnic, Religious and Linguistic Minorities (1992) and the Declaration on the Rights of Indigenous Peoples (2007) provide that persons belonging to minorities and indigenous </w:t>
      </w:r>
      <w:r w:rsidRPr="00711230">
        <w:rPr>
          <w:rFonts w:ascii="Calibri" w:hAnsi="Calibri" w:cs="Calibri"/>
          <w:color w:val="4A4A4A"/>
          <w:sz w:val="21"/>
          <w:szCs w:val="21"/>
          <w:lang w:eastAsia="en-GB"/>
        </w:rPr>
        <w:lastRenderedPageBreak/>
        <w:t xml:space="preserve">peoples have the right to participate in the political, economic, social and cultural life of the State. </w:t>
      </w:r>
    </w:p>
    <w:p w14:paraId="14472A46" w14:textId="6CAA6E88" w:rsidR="00830FD0" w:rsidRPr="00711230" w:rsidRDefault="00830FD0" w:rsidP="00830FD0">
      <w:pPr>
        <w:pStyle w:val="ListParagraph"/>
        <w:numPr>
          <w:ilvl w:val="1"/>
          <w:numId w:val="7"/>
        </w:numPr>
        <w:shd w:val="clear" w:color="auto" w:fill="FFFFFF"/>
        <w:spacing w:after="0"/>
        <w:ind w:left="1434" w:hanging="357"/>
        <w:contextualSpacing w:val="0"/>
        <w:jc w:val="both"/>
        <w:rPr>
          <w:rFonts w:ascii="Calibri" w:hAnsi="Calibri" w:cs="Calibri"/>
          <w:color w:val="4A4A4A"/>
          <w:sz w:val="21"/>
          <w:szCs w:val="21"/>
        </w:rPr>
      </w:pPr>
      <w:r w:rsidRPr="00711230">
        <w:rPr>
          <w:i/>
          <w:color w:val="4A4A4A"/>
          <w:sz w:val="21"/>
          <w:szCs w:val="21"/>
        </w:rPr>
        <w:t xml:space="preserve">Disability status: </w:t>
      </w:r>
      <w:r w:rsidRPr="00711230">
        <w:rPr>
          <w:rFonts w:ascii="Calibri" w:hAnsi="Calibri" w:cs="Calibri"/>
          <w:color w:val="4A4A4A"/>
          <w:sz w:val="21"/>
          <w:szCs w:val="21"/>
          <w:lang w:eastAsia="en-GB"/>
        </w:rPr>
        <w:t xml:space="preserve">The United Nations Convention on the Rights of Persons with Disabilities (2006) calls upon State Parties to ensure that persons with disabilities can effectively and fully participate in political and public life on an equal basis with others. </w:t>
      </w:r>
      <w:r w:rsidRPr="00711230">
        <w:rPr>
          <w:rFonts w:ascii="Calibri" w:hAnsi="Calibri" w:cs="Calibri"/>
          <w:color w:val="4A4A4A"/>
          <w:sz w:val="21"/>
          <w:szCs w:val="21"/>
        </w:rPr>
        <w:t xml:space="preserve">Under Article 31 of the Convention, State Parties commit to collecting disaggregated information, including statistical and research data to give effect to the Convention, and assume responsibility for the dissemination of these statistics. </w:t>
      </w:r>
    </w:p>
    <w:p w14:paraId="615F53DC" w14:textId="77777777" w:rsidR="00D11E07" w:rsidRPr="00711230" w:rsidRDefault="00D11E07" w:rsidP="00D11E07">
      <w:pPr>
        <w:pStyle w:val="ListParagraph"/>
        <w:shd w:val="clear" w:color="auto" w:fill="FFFFFF"/>
        <w:spacing w:after="0"/>
        <w:ind w:left="1434"/>
        <w:contextualSpacing w:val="0"/>
        <w:jc w:val="both"/>
        <w:rPr>
          <w:rFonts w:ascii="Calibri" w:hAnsi="Calibri" w:cs="Calibri"/>
          <w:color w:val="4A4A4A"/>
          <w:sz w:val="21"/>
          <w:szCs w:val="21"/>
        </w:rPr>
      </w:pPr>
    </w:p>
    <w:p w14:paraId="092D8DE2" w14:textId="77777777" w:rsidR="00830FD0" w:rsidRPr="00711230" w:rsidRDefault="00830FD0" w:rsidP="00326A66">
      <w:pPr>
        <w:pStyle w:val="NormalWeb"/>
        <w:numPr>
          <w:ilvl w:val="0"/>
          <w:numId w:val="7"/>
        </w:numPr>
        <w:spacing w:before="0" w:beforeAutospacing="0" w:after="0" w:afterAutospacing="0" w:line="276" w:lineRule="auto"/>
        <w:jc w:val="both"/>
        <w:rPr>
          <w:color w:val="4A4A4A"/>
          <w:sz w:val="22"/>
          <w:szCs w:val="22"/>
        </w:rPr>
      </w:pPr>
      <w:r w:rsidRPr="00711230">
        <w:rPr>
          <w:rFonts w:ascii="Calibri" w:hAnsi="Calibri" w:cs="Calibri"/>
          <w:b/>
          <w:bCs/>
          <w:i/>
          <w:iCs/>
          <w:color w:val="4A4A4A"/>
          <w:sz w:val="21"/>
          <w:szCs w:val="21"/>
          <w:lang w:eastAsia="en-GB"/>
        </w:rPr>
        <w:t>Transposing national classifications of public service jobs into ISCO-08 based occupational</w:t>
      </w:r>
      <w:r w:rsidRPr="00711230">
        <w:rPr>
          <w:rFonts w:ascii="Calibri" w:hAnsi="Calibri" w:cs="Calibri"/>
          <w:b/>
          <w:bCs/>
          <w:i/>
          <w:color w:val="4A4A4A"/>
          <w:sz w:val="21"/>
          <w:szCs w:val="21"/>
          <w:lang w:eastAsia="en-GB"/>
        </w:rPr>
        <w:t xml:space="preserve"> categories for the public service: </w:t>
      </w:r>
      <w:r w:rsidRPr="00711230">
        <w:rPr>
          <w:rFonts w:ascii="Calibri" w:hAnsi="Calibri" w:cs="Calibri"/>
          <w:color w:val="4A4A4A"/>
          <w:sz w:val="21"/>
          <w:szCs w:val="21"/>
          <w:lang w:eastAsia="en-GB"/>
        </w:rPr>
        <w:t xml:space="preserve">The ISCO-08 based occupational categories proposed above for this indicator are meant to be broad enough to accommodate considerable diversity among national classifications. When transposing their national classifications, countries should strive to respect the criteria listed for each occupational category and the references provided to specific ISCO-08 codes, while noting any divergence when reporting. A list of specific criteria is provided below to guide the transposition from national classifications to the ISCO-08-based occupational categories in the public service prioritized for this indicator.     </w:t>
      </w:r>
    </w:p>
    <w:p w14:paraId="33A8D166" w14:textId="77777777" w:rsidR="00830FD0" w:rsidRPr="00711230" w:rsidRDefault="00830FD0" w:rsidP="00830FD0">
      <w:pPr>
        <w:shd w:val="clear" w:color="auto" w:fill="FFFFFF"/>
        <w:rPr>
          <w:rFonts w:ascii="Calibri" w:hAnsi="Calibri" w:cs="Calibri"/>
          <w:noProof/>
          <w:color w:val="4A4A4A"/>
          <w:sz w:val="21"/>
          <w:szCs w:val="21"/>
          <w:lang w:eastAsia="en-GB"/>
        </w:rPr>
      </w:pPr>
    </w:p>
    <w:p w14:paraId="6E75F5AB" w14:textId="77777777" w:rsidR="00830FD0" w:rsidRDefault="00830FD0" w:rsidP="00830FD0">
      <w:pPr>
        <w:shd w:val="clear" w:color="auto" w:fill="FFFFFF"/>
        <w:rPr>
          <w:rFonts w:ascii="Calibri" w:hAnsi="Calibri" w:cs="Calibri"/>
          <w:noProof/>
          <w:color w:val="000000" w:themeColor="text1"/>
          <w:sz w:val="21"/>
          <w:szCs w:val="21"/>
          <w:lang w:eastAsia="en-GB"/>
        </w:rPr>
      </w:pPr>
    </w:p>
    <w:p w14:paraId="3E5E8321" w14:textId="3DF30DDA" w:rsidR="00830FD0" w:rsidRDefault="00830FD0" w:rsidP="00830FD0">
      <w:pPr>
        <w:keepNext/>
        <w:shd w:val="clear" w:color="auto" w:fill="FFFFFF"/>
        <w:jc w:val="center"/>
        <w:rPr>
          <w:rFonts w:ascii="Calibri" w:hAnsi="Calibri" w:cs="Calibri"/>
          <w:b/>
          <w:noProof/>
          <w:color w:val="000000" w:themeColor="text1"/>
          <w:sz w:val="21"/>
          <w:szCs w:val="21"/>
          <w:lang w:eastAsia="en-GB"/>
        </w:rPr>
      </w:pPr>
      <w:r w:rsidRPr="001633BD">
        <w:rPr>
          <w:rFonts w:ascii="Calibri" w:hAnsi="Calibri" w:cs="Calibri"/>
          <w:b/>
          <w:noProof/>
          <w:color w:val="000000" w:themeColor="text1"/>
          <w:sz w:val="21"/>
          <w:szCs w:val="21"/>
          <w:lang w:eastAsia="en-GB"/>
        </w:rPr>
        <w:t xml:space="preserve">Table 1: Transposition from national classification into ISCO-08-based occupational categories for </w:t>
      </w:r>
      <w:r w:rsidRPr="001633BD">
        <w:rPr>
          <w:rFonts w:ascii="Calibri" w:hAnsi="Calibri" w:cs="Calibri"/>
          <w:b/>
          <w:noProof/>
          <w:color w:val="000000" w:themeColor="text1"/>
          <w:sz w:val="21"/>
          <w:szCs w:val="21"/>
          <w:u w:val="single"/>
          <w:lang w:eastAsia="en-GB"/>
        </w:rPr>
        <w:t>bureaucratic positions</w:t>
      </w:r>
      <w:r w:rsidRPr="001633BD">
        <w:rPr>
          <w:rFonts w:ascii="Calibri" w:hAnsi="Calibri" w:cs="Calibri"/>
          <w:b/>
          <w:noProof/>
          <w:color w:val="000000" w:themeColor="text1"/>
          <w:sz w:val="21"/>
          <w:szCs w:val="21"/>
          <w:lang w:eastAsia="en-GB"/>
        </w:rPr>
        <w:t xml:space="preserve"> in the public service</w:t>
      </w:r>
    </w:p>
    <w:p w14:paraId="306728E8" w14:textId="0099156A" w:rsidR="00200CA7" w:rsidRDefault="00200CA7" w:rsidP="00830FD0">
      <w:pPr>
        <w:keepNext/>
        <w:shd w:val="clear" w:color="auto" w:fill="FFFFFF"/>
        <w:jc w:val="center"/>
        <w:rPr>
          <w:rFonts w:ascii="Calibri" w:hAnsi="Calibri" w:cs="Calibri"/>
          <w:b/>
          <w:noProof/>
          <w:color w:val="000000" w:themeColor="text1"/>
          <w:sz w:val="21"/>
          <w:szCs w:val="21"/>
          <w:lang w:eastAsia="en-GB"/>
        </w:rPr>
      </w:pPr>
    </w:p>
    <w:p w14:paraId="56591802" w14:textId="26AF040D" w:rsidR="00806682" w:rsidRDefault="00200CA7" w:rsidP="00830FD0">
      <w:pPr>
        <w:keepNext/>
        <w:shd w:val="clear" w:color="auto" w:fill="FFFFFF"/>
        <w:jc w:val="center"/>
      </w:pPr>
      <w:r w:rsidRPr="001D434A">
        <w:rPr>
          <w:noProof/>
          <w:lang w:eastAsia="en-GB"/>
        </w:rPr>
        <w:fldChar w:fldCharType="begin"/>
      </w:r>
      <w:r w:rsidRPr="00200CA7">
        <w:rPr>
          <w:noProof/>
          <w:lang w:eastAsia="en-GB"/>
        </w:rPr>
        <w:instrText xml:space="preserve"> LINK </w:instrText>
      </w:r>
      <w:r w:rsidR="00806682">
        <w:rPr>
          <w:noProof/>
          <w:lang w:eastAsia="en-GB"/>
        </w:rPr>
        <w:instrText xml:space="preserve">Excel.Sheet.12 "C:\\Users\\Mariana\\Dropbox (UNDP Norge)\\SDG 16 consultancy docs\\Custodianship and Methodology\\Reporting Platform\\Reported data 2022\\Metadata-16-07-01b_Tables.xlsx" "Table 1!R2C2:R7C4" </w:instrText>
      </w:r>
      <w:r w:rsidRPr="00200CA7">
        <w:rPr>
          <w:noProof/>
          <w:lang w:eastAsia="en-GB"/>
        </w:rPr>
        <w:instrText xml:space="preserve">\a \f 4 \h  \* MERGEFORMAT </w:instrText>
      </w:r>
      <w:r w:rsidRPr="001D434A">
        <w:rPr>
          <w:noProof/>
          <w:lang w:eastAsia="en-GB"/>
        </w:rPr>
        <w:fldChar w:fldCharType="separate"/>
      </w:r>
    </w:p>
    <w:tbl>
      <w:tblPr>
        <w:tblW w:w="8926" w:type="dxa"/>
        <w:tblCellMar>
          <w:left w:w="70" w:type="dxa"/>
          <w:right w:w="70" w:type="dxa"/>
        </w:tblCellMar>
        <w:tblLook w:val="04A0" w:firstRow="1" w:lastRow="0" w:firstColumn="1" w:lastColumn="0" w:noHBand="0" w:noVBand="1"/>
      </w:tblPr>
      <w:tblGrid>
        <w:gridCol w:w="1460"/>
        <w:gridCol w:w="1480"/>
        <w:gridCol w:w="5986"/>
      </w:tblGrid>
      <w:tr w:rsidR="00806682" w:rsidRPr="00806682" w14:paraId="70B33FAE" w14:textId="77777777" w:rsidTr="00806682">
        <w:trPr>
          <w:divId w:val="768281210"/>
          <w:trHeight w:val="600"/>
        </w:trPr>
        <w:tc>
          <w:tcPr>
            <w:tcW w:w="1460" w:type="dxa"/>
            <w:tcBorders>
              <w:top w:val="single" w:sz="4" w:space="0" w:color="FFFFFF"/>
              <w:left w:val="single" w:sz="4" w:space="0" w:color="FFFFFF"/>
              <w:bottom w:val="single" w:sz="4" w:space="0" w:color="FFFFFF"/>
              <w:right w:val="single" w:sz="4" w:space="0" w:color="FFFFFF"/>
            </w:tcBorders>
            <w:shd w:val="clear" w:color="000000" w:fill="BFBFBF"/>
            <w:noWrap/>
            <w:vAlign w:val="center"/>
            <w:hideMark/>
          </w:tcPr>
          <w:p w14:paraId="0798E9B6" w14:textId="615D60D8"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 xml:space="preserve">CLASSIFICATION </w:t>
            </w:r>
          </w:p>
        </w:tc>
        <w:tc>
          <w:tcPr>
            <w:tcW w:w="1480" w:type="dxa"/>
            <w:tcBorders>
              <w:top w:val="single" w:sz="4" w:space="0" w:color="FFFFFF"/>
              <w:left w:val="nil"/>
              <w:bottom w:val="nil"/>
              <w:right w:val="nil"/>
            </w:tcBorders>
            <w:shd w:val="clear" w:color="000000" w:fill="BFBFBF"/>
            <w:vAlign w:val="center"/>
            <w:hideMark/>
          </w:tcPr>
          <w:p w14:paraId="104AB227"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CORRESPONDING ISCO-08 CODES</w:t>
            </w:r>
          </w:p>
        </w:tc>
        <w:tc>
          <w:tcPr>
            <w:tcW w:w="5986" w:type="dxa"/>
            <w:tcBorders>
              <w:top w:val="single" w:sz="4" w:space="0" w:color="FFFFFF"/>
              <w:left w:val="single" w:sz="4" w:space="0" w:color="FFFFFF"/>
              <w:bottom w:val="single" w:sz="4" w:space="0" w:color="FFFFFF"/>
              <w:right w:val="nil"/>
            </w:tcBorders>
            <w:shd w:val="clear" w:color="000000" w:fill="BFBFBF"/>
            <w:noWrap/>
            <w:vAlign w:val="center"/>
            <w:hideMark/>
          </w:tcPr>
          <w:p w14:paraId="1CA13D24"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CRITERIA</w:t>
            </w:r>
          </w:p>
        </w:tc>
      </w:tr>
      <w:tr w:rsidR="00806682" w:rsidRPr="00806682" w14:paraId="140A842D" w14:textId="77777777" w:rsidTr="001445A8">
        <w:trPr>
          <w:divId w:val="768281210"/>
          <w:trHeight w:val="70"/>
        </w:trPr>
        <w:tc>
          <w:tcPr>
            <w:tcW w:w="8926" w:type="dxa"/>
            <w:gridSpan w:val="3"/>
            <w:tcBorders>
              <w:top w:val="single" w:sz="4" w:space="0" w:color="FFFFFF"/>
              <w:left w:val="single" w:sz="4" w:space="0" w:color="FFFFFF"/>
              <w:bottom w:val="single" w:sz="4" w:space="0" w:color="FFFFFF"/>
              <w:right w:val="single" w:sz="4" w:space="0" w:color="FFFFFF"/>
            </w:tcBorders>
            <w:shd w:val="clear" w:color="000000" w:fill="FFFFFF"/>
            <w:noWrap/>
            <w:vAlign w:val="bottom"/>
            <w:hideMark/>
          </w:tcPr>
          <w:p w14:paraId="279ED97E" w14:textId="77777777" w:rsidR="00806682" w:rsidRPr="001445A8" w:rsidRDefault="00806682" w:rsidP="001445A8">
            <w:pPr>
              <w:spacing w:after="0" w:line="240" w:lineRule="auto"/>
              <w:jc w:val="center"/>
              <w:rPr>
                <w:rFonts w:ascii="Calibri" w:eastAsia="Times New Roman" w:hAnsi="Calibri" w:cs="Calibri"/>
                <w:b/>
                <w:bCs/>
                <w:i/>
                <w:iCs/>
                <w:color w:val="000000"/>
                <w:sz w:val="18"/>
                <w:szCs w:val="18"/>
                <w:lang w:val="en-US" w:eastAsia="pt-PT"/>
              </w:rPr>
            </w:pPr>
            <w:r w:rsidRPr="001445A8">
              <w:rPr>
                <w:rFonts w:ascii="Calibri" w:eastAsia="Times New Roman" w:hAnsi="Calibri" w:cs="Calibri"/>
                <w:b/>
                <w:bCs/>
                <w:i/>
                <w:iCs/>
                <w:color w:val="000000"/>
                <w:sz w:val="18"/>
                <w:szCs w:val="18"/>
                <w:lang w:val="en-US" w:eastAsia="pt-PT"/>
              </w:rPr>
              <w:t>Bureaucratic positions within the public service</w:t>
            </w:r>
          </w:p>
        </w:tc>
      </w:tr>
      <w:tr w:rsidR="00806682" w:rsidRPr="00806682" w14:paraId="0AFAC27F" w14:textId="77777777" w:rsidTr="00806682">
        <w:trPr>
          <w:divId w:val="768281210"/>
          <w:trHeight w:val="4365"/>
        </w:trPr>
        <w:tc>
          <w:tcPr>
            <w:tcW w:w="1460" w:type="dxa"/>
            <w:tcBorders>
              <w:top w:val="nil"/>
              <w:left w:val="single" w:sz="4" w:space="0" w:color="FFFFFF"/>
              <w:bottom w:val="single" w:sz="4" w:space="0" w:color="FFFFFF"/>
              <w:right w:val="single" w:sz="4" w:space="0" w:color="FFFFFF"/>
            </w:tcBorders>
            <w:shd w:val="clear" w:color="000000" w:fill="D9D9D9"/>
            <w:vAlign w:val="center"/>
            <w:hideMark/>
          </w:tcPr>
          <w:p w14:paraId="727D7E2C"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Managers</w:t>
            </w:r>
          </w:p>
        </w:tc>
        <w:tc>
          <w:tcPr>
            <w:tcW w:w="1480" w:type="dxa"/>
            <w:tcBorders>
              <w:top w:val="nil"/>
              <w:left w:val="nil"/>
              <w:bottom w:val="nil"/>
              <w:right w:val="nil"/>
            </w:tcBorders>
            <w:shd w:val="clear" w:color="000000" w:fill="D9D9D9"/>
            <w:vAlign w:val="center"/>
            <w:hideMark/>
          </w:tcPr>
          <w:p w14:paraId="535E574B" w14:textId="77777777" w:rsidR="00806682" w:rsidRPr="001445A8" w:rsidRDefault="00806682" w:rsidP="001445A8">
            <w:pPr>
              <w:spacing w:after="0" w:line="240" w:lineRule="auto"/>
              <w:jc w:val="center"/>
              <w:rPr>
                <w:rFonts w:ascii="Calibri" w:eastAsia="Times New Roman" w:hAnsi="Calibri" w:cs="Calibri"/>
                <w:color w:val="000000"/>
                <w:sz w:val="18"/>
                <w:szCs w:val="18"/>
                <w:lang w:val="pt-PT" w:eastAsia="pt-PT"/>
              </w:rPr>
            </w:pPr>
            <w:r w:rsidRPr="001445A8">
              <w:rPr>
                <w:rFonts w:ascii="Calibri" w:eastAsia="Times New Roman" w:hAnsi="Calibri" w:cs="Calibri"/>
                <w:color w:val="000000"/>
                <w:sz w:val="18"/>
                <w:szCs w:val="18"/>
                <w:lang w:val="pt-PT" w:eastAsia="pt-PT"/>
              </w:rPr>
              <w:t>1112, 1120, 121</w:t>
            </w:r>
          </w:p>
        </w:tc>
        <w:tc>
          <w:tcPr>
            <w:tcW w:w="5986" w:type="dxa"/>
            <w:tcBorders>
              <w:top w:val="nil"/>
              <w:left w:val="single" w:sz="4" w:space="0" w:color="FFFFFF"/>
              <w:bottom w:val="single" w:sz="4" w:space="0" w:color="FFFFFF"/>
              <w:right w:val="single" w:sz="4" w:space="0" w:color="FFFFFF"/>
            </w:tcBorders>
            <w:shd w:val="clear" w:color="000000" w:fill="D9D9D9"/>
            <w:vAlign w:val="bottom"/>
            <w:hideMark/>
          </w:tcPr>
          <w:p w14:paraId="6547B515"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xml:space="preserve">• They are career public servants who have gradually moved up the ranks to top positions. </w:t>
            </w:r>
            <w:r w:rsidRPr="001445A8">
              <w:rPr>
                <w:rFonts w:ascii="Calibri" w:eastAsia="Times New Roman" w:hAnsi="Calibri" w:cs="Calibri"/>
                <w:color w:val="000000"/>
                <w:sz w:val="18"/>
                <w:szCs w:val="18"/>
                <w:u w:val="single"/>
                <w:lang w:val="en-US" w:eastAsia="pt-PT"/>
              </w:rPr>
              <w:t>They are NOT appointed</w:t>
            </w:r>
            <w:r w:rsidRPr="001445A8">
              <w:rPr>
                <w:rFonts w:ascii="Calibri" w:eastAsia="Times New Roman" w:hAnsi="Calibri" w:cs="Calibri"/>
                <w:color w:val="000000"/>
                <w:sz w:val="18"/>
                <w:szCs w:val="18"/>
                <w:lang w:val="en-US" w:eastAsia="pt-PT"/>
              </w:rPr>
              <w:t xml:space="preserve"> by the government or head of government.</w:t>
            </w:r>
            <w:r w:rsidRPr="001445A8">
              <w:rPr>
                <w:rFonts w:ascii="Calibri" w:eastAsia="Times New Roman" w:hAnsi="Calibri" w:cs="Calibri"/>
                <w:color w:val="000000"/>
                <w:sz w:val="18"/>
                <w:szCs w:val="18"/>
                <w:lang w:val="en-US" w:eastAsia="pt-PT"/>
              </w:rPr>
              <w:br/>
              <w:t>• This category includes the top public servants (sometimes referred to as Director Generals) just below the Minister or Secretary, but not part of the Cabinet/council of ministers, as well as lower-level managers.</w:t>
            </w:r>
            <w:r w:rsidRPr="001445A8">
              <w:rPr>
                <w:rFonts w:ascii="Calibri" w:eastAsia="Times New Roman" w:hAnsi="Calibri" w:cs="Calibri"/>
                <w:color w:val="000000"/>
                <w:sz w:val="18"/>
                <w:szCs w:val="18"/>
                <w:lang w:val="en-US" w:eastAsia="pt-PT"/>
              </w:rPr>
              <w:br/>
              <w:t xml:space="preserve">• Responsibilities of high-level managers range from providing overall direction to a ministry or special directorate/unit and overseeing the interpretation and implementation of government policies, to determine the objectives, strategies, and </w:t>
            </w:r>
            <w:proofErr w:type="spellStart"/>
            <w:r w:rsidRPr="001445A8">
              <w:rPr>
                <w:rFonts w:ascii="Calibri" w:eastAsia="Times New Roman" w:hAnsi="Calibri" w:cs="Calibri"/>
                <w:color w:val="000000"/>
                <w:sz w:val="18"/>
                <w:szCs w:val="18"/>
                <w:lang w:val="en-US" w:eastAsia="pt-PT"/>
              </w:rPr>
              <w:t>programmes</w:t>
            </w:r>
            <w:proofErr w:type="spellEnd"/>
            <w:r w:rsidRPr="001445A8">
              <w:rPr>
                <w:rFonts w:ascii="Calibri" w:eastAsia="Times New Roman" w:hAnsi="Calibri" w:cs="Calibri"/>
                <w:color w:val="000000"/>
                <w:sz w:val="18"/>
                <w:szCs w:val="18"/>
                <w:lang w:val="en-US" w:eastAsia="pt-PT"/>
              </w:rPr>
              <w:t xml:space="preserve"> for the particular administrative unit/department under their supervision. Lower-level managers manage and evaluate the implementation of these departmental </w:t>
            </w:r>
            <w:proofErr w:type="spellStart"/>
            <w:r w:rsidRPr="001445A8">
              <w:rPr>
                <w:rFonts w:ascii="Calibri" w:eastAsia="Times New Roman" w:hAnsi="Calibri" w:cs="Calibri"/>
                <w:color w:val="000000"/>
                <w:sz w:val="18"/>
                <w:szCs w:val="18"/>
                <w:lang w:val="en-US" w:eastAsia="pt-PT"/>
              </w:rPr>
              <w:t>programmes</w:t>
            </w:r>
            <w:proofErr w:type="spellEnd"/>
            <w:r w:rsidRPr="001445A8">
              <w:rPr>
                <w:rFonts w:ascii="Calibri" w:eastAsia="Times New Roman" w:hAnsi="Calibri" w:cs="Calibri"/>
                <w:color w:val="000000"/>
                <w:sz w:val="18"/>
                <w:szCs w:val="18"/>
                <w:lang w:val="en-US" w:eastAsia="pt-PT"/>
              </w:rPr>
              <w:t xml:space="preserve">, including budget management functions. They also control the selection of professionals working in their department and evaluate their performance.   </w:t>
            </w:r>
          </w:p>
        </w:tc>
      </w:tr>
      <w:tr w:rsidR="00806682" w:rsidRPr="00806682" w14:paraId="38726FA1" w14:textId="77777777" w:rsidTr="00806682">
        <w:trPr>
          <w:divId w:val="768281210"/>
          <w:trHeight w:val="132"/>
        </w:trPr>
        <w:tc>
          <w:tcPr>
            <w:tcW w:w="1460" w:type="dxa"/>
            <w:tcBorders>
              <w:top w:val="nil"/>
              <w:left w:val="nil"/>
              <w:bottom w:val="nil"/>
              <w:right w:val="nil"/>
            </w:tcBorders>
            <w:shd w:val="clear" w:color="000000" w:fill="D9D9D9"/>
            <w:vAlign w:val="center"/>
            <w:hideMark/>
          </w:tcPr>
          <w:p w14:paraId="510429C6"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Professionals</w:t>
            </w:r>
          </w:p>
        </w:tc>
        <w:tc>
          <w:tcPr>
            <w:tcW w:w="1480" w:type="dxa"/>
            <w:tcBorders>
              <w:top w:val="single" w:sz="4" w:space="0" w:color="FFFFFF"/>
              <w:left w:val="single" w:sz="4" w:space="0" w:color="FFFFFF"/>
              <w:bottom w:val="nil"/>
              <w:right w:val="single" w:sz="4" w:space="0" w:color="FFFFFF"/>
            </w:tcBorders>
            <w:shd w:val="clear" w:color="000000" w:fill="D9D9D9"/>
            <w:vAlign w:val="center"/>
            <w:hideMark/>
          </w:tcPr>
          <w:p w14:paraId="27C36E24" w14:textId="77777777" w:rsidR="00806682" w:rsidRPr="001445A8" w:rsidRDefault="00806682" w:rsidP="001445A8">
            <w:pPr>
              <w:spacing w:after="0" w:line="240" w:lineRule="auto"/>
              <w:jc w:val="center"/>
              <w:rPr>
                <w:rFonts w:ascii="Calibri" w:eastAsia="Times New Roman" w:hAnsi="Calibri" w:cs="Calibri"/>
                <w:color w:val="000000"/>
                <w:sz w:val="18"/>
                <w:szCs w:val="18"/>
                <w:lang w:val="pt-PT" w:eastAsia="pt-PT"/>
              </w:rPr>
            </w:pPr>
            <w:r w:rsidRPr="001445A8">
              <w:rPr>
                <w:rFonts w:ascii="Calibri" w:eastAsia="Times New Roman" w:hAnsi="Calibri" w:cs="Calibri"/>
                <w:color w:val="000000"/>
                <w:sz w:val="18"/>
                <w:szCs w:val="18"/>
                <w:lang w:val="pt-PT" w:eastAsia="pt-PT"/>
              </w:rPr>
              <w:t>Mainly 242, possibly 21, 25, 26</w:t>
            </w:r>
          </w:p>
        </w:tc>
        <w:tc>
          <w:tcPr>
            <w:tcW w:w="5986" w:type="dxa"/>
            <w:tcBorders>
              <w:top w:val="nil"/>
              <w:left w:val="nil"/>
              <w:bottom w:val="single" w:sz="4" w:space="0" w:color="FFFFFF"/>
              <w:right w:val="single" w:sz="4" w:space="0" w:color="FFFFFF"/>
            </w:tcBorders>
            <w:shd w:val="clear" w:color="000000" w:fill="D9D9D9"/>
            <w:vAlign w:val="bottom"/>
            <w:hideMark/>
          </w:tcPr>
          <w:p w14:paraId="0F65336C"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At the central/national level, professionals in the public service perform analytical, conceptual and practical tasks to support government policymaking and service delivery operations.</w:t>
            </w:r>
            <w:r w:rsidRPr="001445A8">
              <w:rPr>
                <w:rFonts w:ascii="Calibri" w:eastAsia="Times New Roman" w:hAnsi="Calibri" w:cs="Calibri"/>
                <w:color w:val="000000"/>
                <w:sz w:val="18"/>
                <w:szCs w:val="18"/>
                <w:lang w:val="en-US" w:eastAsia="pt-PT"/>
              </w:rPr>
              <w:br/>
              <w:t xml:space="preserve">• They typically have some level of leadership responsibilities over a field of </w:t>
            </w:r>
            <w:r w:rsidRPr="001445A8">
              <w:rPr>
                <w:rFonts w:ascii="Calibri" w:eastAsia="Times New Roman" w:hAnsi="Calibri" w:cs="Calibri"/>
                <w:color w:val="000000"/>
                <w:sz w:val="18"/>
                <w:szCs w:val="18"/>
                <w:lang w:val="en-US" w:eastAsia="pt-PT"/>
              </w:rPr>
              <w:lastRenderedPageBreak/>
              <w:t>work or various projects.</w:t>
            </w:r>
            <w:r w:rsidRPr="001445A8">
              <w:rPr>
                <w:rFonts w:ascii="Calibri" w:eastAsia="Times New Roman" w:hAnsi="Calibri" w:cs="Calibri"/>
                <w:color w:val="000000"/>
                <w:sz w:val="18"/>
                <w:szCs w:val="18"/>
                <w:lang w:val="en-US" w:eastAsia="pt-PT"/>
              </w:rPr>
              <w:br/>
              <w:t xml:space="preserve">• Among other tasks, professionals working at the central level and in ministries review existing policies and legislation in order to identify anomalies and out-of-day provisions, formulate and analyze policy options and make recommendations for policy changes. They can also prepare financial statements and conduct audits; develop and review financial plans and strategies; or develop, </w:t>
            </w:r>
            <w:proofErr w:type="gramStart"/>
            <w:r w:rsidRPr="001445A8">
              <w:rPr>
                <w:rFonts w:ascii="Calibri" w:eastAsia="Times New Roman" w:hAnsi="Calibri" w:cs="Calibri"/>
                <w:color w:val="000000"/>
                <w:sz w:val="18"/>
                <w:szCs w:val="18"/>
                <w:lang w:val="en-US" w:eastAsia="pt-PT"/>
              </w:rPr>
              <w:t>implement</w:t>
            </w:r>
            <w:proofErr w:type="gramEnd"/>
            <w:r w:rsidRPr="001445A8">
              <w:rPr>
                <w:rFonts w:ascii="Calibri" w:eastAsia="Times New Roman" w:hAnsi="Calibri" w:cs="Calibri"/>
                <w:color w:val="000000"/>
                <w:sz w:val="18"/>
                <w:szCs w:val="18"/>
                <w:lang w:val="en-US" w:eastAsia="pt-PT"/>
              </w:rPr>
              <w:t xml:space="preserve"> and evaluate staff recruitment. </w:t>
            </w:r>
          </w:p>
        </w:tc>
      </w:tr>
      <w:tr w:rsidR="00806682" w:rsidRPr="00806682" w14:paraId="6BA74C6F" w14:textId="77777777" w:rsidTr="00806682">
        <w:trPr>
          <w:divId w:val="768281210"/>
          <w:trHeight w:val="442"/>
        </w:trPr>
        <w:tc>
          <w:tcPr>
            <w:tcW w:w="1460" w:type="dxa"/>
            <w:tcBorders>
              <w:top w:val="single" w:sz="4" w:space="0" w:color="FFFFFF"/>
              <w:left w:val="single" w:sz="4" w:space="0" w:color="FFFFFF"/>
              <w:bottom w:val="nil"/>
              <w:right w:val="single" w:sz="4" w:space="0" w:color="FFFFFF"/>
            </w:tcBorders>
            <w:shd w:val="clear" w:color="000000" w:fill="D9D9D9"/>
            <w:vAlign w:val="center"/>
            <w:hideMark/>
          </w:tcPr>
          <w:p w14:paraId="19315293"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lastRenderedPageBreak/>
              <w:t>Technicians and Associate Professionals</w:t>
            </w:r>
          </w:p>
        </w:tc>
        <w:tc>
          <w:tcPr>
            <w:tcW w:w="1480" w:type="dxa"/>
            <w:tcBorders>
              <w:top w:val="single" w:sz="4" w:space="0" w:color="FFFFFF"/>
              <w:left w:val="nil"/>
              <w:bottom w:val="nil"/>
              <w:right w:val="nil"/>
            </w:tcBorders>
            <w:shd w:val="clear" w:color="000000" w:fill="D9D9D9"/>
            <w:vAlign w:val="center"/>
            <w:hideMark/>
          </w:tcPr>
          <w:p w14:paraId="14399823" w14:textId="77777777" w:rsidR="00806682" w:rsidRPr="001445A8" w:rsidRDefault="00806682" w:rsidP="001445A8">
            <w:pPr>
              <w:spacing w:after="0" w:line="240" w:lineRule="auto"/>
              <w:jc w:val="center"/>
              <w:rPr>
                <w:rFonts w:ascii="Calibri" w:eastAsia="Times New Roman" w:hAnsi="Calibri" w:cs="Calibri"/>
                <w:color w:val="000000"/>
                <w:sz w:val="18"/>
                <w:szCs w:val="18"/>
                <w:lang w:val="pt-PT" w:eastAsia="pt-PT"/>
              </w:rPr>
            </w:pPr>
            <w:r w:rsidRPr="001445A8">
              <w:rPr>
                <w:rFonts w:ascii="Calibri" w:eastAsia="Times New Roman" w:hAnsi="Calibri" w:cs="Calibri"/>
                <w:color w:val="000000"/>
                <w:sz w:val="18"/>
                <w:szCs w:val="18"/>
                <w:lang w:val="pt-PT" w:eastAsia="pt-PT"/>
              </w:rPr>
              <w:t>Mainly 33, possibly 31, 34, 35</w:t>
            </w:r>
          </w:p>
        </w:tc>
        <w:tc>
          <w:tcPr>
            <w:tcW w:w="5986" w:type="dxa"/>
            <w:tcBorders>
              <w:top w:val="nil"/>
              <w:left w:val="single" w:sz="4" w:space="0" w:color="FFFFFF"/>
              <w:bottom w:val="nil"/>
              <w:right w:val="nil"/>
            </w:tcBorders>
            <w:shd w:val="clear" w:color="000000" w:fill="D9D9D9"/>
            <w:vAlign w:val="bottom"/>
            <w:hideMark/>
          </w:tcPr>
          <w:p w14:paraId="008E3C2D"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Technicians and associate professionals in the public service perform technical and related tasks connected with government regulations and operations.</w:t>
            </w:r>
            <w:r w:rsidRPr="001445A8">
              <w:rPr>
                <w:rFonts w:ascii="Calibri" w:eastAsia="Times New Roman" w:hAnsi="Calibri" w:cs="Calibri"/>
                <w:color w:val="000000"/>
                <w:sz w:val="18"/>
                <w:szCs w:val="18"/>
                <w:lang w:val="en-US" w:eastAsia="pt-PT"/>
              </w:rPr>
              <w:br/>
              <w:t>• Among other tasks, they perform mostly technical tasks connected with enforcing or applying government rules, financial accounting, human resource development, specialized secretarial tasks, etc.</w:t>
            </w:r>
          </w:p>
        </w:tc>
      </w:tr>
      <w:tr w:rsidR="00806682" w:rsidRPr="00806682" w14:paraId="0AC3D6F8" w14:textId="77777777" w:rsidTr="00806682">
        <w:trPr>
          <w:divId w:val="768281210"/>
          <w:trHeight w:val="1695"/>
        </w:trPr>
        <w:tc>
          <w:tcPr>
            <w:tcW w:w="1460" w:type="dxa"/>
            <w:tcBorders>
              <w:top w:val="single" w:sz="4" w:space="0" w:color="FFFFFF"/>
              <w:left w:val="single" w:sz="4" w:space="0" w:color="FFFFFF"/>
              <w:bottom w:val="single" w:sz="4" w:space="0" w:color="FFFFFF"/>
              <w:right w:val="single" w:sz="4" w:space="0" w:color="FFFFFF"/>
            </w:tcBorders>
            <w:shd w:val="clear" w:color="000000" w:fill="D9D9D9"/>
            <w:vAlign w:val="center"/>
            <w:hideMark/>
          </w:tcPr>
          <w:p w14:paraId="0C2C201C"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Clerical Support Workers</w:t>
            </w:r>
          </w:p>
        </w:tc>
        <w:tc>
          <w:tcPr>
            <w:tcW w:w="1480" w:type="dxa"/>
            <w:tcBorders>
              <w:top w:val="single" w:sz="4" w:space="0" w:color="FFFFFF"/>
              <w:left w:val="nil"/>
              <w:bottom w:val="single" w:sz="4" w:space="0" w:color="FFFFFF"/>
              <w:right w:val="single" w:sz="4" w:space="0" w:color="FFFFFF"/>
            </w:tcBorders>
            <w:shd w:val="clear" w:color="000000" w:fill="D9D9D9"/>
            <w:vAlign w:val="center"/>
            <w:hideMark/>
          </w:tcPr>
          <w:p w14:paraId="13D892D7" w14:textId="77777777" w:rsidR="00806682" w:rsidRPr="001445A8" w:rsidRDefault="00806682" w:rsidP="001445A8">
            <w:pPr>
              <w:spacing w:after="0" w:line="240" w:lineRule="auto"/>
              <w:jc w:val="center"/>
              <w:rPr>
                <w:rFonts w:ascii="Calibri" w:eastAsia="Times New Roman" w:hAnsi="Calibri" w:cs="Calibri"/>
                <w:color w:val="000000"/>
                <w:sz w:val="18"/>
                <w:szCs w:val="18"/>
                <w:lang w:val="pt-PT" w:eastAsia="pt-PT"/>
              </w:rPr>
            </w:pPr>
            <w:r w:rsidRPr="001445A8">
              <w:rPr>
                <w:rFonts w:ascii="Calibri" w:eastAsia="Times New Roman" w:hAnsi="Calibri" w:cs="Calibri"/>
                <w:color w:val="000000"/>
                <w:sz w:val="18"/>
                <w:szCs w:val="18"/>
                <w:lang w:val="pt-PT" w:eastAsia="pt-PT"/>
              </w:rPr>
              <w:t>41</w:t>
            </w:r>
          </w:p>
        </w:tc>
        <w:tc>
          <w:tcPr>
            <w:tcW w:w="5986" w:type="dxa"/>
            <w:tcBorders>
              <w:top w:val="single" w:sz="4" w:space="0" w:color="FFFFFF"/>
              <w:left w:val="nil"/>
              <w:bottom w:val="single" w:sz="4" w:space="0" w:color="FFFFFF"/>
              <w:right w:val="single" w:sz="4" w:space="0" w:color="FFFFFF"/>
            </w:tcBorders>
            <w:shd w:val="clear" w:color="000000" w:fill="D9D9D9"/>
            <w:vAlign w:val="bottom"/>
            <w:hideMark/>
          </w:tcPr>
          <w:p w14:paraId="7685EC36"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They are sometimes referred to as general office clerks.</w:t>
            </w:r>
            <w:r w:rsidRPr="001445A8">
              <w:rPr>
                <w:rFonts w:ascii="Calibri" w:eastAsia="Times New Roman" w:hAnsi="Calibri" w:cs="Calibri"/>
                <w:color w:val="000000"/>
                <w:sz w:val="18"/>
                <w:szCs w:val="18"/>
                <w:lang w:val="en-US" w:eastAsia="pt-PT"/>
              </w:rPr>
              <w:br/>
              <w:t>• They are generally not required to have a university degree, although they may.</w:t>
            </w:r>
            <w:r w:rsidRPr="001445A8">
              <w:rPr>
                <w:rFonts w:ascii="Calibri" w:eastAsia="Times New Roman" w:hAnsi="Calibri" w:cs="Calibri"/>
                <w:color w:val="000000"/>
                <w:sz w:val="18"/>
                <w:szCs w:val="18"/>
                <w:lang w:val="en-US" w:eastAsia="pt-PT"/>
              </w:rPr>
              <w:br/>
              <w:t>• They perform a wide range of clerical and administrative tasks such as travel arrangements, preparation of reports and correspondence, money-handling operations, requests for information, and appointments.</w:t>
            </w:r>
            <w:r w:rsidRPr="001445A8">
              <w:rPr>
                <w:rFonts w:ascii="Calibri" w:eastAsia="Times New Roman" w:hAnsi="Calibri" w:cs="Calibri"/>
                <w:color w:val="000000"/>
                <w:sz w:val="18"/>
                <w:szCs w:val="18"/>
                <w:lang w:val="en-US" w:eastAsia="pt-PT"/>
              </w:rPr>
              <w:br/>
              <w:t>• Some assist in the preparation of budgets, monitoring of expenditures, drafting of contracts and purchasing or acquisition orders.</w:t>
            </w:r>
          </w:p>
        </w:tc>
      </w:tr>
    </w:tbl>
    <w:p w14:paraId="0BD741C7" w14:textId="3E7AD093" w:rsidR="00200CA7" w:rsidRDefault="00200CA7" w:rsidP="00830FD0">
      <w:pPr>
        <w:keepNext/>
        <w:shd w:val="clear" w:color="auto" w:fill="FFFFFF"/>
        <w:jc w:val="center"/>
        <w:rPr>
          <w:rFonts w:ascii="Calibri" w:hAnsi="Calibri" w:cs="Calibri"/>
          <w:b/>
          <w:noProof/>
          <w:color w:val="000000" w:themeColor="text1"/>
          <w:sz w:val="21"/>
          <w:szCs w:val="21"/>
          <w:lang w:eastAsia="en-GB"/>
        </w:rPr>
      </w:pPr>
      <w:r w:rsidRPr="001D434A">
        <w:rPr>
          <w:rFonts w:ascii="Calibri" w:hAnsi="Calibri" w:cs="Calibri"/>
          <w:b/>
          <w:noProof/>
          <w:color w:val="000000" w:themeColor="text1"/>
          <w:sz w:val="21"/>
          <w:szCs w:val="21"/>
          <w:lang w:eastAsia="en-GB"/>
        </w:rPr>
        <w:fldChar w:fldCharType="end"/>
      </w:r>
    </w:p>
    <w:p w14:paraId="2797BDE6" w14:textId="55C822D6" w:rsidR="00656479" w:rsidRDefault="00656479" w:rsidP="009B66C8">
      <w:pPr>
        <w:keepNext/>
        <w:shd w:val="clear" w:color="auto" w:fill="FFFFFF"/>
        <w:rPr>
          <w:rFonts w:ascii="Calibri" w:hAnsi="Calibri" w:cs="Calibri"/>
          <w:noProof/>
          <w:color w:val="000000" w:themeColor="text1"/>
          <w:sz w:val="21"/>
          <w:szCs w:val="21"/>
          <w:lang w:eastAsia="en-GB"/>
        </w:rPr>
      </w:pPr>
    </w:p>
    <w:p w14:paraId="4AD952F1" w14:textId="7BC4ECF1" w:rsidR="00830FD0" w:rsidRDefault="00830FD0" w:rsidP="00830FD0">
      <w:pPr>
        <w:shd w:val="clear" w:color="auto" w:fill="FFFFFF"/>
        <w:rPr>
          <w:rFonts w:ascii="Calibri" w:hAnsi="Calibri" w:cs="Calibri"/>
          <w:color w:val="000000" w:themeColor="text1"/>
          <w:sz w:val="21"/>
          <w:szCs w:val="21"/>
          <w:lang w:eastAsia="en-GB"/>
        </w:rPr>
      </w:pPr>
    </w:p>
    <w:p w14:paraId="0E4FCC1C" w14:textId="77777777" w:rsidR="00830FD0" w:rsidRDefault="00830FD0" w:rsidP="00830FD0">
      <w:pPr>
        <w:shd w:val="clear" w:color="auto" w:fill="FFFFFF"/>
        <w:rPr>
          <w:rFonts w:ascii="Calibri" w:hAnsi="Calibri" w:cs="Calibri"/>
          <w:color w:val="000000" w:themeColor="text1"/>
          <w:sz w:val="21"/>
          <w:szCs w:val="21"/>
          <w:lang w:eastAsia="en-GB"/>
        </w:rPr>
      </w:pPr>
    </w:p>
    <w:p w14:paraId="2655F882" w14:textId="77777777" w:rsidR="00830FD0" w:rsidRDefault="00830FD0" w:rsidP="00830FD0">
      <w:pPr>
        <w:shd w:val="clear" w:color="auto" w:fill="FFFFFF"/>
        <w:rPr>
          <w:rFonts w:ascii="Calibri" w:hAnsi="Calibri" w:cs="Calibri"/>
          <w:color w:val="000000" w:themeColor="text1"/>
          <w:sz w:val="21"/>
          <w:szCs w:val="21"/>
          <w:lang w:eastAsia="en-GB"/>
        </w:rPr>
      </w:pPr>
    </w:p>
    <w:p w14:paraId="4B2B5EC1" w14:textId="77777777" w:rsidR="00830FD0" w:rsidRPr="00E17440" w:rsidRDefault="00830FD0" w:rsidP="00830FD0">
      <w:pPr>
        <w:keepNext/>
        <w:shd w:val="clear" w:color="auto" w:fill="FFFFFF"/>
        <w:jc w:val="center"/>
        <w:rPr>
          <w:rFonts w:ascii="Calibri" w:hAnsi="Calibri" w:cs="Calibri"/>
          <w:color w:val="FF0000"/>
          <w:sz w:val="21"/>
          <w:szCs w:val="21"/>
          <w:lang w:eastAsia="en-GB"/>
        </w:rPr>
      </w:pPr>
      <w:r w:rsidRPr="001633BD">
        <w:rPr>
          <w:rFonts w:ascii="Calibri" w:hAnsi="Calibri" w:cs="Calibri"/>
          <w:b/>
          <w:noProof/>
          <w:color w:val="000000" w:themeColor="text1"/>
          <w:sz w:val="21"/>
          <w:szCs w:val="21"/>
          <w:lang w:eastAsia="en-GB"/>
        </w:rPr>
        <w:t xml:space="preserve">Table 2: Transposition from national classification into ISCO-08-based occupational categories for </w:t>
      </w:r>
      <w:r>
        <w:rPr>
          <w:rFonts w:ascii="Calibri" w:hAnsi="Calibri" w:cs="Calibri"/>
          <w:b/>
          <w:noProof/>
          <w:color w:val="000000" w:themeColor="text1"/>
          <w:sz w:val="21"/>
          <w:szCs w:val="21"/>
          <w:lang w:eastAsia="en-GB"/>
        </w:rPr>
        <w:br/>
      </w:r>
      <w:r w:rsidRPr="001633BD">
        <w:rPr>
          <w:rFonts w:ascii="Calibri" w:hAnsi="Calibri" w:cs="Calibri"/>
          <w:b/>
          <w:noProof/>
          <w:color w:val="000000" w:themeColor="text1"/>
          <w:sz w:val="21"/>
          <w:szCs w:val="21"/>
          <w:u w:val="single"/>
          <w:lang w:eastAsia="en-GB"/>
        </w:rPr>
        <w:t>front-line service workers</w:t>
      </w:r>
      <w:r w:rsidRPr="001633BD">
        <w:rPr>
          <w:rFonts w:ascii="Calibri" w:hAnsi="Calibri" w:cs="Calibri"/>
          <w:b/>
          <w:noProof/>
          <w:color w:val="000000" w:themeColor="text1"/>
          <w:sz w:val="21"/>
          <w:szCs w:val="21"/>
          <w:lang w:eastAsia="en-GB"/>
        </w:rPr>
        <w:t xml:space="preserve"> in the public service</w:t>
      </w:r>
    </w:p>
    <w:p w14:paraId="59DEEF8C" w14:textId="3E05D330" w:rsidR="00830FD0" w:rsidRDefault="00830FD0" w:rsidP="00830FD0">
      <w:pPr>
        <w:shd w:val="clear" w:color="auto" w:fill="FFFFFF"/>
        <w:rPr>
          <w:rFonts w:ascii="Calibri" w:hAnsi="Calibri" w:cs="Calibri"/>
          <w:color w:val="000000" w:themeColor="text1"/>
          <w:sz w:val="21"/>
          <w:szCs w:val="21"/>
          <w:lang w:eastAsia="en-GB"/>
        </w:rPr>
      </w:pPr>
    </w:p>
    <w:p w14:paraId="3B6B36BD" w14:textId="6694E70F" w:rsidR="00806682" w:rsidRDefault="001D434A" w:rsidP="00830FD0">
      <w:pPr>
        <w:shd w:val="clear" w:color="auto" w:fill="FFFFFF"/>
      </w:pPr>
      <w:r>
        <w:rPr>
          <w:lang w:eastAsia="en-GB"/>
        </w:rPr>
        <w:fldChar w:fldCharType="begin"/>
      </w:r>
      <w:r>
        <w:rPr>
          <w:lang w:eastAsia="en-GB"/>
        </w:rPr>
        <w:instrText xml:space="preserve"> LINK </w:instrText>
      </w:r>
      <w:r w:rsidR="00806682">
        <w:rPr>
          <w:lang w:eastAsia="en-GB"/>
        </w:rPr>
        <w:instrText xml:space="preserve">Excel.Sheet.12 "C:\\Users\\Mariana\\Dropbox (UNDP Norge)\\SDG 16 consultancy docs\\Custodianship and Methodology\\Reporting Platform\\Reported data 2022\\Metadata-16-07-01b_Tables.xlsx" "Table 2!R2C2:R7C4" </w:instrText>
      </w:r>
      <w:r>
        <w:rPr>
          <w:lang w:eastAsia="en-GB"/>
        </w:rPr>
        <w:instrText xml:space="preserve">\a \f 4 \h  \* MERGEFORMAT </w:instrText>
      </w:r>
      <w:r>
        <w:rPr>
          <w:lang w:eastAsia="en-GB"/>
        </w:rPr>
        <w:fldChar w:fldCharType="separate"/>
      </w:r>
    </w:p>
    <w:tbl>
      <w:tblPr>
        <w:tblW w:w="8926" w:type="dxa"/>
        <w:tblCellMar>
          <w:left w:w="70" w:type="dxa"/>
          <w:right w:w="70" w:type="dxa"/>
        </w:tblCellMar>
        <w:tblLook w:val="04A0" w:firstRow="1" w:lastRow="0" w:firstColumn="1" w:lastColumn="0" w:noHBand="0" w:noVBand="1"/>
      </w:tblPr>
      <w:tblGrid>
        <w:gridCol w:w="1904"/>
        <w:gridCol w:w="2260"/>
        <w:gridCol w:w="4762"/>
      </w:tblGrid>
      <w:tr w:rsidR="00806682" w:rsidRPr="00806682" w14:paraId="22997AF6" w14:textId="77777777" w:rsidTr="001445A8">
        <w:trPr>
          <w:divId w:val="1011224412"/>
          <w:trHeight w:val="600"/>
        </w:trPr>
        <w:tc>
          <w:tcPr>
            <w:tcW w:w="8926" w:type="dxa"/>
            <w:gridSpan w:val="3"/>
            <w:tcBorders>
              <w:top w:val="single" w:sz="4" w:space="0" w:color="FFFFFF"/>
              <w:left w:val="single" w:sz="4" w:space="0" w:color="FFFFFF"/>
              <w:bottom w:val="single" w:sz="4" w:space="0" w:color="FFFFFF"/>
              <w:right w:val="single" w:sz="4" w:space="0" w:color="FFFFFF"/>
            </w:tcBorders>
            <w:shd w:val="clear" w:color="000000" w:fill="FFFFFF"/>
            <w:noWrap/>
            <w:vAlign w:val="center"/>
            <w:hideMark/>
          </w:tcPr>
          <w:p w14:paraId="4480F73B" w14:textId="1791475B" w:rsidR="00806682" w:rsidRPr="001445A8" w:rsidRDefault="00806682" w:rsidP="001445A8">
            <w:pPr>
              <w:spacing w:after="0" w:line="240" w:lineRule="auto"/>
              <w:jc w:val="center"/>
              <w:rPr>
                <w:rFonts w:ascii="Calibri" w:eastAsia="Times New Roman" w:hAnsi="Calibri" w:cs="Calibri"/>
                <w:b/>
                <w:bCs/>
                <w:i/>
                <w:iCs/>
                <w:color w:val="000000"/>
                <w:sz w:val="18"/>
                <w:szCs w:val="18"/>
                <w:lang w:val="pt-PT" w:eastAsia="pt-PT"/>
              </w:rPr>
            </w:pPr>
            <w:r w:rsidRPr="001445A8">
              <w:rPr>
                <w:rFonts w:ascii="Calibri" w:eastAsia="Times New Roman" w:hAnsi="Calibri" w:cs="Calibri"/>
                <w:b/>
                <w:bCs/>
                <w:i/>
                <w:iCs/>
                <w:color w:val="000000"/>
                <w:sz w:val="18"/>
                <w:szCs w:val="18"/>
                <w:lang w:val="pt-PT" w:eastAsia="pt-PT"/>
              </w:rPr>
              <w:t>Front-Line Service Workers</w:t>
            </w:r>
          </w:p>
        </w:tc>
      </w:tr>
      <w:tr w:rsidR="00806682" w:rsidRPr="00806682" w14:paraId="6BE270C8" w14:textId="77777777" w:rsidTr="00806682">
        <w:trPr>
          <w:divId w:val="1011224412"/>
          <w:trHeight w:val="600"/>
        </w:trPr>
        <w:tc>
          <w:tcPr>
            <w:tcW w:w="4164" w:type="dxa"/>
            <w:gridSpan w:val="2"/>
            <w:tcBorders>
              <w:top w:val="single" w:sz="4" w:space="0" w:color="FFFFFF"/>
              <w:left w:val="single" w:sz="4" w:space="0" w:color="FFFFFF"/>
              <w:bottom w:val="single" w:sz="4" w:space="0" w:color="FFFFFF"/>
              <w:right w:val="single" w:sz="4" w:space="0" w:color="FFFFFF"/>
            </w:tcBorders>
            <w:shd w:val="clear" w:color="000000" w:fill="D9D9D9"/>
            <w:noWrap/>
            <w:vAlign w:val="bottom"/>
            <w:hideMark/>
          </w:tcPr>
          <w:p w14:paraId="750EF1C0" w14:textId="77777777" w:rsidR="00806682" w:rsidRPr="001445A8" w:rsidRDefault="00806682" w:rsidP="001445A8">
            <w:pPr>
              <w:spacing w:after="0" w:line="240" w:lineRule="auto"/>
              <w:jc w:val="center"/>
              <w:rPr>
                <w:rFonts w:ascii="Calibri" w:eastAsia="Times New Roman" w:hAnsi="Calibri" w:cs="Calibri"/>
                <w:color w:val="000000"/>
                <w:sz w:val="18"/>
                <w:szCs w:val="18"/>
                <w:lang w:val="pt-PT" w:eastAsia="pt-PT"/>
              </w:rPr>
            </w:pPr>
            <w:r w:rsidRPr="001445A8">
              <w:rPr>
                <w:rFonts w:ascii="Calibri" w:eastAsia="Times New Roman" w:hAnsi="Calibri" w:cs="Calibri"/>
                <w:color w:val="000000"/>
                <w:sz w:val="18"/>
                <w:szCs w:val="18"/>
                <w:lang w:val="pt-PT" w:eastAsia="pt-PT"/>
              </w:rPr>
              <w:t> </w:t>
            </w:r>
          </w:p>
        </w:tc>
        <w:tc>
          <w:tcPr>
            <w:tcW w:w="4762" w:type="dxa"/>
            <w:tcBorders>
              <w:top w:val="nil"/>
              <w:left w:val="nil"/>
              <w:bottom w:val="single" w:sz="4" w:space="0" w:color="FFFFFF"/>
              <w:right w:val="single" w:sz="4" w:space="0" w:color="FFFFFF"/>
            </w:tcBorders>
            <w:shd w:val="clear" w:color="000000" w:fill="BFBFBF"/>
            <w:noWrap/>
            <w:vAlign w:val="center"/>
            <w:hideMark/>
          </w:tcPr>
          <w:p w14:paraId="595D5067"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Examples</w:t>
            </w:r>
          </w:p>
        </w:tc>
      </w:tr>
      <w:tr w:rsidR="00806682" w:rsidRPr="00806682" w14:paraId="6090E572" w14:textId="77777777" w:rsidTr="00806682">
        <w:trPr>
          <w:divId w:val="1011224412"/>
          <w:trHeight w:val="2700"/>
        </w:trPr>
        <w:tc>
          <w:tcPr>
            <w:tcW w:w="1904" w:type="dxa"/>
            <w:tcBorders>
              <w:top w:val="nil"/>
              <w:left w:val="single" w:sz="4" w:space="0" w:color="FFFFFF"/>
              <w:bottom w:val="single" w:sz="4" w:space="0" w:color="FFFFFF"/>
              <w:right w:val="single" w:sz="4" w:space="0" w:color="FFFFFF"/>
            </w:tcBorders>
            <w:shd w:val="clear" w:color="000000" w:fill="D9D9D9"/>
            <w:noWrap/>
            <w:vAlign w:val="center"/>
            <w:hideMark/>
          </w:tcPr>
          <w:p w14:paraId="690DA20A"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Police Personnel</w:t>
            </w:r>
          </w:p>
        </w:tc>
        <w:tc>
          <w:tcPr>
            <w:tcW w:w="2260" w:type="dxa"/>
            <w:tcBorders>
              <w:top w:val="nil"/>
              <w:left w:val="nil"/>
              <w:bottom w:val="single" w:sz="4" w:space="0" w:color="FFFFFF"/>
              <w:right w:val="single" w:sz="4" w:space="0" w:color="FFFFFF"/>
            </w:tcBorders>
            <w:shd w:val="clear" w:color="000000" w:fill="D9D9D9"/>
            <w:vAlign w:val="center"/>
            <w:hideMark/>
          </w:tcPr>
          <w:p w14:paraId="4B0E3D5D"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Managers: 1112, 121, 134</w:t>
            </w:r>
            <w:r w:rsidRPr="001445A8">
              <w:rPr>
                <w:rFonts w:ascii="Calibri" w:eastAsia="Times New Roman" w:hAnsi="Calibri" w:cs="Calibri"/>
                <w:color w:val="000000"/>
                <w:sz w:val="18"/>
                <w:szCs w:val="18"/>
                <w:lang w:val="en-US" w:eastAsia="pt-PT"/>
              </w:rPr>
              <w:br/>
              <w:t>• Professionals: 241-242, 25</w:t>
            </w:r>
            <w:r w:rsidRPr="001445A8">
              <w:rPr>
                <w:rFonts w:ascii="Calibri" w:eastAsia="Times New Roman" w:hAnsi="Calibri" w:cs="Calibri"/>
                <w:color w:val="000000"/>
                <w:sz w:val="18"/>
                <w:szCs w:val="18"/>
                <w:lang w:val="en-US" w:eastAsia="pt-PT"/>
              </w:rPr>
              <w:br/>
              <w:t>• Technicians and Associate Professionals: 3355, 5412, 5413, 334</w:t>
            </w:r>
            <w:r w:rsidRPr="001445A8">
              <w:rPr>
                <w:rFonts w:ascii="Calibri" w:eastAsia="Times New Roman" w:hAnsi="Calibri" w:cs="Calibri"/>
                <w:color w:val="000000"/>
                <w:sz w:val="18"/>
                <w:szCs w:val="18"/>
                <w:lang w:val="en-US" w:eastAsia="pt-PT"/>
              </w:rPr>
              <w:br/>
              <w:t>• Clerical Support Workers: 41</w:t>
            </w:r>
          </w:p>
        </w:tc>
        <w:tc>
          <w:tcPr>
            <w:tcW w:w="4762" w:type="dxa"/>
            <w:tcBorders>
              <w:top w:val="nil"/>
              <w:left w:val="nil"/>
              <w:bottom w:val="single" w:sz="4" w:space="0" w:color="FFFFFF"/>
              <w:right w:val="single" w:sz="4" w:space="0" w:color="FFFFFF"/>
            </w:tcBorders>
            <w:shd w:val="clear" w:color="000000" w:fill="D9D9D9"/>
            <w:vAlign w:val="bottom"/>
            <w:hideMark/>
          </w:tcPr>
          <w:p w14:paraId="7C54E98E"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xml:space="preserve">• </w:t>
            </w:r>
            <w:r w:rsidRPr="001445A8">
              <w:rPr>
                <w:rFonts w:ascii="Calibri" w:eastAsia="Times New Roman" w:hAnsi="Calibri" w:cs="Calibri"/>
                <w:b/>
                <w:bCs/>
                <w:color w:val="000000"/>
                <w:sz w:val="18"/>
                <w:szCs w:val="18"/>
                <w:lang w:val="en-US" w:eastAsia="pt-PT"/>
              </w:rPr>
              <w:t>Managers (</w:t>
            </w:r>
            <w:proofErr w:type="gramStart"/>
            <w:r w:rsidRPr="001445A8">
              <w:rPr>
                <w:rFonts w:ascii="Calibri" w:eastAsia="Times New Roman" w:hAnsi="Calibri" w:cs="Calibri"/>
                <w:b/>
                <w:bCs/>
                <w:color w:val="000000"/>
                <w:sz w:val="18"/>
                <w:szCs w:val="18"/>
                <w:lang w:val="en-US" w:eastAsia="pt-PT"/>
              </w:rPr>
              <w:t>i.e.</w:t>
            </w:r>
            <w:proofErr w:type="gramEnd"/>
            <w:r w:rsidRPr="001445A8">
              <w:rPr>
                <w:rFonts w:ascii="Calibri" w:eastAsia="Times New Roman" w:hAnsi="Calibri" w:cs="Calibri"/>
                <w:b/>
                <w:bCs/>
                <w:color w:val="000000"/>
                <w:sz w:val="18"/>
                <w:szCs w:val="18"/>
                <w:lang w:val="en-US" w:eastAsia="pt-PT"/>
              </w:rPr>
              <w:t xml:space="preserve"> career public servants – NOT appointed)</w:t>
            </w:r>
            <w:r w:rsidRPr="001445A8">
              <w:rPr>
                <w:rFonts w:ascii="Calibri" w:eastAsia="Times New Roman" w:hAnsi="Calibri" w:cs="Calibri"/>
                <w:color w:val="000000"/>
                <w:sz w:val="18"/>
                <w:szCs w:val="18"/>
                <w:lang w:val="en-US" w:eastAsia="pt-PT"/>
              </w:rPr>
              <w:t xml:space="preserve">: e.g. Police Inspector-General, police chief constable, police commissioner, police inspector-general, police </w:t>
            </w:r>
            <w:proofErr w:type="spellStart"/>
            <w:r w:rsidRPr="001445A8">
              <w:rPr>
                <w:rFonts w:ascii="Calibri" w:eastAsia="Times New Roman" w:hAnsi="Calibri" w:cs="Calibri"/>
                <w:color w:val="000000"/>
                <w:sz w:val="18"/>
                <w:szCs w:val="18"/>
                <w:lang w:val="en-US" w:eastAsia="pt-PT"/>
              </w:rPr>
              <w:t>superintendant</w:t>
            </w:r>
            <w:proofErr w:type="spellEnd"/>
            <w:r w:rsidRPr="001445A8">
              <w:rPr>
                <w:rFonts w:ascii="Calibri" w:eastAsia="Times New Roman" w:hAnsi="Calibri" w:cs="Calibri"/>
                <w:color w:val="000000"/>
                <w:sz w:val="18"/>
                <w:szCs w:val="18"/>
                <w:lang w:val="en-US" w:eastAsia="pt-PT"/>
              </w:rPr>
              <w:t xml:space="preserve">, finance manager, human resources manager, policy and planning manager (in a police facility).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Finance professionals, administration professional, information and communications technology professionals (in a police facility).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Technicians and Associate 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Constable, police officer police patrol office, police inspector and detective, prison guard.</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Clerical Support Workers</w:t>
            </w:r>
            <w:r w:rsidRPr="001445A8">
              <w:rPr>
                <w:rFonts w:ascii="Calibri" w:eastAsia="Times New Roman" w:hAnsi="Calibri" w:cs="Calibri"/>
                <w:color w:val="000000"/>
                <w:sz w:val="18"/>
                <w:szCs w:val="18"/>
                <w:lang w:val="en-US" w:eastAsia="pt-PT"/>
              </w:rPr>
              <w:t xml:space="preserve">: e.g. General office clerks (in a police facility).  </w:t>
            </w:r>
          </w:p>
        </w:tc>
      </w:tr>
      <w:tr w:rsidR="00806682" w:rsidRPr="00806682" w14:paraId="2DE4C3A8" w14:textId="77777777" w:rsidTr="00806682">
        <w:trPr>
          <w:divId w:val="1011224412"/>
          <w:trHeight w:val="2445"/>
        </w:trPr>
        <w:tc>
          <w:tcPr>
            <w:tcW w:w="1904" w:type="dxa"/>
            <w:tcBorders>
              <w:top w:val="nil"/>
              <w:left w:val="single" w:sz="4" w:space="0" w:color="FFFFFF"/>
              <w:bottom w:val="single" w:sz="4" w:space="0" w:color="FFFFFF"/>
              <w:right w:val="single" w:sz="4" w:space="0" w:color="FFFFFF"/>
            </w:tcBorders>
            <w:shd w:val="clear" w:color="000000" w:fill="D9D9D9"/>
            <w:noWrap/>
            <w:vAlign w:val="center"/>
            <w:hideMark/>
          </w:tcPr>
          <w:p w14:paraId="31BF1FCE"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lastRenderedPageBreak/>
              <w:t>Education Personnel</w:t>
            </w:r>
          </w:p>
        </w:tc>
        <w:tc>
          <w:tcPr>
            <w:tcW w:w="2260" w:type="dxa"/>
            <w:tcBorders>
              <w:top w:val="nil"/>
              <w:left w:val="nil"/>
              <w:bottom w:val="single" w:sz="4" w:space="0" w:color="FFFFFF"/>
              <w:right w:val="single" w:sz="4" w:space="0" w:color="FFFFFF"/>
            </w:tcBorders>
            <w:shd w:val="clear" w:color="000000" w:fill="D9D9D9"/>
            <w:vAlign w:val="center"/>
            <w:hideMark/>
          </w:tcPr>
          <w:p w14:paraId="0C33F011"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Managers: 121, 1345</w:t>
            </w:r>
            <w:r w:rsidRPr="001445A8">
              <w:rPr>
                <w:rFonts w:ascii="Calibri" w:eastAsia="Times New Roman" w:hAnsi="Calibri" w:cs="Calibri"/>
                <w:color w:val="000000"/>
                <w:sz w:val="18"/>
                <w:szCs w:val="18"/>
                <w:lang w:val="en-US" w:eastAsia="pt-PT"/>
              </w:rPr>
              <w:br/>
              <w:t>• Professionals: 231-235, 241-242</w:t>
            </w:r>
            <w:r w:rsidRPr="001445A8">
              <w:rPr>
                <w:rFonts w:ascii="Calibri" w:eastAsia="Times New Roman" w:hAnsi="Calibri" w:cs="Calibri"/>
                <w:color w:val="000000"/>
                <w:sz w:val="18"/>
                <w:szCs w:val="18"/>
                <w:lang w:val="en-US" w:eastAsia="pt-PT"/>
              </w:rPr>
              <w:br/>
              <w:t>• Technicians and Associate Professionals: 531, 334</w:t>
            </w:r>
            <w:r w:rsidRPr="001445A8">
              <w:rPr>
                <w:rFonts w:ascii="Calibri" w:eastAsia="Times New Roman" w:hAnsi="Calibri" w:cs="Calibri"/>
                <w:color w:val="000000"/>
                <w:sz w:val="18"/>
                <w:szCs w:val="18"/>
                <w:lang w:val="en-US" w:eastAsia="pt-PT"/>
              </w:rPr>
              <w:br/>
              <w:t xml:space="preserve">• Clerical Support Workers: 41   </w:t>
            </w:r>
          </w:p>
        </w:tc>
        <w:tc>
          <w:tcPr>
            <w:tcW w:w="4762" w:type="dxa"/>
            <w:tcBorders>
              <w:top w:val="nil"/>
              <w:left w:val="nil"/>
              <w:bottom w:val="single" w:sz="4" w:space="0" w:color="FFFFFF"/>
              <w:right w:val="single" w:sz="4" w:space="0" w:color="FFFFFF"/>
            </w:tcBorders>
            <w:shd w:val="clear" w:color="000000" w:fill="D9D9D9"/>
            <w:vAlign w:val="bottom"/>
            <w:hideMark/>
          </w:tcPr>
          <w:p w14:paraId="3F8D6191"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xml:space="preserve">• </w:t>
            </w:r>
            <w:r w:rsidRPr="001445A8">
              <w:rPr>
                <w:rFonts w:ascii="Calibri" w:eastAsia="Times New Roman" w:hAnsi="Calibri" w:cs="Calibri"/>
                <w:b/>
                <w:bCs/>
                <w:color w:val="000000"/>
                <w:sz w:val="18"/>
                <w:szCs w:val="18"/>
                <w:lang w:val="en-US" w:eastAsia="pt-PT"/>
              </w:rPr>
              <w:t>Managers (</w:t>
            </w:r>
            <w:proofErr w:type="gramStart"/>
            <w:r w:rsidRPr="001445A8">
              <w:rPr>
                <w:rFonts w:ascii="Calibri" w:eastAsia="Times New Roman" w:hAnsi="Calibri" w:cs="Calibri"/>
                <w:b/>
                <w:bCs/>
                <w:color w:val="000000"/>
                <w:sz w:val="18"/>
                <w:szCs w:val="18"/>
                <w:lang w:val="en-US" w:eastAsia="pt-PT"/>
              </w:rPr>
              <w:t>i.e.</w:t>
            </w:r>
            <w:proofErr w:type="gramEnd"/>
            <w:r w:rsidRPr="001445A8">
              <w:rPr>
                <w:rFonts w:ascii="Calibri" w:eastAsia="Times New Roman" w:hAnsi="Calibri" w:cs="Calibri"/>
                <w:b/>
                <w:bCs/>
                <w:color w:val="000000"/>
                <w:sz w:val="18"/>
                <w:szCs w:val="18"/>
                <w:lang w:val="en-US" w:eastAsia="pt-PT"/>
              </w:rPr>
              <w:t xml:space="preserve"> career public servants – NOT appointed)</w:t>
            </w:r>
            <w:r w:rsidRPr="001445A8">
              <w:rPr>
                <w:rFonts w:ascii="Calibri" w:eastAsia="Times New Roman" w:hAnsi="Calibri" w:cs="Calibri"/>
                <w:color w:val="000000"/>
                <w:sz w:val="18"/>
                <w:szCs w:val="18"/>
                <w:lang w:val="en-US" w:eastAsia="pt-PT"/>
              </w:rPr>
              <w:t xml:space="preserve">: e.g. University dean, college director, school principal, childcare </w:t>
            </w:r>
            <w:proofErr w:type="spellStart"/>
            <w:r w:rsidRPr="001445A8">
              <w:rPr>
                <w:rFonts w:ascii="Calibri" w:eastAsia="Times New Roman" w:hAnsi="Calibri" w:cs="Calibri"/>
                <w:color w:val="000000"/>
                <w:sz w:val="18"/>
                <w:szCs w:val="18"/>
                <w:lang w:val="en-US" w:eastAsia="pt-PT"/>
              </w:rPr>
              <w:t>centre</w:t>
            </w:r>
            <w:proofErr w:type="spellEnd"/>
            <w:r w:rsidRPr="001445A8">
              <w:rPr>
                <w:rFonts w:ascii="Calibri" w:eastAsia="Times New Roman" w:hAnsi="Calibri" w:cs="Calibri"/>
                <w:color w:val="000000"/>
                <w:sz w:val="18"/>
                <w:szCs w:val="18"/>
                <w:lang w:val="en-US" w:eastAsia="pt-PT"/>
              </w:rPr>
              <w:t xml:space="preserve"> manager, finance manager, human resources manager, policy and planning manager (in an education facility).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University and higher education teachers, vocational education teachers, primary/secondary school teachers, primary school and early childhood teachers.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Technicians and Associate 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Child care workers and teachers’ aides.</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Clerical Support Workers</w:t>
            </w:r>
            <w:r w:rsidRPr="001445A8">
              <w:rPr>
                <w:rFonts w:ascii="Calibri" w:eastAsia="Times New Roman" w:hAnsi="Calibri" w:cs="Calibri"/>
                <w:color w:val="000000"/>
                <w:sz w:val="18"/>
                <w:szCs w:val="18"/>
                <w:lang w:val="en-US" w:eastAsia="pt-PT"/>
              </w:rPr>
              <w:t xml:space="preserve">: e.g. General office clerks (in an education facility).  </w:t>
            </w:r>
          </w:p>
        </w:tc>
      </w:tr>
      <w:tr w:rsidR="00806682" w:rsidRPr="00806682" w14:paraId="30B3D434" w14:textId="77777777" w:rsidTr="00806682">
        <w:trPr>
          <w:divId w:val="1011224412"/>
          <w:trHeight w:val="2700"/>
        </w:trPr>
        <w:tc>
          <w:tcPr>
            <w:tcW w:w="1904" w:type="dxa"/>
            <w:tcBorders>
              <w:top w:val="nil"/>
              <w:left w:val="single" w:sz="4" w:space="0" w:color="FFFFFF"/>
              <w:bottom w:val="single" w:sz="4" w:space="0" w:color="FFFFFF"/>
              <w:right w:val="single" w:sz="4" w:space="0" w:color="FFFFFF"/>
            </w:tcBorders>
            <w:shd w:val="clear" w:color="000000" w:fill="D9D9D9"/>
            <w:noWrap/>
            <w:vAlign w:val="center"/>
            <w:hideMark/>
          </w:tcPr>
          <w:p w14:paraId="3C32BE8D"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Health Personnel</w:t>
            </w:r>
          </w:p>
        </w:tc>
        <w:tc>
          <w:tcPr>
            <w:tcW w:w="2260" w:type="dxa"/>
            <w:tcBorders>
              <w:top w:val="nil"/>
              <w:left w:val="nil"/>
              <w:bottom w:val="single" w:sz="4" w:space="0" w:color="FFFFFF"/>
              <w:right w:val="single" w:sz="4" w:space="0" w:color="FFFFFF"/>
            </w:tcBorders>
            <w:shd w:val="clear" w:color="000000" w:fill="D9D9D9"/>
            <w:vAlign w:val="center"/>
            <w:hideMark/>
          </w:tcPr>
          <w:p w14:paraId="01C4FBBF"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Managers: 121, 1342, 1343</w:t>
            </w:r>
            <w:r w:rsidRPr="001445A8">
              <w:rPr>
                <w:rFonts w:ascii="Calibri" w:eastAsia="Times New Roman" w:hAnsi="Calibri" w:cs="Calibri"/>
                <w:color w:val="000000"/>
                <w:sz w:val="18"/>
                <w:szCs w:val="18"/>
                <w:lang w:val="en-US" w:eastAsia="pt-PT"/>
              </w:rPr>
              <w:br/>
              <w:t>• Professionals: 22, 241-242</w:t>
            </w:r>
            <w:r w:rsidRPr="001445A8">
              <w:rPr>
                <w:rFonts w:ascii="Calibri" w:eastAsia="Times New Roman" w:hAnsi="Calibri" w:cs="Calibri"/>
                <w:color w:val="000000"/>
                <w:sz w:val="18"/>
                <w:szCs w:val="18"/>
                <w:lang w:val="en-US" w:eastAsia="pt-PT"/>
              </w:rPr>
              <w:br/>
              <w:t>• Technicians and Associate Professionals: 32, 532, 3344</w:t>
            </w:r>
            <w:r w:rsidRPr="001445A8">
              <w:rPr>
                <w:rFonts w:ascii="Calibri" w:eastAsia="Times New Roman" w:hAnsi="Calibri" w:cs="Calibri"/>
                <w:color w:val="000000"/>
                <w:sz w:val="18"/>
                <w:szCs w:val="18"/>
                <w:lang w:val="en-US" w:eastAsia="pt-PT"/>
              </w:rPr>
              <w:br/>
              <w:t xml:space="preserve">• Clerical Support Workers: 41   </w:t>
            </w:r>
          </w:p>
        </w:tc>
        <w:tc>
          <w:tcPr>
            <w:tcW w:w="4762" w:type="dxa"/>
            <w:tcBorders>
              <w:top w:val="nil"/>
              <w:left w:val="nil"/>
              <w:bottom w:val="single" w:sz="4" w:space="0" w:color="FFFFFF"/>
              <w:right w:val="single" w:sz="4" w:space="0" w:color="FFFFFF"/>
            </w:tcBorders>
            <w:shd w:val="clear" w:color="000000" w:fill="D9D9D9"/>
            <w:vAlign w:val="bottom"/>
            <w:hideMark/>
          </w:tcPr>
          <w:p w14:paraId="7CFA7DAA"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xml:space="preserve">• </w:t>
            </w:r>
            <w:r w:rsidRPr="001445A8">
              <w:rPr>
                <w:rFonts w:ascii="Calibri" w:eastAsia="Times New Roman" w:hAnsi="Calibri" w:cs="Calibri"/>
                <w:b/>
                <w:bCs/>
                <w:color w:val="000000"/>
                <w:sz w:val="18"/>
                <w:szCs w:val="18"/>
                <w:lang w:val="en-US" w:eastAsia="pt-PT"/>
              </w:rPr>
              <w:t>Managers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i.e.</w:t>
            </w:r>
            <w:proofErr w:type="gramEnd"/>
            <w:r w:rsidRPr="001445A8">
              <w:rPr>
                <w:rFonts w:ascii="Calibri" w:eastAsia="Times New Roman" w:hAnsi="Calibri" w:cs="Calibri"/>
                <w:color w:val="000000"/>
                <w:sz w:val="18"/>
                <w:szCs w:val="18"/>
                <w:lang w:val="en-US" w:eastAsia="pt-PT"/>
              </w:rPr>
              <w:t xml:space="preserve"> career public servants – NOT appointed): e.g. Hospital director, health facility administrator, clinical director, community health care coordinator, aged care service manager, finance manager, human resources manager, policy and planning manager (in a health facility).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Medical doctors, nursing and midwifery professionals, veterinarians, dentists, pharmacists.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Technicians and Associate 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Health associate professionals, ambulance workers, personal care workers in health services, medical secretaries.</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Clerical Support Workers</w:t>
            </w:r>
            <w:r w:rsidRPr="001445A8">
              <w:rPr>
                <w:rFonts w:ascii="Calibri" w:eastAsia="Times New Roman" w:hAnsi="Calibri" w:cs="Calibri"/>
                <w:color w:val="000000"/>
                <w:sz w:val="18"/>
                <w:szCs w:val="18"/>
                <w:lang w:val="en-US" w:eastAsia="pt-PT"/>
              </w:rPr>
              <w:t xml:space="preserve">: e.g. General office clerks (in a health facility).  </w:t>
            </w:r>
          </w:p>
        </w:tc>
      </w:tr>
      <w:tr w:rsidR="00806682" w:rsidRPr="00806682" w14:paraId="0B4C564C" w14:textId="77777777" w:rsidTr="00806682">
        <w:trPr>
          <w:divId w:val="1011224412"/>
          <w:trHeight w:val="3900"/>
        </w:trPr>
        <w:tc>
          <w:tcPr>
            <w:tcW w:w="1904" w:type="dxa"/>
            <w:tcBorders>
              <w:top w:val="nil"/>
              <w:left w:val="single" w:sz="4" w:space="0" w:color="FFFFFF"/>
              <w:bottom w:val="single" w:sz="4" w:space="0" w:color="FFFFFF"/>
              <w:right w:val="single" w:sz="4" w:space="0" w:color="FFFFFF"/>
            </w:tcBorders>
            <w:shd w:val="clear" w:color="000000" w:fill="D9D9D9"/>
            <w:vAlign w:val="center"/>
            <w:hideMark/>
          </w:tcPr>
          <w:p w14:paraId="7DE09997" w14:textId="77777777" w:rsidR="00806682" w:rsidRPr="001445A8" w:rsidRDefault="00806682" w:rsidP="001445A8">
            <w:pPr>
              <w:spacing w:after="0" w:line="240" w:lineRule="auto"/>
              <w:jc w:val="center"/>
              <w:rPr>
                <w:rFonts w:ascii="Calibri" w:eastAsia="Times New Roman" w:hAnsi="Calibri" w:cs="Calibri"/>
                <w:b/>
                <w:bCs/>
                <w:color w:val="000000"/>
                <w:sz w:val="18"/>
                <w:szCs w:val="18"/>
                <w:lang w:val="pt-PT" w:eastAsia="pt-PT"/>
              </w:rPr>
            </w:pPr>
            <w:r w:rsidRPr="001445A8">
              <w:rPr>
                <w:rFonts w:ascii="Calibri" w:eastAsia="Times New Roman" w:hAnsi="Calibri" w:cs="Calibri"/>
                <w:b/>
                <w:bCs/>
                <w:color w:val="000000"/>
                <w:sz w:val="18"/>
                <w:szCs w:val="18"/>
                <w:lang w:val="pt-PT" w:eastAsia="pt-PT"/>
              </w:rPr>
              <w:t>Front-Desk Administrative Personnel</w:t>
            </w:r>
          </w:p>
        </w:tc>
        <w:tc>
          <w:tcPr>
            <w:tcW w:w="2260" w:type="dxa"/>
            <w:tcBorders>
              <w:top w:val="nil"/>
              <w:left w:val="nil"/>
              <w:bottom w:val="single" w:sz="4" w:space="0" w:color="FFFFFF"/>
              <w:right w:val="single" w:sz="4" w:space="0" w:color="FFFFFF"/>
            </w:tcBorders>
            <w:shd w:val="clear" w:color="000000" w:fill="D9D9D9"/>
            <w:vAlign w:val="center"/>
            <w:hideMark/>
          </w:tcPr>
          <w:p w14:paraId="2C7139BB"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Managers: 112, 121</w:t>
            </w:r>
            <w:r w:rsidRPr="001445A8">
              <w:rPr>
                <w:rFonts w:ascii="Calibri" w:eastAsia="Times New Roman" w:hAnsi="Calibri" w:cs="Calibri"/>
                <w:color w:val="000000"/>
                <w:sz w:val="18"/>
                <w:szCs w:val="18"/>
                <w:lang w:val="en-US" w:eastAsia="pt-PT"/>
              </w:rPr>
              <w:br/>
              <w:t>• Professionals: 241-242, 25</w:t>
            </w:r>
            <w:r w:rsidRPr="001445A8">
              <w:rPr>
                <w:rFonts w:ascii="Calibri" w:eastAsia="Times New Roman" w:hAnsi="Calibri" w:cs="Calibri"/>
                <w:color w:val="000000"/>
                <w:sz w:val="18"/>
                <w:szCs w:val="18"/>
                <w:lang w:val="en-US" w:eastAsia="pt-PT"/>
              </w:rPr>
              <w:br/>
              <w:t>• Technicians and Associate Professionals: 334, 335</w:t>
            </w:r>
            <w:r w:rsidRPr="001445A8">
              <w:rPr>
                <w:rFonts w:ascii="Calibri" w:eastAsia="Times New Roman" w:hAnsi="Calibri" w:cs="Calibri"/>
                <w:color w:val="000000"/>
                <w:sz w:val="18"/>
                <w:szCs w:val="18"/>
                <w:lang w:val="en-US" w:eastAsia="pt-PT"/>
              </w:rPr>
              <w:br/>
              <w:t xml:space="preserve">• Clerical Support Workers: 41   </w:t>
            </w:r>
          </w:p>
        </w:tc>
        <w:tc>
          <w:tcPr>
            <w:tcW w:w="4762" w:type="dxa"/>
            <w:tcBorders>
              <w:top w:val="nil"/>
              <w:left w:val="nil"/>
              <w:bottom w:val="single" w:sz="4" w:space="0" w:color="FFFFFF"/>
              <w:right w:val="single" w:sz="4" w:space="0" w:color="FFFFFF"/>
            </w:tcBorders>
            <w:shd w:val="clear" w:color="000000" w:fill="D9D9D9"/>
            <w:vAlign w:val="bottom"/>
            <w:hideMark/>
          </w:tcPr>
          <w:p w14:paraId="0EC088CA" w14:textId="77777777" w:rsidR="00806682" w:rsidRPr="001445A8" w:rsidRDefault="00806682" w:rsidP="001445A8">
            <w:pPr>
              <w:spacing w:after="0" w:line="240" w:lineRule="auto"/>
              <w:rPr>
                <w:rFonts w:ascii="Calibri" w:eastAsia="Times New Roman" w:hAnsi="Calibri" w:cs="Calibri"/>
                <w:color w:val="000000"/>
                <w:sz w:val="18"/>
                <w:szCs w:val="18"/>
                <w:lang w:val="en-US" w:eastAsia="pt-PT"/>
              </w:rPr>
            </w:pPr>
            <w:r w:rsidRPr="001445A8">
              <w:rPr>
                <w:rFonts w:ascii="Calibri" w:eastAsia="Times New Roman" w:hAnsi="Calibri" w:cs="Calibri"/>
                <w:color w:val="000000"/>
                <w:sz w:val="18"/>
                <w:szCs w:val="18"/>
                <w:lang w:val="en-US" w:eastAsia="pt-PT"/>
              </w:rPr>
              <w:t xml:space="preserve">• </w:t>
            </w:r>
            <w:r w:rsidRPr="001445A8">
              <w:rPr>
                <w:rFonts w:ascii="Calibri" w:eastAsia="Times New Roman" w:hAnsi="Calibri" w:cs="Calibri"/>
                <w:b/>
                <w:bCs/>
                <w:color w:val="000000"/>
                <w:sz w:val="18"/>
                <w:szCs w:val="18"/>
                <w:lang w:val="en-US" w:eastAsia="pt-PT"/>
              </w:rPr>
              <w:t>Managers (</w:t>
            </w:r>
            <w:proofErr w:type="gramStart"/>
            <w:r w:rsidRPr="001445A8">
              <w:rPr>
                <w:rFonts w:ascii="Calibri" w:eastAsia="Times New Roman" w:hAnsi="Calibri" w:cs="Calibri"/>
                <w:b/>
                <w:bCs/>
                <w:color w:val="000000"/>
                <w:sz w:val="18"/>
                <w:szCs w:val="18"/>
                <w:lang w:val="en-US" w:eastAsia="pt-PT"/>
              </w:rPr>
              <w:t>i.e.</w:t>
            </w:r>
            <w:proofErr w:type="gramEnd"/>
            <w:r w:rsidRPr="001445A8">
              <w:rPr>
                <w:rFonts w:ascii="Calibri" w:eastAsia="Times New Roman" w:hAnsi="Calibri" w:cs="Calibri"/>
                <w:b/>
                <w:bCs/>
                <w:color w:val="000000"/>
                <w:sz w:val="18"/>
                <w:szCs w:val="18"/>
                <w:lang w:val="en-US" w:eastAsia="pt-PT"/>
              </w:rPr>
              <w:t xml:space="preserve"> career public servants – NOT appointed)</w:t>
            </w:r>
            <w:r w:rsidRPr="001445A8">
              <w:rPr>
                <w:rFonts w:ascii="Calibri" w:eastAsia="Times New Roman" w:hAnsi="Calibri" w:cs="Calibri"/>
                <w:color w:val="000000"/>
                <w:sz w:val="18"/>
                <w:szCs w:val="18"/>
                <w:lang w:val="en-US" w:eastAsia="pt-PT"/>
              </w:rPr>
              <w:t xml:space="preserve">: e.g. Managing directors of government offices providing a wide range of administrative services, including registration services (e.g. delivery of personal identity documents, various types of licenses, building permits, etc.) taxation, social benefits, customs and border inspection, etc.; finance manager, human resources manager, policy and planning manager (in a government office).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Finance professionals, administration professionals, information and communications technology professionals (in a government office).  </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Technicians and Associate Professionals</w:t>
            </w:r>
            <w:r w:rsidRPr="001445A8">
              <w:rPr>
                <w:rFonts w:ascii="Calibri" w:eastAsia="Times New Roman" w:hAnsi="Calibri" w:cs="Calibri"/>
                <w:color w:val="000000"/>
                <w:sz w:val="18"/>
                <w:szCs w:val="18"/>
                <w:lang w:val="en-US" w:eastAsia="pt-PT"/>
              </w:rPr>
              <w:t xml:space="preserve">: </w:t>
            </w:r>
            <w:proofErr w:type="gramStart"/>
            <w:r w:rsidRPr="001445A8">
              <w:rPr>
                <w:rFonts w:ascii="Calibri" w:eastAsia="Times New Roman" w:hAnsi="Calibri" w:cs="Calibri"/>
                <w:color w:val="000000"/>
                <w:sz w:val="18"/>
                <w:szCs w:val="18"/>
                <w:lang w:val="en-US" w:eastAsia="pt-PT"/>
              </w:rPr>
              <w:t>e.g.</w:t>
            </w:r>
            <w:proofErr w:type="gramEnd"/>
            <w:r w:rsidRPr="001445A8">
              <w:rPr>
                <w:rFonts w:ascii="Calibri" w:eastAsia="Times New Roman" w:hAnsi="Calibri" w:cs="Calibri"/>
                <w:color w:val="000000"/>
                <w:sz w:val="18"/>
                <w:szCs w:val="18"/>
                <w:lang w:val="en-US" w:eastAsia="pt-PT"/>
              </w:rPr>
              <w:t xml:space="preserve"> Customs and border inspectors, government tax and excise officials, government social benefits officials, government licensing officials.</w:t>
            </w:r>
            <w:r w:rsidRPr="001445A8">
              <w:rPr>
                <w:rFonts w:ascii="Calibri" w:eastAsia="Times New Roman" w:hAnsi="Calibri" w:cs="Calibri"/>
                <w:color w:val="000000"/>
                <w:sz w:val="18"/>
                <w:szCs w:val="18"/>
                <w:lang w:val="en-US" w:eastAsia="pt-PT"/>
              </w:rPr>
              <w:br/>
              <w:t xml:space="preserve">• </w:t>
            </w:r>
            <w:r w:rsidRPr="001445A8">
              <w:rPr>
                <w:rFonts w:ascii="Calibri" w:eastAsia="Times New Roman" w:hAnsi="Calibri" w:cs="Calibri"/>
                <w:b/>
                <w:bCs/>
                <w:color w:val="000000"/>
                <w:sz w:val="18"/>
                <w:szCs w:val="18"/>
                <w:lang w:val="en-US" w:eastAsia="pt-PT"/>
              </w:rPr>
              <w:t>Clerical Support Workers</w:t>
            </w:r>
            <w:r w:rsidRPr="001445A8">
              <w:rPr>
                <w:rFonts w:ascii="Calibri" w:eastAsia="Times New Roman" w:hAnsi="Calibri" w:cs="Calibri"/>
                <w:color w:val="000000"/>
                <w:sz w:val="18"/>
                <w:szCs w:val="18"/>
                <w:lang w:val="en-US" w:eastAsia="pt-PT"/>
              </w:rPr>
              <w:t xml:space="preserve">: e.g. General office clerks (in a government office).  </w:t>
            </w:r>
          </w:p>
        </w:tc>
      </w:tr>
    </w:tbl>
    <w:p w14:paraId="198DDADA" w14:textId="1D7117D2" w:rsidR="001D434A" w:rsidRDefault="001D434A" w:rsidP="00830FD0">
      <w:pPr>
        <w:shd w:val="clear" w:color="auto" w:fill="FFFFFF"/>
        <w:rPr>
          <w:rFonts w:ascii="Calibri" w:hAnsi="Calibri" w:cs="Calibri"/>
          <w:color w:val="000000" w:themeColor="text1"/>
          <w:sz w:val="21"/>
          <w:szCs w:val="21"/>
          <w:lang w:eastAsia="en-GB"/>
        </w:rPr>
      </w:pPr>
      <w:r>
        <w:rPr>
          <w:rFonts w:ascii="Calibri" w:hAnsi="Calibri" w:cs="Calibri"/>
          <w:color w:val="000000" w:themeColor="text1"/>
          <w:sz w:val="21"/>
          <w:szCs w:val="21"/>
          <w:lang w:eastAsia="en-GB"/>
        </w:rPr>
        <w:fldChar w:fldCharType="end"/>
      </w:r>
    </w:p>
    <w:p w14:paraId="5898BB1B" w14:textId="77777777" w:rsidR="00830FD0" w:rsidRDefault="00830FD0" w:rsidP="00830FD0">
      <w:pPr>
        <w:shd w:val="clear" w:color="auto" w:fill="FFFFFF"/>
        <w:rPr>
          <w:rFonts w:ascii="Calibri" w:hAnsi="Calibri" w:cs="Calibri"/>
          <w:color w:val="000000" w:themeColor="text1"/>
          <w:sz w:val="21"/>
          <w:szCs w:val="21"/>
          <w:lang w:eastAsia="en-GB"/>
        </w:rPr>
      </w:pPr>
    </w:p>
    <w:p w14:paraId="764ECE33" w14:textId="77777777" w:rsidR="00830FD0" w:rsidRDefault="00830FD0" w:rsidP="00830FD0">
      <w:pPr>
        <w:shd w:val="clear" w:color="auto" w:fill="FFFFFF"/>
        <w:rPr>
          <w:rFonts w:ascii="Calibri" w:hAnsi="Calibri" w:cs="Calibri"/>
          <w:color w:val="000000" w:themeColor="text1"/>
          <w:sz w:val="21"/>
          <w:szCs w:val="21"/>
          <w:lang w:eastAsia="en-GB"/>
        </w:rPr>
      </w:pPr>
    </w:p>
    <w:p w14:paraId="48498119" w14:textId="77777777" w:rsidR="00830FD0" w:rsidRDefault="00830FD0" w:rsidP="00830FD0">
      <w:pPr>
        <w:shd w:val="clear" w:color="auto" w:fill="FFFFFF"/>
        <w:rPr>
          <w:rFonts w:ascii="Calibri" w:hAnsi="Calibri" w:cs="Calibri"/>
          <w:color w:val="000000" w:themeColor="text1"/>
          <w:sz w:val="21"/>
          <w:szCs w:val="21"/>
          <w:lang w:eastAsia="en-GB"/>
        </w:rPr>
      </w:pPr>
    </w:p>
    <w:p w14:paraId="46EA7E9D" w14:textId="77777777" w:rsidR="00830FD0" w:rsidRDefault="00830FD0" w:rsidP="00830FD0">
      <w:pPr>
        <w:shd w:val="clear" w:color="auto" w:fill="FFFFFF"/>
        <w:rPr>
          <w:rFonts w:ascii="Calibri" w:hAnsi="Calibri" w:cs="Calibri"/>
          <w:i/>
          <w:color w:val="000000" w:themeColor="text1"/>
          <w:sz w:val="21"/>
          <w:szCs w:val="21"/>
          <w:u w:val="single"/>
          <w:lang w:eastAsia="en-GB"/>
        </w:rPr>
      </w:pPr>
    </w:p>
    <w:p w14:paraId="2D082168" w14:textId="77777777" w:rsidR="00830FD0" w:rsidRPr="001633BD" w:rsidRDefault="00830FD0" w:rsidP="00830FD0">
      <w:pPr>
        <w:shd w:val="clear" w:color="auto" w:fill="FFFFFF"/>
        <w:rPr>
          <w:rFonts w:ascii="Calibri" w:hAnsi="Calibri" w:cs="Calibri"/>
          <w:i/>
          <w:color w:val="000000" w:themeColor="text1"/>
          <w:sz w:val="21"/>
          <w:szCs w:val="21"/>
          <w:u w:val="single"/>
          <w:lang w:eastAsia="en-GB"/>
        </w:rPr>
      </w:pPr>
    </w:p>
    <w:p w14:paraId="2BF65A7D" w14:textId="77777777" w:rsidR="00830FD0" w:rsidRPr="00C40089" w:rsidRDefault="00830FD0" w:rsidP="00830FD0">
      <w:pPr>
        <w:shd w:val="clear" w:color="auto" w:fill="FFFFFF"/>
        <w:rPr>
          <w:rFonts w:ascii="Calibri" w:hAnsi="Calibri" w:cs="Calibri"/>
          <w:color w:val="4A4A4A"/>
          <w:sz w:val="21"/>
          <w:szCs w:val="21"/>
          <w:lang w:eastAsia="en-GB"/>
        </w:rPr>
      </w:pPr>
    </w:p>
    <w:p w14:paraId="24FA40BB" w14:textId="77777777" w:rsidR="00830FD0" w:rsidRDefault="00830FD0" w:rsidP="00830FD0">
      <w:pPr>
        <w:rPr>
          <w:rFonts w:ascii="Calibri" w:hAnsi="Calibri" w:cs="Calibri"/>
          <w:color w:val="4A4A4A"/>
          <w:sz w:val="21"/>
          <w:szCs w:val="21"/>
          <w:lang w:eastAsia="en-GB"/>
        </w:rPr>
      </w:pPr>
      <w:r>
        <w:rPr>
          <w:rFonts w:ascii="Calibri" w:hAnsi="Calibri" w:cs="Calibri"/>
          <w:color w:val="4A4A4A"/>
          <w:sz w:val="21"/>
          <w:szCs w:val="21"/>
          <w:lang w:eastAsia="en-GB"/>
        </w:rPr>
        <w:br w:type="page"/>
      </w:r>
    </w:p>
    <w:p w14:paraId="398C00AE" w14:textId="77777777" w:rsidR="00EC2915" w:rsidRPr="00A96255" w:rsidRDefault="00EC2915" w:rsidP="00576CFA">
      <w:pPr>
        <w:pStyle w:val="MText"/>
      </w:pPr>
    </w:p>
    <w:p w14:paraId="26EED85B" w14:textId="280DE283" w:rsidR="002661A3" w:rsidRPr="00D228D5" w:rsidRDefault="00E1050F" w:rsidP="00D228D5">
      <w:pPr>
        <w:pStyle w:val="MHeader2"/>
      </w:pPr>
      <w:r w:rsidRPr="00A96255">
        <w:t xml:space="preserve">4.c. Method of computation </w:t>
      </w:r>
      <w:r>
        <w:rPr>
          <w:color w:val="B4B4B4"/>
          <w:sz w:val="20"/>
        </w:rPr>
        <w:t>(DATA_COMP)</w:t>
      </w:r>
    </w:p>
    <w:p w14:paraId="700831CE" w14:textId="7B3756C6" w:rsidR="002661A3" w:rsidRPr="00711230" w:rsidRDefault="002661A3" w:rsidP="002661A3">
      <w:pPr>
        <w:shd w:val="clear" w:color="auto" w:fill="FFFFFF"/>
        <w:jc w:val="both"/>
        <w:rPr>
          <w:rFonts w:ascii="Calibri" w:hAnsi="Calibri" w:cs="Calibri"/>
          <w:color w:val="4A4A4A"/>
          <w:sz w:val="21"/>
          <w:szCs w:val="21"/>
          <w:lang w:eastAsia="en-GB"/>
        </w:rPr>
      </w:pPr>
      <w:r w:rsidRPr="00711230">
        <w:rPr>
          <w:rFonts w:ascii="Calibri" w:hAnsi="Calibri" w:cs="Calibri"/>
          <w:bCs/>
          <w:color w:val="4A4A4A"/>
          <w:sz w:val="21"/>
          <w:szCs w:val="21"/>
          <w:lang w:eastAsia="en-GB"/>
        </w:rPr>
        <w:t xml:space="preserve">Indicator 16.7.1(b) aims to compare the proportion of various demographic groups (by sex, age, </w:t>
      </w:r>
      <w:proofErr w:type="gramStart"/>
      <w:r w:rsidRPr="00711230">
        <w:rPr>
          <w:rFonts w:ascii="Calibri" w:hAnsi="Calibri" w:cs="Calibri"/>
          <w:bCs/>
          <w:color w:val="4A4A4A"/>
          <w:sz w:val="21"/>
          <w:szCs w:val="21"/>
          <w:lang w:eastAsia="en-GB"/>
        </w:rPr>
        <w:t>disability</w:t>
      </w:r>
      <w:proofErr w:type="gramEnd"/>
      <w:r w:rsidRPr="00711230">
        <w:rPr>
          <w:rFonts w:ascii="Calibri" w:hAnsi="Calibri" w:cs="Calibri"/>
          <w:bCs/>
          <w:color w:val="4A4A4A"/>
          <w:sz w:val="21"/>
          <w:szCs w:val="21"/>
          <w:lang w:eastAsia="en-GB"/>
        </w:rPr>
        <w:t xml:space="preserve"> and population groups) represented in the public service, with the proportion of these same groups in the national population. </w:t>
      </w:r>
      <w:r w:rsidRPr="00711230">
        <w:rPr>
          <w:rFonts w:ascii="Calibri" w:hAnsi="Calibri" w:cs="Calibri"/>
          <w:color w:val="4A4A4A"/>
          <w:sz w:val="21"/>
          <w:szCs w:val="21"/>
          <w:lang w:eastAsia="en-GB"/>
        </w:rPr>
        <w:t xml:space="preserve">More specifically, the proportional representation of these demographic groups is assessed across various occupational categories as well as across two administrative levels. </w:t>
      </w:r>
    </w:p>
    <w:p w14:paraId="0EE1CB50" w14:textId="1508F47A" w:rsidR="002661A3" w:rsidRPr="00711230" w:rsidRDefault="002661A3" w:rsidP="002661A3">
      <w:pPr>
        <w:shd w:val="clear" w:color="auto" w:fill="FFFFFF"/>
        <w:jc w:val="both"/>
        <w:rPr>
          <w:rFonts w:ascii="Calibri" w:hAnsi="Calibri" w:cs="Calibri"/>
          <w:bCs/>
          <w:color w:val="4A4A4A"/>
          <w:sz w:val="21"/>
          <w:szCs w:val="21"/>
          <w:lang w:eastAsia="en-GB"/>
        </w:rPr>
      </w:pPr>
      <w:r w:rsidRPr="00711230">
        <w:rPr>
          <w:rFonts w:ascii="Calibri" w:hAnsi="Calibri" w:cs="Calibri"/>
          <w:bCs/>
          <w:color w:val="4A4A4A"/>
          <w:sz w:val="21"/>
          <w:szCs w:val="21"/>
          <w:lang w:eastAsia="en-GB"/>
        </w:rPr>
        <w:t xml:space="preserve">When computing these proportions, all the considerations detailed above in the section “concepts and definitions” should be respected, including on institutional units covered, administrative levels, occupational </w:t>
      </w:r>
      <w:proofErr w:type="gramStart"/>
      <w:r w:rsidRPr="00711230">
        <w:rPr>
          <w:rFonts w:ascii="Calibri" w:hAnsi="Calibri" w:cs="Calibri"/>
          <w:bCs/>
          <w:color w:val="4A4A4A"/>
          <w:sz w:val="21"/>
          <w:szCs w:val="21"/>
          <w:lang w:eastAsia="en-GB"/>
        </w:rPr>
        <w:t>categories</w:t>
      </w:r>
      <w:proofErr w:type="gramEnd"/>
      <w:r w:rsidRPr="00711230">
        <w:rPr>
          <w:rFonts w:ascii="Calibri" w:hAnsi="Calibri" w:cs="Calibri"/>
          <w:bCs/>
          <w:color w:val="4A4A4A"/>
          <w:sz w:val="21"/>
          <w:szCs w:val="21"/>
          <w:lang w:eastAsia="en-GB"/>
        </w:rPr>
        <w:t xml:space="preserve"> and appointed/elected positions.</w:t>
      </w:r>
    </w:p>
    <w:p w14:paraId="074180DA" w14:textId="77777777" w:rsidR="002661A3" w:rsidRPr="00711230" w:rsidRDefault="002661A3" w:rsidP="00326A66">
      <w:pPr>
        <w:pStyle w:val="ListParagraph"/>
        <w:numPr>
          <w:ilvl w:val="0"/>
          <w:numId w:val="2"/>
        </w:numPr>
        <w:rPr>
          <w:color w:val="4A4A4A"/>
          <w:sz w:val="21"/>
          <w:szCs w:val="21"/>
        </w:rPr>
      </w:pPr>
      <w:r w:rsidRPr="00711230">
        <w:rPr>
          <w:rFonts w:ascii="Calibri" w:hAnsi="Calibri" w:cs="Calibri"/>
          <w:i/>
          <w:color w:val="4A4A4A"/>
          <w:sz w:val="21"/>
          <w:szCs w:val="21"/>
          <w:lang w:eastAsia="en-GB"/>
        </w:rPr>
        <w:t xml:space="preserve">An online SDG 16 Data Reporting Platform </w:t>
      </w:r>
      <w:r w:rsidRPr="00711230">
        <w:rPr>
          <w:rFonts w:ascii="Calibri" w:hAnsi="Calibri" w:cs="Calibri"/>
          <w:iCs/>
          <w:color w:val="4A4A4A"/>
          <w:sz w:val="21"/>
          <w:szCs w:val="21"/>
          <w:lang w:eastAsia="en-GB"/>
        </w:rPr>
        <w:t>(</w:t>
      </w:r>
      <w:hyperlink r:id="rId14" w:history="1">
        <w:r w:rsidRPr="00887905">
          <w:rPr>
            <w:rStyle w:val="Hyperlink"/>
            <w:rFonts w:ascii="Calibri" w:hAnsi="Calibri"/>
            <w:iCs/>
            <w:sz w:val="21"/>
            <w:szCs w:val="21"/>
          </w:rPr>
          <w:t>https://sdg16reporting.undp.org</w:t>
        </w:r>
      </w:hyperlink>
      <w:r w:rsidRPr="00887905">
        <w:rPr>
          <w:rFonts w:ascii="Calibri" w:hAnsi="Calibri"/>
          <w:iCs/>
          <w:sz w:val="21"/>
          <w:szCs w:val="21"/>
        </w:rPr>
        <w:t xml:space="preserve"> </w:t>
      </w:r>
      <w:r w:rsidRPr="00711230">
        <w:rPr>
          <w:rFonts w:ascii="Calibri" w:hAnsi="Calibri"/>
          <w:iCs/>
          <w:color w:val="4A4A4A"/>
          <w:sz w:val="21"/>
          <w:szCs w:val="21"/>
        </w:rPr>
        <w:t>– to be launched in April 2020)</w:t>
      </w:r>
      <w:r w:rsidRPr="00711230">
        <w:rPr>
          <w:rStyle w:val="apple-converted-space"/>
          <w:rFonts w:ascii="Calibri" w:hAnsi="Calibri"/>
          <w:iCs/>
          <w:color w:val="4A4A4A"/>
          <w:sz w:val="21"/>
          <w:szCs w:val="21"/>
        </w:rPr>
        <w:t> </w:t>
      </w:r>
      <w:r w:rsidRPr="00711230">
        <w:rPr>
          <w:rStyle w:val="apple-converted-space"/>
          <w:rFonts w:ascii="Calibri" w:hAnsi="Calibri"/>
          <w:color w:val="4A4A4A"/>
          <w:sz w:val="21"/>
          <w:szCs w:val="21"/>
        </w:rPr>
        <w:t xml:space="preserve">was developed by custodian agency UNDP </w:t>
      </w:r>
      <w:r w:rsidRPr="00711230">
        <w:rPr>
          <w:rFonts w:ascii="Calibri" w:hAnsi="Calibri" w:cs="Calibri"/>
          <w:color w:val="4A4A4A"/>
          <w:sz w:val="21"/>
          <w:szCs w:val="21"/>
          <w:lang w:eastAsia="en-GB"/>
        </w:rPr>
        <w:t xml:space="preserve">to assist countries in reporting on this indicator, at the level of both national and sub-national government, and on the basis of sex, location (urban/rural), income or expenditure quintiles, age groups, nationally relevant population groups and disability status. Countries should use the online data forms and </w:t>
      </w:r>
      <w:r w:rsidRPr="00711230">
        <w:rPr>
          <w:rFonts w:ascii="Calibri" w:hAnsi="Calibri" w:cs="Calibri"/>
          <w:iCs/>
          <w:color w:val="4A4A4A"/>
          <w:sz w:val="21"/>
          <w:szCs w:val="21"/>
          <w:lang w:eastAsia="en-GB"/>
        </w:rPr>
        <w:t>accompanying guidance provided on this platform</w:t>
      </w:r>
      <w:r w:rsidRPr="00711230">
        <w:rPr>
          <w:rFonts w:ascii="Calibri" w:hAnsi="Calibri" w:cs="Calibri"/>
          <w:color w:val="4A4A4A"/>
          <w:sz w:val="21"/>
          <w:szCs w:val="21"/>
          <w:lang w:eastAsia="en-GB"/>
        </w:rPr>
        <w:t xml:space="preserve"> to report on this indicator</w:t>
      </w:r>
      <w:r w:rsidRPr="00711230">
        <w:rPr>
          <w:rFonts w:ascii="Calibri" w:hAnsi="Calibri" w:cs="Calibri"/>
          <w:iCs/>
          <w:color w:val="4A4A4A"/>
          <w:sz w:val="21"/>
          <w:szCs w:val="21"/>
          <w:lang w:eastAsia="en-GB"/>
        </w:rPr>
        <w:t>.</w:t>
      </w:r>
      <w:r w:rsidRPr="00711230">
        <w:rPr>
          <w:rFonts w:ascii="Calibri" w:hAnsi="Calibri" w:cs="Calibri"/>
          <w:i/>
          <w:color w:val="4A4A4A"/>
          <w:sz w:val="21"/>
          <w:szCs w:val="21"/>
          <w:lang w:eastAsia="en-GB"/>
        </w:rPr>
        <w:t xml:space="preserve"> </w:t>
      </w:r>
    </w:p>
    <w:p w14:paraId="76F8D4ED" w14:textId="77777777" w:rsidR="002661A3" w:rsidRPr="00711230" w:rsidRDefault="002661A3" w:rsidP="00326A66">
      <w:pPr>
        <w:pStyle w:val="ListParagraph"/>
        <w:numPr>
          <w:ilvl w:val="0"/>
          <w:numId w:val="1"/>
        </w:numPr>
        <w:shd w:val="clear" w:color="auto" w:fill="FFFFFF"/>
        <w:spacing w:after="0"/>
        <w:jc w:val="both"/>
        <w:rPr>
          <w:rFonts w:ascii="Calibri" w:hAnsi="Calibri" w:cs="Calibri"/>
          <w:bCs/>
          <w:color w:val="4A4A4A"/>
          <w:sz w:val="21"/>
          <w:szCs w:val="21"/>
          <w:lang w:eastAsia="en-GB"/>
        </w:rPr>
      </w:pPr>
      <w:r w:rsidRPr="00711230">
        <w:rPr>
          <w:rFonts w:ascii="Calibri" w:hAnsi="Calibri" w:cs="Calibri"/>
          <w:bCs/>
          <w:i/>
          <w:color w:val="4A4A4A"/>
          <w:sz w:val="21"/>
          <w:szCs w:val="21"/>
          <w:lang w:eastAsia="en-GB"/>
        </w:rPr>
        <w:t>Countries are encouraged to report data that is available</w:t>
      </w:r>
      <w:r w:rsidRPr="00711230">
        <w:rPr>
          <w:rFonts w:ascii="Calibri" w:hAnsi="Calibri" w:cs="Calibri"/>
          <w:bCs/>
          <w:color w:val="4A4A4A"/>
          <w:sz w:val="21"/>
          <w:szCs w:val="21"/>
          <w:lang w:eastAsia="en-GB"/>
        </w:rPr>
        <w:t xml:space="preserve">, understanding that public servant disaggregated data for disability status and </w:t>
      </w:r>
      <w:proofErr w:type="gramStart"/>
      <w:r w:rsidRPr="00711230">
        <w:rPr>
          <w:rFonts w:ascii="Calibri" w:hAnsi="Calibri" w:cs="Calibri"/>
          <w:bCs/>
          <w:color w:val="4A4A4A"/>
          <w:sz w:val="21"/>
          <w:szCs w:val="21"/>
          <w:lang w:eastAsia="en-GB"/>
        </w:rPr>
        <w:t>nationally-relevant</w:t>
      </w:r>
      <w:proofErr w:type="gramEnd"/>
      <w:r w:rsidRPr="00711230">
        <w:rPr>
          <w:rFonts w:ascii="Calibri" w:hAnsi="Calibri" w:cs="Calibri"/>
          <w:bCs/>
          <w:color w:val="4A4A4A"/>
          <w:sz w:val="21"/>
          <w:szCs w:val="21"/>
          <w:lang w:eastAsia="en-GB"/>
        </w:rPr>
        <w:t xml:space="preserve"> population groups may not be currently available in many jurisdictions. Countries are encouraged to build additional capacities to disaggregate data by these demographic groups.  </w:t>
      </w:r>
    </w:p>
    <w:p w14:paraId="430D8EF8" w14:textId="77777777" w:rsidR="002661A3" w:rsidRPr="00711230" w:rsidRDefault="002661A3" w:rsidP="00326A66">
      <w:pPr>
        <w:pStyle w:val="ListParagraph"/>
        <w:numPr>
          <w:ilvl w:val="0"/>
          <w:numId w:val="1"/>
        </w:numPr>
        <w:shd w:val="clear" w:color="auto" w:fill="FFFFFF"/>
        <w:spacing w:after="0"/>
        <w:jc w:val="both"/>
        <w:rPr>
          <w:rFonts w:ascii="Calibri" w:hAnsi="Calibri" w:cs="Calibri"/>
          <w:bCs/>
          <w:color w:val="4A4A4A"/>
          <w:sz w:val="21"/>
          <w:szCs w:val="21"/>
          <w:lang w:eastAsia="en-GB"/>
        </w:rPr>
      </w:pPr>
      <w:r w:rsidRPr="00711230">
        <w:rPr>
          <w:rFonts w:ascii="Calibri" w:hAnsi="Calibri" w:cs="Calibri"/>
          <w:bCs/>
          <w:i/>
          <w:color w:val="4A4A4A"/>
          <w:sz w:val="21"/>
          <w:szCs w:val="21"/>
          <w:lang w:eastAsia="en-GB"/>
        </w:rPr>
        <w:t>Information for part-time positions should be given in full-time equivalents</w:t>
      </w:r>
      <w:r w:rsidRPr="00711230">
        <w:rPr>
          <w:rFonts w:ascii="Calibri" w:hAnsi="Calibri" w:cs="Calibri"/>
          <w:bCs/>
          <w:color w:val="4A4A4A"/>
          <w:sz w:val="21"/>
          <w:szCs w:val="21"/>
          <w:lang w:eastAsia="en-GB"/>
        </w:rPr>
        <w:t xml:space="preserve"> and should be counted only for permanent posts </w:t>
      </w:r>
      <w:proofErr w:type="gramStart"/>
      <w:r w:rsidRPr="00711230">
        <w:rPr>
          <w:rFonts w:ascii="Calibri" w:hAnsi="Calibri" w:cs="Calibri"/>
          <w:bCs/>
          <w:color w:val="4A4A4A"/>
          <w:sz w:val="21"/>
          <w:szCs w:val="21"/>
          <w:lang w:eastAsia="en-GB"/>
        </w:rPr>
        <w:t>actually filled</w:t>
      </w:r>
      <w:proofErr w:type="gramEnd"/>
      <w:r w:rsidRPr="00711230">
        <w:rPr>
          <w:rFonts w:ascii="Calibri" w:hAnsi="Calibri" w:cs="Calibri"/>
          <w:bCs/>
          <w:color w:val="4A4A4A"/>
          <w:sz w:val="21"/>
          <w:szCs w:val="21"/>
          <w:lang w:eastAsia="en-GB"/>
        </w:rPr>
        <w:t>. It is important to consider the part-time or full-time status of posts to address the risk that some target groups may be underemployed and over-reported (</w:t>
      </w:r>
      <w:proofErr w:type="gramStart"/>
      <w:r w:rsidRPr="00711230">
        <w:rPr>
          <w:rFonts w:ascii="Calibri" w:hAnsi="Calibri" w:cs="Calibri"/>
          <w:bCs/>
          <w:color w:val="4A4A4A"/>
          <w:sz w:val="21"/>
          <w:szCs w:val="21"/>
          <w:lang w:eastAsia="en-GB"/>
        </w:rPr>
        <w:t>e.g.</w:t>
      </w:r>
      <w:proofErr w:type="gramEnd"/>
      <w:r w:rsidRPr="00711230">
        <w:rPr>
          <w:rFonts w:ascii="Calibri" w:hAnsi="Calibri" w:cs="Calibri"/>
          <w:bCs/>
          <w:color w:val="4A4A4A"/>
          <w:sz w:val="21"/>
          <w:szCs w:val="21"/>
          <w:lang w:eastAsia="en-GB"/>
        </w:rPr>
        <w:t xml:space="preserve"> If women are more likely to receive part-time posts than full-time posts, there might be a false impression that women are equally represented in those posts, when in reality they work less than their male counterparts due to their part-time status).  </w:t>
      </w:r>
    </w:p>
    <w:p w14:paraId="7A329822" w14:textId="77777777" w:rsidR="002661A3" w:rsidRPr="00711230" w:rsidRDefault="002661A3" w:rsidP="002661A3">
      <w:pPr>
        <w:pStyle w:val="ListParagraph"/>
        <w:shd w:val="clear" w:color="auto" w:fill="FFFFFF"/>
        <w:spacing w:after="0"/>
        <w:jc w:val="both"/>
        <w:rPr>
          <w:rFonts w:ascii="Calibri" w:hAnsi="Calibri" w:cs="Calibri"/>
          <w:bCs/>
          <w:color w:val="4A4A4A"/>
          <w:sz w:val="21"/>
          <w:szCs w:val="21"/>
          <w:highlight w:val="yellow"/>
          <w:lang w:eastAsia="en-GB"/>
        </w:rPr>
      </w:pPr>
    </w:p>
    <w:p w14:paraId="50EBEF4D" w14:textId="212113E3" w:rsidR="002661A3" w:rsidRPr="00711230" w:rsidRDefault="002661A3" w:rsidP="002661A3">
      <w:pPr>
        <w:shd w:val="clear" w:color="auto" w:fill="FFFFFF"/>
        <w:jc w:val="both"/>
        <w:rPr>
          <w:rFonts w:ascii="Calibri" w:hAnsi="Calibri" w:cs="Calibri"/>
          <w:bCs/>
          <w:color w:val="4A4A4A"/>
          <w:sz w:val="21"/>
          <w:szCs w:val="21"/>
          <w:lang w:eastAsia="en-GB"/>
        </w:rPr>
      </w:pPr>
      <w:r w:rsidRPr="00711230">
        <w:rPr>
          <w:rFonts w:ascii="Calibri" w:hAnsi="Calibri" w:cs="Calibri"/>
          <w:bCs/>
          <w:color w:val="4A4A4A"/>
          <w:sz w:val="21"/>
          <w:szCs w:val="21"/>
          <w:lang w:eastAsia="en-GB"/>
        </w:rPr>
        <w:t xml:space="preserve">Global reporting on indicator 16.7.1(b) can be done in three steps: </w:t>
      </w:r>
    </w:p>
    <w:p w14:paraId="06483026" w14:textId="2663EADE" w:rsidR="002661A3" w:rsidRPr="00711230" w:rsidRDefault="002661A3" w:rsidP="002661A3">
      <w:pPr>
        <w:shd w:val="clear" w:color="auto" w:fill="FFFFFF"/>
        <w:jc w:val="both"/>
        <w:rPr>
          <w:rFonts w:ascii="Calibri" w:hAnsi="Calibri" w:cs="Calibri"/>
          <w:bCs/>
          <w:color w:val="4A4A4A"/>
          <w:sz w:val="21"/>
          <w:szCs w:val="21"/>
          <w:lang w:eastAsia="en-GB"/>
        </w:rPr>
      </w:pPr>
      <w:r w:rsidRPr="00711230">
        <w:rPr>
          <w:rFonts w:ascii="Calibri" w:hAnsi="Calibri" w:cs="Calibri"/>
          <w:b/>
          <w:color w:val="4A4A4A"/>
          <w:sz w:val="21"/>
          <w:szCs w:val="21"/>
          <w:lang w:eastAsia="en-GB"/>
        </w:rPr>
        <w:t xml:space="preserve">Step 1 </w:t>
      </w:r>
      <w:r w:rsidRPr="00711230">
        <w:rPr>
          <w:rFonts w:ascii="Calibri" w:hAnsi="Calibri" w:cs="Calibri"/>
          <w:bCs/>
          <w:color w:val="4A4A4A"/>
          <w:sz w:val="21"/>
          <w:szCs w:val="21"/>
          <w:lang w:eastAsia="en-GB"/>
        </w:rPr>
        <w:t>requires data producers to compile the raw numbers of personnel in the public service, disaggregated along administrative level, occupational categories, and the various demographic characteristics. The table below provides an illustration of how this “raw” data can be compiled. (NB: For ease of presentation, this table excludes ‘total’ columns and rows, which data producers may wish to include)</w:t>
      </w:r>
      <w:r w:rsidR="005A3983">
        <w:rPr>
          <w:rFonts w:ascii="Calibri" w:hAnsi="Calibri" w:cs="Calibri"/>
          <w:bCs/>
          <w:color w:val="4A4A4A"/>
          <w:sz w:val="21"/>
          <w:szCs w:val="21"/>
          <w:lang w:eastAsia="en-GB"/>
        </w:rPr>
        <w:t>.</w:t>
      </w:r>
    </w:p>
    <w:p w14:paraId="1A6BDDC0" w14:textId="77777777" w:rsidR="002661A3" w:rsidRPr="00711230" w:rsidRDefault="002661A3" w:rsidP="002661A3">
      <w:pPr>
        <w:shd w:val="clear" w:color="auto" w:fill="FFFFFF"/>
        <w:rPr>
          <w:rFonts w:ascii="Calibri" w:hAnsi="Calibri" w:cs="Calibri"/>
          <w:bCs/>
          <w:color w:val="4A4A4A"/>
          <w:sz w:val="21"/>
          <w:szCs w:val="21"/>
          <w:lang w:eastAsia="en-GB"/>
        </w:rPr>
      </w:pPr>
    </w:p>
    <w:p w14:paraId="3726CE37" w14:textId="77777777" w:rsidR="002661A3" w:rsidRDefault="002661A3" w:rsidP="002661A3">
      <w:pPr>
        <w:shd w:val="clear" w:color="auto" w:fill="FFFFFF"/>
        <w:rPr>
          <w:rFonts w:ascii="Calibri" w:hAnsi="Calibri" w:cs="Calibri"/>
          <w:bCs/>
          <w:color w:val="000000" w:themeColor="text1"/>
          <w:sz w:val="21"/>
          <w:szCs w:val="21"/>
          <w:lang w:eastAsia="en-GB"/>
        </w:rPr>
        <w:sectPr w:rsidR="002661A3">
          <w:headerReference w:type="default" r:id="rId15"/>
          <w:footerReference w:type="default" r:id="rId16"/>
          <w:pgSz w:w="11906" w:h="16838"/>
          <w:pgMar w:top="1440" w:right="1440" w:bottom="1440" w:left="1440" w:header="720" w:footer="720" w:gutter="0"/>
          <w:cols w:space="720"/>
          <w:docGrid w:linePitch="360"/>
        </w:sectPr>
      </w:pPr>
    </w:p>
    <w:tbl>
      <w:tblPr>
        <w:tblW w:w="13640" w:type="dxa"/>
        <w:tblLook w:val="04A0" w:firstRow="1" w:lastRow="0" w:firstColumn="1" w:lastColumn="0" w:noHBand="0" w:noVBand="1"/>
      </w:tblPr>
      <w:tblGrid>
        <w:gridCol w:w="851"/>
        <w:gridCol w:w="1169"/>
        <w:gridCol w:w="3083"/>
        <w:gridCol w:w="425"/>
        <w:gridCol w:w="567"/>
        <w:gridCol w:w="458"/>
        <w:gridCol w:w="567"/>
        <w:gridCol w:w="567"/>
        <w:gridCol w:w="567"/>
        <w:gridCol w:w="393"/>
        <w:gridCol w:w="65"/>
        <w:gridCol w:w="775"/>
        <w:gridCol w:w="893"/>
        <w:gridCol w:w="851"/>
        <w:gridCol w:w="850"/>
        <w:gridCol w:w="851"/>
        <w:gridCol w:w="708"/>
      </w:tblGrid>
      <w:tr w:rsidR="002661A3" w:rsidRPr="00FC3BD2" w14:paraId="17857A8E" w14:textId="77777777" w:rsidTr="002661A3">
        <w:trPr>
          <w:trHeight w:val="220"/>
        </w:trPr>
        <w:tc>
          <w:tcPr>
            <w:tcW w:w="851" w:type="dxa"/>
            <w:tcBorders>
              <w:top w:val="nil"/>
              <w:left w:val="nil"/>
              <w:bottom w:val="nil"/>
              <w:right w:val="nil"/>
            </w:tcBorders>
            <w:shd w:val="clear" w:color="auto" w:fill="auto"/>
            <w:noWrap/>
            <w:tcMar>
              <w:left w:w="28" w:type="dxa"/>
              <w:right w:w="28" w:type="dxa"/>
            </w:tcMar>
            <w:hideMark/>
          </w:tcPr>
          <w:p w14:paraId="66C1E80C" w14:textId="77777777" w:rsidR="002661A3" w:rsidRPr="00FC3BD2" w:rsidRDefault="002661A3" w:rsidP="002661A3">
            <w:pPr>
              <w:rPr>
                <w:sz w:val="20"/>
                <w:szCs w:val="20"/>
                <w:lang w:eastAsia="en-GB"/>
              </w:rPr>
            </w:pPr>
          </w:p>
        </w:tc>
        <w:tc>
          <w:tcPr>
            <w:tcW w:w="1169" w:type="dxa"/>
            <w:tcBorders>
              <w:top w:val="nil"/>
              <w:left w:val="nil"/>
              <w:bottom w:val="nil"/>
              <w:right w:val="nil"/>
            </w:tcBorders>
            <w:shd w:val="clear" w:color="auto" w:fill="auto"/>
            <w:noWrap/>
            <w:tcMar>
              <w:left w:w="28" w:type="dxa"/>
              <w:right w:w="28" w:type="dxa"/>
            </w:tcMar>
            <w:hideMark/>
          </w:tcPr>
          <w:p w14:paraId="37F00CEB" w14:textId="77777777" w:rsidR="002661A3" w:rsidRPr="00FC3BD2" w:rsidRDefault="002661A3" w:rsidP="002661A3">
            <w:pPr>
              <w:rPr>
                <w:sz w:val="20"/>
                <w:szCs w:val="20"/>
                <w:lang w:eastAsia="en-GB"/>
              </w:rPr>
            </w:pPr>
          </w:p>
        </w:tc>
        <w:tc>
          <w:tcPr>
            <w:tcW w:w="3083" w:type="dxa"/>
            <w:tcBorders>
              <w:top w:val="nil"/>
              <w:left w:val="nil"/>
              <w:bottom w:val="nil"/>
              <w:right w:val="nil"/>
            </w:tcBorders>
            <w:shd w:val="clear" w:color="auto" w:fill="auto"/>
            <w:noWrap/>
            <w:tcMar>
              <w:left w:w="28" w:type="dxa"/>
              <w:right w:w="28" w:type="dxa"/>
            </w:tcMar>
            <w:hideMark/>
          </w:tcPr>
          <w:p w14:paraId="0F2C772E" w14:textId="77777777" w:rsidR="002661A3" w:rsidRPr="00FC3BD2" w:rsidRDefault="002661A3" w:rsidP="002661A3">
            <w:pPr>
              <w:rPr>
                <w:sz w:val="20"/>
                <w:szCs w:val="20"/>
                <w:lang w:eastAsia="en-GB"/>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37E4D11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Sex</w:t>
            </w:r>
          </w:p>
        </w:tc>
        <w:tc>
          <w:tcPr>
            <w:tcW w:w="2552" w:type="dxa"/>
            <w:gridSpan w:val="5"/>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60362DB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Age group</w:t>
            </w:r>
          </w:p>
        </w:tc>
        <w:tc>
          <w:tcPr>
            <w:tcW w:w="1733" w:type="dxa"/>
            <w:gridSpan w:val="3"/>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198538A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Disability status</w:t>
            </w:r>
          </w:p>
        </w:tc>
        <w:tc>
          <w:tcPr>
            <w:tcW w:w="3260" w:type="dxa"/>
            <w:gridSpan w:val="4"/>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26DA15D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Population subgroup</w:t>
            </w:r>
          </w:p>
        </w:tc>
      </w:tr>
      <w:tr w:rsidR="002661A3" w:rsidRPr="00FC3BD2" w14:paraId="0C5AD8C4" w14:textId="77777777" w:rsidTr="002661A3">
        <w:trPr>
          <w:trHeight w:val="220"/>
        </w:trPr>
        <w:tc>
          <w:tcPr>
            <w:tcW w:w="851" w:type="dxa"/>
            <w:tcBorders>
              <w:top w:val="nil"/>
              <w:left w:val="nil"/>
              <w:bottom w:val="nil"/>
              <w:right w:val="nil"/>
            </w:tcBorders>
            <w:shd w:val="clear" w:color="auto" w:fill="auto"/>
            <w:noWrap/>
            <w:tcMar>
              <w:left w:w="28" w:type="dxa"/>
              <w:right w:w="28" w:type="dxa"/>
            </w:tcMar>
            <w:hideMark/>
          </w:tcPr>
          <w:p w14:paraId="76BB670F" w14:textId="77777777" w:rsidR="002661A3" w:rsidRPr="00FC3BD2" w:rsidRDefault="002661A3" w:rsidP="002661A3">
            <w:pPr>
              <w:jc w:val="center"/>
              <w:rPr>
                <w:rFonts w:ascii="Calibri" w:hAnsi="Calibri"/>
                <w:color w:val="000000"/>
                <w:sz w:val="16"/>
                <w:szCs w:val="16"/>
                <w:lang w:eastAsia="en-GB"/>
              </w:rPr>
            </w:pPr>
          </w:p>
        </w:tc>
        <w:tc>
          <w:tcPr>
            <w:tcW w:w="1169" w:type="dxa"/>
            <w:tcBorders>
              <w:top w:val="nil"/>
              <w:left w:val="nil"/>
              <w:bottom w:val="nil"/>
              <w:right w:val="nil"/>
            </w:tcBorders>
            <w:shd w:val="clear" w:color="auto" w:fill="auto"/>
            <w:noWrap/>
            <w:tcMar>
              <w:left w:w="28" w:type="dxa"/>
              <w:right w:w="28" w:type="dxa"/>
            </w:tcMar>
            <w:hideMark/>
          </w:tcPr>
          <w:p w14:paraId="0E6DA39D" w14:textId="77777777" w:rsidR="002661A3" w:rsidRPr="00FC3BD2" w:rsidRDefault="002661A3" w:rsidP="002661A3">
            <w:pPr>
              <w:rPr>
                <w:sz w:val="20"/>
                <w:szCs w:val="20"/>
                <w:lang w:eastAsia="en-GB"/>
              </w:rPr>
            </w:pPr>
          </w:p>
        </w:tc>
        <w:tc>
          <w:tcPr>
            <w:tcW w:w="3083" w:type="dxa"/>
            <w:tcBorders>
              <w:top w:val="nil"/>
              <w:left w:val="nil"/>
              <w:bottom w:val="nil"/>
              <w:right w:val="nil"/>
            </w:tcBorders>
            <w:shd w:val="clear" w:color="auto" w:fill="auto"/>
            <w:noWrap/>
            <w:tcMar>
              <w:left w:w="28" w:type="dxa"/>
              <w:right w:w="28" w:type="dxa"/>
            </w:tcMar>
            <w:hideMark/>
          </w:tcPr>
          <w:p w14:paraId="1F2A6693" w14:textId="77777777" w:rsidR="002661A3" w:rsidRPr="00FC3BD2" w:rsidRDefault="002661A3" w:rsidP="002661A3">
            <w:pPr>
              <w:rPr>
                <w:sz w:val="20"/>
                <w:szCs w:val="20"/>
                <w:lang w:eastAsia="en-GB"/>
              </w:rPr>
            </w:pPr>
          </w:p>
        </w:tc>
        <w:tc>
          <w:tcPr>
            <w:tcW w:w="425" w:type="dxa"/>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38ADD32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Male</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F89FFB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Female</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6C230D8D"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&lt;3</w:t>
            </w:r>
            <w:r w:rsidRPr="00FC3BD2">
              <w:rPr>
                <w:rFonts w:ascii="Calibri" w:hAnsi="Calibri"/>
                <w:color w:val="000000"/>
                <w:sz w:val="16"/>
                <w:szCs w:val="16"/>
                <w:lang w:eastAsia="en-GB"/>
              </w:rPr>
              <w:t xml:space="preserve">5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7CBDBE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35-44</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2C0D6C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45-54</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AFBAB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55-64</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3E155A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65</w:t>
            </w:r>
            <w:r>
              <w:rPr>
                <w:rFonts w:ascii="Calibri" w:hAnsi="Calibri"/>
                <w:color w:val="000000"/>
                <w:sz w:val="16"/>
                <w:szCs w:val="16"/>
                <w:lang w:eastAsia="en-GB"/>
              </w:rPr>
              <w:t>+</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6A0B74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Disabled</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EA3C1B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Not disabled</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B4B2F52"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Group A</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2E632C4A"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Group B</w:t>
            </w:r>
            <w:r w:rsidRPr="00FC3BD2">
              <w:rPr>
                <w:rFonts w:ascii="Calibri" w:hAnsi="Calibri"/>
                <w:color w:val="000000"/>
                <w:sz w:val="16"/>
                <w:szCs w:val="16"/>
                <w:lang w:eastAsia="en-GB"/>
              </w:rPr>
              <w:t xml:space="preserve">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DA6E202"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Group C</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639395F"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Group D</w:t>
            </w:r>
            <w:r w:rsidRPr="00FC3BD2">
              <w:rPr>
                <w:rFonts w:ascii="Calibri" w:hAnsi="Calibri"/>
                <w:color w:val="000000"/>
                <w:sz w:val="16"/>
                <w:szCs w:val="16"/>
                <w:lang w:eastAsia="en-GB"/>
              </w:rPr>
              <w:t xml:space="preserve"> </w:t>
            </w:r>
          </w:p>
        </w:tc>
      </w:tr>
      <w:tr w:rsidR="002661A3" w:rsidRPr="00FC3BD2" w14:paraId="37F42864" w14:textId="77777777" w:rsidTr="002661A3">
        <w:trPr>
          <w:trHeight w:val="22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143A965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National level</w:t>
            </w:r>
          </w:p>
        </w:tc>
        <w:tc>
          <w:tcPr>
            <w:tcW w:w="1169" w:type="dxa"/>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26A772B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Police Personnel</w:t>
            </w:r>
          </w:p>
        </w:tc>
        <w:tc>
          <w:tcPr>
            <w:tcW w:w="3083" w:type="dxa"/>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00E86C70"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F94C0A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8AEC65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3FAF11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D00974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AB8BCB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C2D63D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45B3BD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1B147F8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7C6E1E2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786FD5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00B2616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64F81F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433A8B0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B046FB1"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2CBE5B8C" w14:textId="77777777" w:rsidR="002661A3" w:rsidRPr="00FC3BD2" w:rsidRDefault="002661A3" w:rsidP="002661A3">
            <w:pPr>
              <w:rPr>
                <w:rFonts w:ascii="Calibri" w:hAnsi="Calibri"/>
                <w:color w:val="000000"/>
                <w:sz w:val="16"/>
                <w:szCs w:val="16"/>
                <w:lang w:eastAsia="en-GB"/>
              </w:rPr>
            </w:pPr>
          </w:p>
        </w:tc>
        <w:tc>
          <w:tcPr>
            <w:tcW w:w="1169"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1DCACDD2"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0846C177"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D78B35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A850AE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1CFF911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36DE50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9F8879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E77DA8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707E30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49D904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BB4127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635149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D63583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73B354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576D63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042F3F28"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343DBB3C" w14:textId="77777777" w:rsidR="002661A3" w:rsidRPr="00FC3BD2" w:rsidRDefault="002661A3" w:rsidP="002661A3">
            <w:pPr>
              <w:rPr>
                <w:rFonts w:ascii="Calibri" w:hAnsi="Calibri"/>
                <w:color w:val="000000"/>
                <w:sz w:val="16"/>
                <w:szCs w:val="16"/>
                <w:lang w:eastAsia="en-GB"/>
              </w:rPr>
            </w:pPr>
          </w:p>
        </w:tc>
        <w:tc>
          <w:tcPr>
            <w:tcW w:w="1169"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3F44AFC8"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49187455"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4A33B13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C21E6F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7BA5773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5DBD77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DE4EF2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2B6A01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328DA7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0152CD7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0A1495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68752C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07FFFE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989FA3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D50147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95BB474"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23968E1E" w14:textId="77777777" w:rsidR="002661A3" w:rsidRPr="00FC3BD2" w:rsidRDefault="002661A3" w:rsidP="002661A3">
            <w:pPr>
              <w:rPr>
                <w:rFonts w:ascii="Calibri" w:hAnsi="Calibri"/>
                <w:color w:val="000000"/>
                <w:sz w:val="16"/>
                <w:szCs w:val="16"/>
                <w:lang w:eastAsia="en-GB"/>
              </w:rPr>
            </w:pPr>
          </w:p>
        </w:tc>
        <w:tc>
          <w:tcPr>
            <w:tcW w:w="1169"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61D6CB4B"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0841F782"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5C0E1F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3AA5D6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9CD547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52E273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6A3DFA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7C7954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2EB6CAE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593521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FC1297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0600C9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FD0321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11F1E8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1E42B3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B06753E"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6E269231"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58C349A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xml:space="preserve">Educational Personnel </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6ED5C37"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AF78DE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60CEF8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94CEE1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75609F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AC867D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544CEF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BC5B3F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6A963F2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101CA5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CBCE35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569879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C83C50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629C20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5570F0F5"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01CCA391"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22ABB590"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30611E85"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8DCB08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56E021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48520EC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F0DE8E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3AB812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586ED0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24408F1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BBE6C3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334AC51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678AD6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EA1D17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0ECA14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0F441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EFAF8D8"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68D8C14A"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5E7C2F5D"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D31E9CF"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5EE3A10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A5B34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38DAAE6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861DE4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D98B4A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657AF0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CE388F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700B817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0472A28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CD2B97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7B22C81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0626EA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5B3C9A5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A7AEC4E"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3D293F86"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7276D556"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3E34664"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511057C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B05156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D1330F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44B3DA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5888D5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2A3883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6AC991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67ADB2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42365D7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AAD0A4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B6F3FE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5F31DB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AC6DF8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956B422"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48C83C22"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44B7CF5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xml:space="preserve">Health Personnel </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A9A71DB"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20EC74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C00F8F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C5CF34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4EDBDD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F97B84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A85E60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0DD6205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6AA2766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75A42E7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6988E0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58CD4D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6CE2E7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ED8AC4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7B9988A7"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2E492BA2"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481BB0EE"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695F7473"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0E033F6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DA38A1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75F6498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46EEB4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E45B22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2D153F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38E3E7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2FEFCA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7B2F46B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FB9CA1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758A403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3CDC3A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17D904C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0D422AC9"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4C1C759D"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7AD8E71E"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6E2756FE"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6413A1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F5E933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A439A5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E85269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5265C0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BA5450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4E56A24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6C9CF54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C7AA36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7DC3F2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07706C2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EF0EC1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B9E918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71C77D9"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3E7017CB"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6D4D981E"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4D19AC7"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082BA31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D1C077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7581C5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A448FA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3479CD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D57924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394A3C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85B391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3EAB267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6EF72A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B0E5F2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1668B3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5F730E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4A4666D6"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0A2E769C"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3388E9A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Front-Desk Administrative Personnel</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26799C18"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265FD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DAA3F6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4750390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BA881C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A86BC8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FA703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BAFAF2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4DDFDF8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08E64C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1BDFFD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410D90A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0727E6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368104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8F4BE09"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09E40C2B"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0CB37ABB"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C7818BF"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065A35C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DCEA7D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C0A40B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0629E1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258268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ACC10F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31B4CEB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006B38C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C6E965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98981B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B41F1C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BE4580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1211339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76B9FB1"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202B301F"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33E1C85D"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77D06CFA"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1F1A0D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DB33E4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6069072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844499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EC831A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1266B1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49E69EB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2F63415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0DCDD0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BB6B76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BA647A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517A0B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67D7E8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674653C"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16DA07F2"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456F7CB2"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610F91D4"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D5A51B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CFD18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14940E4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EF53EC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175D8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0F1CF5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7AC3CF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5AB629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AF2F22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541C40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070AEB7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8F6CA7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EC1A8C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F1330E7"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5A5C7634"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282F86B4"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All o</w:t>
            </w:r>
            <w:r w:rsidRPr="00FC3BD2">
              <w:rPr>
                <w:rFonts w:ascii="Calibri" w:hAnsi="Calibri"/>
                <w:color w:val="000000"/>
                <w:sz w:val="16"/>
                <w:szCs w:val="16"/>
                <w:lang w:eastAsia="en-GB"/>
              </w:rPr>
              <w:t xml:space="preserve">ther public service </w:t>
            </w:r>
            <w:r>
              <w:rPr>
                <w:rFonts w:ascii="Calibri" w:hAnsi="Calibri"/>
                <w:color w:val="000000"/>
                <w:sz w:val="16"/>
                <w:szCs w:val="16"/>
                <w:lang w:eastAsia="en-GB"/>
              </w:rPr>
              <w:t>personnel in bureaucratic positions</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424F6AC0"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BBF2CE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02A7BF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8E3DD0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8A20A1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B6ACE7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B7F22C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7657EE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0BC1A17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E5BDB0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4ED4C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E8EE34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AB32C8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6C142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4457F8E"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0E47CEE2"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73D87A15"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2D06A7E"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0924F2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7F3237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35A3A08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153671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7A7A33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52D737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4BB340B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6C6BE4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017F08D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183899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2E41F2A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30771C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FA4E72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4F9F8E6E"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693B306B"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1EBD5DCD"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61C44EA6"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430A139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49E672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7BE891E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431DDB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813F2D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05762B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5372ED0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7AFD257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C9388A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2EEEFC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4370543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75CB0E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49FB7AB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9160738" w14:textId="77777777" w:rsidTr="002661A3">
        <w:trPr>
          <w:trHeight w:val="220"/>
        </w:trPr>
        <w:tc>
          <w:tcPr>
            <w:tcW w:w="851" w:type="dxa"/>
            <w:vMerge/>
            <w:tcBorders>
              <w:top w:val="single" w:sz="4" w:space="0" w:color="auto"/>
              <w:left w:val="single" w:sz="4" w:space="0" w:color="auto"/>
              <w:bottom w:val="single" w:sz="4" w:space="0" w:color="auto"/>
              <w:right w:val="single" w:sz="4" w:space="0" w:color="auto"/>
            </w:tcBorders>
            <w:tcMar>
              <w:left w:w="28" w:type="dxa"/>
              <w:right w:w="28" w:type="dxa"/>
            </w:tcMar>
            <w:hideMark/>
          </w:tcPr>
          <w:p w14:paraId="3727E488"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107715B1"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4387EA70"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50399AE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CF9B14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21273D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8F3D04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C8A42A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F2CF5F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5AE4B5C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131F9F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3F2612F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2B3362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2031192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69F0D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6EC5107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4C96E120" w14:textId="77777777" w:rsidTr="002661A3">
        <w:trPr>
          <w:trHeight w:val="220"/>
        </w:trPr>
        <w:tc>
          <w:tcPr>
            <w:tcW w:w="851"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7D1F9C3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lastRenderedPageBreak/>
              <w:t>Subnational level</w:t>
            </w: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40B92F5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Police Personnel</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1B5A0788"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7DFA79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A2D857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F658A1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56E2FE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F306B3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F8DDC9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3054953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7ED9C0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318776B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4E2DAF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7DF8342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5F60CB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B51CF9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2E7043F"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34764B6"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74EF7D05"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229C2008"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5A85861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F75AFC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70E5C24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95A2AB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325153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0AC4A1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CA3C73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21DBDC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3A0560D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B61F09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77590B0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E08205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8CCC67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5234494"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639ABB21"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4209BD73"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0AB5C42A"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A333B7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A7E78D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0EE93C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BA7A0D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8D3363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9D4ECC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288C324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2570EF0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788E022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AF6927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05E1E3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5BA4AB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6D06E4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7DB2F62"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50AB0BD"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162B2DBC"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11864E6E"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87B903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758D8B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567F92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71373F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055744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95A604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0B2D064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9575E6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07CDC2F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BBCD83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6BEA99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B7BEA8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4BE1287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009E94BC"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4EB592A0"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26C6DDA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xml:space="preserve">Educational Personnel </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36329EEC"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4F07873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EDC489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13DA88E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1C1CB1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29A449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34751D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521C7DC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2A1203C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026A90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62F47F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4EE7863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3150FD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A0DDB2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5F5849E0"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EBCB11C"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07E35D96"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3889FD56"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0C8AEC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DE5B64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08F6FA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9BC398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4F7EFA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6B17F1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32659E5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7F77B17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DE0F25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9BE874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0D581F5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8B7D63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FA245B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B4F0EF9"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9170784"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6388376E"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7BC3670D"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25553B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E7A306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60A0E3B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74C07B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ACFFDF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84E154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69392B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466F963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41E1ECB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342AED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003AA58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4ED1F0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7CD555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4A4B87E"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42FE1463"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28610111"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2C72C09E"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4954464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118628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5F88243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4E1352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EC112B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FF74EB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2D92CB3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738A106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2A45E6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6C6F36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975A48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13548D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44379D9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0D52550"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E467411"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4FDF962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xml:space="preserve">Health Personnel </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4F90382C"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AC7E04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0F4CE8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1AA3E1E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C1DC14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C8D2F7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F61C9A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35830AE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7F47037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25C85C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285214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85954B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612C5D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93DBF0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14C6157"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2C053E63"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60372B03"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3F7A0422"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46FD515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F271B6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1A53F8B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27A6A4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D4B72F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2874E4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BD2784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45DBD2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B2F186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8C8E67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E3E270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16C933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D592E2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79856263"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A3F11E8"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409EE02D"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2A0AF198"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00E3267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548742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679E02B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3DA40E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6F935D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194257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1B6F342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1431A7A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4FF9441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8B6672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789FDE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819F3E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06AEC34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4BF8E8A"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0D1C5EA3"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146751A2"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AB37317"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31531EE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CD4A2A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6471101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0828B3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B23561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5AA37B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4E27A03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613A8E8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E7A0F5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BAAFE4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79E8DD4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57EBD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1A283D2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403121E"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13CBF789"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12E40D7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Front-Desk Administrative Personnel</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1E5B877"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4E2A17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55861B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1AA87DA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CE9F6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691C81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1B4D82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1D4BE1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098E1AA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BA0600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291396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853C8C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14997F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1F5892C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068B3169"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24DAC31F"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777C34E8"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73068E68"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5D921BC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941503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69AFA93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2FBB59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7333E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79C20E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2BA6356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225B65D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75ED68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C57CDD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4F803C5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597DF6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E62275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259EC25"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24F33A99"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221BD4ED"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20C45DAB"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84A2D3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0B60E8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2358C9B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03FDF9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D71FA8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8A4CFE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55C7C57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6BEFB1E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5881FC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237750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14904FD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F532EC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536CCC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3DDD184B"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1EC50DBA"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08AC5A96"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71BE0F1"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3915D1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AACDF2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34FA6E1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65DDFF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A65D36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F6B297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1D22DCC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D7B8AC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78752F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D8614A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2BD27B5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4D1C4E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E7C33D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17483C28"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65F9CBA3" w14:textId="77777777" w:rsidR="002661A3" w:rsidRPr="00FC3BD2" w:rsidRDefault="002661A3" w:rsidP="002661A3">
            <w:pPr>
              <w:rPr>
                <w:rFonts w:ascii="Calibri" w:hAnsi="Calibri"/>
                <w:color w:val="000000"/>
                <w:sz w:val="16"/>
                <w:szCs w:val="16"/>
                <w:lang w:eastAsia="en-GB"/>
              </w:rPr>
            </w:pPr>
          </w:p>
        </w:tc>
        <w:tc>
          <w:tcPr>
            <w:tcW w:w="1169"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3B06169D" w14:textId="77777777" w:rsidR="002661A3" w:rsidRPr="00FC3BD2" w:rsidRDefault="002661A3" w:rsidP="002661A3">
            <w:pPr>
              <w:jc w:val="center"/>
              <w:rPr>
                <w:rFonts w:ascii="Calibri" w:hAnsi="Calibri"/>
                <w:color w:val="000000"/>
                <w:sz w:val="16"/>
                <w:szCs w:val="16"/>
                <w:lang w:eastAsia="en-GB"/>
              </w:rPr>
            </w:pPr>
            <w:r>
              <w:rPr>
                <w:rFonts w:ascii="Calibri" w:hAnsi="Calibri"/>
                <w:color w:val="000000"/>
                <w:sz w:val="16"/>
                <w:szCs w:val="16"/>
                <w:lang w:eastAsia="en-GB"/>
              </w:rPr>
              <w:t>All o</w:t>
            </w:r>
            <w:r w:rsidRPr="00FC3BD2">
              <w:rPr>
                <w:rFonts w:ascii="Calibri" w:hAnsi="Calibri"/>
                <w:color w:val="000000"/>
                <w:sz w:val="16"/>
                <w:szCs w:val="16"/>
                <w:lang w:eastAsia="en-GB"/>
              </w:rPr>
              <w:t xml:space="preserve">ther public service </w:t>
            </w:r>
            <w:r>
              <w:rPr>
                <w:rFonts w:ascii="Calibri" w:hAnsi="Calibri"/>
                <w:color w:val="000000"/>
                <w:sz w:val="16"/>
                <w:szCs w:val="16"/>
                <w:lang w:eastAsia="en-GB"/>
              </w:rPr>
              <w:t>personnel in bureaucratic positions</w:t>
            </w: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739E5C2D"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Managers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D430DB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07186D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0E4E8E6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6BA6E1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91D822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C16F54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07CD4A5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69AA9EE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19E40C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F281C1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00CA534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CE8C79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93DEA0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2092142E"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493878B0"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167ACD95"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002D9836"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035033D"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CCA412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363194E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72992A5"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0EB970B"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90E1EF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5DC6DCB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10F69B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3757ABF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396DAAD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F4051E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192C33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1656F21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6DD300EB"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1F1CE88D"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331239C6"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5D3F1E85"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Technicians and Associate Professionals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5982B9F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72631C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5F502D01"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1DB626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85B81A7"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989DB4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68AD228E"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5513888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6969DFA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DB5515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4FFDA03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FF8274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E07018A"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r w:rsidR="002661A3" w:rsidRPr="00FC3BD2" w14:paraId="6A7B33F0" w14:textId="77777777" w:rsidTr="002661A3">
        <w:trPr>
          <w:trHeight w:val="220"/>
        </w:trPr>
        <w:tc>
          <w:tcPr>
            <w:tcW w:w="851" w:type="dxa"/>
            <w:vMerge/>
            <w:tcBorders>
              <w:top w:val="nil"/>
              <w:left w:val="single" w:sz="4" w:space="0" w:color="auto"/>
              <w:bottom w:val="single" w:sz="4" w:space="0" w:color="auto"/>
              <w:right w:val="single" w:sz="4" w:space="0" w:color="auto"/>
            </w:tcBorders>
            <w:tcMar>
              <w:left w:w="28" w:type="dxa"/>
              <w:right w:w="28" w:type="dxa"/>
            </w:tcMar>
            <w:hideMark/>
          </w:tcPr>
          <w:p w14:paraId="52D725E4" w14:textId="77777777" w:rsidR="002661A3" w:rsidRPr="00FC3BD2" w:rsidRDefault="002661A3" w:rsidP="002661A3">
            <w:pPr>
              <w:rPr>
                <w:rFonts w:ascii="Calibri" w:hAnsi="Calibri"/>
                <w:color w:val="000000"/>
                <w:sz w:val="16"/>
                <w:szCs w:val="16"/>
                <w:lang w:eastAsia="en-GB"/>
              </w:rPr>
            </w:pPr>
          </w:p>
        </w:tc>
        <w:tc>
          <w:tcPr>
            <w:tcW w:w="1169" w:type="dxa"/>
            <w:vMerge/>
            <w:tcBorders>
              <w:top w:val="nil"/>
              <w:left w:val="single" w:sz="4" w:space="0" w:color="auto"/>
              <w:bottom w:val="single" w:sz="4" w:space="0" w:color="auto"/>
              <w:right w:val="single" w:sz="4" w:space="0" w:color="auto"/>
            </w:tcBorders>
            <w:tcMar>
              <w:left w:w="28" w:type="dxa"/>
              <w:right w:w="28" w:type="dxa"/>
            </w:tcMar>
            <w:hideMark/>
          </w:tcPr>
          <w:p w14:paraId="22D572AC" w14:textId="77777777" w:rsidR="002661A3" w:rsidRPr="00FC3BD2" w:rsidRDefault="002661A3" w:rsidP="002661A3">
            <w:pPr>
              <w:rPr>
                <w:rFonts w:ascii="Calibri" w:hAnsi="Calibri"/>
                <w:color w:val="000000"/>
                <w:sz w:val="16"/>
                <w:szCs w:val="16"/>
                <w:lang w:eastAsia="en-GB"/>
              </w:rPr>
            </w:pPr>
          </w:p>
        </w:tc>
        <w:tc>
          <w:tcPr>
            <w:tcW w:w="3083" w:type="dxa"/>
            <w:tcBorders>
              <w:top w:val="nil"/>
              <w:left w:val="nil"/>
              <w:bottom w:val="single" w:sz="4" w:space="0" w:color="auto"/>
              <w:right w:val="single" w:sz="4" w:space="0" w:color="auto"/>
            </w:tcBorders>
            <w:shd w:val="clear" w:color="auto" w:fill="auto"/>
            <w:noWrap/>
            <w:tcMar>
              <w:left w:w="28" w:type="dxa"/>
              <w:right w:w="28" w:type="dxa"/>
            </w:tcMar>
            <w:hideMark/>
          </w:tcPr>
          <w:p w14:paraId="719CF7F7" w14:textId="77777777" w:rsidR="002661A3" w:rsidRPr="00FC3BD2" w:rsidRDefault="002661A3" w:rsidP="002661A3">
            <w:pPr>
              <w:rPr>
                <w:rFonts w:ascii="Calibri" w:hAnsi="Calibri"/>
                <w:color w:val="000000"/>
                <w:sz w:val="16"/>
                <w:szCs w:val="16"/>
                <w:lang w:eastAsia="en-GB"/>
              </w:rPr>
            </w:pPr>
            <w:r w:rsidRPr="00FC3BD2">
              <w:rPr>
                <w:rFonts w:ascii="Calibri" w:hAnsi="Calibri"/>
                <w:color w:val="000000"/>
                <w:sz w:val="16"/>
                <w:szCs w:val="16"/>
                <w:lang w:eastAsia="en-GB"/>
              </w:rPr>
              <w:t>Clerical Support Workers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DE1A38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44A97E8"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tcBorders>
              <w:top w:val="nil"/>
              <w:left w:val="nil"/>
              <w:bottom w:val="single" w:sz="4" w:space="0" w:color="auto"/>
              <w:right w:val="single" w:sz="4" w:space="0" w:color="auto"/>
            </w:tcBorders>
            <w:shd w:val="clear" w:color="auto" w:fill="auto"/>
            <w:noWrap/>
            <w:tcMar>
              <w:left w:w="28" w:type="dxa"/>
              <w:right w:w="28" w:type="dxa"/>
            </w:tcMar>
            <w:hideMark/>
          </w:tcPr>
          <w:p w14:paraId="7CB2656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2E96DF2"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02BC00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9734BC0"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458" w:type="dxa"/>
            <w:gridSpan w:val="2"/>
            <w:tcBorders>
              <w:top w:val="nil"/>
              <w:left w:val="nil"/>
              <w:bottom w:val="single" w:sz="4" w:space="0" w:color="auto"/>
              <w:right w:val="single" w:sz="4" w:space="0" w:color="auto"/>
            </w:tcBorders>
            <w:shd w:val="clear" w:color="auto" w:fill="auto"/>
            <w:noWrap/>
            <w:tcMar>
              <w:left w:w="28" w:type="dxa"/>
              <w:right w:w="28" w:type="dxa"/>
            </w:tcMar>
            <w:hideMark/>
          </w:tcPr>
          <w:p w14:paraId="772DD1D9"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75" w:type="dxa"/>
            <w:tcBorders>
              <w:top w:val="nil"/>
              <w:left w:val="nil"/>
              <w:bottom w:val="single" w:sz="4" w:space="0" w:color="auto"/>
              <w:right w:val="single" w:sz="4" w:space="0" w:color="auto"/>
            </w:tcBorders>
            <w:shd w:val="clear" w:color="auto" w:fill="auto"/>
            <w:noWrap/>
            <w:tcMar>
              <w:left w:w="28" w:type="dxa"/>
              <w:right w:w="28" w:type="dxa"/>
            </w:tcMar>
            <w:hideMark/>
          </w:tcPr>
          <w:p w14:paraId="33D86E8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1147B06"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9C04A14"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40E6C43F"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0037CB3"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50D3DABC" w14:textId="77777777" w:rsidR="002661A3" w:rsidRPr="00FC3BD2" w:rsidRDefault="002661A3" w:rsidP="002661A3">
            <w:pPr>
              <w:jc w:val="center"/>
              <w:rPr>
                <w:rFonts w:ascii="Calibri" w:hAnsi="Calibri"/>
                <w:color w:val="000000"/>
                <w:sz w:val="16"/>
                <w:szCs w:val="16"/>
                <w:lang w:eastAsia="en-GB"/>
              </w:rPr>
            </w:pPr>
            <w:r w:rsidRPr="00FC3BD2">
              <w:rPr>
                <w:rFonts w:ascii="Calibri" w:hAnsi="Calibri"/>
                <w:color w:val="000000"/>
                <w:sz w:val="16"/>
                <w:szCs w:val="16"/>
                <w:lang w:eastAsia="en-GB"/>
              </w:rPr>
              <w:t> </w:t>
            </w:r>
          </w:p>
        </w:tc>
      </w:tr>
    </w:tbl>
    <w:p w14:paraId="13846FA2" w14:textId="77777777" w:rsidR="002661A3" w:rsidRDefault="002661A3" w:rsidP="002661A3">
      <w:pPr>
        <w:shd w:val="clear" w:color="auto" w:fill="FFFFFF"/>
        <w:rPr>
          <w:rFonts w:ascii="Calibri" w:hAnsi="Calibri" w:cs="Calibri"/>
          <w:bCs/>
          <w:color w:val="000000" w:themeColor="text1"/>
          <w:sz w:val="21"/>
          <w:szCs w:val="21"/>
          <w:lang w:eastAsia="en-GB"/>
        </w:rPr>
        <w:sectPr w:rsidR="002661A3" w:rsidSect="002661A3">
          <w:pgSz w:w="16838" w:h="11906" w:orient="landscape"/>
          <w:pgMar w:top="1020" w:right="939" w:bottom="836" w:left="1440" w:header="720" w:footer="524" w:gutter="0"/>
          <w:cols w:space="720"/>
          <w:docGrid w:linePitch="360"/>
        </w:sectPr>
      </w:pPr>
    </w:p>
    <w:p w14:paraId="5ABB4D7A" w14:textId="77777777" w:rsidR="002661A3" w:rsidRPr="00711230" w:rsidRDefault="002661A3" w:rsidP="002661A3">
      <w:pPr>
        <w:jc w:val="both"/>
        <w:rPr>
          <w:rFonts w:cstheme="minorHAnsi"/>
          <w:bCs/>
          <w:color w:val="4A4A4A"/>
          <w:sz w:val="21"/>
          <w:szCs w:val="21"/>
        </w:rPr>
      </w:pPr>
      <w:r w:rsidRPr="00711230">
        <w:rPr>
          <w:rFonts w:cstheme="minorHAnsi"/>
          <w:b/>
          <w:color w:val="4A4A4A"/>
          <w:sz w:val="21"/>
          <w:szCs w:val="21"/>
        </w:rPr>
        <w:lastRenderedPageBreak/>
        <w:t xml:space="preserve">Step 2 </w:t>
      </w:r>
      <w:r w:rsidRPr="00711230">
        <w:rPr>
          <w:rFonts w:cstheme="minorHAnsi"/>
          <w:bCs/>
          <w:color w:val="4A4A4A"/>
          <w:sz w:val="21"/>
          <w:szCs w:val="21"/>
        </w:rPr>
        <w:t>then requires computing simple proportions of women, ‘youth’, persons with a disability, and specific population groups across each occupational category in the public service and at both national and sub-national government levels.</w:t>
      </w:r>
    </w:p>
    <w:p w14:paraId="0D341B9D" w14:textId="77777777" w:rsidR="002661A3" w:rsidRPr="00711230" w:rsidRDefault="002661A3" w:rsidP="00AC04CB">
      <w:pPr>
        <w:spacing w:after="0"/>
        <w:jc w:val="center"/>
        <w:rPr>
          <w:rFonts w:cstheme="minorHAnsi"/>
          <w:color w:val="4A4A4A"/>
          <w:sz w:val="21"/>
          <w:szCs w:val="21"/>
          <w:u w:val="single"/>
        </w:rPr>
      </w:pPr>
      <w:r w:rsidRPr="00711230">
        <w:rPr>
          <w:rFonts w:cstheme="minorHAnsi"/>
          <w:color w:val="4A4A4A"/>
          <w:sz w:val="21"/>
          <w:szCs w:val="21"/>
          <w:u w:val="single"/>
        </w:rPr>
        <w:t>Employment in public service at NATIONAL/CENTRAL level</w:t>
      </w:r>
    </w:p>
    <w:p w14:paraId="2313FEA6" w14:textId="77777777" w:rsidR="002661A3" w:rsidRPr="00711230" w:rsidRDefault="002661A3" w:rsidP="00AC04CB">
      <w:pPr>
        <w:spacing w:after="0"/>
        <w:jc w:val="center"/>
        <w:rPr>
          <w:rFonts w:cstheme="minorHAnsi"/>
          <w:color w:val="4A4A4A"/>
          <w:sz w:val="21"/>
          <w:szCs w:val="21"/>
          <w:u w:val="single"/>
        </w:rPr>
      </w:pPr>
      <w:r w:rsidRPr="00711230">
        <w:rPr>
          <w:rFonts w:cstheme="minorHAnsi"/>
          <w:i/>
          <w:color w:val="4A4A4A"/>
          <w:sz w:val="21"/>
          <w:szCs w:val="21"/>
        </w:rPr>
        <w:t>(Same proportions to be calculated for employment in public service at SUB-NATIONAL level, in separate table)</w:t>
      </w:r>
    </w:p>
    <w:tbl>
      <w:tblPr>
        <w:tblStyle w:val="TableGrid"/>
        <w:tblW w:w="0" w:type="auto"/>
        <w:tblLook w:val="04A0" w:firstRow="1" w:lastRow="0" w:firstColumn="1" w:lastColumn="0" w:noHBand="0" w:noVBand="1"/>
      </w:tblPr>
      <w:tblGrid>
        <w:gridCol w:w="2222"/>
        <w:gridCol w:w="1733"/>
        <w:gridCol w:w="1710"/>
        <w:gridCol w:w="1530"/>
        <w:gridCol w:w="1821"/>
      </w:tblGrid>
      <w:tr w:rsidR="002661A3" w:rsidRPr="00B4648C" w14:paraId="2223704E" w14:textId="77777777" w:rsidTr="002661A3">
        <w:tc>
          <w:tcPr>
            <w:tcW w:w="2222" w:type="dxa"/>
          </w:tcPr>
          <w:p w14:paraId="5D70C195" w14:textId="750DECC2" w:rsidR="002661A3" w:rsidRPr="00DF44DE" w:rsidRDefault="002661A3" w:rsidP="002661A3">
            <w:pPr>
              <w:jc w:val="center"/>
              <w:rPr>
                <w:rFonts w:cstheme="minorHAnsi"/>
                <w:b/>
                <w:color w:val="000000" w:themeColor="text1"/>
                <w:sz w:val="18"/>
                <w:szCs w:val="18"/>
              </w:rPr>
            </w:pPr>
          </w:p>
        </w:tc>
        <w:tc>
          <w:tcPr>
            <w:tcW w:w="1733" w:type="dxa"/>
          </w:tcPr>
          <w:p w14:paraId="49BF55C2"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 xml:space="preserve">Proportion of </w:t>
            </w:r>
            <w:r w:rsidRPr="00DF44DE">
              <w:rPr>
                <w:rFonts w:cstheme="minorHAnsi"/>
                <w:b/>
                <w:color w:val="000000" w:themeColor="text1"/>
                <w:sz w:val="18"/>
                <w:szCs w:val="18"/>
                <w:u w:val="single"/>
              </w:rPr>
              <w:t>female</w:t>
            </w:r>
            <w:r w:rsidRPr="00DF44DE">
              <w:rPr>
                <w:rFonts w:cstheme="minorHAnsi"/>
                <w:b/>
                <w:color w:val="000000" w:themeColor="text1"/>
                <w:sz w:val="18"/>
                <w:szCs w:val="18"/>
              </w:rPr>
              <w:t xml:space="preserve"> public servants </w:t>
            </w:r>
          </w:p>
        </w:tc>
        <w:tc>
          <w:tcPr>
            <w:tcW w:w="1710" w:type="dxa"/>
          </w:tcPr>
          <w:p w14:paraId="4C49CB24"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 xml:space="preserve">Proportion of </w:t>
            </w:r>
            <w:r w:rsidRPr="00DF44DE">
              <w:rPr>
                <w:rFonts w:cstheme="minorHAnsi"/>
                <w:b/>
                <w:color w:val="000000" w:themeColor="text1"/>
                <w:sz w:val="18"/>
                <w:szCs w:val="18"/>
                <w:u w:val="single"/>
              </w:rPr>
              <w:t>‘young’</w:t>
            </w:r>
            <w:r w:rsidRPr="00DF44DE">
              <w:rPr>
                <w:rFonts w:cstheme="minorHAnsi"/>
                <w:b/>
                <w:color w:val="000000" w:themeColor="text1"/>
                <w:sz w:val="18"/>
                <w:szCs w:val="18"/>
              </w:rPr>
              <w:t xml:space="preserve"> public servants aged 34 and below </w:t>
            </w:r>
          </w:p>
        </w:tc>
        <w:tc>
          <w:tcPr>
            <w:tcW w:w="1530" w:type="dxa"/>
          </w:tcPr>
          <w:p w14:paraId="460311D9"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 xml:space="preserve">Proportion of public servants </w:t>
            </w:r>
            <w:r w:rsidRPr="00DF44DE">
              <w:rPr>
                <w:rFonts w:cstheme="minorHAnsi"/>
                <w:b/>
                <w:color w:val="000000" w:themeColor="text1"/>
                <w:sz w:val="18"/>
                <w:szCs w:val="18"/>
                <w:u w:val="single"/>
              </w:rPr>
              <w:t>with a disability</w:t>
            </w:r>
          </w:p>
        </w:tc>
        <w:tc>
          <w:tcPr>
            <w:tcW w:w="1821" w:type="dxa"/>
          </w:tcPr>
          <w:p w14:paraId="7ED08FA4"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 xml:space="preserve">Proportion of public servants in </w:t>
            </w:r>
            <w:r w:rsidRPr="00DF44DE">
              <w:rPr>
                <w:rFonts w:cstheme="minorHAnsi"/>
                <w:b/>
                <w:color w:val="000000" w:themeColor="text1"/>
                <w:sz w:val="18"/>
                <w:szCs w:val="18"/>
                <w:u w:val="single"/>
              </w:rPr>
              <w:t xml:space="preserve">population group A (and </w:t>
            </w:r>
            <w:proofErr w:type="gramStart"/>
            <w:r w:rsidRPr="00DF44DE">
              <w:rPr>
                <w:rFonts w:cstheme="minorHAnsi"/>
                <w:b/>
                <w:color w:val="000000" w:themeColor="text1"/>
                <w:sz w:val="18"/>
                <w:szCs w:val="18"/>
                <w:u w:val="single"/>
              </w:rPr>
              <w:t>B,C</w:t>
            </w:r>
            <w:proofErr w:type="gramEnd"/>
            <w:r w:rsidRPr="00DF44DE">
              <w:rPr>
                <w:rFonts w:cstheme="minorHAnsi"/>
                <w:b/>
                <w:color w:val="000000" w:themeColor="text1"/>
                <w:sz w:val="18"/>
                <w:szCs w:val="18"/>
                <w:u w:val="single"/>
              </w:rPr>
              <w:t>,D, etc.)</w:t>
            </w:r>
          </w:p>
        </w:tc>
      </w:tr>
      <w:tr w:rsidR="002661A3" w:rsidRPr="00B4648C" w14:paraId="065FBD7D" w14:textId="77777777" w:rsidTr="002661A3">
        <w:tc>
          <w:tcPr>
            <w:tcW w:w="5665" w:type="dxa"/>
            <w:gridSpan w:val="3"/>
            <w:shd w:val="clear" w:color="auto" w:fill="F2DBDB" w:themeFill="accent2" w:themeFillTint="33"/>
          </w:tcPr>
          <w:p w14:paraId="44981F33" w14:textId="77777777" w:rsidR="002661A3" w:rsidRPr="00DF44DE" w:rsidRDefault="002661A3" w:rsidP="002661A3">
            <w:pPr>
              <w:rPr>
                <w:rFonts w:cstheme="minorHAnsi"/>
                <w:color w:val="000000" w:themeColor="text1"/>
                <w:sz w:val="18"/>
                <w:szCs w:val="18"/>
              </w:rPr>
            </w:pPr>
            <w:r w:rsidRPr="00DF44DE">
              <w:rPr>
                <w:rFonts w:cstheme="minorHAnsi"/>
                <w:i/>
                <w:color w:val="000000" w:themeColor="text1"/>
                <w:sz w:val="18"/>
                <w:szCs w:val="18"/>
              </w:rPr>
              <w:t>Occupational categories (ISCO</w:t>
            </w:r>
            <w:r>
              <w:rPr>
                <w:rFonts w:cstheme="minorHAnsi"/>
                <w:i/>
                <w:color w:val="000000" w:themeColor="text1"/>
                <w:sz w:val="18"/>
                <w:szCs w:val="18"/>
              </w:rPr>
              <w:t>-08</w:t>
            </w:r>
            <w:r w:rsidRPr="00DF44DE">
              <w:rPr>
                <w:rFonts w:cstheme="minorHAnsi"/>
                <w:i/>
                <w:color w:val="000000" w:themeColor="text1"/>
                <w:sz w:val="18"/>
                <w:szCs w:val="18"/>
              </w:rPr>
              <w:t>)</w:t>
            </w:r>
            <w:r>
              <w:rPr>
                <w:rFonts w:cstheme="minorHAnsi"/>
                <w:i/>
                <w:color w:val="000000" w:themeColor="text1"/>
                <w:sz w:val="18"/>
                <w:szCs w:val="18"/>
              </w:rPr>
              <w:t xml:space="preserve"> for bureaucratic positions </w:t>
            </w:r>
          </w:p>
        </w:tc>
        <w:tc>
          <w:tcPr>
            <w:tcW w:w="1530" w:type="dxa"/>
            <w:shd w:val="clear" w:color="auto" w:fill="F2DBDB" w:themeFill="accent2" w:themeFillTint="33"/>
          </w:tcPr>
          <w:p w14:paraId="1AF1D094" w14:textId="77777777" w:rsidR="002661A3" w:rsidRPr="00DF44DE" w:rsidRDefault="002661A3" w:rsidP="002661A3">
            <w:pPr>
              <w:rPr>
                <w:rFonts w:cstheme="minorHAnsi"/>
                <w:i/>
                <w:color w:val="000000" w:themeColor="text1"/>
                <w:sz w:val="18"/>
                <w:szCs w:val="18"/>
              </w:rPr>
            </w:pPr>
          </w:p>
        </w:tc>
        <w:tc>
          <w:tcPr>
            <w:tcW w:w="1821" w:type="dxa"/>
            <w:shd w:val="clear" w:color="auto" w:fill="F2DBDB" w:themeFill="accent2" w:themeFillTint="33"/>
          </w:tcPr>
          <w:p w14:paraId="49DB8A91" w14:textId="77777777" w:rsidR="002661A3" w:rsidRPr="00DF44DE" w:rsidRDefault="002661A3" w:rsidP="002661A3">
            <w:pPr>
              <w:rPr>
                <w:rFonts w:cstheme="minorHAnsi"/>
                <w:i/>
                <w:color w:val="000000" w:themeColor="text1"/>
                <w:sz w:val="18"/>
                <w:szCs w:val="18"/>
              </w:rPr>
            </w:pPr>
          </w:p>
        </w:tc>
      </w:tr>
      <w:tr w:rsidR="002661A3" w:rsidRPr="00B4648C" w14:paraId="13CEB43C" w14:textId="77777777" w:rsidTr="002661A3">
        <w:tc>
          <w:tcPr>
            <w:tcW w:w="2222" w:type="dxa"/>
          </w:tcPr>
          <w:p w14:paraId="21F50B9A"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Managers</w:t>
            </w:r>
          </w:p>
        </w:tc>
        <w:tc>
          <w:tcPr>
            <w:tcW w:w="1733" w:type="dxa"/>
            <w:vAlign w:val="center"/>
          </w:tcPr>
          <w:p w14:paraId="50CAC658" w14:textId="77777777" w:rsidR="002661A3" w:rsidRPr="00DF44DE" w:rsidRDefault="002661A3" w:rsidP="002661A3">
            <w:pPr>
              <w:jc w:val="center"/>
              <w:rPr>
                <w:rFonts w:cstheme="minorHAnsi"/>
                <w:i/>
                <w:iCs/>
                <w:color w:val="000000" w:themeColor="text1"/>
                <w:sz w:val="18"/>
                <w:szCs w:val="18"/>
              </w:rPr>
            </w:pPr>
            <w:r w:rsidRPr="00DF44DE">
              <w:rPr>
                <w:rFonts w:cstheme="minorHAnsi"/>
                <w:i/>
                <w:iCs/>
                <w:color w:val="000000" w:themeColor="text1"/>
                <w:sz w:val="18"/>
                <w:szCs w:val="18"/>
              </w:rPr>
              <w:t>Example</w:t>
            </w:r>
            <w:r>
              <w:rPr>
                <w:rFonts w:cstheme="minorHAnsi"/>
                <w:i/>
                <w:iCs/>
                <w:color w:val="000000" w:themeColor="text1"/>
                <w:sz w:val="18"/>
                <w:szCs w:val="18"/>
              </w:rPr>
              <w:t xml:space="preserve"> calculation</w:t>
            </w:r>
            <w:r w:rsidRPr="00DF44DE">
              <w:rPr>
                <w:rFonts w:cstheme="minorHAnsi"/>
                <w:i/>
                <w:iCs/>
                <w:color w:val="000000" w:themeColor="text1"/>
                <w:sz w:val="18"/>
                <w:szCs w:val="18"/>
              </w:rPr>
              <w:t>: Female Managers at national level /</w:t>
            </w:r>
          </w:p>
          <w:p w14:paraId="0E280F0A" w14:textId="77777777" w:rsidR="002661A3" w:rsidRPr="00DF44DE" w:rsidRDefault="002661A3" w:rsidP="002661A3">
            <w:pPr>
              <w:jc w:val="center"/>
              <w:rPr>
                <w:rFonts w:cstheme="minorHAnsi"/>
                <w:color w:val="000000" w:themeColor="text1"/>
                <w:sz w:val="18"/>
                <w:szCs w:val="18"/>
              </w:rPr>
            </w:pPr>
            <w:r w:rsidRPr="00DF44DE">
              <w:rPr>
                <w:rFonts w:cstheme="minorHAnsi"/>
                <w:i/>
                <w:iCs/>
                <w:color w:val="000000" w:themeColor="text1"/>
                <w:sz w:val="18"/>
                <w:szCs w:val="18"/>
              </w:rPr>
              <w:t>All Managers at national level</w:t>
            </w:r>
          </w:p>
        </w:tc>
        <w:tc>
          <w:tcPr>
            <w:tcW w:w="1710" w:type="dxa"/>
            <w:vAlign w:val="center"/>
          </w:tcPr>
          <w:p w14:paraId="31D5A9C8" w14:textId="77777777" w:rsidR="002661A3" w:rsidRPr="00DF44DE" w:rsidRDefault="002661A3" w:rsidP="002661A3">
            <w:pPr>
              <w:jc w:val="center"/>
              <w:rPr>
                <w:rFonts w:cstheme="minorHAnsi"/>
                <w:color w:val="000000" w:themeColor="text1"/>
                <w:sz w:val="18"/>
                <w:szCs w:val="18"/>
              </w:rPr>
            </w:pPr>
            <w:r w:rsidRPr="00EA394C">
              <w:rPr>
                <w:rFonts w:cstheme="minorHAnsi"/>
                <w:color w:val="000000" w:themeColor="text1"/>
                <w:sz w:val="18"/>
                <w:szCs w:val="18"/>
              </w:rPr>
              <w:t>…</w:t>
            </w:r>
          </w:p>
        </w:tc>
        <w:tc>
          <w:tcPr>
            <w:tcW w:w="1530" w:type="dxa"/>
            <w:vAlign w:val="center"/>
          </w:tcPr>
          <w:p w14:paraId="6CDF2B81" w14:textId="77777777" w:rsidR="002661A3" w:rsidRPr="00DF44DE" w:rsidRDefault="002661A3" w:rsidP="002661A3">
            <w:pPr>
              <w:jc w:val="center"/>
              <w:rPr>
                <w:rFonts w:cstheme="minorHAnsi"/>
                <w:color w:val="000000" w:themeColor="text1"/>
                <w:sz w:val="18"/>
                <w:szCs w:val="18"/>
              </w:rPr>
            </w:pPr>
            <w:r w:rsidRPr="00EA394C">
              <w:rPr>
                <w:rFonts w:cstheme="minorHAnsi"/>
                <w:color w:val="000000" w:themeColor="text1"/>
                <w:sz w:val="18"/>
                <w:szCs w:val="18"/>
              </w:rPr>
              <w:t>…</w:t>
            </w:r>
          </w:p>
        </w:tc>
        <w:tc>
          <w:tcPr>
            <w:tcW w:w="1821" w:type="dxa"/>
            <w:vAlign w:val="center"/>
          </w:tcPr>
          <w:p w14:paraId="4894E980" w14:textId="77777777" w:rsidR="002661A3" w:rsidRPr="00DF44DE" w:rsidRDefault="002661A3" w:rsidP="002661A3">
            <w:pPr>
              <w:jc w:val="center"/>
              <w:rPr>
                <w:rFonts w:cstheme="minorHAnsi"/>
                <w:color w:val="000000" w:themeColor="text1"/>
                <w:sz w:val="18"/>
                <w:szCs w:val="18"/>
              </w:rPr>
            </w:pPr>
            <w:r w:rsidRPr="00EA394C">
              <w:rPr>
                <w:rFonts w:cstheme="minorHAnsi"/>
                <w:color w:val="000000" w:themeColor="text1"/>
                <w:sz w:val="18"/>
                <w:szCs w:val="18"/>
              </w:rPr>
              <w:t>…</w:t>
            </w:r>
          </w:p>
        </w:tc>
      </w:tr>
      <w:tr w:rsidR="002661A3" w:rsidRPr="00B4648C" w14:paraId="28CD0428" w14:textId="77777777" w:rsidTr="002661A3">
        <w:tc>
          <w:tcPr>
            <w:tcW w:w="2222" w:type="dxa"/>
          </w:tcPr>
          <w:p w14:paraId="7BE52860"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Professionals</w:t>
            </w:r>
          </w:p>
        </w:tc>
        <w:tc>
          <w:tcPr>
            <w:tcW w:w="1733" w:type="dxa"/>
            <w:vAlign w:val="center"/>
          </w:tcPr>
          <w:p w14:paraId="214AEF20"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52C46907"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53FE198B"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5626C7D4"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6A1244D8" w14:textId="77777777" w:rsidTr="002661A3">
        <w:tc>
          <w:tcPr>
            <w:tcW w:w="2222" w:type="dxa"/>
          </w:tcPr>
          <w:p w14:paraId="5C253AD6"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Technicians and Associate Professionals</w:t>
            </w:r>
          </w:p>
        </w:tc>
        <w:tc>
          <w:tcPr>
            <w:tcW w:w="1733" w:type="dxa"/>
            <w:vAlign w:val="center"/>
          </w:tcPr>
          <w:p w14:paraId="1B4F0873"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4203DC0C"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291DA203"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70DD04E9"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524B25D7" w14:textId="77777777" w:rsidTr="002661A3">
        <w:tc>
          <w:tcPr>
            <w:tcW w:w="2222" w:type="dxa"/>
          </w:tcPr>
          <w:p w14:paraId="59E80961"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Clerical Support Workers</w:t>
            </w:r>
          </w:p>
        </w:tc>
        <w:tc>
          <w:tcPr>
            <w:tcW w:w="1733" w:type="dxa"/>
            <w:vAlign w:val="center"/>
          </w:tcPr>
          <w:p w14:paraId="35BCB232"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230CE77B"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41191FD1"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7BE66F5C"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220B281E" w14:textId="77777777" w:rsidTr="002661A3">
        <w:tc>
          <w:tcPr>
            <w:tcW w:w="5665" w:type="dxa"/>
            <w:gridSpan w:val="3"/>
            <w:shd w:val="clear" w:color="auto" w:fill="F2DBDB" w:themeFill="accent2" w:themeFillTint="33"/>
          </w:tcPr>
          <w:p w14:paraId="27F7880B" w14:textId="77777777" w:rsidR="002661A3" w:rsidRPr="00DF44DE" w:rsidRDefault="002661A3" w:rsidP="002661A3">
            <w:pPr>
              <w:rPr>
                <w:rFonts w:cstheme="minorHAnsi"/>
                <w:color w:val="000000" w:themeColor="text1"/>
                <w:sz w:val="18"/>
                <w:szCs w:val="18"/>
              </w:rPr>
            </w:pPr>
            <w:r w:rsidRPr="00DF44DE">
              <w:rPr>
                <w:rFonts w:cstheme="minorHAnsi"/>
                <w:i/>
                <w:color w:val="000000" w:themeColor="text1"/>
                <w:sz w:val="18"/>
                <w:szCs w:val="18"/>
              </w:rPr>
              <w:t>Occupational categories (</w:t>
            </w:r>
            <w:r>
              <w:rPr>
                <w:rFonts w:cstheme="minorHAnsi"/>
                <w:i/>
                <w:color w:val="000000" w:themeColor="text1"/>
                <w:sz w:val="18"/>
                <w:szCs w:val="18"/>
              </w:rPr>
              <w:t xml:space="preserve">ISCO-08) for </w:t>
            </w:r>
            <w:r w:rsidRPr="00DF44DE">
              <w:rPr>
                <w:rFonts w:cstheme="minorHAnsi"/>
                <w:i/>
                <w:color w:val="000000" w:themeColor="text1"/>
                <w:sz w:val="18"/>
                <w:szCs w:val="18"/>
              </w:rPr>
              <w:t>front-line service</w:t>
            </w:r>
            <w:r>
              <w:rPr>
                <w:rFonts w:cstheme="minorHAnsi"/>
                <w:i/>
                <w:color w:val="000000" w:themeColor="text1"/>
                <w:sz w:val="18"/>
                <w:szCs w:val="18"/>
              </w:rPr>
              <w:t xml:space="preserve"> positions</w:t>
            </w:r>
          </w:p>
        </w:tc>
        <w:tc>
          <w:tcPr>
            <w:tcW w:w="1530" w:type="dxa"/>
            <w:shd w:val="clear" w:color="auto" w:fill="F2DBDB" w:themeFill="accent2" w:themeFillTint="33"/>
          </w:tcPr>
          <w:p w14:paraId="5E2AC6CA" w14:textId="77777777" w:rsidR="002661A3" w:rsidRPr="00DF44DE" w:rsidRDefault="002661A3" w:rsidP="002661A3">
            <w:pPr>
              <w:rPr>
                <w:rFonts w:cstheme="minorHAnsi"/>
                <w:i/>
                <w:color w:val="000000" w:themeColor="text1"/>
                <w:sz w:val="18"/>
                <w:szCs w:val="18"/>
              </w:rPr>
            </w:pPr>
          </w:p>
        </w:tc>
        <w:tc>
          <w:tcPr>
            <w:tcW w:w="1821" w:type="dxa"/>
            <w:shd w:val="clear" w:color="auto" w:fill="F2DBDB" w:themeFill="accent2" w:themeFillTint="33"/>
          </w:tcPr>
          <w:p w14:paraId="2A192773" w14:textId="77777777" w:rsidR="002661A3" w:rsidRPr="00DF44DE" w:rsidRDefault="002661A3" w:rsidP="002661A3">
            <w:pPr>
              <w:rPr>
                <w:rFonts w:cstheme="minorHAnsi"/>
                <w:i/>
                <w:color w:val="000000" w:themeColor="text1"/>
                <w:sz w:val="18"/>
                <w:szCs w:val="18"/>
              </w:rPr>
            </w:pPr>
          </w:p>
        </w:tc>
      </w:tr>
      <w:tr w:rsidR="002661A3" w:rsidRPr="00B4648C" w14:paraId="6601452A" w14:textId="77777777" w:rsidTr="002661A3">
        <w:tc>
          <w:tcPr>
            <w:tcW w:w="2222" w:type="dxa"/>
          </w:tcPr>
          <w:p w14:paraId="210EC95D" w14:textId="77777777" w:rsidR="002661A3" w:rsidRPr="00DF44DE" w:rsidRDefault="002661A3" w:rsidP="002661A3">
            <w:pPr>
              <w:rPr>
                <w:sz w:val="18"/>
                <w:szCs w:val="18"/>
              </w:rPr>
            </w:pPr>
            <w:r w:rsidRPr="00DF44DE">
              <w:rPr>
                <w:rFonts w:cstheme="minorHAnsi"/>
                <w:color w:val="000000" w:themeColor="text1"/>
                <w:sz w:val="18"/>
                <w:szCs w:val="18"/>
              </w:rPr>
              <w:t>Police personnel</w:t>
            </w:r>
          </w:p>
        </w:tc>
        <w:tc>
          <w:tcPr>
            <w:tcW w:w="1733" w:type="dxa"/>
            <w:vAlign w:val="center"/>
          </w:tcPr>
          <w:p w14:paraId="4F4FACAE"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3EA07C62"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2DD08808"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33FF58DF"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56A46AAE" w14:textId="77777777" w:rsidTr="002661A3">
        <w:tc>
          <w:tcPr>
            <w:tcW w:w="2222" w:type="dxa"/>
          </w:tcPr>
          <w:p w14:paraId="59C75A83" w14:textId="77777777" w:rsidR="002661A3" w:rsidRPr="00DF44DE" w:rsidRDefault="002661A3" w:rsidP="002661A3">
            <w:pPr>
              <w:rPr>
                <w:sz w:val="18"/>
                <w:szCs w:val="18"/>
              </w:rPr>
            </w:pPr>
            <w:r w:rsidRPr="00DF44DE">
              <w:rPr>
                <w:rFonts w:cstheme="minorHAnsi"/>
                <w:color w:val="000000" w:themeColor="text1"/>
                <w:sz w:val="18"/>
                <w:szCs w:val="18"/>
              </w:rPr>
              <w:t xml:space="preserve">Education personnel </w:t>
            </w:r>
          </w:p>
        </w:tc>
        <w:tc>
          <w:tcPr>
            <w:tcW w:w="1733" w:type="dxa"/>
            <w:vAlign w:val="center"/>
          </w:tcPr>
          <w:p w14:paraId="4FE82FE7"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1982825E"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3ED014A2"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4FB46570"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35847090" w14:textId="77777777" w:rsidTr="002661A3">
        <w:tc>
          <w:tcPr>
            <w:tcW w:w="2222" w:type="dxa"/>
          </w:tcPr>
          <w:p w14:paraId="7C9D6BC0" w14:textId="77777777" w:rsidR="002661A3" w:rsidRPr="00DF44DE" w:rsidRDefault="002661A3" w:rsidP="002661A3">
            <w:pPr>
              <w:rPr>
                <w:sz w:val="18"/>
                <w:szCs w:val="18"/>
              </w:rPr>
            </w:pPr>
            <w:r w:rsidRPr="00DF44DE">
              <w:rPr>
                <w:rFonts w:cstheme="minorHAnsi"/>
                <w:color w:val="000000" w:themeColor="text1"/>
                <w:sz w:val="18"/>
                <w:szCs w:val="18"/>
              </w:rPr>
              <w:t>Health personnel</w:t>
            </w:r>
          </w:p>
        </w:tc>
        <w:tc>
          <w:tcPr>
            <w:tcW w:w="1733" w:type="dxa"/>
            <w:vAlign w:val="center"/>
          </w:tcPr>
          <w:p w14:paraId="3E3B9D16"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1006240B"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56A185AC"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0D9202DC"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7F7C101C" w14:textId="77777777" w:rsidTr="002661A3">
        <w:tc>
          <w:tcPr>
            <w:tcW w:w="2222" w:type="dxa"/>
          </w:tcPr>
          <w:p w14:paraId="34DF1875" w14:textId="77777777" w:rsidR="002661A3" w:rsidRPr="00DF44DE" w:rsidRDefault="002661A3" w:rsidP="002661A3">
            <w:pPr>
              <w:rPr>
                <w:sz w:val="18"/>
                <w:szCs w:val="18"/>
              </w:rPr>
            </w:pPr>
            <w:r w:rsidRPr="00DF44DE">
              <w:rPr>
                <w:rFonts w:cstheme="minorHAnsi"/>
                <w:color w:val="000000" w:themeColor="text1"/>
                <w:sz w:val="18"/>
                <w:szCs w:val="18"/>
              </w:rPr>
              <w:t>Front-desk administrative personnel</w:t>
            </w:r>
          </w:p>
        </w:tc>
        <w:tc>
          <w:tcPr>
            <w:tcW w:w="1733" w:type="dxa"/>
            <w:vAlign w:val="center"/>
          </w:tcPr>
          <w:p w14:paraId="6DBA19AB"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177794CF"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61947B06"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18408D5E"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560A1469" w14:textId="77777777" w:rsidTr="002661A3">
        <w:tc>
          <w:tcPr>
            <w:tcW w:w="2222" w:type="dxa"/>
          </w:tcPr>
          <w:p w14:paraId="5582EE84" w14:textId="77777777" w:rsidR="002661A3" w:rsidRPr="00DF44DE" w:rsidRDefault="002661A3" w:rsidP="002661A3">
            <w:pPr>
              <w:rPr>
                <w:rFonts w:cstheme="minorHAnsi"/>
                <w:i/>
                <w:color w:val="000000" w:themeColor="text1"/>
                <w:sz w:val="18"/>
                <w:szCs w:val="18"/>
              </w:rPr>
            </w:pPr>
            <w:r w:rsidRPr="00DF44DE">
              <w:rPr>
                <w:rFonts w:cstheme="minorHAnsi"/>
                <w:i/>
                <w:color w:val="000000" w:themeColor="text1"/>
                <w:sz w:val="18"/>
                <w:szCs w:val="18"/>
              </w:rPr>
              <w:t xml:space="preserve">Overall (across all occupational categories) </w:t>
            </w:r>
          </w:p>
        </w:tc>
        <w:tc>
          <w:tcPr>
            <w:tcW w:w="1733" w:type="dxa"/>
            <w:vAlign w:val="center"/>
          </w:tcPr>
          <w:p w14:paraId="1B0530F8"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710" w:type="dxa"/>
            <w:vAlign w:val="center"/>
          </w:tcPr>
          <w:p w14:paraId="31346CF7"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530" w:type="dxa"/>
            <w:vAlign w:val="center"/>
          </w:tcPr>
          <w:p w14:paraId="43451586"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4C578EB2"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bl>
    <w:p w14:paraId="5BBDE080" w14:textId="77777777" w:rsidR="002661A3" w:rsidRPr="00711230" w:rsidRDefault="002661A3" w:rsidP="00AC04CB">
      <w:pPr>
        <w:spacing w:after="0"/>
        <w:rPr>
          <w:rFonts w:cstheme="minorHAnsi"/>
          <w:b/>
          <w:color w:val="4A4A4A"/>
          <w:sz w:val="21"/>
          <w:szCs w:val="21"/>
          <w:u w:val="single"/>
        </w:rPr>
      </w:pPr>
    </w:p>
    <w:p w14:paraId="10C5BC39" w14:textId="0D04B3B3" w:rsidR="002661A3" w:rsidRPr="00711230" w:rsidRDefault="002661A3" w:rsidP="002661A3">
      <w:pPr>
        <w:jc w:val="both"/>
        <w:rPr>
          <w:rFonts w:cstheme="minorHAnsi"/>
          <w:bCs/>
          <w:color w:val="4A4A4A"/>
          <w:sz w:val="21"/>
          <w:szCs w:val="21"/>
        </w:rPr>
      </w:pPr>
      <w:r w:rsidRPr="00711230">
        <w:rPr>
          <w:rFonts w:cstheme="minorHAnsi"/>
          <w:b/>
          <w:color w:val="4A4A4A"/>
          <w:sz w:val="21"/>
          <w:szCs w:val="21"/>
        </w:rPr>
        <w:t xml:space="preserve">Step 3 </w:t>
      </w:r>
      <w:r w:rsidRPr="00711230">
        <w:rPr>
          <w:rFonts w:cstheme="minorHAnsi"/>
          <w:bCs/>
          <w:color w:val="4A4A4A"/>
          <w:sz w:val="21"/>
          <w:szCs w:val="21"/>
        </w:rPr>
        <w:t>then requires generating ratios comparing the proportion of women, ‘youth’, persons with a disability, and specific population groups in the public service relative to the proportion of the same groups in the national population, across each occupational category, at both national and sub-national government levels</w:t>
      </w:r>
    </w:p>
    <w:p w14:paraId="0730DA8A" w14:textId="62360895" w:rsidR="002661A3" w:rsidRPr="00711230" w:rsidRDefault="002661A3" w:rsidP="00D11E07">
      <w:pPr>
        <w:shd w:val="clear" w:color="auto" w:fill="FFFFFF"/>
        <w:jc w:val="both"/>
        <w:rPr>
          <w:rFonts w:ascii="Calibri" w:hAnsi="Calibri" w:cs="Calibri"/>
          <w:bCs/>
          <w:iCs/>
          <w:color w:val="4A4A4A"/>
          <w:sz w:val="21"/>
          <w:szCs w:val="21"/>
          <w:lang w:eastAsia="en-GB"/>
        </w:rPr>
      </w:pPr>
      <w:r w:rsidRPr="00711230">
        <w:rPr>
          <w:rFonts w:ascii="Calibri" w:hAnsi="Calibri" w:cs="Calibri"/>
          <w:bCs/>
          <w:iCs/>
          <w:color w:val="4A4A4A"/>
          <w:sz w:val="21"/>
          <w:szCs w:val="21"/>
          <w:lang w:eastAsia="en-GB"/>
        </w:rPr>
        <w:t xml:space="preserve">The World Population Prospects database, published by the United Nations Population Division, provides official statistics collected from over 230 national statistical offices on national population sizes disaggregated by age (groups) and sex. These statistics are required to calculate the denominators of the sex and </w:t>
      </w:r>
      <w:r w:rsidR="00137D12" w:rsidRPr="00711230">
        <w:rPr>
          <w:rFonts w:ascii="Calibri" w:hAnsi="Calibri" w:cs="Calibri"/>
          <w:bCs/>
          <w:iCs/>
          <w:color w:val="4A4A4A"/>
          <w:sz w:val="21"/>
          <w:szCs w:val="21"/>
          <w:lang w:eastAsia="en-GB"/>
        </w:rPr>
        <w:t>age-related</w:t>
      </w:r>
      <w:r w:rsidRPr="00711230">
        <w:rPr>
          <w:rFonts w:ascii="Calibri" w:hAnsi="Calibri" w:cs="Calibri"/>
          <w:bCs/>
          <w:iCs/>
          <w:color w:val="4A4A4A"/>
          <w:sz w:val="21"/>
          <w:szCs w:val="21"/>
          <w:lang w:eastAsia="en-GB"/>
        </w:rPr>
        <w:t xml:space="preserve"> ratios.</w:t>
      </w:r>
    </w:p>
    <w:p w14:paraId="46735F4B" w14:textId="14CCD8D0" w:rsidR="002661A3" w:rsidRPr="00711230" w:rsidRDefault="002661A3" w:rsidP="002661A3">
      <w:pPr>
        <w:shd w:val="clear" w:color="auto" w:fill="FFFFFF"/>
        <w:jc w:val="both"/>
        <w:rPr>
          <w:rFonts w:ascii="Calibri" w:hAnsi="Calibri" w:cs="Calibri"/>
          <w:bCs/>
          <w:iCs/>
          <w:color w:val="4A4A4A"/>
          <w:sz w:val="21"/>
          <w:szCs w:val="21"/>
          <w:lang w:eastAsia="en-GB"/>
        </w:rPr>
      </w:pPr>
      <w:r w:rsidRPr="00711230">
        <w:rPr>
          <w:rFonts w:ascii="Calibri" w:hAnsi="Calibri" w:cs="Calibri"/>
          <w:bCs/>
          <w:iCs/>
          <w:color w:val="4A4A4A"/>
          <w:sz w:val="21"/>
          <w:szCs w:val="21"/>
          <w:lang w:eastAsia="en-GB"/>
        </w:rPr>
        <w:t xml:space="preserve">It should be noted that when comparing ratios of certain groups in the public service with corresponding shares of the same groups in the national population, it is important to use the working-age population of that group in the national population as a comparator </w:t>
      </w:r>
      <w:proofErr w:type="gramStart"/>
      <w:r w:rsidRPr="00711230">
        <w:rPr>
          <w:rFonts w:ascii="Calibri" w:hAnsi="Calibri" w:cs="Calibri"/>
          <w:bCs/>
          <w:iCs/>
          <w:color w:val="4A4A4A"/>
          <w:sz w:val="21"/>
          <w:szCs w:val="21"/>
          <w:lang w:eastAsia="en-GB"/>
        </w:rPr>
        <w:t>i.e.</w:t>
      </w:r>
      <w:proofErr w:type="gramEnd"/>
      <w:r w:rsidRPr="00711230">
        <w:rPr>
          <w:rFonts w:ascii="Calibri" w:hAnsi="Calibri" w:cs="Calibri"/>
          <w:bCs/>
          <w:iCs/>
          <w:color w:val="4A4A4A"/>
          <w:sz w:val="21"/>
          <w:szCs w:val="21"/>
          <w:lang w:eastAsia="en-GB"/>
        </w:rPr>
        <w:t xml:space="preserve"> above the minimum age required to apply for a public servant job, and below the mandatory retirement age for public servants</w:t>
      </w:r>
      <w:r w:rsidRPr="00711230">
        <w:rPr>
          <w:rStyle w:val="FootnoteReference"/>
          <w:rFonts w:ascii="Calibri" w:hAnsi="Calibri" w:cs="Calibri"/>
          <w:bCs/>
          <w:iCs/>
          <w:color w:val="4A4A4A"/>
          <w:sz w:val="21"/>
          <w:szCs w:val="21"/>
          <w:lang w:eastAsia="en-GB"/>
        </w:rPr>
        <w:footnoteReference w:id="15"/>
      </w:r>
      <w:r w:rsidRPr="00711230">
        <w:rPr>
          <w:rFonts w:ascii="Calibri" w:hAnsi="Calibri" w:cs="Calibri"/>
          <w:bCs/>
          <w:iCs/>
          <w:color w:val="4A4A4A"/>
          <w:sz w:val="21"/>
          <w:szCs w:val="21"/>
          <w:lang w:eastAsia="en-GB"/>
        </w:rPr>
        <w:t xml:space="preserve">. These lower and upper age boundaries will vary depending on the </w:t>
      </w:r>
      <w:proofErr w:type="gramStart"/>
      <w:r w:rsidRPr="00711230">
        <w:rPr>
          <w:rFonts w:ascii="Calibri" w:hAnsi="Calibri" w:cs="Calibri"/>
          <w:bCs/>
          <w:iCs/>
          <w:color w:val="4A4A4A"/>
          <w:sz w:val="21"/>
          <w:szCs w:val="21"/>
          <w:lang w:eastAsia="en-GB"/>
        </w:rPr>
        <w:t>country, and</w:t>
      </w:r>
      <w:proofErr w:type="gramEnd"/>
      <w:r w:rsidRPr="00711230">
        <w:rPr>
          <w:rFonts w:ascii="Calibri" w:hAnsi="Calibri" w:cs="Calibri"/>
          <w:bCs/>
          <w:iCs/>
          <w:color w:val="4A4A4A"/>
          <w:sz w:val="21"/>
          <w:szCs w:val="21"/>
          <w:lang w:eastAsia="en-GB"/>
        </w:rPr>
        <w:t xml:space="preserve"> need to be defined by each country in the below formula. For instance, if the minimum age to be eligible for a public service job in a given country is 18 </w:t>
      </w:r>
      <w:r w:rsidRPr="00711230">
        <w:rPr>
          <w:rFonts w:ascii="Calibri" w:hAnsi="Calibri" w:cs="Calibri"/>
          <w:bCs/>
          <w:iCs/>
          <w:color w:val="4A4A4A"/>
          <w:sz w:val="21"/>
          <w:szCs w:val="21"/>
          <w:lang w:eastAsia="en-GB"/>
        </w:rPr>
        <w:lastRenderedPageBreak/>
        <w:t xml:space="preserve">years old, and the mandatory retirement age for public servants is 65 years old, then comparing public servants belonging to a particular population group (say, a particular ethnic group) with the corresponding share of this ethnic group in the national population, then it is important to focus only on those members of this ethnic group aged between 18 and 65. </w:t>
      </w:r>
    </w:p>
    <w:p w14:paraId="531B9763" w14:textId="77777777" w:rsidR="002661A3" w:rsidRPr="00711230" w:rsidRDefault="002661A3" w:rsidP="00AC04CB">
      <w:pPr>
        <w:shd w:val="clear" w:color="auto" w:fill="FFFFFF"/>
        <w:spacing w:after="0"/>
        <w:rPr>
          <w:rFonts w:ascii="Calibri" w:hAnsi="Calibri" w:cs="Calibri"/>
          <w:color w:val="4A4A4A"/>
          <w:sz w:val="21"/>
          <w:szCs w:val="21"/>
          <w:lang w:eastAsia="en-GB"/>
        </w:rPr>
      </w:pPr>
      <w:r w:rsidRPr="00711230">
        <w:rPr>
          <w:rFonts w:ascii="Calibri" w:hAnsi="Calibri" w:cs="Calibri"/>
          <w:color w:val="4A4A4A"/>
          <w:sz w:val="21"/>
          <w:szCs w:val="21"/>
          <w:lang w:eastAsia="en-GB"/>
        </w:rPr>
        <w:t>The resulting ratios can be interpreted as follows:</w:t>
      </w:r>
    </w:p>
    <w:p w14:paraId="648B9451" w14:textId="77777777" w:rsidR="002661A3" w:rsidRPr="00711230" w:rsidRDefault="002661A3" w:rsidP="00326A66">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711230">
        <w:rPr>
          <w:rFonts w:ascii="Calibri" w:eastAsia="Times New Roman" w:hAnsi="Calibri" w:cs="Calibri"/>
          <w:color w:val="4A4A4A"/>
          <w:sz w:val="21"/>
          <w:szCs w:val="21"/>
          <w:lang w:val="en-US" w:eastAsia="en-GB"/>
        </w:rPr>
        <w:t xml:space="preserve">0, when there is no representation at all </w:t>
      </w:r>
      <w:r w:rsidRPr="00711230">
        <w:rPr>
          <w:rFonts w:ascii="Calibri" w:hAnsi="Calibri" w:cs="Calibri"/>
          <w:bCs/>
          <w:color w:val="4A4A4A"/>
          <w:sz w:val="21"/>
          <w:szCs w:val="21"/>
          <w:lang w:eastAsia="en-GB"/>
        </w:rPr>
        <w:t>in the respective sub-category of the public service</w:t>
      </w:r>
    </w:p>
    <w:p w14:paraId="59C5E215" w14:textId="77777777" w:rsidR="002661A3" w:rsidRPr="00711230" w:rsidRDefault="002661A3" w:rsidP="00326A66">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711230">
        <w:rPr>
          <w:rFonts w:ascii="Calibri" w:eastAsia="Times New Roman" w:hAnsi="Calibri" w:cs="Calibri"/>
          <w:color w:val="4A4A4A"/>
          <w:sz w:val="21"/>
          <w:szCs w:val="21"/>
          <w:lang w:val="en-US" w:eastAsia="en-GB"/>
        </w:rPr>
        <w:t xml:space="preserve">&lt;1, when the representation in the respective sub-category is lower in the public service than in the working-age population </w:t>
      </w:r>
    </w:p>
    <w:p w14:paraId="177F26BC" w14:textId="77777777" w:rsidR="002661A3" w:rsidRPr="00711230" w:rsidRDefault="002661A3" w:rsidP="00326A66">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711230">
        <w:rPr>
          <w:rFonts w:ascii="Calibri" w:eastAsia="Times New Roman" w:hAnsi="Calibri" w:cs="Calibri"/>
          <w:color w:val="4A4A4A"/>
          <w:sz w:val="21"/>
          <w:szCs w:val="21"/>
          <w:lang w:val="en-US" w:eastAsia="en-GB"/>
        </w:rPr>
        <w:t xml:space="preserve">=1, when the representation in the respective sub-category is equal across the public service and the working-age population </w:t>
      </w:r>
    </w:p>
    <w:p w14:paraId="03FDAB61" w14:textId="7E6930BF" w:rsidR="002661A3" w:rsidRPr="00AC04CB" w:rsidRDefault="002661A3" w:rsidP="00326A66">
      <w:pPr>
        <w:pStyle w:val="ListParagraph"/>
        <w:numPr>
          <w:ilvl w:val="0"/>
          <w:numId w:val="5"/>
        </w:numPr>
        <w:shd w:val="clear" w:color="auto" w:fill="FFFFFF"/>
        <w:spacing w:after="0"/>
        <w:rPr>
          <w:rFonts w:ascii="Calibri" w:hAnsi="Calibri" w:cs="Calibri"/>
          <w:color w:val="4A4A4A"/>
          <w:sz w:val="21"/>
          <w:szCs w:val="21"/>
          <w:lang w:eastAsia="en-GB"/>
        </w:rPr>
      </w:pPr>
      <w:r w:rsidRPr="00711230">
        <w:rPr>
          <w:rFonts w:ascii="Calibri" w:eastAsia="Times New Roman" w:hAnsi="Calibri" w:cs="Calibri"/>
          <w:color w:val="4A4A4A"/>
          <w:sz w:val="21"/>
          <w:szCs w:val="21"/>
          <w:lang w:val="en-US" w:eastAsia="en-GB"/>
        </w:rPr>
        <w:t xml:space="preserve">&gt;1, when the representation in the respective sub-category is higher in </w:t>
      </w:r>
      <w:r w:rsidRPr="00711230">
        <w:rPr>
          <w:rFonts w:ascii="Calibri" w:hAnsi="Calibri" w:cs="Calibri"/>
          <w:bCs/>
          <w:color w:val="4A4A4A"/>
          <w:sz w:val="21"/>
          <w:szCs w:val="21"/>
          <w:lang w:eastAsia="en-GB"/>
        </w:rPr>
        <w:t xml:space="preserve">the public service </w:t>
      </w:r>
      <w:r w:rsidRPr="00711230">
        <w:rPr>
          <w:rFonts w:ascii="Calibri" w:eastAsia="Times New Roman" w:hAnsi="Calibri" w:cs="Calibri"/>
          <w:color w:val="4A4A4A"/>
          <w:sz w:val="21"/>
          <w:szCs w:val="21"/>
          <w:lang w:val="en-US" w:eastAsia="en-GB"/>
        </w:rPr>
        <w:t>than in the working-age population</w:t>
      </w:r>
    </w:p>
    <w:p w14:paraId="247FF990" w14:textId="77777777" w:rsidR="009C5DA4" w:rsidRPr="00AC04CB" w:rsidRDefault="009C5DA4" w:rsidP="00AC04CB">
      <w:pPr>
        <w:shd w:val="clear" w:color="auto" w:fill="FFFFFF"/>
        <w:spacing w:after="0"/>
        <w:ind w:left="360"/>
        <w:rPr>
          <w:rFonts w:ascii="Calibri" w:hAnsi="Calibri" w:cs="Calibri"/>
          <w:color w:val="4A4A4A"/>
          <w:sz w:val="21"/>
          <w:szCs w:val="21"/>
          <w:lang w:eastAsia="en-GB"/>
        </w:rPr>
      </w:pPr>
    </w:p>
    <w:p w14:paraId="7D39EED5" w14:textId="77777777" w:rsidR="002661A3" w:rsidRPr="00711230" w:rsidRDefault="002661A3" w:rsidP="00AC04CB">
      <w:pPr>
        <w:spacing w:after="0"/>
        <w:jc w:val="center"/>
        <w:rPr>
          <w:rFonts w:cstheme="minorHAnsi"/>
          <w:color w:val="4A4A4A"/>
          <w:sz w:val="21"/>
          <w:szCs w:val="21"/>
          <w:u w:val="single"/>
        </w:rPr>
      </w:pPr>
      <w:r w:rsidRPr="00711230">
        <w:rPr>
          <w:rFonts w:cstheme="minorHAnsi"/>
          <w:color w:val="4A4A4A"/>
          <w:sz w:val="21"/>
          <w:szCs w:val="21"/>
          <w:u w:val="single"/>
        </w:rPr>
        <w:t>Employment in public service at NATIONAL/CENTRAL level</w:t>
      </w:r>
    </w:p>
    <w:p w14:paraId="328C49FB" w14:textId="77777777" w:rsidR="002661A3" w:rsidRPr="00711230" w:rsidRDefault="002661A3" w:rsidP="00AC04CB">
      <w:pPr>
        <w:spacing w:after="0"/>
        <w:jc w:val="center"/>
        <w:rPr>
          <w:rFonts w:cstheme="minorHAnsi"/>
          <w:i/>
          <w:color w:val="4A4A4A"/>
          <w:sz w:val="21"/>
          <w:szCs w:val="21"/>
        </w:rPr>
      </w:pPr>
      <w:r w:rsidRPr="00711230">
        <w:rPr>
          <w:rFonts w:cstheme="minorHAnsi"/>
          <w:i/>
          <w:color w:val="4A4A4A"/>
          <w:sz w:val="21"/>
          <w:szCs w:val="21"/>
        </w:rPr>
        <w:t>(Same ratios to be calculated for employment in public service at SUB-NATIONAL level, in separate table)</w:t>
      </w:r>
    </w:p>
    <w:tbl>
      <w:tblPr>
        <w:tblStyle w:val="TableGrid"/>
        <w:tblW w:w="9754" w:type="dxa"/>
        <w:jc w:val="center"/>
        <w:tblLook w:val="04A0" w:firstRow="1" w:lastRow="0" w:firstColumn="1" w:lastColumn="0" w:noHBand="0" w:noVBand="1"/>
      </w:tblPr>
      <w:tblGrid>
        <w:gridCol w:w="2122"/>
        <w:gridCol w:w="1898"/>
        <w:gridCol w:w="1800"/>
        <w:gridCol w:w="12"/>
        <w:gridCol w:w="2101"/>
        <w:gridCol w:w="1821"/>
      </w:tblGrid>
      <w:tr w:rsidR="002661A3" w:rsidRPr="00B4648C" w14:paraId="65E1DDF2" w14:textId="77777777" w:rsidTr="002661A3">
        <w:trPr>
          <w:jc w:val="center"/>
        </w:trPr>
        <w:tc>
          <w:tcPr>
            <w:tcW w:w="2122" w:type="dxa"/>
          </w:tcPr>
          <w:p w14:paraId="309EE04E" w14:textId="77777777" w:rsidR="002661A3" w:rsidRPr="00DF44DE" w:rsidRDefault="002661A3" w:rsidP="002661A3">
            <w:pPr>
              <w:jc w:val="center"/>
              <w:rPr>
                <w:rFonts w:cstheme="minorHAnsi"/>
                <w:b/>
                <w:color w:val="000000" w:themeColor="text1"/>
                <w:sz w:val="18"/>
                <w:szCs w:val="18"/>
              </w:rPr>
            </w:pPr>
          </w:p>
        </w:tc>
        <w:tc>
          <w:tcPr>
            <w:tcW w:w="1898" w:type="dxa"/>
          </w:tcPr>
          <w:p w14:paraId="5A0FDBA3"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 xml:space="preserve">Female representation ratios: </w:t>
            </w:r>
          </w:p>
          <w:p w14:paraId="2D69EB1C"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Proportion of female public servants in [occupational category x] / Proportion of women in the working-age population</w:t>
            </w:r>
          </w:p>
        </w:tc>
        <w:tc>
          <w:tcPr>
            <w:tcW w:w="1800" w:type="dxa"/>
          </w:tcPr>
          <w:p w14:paraId="536D646B"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 xml:space="preserve">‘Youth’ representation ratios: </w:t>
            </w:r>
          </w:p>
          <w:p w14:paraId="26B22F25"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 xml:space="preserve">Proportion of ‘young’ public servants aged 34 and below in [occupational category x] / </w:t>
            </w:r>
            <w:r w:rsidRPr="006605B5">
              <w:rPr>
                <w:rFonts w:cstheme="minorHAnsi"/>
                <w:color w:val="000000" w:themeColor="text1"/>
                <w:sz w:val="18"/>
                <w:szCs w:val="18"/>
              </w:rPr>
              <w:t xml:space="preserve">Proportion of the </w:t>
            </w:r>
            <w:r>
              <w:rPr>
                <w:rFonts w:cstheme="minorHAnsi"/>
                <w:color w:val="000000" w:themeColor="text1"/>
                <w:sz w:val="18"/>
                <w:szCs w:val="18"/>
              </w:rPr>
              <w:t>working-age</w:t>
            </w:r>
            <w:r w:rsidRPr="006605B5">
              <w:rPr>
                <w:rFonts w:cstheme="minorHAnsi"/>
                <w:color w:val="000000" w:themeColor="text1"/>
                <w:sz w:val="18"/>
                <w:szCs w:val="18"/>
              </w:rPr>
              <w:t xml:space="preserve"> population aged above the eligibility age for a public service job </w:t>
            </w:r>
            <w:r>
              <w:rPr>
                <w:rFonts w:cstheme="minorHAnsi"/>
                <w:color w:val="000000" w:themeColor="text1"/>
                <w:sz w:val="18"/>
                <w:szCs w:val="18"/>
              </w:rPr>
              <w:t xml:space="preserve">and below </w:t>
            </w:r>
            <w:r w:rsidRPr="006605B5">
              <w:rPr>
                <w:rFonts w:cstheme="minorHAnsi"/>
                <w:color w:val="000000" w:themeColor="text1"/>
                <w:sz w:val="18"/>
                <w:szCs w:val="18"/>
              </w:rPr>
              <w:t>3</w:t>
            </w:r>
            <w:r>
              <w:rPr>
                <w:rFonts w:cstheme="minorHAnsi"/>
                <w:color w:val="000000" w:themeColor="text1"/>
                <w:sz w:val="18"/>
                <w:szCs w:val="18"/>
              </w:rPr>
              <w:t>5</w:t>
            </w:r>
          </w:p>
        </w:tc>
        <w:tc>
          <w:tcPr>
            <w:tcW w:w="2113" w:type="dxa"/>
            <w:gridSpan w:val="2"/>
          </w:tcPr>
          <w:p w14:paraId="1CC762DA"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Disabled persons representation ratios:</w:t>
            </w:r>
          </w:p>
          <w:p w14:paraId="282818D1" w14:textId="77777777" w:rsidR="002661A3" w:rsidRPr="00DF44DE" w:rsidRDefault="002661A3" w:rsidP="002661A3">
            <w:pPr>
              <w:jc w:val="center"/>
              <w:rPr>
                <w:rFonts w:cstheme="minorHAnsi"/>
                <w:b/>
                <w:color w:val="000000" w:themeColor="text1"/>
                <w:sz w:val="18"/>
                <w:szCs w:val="18"/>
              </w:rPr>
            </w:pPr>
            <w:r w:rsidRPr="00DF44DE">
              <w:rPr>
                <w:rFonts w:cstheme="minorHAnsi"/>
                <w:color w:val="000000" w:themeColor="text1"/>
                <w:sz w:val="18"/>
                <w:szCs w:val="18"/>
              </w:rPr>
              <w:t>Proportion of disabled public servants in [occupational category x] / Proportion of disabled persons in the working-age population</w:t>
            </w:r>
          </w:p>
        </w:tc>
        <w:tc>
          <w:tcPr>
            <w:tcW w:w="1821" w:type="dxa"/>
          </w:tcPr>
          <w:p w14:paraId="254CD8AD" w14:textId="77777777" w:rsidR="002661A3" w:rsidRPr="00DF44DE" w:rsidRDefault="002661A3" w:rsidP="002661A3">
            <w:pPr>
              <w:jc w:val="center"/>
              <w:rPr>
                <w:rFonts w:cstheme="minorHAnsi"/>
                <w:b/>
                <w:color w:val="000000" w:themeColor="text1"/>
                <w:sz w:val="18"/>
                <w:szCs w:val="18"/>
              </w:rPr>
            </w:pPr>
            <w:r w:rsidRPr="00DF44DE">
              <w:rPr>
                <w:rFonts w:cstheme="minorHAnsi"/>
                <w:b/>
                <w:color w:val="000000" w:themeColor="text1"/>
                <w:sz w:val="18"/>
                <w:szCs w:val="18"/>
              </w:rPr>
              <w:t>Population group A representation ratios:</w:t>
            </w:r>
          </w:p>
          <w:p w14:paraId="10213B05" w14:textId="77777777" w:rsidR="002661A3" w:rsidRPr="00DF44DE" w:rsidRDefault="002661A3" w:rsidP="002661A3">
            <w:pPr>
              <w:jc w:val="center"/>
              <w:rPr>
                <w:rFonts w:cstheme="minorHAnsi"/>
                <w:b/>
                <w:color w:val="000000" w:themeColor="text1"/>
                <w:sz w:val="18"/>
                <w:szCs w:val="18"/>
              </w:rPr>
            </w:pPr>
            <w:r w:rsidRPr="00DF44DE">
              <w:rPr>
                <w:rFonts w:cstheme="minorHAnsi"/>
                <w:color w:val="000000" w:themeColor="text1"/>
                <w:sz w:val="18"/>
                <w:szCs w:val="18"/>
              </w:rPr>
              <w:t>Proportion of public servants belonging to population group A in</w:t>
            </w:r>
            <w:r w:rsidRPr="00DF44DE">
              <w:rPr>
                <w:rFonts w:cstheme="minorHAnsi"/>
                <w:b/>
                <w:color w:val="000000" w:themeColor="text1"/>
                <w:sz w:val="18"/>
                <w:szCs w:val="18"/>
              </w:rPr>
              <w:t xml:space="preserve"> </w:t>
            </w:r>
            <w:r w:rsidRPr="00DF44DE">
              <w:rPr>
                <w:rFonts w:cstheme="minorHAnsi"/>
                <w:color w:val="000000" w:themeColor="text1"/>
                <w:sz w:val="18"/>
                <w:szCs w:val="18"/>
              </w:rPr>
              <w:t>[occupational category x] / Proportion of population group A in the working-age population</w:t>
            </w:r>
          </w:p>
        </w:tc>
      </w:tr>
      <w:tr w:rsidR="002661A3" w:rsidRPr="00B4648C" w14:paraId="26396F87" w14:textId="77777777" w:rsidTr="002661A3">
        <w:trPr>
          <w:jc w:val="center"/>
        </w:trPr>
        <w:tc>
          <w:tcPr>
            <w:tcW w:w="5832" w:type="dxa"/>
            <w:gridSpan w:val="4"/>
            <w:shd w:val="clear" w:color="auto" w:fill="F2DBDB" w:themeFill="accent2" w:themeFillTint="33"/>
          </w:tcPr>
          <w:p w14:paraId="250C706C" w14:textId="77777777" w:rsidR="002661A3" w:rsidRPr="00DF44DE" w:rsidRDefault="002661A3" w:rsidP="002661A3">
            <w:pPr>
              <w:rPr>
                <w:rFonts w:cstheme="minorHAnsi"/>
                <w:color w:val="000000" w:themeColor="text1"/>
                <w:sz w:val="18"/>
                <w:szCs w:val="18"/>
              </w:rPr>
            </w:pPr>
            <w:r w:rsidRPr="00DF44DE">
              <w:rPr>
                <w:rFonts w:cstheme="minorHAnsi"/>
                <w:i/>
                <w:color w:val="000000" w:themeColor="text1"/>
                <w:sz w:val="18"/>
                <w:szCs w:val="18"/>
              </w:rPr>
              <w:t>Occupational categories (ISCO</w:t>
            </w:r>
            <w:r>
              <w:rPr>
                <w:rFonts w:cstheme="minorHAnsi"/>
                <w:i/>
                <w:color w:val="000000" w:themeColor="text1"/>
                <w:sz w:val="18"/>
                <w:szCs w:val="18"/>
              </w:rPr>
              <w:t>-08</w:t>
            </w:r>
            <w:r w:rsidRPr="00DF44DE">
              <w:rPr>
                <w:rFonts w:cstheme="minorHAnsi"/>
                <w:i/>
                <w:color w:val="000000" w:themeColor="text1"/>
                <w:sz w:val="18"/>
                <w:szCs w:val="18"/>
              </w:rPr>
              <w:t>)</w:t>
            </w:r>
            <w:r>
              <w:rPr>
                <w:rFonts w:cstheme="minorHAnsi"/>
                <w:i/>
                <w:color w:val="000000" w:themeColor="text1"/>
                <w:sz w:val="18"/>
                <w:szCs w:val="18"/>
              </w:rPr>
              <w:t xml:space="preserve"> for bureaucratic positions</w:t>
            </w:r>
          </w:p>
        </w:tc>
        <w:tc>
          <w:tcPr>
            <w:tcW w:w="2101" w:type="dxa"/>
            <w:shd w:val="clear" w:color="auto" w:fill="F2DBDB" w:themeFill="accent2" w:themeFillTint="33"/>
          </w:tcPr>
          <w:p w14:paraId="69419B1A" w14:textId="77777777" w:rsidR="002661A3" w:rsidRPr="00DF44DE" w:rsidRDefault="002661A3" w:rsidP="002661A3">
            <w:pPr>
              <w:rPr>
                <w:rFonts w:cstheme="minorHAnsi"/>
                <w:i/>
                <w:color w:val="000000" w:themeColor="text1"/>
                <w:sz w:val="18"/>
                <w:szCs w:val="18"/>
              </w:rPr>
            </w:pPr>
          </w:p>
        </w:tc>
        <w:tc>
          <w:tcPr>
            <w:tcW w:w="1821" w:type="dxa"/>
            <w:shd w:val="clear" w:color="auto" w:fill="F2DBDB" w:themeFill="accent2" w:themeFillTint="33"/>
          </w:tcPr>
          <w:p w14:paraId="14E8134F" w14:textId="77777777" w:rsidR="002661A3" w:rsidRPr="00DF44DE" w:rsidRDefault="002661A3" w:rsidP="002661A3">
            <w:pPr>
              <w:rPr>
                <w:rFonts w:cstheme="minorHAnsi"/>
                <w:i/>
                <w:color w:val="000000" w:themeColor="text1"/>
                <w:sz w:val="18"/>
                <w:szCs w:val="18"/>
              </w:rPr>
            </w:pPr>
          </w:p>
        </w:tc>
      </w:tr>
      <w:tr w:rsidR="002661A3" w:rsidRPr="00B4648C" w14:paraId="27FC223E" w14:textId="77777777" w:rsidTr="002661A3">
        <w:trPr>
          <w:jc w:val="center"/>
        </w:trPr>
        <w:tc>
          <w:tcPr>
            <w:tcW w:w="2122" w:type="dxa"/>
          </w:tcPr>
          <w:p w14:paraId="04785FDE"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Managers</w:t>
            </w:r>
          </w:p>
        </w:tc>
        <w:tc>
          <w:tcPr>
            <w:tcW w:w="1898" w:type="dxa"/>
            <w:shd w:val="clear" w:color="auto" w:fill="auto"/>
            <w:vAlign w:val="center"/>
          </w:tcPr>
          <w:p w14:paraId="1902889D" w14:textId="77777777" w:rsidR="002661A3" w:rsidRPr="00DF44DE" w:rsidRDefault="002661A3" w:rsidP="002661A3">
            <w:pPr>
              <w:jc w:val="center"/>
              <w:rPr>
                <w:rFonts w:cstheme="minorHAnsi"/>
                <w:i/>
                <w:iCs/>
                <w:color w:val="000000" w:themeColor="text1"/>
                <w:sz w:val="18"/>
                <w:szCs w:val="18"/>
              </w:rPr>
            </w:pPr>
            <w:r w:rsidRPr="00DF44DE">
              <w:rPr>
                <w:rFonts w:cstheme="minorHAnsi"/>
                <w:i/>
                <w:iCs/>
                <w:color w:val="000000" w:themeColor="text1"/>
                <w:sz w:val="18"/>
                <w:szCs w:val="18"/>
              </w:rPr>
              <w:t>[Priority ratio 1a]</w:t>
            </w:r>
          </w:p>
        </w:tc>
        <w:tc>
          <w:tcPr>
            <w:tcW w:w="1800" w:type="dxa"/>
            <w:vAlign w:val="center"/>
          </w:tcPr>
          <w:p w14:paraId="113FB505"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vAlign w:val="center"/>
          </w:tcPr>
          <w:p w14:paraId="54104D51"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107307BA"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07720EA7" w14:textId="77777777" w:rsidTr="002661A3">
        <w:trPr>
          <w:jc w:val="center"/>
        </w:trPr>
        <w:tc>
          <w:tcPr>
            <w:tcW w:w="2122" w:type="dxa"/>
          </w:tcPr>
          <w:p w14:paraId="0EBA7CCB"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Professionals</w:t>
            </w:r>
          </w:p>
        </w:tc>
        <w:tc>
          <w:tcPr>
            <w:tcW w:w="1898" w:type="dxa"/>
            <w:vAlign w:val="center"/>
          </w:tcPr>
          <w:p w14:paraId="23522A2D"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vAlign w:val="center"/>
          </w:tcPr>
          <w:p w14:paraId="2228BD31"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vAlign w:val="center"/>
          </w:tcPr>
          <w:p w14:paraId="0FEEC729" w14:textId="77777777" w:rsidR="002661A3" w:rsidRPr="00DF44DE" w:rsidRDefault="002661A3" w:rsidP="002661A3">
            <w:pPr>
              <w:jc w:val="center"/>
              <w:rPr>
                <w:rFonts w:cstheme="minorHAnsi"/>
                <w:i/>
                <w:iCs/>
                <w:color w:val="000000" w:themeColor="text1"/>
                <w:sz w:val="18"/>
                <w:szCs w:val="18"/>
              </w:rPr>
            </w:pPr>
            <w:r w:rsidRPr="00DF44DE">
              <w:rPr>
                <w:rFonts w:cstheme="minorHAnsi"/>
                <w:i/>
                <w:iCs/>
                <w:color w:val="000000" w:themeColor="text1"/>
                <w:sz w:val="18"/>
                <w:szCs w:val="18"/>
              </w:rPr>
              <w:t>Example calculation:</w:t>
            </w:r>
          </w:p>
          <w:p w14:paraId="565B38E0" w14:textId="77777777" w:rsidR="002661A3" w:rsidRPr="00DF44DE" w:rsidRDefault="002661A3" w:rsidP="002661A3">
            <w:pPr>
              <w:jc w:val="center"/>
              <w:rPr>
                <w:rFonts w:cstheme="minorHAnsi"/>
                <w:i/>
                <w:iCs/>
                <w:color w:val="000000" w:themeColor="text1"/>
                <w:sz w:val="18"/>
                <w:szCs w:val="18"/>
              </w:rPr>
            </w:pPr>
            <w:r w:rsidRPr="00DF44DE">
              <w:rPr>
                <w:rFonts w:cstheme="minorHAnsi"/>
                <w:i/>
                <w:iCs/>
                <w:color w:val="000000" w:themeColor="text1"/>
                <w:sz w:val="18"/>
                <w:szCs w:val="18"/>
              </w:rPr>
              <w:t>3% disabled Professionals</w:t>
            </w:r>
            <w:r>
              <w:rPr>
                <w:rFonts w:cstheme="minorHAnsi"/>
                <w:i/>
                <w:iCs/>
                <w:color w:val="000000" w:themeColor="text1"/>
                <w:sz w:val="18"/>
                <w:szCs w:val="18"/>
              </w:rPr>
              <w:t xml:space="preserve"> at national level</w:t>
            </w:r>
            <w:r w:rsidRPr="00DF44DE">
              <w:rPr>
                <w:rFonts w:cstheme="minorHAnsi"/>
                <w:i/>
                <w:iCs/>
                <w:color w:val="000000" w:themeColor="text1"/>
                <w:sz w:val="18"/>
                <w:szCs w:val="18"/>
              </w:rPr>
              <w:t xml:space="preserve"> / 9% disabled in the working-age population = 0.33</w:t>
            </w:r>
          </w:p>
          <w:p w14:paraId="04A1C012" w14:textId="77777777" w:rsidR="002661A3" w:rsidRPr="00DF44DE" w:rsidRDefault="002661A3" w:rsidP="002661A3">
            <w:pPr>
              <w:jc w:val="center"/>
              <w:rPr>
                <w:rFonts w:cstheme="minorHAnsi"/>
                <w:color w:val="000000" w:themeColor="text1"/>
                <w:sz w:val="18"/>
                <w:szCs w:val="18"/>
              </w:rPr>
            </w:pPr>
            <w:r w:rsidRPr="001445A8">
              <w:rPr>
                <w:rFonts w:hint="eastAsia"/>
                <w:i/>
                <w:color w:val="000000" w:themeColor="text1"/>
                <w:sz w:val="18"/>
              </w:rPr>
              <w:sym w:font="Wingdings" w:char="F0E0"/>
            </w:r>
            <w:r w:rsidRPr="00DF44DE">
              <w:rPr>
                <w:rFonts w:cstheme="minorHAnsi"/>
                <w:i/>
                <w:iCs/>
                <w:color w:val="000000" w:themeColor="text1"/>
                <w:sz w:val="18"/>
                <w:szCs w:val="18"/>
              </w:rPr>
              <w:t xml:space="preserve"> Under-representation (&lt;1)</w:t>
            </w:r>
          </w:p>
        </w:tc>
        <w:tc>
          <w:tcPr>
            <w:tcW w:w="1821" w:type="dxa"/>
            <w:vAlign w:val="center"/>
          </w:tcPr>
          <w:p w14:paraId="4C522C15"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2690C291" w14:textId="77777777" w:rsidTr="002661A3">
        <w:trPr>
          <w:jc w:val="center"/>
        </w:trPr>
        <w:tc>
          <w:tcPr>
            <w:tcW w:w="2122" w:type="dxa"/>
          </w:tcPr>
          <w:p w14:paraId="3DA8DB29"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Technicians and Associate Professionals</w:t>
            </w:r>
          </w:p>
        </w:tc>
        <w:tc>
          <w:tcPr>
            <w:tcW w:w="1898" w:type="dxa"/>
            <w:vAlign w:val="center"/>
          </w:tcPr>
          <w:p w14:paraId="11EC7A1B"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vAlign w:val="center"/>
          </w:tcPr>
          <w:p w14:paraId="381518DA" w14:textId="77777777" w:rsidR="002661A3" w:rsidRPr="00DF44DE" w:rsidRDefault="002661A3" w:rsidP="002661A3">
            <w:pPr>
              <w:jc w:val="center"/>
              <w:rPr>
                <w:rFonts w:cstheme="minorHAnsi"/>
                <w:i/>
                <w:iCs/>
                <w:color w:val="000000" w:themeColor="text1"/>
                <w:sz w:val="18"/>
                <w:szCs w:val="18"/>
              </w:rPr>
            </w:pPr>
          </w:p>
          <w:p w14:paraId="1C674222" w14:textId="77777777" w:rsidR="002661A3" w:rsidRPr="00DF44DE" w:rsidRDefault="002661A3" w:rsidP="002661A3">
            <w:pPr>
              <w:jc w:val="center"/>
              <w:rPr>
                <w:rFonts w:cstheme="minorHAnsi"/>
                <w:color w:val="000000" w:themeColor="text1"/>
                <w:sz w:val="18"/>
                <w:szCs w:val="18"/>
              </w:rPr>
            </w:pPr>
            <w:r w:rsidRPr="00957738">
              <w:rPr>
                <w:rFonts w:cstheme="minorHAnsi"/>
                <w:color w:val="000000" w:themeColor="text1"/>
                <w:sz w:val="18"/>
                <w:szCs w:val="18"/>
              </w:rPr>
              <w:t>…</w:t>
            </w:r>
          </w:p>
        </w:tc>
        <w:tc>
          <w:tcPr>
            <w:tcW w:w="2113" w:type="dxa"/>
            <w:gridSpan w:val="2"/>
            <w:vAlign w:val="center"/>
          </w:tcPr>
          <w:p w14:paraId="4060CB26"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5C5E3E81"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3490344A" w14:textId="77777777" w:rsidTr="002661A3">
        <w:trPr>
          <w:jc w:val="center"/>
        </w:trPr>
        <w:tc>
          <w:tcPr>
            <w:tcW w:w="2122" w:type="dxa"/>
          </w:tcPr>
          <w:p w14:paraId="1A84F724" w14:textId="77777777" w:rsidR="002661A3" w:rsidRPr="00DF44DE" w:rsidRDefault="002661A3" w:rsidP="002661A3">
            <w:pPr>
              <w:rPr>
                <w:rFonts w:cstheme="minorHAnsi"/>
                <w:color w:val="000000" w:themeColor="text1"/>
                <w:sz w:val="18"/>
                <w:szCs w:val="18"/>
              </w:rPr>
            </w:pPr>
            <w:r w:rsidRPr="00DF44DE">
              <w:rPr>
                <w:rFonts w:cstheme="minorHAnsi"/>
                <w:color w:val="000000" w:themeColor="text1"/>
                <w:sz w:val="18"/>
                <w:szCs w:val="18"/>
              </w:rPr>
              <w:t>Clerical Support Workers</w:t>
            </w:r>
          </w:p>
        </w:tc>
        <w:tc>
          <w:tcPr>
            <w:tcW w:w="1898" w:type="dxa"/>
            <w:shd w:val="clear" w:color="auto" w:fill="auto"/>
            <w:vAlign w:val="center"/>
          </w:tcPr>
          <w:p w14:paraId="7A09D7F9"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vAlign w:val="center"/>
          </w:tcPr>
          <w:p w14:paraId="66AF58A0"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vAlign w:val="center"/>
          </w:tcPr>
          <w:p w14:paraId="6FE7E4FD"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2E48A935" w14:textId="77777777" w:rsidR="002661A3" w:rsidRPr="00DF44DE" w:rsidRDefault="002661A3" w:rsidP="002661A3">
            <w:pPr>
              <w:jc w:val="center"/>
              <w:rPr>
                <w:rFonts w:cstheme="minorHAnsi"/>
                <w:color w:val="000000" w:themeColor="text1"/>
                <w:sz w:val="18"/>
                <w:szCs w:val="18"/>
              </w:rPr>
            </w:pPr>
            <w:r w:rsidRPr="00957738">
              <w:rPr>
                <w:rFonts w:cstheme="minorHAnsi"/>
                <w:color w:val="000000" w:themeColor="text1"/>
                <w:sz w:val="18"/>
                <w:szCs w:val="18"/>
              </w:rPr>
              <w:t>…</w:t>
            </w:r>
          </w:p>
        </w:tc>
      </w:tr>
      <w:tr w:rsidR="002661A3" w:rsidRPr="00B4648C" w14:paraId="4F9456F4" w14:textId="77777777" w:rsidTr="002661A3">
        <w:trPr>
          <w:jc w:val="center"/>
        </w:trPr>
        <w:tc>
          <w:tcPr>
            <w:tcW w:w="5832" w:type="dxa"/>
            <w:gridSpan w:val="4"/>
            <w:shd w:val="clear" w:color="auto" w:fill="F2DBDB" w:themeFill="accent2" w:themeFillTint="33"/>
          </w:tcPr>
          <w:p w14:paraId="1B32D327" w14:textId="77777777" w:rsidR="002661A3" w:rsidRPr="00DF44DE" w:rsidRDefault="002661A3" w:rsidP="002661A3">
            <w:pPr>
              <w:rPr>
                <w:rFonts w:cstheme="minorHAnsi"/>
                <w:color w:val="000000" w:themeColor="text1"/>
                <w:sz w:val="18"/>
                <w:szCs w:val="18"/>
              </w:rPr>
            </w:pPr>
            <w:r w:rsidRPr="00DF44DE">
              <w:rPr>
                <w:rFonts w:cstheme="minorHAnsi"/>
                <w:i/>
                <w:color w:val="000000" w:themeColor="text1"/>
                <w:sz w:val="18"/>
                <w:szCs w:val="18"/>
              </w:rPr>
              <w:t>Occupational categories</w:t>
            </w:r>
            <w:r>
              <w:rPr>
                <w:rFonts w:cstheme="minorHAnsi"/>
                <w:i/>
                <w:color w:val="000000" w:themeColor="text1"/>
                <w:sz w:val="18"/>
                <w:szCs w:val="18"/>
              </w:rPr>
              <w:t xml:space="preserve"> (ISCO-08) for </w:t>
            </w:r>
            <w:r w:rsidRPr="00DF44DE">
              <w:rPr>
                <w:rFonts w:cstheme="minorHAnsi"/>
                <w:i/>
                <w:color w:val="000000" w:themeColor="text1"/>
                <w:sz w:val="18"/>
                <w:szCs w:val="18"/>
              </w:rPr>
              <w:t>front-line service</w:t>
            </w:r>
            <w:r>
              <w:rPr>
                <w:rFonts w:cstheme="minorHAnsi"/>
                <w:i/>
                <w:color w:val="000000" w:themeColor="text1"/>
                <w:sz w:val="18"/>
                <w:szCs w:val="18"/>
              </w:rPr>
              <w:t xml:space="preserve"> positions</w:t>
            </w:r>
          </w:p>
        </w:tc>
        <w:tc>
          <w:tcPr>
            <w:tcW w:w="2101" w:type="dxa"/>
            <w:shd w:val="clear" w:color="auto" w:fill="F2DBDB" w:themeFill="accent2" w:themeFillTint="33"/>
          </w:tcPr>
          <w:p w14:paraId="07DB3199" w14:textId="77777777" w:rsidR="002661A3" w:rsidRPr="00DF44DE" w:rsidRDefault="002661A3" w:rsidP="002661A3">
            <w:pPr>
              <w:rPr>
                <w:rFonts w:cstheme="minorHAnsi"/>
                <w:i/>
                <w:color w:val="000000" w:themeColor="text1"/>
                <w:sz w:val="18"/>
                <w:szCs w:val="18"/>
              </w:rPr>
            </w:pPr>
          </w:p>
        </w:tc>
        <w:tc>
          <w:tcPr>
            <w:tcW w:w="1821" w:type="dxa"/>
            <w:shd w:val="clear" w:color="auto" w:fill="F2DBDB" w:themeFill="accent2" w:themeFillTint="33"/>
          </w:tcPr>
          <w:p w14:paraId="7F0A776C" w14:textId="77777777" w:rsidR="002661A3" w:rsidRPr="00DF44DE" w:rsidRDefault="002661A3" w:rsidP="002661A3">
            <w:pPr>
              <w:rPr>
                <w:rFonts w:cstheme="minorHAnsi"/>
                <w:i/>
                <w:color w:val="000000" w:themeColor="text1"/>
                <w:sz w:val="18"/>
                <w:szCs w:val="18"/>
              </w:rPr>
            </w:pPr>
          </w:p>
        </w:tc>
      </w:tr>
      <w:tr w:rsidR="002661A3" w:rsidRPr="00B4648C" w14:paraId="4995F1D2" w14:textId="77777777" w:rsidTr="002661A3">
        <w:trPr>
          <w:jc w:val="center"/>
        </w:trPr>
        <w:tc>
          <w:tcPr>
            <w:tcW w:w="2122" w:type="dxa"/>
          </w:tcPr>
          <w:p w14:paraId="08D8BE10" w14:textId="77777777" w:rsidR="002661A3" w:rsidRPr="00DF44DE" w:rsidRDefault="002661A3" w:rsidP="002661A3">
            <w:pPr>
              <w:rPr>
                <w:sz w:val="18"/>
                <w:szCs w:val="18"/>
              </w:rPr>
            </w:pPr>
            <w:r w:rsidRPr="00DF44DE">
              <w:rPr>
                <w:rFonts w:cstheme="minorHAnsi"/>
                <w:color w:val="000000" w:themeColor="text1"/>
                <w:sz w:val="18"/>
                <w:szCs w:val="18"/>
              </w:rPr>
              <w:t>Police personnel</w:t>
            </w:r>
          </w:p>
        </w:tc>
        <w:tc>
          <w:tcPr>
            <w:tcW w:w="1898" w:type="dxa"/>
            <w:vAlign w:val="center"/>
          </w:tcPr>
          <w:p w14:paraId="7E00231B"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vAlign w:val="center"/>
          </w:tcPr>
          <w:p w14:paraId="664FC4F5"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vAlign w:val="center"/>
          </w:tcPr>
          <w:p w14:paraId="1D43D87A"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4ED48242"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09EDDF40" w14:textId="77777777" w:rsidTr="002661A3">
        <w:trPr>
          <w:jc w:val="center"/>
        </w:trPr>
        <w:tc>
          <w:tcPr>
            <w:tcW w:w="2122" w:type="dxa"/>
          </w:tcPr>
          <w:p w14:paraId="186AE8F2" w14:textId="77777777" w:rsidR="002661A3" w:rsidRPr="00DF44DE" w:rsidRDefault="002661A3" w:rsidP="002661A3">
            <w:pPr>
              <w:rPr>
                <w:sz w:val="18"/>
                <w:szCs w:val="18"/>
              </w:rPr>
            </w:pPr>
            <w:r w:rsidRPr="00DF44DE">
              <w:rPr>
                <w:rFonts w:cstheme="minorHAnsi"/>
                <w:color w:val="000000" w:themeColor="text1"/>
                <w:sz w:val="18"/>
                <w:szCs w:val="18"/>
              </w:rPr>
              <w:t xml:space="preserve">Education personnel </w:t>
            </w:r>
          </w:p>
        </w:tc>
        <w:tc>
          <w:tcPr>
            <w:tcW w:w="1898" w:type="dxa"/>
            <w:vAlign w:val="center"/>
          </w:tcPr>
          <w:p w14:paraId="587755B8"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vAlign w:val="center"/>
          </w:tcPr>
          <w:p w14:paraId="75204A75"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vAlign w:val="center"/>
          </w:tcPr>
          <w:p w14:paraId="72D569CE"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0048F50F" w14:textId="77777777" w:rsidR="002661A3" w:rsidRPr="00DF44DE" w:rsidRDefault="002661A3" w:rsidP="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75CFABB1" w14:textId="77777777" w:rsidTr="002661A3">
        <w:trPr>
          <w:jc w:val="center"/>
        </w:trPr>
        <w:tc>
          <w:tcPr>
            <w:tcW w:w="2122" w:type="dxa"/>
          </w:tcPr>
          <w:p w14:paraId="059A4078" w14:textId="77777777" w:rsidR="002661A3" w:rsidRPr="00DF44DE" w:rsidRDefault="002661A3">
            <w:pPr>
              <w:rPr>
                <w:sz w:val="18"/>
                <w:szCs w:val="18"/>
              </w:rPr>
            </w:pPr>
            <w:r w:rsidRPr="00DF44DE">
              <w:rPr>
                <w:rFonts w:cstheme="minorHAnsi"/>
                <w:color w:val="000000" w:themeColor="text1"/>
                <w:sz w:val="18"/>
                <w:szCs w:val="18"/>
              </w:rPr>
              <w:t>Health personnel</w:t>
            </w:r>
          </w:p>
        </w:tc>
        <w:tc>
          <w:tcPr>
            <w:tcW w:w="1898" w:type="dxa"/>
            <w:vAlign w:val="center"/>
          </w:tcPr>
          <w:p w14:paraId="09A7EF83" w14:textId="77777777" w:rsidR="002661A3" w:rsidRPr="00DF44DE" w:rsidRDefault="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vAlign w:val="center"/>
          </w:tcPr>
          <w:p w14:paraId="0A9C3A74" w14:textId="77777777" w:rsidR="002661A3" w:rsidRPr="00DF44DE" w:rsidRDefault="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vAlign w:val="center"/>
          </w:tcPr>
          <w:p w14:paraId="267B3A1E" w14:textId="77777777" w:rsidR="002661A3" w:rsidRPr="00DF44DE" w:rsidRDefault="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21" w:type="dxa"/>
            <w:vAlign w:val="center"/>
          </w:tcPr>
          <w:p w14:paraId="60714E24" w14:textId="77777777" w:rsidR="002661A3" w:rsidRPr="00DF44DE" w:rsidRDefault="002661A3">
            <w:pPr>
              <w:jc w:val="center"/>
              <w:rPr>
                <w:rFonts w:cstheme="minorHAnsi"/>
                <w:color w:val="000000" w:themeColor="text1"/>
                <w:sz w:val="18"/>
                <w:szCs w:val="18"/>
              </w:rPr>
            </w:pPr>
            <w:r w:rsidRPr="00DF44DE">
              <w:rPr>
                <w:rFonts w:cstheme="minorHAnsi"/>
                <w:color w:val="000000" w:themeColor="text1"/>
                <w:sz w:val="18"/>
                <w:szCs w:val="18"/>
              </w:rPr>
              <w:t>…</w:t>
            </w:r>
          </w:p>
        </w:tc>
      </w:tr>
      <w:tr w:rsidR="002661A3" w:rsidRPr="00B4648C" w14:paraId="2E1740C3" w14:textId="77777777" w:rsidTr="002661A3">
        <w:trPr>
          <w:jc w:val="center"/>
        </w:trPr>
        <w:tc>
          <w:tcPr>
            <w:tcW w:w="2122" w:type="dxa"/>
          </w:tcPr>
          <w:p w14:paraId="3AFAA5BB" w14:textId="77777777" w:rsidR="002661A3" w:rsidRPr="00DF44DE" w:rsidRDefault="002661A3">
            <w:pPr>
              <w:rPr>
                <w:sz w:val="18"/>
                <w:szCs w:val="18"/>
              </w:rPr>
            </w:pPr>
            <w:r w:rsidRPr="00DF44DE">
              <w:rPr>
                <w:rFonts w:cstheme="minorHAnsi"/>
                <w:color w:val="000000" w:themeColor="text1"/>
                <w:sz w:val="18"/>
                <w:szCs w:val="18"/>
              </w:rPr>
              <w:t>Front-desk administrative personnel</w:t>
            </w:r>
          </w:p>
        </w:tc>
        <w:tc>
          <w:tcPr>
            <w:tcW w:w="1898" w:type="dxa"/>
            <w:shd w:val="clear" w:color="auto" w:fill="auto"/>
            <w:vAlign w:val="center"/>
          </w:tcPr>
          <w:p w14:paraId="3CB4B74C" w14:textId="77777777" w:rsidR="002661A3" w:rsidRPr="00DF44DE" w:rsidRDefault="002661A3">
            <w:pPr>
              <w:jc w:val="center"/>
              <w:rPr>
                <w:rFonts w:cstheme="minorHAnsi"/>
                <w:color w:val="000000" w:themeColor="text1"/>
                <w:sz w:val="18"/>
                <w:szCs w:val="18"/>
              </w:rPr>
            </w:pPr>
            <w:r w:rsidRPr="00DF44DE">
              <w:rPr>
                <w:rFonts w:cstheme="minorHAnsi"/>
                <w:color w:val="000000" w:themeColor="text1"/>
                <w:sz w:val="18"/>
                <w:szCs w:val="18"/>
              </w:rPr>
              <w:t>…</w:t>
            </w:r>
          </w:p>
        </w:tc>
        <w:tc>
          <w:tcPr>
            <w:tcW w:w="1800" w:type="dxa"/>
            <w:shd w:val="clear" w:color="auto" w:fill="auto"/>
            <w:vAlign w:val="center"/>
          </w:tcPr>
          <w:p w14:paraId="7BE8B992" w14:textId="77777777" w:rsidR="002661A3" w:rsidRPr="00DF44DE" w:rsidRDefault="002661A3">
            <w:pPr>
              <w:jc w:val="center"/>
              <w:rPr>
                <w:rFonts w:cstheme="minorHAnsi"/>
                <w:color w:val="000000" w:themeColor="text1"/>
                <w:sz w:val="18"/>
                <w:szCs w:val="18"/>
              </w:rPr>
            </w:pPr>
            <w:r w:rsidRPr="00DF44DE">
              <w:rPr>
                <w:rFonts w:cstheme="minorHAnsi"/>
                <w:color w:val="000000" w:themeColor="text1"/>
                <w:sz w:val="18"/>
                <w:szCs w:val="18"/>
              </w:rPr>
              <w:t>…</w:t>
            </w:r>
          </w:p>
        </w:tc>
        <w:tc>
          <w:tcPr>
            <w:tcW w:w="2113" w:type="dxa"/>
            <w:gridSpan w:val="2"/>
            <w:shd w:val="clear" w:color="auto" w:fill="auto"/>
            <w:vAlign w:val="center"/>
          </w:tcPr>
          <w:p w14:paraId="2A240383" w14:textId="77777777" w:rsidR="002661A3" w:rsidRPr="00DF44DE" w:rsidRDefault="002661A3">
            <w:pPr>
              <w:jc w:val="center"/>
              <w:rPr>
                <w:rFonts w:cstheme="minorHAnsi"/>
                <w:b/>
                <w:i/>
                <w:color w:val="000000" w:themeColor="text1"/>
                <w:sz w:val="18"/>
                <w:szCs w:val="18"/>
              </w:rPr>
            </w:pPr>
            <w:r w:rsidRPr="00DF44DE">
              <w:rPr>
                <w:rFonts w:cstheme="minorHAnsi"/>
                <w:color w:val="000000" w:themeColor="text1"/>
                <w:sz w:val="18"/>
                <w:szCs w:val="18"/>
              </w:rPr>
              <w:t>…</w:t>
            </w:r>
          </w:p>
        </w:tc>
        <w:tc>
          <w:tcPr>
            <w:tcW w:w="1821" w:type="dxa"/>
            <w:shd w:val="clear" w:color="auto" w:fill="auto"/>
            <w:vAlign w:val="center"/>
          </w:tcPr>
          <w:p w14:paraId="42A77A9A" w14:textId="77777777" w:rsidR="002661A3" w:rsidRPr="00DF44DE" w:rsidRDefault="002661A3">
            <w:pPr>
              <w:jc w:val="center"/>
              <w:rPr>
                <w:rFonts w:cstheme="minorHAnsi"/>
                <w:b/>
                <w:i/>
                <w:color w:val="000000" w:themeColor="text1"/>
                <w:sz w:val="18"/>
                <w:szCs w:val="18"/>
              </w:rPr>
            </w:pPr>
            <w:r w:rsidRPr="00DF44DE">
              <w:rPr>
                <w:rFonts w:cstheme="minorHAnsi"/>
                <w:color w:val="000000" w:themeColor="text1"/>
                <w:sz w:val="18"/>
                <w:szCs w:val="18"/>
              </w:rPr>
              <w:t>…</w:t>
            </w:r>
          </w:p>
        </w:tc>
      </w:tr>
      <w:tr w:rsidR="002661A3" w:rsidRPr="00B4648C" w14:paraId="1F6654E2" w14:textId="77777777" w:rsidTr="002661A3">
        <w:trPr>
          <w:jc w:val="center"/>
        </w:trPr>
        <w:tc>
          <w:tcPr>
            <w:tcW w:w="2122" w:type="dxa"/>
          </w:tcPr>
          <w:p w14:paraId="4D1C3202" w14:textId="77777777" w:rsidR="002661A3" w:rsidRPr="00DF44DE" w:rsidRDefault="002661A3">
            <w:pPr>
              <w:rPr>
                <w:rFonts w:cstheme="minorHAnsi"/>
                <w:bCs/>
                <w:color w:val="000000" w:themeColor="text1"/>
                <w:sz w:val="18"/>
                <w:szCs w:val="18"/>
              </w:rPr>
            </w:pPr>
            <w:r w:rsidRPr="00DF44DE">
              <w:rPr>
                <w:rFonts w:cstheme="minorHAnsi"/>
                <w:bCs/>
                <w:i/>
                <w:color w:val="000000" w:themeColor="text1"/>
                <w:sz w:val="18"/>
                <w:szCs w:val="18"/>
              </w:rPr>
              <w:t>Overall (across all occupational categories)</w:t>
            </w:r>
          </w:p>
        </w:tc>
        <w:tc>
          <w:tcPr>
            <w:tcW w:w="1898" w:type="dxa"/>
            <w:shd w:val="clear" w:color="auto" w:fill="auto"/>
            <w:vAlign w:val="center"/>
          </w:tcPr>
          <w:p w14:paraId="4DB76745" w14:textId="77777777" w:rsidR="002661A3" w:rsidRPr="00DF44DE" w:rsidRDefault="002661A3">
            <w:pPr>
              <w:jc w:val="center"/>
              <w:rPr>
                <w:rFonts w:cstheme="minorHAnsi"/>
                <w:bCs/>
                <w:color w:val="000000" w:themeColor="text1"/>
                <w:sz w:val="18"/>
                <w:szCs w:val="18"/>
              </w:rPr>
            </w:pPr>
            <w:r w:rsidRPr="00732237">
              <w:rPr>
                <w:rFonts w:cstheme="minorHAnsi"/>
                <w:i/>
                <w:iCs/>
                <w:color w:val="000000" w:themeColor="text1"/>
                <w:sz w:val="18"/>
                <w:szCs w:val="18"/>
              </w:rPr>
              <w:t>[Priority ratio 1</w:t>
            </w:r>
            <w:r>
              <w:rPr>
                <w:rFonts w:cstheme="minorHAnsi"/>
                <w:i/>
                <w:iCs/>
                <w:color w:val="000000" w:themeColor="text1"/>
                <w:sz w:val="18"/>
                <w:szCs w:val="18"/>
              </w:rPr>
              <w:t>b</w:t>
            </w:r>
            <w:r w:rsidRPr="00732237">
              <w:rPr>
                <w:rFonts w:cstheme="minorHAnsi"/>
                <w:i/>
                <w:iCs/>
                <w:color w:val="000000" w:themeColor="text1"/>
                <w:sz w:val="18"/>
                <w:szCs w:val="18"/>
              </w:rPr>
              <w:t>]</w:t>
            </w:r>
          </w:p>
        </w:tc>
        <w:tc>
          <w:tcPr>
            <w:tcW w:w="1800" w:type="dxa"/>
            <w:shd w:val="clear" w:color="auto" w:fill="auto"/>
            <w:vAlign w:val="center"/>
          </w:tcPr>
          <w:p w14:paraId="1001952A" w14:textId="77777777" w:rsidR="002661A3" w:rsidRPr="00DF44DE" w:rsidRDefault="002661A3">
            <w:pPr>
              <w:jc w:val="center"/>
              <w:rPr>
                <w:rFonts w:cstheme="minorHAnsi"/>
                <w:bCs/>
                <w:color w:val="000000" w:themeColor="text1"/>
                <w:sz w:val="18"/>
                <w:szCs w:val="18"/>
              </w:rPr>
            </w:pPr>
            <w:r w:rsidRPr="00732237">
              <w:rPr>
                <w:rFonts w:cstheme="minorHAnsi"/>
                <w:i/>
                <w:iCs/>
                <w:color w:val="000000" w:themeColor="text1"/>
                <w:sz w:val="18"/>
                <w:szCs w:val="18"/>
              </w:rPr>
              <w:t xml:space="preserve">[Priority ratio </w:t>
            </w:r>
            <w:r>
              <w:rPr>
                <w:rFonts w:cstheme="minorHAnsi"/>
                <w:i/>
                <w:iCs/>
                <w:color w:val="000000" w:themeColor="text1"/>
                <w:sz w:val="18"/>
                <w:szCs w:val="18"/>
              </w:rPr>
              <w:t>2</w:t>
            </w:r>
            <w:r w:rsidRPr="00732237">
              <w:rPr>
                <w:rFonts w:cstheme="minorHAnsi"/>
                <w:i/>
                <w:iCs/>
                <w:color w:val="000000" w:themeColor="text1"/>
                <w:sz w:val="18"/>
                <w:szCs w:val="18"/>
              </w:rPr>
              <w:t>]</w:t>
            </w:r>
          </w:p>
        </w:tc>
        <w:tc>
          <w:tcPr>
            <w:tcW w:w="2113" w:type="dxa"/>
            <w:gridSpan w:val="2"/>
            <w:shd w:val="clear" w:color="auto" w:fill="auto"/>
            <w:vAlign w:val="center"/>
          </w:tcPr>
          <w:p w14:paraId="27C43098" w14:textId="77777777" w:rsidR="002661A3" w:rsidRPr="00DF44DE" w:rsidRDefault="002661A3">
            <w:pPr>
              <w:jc w:val="center"/>
              <w:rPr>
                <w:rFonts w:cstheme="minorHAnsi"/>
                <w:bCs/>
                <w:color w:val="000000" w:themeColor="text1"/>
                <w:sz w:val="18"/>
                <w:szCs w:val="18"/>
              </w:rPr>
            </w:pPr>
            <w:r w:rsidRPr="00732237">
              <w:rPr>
                <w:rFonts w:cstheme="minorHAnsi"/>
                <w:i/>
                <w:iCs/>
                <w:color w:val="000000" w:themeColor="text1"/>
                <w:sz w:val="18"/>
                <w:szCs w:val="18"/>
              </w:rPr>
              <w:t xml:space="preserve">[Priority ratio </w:t>
            </w:r>
            <w:r>
              <w:rPr>
                <w:rFonts w:cstheme="minorHAnsi"/>
                <w:i/>
                <w:iCs/>
                <w:color w:val="000000" w:themeColor="text1"/>
                <w:sz w:val="18"/>
                <w:szCs w:val="18"/>
              </w:rPr>
              <w:t>3</w:t>
            </w:r>
            <w:r w:rsidRPr="00732237">
              <w:rPr>
                <w:rFonts w:cstheme="minorHAnsi"/>
                <w:i/>
                <w:iCs/>
                <w:color w:val="000000" w:themeColor="text1"/>
                <w:sz w:val="18"/>
                <w:szCs w:val="18"/>
              </w:rPr>
              <w:t>]</w:t>
            </w:r>
          </w:p>
        </w:tc>
        <w:tc>
          <w:tcPr>
            <w:tcW w:w="1821" w:type="dxa"/>
            <w:shd w:val="clear" w:color="auto" w:fill="auto"/>
            <w:vAlign w:val="center"/>
          </w:tcPr>
          <w:p w14:paraId="2C8903DF" w14:textId="77777777" w:rsidR="002661A3" w:rsidRPr="00DF44DE" w:rsidRDefault="002661A3">
            <w:pPr>
              <w:jc w:val="center"/>
              <w:rPr>
                <w:rFonts w:cstheme="minorHAnsi"/>
                <w:bCs/>
                <w:color w:val="000000" w:themeColor="text1"/>
                <w:sz w:val="18"/>
                <w:szCs w:val="18"/>
              </w:rPr>
            </w:pPr>
            <w:r w:rsidRPr="00732237">
              <w:rPr>
                <w:rFonts w:cstheme="minorHAnsi"/>
                <w:i/>
                <w:iCs/>
                <w:color w:val="000000" w:themeColor="text1"/>
                <w:sz w:val="18"/>
                <w:szCs w:val="18"/>
              </w:rPr>
              <w:t xml:space="preserve">[Priority ratio </w:t>
            </w:r>
            <w:r>
              <w:rPr>
                <w:rFonts w:cstheme="minorHAnsi"/>
                <w:i/>
                <w:iCs/>
                <w:color w:val="000000" w:themeColor="text1"/>
                <w:sz w:val="18"/>
                <w:szCs w:val="18"/>
              </w:rPr>
              <w:t>4</w:t>
            </w:r>
            <w:r w:rsidRPr="00732237">
              <w:rPr>
                <w:rFonts w:cstheme="minorHAnsi"/>
                <w:i/>
                <w:iCs/>
                <w:color w:val="000000" w:themeColor="text1"/>
                <w:sz w:val="18"/>
                <w:szCs w:val="18"/>
              </w:rPr>
              <w:t>]</w:t>
            </w:r>
          </w:p>
        </w:tc>
      </w:tr>
    </w:tbl>
    <w:p w14:paraId="33D337E5" w14:textId="77777777" w:rsidR="002661A3" w:rsidRPr="00711230" w:rsidRDefault="002661A3" w:rsidP="00AC04CB">
      <w:pPr>
        <w:shd w:val="clear" w:color="auto" w:fill="FFFFFF"/>
        <w:spacing w:after="0"/>
        <w:rPr>
          <w:rFonts w:ascii="Calibri" w:hAnsi="Calibri" w:cs="Calibri"/>
          <w:bCs/>
          <w:color w:val="4A4A4A"/>
          <w:sz w:val="21"/>
          <w:szCs w:val="21"/>
          <w:lang w:eastAsia="en-GB"/>
        </w:rPr>
      </w:pPr>
    </w:p>
    <w:p w14:paraId="24E43401" w14:textId="11A6667A" w:rsidR="002661A3" w:rsidRPr="00711230" w:rsidRDefault="002661A3" w:rsidP="00AC04CB">
      <w:pPr>
        <w:shd w:val="clear" w:color="auto" w:fill="FFFFFF"/>
        <w:spacing w:after="0"/>
        <w:rPr>
          <w:rFonts w:ascii="Calibri" w:hAnsi="Calibri" w:cs="Calibri"/>
          <w:color w:val="4A4A4A"/>
          <w:lang w:eastAsia="en-GB"/>
        </w:rPr>
      </w:pPr>
      <w:r w:rsidRPr="00711230">
        <w:rPr>
          <w:rFonts w:ascii="Calibri" w:hAnsi="Calibri" w:cs="Calibri"/>
          <w:b/>
          <w:bCs/>
          <w:color w:val="4A4A4A"/>
          <w:lang w:eastAsia="en-GB"/>
        </w:rPr>
        <w:t>Prioritization:</w:t>
      </w:r>
    </w:p>
    <w:p w14:paraId="1598C787" w14:textId="37B611AA" w:rsidR="002661A3" w:rsidRPr="00711230" w:rsidRDefault="002661A3" w:rsidP="002661A3">
      <w:pPr>
        <w:shd w:val="clear" w:color="auto" w:fill="FFFFFF"/>
        <w:jc w:val="both"/>
        <w:rPr>
          <w:rFonts w:ascii="Calibri" w:hAnsi="Calibri" w:cs="Calibri"/>
          <w:bCs/>
          <w:color w:val="4A4A4A"/>
          <w:sz w:val="21"/>
          <w:szCs w:val="21"/>
          <w:lang w:eastAsia="en-GB"/>
        </w:rPr>
      </w:pPr>
      <w:r w:rsidRPr="00711230">
        <w:rPr>
          <w:rFonts w:ascii="Calibri" w:hAnsi="Calibri" w:cs="Calibri"/>
          <w:bCs/>
          <w:color w:val="4A4A4A"/>
          <w:sz w:val="21"/>
          <w:szCs w:val="21"/>
          <w:lang w:eastAsia="en-GB"/>
        </w:rPr>
        <w:t xml:space="preserve">Countries are expected to fill out the above table to the best of their ability, and to report as many representation ratios as possible, for </w:t>
      </w:r>
      <w:r w:rsidRPr="00711230">
        <w:rPr>
          <w:rFonts w:cstheme="minorHAnsi"/>
          <w:color w:val="4A4A4A"/>
          <w:sz w:val="21"/>
          <w:szCs w:val="21"/>
        </w:rPr>
        <w:t>women, ‘youth’, persons with a disability, and specific population groups</w:t>
      </w:r>
      <w:r w:rsidRPr="00711230">
        <w:rPr>
          <w:rFonts w:ascii="Calibri" w:hAnsi="Calibri" w:cs="Calibri"/>
          <w:bCs/>
          <w:color w:val="4A4A4A"/>
          <w:sz w:val="21"/>
          <w:szCs w:val="21"/>
          <w:lang w:eastAsia="en-GB"/>
        </w:rPr>
        <w:t>, across all occupational categories, at both national and sub-national levels.</w:t>
      </w:r>
    </w:p>
    <w:p w14:paraId="15FC2A71" w14:textId="5ED07B33" w:rsidR="002661A3" w:rsidRPr="00711230" w:rsidRDefault="002661A3" w:rsidP="00D11E07">
      <w:pPr>
        <w:shd w:val="clear" w:color="auto" w:fill="FFFFFF"/>
        <w:jc w:val="both"/>
        <w:rPr>
          <w:rFonts w:ascii="Calibri" w:hAnsi="Calibri" w:cs="Calibri"/>
          <w:bCs/>
          <w:color w:val="4A4A4A"/>
          <w:sz w:val="21"/>
          <w:szCs w:val="21"/>
          <w:lang w:eastAsia="en-GB"/>
        </w:rPr>
      </w:pPr>
      <w:r w:rsidRPr="00711230">
        <w:rPr>
          <w:rFonts w:ascii="Calibri" w:hAnsi="Calibri" w:cs="Calibri"/>
          <w:bCs/>
          <w:color w:val="4A4A4A"/>
          <w:sz w:val="21"/>
          <w:szCs w:val="21"/>
          <w:lang w:eastAsia="en-GB"/>
        </w:rPr>
        <w:lastRenderedPageBreak/>
        <w:t xml:space="preserve">Meanwhile, global reporting on indicator 16.7.1(b) will focus on 4 ‘priority ratios’ (see cells highlighted in green in the table above), namely: </w:t>
      </w:r>
    </w:p>
    <w:p w14:paraId="05F4FD55" w14:textId="594AC10A" w:rsidR="002661A3" w:rsidRPr="00711230" w:rsidRDefault="002661A3" w:rsidP="00326A66">
      <w:pPr>
        <w:pStyle w:val="ListParagraph"/>
        <w:numPr>
          <w:ilvl w:val="0"/>
          <w:numId w:val="4"/>
        </w:numPr>
        <w:shd w:val="clear" w:color="auto" w:fill="FFFFFF"/>
        <w:spacing w:after="0"/>
        <w:jc w:val="both"/>
        <w:rPr>
          <w:rStyle w:val="A0"/>
          <w:rFonts w:ascii="Calibri" w:hAnsi="Calibri" w:cs="Calibri"/>
          <w:bCs/>
          <w:color w:val="4A4A4A"/>
          <w:sz w:val="21"/>
          <w:szCs w:val="21"/>
          <w:lang w:val="en-US" w:eastAsia="en-GB"/>
        </w:rPr>
      </w:pPr>
      <w:r w:rsidRPr="00711230">
        <w:rPr>
          <w:rFonts w:ascii="Calibri" w:hAnsi="Calibri" w:cs="Calibri"/>
          <w:b/>
          <w:bCs/>
          <w:color w:val="4A4A4A"/>
          <w:sz w:val="21"/>
          <w:szCs w:val="21"/>
          <w:lang w:eastAsia="en-GB"/>
        </w:rPr>
        <w:t xml:space="preserve">Ratios 1a) and b): Representation of female public servants ‘overall’ (across all occupational categories) and representation of women in the ‘Manager’ category </w:t>
      </w:r>
      <w:r w:rsidRPr="00711230">
        <w:rPr>
          <w:rFonts w:ascii="Calibri" w:hAnsi="Calibri" w:cs="Calibri"/>
          <w:bCs/>
          <w:i/>
          <w:color w:val="4A4A4A"/>
          <w:sz w:val="21"/>
          <w:szCs w:val="21"/>
          <w:lang w:eastAsia="en-GB"/>
        </w:rPr>
        <w:t>(separate ratios for national and sub-national levels):</w:t>
      </w:r>
      <w:r w:rsidRPr="00711230">
        <w:rPr>
          <w:rFonts w:ascii="Calibri" w:hAnsi="Calibri" w:cs="Calibri"/>
          <w:bCs/>
          <w:color w:val="4A4A4A"/>
          <w:sz w:val="21"/>
          <w:szCs w:val="21"/>
          <w:lang w:eastAsia="en-GB"/>
        </w:rPr>
        <w:t xml:space="preserve"> These two ratios are important because </w:t>
      </w:r>
      <w:r w:rsidRPr="00711230">
        <w:rPr>
          <w:rStyle w:val="A0"/>
          <w:color w:val="4A4A4A"/>
          <w:sz w:val="21"/>
          <w:szCs w:val="21"/>
        </w:rPr>
        <w:t>women remain significantly underrepresented in the public service across all regions, both in the public service as a whole and in the top levels of the public service (UNDP, Gender Equality in Public Administration – GEPA, 2014). The target of a minimum of 30 percent of women in leadership positions, originally endorsed by ECOSOC in 1990 and reaffirmed in the Beijing Platform for Action in 1995,</w:t>
      </w:r>
      <w:r w:rsidRPr="00711230">
        <w:rPr>
          <w:rStyle w:val="A4"/>
          <w:color w:val="4A4A4A"/>
          <w:sz w:val="21"/>
          <w:szCs w:val="21"/>
        </w:rPr>
        <w:t xml:space="preserve"> </w:t>
      </w:r>
      <w:r w:rsidRPr="00711230">
        <w:rPr>
          <w:rStyle w:val="A0"/>
          <w:color w:val="4A4A4A"/>
          <w:sz w:val="21"/>
          <w:szCs w:val="21"/>
        </w:rPr>
        <w:t xml:space="preserve">remains unmet in most countries. For instance, according to the Worldwide Index of Women as Public Sector Leaders developed </w:t>
      </w:r>
      <w:r w:rsidR="00386B14">
        <w:rPr>
          <w:rStyle w:val="A0"/>
          <w:color w:val="4A4A4A"/>
          <w:sz w:val="21"/>
          <w:szCs w:val="21"/>
        </w:rPr>
        <w:t>(</w:t>
      </w:r>
      <w:r w:rsidRPr="00711230">
        <w:rPr>
          <w:rStyle w:val="A0"/>
          <w:color w:val="4A4A4A"/>
          <w:sz w:val="21"/>
          <w:szCs w:val="21"/>
        </w:rPr>
        <w:t>Ernst &amp; Young</w:t>
      </w:r>
      <w:r w:rsidR="00386B14">
        <w:rPr>
          <w:rStyle w:val="A0"/>
          <w:color w:val="4A4A4A"/>
          <w:sz w:val="21"/>
          <w:szCs w:val="21"/>
        </w:rPr>
        <w:t>, 2013)</w:t>
      </w:r>
      <w:r w:rsidRPr="00711230">
        <w:rPr>
          <w:rStyle w:val="A0"/>
          <w:color w:val="4A4A4A"/>
          <w:sz w:val="21"/>
          <w:szCs w:val="21"/>
        </w:rPr>
        <w:t>,</w:t>
      </w:r>
      <w:r w:rsidRPr="00711230">
        <w:rPr>
          <w:rStyle w:val="A4"/>
          <w:color w:val="4A4A4A"/>
          <w:sz w:val="21"/>
          <w:szCs w:val="21"/>
        </w:rPr>
        <w:t xml:space="preserve"> </w:t>
      </w:r>
      <w:r w:rsidRPr="00711230">
        <w:rPr>
          <w:rStyle w:val="A0"/>
          <w:color w:val="4A4A4A"/>
          <w:sz w:val="21"/>
          <w:szCs w:val="21"/>
        </w:rPr>
        <w:t xml:space="preserve">across the G20 major economies, women represent less than 20 percent of public sector leadership. </w:t>
      </w:r>
    </w:p>
    <w:p w14:paraId="22A755E9" w14:textId="77777777" w:rsidR="002661A3" w:rsidRPr="00711230" w:rsidRDefault="002661A3" w:rsidP="002661A3">
      <w:pPr>
        <w:pStyle w:val="ListParagraph"/>
        <w:shd w:val="clear" w:color="auto" w:fill="FFFFFF"/>
        <w:spacing w:after="0"/>
        <w:rPr>
          <w:rStyle w:val="A0"/>
          <w:rFonts w:ascii="Calibri" w:hAnsi="Calibri" w:cs="Calibri"/>
          <w:bCs/>
          <w:color w:val="4A4A4A"/>
          <w:sz w:val="21"/>
          <w:szCs w:val="21"/>
          <w:lang w:val="en-US" w:eastAsia="en-GB"/>
        </w:rPr>
      </w:pPr>
    </w:p>
    <w:p w14:paraId="08978FAF" w14:textId="23DC7593" w:rsidR="002661A3" w:rsidRPr="00711230" w:rsidRDefault="002661A3" w:rsidP="00326A66">
      <w:pPr>
        <w:pStyle w:val="ListParagraph"/>
        <w:numPr>
          <w:ilvl w:val="0"/>
          <w:numId w:val="4"/>
        </w:numPr>
        <w:shd w:val="clear" w:color="auto" w:fill="FFFFFF"/>
        <w:spacing w:after="0"/>
        <w:jc w:val="both"/>
        <w:rPr>
          <w:rFonts w:cstheme="minorHAnsi"/>
          <w:bCs/>
          <w:color w:val="4A4A4A"/>
          <w:sz w:val="21"/>
          <w:szCs w:val="21"/>
          <w:lang w:eastAsia="en-GB"/>
        </w:rPr>
      </w:pPr>
      <w:r w:rsidRPr="00711230">
        <w:rPr>
          <w:rFonts w:cstheme="minorHAnsi"/>
          <w:b/>
          <w:bCs/>
          <w:color w:val="4A4A4A"/>
          <w:sz w:val="21"/>
          <w:szCs w:val="21"/>
          <w:lang w:eastAsia="en-GB"/>
        </w:rPr>
        <w:t>Ratio 2: Representation of ‘young’ public servants</w:t>
      </w:r>
      <w:r w:rsidRPr="00711230">
        <w:rPr>
          <w:rFonts w:cstheme="minorHAnsi"/>
          <w:b/>
          <w:bCs/>
          <w:i/>
          <w:color w:val="4A4A4A"/>
          <w:sz w:val="21"/>
          <w:szCs w:val="21"/>
          <w:lang w:eastAsia="en-GB"/>
        </w:rPr>
        <w:t xml:space="preserve"> </w:t>
      </w:r>
      <w:r w:rsidRPr="00711230">
        <w:rPr>
          <w:rFonts w:cstheme="minorHAnsi"/>
          <w:b/>
          <w:bCs/>
          <w:color w:val="4A4A4A"/>
          <w:sz w:val="21"/>
          <w:szCs w:val="21"/>
          <w:lang w:eastAsia="en-GB"/>
        </w:rPr>
        <w:t xml:space="preserve">aged 34 and below across all occupational categories </w:t>
      </w:r>
      <w:r w:rsidRPr="00711230">
        <w:rPr>
          <w:rFonts w:ascii="Calibri" w:hAnsi="Calibri" w:cs="Calibri"/>
          <w:i/>
          <w:color w:val="4A4A4A"/>
          <w:sz w:val="21"/>
          <w:szCs w:val="21"/>
          <w:lang w:eastAsia="en-GB"/>
        </w:rPr>
        <w:t>(separate ratios for national and sub-national levels):</w:t>
      </w:r>
      <w:r w:rsidRPr="00711230">
        <w:rPr>
          <w:rFonts w:cstheme="minorHAnsi"/>
          <w:b/>
          <w:bCs/>
          <w:color w:val="4A4A4A"/>
          <w:sz w:val="21"/>
          <w:szCs w:val="21"/>
          <w:lang w:eastAsia="en-GB"/>
        </w:rPr>
        <w:t xml:space="preserve"> </w:t>
      </w:r>
      <w:r w:rsidRPr="00711230">
        <w:rPr>
          <w:rFonts w:cstheme="minorHAnsi"/>
          <w:bCs/>
          <w:color w:val="4A4A4A"/>
          <w:sz w:val="21"/>
          <w:szCs w:val="21"/>
          <w:lang w:eastAsia="en-GB"/>
        </w:rPr>
        <w:t xml:space="preserve">This ratio is important because in several countries, there is a significant </w:t>
      </w:r>
      <w:r w:rsidRPr="00711230">
        <w:rPr>
          <w:rFonts w:cstheme="minorHAnsi"/>
          <w:color w:val="4A4A4A"/>
          <w:sz w:val="21"/>
          <w:szCs w:val="21"/>
          <w:shd w:val="clear" w:color="auto" w:fill="FFFFFF"/>
        </w:rPr>
        <w:t>age gap between those in public service and the people they serve (UNDP GEPA, 2014), which has been found to undermine young people’s trust in public institutions (OECD, 2017). To remedy this situation, the UN Security Council has urged Member States to “consider ways to increase inclusive representation of youth in decision-making at all levels in local, national, regional and international institutions” (UN SC Resolution 2250</w:t>
      </w:r>
      <w:r w:rsidR="003B4ADD">
        <w:rPr>
          <w:rFonts w:cstheme="minorHAnsi"/>
          <w:color w:val="4A4A4A"/>
          <w:sz w:val="21"/>
          <w:szCs w:val="21"/>
          <w:shd w:val="clear" w:color="auto" w:fill="FFFFFF"/>
        </w:rPr>
        <w:t xml:space="preserve">, </w:t>
      </w:r>
      <w:r w:rsidRPr="00711230">
        <w:rPr>
          <w:rFonts w:cstheme="minorHAnsi"/>
          <w:color w:val="4A4A4A"/>
          <w:sz w:val="21"/>
          <w:szCs w:val="21"/>
          <w:shd w:val="clear" w:color="auto" w:fill="FFFFFF"/>
        </w:rPr>
        <w:t>2015).</w:t>
      </w:r>
    </w:p>
    <w:p w14:paraId="396FDD5A" w14:textId="77777777" w:rsidR="002661A3" w:rsidRPr="00711230" w:rsidRDefault="002661A3" w:rsidP="002661A3">
      <w:pPr>
        <w:pStyle w:val="ListParagraph"/>
        <w:shd w:val="clear" w:color="auto" w:fill="FFFFFF"/>
        <w:spacing w:after="0"/>
        <w:rPr>
          <w:rFonts w:cstheme="minorHAnsi"/>
          <w:bCs/>
          <w:color w:val="4A4A4A"/>
          <w:sz w:val="21"/>
          <w:szCs w:val="21"/>
          <w:lang w:eastAsia="en-GB"/>
        </w:rPr>
      </w:pPr>
    </w:p>
    <w:p w14:paraId="138BA90E" w14:textId="77777777" w:rsidR="002661A3" w:rsidRPr="00711230" w:rsidRDefault="002661A3" w:rsidP="00326A66">
      <w:pPr>
        <w:pStyle w:val="ListParagraph"/>
        <w:numPr>
          <w:ilvl w:val="0"/>
          <w:numId w:val="4"/>
        </w:numPr>
        <w:shd w:val="clear" w:color="auto" w:fill="FFFFFF"/>
        <w:spacing w:after="0"/>
        <w:jc w:val="both"/>
        <w:rPr>
          <w:rFonts w:cstheme="minorHAnsi"/>
          <w:b/>
          <w:color w:val="4A4A4A"/>
          <w:sz w:val="21"/>
          <w:szCs w:val="21"/>
          <w:lang w:eastAsia="en-GB"/>
        </w:rPr>
      </w:pPr>
      <w:r w:rsidRPr="00711230">
        <w:rPr>
          <w:rFonts w:cstheme="minorHAnsi"/>
          <w:b/>
          <w:color w:val="4A4A4A"/>
          <w:sz w:val="21"/>
          <w:szCs w:val="21"/>
          <w:shd w:val="clear" w:color="auto" w:fill="FFFFFF"/>
        </w:rPr>
        <w:t xml:space="preserve">Ratio 3: Representation of public servants with a disability </w:t>
      </w:r>
      <w:r w:rsidRPr="00711230">
        <w:rPr>
          <w:rFonts w:cstheme="minorHAnsi"/>
          <w:b/>
          <w:bCs/>
          <w:color w:val="4A4A4A"/>
          <w:sz w:val="21"/>
          <w:szCs w:val="21"/>
          <w:lang w:eastAsia="en-GB"/>
        </w:rPr>
        <w:t xml:space="preserve">across all occupational categories </w:t>
      </w:r>
      <w:r w:rsidRPr="00711230">
        <w:rPr>
          <w:rFonts w:ascii="Calibri" w:hAnsi="Calibri" w:cs="Calibri"/>
          <w:bCs/>
          <w:i/>
          <w:color w:val="4A4A4A"/>
          <w:sz w:val="21"/>
          <w:szCs w:val="21"/>
          <w:lang w:eastAsia="en-GB"/>
        </w:rPr>
        <w:t xml:space="preserve">(separate ratios for national and sub-national levels): </w:t>
      </w:r>
      <w:r w:rsidRPr="00711230">
        <w:rPr>
          <w:rFonts w:ascii="Calibri" w:hAnsi="Calibri" w:cs="Calibri"/>
          <w:bCs/>
          <w:color w:val="4A4A4A"/>
          <w:sz w:val="21"/>
          <w:szCs w:val="21"/>
          <w:lang w:eastAsia="en-GB"/>
        </w:rPr>
        <w:t xml:space="preserve">This ratio is important because persons with disabilities remain significantly underrepresented in the public service, and under </w:t>
      </w:r>
      <w:r w:rsidRPr="00711230">
        <w:rPr>
          <w:rFonts w:ascii="Calibri" w:hAnsi="Calibri" w:cs="Calibri"/>
          <w:bCs/>
          <w:color w:val="4A4A4A"/>
          <w:sz w:val="21"/>
          <w:szCs w:val="21"/>
        </w:rPr>
        <w:t xml:space="preserve">Article 31 of the UN Convention </w:t>
      </w:r>
      <w:r w:rsidRPr="00711230">
        <w:rPr>
          <w:rFonts w:ascii="Calibri" w:hAnsi="Calibri" w:cs="Calibri"/>
          <w:bCs/>
          <w:color w:val="4A4A4A"/>
          <w:sz w:val="21"/>
          <w:szCs w:val="21"/>
          <w:lang w:eastAsia="en-GB"/>
        </w:rPr>
        <w:t>on the Rights of Persons with Disabilities (2006)</w:t>
      </w:r>
      <w:r w:rsidRPr="00711230">
        <w:rPr>
          <w:rFonts w:ascii="Calibri" w:hAnsi="Calibri" w:cs="Calibri"/>
          <w:bCs/>
          <w:color w:val="4A4A4A"/>
          <w:sz w:val="21"/>
          <w:szCs w:val="21"/>
        </w:rPr>
        <w:t xml:space="preserve">, State Parties have committed to collecting disaggregated information to give effect to the Convention’s call to </w:t>
      </w:r>
      <w:r w:rsidRPr="00711230">
        <w:rPr>
          <w:rFonts w:ascii="Calibri" w:hAnsi="Calibri" w:cs="Calibri"/>
          <w:bCs/>
          <w:color w:val="4A4A4A"/>
          <w:sz w:val="21"/>
          <w:szCs w:val="21"/>
          <w:lang w:eastAsia="en-GB"/>
        </w:rPr>
        <w:t>ensure that persons with disabilities can effectively and fully participate in public life on an equal basis with others.</w:t>
      </w:r>
    </w:p>
    <w:p w14:paraId="6FE12C04" w14:textId="77777777" w:rsidR="002661A3" w:rsidRPr="00711230" w:rsidRDefault="002661A3" w:rsidP="002661A3">
      <w:pPr>
        <w:pStyle w:val="ListParagraph"/>
        <w:rPr>
          <w:rFonts w:cstheme="minorHAnsi"/>
          <w:b/>
          <w:color w:val="4A4A4A"/>
          <w:sz w:val="21"/>
          <w:szCs w:val="21"/>
          <w:lang w:eastAsia="en-GB"/>
        </w:rPr>
      </w:pPr>
    </w:p>
    <w:p w14:paraId="2C627C8E" w14:textId="77777777" w:rsidR="002661A3" w:rsidRPr="00711230" w:rsidRDefault="002661A3" w:rsidP="00326A66">
      <w:pPr>
        <w:pStyle w:val="ListParagraph"/>
        <w:numPr>
          <w:ilvl w:val="0"/>
          <w:numId w:val="4"/>
        </w:numPr>
        <w:shd w:val="clear" w:color="auto" w:fill="FFFFFF"/>
        <w:spacing w:after="0"/>
        <w:ind w:left="714" w:hanging="357"/>
        <w:jc w:val="both"/>
        <w:rPr>
          <w:rFonts w:cstheme="minorHAnsi"/>
          <w:b/>
          <w:bCs/>
          <w:color w:val="4A4A4A"/>
          <w:sz w:val="21"/>
          <w:szCs w:val="21"/>
          <w:lang w:eastAsia="en-GB"/>
        </w:rPr>
      </w:pPr>
      <w:r w:rsidRPr="00711230">
        <w:rPr>
          <w:rFonts w:cstheme="minorHAnsi"/>
          <w:b/>
          <w:color w:val="4A4A4A"/>
          <w:sz w:val="21"/>
          <w:szCs w:val="21"/>
          <w:lang w:eastAsia="en-GB"/>
        </w:rPr>
        <w:t>Ratio 4: Representation of public servants belonging to Population Group A (</w:t>
      </w:r>
      <w:proofErr w:type="gramStart"/>
      <w:r w:rsidRPr="00711230">
        <w:rPr>
          <w:rFonts w:cstheme="minorHAnsi"/>
          <w:b/>
          <w:color w:val="4A4A4A"/>
          <w:sz w:val="21"/>
          <w:szCs w:val="21"/>
          <w:lang w:eastAsia="en-GB"/>
        </w:rPr>
        <w:t>B,C</w:t>
      </w:r>
      <w:proofErr w:type="gramEnd"/>
      <w:r w:rsidRPr="00711230">
        <w:rPr>
          <w:rFonts w:cstheme="minorHAnsi"/>
          <w:b/>
          <w:color w:val="4A4A4A"/>
          <w:sz w:val="21"/>
          <w:szCs w:val="21"/>
          <w:lang w:eastAsia="en-GB"/>
        </w:rPr>
        <w:t xml:space="preserve">,D, etc.) across all occupational categories </w:t>
      </w:r>
      <w:r w:rsidRPr="00711230">
        <w:rPr>
          <w:rFonts w:ascii="Calibri" w:hAnsi="Calibri" w:cs="Calibri"/>
          <w:bCs/>
          <w:i/>
          <w:color w:val="4A4A4A"/>
          <w:sz w:val="21"/>
          <w:szCs w:val="21"/>
          <w:lang w:eastAsia="en-GB"/>
        </w:rPr>
        <w:t xml:space="preserve">(separate ratios for national and sub-national levels): </w:t>
      </w:r>
      <w:r w:rsidRPr="00711230">
        <w:rPr>
          <w:rFonts w:ascii="Calibri" w:hAnsi="Calibri" w:cs="Calibri"/>
          <w:bCs/>
          <w:color w:val="4A4A4A"/>
          <w:sz w:val="21"/>
          <w:szCs w:val="21"/>
          <w:lang w:eastAsia="en-GB"/>
        </w:rPr>
        <w:t xml:space="preserve">This ratio important because evidence shows that when </w:t>
      </w:r>
      <w:r w:rsidRPr="00711230">
        <w:rPr>
          <w:rFonts w:ascii="Calibri" w:hAnsi="Calibri" w:cs="Calibri"/>
          <w:color w:val="4A4A4A"/>
          <w:sz w:val="21"/>
          <w:szCs w:val="21"/>
          <w:lang w:eastAsia="en-GB"/>
        </w:rPr>
        <w:t xml:space="preserve">public servants resemble the people they provide services to, with respect to their ethnic, linguistic or religious affiliations, or to their indigenous status, </w:t>
      </w:r>
      <w:r w:rsidRPr="00711230">
        <w:rPr>
          <w:rFonts w:ascii="Calibri" w:hAnsi="Calibri" w:cs="Calibri"/>
          <w:bCs/>
          <w:color w:val="4A4A4A"/>
          <w:sz w:val="21"/>
          <w:szCs w:val="21"/>
          <w:lang w:eastAsia="en-GB"/>
        </w:rPr>
        <w:t xml:space="preserve">citizens perceive the public service to be more </w:t>
      </w:r>
      <w:r w:rsidRPr="00711230">
        <w:rPr>
          <w:rFonts w:ascii="Calibri" w:hAnsi="Calibri" w:cs="Calibri"/>
          <w:color w:val="4A4A4A"/>
          <w:sz w:val="21"/>
          <w:szCs w:val="21"/>
          <w:lang w:eastAsia="en-GB"/>
        </w:rPr>
        <w:t xml:space="preserve">legitimate. Proportional representation of </w:t>
      </w:r>
      <w:proofErr w:type="gramStart"/>
      <w:r w:rsidRPr="00711230">
        <w:rPr>
          <w:rFonts w:ascii="Calibri" w:hAnsi="Calibri" w:cs="Calibri"/>
          <w:color w:val="4A4A4A"/>
          <w:sz w:val="21"/>
          <w:szCs w:val="21"/>
          <w:lang w:eastAsia="en-GB"/>
        </w:rPr>
        <w:t>nationally-relevant</w:t>
      </w:r>
      <w:proofErr w:type="gramEnd"/>
      <w:r w:rsidRPr="00711230">
        <w:rPr>
          <w:rFonts w:ascii="Calibri" w:hAnsi="Calibri" w:cs="Calibri"/>
          <w:color w:val="4A4A4A"/>
          <w:sz w:val="21"/>
          <w:szCs w:val="21"/>
          <w:lang w:eastAsia="en-GB"/>
        </w:rPr>
        <w:t xml:space="preserve"> population groups in the public service has been found to be associated with higher levels of public trust in public institutions.</w:t>
      </w:r>
    </w:p>
    <w:p w14:paraId="199716AA" w14:textId="77777777" w:rsidR="00776D7E" w:rsidRPr="00711230" w:rsidRDefault="00776D7E"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E98B80C" w14:textId="71233D3D" w:rsidR="00882FCB" w:rsidRPr="00AC04CB" w:rsidRDefault="00BA0766" w:rsidP="00DF0314">
      <w:pPr>
        <w:pStyle w:val="MText"/>
        <w:rPr>
          <w:lang w:val="en-US"/>
        </w:rPr>
      </w:pPr>
      <w:bookmarkStart w:id="8" w:name="_Hlk67855192"/>
      <w:r w:rsidRPr="00AC04CB">
        <w:t>The countries are requested to input the indicator in a reporting platform that provides separate fields for the metadata</w:t>
      </w:r>
      <w:r w:rsidR="00882FCB" w:rsidRPr="00AC04CB">
        <w:t xml:space="preserve"> and statistics</w:t>
      </w:r>
      <w:r w:rsidRPr="00AC04CB">
        <w:t>.</w:t>
      </w:r>
      <w:r w:rsidR="00882FCB" w:rsidRPr="00AC04CB">
        <w:t xml:space="preserve"> </w:t>
      </w:r>
      <w:r w:rsidR="00882FCB" w:rsidRPr="00AC04CB">
        <w:rPr>
          <w:lang w:val="en-US"/>
        </w:rPr>
        <w:t>By providing the metadata and statistics the custodian can identify possible inconsistencies and have further consultation with the national partner to validate the statistics provided. The fields used to comprehend/verify and validate refer to: the primary source of information; the excluded units</w:t>
      </w:r>
      <w:r w:rsidR="00882FCB" w:rsidRPr="00AC04CB">
        <w:rPr>
          <w:rStyle w:val="FootnoteReference"/>
          <w:lang w:val="en-US"/>
        </w:rPr>
        <w:footnoteReference w:id="16"/>
      </w:r>
      <w:r w:rsidR="00882FCB" w:rsidRPr="00AC04CB">
        <w:rPr>
          <w:lang w:val="en-US"/>
        </w:rPr>
        <w:t xml:space="preserve"> and public servants</w:t>
      </w:r>
      <w:r w:rsidR="00882FCB" w:rsidRPr="00AC04CB">
        <w:rPr>
          <w:rStyle w:val="FootnoteReference"/>
          <w:lang w:val="en-US"/>
        </w:rPr>
        <w:footnoteReference w:id="17"/>
      </w:r>
      <w:r w:rsidR="00882FCB" w:rsidRPr="00AC04CB">
        <w:rPr>
          <w:lang w:val="en-US"/>
        </w:rPr>
        <w:t xml:space="preserve">;  the corresponding grades and levels in the cases of countries </w:t>
      </w:r>
      <w:r w:rsidR="00882FCB" w:rsidRPr="00AC04CB">
        <w:rPr>
          <w:lang w:val="en-US"/>
        </w:rPr>
        <w:lastRenderedPageBreak/>
        <w:t xml:space="preserve">that have not implemented ISCO-08; the inclusion/exclusion of appointed civil servants in the reported statistics; information and sources of disaggregation on sex, </w:t>
      </w:r>
      <w:proofErr w:type="gramStart"/>
      <w:r w:rsidR="00882FCB" w:rsidRPr="00AC04CB">
        <w:rPr>
          <w:lang w:val="en-US"/>
        </w:rPr>
        <w:t>age</w:t>
      </w:r>
      <w:proofErr w:type="gramEnd"/>
      <w:r w:rsidR="00882FCB" w:rsidRPr="00AC04CB">
        <w:rPr>
          <w:lang w:val="en-US"/>
        </w:rPr>
        <w:t xml:space="preserve"> and disability.</w:t>
      </w:r>
      <w:r w:rsidR="00E459E0" w:rsidRPr="00AC04CB">
        <w:rPr>
          <w:lang w:val="en-US"/>
        </w:rPr>
        <w:t xml:space="preserve"> Additionally, the reporting platform </w:t>
      </w:r>
      <w:r w:rsidR="00DE64C8" w:rsidRPr="00AC04CB">
        <w:rPr>
          <w:lang w:val="en-US"/>
        </w:rPr>
        <w:t>requests</w:t>
      </w:r>
      <w:r w:rsidR="00E459E0" w:rsidRPr="00AC04CB">
        <w:rPr>
          <w:lang w:val="en-US"/>
        </w:rPr>
        <w:t xml:space="preserve"> any additional methodological deviation that might exist between the collected statistics and the recommendations provided in the metadata. In addition to the metadata the countries are requested to input the nominator and denominator separately, as well as the disaggregated statistics, thus allowing to collect the information at a refined level.</w:t>
      </w:r>
    </w:p>
    <w:bookmarkEnd w:id="8"/>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5B97532E" w:rsidR="00576CFA" w:rsidRPr="00A96255" w:rsidRDefault="006A5B82" w:rsidP="00576CFA">
      <w:pPr>
        <w:pStyle w:val="MText"/>
      </w:pPr>
      <w:r>
        <w:t>Not applicable</w:t>
      </w:r>
    </w:p>
    <w:p w14:paraId="7FBAEBBA" w14:textId="77777777" w:rsidR="00EC2915" w:rsidRPr="00A96255" w:rsidRDefault="00EC2915" w:rsidP="00576CFA">
      <w:pPr>
        <w:pStyle w:val="MText"/>
      </w:pPr>
    </w:p>
    <w:p w14:paraId="67043C18" w14:textId="5BE2A1B3" w:rsidR="00D51E7C" w:rsidRDefault="00576CFA" w:rsidP="00B323B0">
      <w:pPr>
        <w:pStyle w:val="MHeader2"/>
      </w:pPr>
      <w:r w:rsidRPr="00A96255">
        <w:t xml:space="preserve">4.f. Treatment of missing values (i) at country level and (ii) at regional level </w:t>
      </w:r>
      <w:r>
        <w:rPr>
          <w:color w:val="B4B4B4"/>
          <w:sz w:val="20"/>
        </w:rPr>
        <w:t>(IMPUTATION)</w:t>
      </w:r>
    </w:p>
    <w:p w14:paraId="58DCB865" w14:textId="01593AED" w:rsidR="00D51E7C" w:rsidRPr="001445A8" w:rsidRDefault="00D51E7C" w:rsidP="00D51E7C">
      <w:pPr>
        <w:pStyle w:val="MText"/>
      </w:pPr>
      <w:r w:rsidRPr="00013637">
        <w:rPr>
          <w:b/>
        </w:rPr>
        <w:t>•</w:t>
      </w:r>
      <w:r w:rsidRPr="00D11E07">
        <w:tab/>
      </w:r>
      <w:r w:rsidRPr="00054E15">
        <w:rPr>
          <w:b/>
        </w:rPr>
        <w:t>At country level</w:t>
      </w:r>
    </w:p>
    <w:p w14:paraId="57365350" w14:textId="64F19B39" w:rsidR="006E4382" w:rsidRPr="00C019E5" w:rsidRDefault="006E4382" w:rsidP="00D51E7C">
      <w:pPr>
        <w:pStyle w:val="MText"/>
        <w:rPr>
          <w:highlight w:val="cyan"/>
        </w:rPr>
      </w:pPr>
      <w:r w:rsidRPr="006E4382">
        <w:t>There is no treatment of missing values.</w:t>
      </w:r>
    </w:p>
    <w:p w14:paraId="1B6182A5" w14:textId="54983DC5" w:rsidR="00D51E7C" w:rsidRPr="00C019E5" w:rsidRDefault="00D51E7C" w:rsidP="00D51E7C">
      <w:pPr>
        <w:pStyle w:val="MText"/>
        <w:rPr>
          <w:highlight w:val="cyan"/>
        </w:rPr>
      </w:pPr>
    </w:p>
    <w:p w14:paraId="06DDC253" w14:textId="77777777" w:rsidR="00D51E7C" w:rsidRPr="001445A8" w:rsidRDefault="00D51E7C" w:rsidP="00D51E7C">
      <w:pPr>
        <w:pStyle w:val="MText"/>
      </w:pPr>
      <w:r w:rsidRPr="00013637">
        <w:rPr>
          <w:b/>
        </w:rPr>
        <w:t>•</w:t>
      </w:r>
      <w:r w:rsidRPr="00D11E07">
        <w:tab/>
      </w:r>
      <w:r w:rsidRPr="00054E15">
        <w:rPr>
          <w:b/>
        </w:rPr>
        <w:t>At regional and global levels</w:t>
      </w:r>
    </w:p>
    <w:p w14:paraId="04748E1F" w14:textId="0D48AD40" w:rsidR="00D51E7C" w:rsidRDefault="006E4382" w:rsidP="00D51E7C">
      <w:pPr>
        <w:pStyle w:val="MText"/>
      </w:pPr>
      <w:r w:rsidRPr="006E4382">
        <w:t>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2079CA5D" w:rsidR="00EC2915" w:rsidRDefault="006E4382" w:rsidP="00576CFA">
      <w:pPr>
        <w:pStyle w:val="MText"/>
      </w:pPr>
      <w:r w:rsidRPr="006E4382">
        <w:t>The simple average of each one of the priority ratios will be provided for each region, and globally.</w:t>
      </w:r>
    </w:p>
    <w:p w14:paraId="7B5515E4" w14:textId="77777777" w:rsidR="006E4382" w:rsidRPr="00A96255" w:rsidRDefault="006E4382"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5F2975F" w14:textId="77777777" w:rsidR="005E0CC8" w:rsidRPr="00AC04CB" w:rsidRDefault="005E0CC8" w:rsidP="005E0CC8">
      <w:pPr>
        <w:pStyle w:val="MText"/>
        <w:rPr>
          <w:b/>
          <w:bCs/>
        </w:rPr>
      </w:pPr>
      <w:bookmarkStart w:id="9" w:name="_Hlk68516580"/>
      <w:r w:rsidRPr="00AC04CB">
        <w:rPr>
          <w:b/>
          <w:bCs/>
        </w:rPr>
        <w:t>Methods and guidance available to countries for the compilation of data at national level:</w:t>
      </w:r>
      <w:r w:rsidRPr="00AC04CB">
        <w:tab/>
      </w:r>
    </w:p>
    <w:p w14:paraId="56A5FEFD" w14:textId="575EF030" w:rsidR="005E0CC8" w:rsidRPr="005E0CC8" w:rsidRDefault="005E0CC8" w:rsidP="005E0CC8">
      <w:pPr>
        <w:pStyle w:val="MText"/>
        <w:rPr>
          <w:highlight w:val="yellow"/>
          <w:lang w:val="en-CA"/>
        </w:rPr>
      </w:pPr>
      <w:r w:rsidRPr="00AC04CB">
        <w:t xml:space="preserve">To disaggregate survey results by disability status, it is recommended that countries use the </w:t>
      </w:r>
      <w:hyperlink r:id="rId17" w:history="1">
        <w:r w:rsidRPr="00AC04CB">
          <w:rPr>
            <w:rStyle w:val="Hyperlink"/>
          </w:rPr>
          <w:t>Short Set of Questions on</w:t>
        </w:r>
        <w:r w:rsidRPr="00AC04CB">
          <w:rPr>
            <w:rStyle w:val="Hyperlink"/>
            <w:b/>
          </w:rPr>
          <w:t xml:space="preserve"> </w:t>
        </w:r>
        <w:r w:rsidRPr="00AC04CB">
          <w:rPr>
            <w:rStyle w:val="Hyperlink"/>
          </w:rPr>
          <w:t>Disability</w:t>
        </w:r>
        <w:r w:rsidRPr="00AC04CB">
          <w:rPr>
            <w:rStyle w:val="Hyperlink"/>
            <w:b/>
          </w:rPr>
          <w:t xml:space="preserve"> </w:t>
        </w:r>
        <w:r w:rsidRPr="00AC04CB">
          <w:rPr>
            <w:rStyle w:val="Hyperlink"/>
          </w:rPr>
          <w:t>elaborated by the Washington Group</w:t>
        </w:r>
      </w:hyperlink>
      <w:r w:rsidRPr="00AC04CB">
        <w:rPr>
          <w:u w:val="single"/>
        </w:rPr>
        <w:t>.</w:t>
      </w:r>
      <w:r w:rsidRPr="00AC04CB">
        <w:t xml:space="preserve"> </w:t>
      </w:r>
    </w:p>
    <w:p w14:paraId="5C011D8D" w14:textId="58017AE2" w:rsidR="005E0CC8" w:rsidRPr="00A96255" w:rsidRDefault="005E0CC8" w:rsidP="00576CFA">
      <w:pPr>
        <w:pStyle w:val="MText"/>
      </w:pPr>
      <w:bookmarkStart w:id="10" w:name="_Hlk68517302"/>
      <w:bookmarkEnd w:id="9"/>
      <w:r>
        <w:t xml:space="preserve">Further guidance can be found in the reporting platform that provides additional information in the requested fields. </w:t>
      </w:r>
    </w:p>
    <w:bookmarkEnd w:id="10"/>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3EF4E5E" w:rsidR="00576CFA" w:rsidRPr="00A96255" w:rsidRDefault="00DF3530" w:rsidP="00576CFA">
      <w:pPr>
        <w:pStyle w:val="MText"/>
      </w:pPr>
      <w:bookmarkStart w:id="11" w:name="_Hlk67855495"/>
      <w:bookmarkStart w:id="12" w:name="_Hlk68517342"/>
      <w:r w:rsidRPr="00222FFA">
        <w:t>Statistics for this indicator is inputted in the reporting platform (</w:t>
      </w:r>
      <w:hyperlink r:id="rId18" w:history="1">
        <w:r w:rsidRPr="00222FFA">
          <w:rPr>
            <w:rStyle w:val="Hyperlink"/>
          </w:rPr>
          <w:t>https://sdg16reporting.undp.org/login</w:t>
        </w:r>
      </w:hyperlink>
      <w:r w:rsidRPr="00222FFA">
        <w:t xml:space="preserve">). UNDP has dedicated staff to verify the collected data and liaise with the data officers in the agency in </w:t>
      </w:r>
      <w:r w:rsidR="00CD4C6A" w:rsidRPr="00222FFA">
        <w:t>the countries.</w:t>
      </w:r>
      <w:bookmarkEnd w:id="11"/>
    </w:p>
    <w:bookmarkEnd w:id="12"/>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ED32804" w14:textId="77777777" w:rsidR="006E4382" w:rsidRPr="00711230" w:rsidRDefault="006E4382" w:rsidP="00AC04CB">
      <w:pPr>
        <w:spacing w:after="0"/>
        <w:rPr>
          <w:rFonts w:cstheme="minorHAnsi"/>
          <w:color w:val="4A4A4A"/>
          <w:sz w:val="21"/>
          <w:szCs w:val="21"/>
        </w:rPr>
      </w:pPr>
      <w:r w:rsidRPr="00711230">
        <w:rPr>
          <w:rFonts w:cstheme="minorHAnsi"/>
          <w:color w:val="4A4A4A"/>
          <w:sz w:val="21"/>
          <w:szCs w:val="21"/>
        </w:rPr>
        <w:t xml:space="preserve">It is recommended that NSOs serve as the main contact for compiling the necessary data to report on 16.7.1(b), in close coordination with relevant public service bodies in the country. This is to leverage and further consolidate the important quality assurance role played by NSOs in reviewing and ‘vetting’ data produced by other parts of the national statistical system. It has been shown that official data sourced from NSOs tend to have more influence over policy analysis and decision-making at national level than </w:t>
      </w:r>
      <w:r w:rsidRPr="00711230">
        <w:rPr>
          <w:rFonts w:cstheme="minorHAnsi"/>
          <w:color w:val="4A4A4A"/>
          <w:sz w:val="21"/>
          <w:szCs w:val="21"/>
        </w:rPr>
        <w:lastRenderedPageBreak/>
        <w:t>other sources that have not gone through the appropriate vetting and quality assurance processes managed by NSOs.</w:t>
      </w:r>
      <w:r w:rsidRPr="00711230">
        <w:rPr>
          <w:rStyle w:val="FootnoteReference"/>
          <w:rFonts w:cstheme="minorHAnsi"/>
          <w:color w:val="4A4A4A"/>
          <w:sz w:val="21"/>
          <w:szCs w:val="21"/>
        </w:rPr>
        <w:footnoteReference w:id="18"/>
      </w:r>
      <w:r w:rsidRPr="00711230">
        <w:rPr>
          <w:rFonts w:cstheme="minorHAnsi"/>
          <w:color w:val="4A4A4A"/>
          <w:sz w:val="21"/>
          <w:szCs w:val="21"/>
        </w:rPr>
        <w:t xml:space="preserve"> </w:t>
      </w:r>
    </w:p>
    <w:p w14:paraId="03EF3244" w14:textId="77777777" w:rsidR="00EC2915" w:rsidRPr="00711230"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020F3E09" w:rsidR="00576CFA" w:rsidRPr="00A96255" w:rsidRDefault="00CD4C6A" w:rsidP="00576CFA">
      <w:pPr>
        <w:pStyle w:val="MText"/>
      </w:pPr>
      <w:bookmarkStart w:id="13" w:name="_Hlk67855530"/>
      <w:r w:rsidRPr="00AC04CB">
        <w:t>The quality assessment is conducted based on the information provided in the reporting platform in an assessment of the metadata and statistics provided. When necessary and requested by the country the agency can support in</w:t>
      </w:r>
      <w:r w:rsidR="00853C85" w:rsidRPr="00AC04CB">
        <w:t xml:space="preserve"> designing a protocol for</w:t>
      </w:r>
      <w:r w:rsidRPr="00AC04CB">
        <w:t xml:space="preserve"> assessing the alignment of data produced with </w:t>
      </w:r>
      <w:r w:rsidR="00137D12" w:rsidRPr="00AC04CB">
        <w:t>users’</w:t>
      </w:r>
      <w:r w:rsidRPr="00AC04CB">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bookmarkEnd w:id="13"/>
      <w:r w:rsidRPr="00222FFA">
        <w:t xml:space="preserve">. </w:t>
      </w:r>
    </w:p>
    <w:p w14:paraId="5B7C52CE" w14:textId="77777777" w:rsidR="00576CFA" w:rsidRPr="00A96255" w:rsidRDefault="00576CFA" w:rsidP="00576CFA">
      <w:pPr>
        <w:pStyle w:val="MText"/>
      </w:pPr>
    </w:p>
    <w:p w14:paraId="4CD8F3EF" w14:textId="13979A41" w:rsidR="00F719A8" w:rsidRPr="005C79DA" w:rsidRDefault="00576CFA" w:rsidP="005C79DA">
      <w:pPr>
        <w:pStyle w:val="MHeader"/>
        <w:spacing w:after="100"/>
      </w:pPr>
      <w:r w:rsidRPr="00A96255">
        <w:t xml:space="preserve">5. Data availability and disaggregation </w:t>
      </w:r>
      <w:r>
        <w:rPr>
          <w:color w:val="B4B4B4"/>
          <w:sz w:val="20"/>
        </w:rPr>
        <w:t>(COVERAGE)</w:t>
      </w:r>
    </w:p>
    <w:p w14:paraId="464A8CCF" w14:textId="2174B693" w:rsidR="00576CFA" w:rsidRPr="003A2567" w:rsidRDefault="00D51E7C" w:rsidP="00576CFA">
      <w:pPr>
        <w:pStyle w:val="MText"/>
        <w:rPr>
          <w:b/>
        </w:rPr>
      </w:pPr>
      <w:r w:rsidRPr="003A2567">
        <w:rPr>
          <w:b/>
        </w:rPr>
        <w:t>Data availability:</w:t>
      </w:r>
    </w:p>
    <w:p w14:paraId="760C013A" w14:textId="0B109027" w:rsidR="00D51E7C" w:rsidRPr="00711230" w:rsidRDefault="00881470" w:rsidP="00623D0C">
      <w:pPr>
        <w:keepNext/>
        <w:keepLines/>
        <w:shd w:val="clear" w:color="auto" w:fill="FFFFFF"/>
        <w:jc w:val="both"/>
        <w:rPr>
          <w:rFonts w:ascii="Calibri" w:hAnsi="Calibri" w:cs="Calibri"/>
          <w:color w:val="4A4A4A"/>
          <w:sz w:val="21"/>
          <w:szCs w:val="21"/>
          <w:lang w:eastAsia="en-GB"/>
        </w:rPr>
      </w:pPr>
      <w:r w:rsidRPr="00711230">
        <w:rPr>
          <w:rFonts w:ascii="Calibri" w:hAnsi="Calibri" w:cs="Calibri"/>
          <w:color w:val="4A4A4A"/>
          <w:sz w:val="21"/>
          <w:szCs w:val="21"/>
          <w:lang w:eastAsia="en-GB"/>
        </w:rPr>
        <w:t xml:space="preserve">Most countries already have a Human Resource Management Information System (HRMIS) in place to track the composition of the public service. However, each HRMIS produces different types of data, using different definitions and different formats. This metadata file as well as additional guidance material provided by the custodian agency (UNDP) aims to facilitate harmonized reporting on this indicator.  </w:t>
      </w:r>
    </w:p>
    <w:p w14:paraId="0DCC23FC" w14:textId="77777777" w:rsidR="00506A54" w:rsidRPr="003A2567" w:rsidRDefault="00506A54" w:rsidP="00506A54">
      <w:pPr>
        <w:pStyle w:val="MText"/>
        <w:rPr>
          <w:b/>
        </w:rPr>
      </w:pPr>
      <w:r w:rsidRPr="003A2567">
        <w:rPr>
          <w:b/>
        </w:rPr>
        <w:t>Time series:</w:t>
      </w:r>
    </w:p>
    <w:p w14:paraId="1576E8C2" w14:textId="77777777" w:rsidR="00506A54" w:rsidRPr="00623D0C" w:rsidRDefault="00506A54" w:rsidP="00AC04CB">
      <w:pPr>
        <w:keepNext/>
        <w:keepLines/>
        <w:shd w:val="clear" w:color="auto" w:fill="FFFFFF"/>
        <w:spacing w:after="0"/>
        <w:jc w:val="both"/>
        <w:rPr>
          <w:rFonts w:ascii="Calibri" w:hAnsi="Calibri" w:cs="Calibri"/>
          <w:color w:val="000000" w:themeColor="text1"/>
          <w:sz w:val="21"/>
          <w:szCs w:val="21"/>
          <w:lang w:eastAsia="en-GB"/>
        </w:rPr>
      </w:pPr>
    </w:p>
    <w:p w14:paraId="72C7C370" w14:textId="189C0307" w:rsidR="00D51E7C" w:rsidRPr="003A2567" w:rsidRDefault="00D51E7C" w:rsidP="00576CFA">
      <w:pPr>
        <w:pStyle w:val="MText"/>
        <w:rPr>
          <w:b/>
        </w:rPr>
      </w:pPr>
      <w:r w:rsidRPr="003A2567">
        <w:rPr>
          <w:b/>
        </w:rPr>
        <w:t>Disaggregation:</w:t>
      </w:r>
    </w:p>
    <w:p w14:paraId="7FD751ED" w14:textId="77777777" w:rsidR="006E4382" w:rsidRPr="00711230" w:rsidRDefault="006E4382" w:rsidP="00AC04CB">
      <w:pPr>
        <w:shd w:val="clear" w:color="auto" w:fill="FFFFFF"/>
        <w:spacing w:after="0"/>
        <w:jc w:val="both"/>
        <w:rPr>
          <w:rFonts w:ascii="Calibri" w:hAnsi="Calibri" w:cs="Calibri"/>
          <w:color w:val="4A4A4A"/>
          <w:sz w:val="21"/>
          <w:szCs w:val="21"/>
          <w:lang w:eastAsia="en-GB"/>
        </w:rPr>
      </w:pPr>
      <w:r w:rsidRPr="00711230">
        <w:rPr>
          <w:rFonts w:ascii="Calibri" w:hAnsi="Calibri" w:cs="Calibri"/>
          <w:color w:val="4A4A4A"/>
          <w:sz w:val="21"/>
          <w:szCs w:val="21"/>
          <w:lang w:eastAsia="en-GB"/>
        </w:rPr>
        <w:t>As mentioned throughout the above discussions, a three-way disaggregation of the data is recommended, along the following cumulative levels:</w:t>
      </w:r>
    </w:p>
    <w:p w14:paraId="026EE025" w14:textId="77777777" w:rsidR="006E4382" w:rsidRPr="00711230" w:rsidRDefault="006E4382" w:rsidP="00326A66">
      <w:pPr>
        <w:pStyle w:val="ListParagraph"/>
        <w:numPr>
          <w:ilvl w:val="0"/>
          <w:numId w:val="10"/>
        </w:numPr>
        <w:spacing w:after="0"/>
        <w:jc w:val="both"/>
        <w:rPr>
          <w:rFonts w:ascii="Calibri" w:hAnsi="Calibri"/>
          <w:color w:val="4A4A4A"/>
          <w:sz w:val="21"/>
          <w:szCs w:val="21"/>
          <w:lang w:val="en-US"/>
        </w:rPr>
      </w:pPr>
      <w:r w:rsidRPr="00711230">
        <w:rPr>
          <w:rFonts w:ascii="Calibri" w:hAnsi="Calibri"/>
          <w:color w:val="4A4A4A"/>
          <w:sz w:val="21"/>
          <w:szCs w:val="21"/>
          <w:lang w:val="en-US"/>
        </w:rPr>
        <w:t>Administrative level</w:t>
      </w:r>
      <w:r w:rsidRPr="00711230">
        <w:rPr>
          <w:rFonts w:ascii="Calibri" w:hAnsi="Calibri"/>
          <w:i/>
          <w:iCs/>
          <w:color w:val="4A4A4A"/>
          <w:sz w:val="21"/>
          <w:szCs w:val="21"/>
          <w:lang w:val="en-US"/>
        </w:rPr>
        <w:t xml:space="preserve"> (central level; “state” level or equivalent)</w:t>
      </w:r>
    </w:p>
    <w:p w14:paraId="7299A668" w14:textId="77777777" w:rsidR="006E4382" w:rsidRPr="00711230" w:rsidRDefault="006E4382" w:rsidP="00326A66">
      <w:pPr>
        <w:pStyle w:val="ListParagraph"/>
        <w:numPr>
          <w:ilvl w:val="0"/>
          <w:numId w:val="10"/>
        </w:numPr>
        <w:spacing w:after="0"/>
        <w:jc w:val="both"/>
        <w:rPr>
          <w:rFonts w:ascii="Calibri" w:hAnsi="Calibri"/>
          <w:i/>
          <w:iCs/>
          <w:color w:val="4A4A4A"/>
          <w:sz w:val="21"/>
          <w:szCs w:val="21"/>
          <w:lang w:val="en-US"/>
        </w:rPr>
      </w:pPr>
      <w:r w:rsidRPr="00711230">
        <w:rPr>
          <w:rFonts w:ascii="Calibri" w:hAnsi="Calibri"/>
          <w:color w:val="4A4A4A"/>
          <w:sz w:val="21"/>
          <w:szCs w:val="21"/>
          <w:lang w:val="en-US"/>
        </w:rPr>
        <w:t xml:space="preserve">Occupational categories </w:t>
      </w:r>
      <w:r w:rsidRPr="00711230">
        <w:rPr>
          <w:rFonts w:ascii="Calibri" w:hAnsi="Calibri"/>
          <w:i/>
          <w:iCs/>
          <w:color w:val="4A4A4A"/>
          <w:sz w:val="21"/>
          <w:szCs w:val="21"/>
          <w:lang w:val="en-US"/>
        </w:rPr>
        <w:t>(four ISCO-based categories, and select “front-line service” categories)</w:t>
      </w:r>
    </w:p>
    <w:p w14:paraId="0B91E21E" w14:textId="77777777" w:rsidR="006E4382" w:rsidRPr="00711230" w:rsidRDefault="006E4382" w:rsidP="00326A66">
      <w:pPr>
        <w:pStyle w:val="ListParagraph"/>
        <w:numPr>
          <w:ilvl w:val="0"/>
          <w:numId w:val="10"/>
        </w:numPr>
        <w:spacing w:after="0"/>
        <w:jc w:val="both"/>
        <w:rPr>
          <w:rFonts w:ascii="Calibri" w:hAnsi="Calibri"/>
          <w:color w:val="4A4A4A"/>
          <w:sz w:val="21"/>
          <w:szCs w:val="21"/>
          <w:lang w:val="en-US"/>
        </w:rPr>
      </w:pPr>
      <w:r w:rsidRPr="00711230">
        <w:rPr>
          <w:rFonts w:ascii="Calibri" w:hAnsi="Calibri"/>
          <w:color w:val="4A4A4A"/>
          <w:sz w:val="21"/>
          <w:szCs w:val="21"/>
          <w:lang w:val="en-US"/>
        </w:rPr>
        <w:t>Various demographic characteristics:</w:t>
      </w:r>
    </w:p>
    <w:p w14:paraId="769C4687" w14:textId="77777777" w:rsidR="006E4382" w:rsidRPr="00711230" w:rsidRDefault="006E4382" w:rsidP="00326A66">
      <w:pPr>
        <w:pStyle w:val="ListParagraph"/>
        <w:numPr>
          <w:ilvl w:val="1"/>
          <w:numId w:val="10"/>
        </w:numPr>
        <w:spacing w:after="0"/>
        <w:jc w:val="both"/>
        <w:rPr>
          <w:rFonts w:ascii="Calibri" w:hAnsi="Calibri"/>
          <w:color w:val="4A4A4A"/>
          <w:sz w:val="21"/>
          <w:szCs w:val="21"/>
          <w:lang w:val="en-US"/>
        </w:rPr>
      </w:pPr>
      <w:r w:rsidRPr="00711230">
        <w:rPr>
          <w:rFonts w:ascii="Calibri" w:hAnsi="Calibri"/>
          <w:color w:val="4A4A4A"/>
          <w:sz w:val="21"/>
          <w:szCs w:val="21"/>
          <w:lang w:val="en-US"/>
        </w:rPr>
        <w:t xml:space="preserve">Sex </w:t>
      </w:r>
      <w:r w:rsidRPr="00711230">
        <w:rPr>
          <w:rFonts w:ascii="Calibri" w:hAnsi="Calibri"/>
          <w:i/>
          <w:iCs/>
          <w:color w:val="4A4A4A"/>
          <w:sz w:val="21"/>
          <w:szCs w:val="21"/>
          <w:lang w:val="en-US"/>
        </w:rPr>
        <w:t>(male; female)</w:t>
      </w:r>
    </w:p>
    <w:p w14:paraId="644A9AA2" w14:textId="77777777" w:rsidR="006E4382" w:rsidRPr="00711230" w:rsidRDefault="006E4382" w:rsidP="00326A66">
      <w:pPr>
        <w:pStyle w:val="ListParagraph"/>
        <w:numPr>
          <w:ilvl w:val="1"/>
          <w:numId w:val="10"/>
        </w:numPr>
        <w:spacing w:after="0"/>
        <w:jc w:val="both"/>
        <w:rPr>
          <w:rFonts w:ascii="Calibri" w:hAnsi="Calibri"/>
          <w:color w:val="4A4A4A"/>
          <w:sz w:val="21"/>
          <w:szCs w:val="21"/>
          <w:lang w:val="en-US"/>
        </w:rPr>
      </w:pPr>
      <w:r w:rsidRPr="00711230">
        <w:rPr>
          <w:rFonts w:ascii="Calibri" w:hAnsi="Calibri"/>
          <w:color w:val="4A4A4A"/>
          <w:sz w:val="21"/>
          <w:szCs w:val="21"/>
          <w:lang w:val="en-US"/>
        </w:rPr>
        <w:t xml:space="preserve">Age group </w:t>
      </w:r>
      <w:r w:rsidRPr="00711230">
        <w:rPr>
          <w:rFonts w:ascii="Calibri" w:hAnsi="Calibri"/>
          <w:i/>
          <w:iCs/>
          <w:color w:val="4A4A4A"/>
          <w:sz w:val="21"/>
          <w:szCs w:val="21"/>
          <w:lang w:val="en-US"/>
        </w:rPr>
        <w:t>(below 35 years; 35-44; 45-54; 55-64; 65 and above)</w:t>
      </w:r>
    </w:p>
    <w:p w14:paraId="1D1B20C8" w14:textId="77777777" w:rsidR="006E4382" w:rsidRPr="00711230" w:rsidRDefault="006E4382" w:rsidP="00326A66">
      <w:pPr>
        <w:pStyle w:val="ListParagraph"/>
        <w:numPr>
          <w:ilvl w:val="1"/>
          <w:numId w:val="10"/>
        </w:numPr>
        <w:spacing w:after="0"/>
        <w:jc w:val="both"/>
        <w:rPr>
          <w:rFonts w:ascii="Calibri" w:hAnsi="Calibri"/>
          <w:color w:val="4A4A4A"/>
          <w:sz w:val="21"/>
          <w:szCs w:val="21"/>
          <w:lang w:val="en-US"/>
        </w:rPr>
      </w:pPr>
      <w:r w:rsidRPr="00711230">
        <w:rPr>
          <w:rFonts w:ascii="Calibri" w:hAnsi="Calibri"/>
          <w:color w:val="4A4A4A"/>
          <w:sz w:val="21"/>
          <w:szCs w:val="21"/>
          <w:lang w:val="en-US"/>
        </w:rPr>
        <w:t xml:space="preserve">Disability status </w:t>
      </w:r>
      <w:r w:rsidRPr="00711230">
        <w:rPr>
          <w:rFonts w:ascii="Calibri" w:hAnsi="Calibri"/>
          <w:i/>
          <w:iCs/>
          <w:color w:val="4A4A4A"/>
          <w:sz w:val="21"/>
          <w:szCs w:val="21"/>
          <w:lang w:val="en-US"/>
        </w:rPr>
        <w:t>(disability; no disability)</w:t>
      </w:r>
    </w:p>
    <w:p w14:paraId="34C549A9" w14:textId="77777777" w:rsidR="006E4382" w:rsidRPr="00711230" w:rsidRDefault="006E4382" w:rsidP="00326A66">
      <w:pPr>
        <w:pStyle w:val="ListParagraph"/>
        <w:numPr>
          <w:ilvl w:val="1"/>
          <w:numId w:val="10"/>
        </w:numPr>
        <w:spacing w:after="0"/>
        <w:jc w:val="both"/>
        <w:rPr>
          <w:rFonts w:ascii="Calibri" w:hAnsi="Calibri"/>
          <w:color w:val="4A4A4A"/>
          <w:sz w:val="21"/>
          <w:szCs w:val="21"/>
          <w:lang w:val="en-US"/>
        </w:rPr>
      </w:pPr>
      <w:r w:rsidRPr="00711230">
        <w:rPr>
          <w:rFonts w:ascii="Calibri" w:hAnsi="Calibri"/>
          <w:color w:val="4A4A4A"/>
          <w:sz w:val="21"/>
          <w:szCs w:val="21"/>
          <w:lang w:val="en-US"/>
        </w:rPr>
        <w:t xml:space="preserve">Population subgroup </w:t>
      </w:r>
      <w:r w:rsidRPr="00711230">
        <w:rPr>
          <w:rFonts w:ascii="Calibri" w:hAnsi="Calibri"/>
          <w:i/>
          <w:iCs/>
          <w:color w:val="4A4A4A"/>
          <w:sz w:val="21"/>
          <w:szCs w:val="21"/>
          <w:lang w:val="en-US"/>
        </w:rPr>
        <w:t>(country-specific)</w:t>
      </w:r>
      <w:r w:rsidRPr="00711230">
        <w:rPr>
          <w:rStyle w:val="FootnoteReference"/>
          <w:rFonts w:ascii="Calibri" w:hAnsi="Calibri"/>
          <w:i/>
          <w:iCs/>
          <w:color w:val="4A4A4A"/>
          <w:sz w:val="21"/>
          <w:szCs w:val="21"/>
          <w:lang w:val="en-US"/>
        </w:rPr>
        <w:footnoteReference w:id="19"/>
      </w:r>
    </w:p>
    <w:p w14:paraId="42E8CA56" w14:textId="77777777" w:rsidR="00D51E7C" w:rsidRPr="00711230" w:rsidRDefault="00D51E7C" w:rsidP="00576CFA">
      <w:pPr>
        <w:pStyle w:val="MText"/>
      </w:pPr>
    </w:p>
    <w:p w14:paraId="33CAB7BE" w14:textId="5C2AB594" w:rsidR="00EC2915" w:rsidRDefault="00B31E2C" w:rsidP="006E4382">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1445A8" w:rsidRDefault="00D51E7C" w:rsidP="00576CFA">
      <w:pPr>
        <w:pStyle w:val="MText"/>
      </w:pPr>
      <w:r w:rsidRPr="00013637">
        <w:rPr>
          <w:b/>
        </w:rPr>
        <w:t>Sources of discrepancies:</w:t>
      </w:r>
    </w:p>
    <w:p w14:paraId="3C2D4870" w14:textId="20619F58" w:rsidR="00D51E7C" w:rsidRDefault="006E4382" w:rsidP="00576CFA">
      <w:pPr>
        <w:pStyle w:val="MText"/>
      </w:pPr>
      <w:r w:rsidRPr="006E4382">
        <w:t>There is no internationally estimated data for this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C80D4F6"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proofErr w:type="spellStart"/>
      <w:r w:rsidRPr="00711230">
        <w:rPr>
          <w:rFonts w:ascii="Calibri" w:hAnsi="Calibri" w:cs="Calibri"/>
          <w:color w:val="4A4A4A"/>
          <w:sz w:val="21"/>
          <w:szCs w:val="21"/>
          <w:lang w:eastAsia="en-GB"/>
        </w:rPr>
        <w:t>Arnesen</w:t>
      </w:r>
      <w:proofErr w:type="spellEnd"/>
      <w:r w:rsidRPr="00711230">
        <w:rPr>
          <w:rFonts w:ascii="Calibri" w:hAnsi="Calibri" w:cs="Calibri"/>
          <w:color w:val="4A4A4A"/>
          <w:sz w:val="21"/>
          <w:szCs w:val="21"/>
          <w:lang w:eastAsia="en-GB"/>
        </w:rPr>
        <w:t xml:space="preserve"> and Peters, “The Legitimacy of Representation: How Descriptive, Formal, and Responsiveness Representation Affect the Acceptability of Political Decisions”, Comparative Political Studies 2018, Vol. 51(7) 868–899. </w:t>
      </w:r>
    </w:p>
    <w:p w14:paraId="3576AF12"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r w:rsidRPr="00711230">
        <w:rPr>
          <w:rFonts w:ascii="Calibri" w:hAnsi="Calibri" w:cs="Calibri"/>
          <w:color w:val="4A4A4A"/>
          <w:sz w:val="21"/>
          <w:szCs w:val="21"/>
          <w:lang w:eastAsia="en-GB"/>
        </w:rPr>
        <w:t>Bird, “Comparing the political representation of ethnic minorities in advanced democracies. Annual meeting of the Canadian Political Science Association Winnipeg” (2003)</w:t>
      </w:r>
    </w:p>
    <w:p w14:paraId="252706E1" w14:textId="72C196EE" w:rsidR="00881470" w:rsidRPr="00DF44DE"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proofErr w:type="spellStart"/>
      <w:r w:rsidRPr="00711230">
        <w:rPr>
          <w:rFonts w:ascii="Calibri" w:hAnsi="Calibri" w:cs="Calibri"/>
          <w:color w:val="4A4A4A"/>
          <w:sz w:val="21"/>
          <w:szCs w:val="21"/>
          <w:lang w:eastAsia="en-GB"/>
        </w:rPr>
        <w:t>Eelbode</w:t>
      </w:r>
      <w:proofErr w:type="spellEnd"/>
      <w:r w:rsidRPr="00711230">
        <w:rPr>
          <w:rFonts w:ascii="Calibri" w:hAnsi="Calibri" w:cs="Calibri"/>
          <w:color w:val="4A4A4A"/>
          <w:sz w:val="21"/>
          <w:szCs w:val="21"/>
          <w:lang w:eastAsia="en-GB"/>
        </w:rPr>
        <w:t>, “Political representation of ethnic minorities: A framework for a comparative analysis of ethnic minority representation” (2010)</w:t>
      </w:r>
      <w:r w:rsidR="00AB2C5B">
        <w:rPr>
          <w:rFonts w:ascii="Calibri" w:hAnsi="Calibri" w:cs="Calibri"/>
          <w:color w:val="4A4A4A"/>
          <w:sz w:val="21"/>
          <w:szCs w:val="21"/>
          <w:lang w:eastAsia="en-GB"/>
        </w:rPr>
        <w:t>.</w:t>
      </w:r>
    </w:p>
    <w:p w14:paraId="653FA833" w14:textId="0D9CEC1F" w:rsidR="00881470" w:rsidRPr="001445A8" w:rsidRDefault="00881470" w:rsidP="00326A66">
      <w:pPr>
        <w:pStyle w:val="ListParagraph"/>
        <w:numPr>
          <w:ilvl w:val="0"/>
          <w:numId w:val="13"/>
        </w:numPr>
        <w:spacing w:after="120"/>
        <w:rPr>
          <w:rStyle w:val="Hyperlink"/>
          <w:rFonts w:cstheme="minorHAnsi"/>
          <w:color w:val="auto"/>
          <w:sz w:val="21"/>
          <w:szCs w:val="21"/>
          <w:u w:val="none"/>
          <w:lang w:val="de-DE"/>
        </w:rPr>
      </w:pPr>
      <w:r w:rsidRPr="001445A8">
        <w:rPr>
          <w:rFonts w:ascii="Calibri" w:hAnsi="Calibri" w:cs="Calibri"/>
          <w:color w:val="4A4A4A"/>
          <w:sz w:val="21"/>
          <w:szCs w:val="21"/>
          <w:lang w:eastAsia="en-GB"/>
        </w:rPr>
        <w:t>EIGE Gender Statistics Database:</w:t>
      </w:r>
      <w:r w:rsidRPr="00711230">
        <w:rPr>
          <w:rFonts w:cstheme="minorHAnsi"/>
          <w:color w:val="4A4A4A"/>
          <w:sz w:val="21"/>
          <w:szCs w:val="21"/>
          <w:lang w:val="de-DE"/>
        </w:rPr>
        <w:t xml:space="preserve"> </w:t>
      </w:r>
      <w:hyperlink r:id="rId19" w:history="1">
        <w:r w:rsidRPr="00DF44DE">
          <w:rPr>
            <w:rStyle w:val="Hyperlink"/>
            <w:rFonts w:cstheme="minorHAnsi"/>
            <w:sz w:val="21"/>
            <w:szCs w:val="21"/>
            <w:lang w:val="de-DE"/>
          </w:rPr>
          <w:t>http://eige.europa.eu/gender-statistics/dgs</w:t>
        </w:r>
      </w:hyperlink>
    </w:p>
    <w:p w14:paraId="581B0FA4" w14:textId="06F8A925" w:rsidR="003B4ADD" w:rsidRPr="001445A8" w:rsidRDefault="003B4ADD" w:rsidP="001445A8">
      <w:pPr>
        <w:pStyle w:val="ListParagraph"/>
        <w:numPr>
          <w:ilvl w:val="0"/>
          <w:numId w:val="13"/>
        </w:numPr>
        <w:shd w:val="clear" w:color="auto" w:fill="FFFFFF"/>
        <w:spacing w:after="120"/>
      </w:pPr>
      <w:r w:rsidRPr="001445A8">
        <w:rPr>
          <w:rFonts w:ascii="Calibri" w:hAnsi="Calibri" w:cs="Calibri"/>
          <w:color w:val="4A4A4A"/>
          <w:sz w:val="21"/>
          <w:szCs w:val="21"/>
          <w:lang w:eastAsia="en-GB"/>
        </w:rPr>
        <w:t>Ernst &amp; Young, Worldwide Index of Women as Public Sector Leaders developed:</w:t>
      </w:r>
      <w:r>
        <w:t xml:space="preserve"> </w:t>
      </w:r>
      <w:hyperlink r:id="rId20" w:history="1">
        <w:r w:rsidRPr="001445A8">
          <w:rPr>
            <w:rStyle w:val="Hyperlink"/>
            <w:rFonts w:cstheme="minorHAnsi"/>
            <w:sz w:val="21"/>
            <w:szCs w:val="21"/>
          </w:rPr>
          <w:t>https://mb.cision.com/Public/1179/9413414/af807359d5bcbc53.pdf</w:t>
        </w:r>
      </w:hyperlink>
    </w:p>
    <w:p w14:paraId="56248AC9"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r w:rsidRPr="00711230">
        <w:rPr>
          <w:rFonts w:ascii="Calibri" w:hAnsi="Calibri" w:cs="Calibri"/>
          <w:color w:val="4A4A4A"/>
          <w:sz w:val="21"/>
          <w:szCs w:val="21"/>
          <w:lang w:eastAsia="en-GB"/>
        </w:rPr>
        <w:t>Hague, Harrop, McCormick, “Comparative Government and Politics: An Introduction”, 10</w:t>
      </w:r>
      <w:r w:rsidRPr="00711230">
        <w:rPr>
          <w:rFonts w:ascii="Calibri" w:hAnsi="Calibri" w:cs="Calibri"/>
          <w:color w:val="4A4A4A"/>
          <w:sz w:val="21"/>
          <w:szCs w:val="21"/>
          <w:vertAlign w:val="superscript"/>
          <w:lang w:eastAsia="en-GB"/>
        </w:rPr>
        <w:t>th</w:t>
      </w:r>
      <w:r w:rsidRPr="00711230">
        <w:rPr>
          <w:rFonts w:ascii="Calibri" w:hAnsi="Calibri" w:cs="Calibri"/>
          <w:color w:val="4A4A4A"/>
          <w:sz w:val="21"/>
          <w:szCs w:val="21"/>
          <w:lang w:eastAsia="en-GB"/>
        </w:rPr>
        <w:t xml:space="preserve"> Edition, Palgrave, London (2016).</w:t>
      </w:r>
    </w:p>
    <w:p w14:paraId="52ED2E30"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r w:rsidRPr="00711230">
        <w:rPr>
          <w:rFonts w:ascii="Calibri" w:hAnsi="Calibri" w:cs="Calibri"/>
          <w:color w:val="4A4A4A"/>
          <w:sz w:val="21"/>
          <w:szCs w:val="21"/>
          <w:lang w:eastAsia="en-GB"/>
        </w:rPr>
        <w:t>Heywood, “Politics”, 4</w:t>
      </w:r>
      <w:r w:rsidRPr="00711230">
        <w:rPr>
          <w:rFonts w:ascii="Calibri" w:hAnsi="Calibri" w:cs="Calibri"/>
          <w:color w:val="4A4A4A"/>
          <w:sz w:val="21"/>
          <w:szCs w:val="21"/>
          <w:vertAlign w:val="superscript"/>
          <w:lang w:eastAsia="en-GB"/>
        </w:rPr>
        <w:t>th</w:t>
      </w:r>
      <w:r w:rsidRPr="00711230">
        <w:rPr>
          <w:rFonts w:ascii="Calibri" w:hAnsi="Calibri" w:cs="Calibri"/>
          <w:color w:val="4A4A4A"/>
          <w:sz w:val="21"/>
          <w:szCs w:val="21"/>
          <w:lang w:eastAsia="en-GB"/>
        </w:rPr>
        <w:t xml:space="preserve"> Edition, Palgrave Macmillan, Basingstoke (2013).</w:t>
      </w:r>
    </w:p>
    <w:p w14:paraId="7011DA3A" w14:textId="77777777" w:rsidR="00881470" w:rsidRPr="0009775D" w:rsidRDefault="00881470" w:rsidP="00326A66">
      <w:pPr>
        <w:pStyle w:val="ListParagraph"/>
        <w:numPr>
          <w:ilvl w:val="0"/>
          <w:numId w:val="13"/>
        </w:numPr>
        <w:spacing w:after="120"/>
        <w:rPr>
          <w:rFonts w:cstheme="minorHAnsi"/>
          <w:sz w:val="21"/>
          <w:szCs w:val="21"/>
          <w:lang w:val="en-CA"/>
        </w:rPr>
      </w:pPr>
      <w:r w:rsidRPr="00711230">
        <w:rPr>
          <w:rFonts w:cstheme="minorHAnsi"/>
          <w:color w:val="4A4A4A"/>
          <w:sz w:val="21"/>
          <w:szCs w:val="21"/>
          <w:lang w:val="en-CA"/>
        </w:rPr>
        <w:t xml:space="preserve">ILO statistics database: </w:t>
      </w:r>
      <w:hyperlink r:id="rId21" w:history="1">
        <w:r w:rsidRPr="0009775D">
          <w:rPr>
            <w:rStyle w:val="Hyperlink"/>
            <w:rFonts w:cstheme="minorHAnsi"/>
            <w:sz w:val="21"/>
            <w:szCs w:val="21"/>
            <w:lang w:val="en-CA"/>
          </w:rPr>
          <w:t>http://www.ilo.org/global/statistics-and-databases/lang--end/index.htm</w:t>
        </w:r>
      </w:hyperlink>
      <w:r w:rsidRPr="0009775D">
        <w:rPr>
          <w:rFonts w:cstheme="minorHAnsi"/>
          <w:sz w:val="21"/>
          <w:szCs w:val="21"/>
          <w:lang w:val="en-CA"/>
        </w:rPr>
        <w:t xml:space="preserve">   </w:t>
      </w:r>
    </w:p>
    <w:p w14:paraId="77EDC765" w14:textId="77777777" w:rsidR="00881470" w:rsidRPr="0009775D" w:rsidRDefault="00881470" w:rsidP="00326A66">
      <w:pPr>
        <w:pStyle w:val="ListParagraph"/>
        <w:numPr>
          <w:ilvl w:val="0"/>
          <w:numId w:val="13"/>
        </w:numPr>
        <w:spacing w:after="120"/>
        <w:rPr>
          <w:rFonts w:cstheme="minorHAnsi"/>
          <w:sz w:val="21"/>
          <w:szCs w:val="21"/>
        </w:rPr>
      </w:pPr>
      <w:r w:rsidRPr="00711230">
        <w:rPr>
          <w:rFonts w:cstheme="minorHAnsi"/>
          <w:color w:val="4A4A4A"/>
          <w:sz w:val="21"/>
          <w:szCs w:val="21"/>
        </w:rPr>
        <w:t xml:space="preserve">International Standard Classification of Occupations (ISCO-08), </w:t>
      </w:r>
      <w:hyperlink r:id="rId22" w:history="1">
        <w:r w:rsidRPr="0009775D">
          <w:rPr>
            <w:rStyle w:val="Hyperlink"/>
            <w:rFonts w:cstheme="minorHAnsi"/>
            <w:sz w:val="21"/>
            <w:szCs w:val="21"/>
          </w:rPr>
          <w:t>http://www.ilo.org/wcmsp5/groups/public/---</w:t>
        </w:r>
        <w:proofErr w:type="spellStart"/>
        <w:r w:rsidRPr="0009775D">
          <w:rPr>
            <w:rStyle w:val="Hyperlink"/>
            <w:rFonts w:cstheme="minorHAnsi"/>
            <w:sz w:val="21"/>
            <w:szCs w:val="21"/>
          </w:rPr>
          <w:t>dgreports</w:t>
        </w:r>
        <w:proofErr w:type="spellEnd"/>
        <w:r w:rsidRPr="0009775D">
          <w:rPr>
            <w:rStyle w:val="Hyperlink"/>
            <w:rFonts w:cstheme="minorHAnsi"/>
            <w:sz w:val="21"/>
            <w:szCs w:val="21"/>
          </w:rPr>
          <w:t>/---</w:t>
        </w:r>
        <w:proofErr w:type="spellStart"/>
        <w:r w:rsidRPr="0009775D">
          <w:rPr>
            <w:rStyle w:val="Hyperlink"/>
            <w:rFonts w:cstheme="minorHAnsi"/>
            <w:sz w:val="21"/>
            <w:szCs w:val="21"/>
          </w:rPr>
          <w:t>dcomm</w:t>
        </w:r>
        <w:proofErr w:type="spellEnd"/>
        <w:r w:rsidRPr="0009775D">
          <w:rPr>
            <w:rStyle w:val="Hyperlink"/>
            <w:rFonts w:cstheme="minorHAnsi"/>
            <w:sz w:val="21"/>
            <w:szCs w:val="21"/>
          </w:rPr>
          <w:t>/---</w:t>
        </w:r>
        <w:proofErr w:type="spellStart"/>
        <w:r w:rsidRPr="0009775D">
          <w:rPr>
            <w:rStyle w:val="Hyperlink"/>
            <w:rFonts w:cstheme="minorHAnsi"/>
            <w:sz w:val="21"/>
            <w:szCs w:val="21"/>
          </w:rPr>
          <w:t>publ</w:t>
        </w:r>
        <w:proofErr w:type="spellEnd"/>
        <w:r w:rsidRPr="0009775D">
          <w:rPr>
            <w:rStyle w:val="Hyperlink"/>
            <w:rFonts w:cstheme="minorHAnsi"/>
            <w:sz w:val="21"/>
            <w:szCs w:val="21"/>
          </w:rPr>
          <w:t>/documents/publication/wcms_172572.pdf</w:t>
        </w:r>
      </w:hyperlink>
    </w:p>
    <w:p w14:paraId="78077648" w14:textId="77777777" w:rsidR="00881470" w:rsidRPr="00DF44DE"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r w:rsidRPr="00711230">
        <w:rPr>
          <w:rFonts w:ascii="Calibri" w:hAnsi="Calibri" w:cs="Calibri"/>
          <w:color w:val="4A4A4A"/>
          <w:sz w:val="21"/>
          <w:szCs w:val="21"/>
          <w:lang w:eastAsia="en-GB"/>
        </w:rPr>
        <w:t xml:space="preserve">International Republican Institute (IRI) 2016, Women’s Political Empowerment, </w:t>
      </w:r>
      <w:proofErr w:type="gramStart"/>
      <w:r w:rsidRPr="00711230">
        <w:rPr>
          <w:rFonts w:ascii="Calibri" w:hAnsi="Calibri" w:cs="Calibri"/>
          <w:color w:val="4A4A4A"/>
          <w:sz w:val="21"/>
          <w:szCs w:val="21"/>
          <w:lang w:eastAsia="en-GB"/>
        </w:rPr>
        <w:t>Representation</w:t>
      </w:r>
      <w:proofErr w:type="gramEnd"/>
      <w:r w:rsidRPr="00711230">
        <w:rPr>
          <w:rFonts w:ascii="Calibri" w:hAnsi="Calibri" w:cs="Calibri"/>
          <w:color w:val="4A4A4A"/>
          <w:sz w:val="21"/>
          <w:szCs w:val="21"/>
          <w:lang w:eastAsia="en-GB"/>
        </w:rPr>
        <w:t xml:space="preserve"> and Influence in Africa: A Pilot Study of Women’s Leadership in Political Decision-Making: </w:t>
      </w:r>
      <w:hyperlink r:id="rId23" w:history="1">
        <w:r w:rsidRPr="0009775D">
          <w:rPr>
            <w:rStyle w:val="Hyperlink"/>
            <w:rFonts w:ascii="Calibri" w:hAnsi="Calibri" w:cs="Calibri"/>
            <w:sz w:val="21"/>
            <w:szCs w:val="21"/>
            <w:lang w:eastAsia="en-GB"/>
          </w:rPr>
          <w:t>https://www.iri.org/sites/default/files/wysiwyg/womens_political_index_0.pdf</w:t>
        </w:r>
      </w:hyperlink>
      <w:r w:rsidRPr="00DF44DE">
        <w:rPr>
          <w:rFonts w:ascii="Calibri" w:hAnsi="Calibri" w:cs="Calibri"/>
          <w:color w:val="4A4A4A"/>
          <w:sz w:val="21"/>
          <w:szCs w:val="21"/>
          <w:lang w:eastAsia="en-GB"/>
        </w:rPr>
        <w:t xml:space="preserve"> </w:t>
      </w:r>
    </w:p>
    <w:p w14:paraId="5151AD74"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proofErr w:type="spellStart"/>
      <w:r w:rsidRPr="00711230">
        <w:rPr>
          <w:rFonts w:ascii="Calibri" w:hAnsi="Calibri" w:cs="Calibri"/>
          <w:color w:val="4A4A4A"/>
          <w:sz w:val="21"/>
          <w:szCs w:val="21"/>
          <w:lang w:eastAsia="en-GB"/>
        </w:rPr>
        <w:t>Krook</w:t>
      </w:r>
      <w:proofErr w:type="spellEnd"/>
      <w:r w:rsidRPr="00711230">
        <w:rPr>
          <w:rFonts w:ascii="Calibri" w:hAnsi="Calibri" w:cs="Calibri"/>
          <w:color w:val="4A4A4A"/>
          <w:sz w:val="21"/>
          <w:szCs w:val="21"/>
          <w:lang w:eastAsia="en-GB"/>
        </w:rPr>
        <w:t xml:space="preserve"> &amp; O’Brien, “The politics of group representation: Quotas for women and minorities worldwide” (2010), Comparative Politics, 42 (3), 253–272.</w:t>
      </w:r>
    </w:p>
    <w:p w14:paraId="45781A60"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proofErr w:type="spellStart"/>
      <w:r w:rsidRPr="00711230">
        <w:rPr>
          <w:rFonts w:ascii="Calibri" w:hAnsi="Calibri" w:cs="Calibri"/>
          <w:color w:val="4A4A4A"/>
          <w:sz w:val="21"/>
          <w:szCs w:val="21"/>
          <w:lang w:eastAsia="en-GB"/>
        </w:rPr>
        <w:t>Lupu</w:t>
      </w:r>
      <w:proofErr w:type="spellEnd"/>
      <w:r w:rsidRPr="00711230">
        <w:rPr>
          <w:rFonts w:ascii="Calibri" w:hAnsi="Calibri" w:cs="Calibri"/>
          <w:color w:val="4A4A4A"/>
          <w:sz w:val="21"/>
          <w:szCs w:val="21"/>
          <w:lang w:eastAsia="en-GB"/>
        </w:rPr>
        <w:t xml:space="preserve">, “Class and Representation in Latin America” (2015), Swiss Political Science Review 21(2): 229–236. </w:t>
      </w:r>
    </w:p>
    <w:p w14:paraId="2B98A98C" w14:textId="77777777" w:rsidR="00881470" w:rsidRPr="0009775D" w:rsidRDefault="00881470" w:rsidP="00326A66">
      <w:pPr>
        <w:pStyle w:val="ListParagraph"/>
        <w:numPr>
          <w:ilvl w:val="0"/>
          <w:numId w:val="13"/>
        </w:numPr>
        <w:spacing w:after="120"/>
        <w:rPr>
          <w:rFonts w:cstheme="minorHAnsi"/>
          <w:sz w:val="21"/>
          <w:szCs w:val="21"/>
          <w:lang w:val="en-CA"/>
        </w:rPr>
      </w:pPr>
      <w:r w:rsidRPr="00711230">
        <w:rPr>
          <w:rFonts w:cstheme="minorHAnsi"/>
          <w:color w:val="4A4A4A"/>
          <w:sz w:val="21"/>
          <w:szCs w:val="21"/>
          <w:lang w:val="en-CA"/>
        </w:rPr>
        <w:t xml:space="preserve">OECD (2017), </w:t>
      </w:r>
      <w:r w:rsidRPr="00711230">
        <w:rPr>
          <w:rFonts w:cstheme="minorHAnsi"/>
          <w:i/>
          <w:color w:val="4A4A4A"/>
          <w:sz w:val="21"/>
          <w:szCs w:val="21"/>
          <w:lang w:val="en-CA"/>
        </w:rPr>
        <w:t>Government at a Glance</w:t>
      </w:r>
      <w:r w:rsidRPr="00711230">
        <w:rPr>
          <w:rFonts w:cstheme="minorHAnsi"/>
          <w:color w:val="4A4A4A"/>
          <w:sz w:val="21"/>
          <w:szCs w:val="21"/>
          <w:lang w:val="en-CA"/>
        </w:rPr>
        <w:t xml:space="preserve">, </w:t>
      </w:r>
      <w:hyperlink r:id="rId24" w:history="1">
        <w:r w:rsidRPr="0009775D">
          <w:rPr>
            <w:rStyle w:val="Hyperlink"/>
            <w:rFonts w:cstheme="minorHAnsi"/>
            <w:sz w:val="21"/>
            <w:szCs w:val="21"/>
            <w:lang w:val="en-CA"/>
          </w:rPr>
          <w:t>http://www.oecd-ilibrary.org/governance/government-at-a-glance-2017/employment-in-general-government_gov_glance-2017-24-en</w:t>
        </w:r>
      </w:hyperlink>
      <w:r w:rsidRPr="0009775D">
        <w:rPr>
          <w:rFonts w:cstheme="minorHAnsi"/>
          <w:sz w:val="21"/>
          <w:szCs w:val="21"/>
          <w:lang w:val="en-CA"/>
        </w:rPr>
        <w:t xml:space="preserve"> </w:t>
      </w:r>
    </w:p>
    <w:p w14:paraId="1AAD1D14" w14:textId="77777777" w:rsidR="00881470" w:rsidRPr="00DF44DE" w:rsidRDefault="00881470" w:rsidP="00326A66">
      <w:pPr>
        <w:pStyle w:val="ListParagraph"/>
        <w:numPr>
          <w:ilvl w:val="0"/>
          <w:numId w:val="13"/>
        </w:numPr>
        <w:shd w:val="clear" w:color="auto" w:fill="FFFFFF"/>
        <w:spacing w:after="120"/>
        <w:rPr>
          <w:rFonts w:cstheme="minorHAnsi"/>
          <w:color w:val="000000"/>
          <w:sz w:val="21"/>
          <w:szCs w:val="21"/>
        </w:rPr>
      </w:pPr>
      <w:r w:rsidRPr="00711230">
        <w:rPr>
          <w:rFonts w:cstheme="minorHAnsi"/>
          <w:color w:val="4A4A4A"/>
          <w:sz w:val="21"/>
          <w:szCs w:val="21"/>
        </w:rPr>
        <w:t>OECD (2017),</w:t>
      </w:r>
      <w:r w:rsidRPr="00711230">
        <w:rPr>
          <w:rStyle w:val="apple-converted-space"/>
          <w:rFonts w:cstheme="minorHAnsi"/>
          <w:color w:val="4A4A4A"/>
          <w:sz w:val="21"/>
          <w:szCs w:val="21"/>
        </w:rPr>
        <w:t> </w:t>
      </w:r>
      <w:r w:rsidRPr="00711230">
        <w:rPr>
          <w:rFonts w:cstheme="minorHAnsi"/>
          <w:i/>
          <w:iCs/>
          <w:color w:val="4A4A4A"/>
          <w:sz w:val="21"/>
          <w:szCs w:val="21"/>
        </w:rPr>
        <w:t>Trust and Public Policy: How Better Governance Can Help Rebuild Public Trust</w:t>
      </w:r>
      <w:r w:rsidRPr="00711230">
        <w:rPr>
          <w:rFonts w:cstheme="minorHAnsi"/>
          <w:color w:val="4A4A4A"/>
          <w:sz w:val="21"/>
          <w:szCs w:val="21"/>
        </w:rPr>
        <w:t>, OECD Public Governance Reviews, OECD Publishing, Paris,</w:t>
      </w:r>
      <w:r w:rsidRPr="00711230">
        <w:rPr>
          <w:rStyle w:val="apple-converted-space"/>
          <w:rFonts w:cstheme="minorHAnsi"/>
          <w:color w:val="4A4A4A"/>
          <w:sz w:val="21"/>
          <w:szCs w:val="21"/>
        </w:rPr>
        <w:t> </w:t>
      </w:r>
      <w:hyperlink r:id="rId25" w:history="1">
        <w:r w:rsidRPr="0009775D">
          <w:rPr>
            <w:rStyle w:val="Hyperlink"/>
            <w:rFonts w:cstheme="minorHAnsi"/>
            <w:sz w:val="21"/>
            <w:szCs w:val="21"/>
          </w:rPr>
          <w:t>https://doi.org/10.1787/9789264268920-en</w:t>
        </w:r>
      </w:hyperlink>
      <w:r w:rsidRPr="00DF44DE">
        <w:rPr>
          <w:rFonts w:cstheme="minorHAnsi"/>
          <w:color w:val="000000"/>
          <w:sz w:val="21"/>
          <w:szCs w:val="21"/>
        </w:rPr>
        <w:t>.</w:t>
      </w:r>
    </w:p>
    <w:p w14:paraId="7E414B19" w14:textId="77777777" w:rsidR="00881470" w:rsidRPr="0009775D" w:rsidRDefault="00881470" w:rsidP="00326A66">
      <w:pPr>
        <w:pStyle w:val="ListParagraph"/>
        <w:numPr>
          <w:ilvl w:val="0"/>
          <w:numId w:val="13"/>
        </w:numPr>
        <w:spacing w:after="120"/>
        <w:rPr>
          <w:rFonts w:cstheme="minorHAnsi"/>
          <w:sz w:val="21"/>
          <w:szCs w:val="21"/>
        </w:rPr>
      </w:pPr>
      <w:r w:rsidRPr="00711230">
        <w:rPr>
          <w:rFonts w:cstheme="minorHAnsi"/>
          <w:color w:val="4A4A4A"/>
          <w:sz w:val="21"/>
          <w:szCs w:val="21"/>
        </w:rPr>
        <w:t xml:space="preserve">System of National Accounts: </w:t>
      </w:r>
      <w:hyperlink r:id="rId26" w:history="1">
        <w:r w:rsidRPr="0009775D">
          <w:rPr>
            <w:rStyle w:val="Hyperlink"/>
            <w:rFonts w:cstheme="minorHAnsi"/>
            <w:sz w:val="21"/>
            <w:szCs w:val="21"/>
          </w:rPr>
          <w:t>http://unstats.un.org/unsd/nationalaccount/docs/sna2008.pdf</w:t>
        </w:r>
      </w:hyperlink>
    </w:p>
    <w:p w14:paraId="29EAFF2F" w14:textId="77777777" w:rsidR="00881470" w:rsidRPr="00DF44DE" w:rsidRDefault="00881470" w:rsidP="00326A66">
      <w:pPr>
        <w:pStyle w:val="ListParagraph"/>
        <w:numPr>
          <w:ilvl w:val="0"/>
          <w:numId w:val="13"/>
        </w:numPr>
        <w:shd w:val="clear" w:color="auto" w:fill="FFFFFF"/>
        <w:spacing w:after="120"/>
        <w:rPr>
          <w:rFonts w:cstheme="minorHAnsi"/>
          <w:color w:val="4A4A4A"/>
          <w:sz w:val="21"/>
          <w:szCs w:val="21"/>
          <w:lang w:eastAsia="en-GB"/>
        </w:rPr>
      </w:pPr>
      <w:r w:rsidRPr="00711230">
        <w:rPr>
          <w:rFonts w:cstheme="minorHAnsi"/>
          <w:color w:val="4A4A4A"/>
          <w:sz w:val="21"/>
          <w:szCs w:val="21"/>
          <w:lang w:eastAsia="en-GB"/>
        </w:rPr>
        <w:t xml:space="preserve">UNDP, Disability Inclusive Development in UNDP: Guidance and Entry Points (2018): </w:t>
      </w:r>
      <w:hyperlink r:id="rId27" w:history="1">
        <w:r w:rsidRPr="00DF44DE">
          <w:rPr>
            <w:rStyle w:val="Hyperlink"/>
            <w:rFonts w:cstheme="minorHAnsi"/>
            <w:sz w:val="21"/>
            <w:szCs w:val="21"/>
            <w:lang w:eastAsia="en-GB"/>
          </w:rPr>
          <w:t>http://www.undp.org/content/dam/undp/library/Democratic%20Governance/Human%20Rights/UNDP-_Disability_Inclusive_Development__accessible.pdf</w:t>
        </w:r>
      </w:hyperlink>
    </w:p>
    <w:p w14:paraId="374C86B7" w14:textId="77777777" w:rsidR="00881470" w:rsidRPr="0009775D" w:rsidRDefault="00881470" w:rsidP="00326A66">
      <w:pPr>
        <w:pStyle w:val="ListParagraph"/>
        <w:numPr>
          <w:ilvl w:val="0"/>
          <w:numId w:val="13"/>
        </w:numPr>
        <w:spacing w:after="120"/>
        <w:rPr>
          <w:rFonts w:cstheme="minorHAnsi"/>
          <w:sz w:val="21"/>
          <w:szCs w:val="21"/>
          <w:lang w:val="en-CA"/>
        </w:rPr>
      </w:pPr>
      <w:r w:rsidRPr="00711230">
        <w:rPr>
          <w:rFonts w:cstheme="minorHAnsi"/>
          <w:color w:val="4A4A4A"/>
          <w:sz w:val="21"/>
          <w:szCs w:val="21"/>
          <w:lang w:val="en-CA"/>
        </w:rPr>
        <w:t xml:space="preserve">UNDP Gender Equality in Public Administration (GEPA): </w:t>
      </w:r>
      <w:hyperlink r:id="rId28" w:history="1">
        <w:r w:rsidRPr="0009775D">
          <w:rPr>
            <w:rStyle w:val="Hyperlink"/>
            <w:rFonts w:cstheme="minorHAnsi"/>
            <w:sz w:val="21"/>
            <w:szCs w:val="21"/>
            <w:lang w:val="en-CA"/>
          </w:rPr>
          <w:t>http://www.undp.org/content/undp/en/home/librarypage/democratic-governance/public_administration/gepa.html</w:t>
        </w:r>
      </w:hyperlink>
      <w:r w:rsidRPr="0009775D">
        <w:rPr>
          <w:rFonts w:cstheme="minorHAnsi"/>
          <w:sz w:val="21"/>
          <w:szCs w:val="21"/>
          <w:lang w:val="en-CA"/>
        </w:rPr>
        <w:t xml:space="preserve"> </w:t>
      </w:r>
    </w:p>
    <w:p w14:paraId="0DD8EFC1" w14:textId="77777777" w:rsidR="00881470" w:rsidRPr="00711230" w:rsidRDefault="00881470" w:rsidP="00326A66">
      <w:pPr>
        <w:pStyle w:val="ListParagraph"/>
        <w:numPr>
          <w:ilvl w:val="0"/>
          <w:numId w:val="13"/>
        </w:numPr>
        <w:shd w:val="clear" w:color="auto" w:fill="FFFFFF"/>
        <w:spacing w:after="120"/>
        <w:rPr>
          <w:rFonts w:ascii="Calibri" w:hAnsi="Calibri" w:cs="Calibri"/>
          <w:color w:val="4A4A4A"/>
          <w:sz w:val="21"/>
          <w:szCs w:val="21"/>
          <w:lang w:eastAsia="en-GB"/>
        </w:rPr>
      </w:pPr>
      <w:r w:rsidRPr="00711230">
        <w:rPr>
          <w:rFonts w:ascii="Calibri" w:hAnsi="Calibri" w:cs="Calibri"/>
          <w:color w:val="4A4A4A"/>
          <w:sz w:val="21"/>
          <w:szCs w:val="21"/>
          <w:lang w:eastAsia="en-GB"/>
        </w:rPr>
        <w:lastRenderedPageBreak/>
        <w:t>UN Women, Methodological Note on SDG Indicator 5.5.1b “Proportion of seats held by women in local governments” (October 2017). See</w:t>
      </w:r>
      <w:hyperlink r:id="rId29" w:history="1">
        <w:r w:rsidRPr="00711230">
          <w:rPr>
            <w:rStyle w:val="Hyperlink"/>
            <w:rFonts w:ascii="Calibri" w:hAnsi="Calibri" w:cs="Calibri"/>
            <w:color w:val="4A4A4A"/>
            <w:sz w:val="21"/>
            <w:szCs w:val="21"/>
            <w:u w:val="none"/>
            <w:lang w:eastAsia="en-GB"/>
          </w:rPr>
          <w:t xml:space="preserve"> https://unstats.un.org/sdgs/iaeg-sdgs/metadata-compilation/</w:t>
        </w:r>
      </w:hyperlink>
      <w:r w:rsidRPr="00711230">
        <w:rPr>
          <w:rStyle w:val="Hyperlink"/>
          <w:rFonts w:ascii="Calibri" w:hAnsi="Calibri" w:cs="Calibri"/>
          <w:color w:val="4A4A4A"/>
          <w:sz w:val="21"/>
          <w:szCs w:val="21"/>
          <w:u w:val="none"/>
          <w:lang w:eastAsia="en-GB"/>
        </w:rPr>
        <w:t xml:space="preserve"> </w:t>
      </w:r>
      <w:r w:rsidRPr="00711230">
        <w:rPr>
          <w:rStyle w:val="Hyperlink"/>
          <w:rFonts w:ascii="Calibri" w:hAnsi="Calibri" w:cs="Calibri"/>
          <w:color w:val="4A4A4A"/>
          <w:sz w:val="21"/>
          <w:szCs w:val="21"/>
          <w:lang w:eastAsia="en-GB"/>
        </w:rPr>
        <w:t xml:space="preserve"> </w:t>
      </w:r>
    </w:p>
    <w:p w14:paraId="68F9CD7E" w14:textId="3E87E053" w:rsidR="00C62006" w:rsidRDefault="00881470">
      <w:pPr>
        <w:pStyle w:val="ListParagraph"/>
        <w:numPr>
          <w:ilvl w:val="0"/>
          <w:numId w:val="13"/>
        </w:numPr>
        <w:shd w:val="clear" w:color="auto" w:fill="FFFFFF"/>
        <w:spacing w:after="120"/>
      </w:pPr>
      <w:proofErr w:type="spellStart"/>
      <w:r w:rsidRPr="00711230">
        <w:rPr>
          <w:rFonts w:ascii="Calibri" w:hAnsi="Calibri" w:cs="Calibri"/>
          <w:color w:val="4A4A4A"/>
          <w:sz w:val="21"/>
          <w:szCs w:val="21"/>
          <w:lang w:eastAsia="en-GB"/>
        </w:rPr>
        <w:t>Zhanarstanova</w:t>
      </w:r>
      <w:proofErr w:type="spellEnd"/>
      <w:r w:rsidRPr="00711230">
        <w:rPr>
          <w:rFonts w:ascii="Calibri" w:hAnsi="Calibri" w:cs="Calibri"/>
          <w:color w:val="4A4A4A"/>
          <w:sz w:val="21"/>
          <w:szCs w:val="21"/>
          <w:lang w:eastAsia="en-GB"/>
        </w:rPr>
        <w:t xml:space="preserve"> &amp; </w:t>
      </w:r>
      <w:proofErr w:type="spellStart"/>
      <w:r w:rsidRPr="00711230">
        <w:rPr>
          <w:rFonts w:ascii="Calibri" w:hAnsi="Calibri" w:cs="Calibri"/>
          <w:color w:val="4A4A4A"/>
          <w:sz w:val="21"/>
          <w:szCs w:val="21"/>
          <w:lang w:eastAsia="en-GB"/>
        </w:rPr>
        <w:t>Nechayeva</w:t>
      </w:r>
      <w:proofErr w:type="spellEnd"/>
      <w:r w:rsidRPr="00711230">
        <w:rPr>
          <w:rFonts w:ascii="Calibri" w:hAnsi="Calibri" w:cs="Calibri"/>
          <w:color w:val="4A4A4A"/>
          <w:sz w:val="21"/>
          <w:szCs w:val="21"/>
          <w:lang w:eastAsia="en-GB"/>
        </w:rPr>
        <w:t xml:space="preserve">, “Contemporary Principles of Political Representation of Ethnic Groups” (2015): </w:t>
      </w:r>
      <w:hyperlink r:id="rId30" w:history="1">
        <w:r w:rsidR="00AB2C5B" w:rsidRPr="00AB2C5B">
          <w:rPr>
            <w:rStyle w:val="Hyperlink"/>
            <w:rFonts w:ascii="Calibri" w:hAnsi="Calibri" w:cs="Calibri"/>
            <w:sz w:val="21"/>
            <w:szCs w:val="21"/>
            <w:lang w:eastAsia="en-GB"/>
          </w:rPr>
          <w:t>https://pdf.sciencedirectassets.com/282136/1-s2.0-S2212567116X00068/1-s2.0-S221256711630243X/main.pdf</w:t>
        </w:r>
      </w:hyperlink>
    </w:p>
    <w:sectPr w:rsidR="00C62006">
      <w:head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22A3" w14:textId="77777777" w:rsidR="0041352E" w:rsidRDefault="0041352E" w:rsidP="00573C0B">
      <w:pPr>
        <w:spacing w:after="0" w:line="240" w:lineRule="auto"/>
      </w:pPr>
      <w:r>
        <w:separator/>
      </w:r>
    </w:p>
  </w:endnote>
  <w:endnote w:type="continuationSeparator" w:id="0">
    <w:p w14:paraId="5E6DB99A" w14:textId="77777777" w:rsidR="0041352E" w:rsidRDefault="0041352E" w:rsidP="00573C0B">
      <w:pPr>
        <w:spacing w:after="0" w:line="240" w:lineRule="auto"/>
      </w:pPr>
      <w:r>
        <w:continuationSeparator/>
      </w:r>
    </w:p>
  </w:endnote>
  <w:endnote w:type="continuationNotice" w:id="1">
    <w:p w14:paraId="7DCD14E3" w14:textId="77777777" w:rsidR="0041352E" w:rsidRDefault="004135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573788"/>
      <w:docPartObj>
        <w:docPartGallery w:val="Page Numbers (Bottom of Page)"/>
        <w:docPartUnique/>
      </w:docPartObj>
    </w:sdtPr>
    <w:sdtEndPr>
      <w:rPr>
        <w:noProof/>
      </w:rPr>
    </w:sdtEndPr>
    <w:sdtContent>
      <w:p w14:paraId="0E2DFE93" w14:textId="5261CC84" w:rsidR="009B66C8" w:rsidRDefault="009B66C8" w:rsidP="002661A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6DD4" w14:textId="77777777" w:rsidR="0041352E" w:rsidRDefault="0041352E" w:rsidP="00573C0B">
      <w:pPr>
        <w:spacing w:after="0" w:line="240" w:lineRule="auto"/>
      </w:pPr>
      <w:r>
        <w:separator/>
      </w:r>
    </w:p>
  </w:footnote>
  <w:footnote w:type="continuationSeparator" w:id="0">
    <w:p w14:paraId="00A3EC0E" w14:textId="77777777" w:rsidR="0041352E" w:rsidRDefault="0041352E" w:rsidP="00573C0B">
      <w:pPr>
        <w:spacing w:after="0" w:line="240" w:lineRule="auto"/>
      </w:pPr>
      <w:r>
        <w:continuationSeparator/>
      </w:r>
    </w:p>
  </w:footnote>
  <w:footnote w:type="continuationNotice" w:id="1">
    <w:p w14:paraId="3D80F98D" w14:textId="77777777" w:rsidR="0041352E" w:rsidRDefault="0041352E">
      <w:pPr>
        <w:spacing w:after="0" w:line="240" w:lineRule="auto"/>
      </w:pPr>
    </w:p>
  </w:footnote>
  <w:footnote w:id="2">
    <w:p w14:paraId="459CBEF3" w14:textId="5B1C4BD4" w:rsidR="009B66C8" w:rsidRPr="001445A8" w:rsidRDefault="009B66C8" w:rsidP="00881470">
      <w:pPr>
        <w:rPr>
          <w:b/>
          <w:caps/>
          <w:color w:val="000000" w:themeColor="text1"/>
          <w:sz w:val="18"/>
        </w:rPr>
      </w:pPr>
      <w:r w:rsidRPr="001445A8">
        <w:rPr>
          <w:rStyle w:val="FootnoteReference"/>
          <w:color w:val="000000" w:themeColor="text1"/>
          <w:sz w:val="18"/>
        </w:rPr>
        <w:footnoteRef/>
      </w:r>
      <w:r w:rsidRPr="001445A8">
        <w:rPr>
          <w:color w:val="000000" w:themeColor="text1"/>
          <w:sz w:val="18"/>
        </w:rPr>
        <w:t xml:space="preserve"> SDG 5.5.1 </w:t>
      </w:r>
      <w:r w:rsidRPr="001445A8">
        <w:rPr>
          <w:b/>
          <w:caps/>
          <w:color w:val="000000" w:themeColor="text1"/>
          <w:sz w:val="18"/>
        </w:rPr>
        <w:t xml:space="preserve">– </w:t>
      </w:r>
      <w:r w:rsidRPr="001445A8">
        <w:rPr>
          <w:color w:val="000000" w:themeColor="text1"/>
          <w:sz w:val="18"/>
        </w:rPr>
        <w:t xml:space="preserve">Proportion of seats held by women in national parliaments and local governments; and </w:t>
      </w:r>
      <w:r w:rsidRPr="001445A8">
        <w:rPr>
          <w:caps/>
          <w:color w:val="000000" w:themeColor="text1"/>
          <w:sz w:val="18"/>
        </w:rPr>
        <w:t>SDG 5.5.2</w:t>
      </w:r>
      <w:r w:rsidRPr="001445A8">
        <w:rPr>
          <w:b/>
          <w:caps/>
          <w:color w:val="000000" w:themeColor="text1"/>
          <w:sz w:val="18"/>
        </w:rPr>
        <w:t xml:space="preserve"> </w:t>
      </w:r>
      <w:r w:rsidRPr="001445A8">
        <w:rPr>
          <w:caps/>
          <w:color w:val="000000" w:themeColor="text1"/>
          <w:sz w:val="18"/>
        </w:rPr>
        <w:t>– P</w:t>
      </w:r>
      <w:r w:rsidRPr="001445A8">
        <w:rPr>
          <w:color w:val="000000" w:themeColor="text1"/>
          <w:sz w:val="18"/>
        </w:rPr>
        <w:t>roportion of women in managerial positions</w:t>
      </w:r>
      <w:r>
        <w:rPr>
          <w:rFonts w:cstheme="minorHAnsi"/>
          <w:color w:val="000000" w:themeColor="text1"/>
          <w:sz w:val="18"/>
          <w:szCs w:val="18"/>
        </w:rPr>
        <w:t>.</w:t>
      </w:r>
    </w:p>
  </w:footnote>
  <w:footnote w:id="3">
    <w:p w14:paraId="2956476C" w14:textId="6795FCB9" w:rsidR="009B66C8" w:rsidRPr="001445A8" w:rsidRDefault="009B66C8" w:rsidP="00881470">
      <w:pPr>
        <w:rPr>
          <w:sz w:val="18"/>
        </w:rPr>
      </w:pPr>
      <w:r w:rsidRPr="001445A8">
        <w:rPr>
          <w:rStyle w:val="FootnoteReference"/>
          <w:color w:val="000000" w:themeColor="text1"/>
          <w:sz w:val="18"/>
        </w:rPr>
        <w:footnoteRef/>
      </w:r>
      <w:r w:rsidRPr="001445A8">
        <w:rPr>
          <w:color w:val="000000" w:themeColor="text1"/>
          <w:sz w:val="18"/>
        </w:rPr>
        <w:t xml:space="preserve"> SDG 10.2.1 – </w:t>
      </w:r>
      <w:r w:rsidRPr="001445A8">
        <w:rPr>
          <w:color w:val="000000" w:themeColor="text1"/>
          <w:sz w:val="18"/>
          <w:shd w:val="clear" w:color="auto" w:fill="FFFFFF"/>
        </w:rPr>
        <w:t xml:space="preserve">Proportion of people living below 50 per cent of median income, by age, </w:t>
      </w:r>
      <w:proofErr w:type="gramStart"/>
      <w:r w:rsidRPr="001445A8">
        <w:rPr>
          <w:color w:val="000000" w:themeColor="text1"/>
          <w:sz w:val="18"/>
          <w:shd w:val="clear" w:color="auto" w:fill="FFFFFF"/>
        </w:rPr>
        <w:t>sex</w:t>
      </w:r>
      <w:proofErr w:type="gramEnd"/>
      <w:r w:rsidRPr="001445A8">
        <w:rPr>
          <w:color w:val="000000" w:themeColor="text1"/>
          <w:sz w:val="18"/>
          <w:shd w:val="clear" w:color="auto" w:fill="FFFFFF"/>
        </w:rPr>
        <w:t xml:space="preserve"> and persons with disabilities</w:t>
      </w:r>
      <w:r>
        <w:rPr>
          <w:rFonts w:cstheme="minorHAnsi"/>
          <w:color w:val="000000" w:themeColor="text1"/>
          <w:sz w:val="18"/>
          <w:szCs w:val="18"/>
          <w:shd w:val="clear" w:color="auto" w:fill="FFFFFF"/>
        </w:rPr>
        <w:t>.</w:t>
      </w:r>
    </w:p>
  </w:footnote>
  <w:footnote w:id="4">
    <w:p w14:paraId="3ECC14C9"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w:t>
      </w:r>
      <w:r w:rsidRPr="001445A8">
        <w:rPr>
          <w:color w:val="000000" w:themeColor="text1"/>
          <w:sz w:val="18"/>
        </w:rPr>
        <w:t xml:space="preserve">It is important to note that data on general government employment is different from data on ‘public sector employment’, calculated under the International </w:t>
      </w:r>
      <w:proofErr w:type="spellStart"/>
      <w:r w:rsidRPr="001445A8">
        <w:rPr>
          <w:color w:val="000000" w:themeColor="text1"/>
          <w:sz w:val="18"/>
        </w:rPr>
        <w:t>Labour</w:t>
      </w:r>
      <w:proofErr w:type="spellEnd"/>
      <w:r w:rsidRPr="001445A8">
        <w:rPr>
          <w:color w:val="000000" w:themeColor="text1"/>
          <w:sz w:val="18"/>
        </w:rPr>
        <w:t xml:space="preserve"> </w:t>
      </w:r>
      <w:proofErr w:type="spellStart"/>
      <w:r w:rsidRPr="001445A8">
        <w:rPr>
          <w:color w:val="000000" w:themeColor="text1"/>
          <w:sz w:val="18"/>
        </w:rPr>
        <w:t>Organisation</w:t>
      </w:r>
      <w:proofErr w:type="spellEnd"/>
      <w:r w:rsidRPr="001445A8">
        <w:rPr>
          <w:color w:val="000000" w:themeColor="text1"/>
          <w:sz w:val="18"/>
        </w:rPr>
        <w:t xml:space="preserve"> (ILO) framework, which includes employment in public corporations (here to be excluded)</w:t>
      </w:r>
    </w:p>
  </w:footnote>
  <w:footnote w:id="5">
    <w:p w14:paraId="3646404E"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The following types of government employees are included in the SNA definition of general </w:t>
      </w:r>
      <w:proofErr w:type="gramStart"/>
      <w:r w:rsidRPr="001445A8">
        <w:rPr>
          <w:sz w:val="18"/>
        </w:rPr>
        <w:t>government, but</w:t>
      </w:r>
      <w:proofErr w:type="gramEnd"/>
      <w:r w:rsidRPr="001445A8">
        <w:rPr>
          <w:sz w:val="18"/>
        </w:rPr>
        <w:t xml:space="preserve"> excluded for the purposes of this indicator: local government units (see also next footnote for further detail), social security funds, military.</w:t>
      </w:r>
    </w:p>
  </w:footnote>
  <w:footnote w:id="6">
    <w:p w14:paraId="401DCFA5"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w:t>
      </w:r>
      <w:r w:rsidRPr="001445A8">
        <w:rPr>
          <w:rFonts w:asciiTheme="minorHAnsi" w:hAnsiTheme="minorHAnsi"/>
          <w:color w:val="000000" w:themeColor="text1"/>
          <w:sz w:val="18"/>
        </w:rPr>
        <w:t xml:space="preserve">Employment data from local government units should </w:t>
      </w:r>
      <w:r w:rsidRPr="001445A8">
        <w:rPr>
          <w:rFonts w:asciiTheme="minorHAnsi" w:hAnsiTheme="minorHAnsi"/>
          <w:i/>
          <w:color w:val="000000" w:themeColor="text1"/>
          <w:sz w:val="18"/>
        </w:rPr>
        <w:t>not</w:t>
      </w:r>
      <w:r w:rsidRPr="001445A8">
        <w:rPr>
          <w:rFonts w:asciiTheme="minorHAnsi" w:hAnsiTheme="minorHAnsi"/>
          <w:color w:val="000000" w:themeColor="text1"/>
          <w:sz w:val="18"/>
        </w:rPr>
        <w:t xml:space="preserve"> be collected for reporting on indicator 16.7.1.  Even though ‘</w:t>
      </w:r>
      <w:r w:rsidRPr="001445A8">
        <w:rPr>
          <w:rFonts w:asciiTheme="minorHAnsi" w:hAnsiTheme="minorHAnsi"/>
          <w:sz w:val="18"/>
        </w:rPr>
        <w:t xml:space="preserve">local government units’, </w:t>
      </w:r>
      <w:r w:rsidRPr="001445A8">
        <w:rPr>
          <w:rFonts w:asciiTheme="minorHAnsi" w:hAnsiTheme="minorHAnsi"/>
          <w:color w:val="000000" w:themeColor="text1"/>
          <w:sz w:val="18"/>
        </w:rPr>
        <w:t xml:space="preserve">defined in the 2008 SNA as “institutional units whose fiscal, </w:t>
      </w:r>
      <w:proofErr w:type="gramStart"/>
      <w:r w:rsidRPr="001445A8">
        <w:rPr>
          <w:rFonts w:asciiTheme="minorHAnsi" w:hAnsiTheme="minorHAnsi"/>
          <w:color w:val="000000" w:themeColor="text1"/>
          <w:sz w:val="18"/>
        </w:rPr>
        <w:t>legislative</w:t>
      </w:r>
      <w:proofErr w:type="gramEnd"/>
      <w:r w:rsidRPr="001445A8">
        <w:rPr>
          <w:rFonts w:asciiTheme="minorHAnsi" w:hAnsiTheme="minorHAnsi"/>
          <w:color w:val="000000" w:themeColor="text1"/>
          <w:sz w:val="18"/>
        </w:rPr>
        <w:t xml:space="preserve"> and executive authority extends over the smallest geographical areas distinguished for administrative and political purposes”, </w:t>
      </w:r>
      <w:r w:rsidRPr="001445A8">
        <w:rPr>
          <w:rFonts w:asciiTheme="minorHAnsi" w:hAnsiTheme="minorHAnsi"/>
          <w:sz w:val="18"/>
        </w:rPr>
        <w:t xml:space="preserve">are, in principle, part of the general government sector, </w:t>
      </w:r>
      <w:r w:rsidRPr="001445A8">
        <w:rPr>
          <w:rFonts w:asciiTheme="minorHAnsi" w:hAnsiTheme="minorHAnsi"/>
          <w:color w:val="000000" w:themeColor="text1"/>
          <w:sz w:val="18"/>
        </w:rPr>
        <w:t xml:space="preserve">this metadata does </w:t>
      </w:r>
      <w:r w:rsidRPr="001445A8">
        <w:rPr>
          <w:rFonts w:asciiTheme="minorHAnsi" w:hAnsiTheme="minorHAnsi"/>
          <w:i/>
          <w:color w:val="000000" w:themeColor="text1"/>
          <w:sz w:val="18"/>
        </w:rPr>
        <w:t xml:space="preserve">not </w:t>
      </w:r>
      <w:r w:rsidRPr="001445A8">
        <w:rPr>
          <w:rFonts w:asciiTheme="minorHAnsi" w:hAnsiTheme="minorHAnsi"/>
          <w:color w:val="000000" w:themeColor="text1"/>
          <w:sz w:val="18"/>
        </w:rPr>
        <w:t xml:space="preserve">require reporting on government employment at </w:t>
      </w:r>
      <w:r w:rsidRPr="001445A8">
        <w:rPr>
          <w:rFonts w:asciiTheme="minorHAnsi" w:hAnsiTheme="minorHAnsi"/>
          <w:sz w:val="18"/>
        </w:rPr>
        <w:t xml:space="preserve">this administrative </w:t>
      </w:r>
      <w:r w:rsidRPr="001445A8">
        <w:rPr>
          <w:rFonts w:asciiTheme="minorHAnsi" w:hAnsiTheme="minorHAnsi"/>
          <w:color w:val="000000" w:themeColor="text1"/>
          <w:sz w:val="18"/>
        </w:rPr>
        <w:t xml:space="preserve">level. </w:t>
      </w:r>
      <w:proofErr w:type="gramStart"/>
      <w:r w:rsidRPr="001445A8">
        <w:rPr>
          <w:rFonts w:asciiTheme="minorHAnsi" w:hAnsiTheme="minorHAnsi"/>
          <w:color w:val="000000" w:themeColor="text1"/>
          <w:sz w:val="18"/>
        </w:rPr>
        <w:t>In order for</w:t>
      </w:r>
      <w:proofErr w:type="gramEnd"/>
      <w:r w:rsidRPr="001445A8">
        <w:rPr>
          <w:rFonts w:asciiTheme="minorHAnsi" w:hAnsiTheme="minorHAnsi"/>
          <w:color w:val="000000" w:themeColor="text1"/>
          <w:sz w:val="18"/>
        </w:rPr>
        <w:t xml:space="preserve"> local government units to be treated as institutional units, the 2008 SNA specifies that they “must be entitled to own assets, raise funds and incur liabilities by</w:t>
      </w:r>
      <w:r w:rsidRPr="001445A8">
        <w:rPr>
          <w:color w:val="000000" w:themeColor="text1"/>
          <w:sz w:val="18"/>
        </w:rPr>
        <w:t xml:space="preserve"> borrowing on their own account; similarly, they must have some discretion over how such funds are spent. They should also be able to appoint their own officers, independently of external administrative control.” Since this is not the case in all countries, global reporting on this indicator excludes this administrative level. </w:t>
      </w:r>
      <w:r w:rsidRPr="001445A8">
        <w:rPr>
          <w:rFonts w:ascii="TimesNewRomanPSMT" w:hAnsi="TimesNewRomanPSMT"/>
          <w:sz w:val="18"/>
        </w:rPr>
        <w:t xml:space="preserve"> </w:t>
      </w:r>
    </w:p>
  </w:footnote>
  <w:footnote w:id="7">
    <w:p w14:paraId="52B3C894"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w:t>
      </w:r>
      <w:r w:rsidRPr="001445A8">
        <w:rPr>
          <w:color w:val="000000" w:themeColor="text1"/>
          <w:sz w:val="18"/>
        </w:rPr>
        <w:t xml:space="preserve">Such ‘states’ may be described by different terms in different countries. In some countries, especially small countries, individual </w:t>
      </w:r>
      <w:proofErr w:type="gramStart"/>
      <w:r w:rsidRPr="001445A8">
        <w:rPr>
          <w:color w:val="000000" w:themeColor="text1"/>
          <w:sz w:val="18"/>
        </w:rPr>
        <w:t>states</w:t>
      </w:r>
      <w:proofErr w:type="gramEnd"/>
      <w:r w:rsidRPr="001445A8">
        <w:rPr>
          <w:color w:val="000000" w:themeColor="text1"/>
          <w:sz w:val="18"/>
        </w:rPr>
        <w:t xml:space="preserve"> and state governments may not exist. However, in large countries, especially those that have federal constitutions, considerable powers and responsibilities may be assigned to state governments.”</w:t>
      </w:r>
    </w:p>
  </w:footnote>
  <w:footnote w:id="8">
    <w:p w14:paraId="5622B539"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ISCO-08 is a tool for organizing jobs into a clearly defined set of groups according to the tasks and duties undertaken in the job. It is the basis for many national occupation classifications and the standard for </w:t>
      </w:r>
      <w:proofErr w:type="spellStart"/>
      <w:r w:rsidRPr="001445A8">
        <w:rPr>
          <w:sz w:val="18"/>
        </w:rPr>
        <w:t>labour</w:t>
      </w:r>
      <w:proofErr w:type="spellEnd"/>
      <w:r w:rsidRPr="001445A8">
        <w:rPr>
          <w:sz w:val="18"/>
        </w:rPr>
        <w:t xml:space="preserve"> information worldwide. A job is defined in ISCO-08 as “a set of tasks and duties performed, or meant to be performed, by one person, including for an employer or in self-employment”. Occupation refers to the kind of work performed in a job. More specifically, the concept of occupation is defined in ISCO-08 as a “set of jobs whose main tasks and duties are characterized by a high degree of similarity”.  </w:t>
      </w:r>
    </w:p>
  </w:footnote>
  <w:footnote w:id="9">
    <w:p w14:paraId="0C8F3549" w14:textId="13D77931" w:rsidR="009B66C8" w:rsidRPr="001445A8" w:rsidRDefault="009B66C8" w:rsidP="00830FD0">
      <w:pPr>
        <w:pStyle w:val="FootnoteText"/>
        <w:rPr>
          <w:sz w:val="18"/>
        </w:rPr>
      </w:pPr>
      <w:r w:rsidRPr="001445A8">
        <w:rPr>
          <w:rStyle w:val="FootnoteReference"/>
          <w:sz w:val="18"/>
        </w:rPr>
        <w:footnoteRef/>
      </w:r>
      <w:r w:rsidRPr="001445A8">
        <w:rPr>
          <w:sz w:val="18"/>
        </w:rPr>
        <w:t xml:space="preserve"> </w:t>
      </w:r>
      <w:r w:rsidRPr="001445A8">
        <w:rPr>
          <w:rFonts w:asciiTheme="minorHAnsi" w:hAnsiTheme="minorHAnsi"/>
          <w:color w:val="000000" w:themeColor="text1"/>
          <w:sz w:val="18"/>
          <w:lang w:val="en-CA"/>
        </w:rPr>
        <w:t xml:space="preserve">Diverse representation among </w:t>
      </w:r>
      <w:r w:rsidRPr="001445A8">
        <w:rPr>
          <w:rFonts w:asciiTheme="minorHAnsi" w:hAnsiTheme="minorHAnsi"/>
          <w:sz w:val="18"/>
          <w:lang w:val="en-CA"/>
        </w:rPr>
        <w:t xml:space="preserve">front-line service workers is important as it has been found to help raise the quality of public services by improving the understanding of community needs and ameliorating social dialogue and communication with the wider </w:t>
      </w:r>
      <w:r w:rsidRPr="0009775D">
        <w:rPr>
          <w:rFonts w:asciiTheme="minorHAnsi" w:hAnsiTheme="minorHAnsi" w:cstheme="minorHAnsi"/>
          <w:sz w:val="18"/>
          <w:szCs w:val="18"/>
          <w:lang w:val="en-CA"/>
        </w:rPr>
        <w:t>population</w:t>
      </w:r>
      <w:r w:rsidRPr="0009775D">
        <w:rPr>
          <w:rFonts w:asciiTheme="minorHAnsi" w:hAnsiTheme="minorHAnsi" w:cstheme="minorHAnsi"/>
          <w:sz w:val="18"/>
          <w:szCs w:val="18"/>
        </w:rPr>
        <w:t>. (</w:t>
      </w:r>
      <w:r w:rsidRPr="001445A8">
        <w:rPr>
          <w:rFonts w:asciiTheme="minorHAnsi" w:hAnsiTheme="minorHAnsi"/>
          <w:sz w:val="18"/>
        </w:rPr>
        <w:t>OECD (2009), Fostering diversity in the Public Service, Public Governance and Territorial Directorate – Network on Public Employment and Management)</w:t>
      </w:r>
    </w:p>
  </w:footnote>
  <w:footnote w:id="10">
    <w:p w14:paraId="6CFBE25F"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w:t>
      </w:r>
      <w:r w:rsidRPr="001445A8">
        <w:rPr>
          <w:rFonts w:asciiTheme="minorHAnsi" w:hAnsiTheme="minorHAnsi"/>
          <w:color w:val="000000" w:themeColor="text1"/>
          <w:sz w:val="18"/>
        </w:rPr>
        <w:t>This is an important distinction with significant implications for reporting. For instance, appointing more women (or more individuals from a certain disadvantaged population group) to leadership positions that change with elections is fundamentally different (and can be done much more quickly) from promoting women (or a disadvantaged population group) through the ranks to top positions in the public service. As such, if no distinction was made between appointed positions and career public servants, countries deciding to include only on appointed positions may appear more representative than countries reporting on career public servants.</w:t>
      </w:r>
    </w:p>
  </w:footnote>
  <w:footnote w:id="11">
    <w:p w14:paraId="162840D6" w14:textId="77777777" w:rsidR="009B66C8" w:rsidRPr="001445A8" w:rsidRDefault="009B66C8" w:rsidP="00830FD0">
      <w:pPr>
        <w:pStyle w:val="FootnoteText"/>
        <w:rPr>
          <w:sz w:val="18"/>
        </w:rPr>
      </w:pPr>
      <w:r w:rsidRPr="001445A8">
        <w:rPr>
          <w:rStyle w:val="FootnoteReference"/>
          <w:color w:val="000000" w:themeColor="text1"/>
          <w:sz w:val="18"/>
        </w:rPr>
        <w:footnoteRef/>
      </w:r>
      <w:r w:rsidRPr="001445A8">
        <w:rPr>
          <w:color w:val="000000" w:themeColor="text1"/>
          <w:sz w:val="18"/>
        </w:rPr>
        <w:t xml:space="preserve"> </w:t>
      </w:r>
      <w:hyperlink r:id="rId1" w:history="1">
        <w:r w:rsidRPr="001445A8">
          <w:rPr>
            <w:rStyle w:val="Hyperlink"/>
            <w:rFonts w:asciiTheme="minorHAnsi" w:hAnsiTheme="minorHAnsi"/>
            <w:sz w:val="18"/>
          </w:rPr>
          <w:t>UNDP’s Disability Based Inclusion Report</w:t>
        </w:r>
      </w:hyperlink>
      <w:r w:rsidRPr="001445A8">
        <w:rPr>
          <w:rFonts w:asciiTheme="minorHAnsi" w:hAnsiTheme="minorHAnsi"/>
          <w:color w:val="404040" w:themeColor="text1" w:themeTint="BF"/>
          <w:sz w:val="18"/>
        </w:rPr>
        <w:t xml:space="preserve"> details a pilot study in partnership with the South African statistical office on an approach for using the Washington Group Short Set on Functioning to maintain data on the disability status of personnel within the public service.</w:t>
      </w:r>
    </w:p>
  </w:footnote>
  <w:footnote w:id="12">
    <w:p w14:paraId="089F8756" w14:textId="4C510080" w:rsidR="009B66C8" w:rsidRPr="001445A8" w:rsidRDefault="009B66C8" w:rsidP="00830FD0">
      <w:pPr>
        <w:rPr>
          <w:color w:val="000000"/>
          <w:sz w:val="18"/>
        </w:rPr>
      </w:pPr>
      <w:r w:rsidRPr="001445A8">
        <w:rPr>
          <w:rStyle w:val="FootnoteReference"/>
          <w:sz w:val="18"/>
        </w:rPr>
        <w:footnoteRef/>
      </w:r>
      <w:r w:rsidRPr="001445A8">
        <w:rPr>
          <w:sz w:val="18"/>
        </w:rPr>
        <w:t xml:space="preserve"> </w:t>
      </w:r>
      <w:r w:rsidRPr="001445A8">
        <w:rPr>
          <w:rFonts w:ascii="Calibri" w:hAnsi="Calibri"/>
          <w:color w:val="000000"/>
          <w:sz w:val="18"/>
        </w:rPr>
        <w:t xml:space="preserve">Countries may also want to consult the ILO’s “Quick Guide on Sources and Uses </w:t>
      </w:r>
      <w:r w:rsidRPr="00DF44DE">
        <w:rPr>
          <w:rFonts w:ascii="Calibri" w:hAnsi="Calibri" w:cs="Calibri"/>
          <w:color w:val="000000"/>
          <w:sz w:val="18"/>
          <w:szCs w:val="18"/>
        </w:rPr>
        <w:t>of</w:t>
      </w:r>
      <w:r w:rsidRPr="001445A8">
        <w:rPr>
          <w:rFonts w:ascii="Calibri" w:hAnsi="Calibri"/>
          <w:color w:val="000000"/>
          <w:sz w:val="18"/>
        </w:rPr>
        <w:t xml:space="preserve"> Labour Statistics”</w:t>
      </w:r>
      <w:r w:rsidRPr="001445A8">
        <w:rPr>
          <w:rStyle w:val="FootnoteReference"/>
          <w:rFonts w:ascii="Calibri" w:hAnsi="Calibri"/>
          <w:color w:val="000000"/>
          <w:sz w:val="18"/>
        </w:rPr>
        <w:footnoteRef/>
      </w:r>
      <w:r w:rsidRPr="001445A8">
        <w:rPr>
          <w:rFonts w:ascii="Calibri" w:hAnsi="Calibri"/>
          <w:color w:val="000000"/>
          <w:sz w:val="18"/>
        </w:rPr>
        <w:t xml:space="preserve">, which reviews various sources that can be used to produce labour statistics, including labour force surveys and national account statistics. With regards to using administrative records, the ILO Guide notes that while such records “were not designed for statistical purposes, they do have a significant underlying statistical potential, and can be used to produce statistics as a by-product.” </w:t>
      </w:r>
    </w:p>
  </w:footnote>
  <w:footnote w:id="13">
    <w:p w14:paraId="088B5B3A" w14:textId="77777777" w:rsidR="009B66C8" w:rsidRPr="001445A8" w:rsidRDefault="009B66C8" w:rsidP="009357ED">
      <w:pPr>
        <w:pStyle w:val="FootnoteText"/>
        <w:rPr>
          <w:sz w:val="18"/>
        </w:rPr>
      </w:pPr>
      <w:r w:rsidRPr="001445A8">
        <w:rPr>
          <w:rStyle w:val="FootnoteReference"/>
          <w:sz w:val="18"/>
        </w:rPr>
        <w:footnoteRef/>
      </w:r>
      <w:r w:rsidRPr="001445A8">
        <w:rPr>
          <w:sz w:val="18"/>
        </w:rPr>
        <w:t xml:space="preserve"> See OECD (2017), </w:t>
      </w:r>
      <w:r w:rsidRPr="001445A8">
        <w:rPr>
          <w:rFonts w:asciiTheme="minorHAnsi" w:hAnsiTheme="minorHAnsi"/>
          <w:i/>
          <w:color w:val="000000"/>
          <w:sz w:val="18"/>
        </w:rPr>
        <w:t>Trust and Public Policy: How Better Governance Can Help Rebuild Public Trust.</w:t>
      </w:r>
    </w:p>
  </w:footnote>
  <w:footnote w:id="14">
    <w:p w14:paraId="78222E64" w14:textId="77777777" w:rsidR="009B66C8" w:rsidRPr="001445A8" w:rsidRDefault="009B66C8" w:rsidP="00830FD0">
      <w:pPr>
        <w:pStyle w:val="FootnoteText"/>
        <w:rPr>
          <w:sz w:val="18"/>
        </w:rPr>
      </w:pPr>
      <w:r w:rsidRPr="001445A8">
        <w:rPr>
          <w:rStyle w:val="FootnoteReference"/>
          <w:sz w:val="18"/>
        </w:rPr>
        <w:footnoteRef/>
      </w:r>
      <w:r w:rsidRPr="001445A8">
        <w:rPr>
          <w:sz w:val="18"/>
        </w:rPr>
        <w:t xml:space="preserve"> See, for example, the EU General Data Protection Regulation (GDPR, 2016/679) which introduced a particularly broad definition of health data and a range of restrictions on processing it. GDPR took effect in all EU Member States in May 2018. </w:t>
      </w:r>
    </w:p>
  </w:footnote>
  <w:footnote w:id="15">
    <w:p w14:paraId="41C9866C" w14:textId="77777777" w:rsidR="009B66C8" w:rsidRPr="001445A8" w:rsidRDefault="009B66C8" w:rsidP="002661A3">
      <w:pPr>
        <w:rPr>
          <w:sz w:val="18"/>
        </w:rPr>
      </w:pPr>
      <w:r w:rsidRPr="001445A8">
        <w:rPr>
          <w:rStyle w:val="FootnoteReference"/>
          <w:sz w:val="18"/>
        </w:rPr>
        <w:footnoteRef/>
      </w:r>
      <w:r w:rsidRPr="001445A8">
        <w:rPr>
          <w:sz w:val="18"/>
        </w:rPr>
        <w:t xml:space="preserve"> </w:t>
      </w:r>
      <w:proofErr w:type="gramStart"/>
      <w:r w:rsidRPr="001445A8">
        <w:rPr>
          <w:sz w:val="18"/>
        </w:rPr>
        <w:t>In the event that</w:t>
      </w:r>
      <w:proofErr w:type="gramEnd"/>
      <w:r w:rsidRPr="001445A8">
        <w:rPr>
          <w:sz w:val="18"/>
        </w:rPr>
        <w:t xml:space="preserve"> a mandatory retirement age (MRA) has not been set for the public service specifically in a given country, the “default retirement age” (DRA) could be used as an alternative. The DRA applies to all employment </w:t>
      </w:r>
      <w:proofErr w:type="gramStart"/>
      <w:r w:rsidRPr="001445A8">
        <w:rPr>
          <w:sz w:val="18"/>
        </w:rPr>
        <w:t>in a given</w:t>
      </w:r>
      <w:proofErr w:type="gramEnd"/>
      <w:r w:rsidRPr="001445A8">
        <w:rPr>
          <w:sz w:val="18"/>
        </w:rPr>
        <w:t xml:space="preserve"> country, and “is the minimum age at which employers can (if they choose to) set a mandatory retirement age, requiring employees to retire.” If neither a MRA nor a DRA exist in a country, it is suggested to use the age of 65 as a ceiling, which is a common MRA across countries.</w:t>
      </w:r>
    </w:p>
    <w:p w14:paraId="6B36B293" w14:textId="77777777" w:rsidR="009B66C8" w:rsidRPr="001445A8" w:rsidRDefault="009B66C8" w:rsidP="002661A3">
      <w:pPr>
        <w:pStyle w:val="FootnoteText"/>
        <w:rPr>
          <w:sz w:val="18"/>
        </w:rPr>
      </w:pPr>
    </w:p>
  </w:footnote>
  <w:footnote w:id="16">
    <w:p w14:paraId="4A77E97C" w14:textId="5A8D1513" w:rsidR="009B66C8" w:rsidRPr="001445A8" w:rsidRDefault="009B66C8">
      <w:pPr>
        <w:pStyle w:val="FootnoteText"/>
      </w:pPr>
      <w:r w:rsidRPr="001445A8">
        <w:rPr>
          <w:rStyle w:val="FootnoteReference"/>
        </w:rPr>
        <w:footnoteRef/>
      </w:r>
      <w:r>
        <w:t xml:space="preserve"> </w:t>
      </w:r>
      <w:r w:rsidRPr="00AB2C5B">
        <w:t xml:space="preserve">It is recommended to </w:t>
      </w:r>
      <w:r w:rsidRPr="00013637">
        <w:rPr>
          <w:color w:val="4A4A4A"/>
        </w:rPr>
        <w:t xml:space="preserve">exclude local government units, military and </w:t>
      </w:r>
      <w:proofErr w:type="gramStart"/>
      <w:r w:rsidRPr="00013637">
        <w:rPr>
          <w:color w:val="4A4A4A"/>
        </w:rPr>
        <w:t>Public</w:t>
      </w:r>
      <w:proofErr w:type="gramEnd"/>
      <w:r w:rsidRPr="00013637">
        <w:rPr>
          <w:color w:val="4A4A4A"/>
        </w:rPr>
        <w:t xml:space="preserve"> corporations and quasi-corporations owned and controlled by government units</w:t>
      </w:r>
      <w:r w:rsidRPr="001445A8">
        <w:t>.</w:t>
      </w:r>
    </w:p>
  </w:footnote>
  <w:footnote w:id="17">
    <w:p w14:paraId="1C18EDA1" w14:textId="2D19C708" w:rsidR="009B66C8" w:rsidRPr="001445A8" w:rsidRDefault="009B66C8">
      <w:pPr>
        <w:pStyle w:val="FootnoteText"/>
      </w:pPr>
      <w:r w:rsidRPr="001445A8">
        <w:rPr>
          <w:rStyle w:val="FootnoteReference"/>
        </w:rPr>
        <w:footnoteRef/>
      </w:r>
      <w:r w:rsidRPr="001445A8">
        <w:t xml:space="preserve"> It is recommended to </w:t>
      </w:r>
      <w:proofErr w:type="gramStart"/>
      <w:r w:rsidRPr="001445A8">
        <w:t>excluded</w:t>
      </w:r>
      <w:proofErr w:type="gramEnd"/>
      <w:r w:rsidRPr="001445A8">
        <w:t xml:space="preserve"> the appointed senior managers and other managers.</w:t>
      </w:r>
    </w:p>
  </w:footnote>
  <w:footnote w:id="18">
    <w:p w14:paraId="35B3045C" w14:textId="6FECC5EF" w:rsidR="009B66C8" w:rsidRPr="001445A8" w:rsidRDefault="009B66C8" w:rsidP="006E4382">
      <w:pPr>
        <w:pStyle w:val="NormalWeb"/>
        <w:spacing w:before="0" w:beforeAutospacing="0" w:after="0" w:afterAutospacing="0"/>
        <w:rPr>
          <w:rFonts w:asciiTheme="minorHAnsi" w:hAnsiTheme="minorHAnsi"/>
          <w:sz w:val="18"/>
        </w:rPr>
      </w:pPr>
      <w:r w:rsidRPr="001445A8">
        <w:rPr>
          <w:rStyle w:val="FootnoteReference"/>
          <w:rFonts w:asciiTheme="minorHAnsi" w:hAnsiTheme="minorHAnsi"/>
          <w:sz w:val="18"/>
        </w:rPr>
        <w:footnoteRef/>
      </w:r>
      <w:r w:rsidRPr="001445A8">
        <w:rPr>
          <w:rFonts w:asciiTheme="minorHAnsi" w:hAnsiTheme="minorHAnsi"/>
          <w:sz w:val="18"/>
        </w:rPr>
        <w:t xml:space="preserve"> UN Statistical Division (2017): </w:t>
      </w:r>
      <w:hyperlink r:id="rId2" w:history="1">
        <w:r w:rsidRPr="001445A8">
          <w:rPr>
            <w:rStyle w:val="Hyperlink"/>
            <w:rFonts w:asciiTheme="minorHAnsi" w:hAnsiTheme="minorHAnsi"/>
            <w:sz w:val="18"/>
          </w:rPr>
          <w:t>Guiding Principles of Data Reporting and Data Sharing for the Global Monitoring of the 2030 Agenda for Sustainable Development</w:t>
        </w:r>
      </w:hyperlink>
      <w:r>
        <w:rPr>
          <w:rStyle w:val="Hyperlink"/>
          <w:rFonts w:asciiTheme="minorHAnsi" w:hAnsiTheme="minorHAnsi" w:cstheme="minorHAnsi"/>
          <w:sz w:val="18"/>
          <w:szCs w:val="18"/>
        </w:rPr>
        <w:t>.</w:t>
      </w:r>
      <w:r w:rsidRPr="001445A8">
        <w:rPr>
          <w:rFonts w:asciiTheme="minorHAnsi" w:hAnsiTheme="minorHAnsi"/>
          <w:sz w:val="18"/>
        </w:rPr>
        <w:t xml:space="preserve"> </w:t>
      </w:r>
    </w:p>
  </w:footnote>
  <w:footnote w:id="19">
    <w:p w14:paraId="0FA7AA4B" w14:textId="77777777" w:rsidR="009B66C8" w:rsidRPr="001445A8" w:rsidRDefault="009B66C8" w:rsidP="006E4382">
      <w:pPr>
        <w:pStyle w:val="FootnoteText"/>
        <w:rPr>
          <w:sz w:val="18"/>
        </w:rPr>
      </w:pPr>
      <w:r w:rsidRPr="001445A8">
        <w:rPr>
          <w:rStyle w:val="FootnoteReference"/>
          <w:sz w:val="18"/>
        </w:rPr>
        <w:footnoteRef/>
      </w:r>
      <w:r w:rsidRPr="001445A8">
        <w:rPr>
          <w:sz w:val="18"/>
        </w:rPr>
        <w:t xml:space="preserve"> </w:t>
      </w:r>
      <w:r w:rsidRPr="001445A8">
        <w:rPr>
          <w:color w:val="000000" w:themeColor="text1"/>
          <w:sz w:val="18"/>
        </w:rPr>
        <w:t xml:space="preserve">The population of a country is a mosaic of different population groups that can be identified according to racial, ethnic, language, indigenous or migration status, religious affiliation, or sexual orientation, amongst other characteristics. </w:t>
      </w:r>
      <w:proofErr w:type="gramStart"/>
      <w:r w:rsidRPr="001445A8">
        <w:rPr>
          <w:color w:val="000000" w:themeColor="text1"/>
          <w:sz w:val="18"/>
        </w:rPr>
        <w:t>For the purpose of</w:t>
      </w:r>
      <w:proofErr w:type="gramEnd"/>
      <w:r w:rsidRPr="001445A8">
        <w:rPr>
          <w:color w:val="000000" w:themeColor="text1"/>
          <w:sz w:val="18"/>
        </w:rPr>
        <w:t xml:space="preserve"> this indicator, particular focus is placed on minorities. </w:t>
      </w:r>
      <w:r w:rsidRPr="001445A8">
        <w:rPr>
          <w:i/>
          <w:color w:val="000000" w:themeColor="text1"/>
          <w:sz w:val="18"/>
        </w:rPr>
        <w:t xml:space="preserve">Minority groups are </w:t>
      </w:r>
      <w:r w:rsidRPr="001445A8">
        <w:rPr>
          <w:color w:val="000000" w:themeColor="text1"/>
          <w:sz w:val="18"/>
        </w:rPr>
        <w:t>groups that are numerically inferior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w:t>
      </w:r>
      <w:r w:rsidRPr="001445A8">
        <w:rPr>
          <w:color w:val="000000" w:themeColor="text1"/>
          <w:sz w:val="18"/>
          <w:vertAlign w:val="superscript"/>
        </w:rPr>
        <w:footnoteRef/>
      </w:r>
      <w:r w:rsidRPr="001445A8">
        <w:rPr>
          <w:color w:val="000000" w:themeColor="text1"/>
          <w:sz w:val="18"/>
        </w:rPr>
        <w:t xml:space="preserve"> While the nationality criterion included in the above definition has often been challenged, the requirement to be in a non-dominant position remains important (United Nations, 2010).</w:t>
      </w:r>
      <w:r w:rsidRPr="001445A8">
        <w:rPr>
          <w:color w:val="000000" w:themeColor="text1"/>
          <w:sz w:val="18"/>
          <w:vertAlign w:val="superscript"/>
        </w:rPr>
        <w:footnoteRef/>
      </w:r>
      <w:r w:rsidRPr="001445A8">
        <w:rPr>
          <w:color w:val="000000" w:themeColor="text1"/>
          <w:sz w:val="18"/>
        </w:rPr>
        <w:t xml:space="preserve"> Collecting public servant data disaggregated by population groups should be subject to the legality of compiling such data in a particular national context and to a careful assessment of the potential risks of collecting such data for the safety of respondents).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C3DA" w14:textId="39FA1F11" w:rsidR="009B66C8" w:rsidRPr="00077F46" w:rsidRDefault="009B66C8" w:rsidP="00077F46">
    <w:pPr>
      <w:pStyle w:val="Header"/>
      <w:jc w:val="right"/>
      <w:rPr>
        <w:sz w:val="18"/>
        <w:szCs w:val="18"/>
      </w:rPr>
    </w:pPr>
    <w:r w:rsidRPr="00077F46">
      <w:rPr>
        <w:sz w:val="18"/>
        <w:szCs w:val="18"/>
      </w:rPr>
      <w:t xml:space="preserve">Last updated: </w:t>
    </w:r>
    <w:r>
      <w:rPr>
        <w:sz w:val="18"/>
        <w:szCs w:val="18"/>
      </w:rPr>
      <w:t>202</w:t>
    </w:r>
    <w:r w:rsidR="00FE6657">
      <w:rPr>
        <w:sz w:val="18"/>
        <w:szCs w:val="18"/>
      </w:rPr>
      <w:t>2</w:t>
    </w:r>
    <w:r>
      <w:rPr>
        <w:sz w:val="18"/>
        <w:szCs w:val="18"/>
      </w:rPr>
      <w:t>-0</w:t>
    </w:r>
    <w:r w:rsidR="00FE6657">
      <w:rPr>
        <w:sz w:val="18"/>
        <w:szCs w:val="18"/>
      </w:rPr>
      <w:t>3</w:t>
    </w:r>
    <w:r>
      <w:rPr>
        <w:sz w:val="18"/>
        <w:szCs w:val="18"/>
      </w:rPr>
      <w:t>-</w:t>
    </w:r>
    <w:r w:rsidR="00FE6657">
      <w:rPr>
        <w:sz w:val="18"/>
        <w:szCs w:val="18"/>
      </w:rPr>
      <w:t>3</w:t>
    </w:r>
    <w:r>
      <w:rPr>
        <w:sz w:val="18"/>
        <w:szCs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C723381" w:rsidR="009B66C8" w:rsidRPr="00757E8A" w:rsidRDefault="009B66C8" w:rsidP="00077F46">
    <w:pPr>
      <w:pStyle w:val="Header"/>
      <w:jc w:val="right"/>
      <w:rPr>
        <w:color w:val="404040" w:themeColor="text1" w:themeTint="BF"/>
        <w:sz w:val="18"/>
        <w:szCs w:val="18"/>
      </w:rPr>
    </w:pPr>
    <w:bookmarkStart w:id="14" w:name="_Hlk506197003"/>
    <w:bookmarkStart w:id="15" w:name="_Hlk506197004"/>
    <w:bookmarkStart w:id="16" w:name="_Hlk506197005"/>
    <w:bookmarkStart w:id="17" w:name="_Hlk516233502"/>
    <w:bookmarkStart w:id="18" w:name="_Hlk516233503"/>
    <w:bookmarkStart w:id="19" w:name="_Hlk516233504"/>
    <w:r w:rsidRPr="00757E8A">
      <w:rPr>
        <w:color w:val="404040" w:themeColor="text1" w:themeTint="BF"/>
        <w:sz w:val="18"/>
        <w:szCs w:val="18"/>
      </w:rPr>
      <w:t>Last updated:</w:t>
    </w:r>
    <w:bookmarkEnd w:id="14"/>
    <w:bookmarkEnd w:id="15"/>
    <w:bookmarkEnd w:id="16"/>
    <w:bookmarkEnd w:id="17"/>
    <w:bookmarkEnd w:id="18"/>
    <w:bookmarkEnd w:id="19"/>
    <w:r>
      <w:rPr>
        <w:color w:val="404040" w:themeColor="text1" w:themeTint="BF"/>
        <w:sz w:val="18"/>
        <w:szCs w:val="18"/>
      </w:rPr>
      <w:t xml:space="preserve"> 2021-05-01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481"/>
    <w:multiLevelType w:val="hybridMultilevel"/>
    <w:tmpl w:val="DDD01304"/>
    <w:lvl w:ilvl="0" w:tplc="08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16A88"/>
    <w:multiLevelType w:val="hybridMultilevel"/>
    <w:tmpl w:val="8550AC2E"/>
    <w:lvl w:ilvl="0" w:tplc="845652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A4FDC"/>
    <w:multiLevelType w:val="hybridMultilevel"/>
    <w:tmpl w:val="F3C69AA2"/>
    <w:lvl w:ilvl="0" w:tplc="04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DF16608"/>
    <w:multiLevelType w:val="hybridMultilevel"/>
    <w:tmpl w:val="2242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365DB"/>
    <w:multiLevelType w:val="hybridMultilevel"/>
    <w:tmpl w:val="B7E4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B658B"/>
    <w:multiLevelType w:val="hybridMultilevel"/>
    <w:tmpl w:val="22989428"/>
    <w:lvl w:ilvl="0" w:tplc="1AAA5810">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423A8E"/>
    <w:multiLevelType w:val="hybridMultilevel"/>
    <w:tmpl w:val="3E3AC414"/>
    <w:lvl w:ilvl="0" w:tplc="845652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21B58"/>
    <w:multiLevelType w:val="hybridMultilevel"/>
    <w:tmpl w:val="2604DE68"/>
    <w:lvl w:ilvl="0" w:tplc="61D0074A">
      <w:start w:val="1"/>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E6E01"/>
    <w:multiLevelType w:val="multilevel"/>
    <w:tmpl w:val="362485A2"/>
    <w:lvl w:ilvl="0">
      <w:start w:val="1"/>
      <w:numFmt w:val="bullet"/>
      <w:lvlText w:val="-"/>
      <w:lvlJc w:val="left"/>
      <w:pPr>
        <w:ind w:left="720" w:hanging="360"/>
      </w:pPr>
      <w:rPr>
        <w:rFonts w:ascii="Calibri" w:eastAsia="Times New Roman" w:hAnsi="Calibri" w:cs="Calibri" w:hint="default"/>
        <w:sz w:val="20"/>
        <w:szCs w:val="20"/>
      </w:rPr>
    </w:lvl>
    <w:lvl w:ilvl="1">
      <w:start w:val="1"/>
      <w:numFmt w:val="bullet"/>
      <w:lvlText w:val=""/>
      <w:lvlJc w:val="left"/>
      <w:pPr>
        <w:ind w:left="1440" w:hanging="360"/>
      </w:pPr>
      <w:rPr>
        <w:rFonts w:ascii="Symbol" w:hAnsi="Symbol"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68B61A0"/>
    <w:multiLevelType w:val="hybridMultilevel"/>
    <w:tmpl w:val="32066C5A"/>
    <w:lvl w:ilvl="0" w:tplc="61D0074A">
      <w:start w:val="1"/>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E2D30"/>
    <w:multiLevelType w:val="hybridMultilevel"/>
    <w:tmpl w:val="317CCAE0"/>
    <w:lvl w:ilvl="0" w:tplc="83EA430C">
      <w:start w:val="1"/>
      <w:numFmt w:val="decimal"/>
      <w:pStyle w:val="NumberedChar"/>
      <w:lvlText w:val="%1."/>
      <w:lvlJc w:val="left"/>
      <w:pPr>
        <w:ind w:left="786" w:hanging="360"/>
      </w:pPr>
      <w:rPr>
        <w:rFonts w:cs="Times New Roman"/>
        <w:b w:val="0"/>
        <w:i w:val="0"/>
        <w:iCs w:val="0"/>
        <w:caps w:val="0"/>
        <w:smallCaps w:val="0"/>
        <w:strike w:val="0"/>
        <w:dstrike w:val="0"/>
        <w:outline w:val="0"/>
        <w:shadow w:val="0"/>
        <w:emboss w:val="0"/>
        <w:imprint w:val="0"/>
        <w:vanish w:val="0"/>
        <w:spacing w:val="0"/>
        <w:position w:val="0"/>
        <w:u w:val="none"/>
        <w:vertAlign w:val="base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1" w15:restartNumberingAfterBreak="0">
    <w:nsid w:val="5D0C542C"/>
    <w:multiLevelType w:val="hybridMultilevel"/>
    <w:tmpl w:val="AB44EF36"/>
    <w:lvl w:ilvl="0" w:tplc="61D0074A">
      <w:start w:val="1"/>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266E"/>
    <w:multiLevelType w:val="hybridMultilevel"/>
    <w:tmpl w:val="0F3260BA"/>
    <w:lvl w:ilvl="0" w:tplc="61D0074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abstractNumId w:val="4"/>
  </w:num>
  <w:num w:numId="2">
    <w:abstractNumId w:val="3"/>
  </w:num>
  <w:num w:numId="3">
    <w:abstractNumId w:val="8"/>
  </w:num>
  <w:num w:numId="4">
    <w:abstractNumId w:val="11"/>
  </w:num>
  <w:num w:numId="5">
    <w:abstractNumId w:val="12"/>
  </w:num>
  <w:num w:numId="6">
    <w:abstractNumId w:val="9"/>
  </w:num>
  <w:num w:numId="7">
    <w:abstractNumId w:val="7"/>
  </w:num>
  <w:num w:numId="8">
    <w:abstractNumId w:val="10"/>
  </w:num>
  <w:num w:numId="9">
    <w:abstractNumId w:val="5"/>
  </w:num>
  <w:num w:numId="10">
    <w:abstractNumId w:val="0"/>
  </w:num>
  <w:num w:numId="11">
    <w:abstractNumId w:val="2"/>
  </w:num>
  <w:num w:numId="12">
    <w:abstractNumId w:val="6"/>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0" w:nlCheck="1" w:checkStyle="0"/>
  <w:activeWritingStyle w:appName="MSWord" w:lang="en-CA" w:vendorID="64" w:dllVersion="0" w:nlCheck="1" w:checkStyle="0"/>
  <w:activeWritingStyle w:appName="MSWord" w:lang="en-US" w:vendorID="64" w:dllVersion="0" w:nlCheck="1" w:checkStyle="0"/>
  <w:activeWritingStyle w:appName="MSWord" w:lang="de-DE" w:vendorID="64" w:dllVersion="0" w:nlCheck="1" w:checkStyle="0"/>
  <w:proofState w:spelling="clean" w:grammar="clean"/>
  <w:documentProtection w:edit="forms" w:enforcement="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wMzU3MDcyMDQ2MLZQ0lEKTi0uzszPAykwrwUAnFByMCwAAAA="/>
  </w:docVars>
  <w:rsids>
    <w:rsidRoot w:val="0058556D"/>
    <w:rsid w:val="000070BA"/>
    <w:rsid w:val="00013637"/>
    <w:rsid w:val="000173F9"/>
    <w:rsid w:val="0002473B"/>
    <w:rsid w:val="000412A0"/>
    <w:rsid w:val="00047DDA"/>
    <w:rsid w:val="0005455A"/>
    <w:rsid w:val="00054E15"/>
    <w:rsid w:val="00071F07"/>
    <w:rsid w:val="0007759D"/>
    <w:rsid w:val="000777AB"/>
    <w:rsid w:val="00077F46"/>
    <w:rsid w:val="00090FB1"/>
    <w:rsid w:val="00096186"/>
    <w:rsid w:val="000979B8"/>
    <w:rsid w:val="000A72E4"/>
    <w:rsid w:val="000B0E2F"/>
    <w:rsid w:val="000B2430"/>
    <w:rsid w:val="000B739D"/>
    <w:rsid w:val="000C4D47"/>
    <w:rsid w:val="000C6280"/>
    <w:rsid w:val="000D0B30"/>
    <w:rsid w:val="000D3261"/>
    <w:rsid w:val="000E21F1"/>
    <w:rsid w:val="000F2E42"/>
    <w:rsid w:val="000F703E"/>
    <w:rsid w:val="00120E86"/>
    <w:rsid w:val="00125DE9"/>
    <w:rsid w:val="001332E0"/>
    <w:rsid w:val="00134DE7"/>
    <w:rsid w:val="00137D12"/>
    <w:rsid w:val="00142B60"/>
    <w:rsid w:val="001445A8"/>
    <w:rsid w:val="00171446"/>
    <w:rsid w:val="00185354"/>
    <w:rsid w:val="001854DC"/>
    <w:rsid w:val="00186795"/>
    <w:rsid w:val="00194D09"/>
    <w:rsid w:val="001A7D5C"/>
    <w:rsid w:val="001B60AA"/>
    <w:rsid w:val="001B63C8"/>
    <w:rsid w:val="001C1972"/>
    <w:rsid w:val="001C421F"/>
    <w:rsid w:val="001C63B6"/>
    <w:rsid w:val="001D360D"/>
    <w:rsid w:val="001D434A"/>
    <w:rsid w:val="001D70FE"/>
    <w:rsid w:val="001F09F9"/>
    <w:rsid w:val="001F62F6"/>
    <w:rsid w:val="00200CA7"/>
    <w:rsid w:val="00222FFA"/>
    <w:rsid w:val="0024029F"/>
    <w:rsid w:val="00261A8D"/>
    <w:rsid w:val="002661A3"/>
    <w:rsid w:val="00267CD7"/>
    <w:rsid w:val="002718C1"/>
    <w:rsid w:val="00283C1C"/>
    <w:rsid w:val="002917E5"/>
    <w:rsid w:val="00291A00"/>
    <w:rsid w:val="00291A11"/>
    <w:rsid w:val="002A315C"/>
    <w:rsid w:val="002A3342"/>
    <w:rsid w:val="002A53D5"/>
    <w:rsid w:val="002A64BA"/>
    <w:rsid w:val="002B2318"/>
    <w:rsid w:val="002B4989"/>
    <w:rsid w:val="002C2510"/>
    <w:rsid w:val="002D714E"/>
    <w:rsid w:val="002E2D51"/>
    <w:rsid w:val="002E53C3"/>
    <w:rsid w:val="002F1468"/>
    <w:rsid w:val="002F5F0C"/>
    <w:rsid w:val="00300484"/>
    <w:rsid w:val="00314A22"/>
    <w:rsid w:val="003173A8"/>
    <w:rsid w:val="003265EB"/>
    <w:rsid w:val="00326A66"/>
    <w:rsid w:val="0034329E"/>
    <w:rsid w:val="00343FAA"/>
    <w:rsid w:val="00347F5E"/>
    <w:rsid w:val="00353C98"/>
    <w:rsid w:val="00371A20"/>
    <w:rsid w:val="003735D1"/>
    <w:rsid w:val="00373CE1"/>
    <w:rsid w:val="003821B4"/>
    <w:rsid w:val="00382CF3"/>
    <w:rsid w:val="00386B14"/>
    <w:rsid w:val="00387D52"/>
    <w:rsid w:val="003A2567"/>
    <w:rsid w:val="003A37FA"/>
    <w:rsid w:val="003A7CEA"/>
    <w:rsid w:val="003B4ADD"/>
    <w:rsid w:val="003F0BD3"/>
    <w:rsid w:val="003F278A"/>
    <w:rsid w:val="003F7A02"/>
    <w:rsid w:val="0041352E"/>
    <w:rsid w:val="00422EA5"/>
    <w:rsid w:val="00422EFA"/>
    <w:rsid w:val="0042791F"/>
    <w:rsid w:val="00442F5C"/>
    <w:rsid w:val="004456ED"/>
    <w:rsid w:val="0045415C"/>
    <w:rsid w:val="004707EA"/>
    <w:rsid w:val="0048045A"/>
    <w:rsid w:val="0048259F"/>
    <w:rsid w:val="004841B8"/>
    <w:rsid w:val="004930F2"/>
    <w:rsid w:val="004B0F1C"/>
    <w:rsid w:val="004D2321"/>
    <w:rsid w:val="004D5295"/>
    <w:rsid w:val="004F2EE6"/>
    <w:rsid w:val="00502DBA"/>
    <w:rsid w:val="005040C4"/>
    <w:rsid w:val="00506A54"/>
    <w:rsid w:val="00507637"/>
    <w:rsid w:val="00507852"/>
    <w:rsid w:val="00514388"/>
    <w:rsid w:val="00514DBF"/>
    <w:rsid w:val="00540CE7"/>
    <w:rsid w:val="0054646E"/>
    <w:rsid w:val="00550921"/>
    <w:rsid w:val="00563712"/>
    <w:rsid w:val="00573631"/>
    <w:rsid w:val="00573C0B"/>
    <w:rsid w:val="00576CFA"/>
    <w:rsid w:val="0058556D"/>
    <w:rsid w:val="00592AF2"/>
    <w:rsid w:val="005947AD"/>
    <w:rsid w:val="00597748"/>
    <w:rsid w:val="005979E8"/>
    <w:rsid w:val="005A3983"/>
    <w:rsid w:val="005B5152"/>
    <w:rsid w:val="005B6721"/>
    <w:rsid w:val="005C79DA"/>
    <w:rsid w:val="005D0AF4"/>
    <w:rsid w:val="005D7482"/>
    <w:rsid w:val="005E0CC8"/>
    <w:rsid w:val="005E3FCD"/>
    <w:rsid w:val="005E54BD"/>
    <w:rsid w:val="005E73D8"/>
    <w:rsid w:val="005F6CCA"/>
    <w:rsid w:val="005F6CD3"/>
    <w:rsid w:val="00603191"/>
    <w:rsid w:val="006104AF"/>
    <w:rsid w:val="00621893"/>
    <w:rsid w:val="00623D0C"/>
    <w:rsid w:val="00633AF6"/>
    <w:rsid w:val="006351E1"/>
    <w:rsid w:val="006447B1"/>
    <w:rsid w:val="00656479"/>
    <w:rsid w:val="00662775"/>
    <w:rsid w:val="006852FC"/>
    <w:rsid w:val="006A3585"/>
    <w:rsid w:val="006A5B82"/>
    <w:rsid w:val="006B40AB"/>
    <w:rsid w:val="006B5DC5"/>
    <w:rsid w:val="006C4BFD"/>
    <w:rsid w:val="006C7D30"/>
    <w:rsid w:val="006E3C08"/>
    <w:rsid w:val="006E4382"/>
    <w:rsid w:val="00700ACF"/>
    <w:rsid w:val="00711230"/>
    <w:rsid w:val="00712487"/>
    <w:rsid w:val="007530CA"/>
    <w:rsid w:val="00756D68"/>
    <w:rsid w:val="007578D9"/>
    <w:rsid w:val="00757E8A"/>
    <w:rsid w:val="00763E43"/>
    <w:rsid w:val="00764EB5"/>
    <w:rsid w:val="00776D7E"/>
    <w:rsid w:val="00777A95"/>
    <w:rsid w:val="00782416"/>
    <w:rsid w:val="0079118D"/>
    <w:rsid w:val="00797E23"/>
    <w:rsid w:val="007A02CF"/>
    <w:rsid w:val="007A7DAB"/>
    <w:rsid w:val="007B0364"/>
    <w:rsid w:val="007D0981"/>
    <w:rsid w:val="007D1929"/>
    <w:rsid w:val="00803CF1"/>
    <w:rsid w:val="00806682"/>
    <w:rsid w:val="008104BB"/>
    <w:rsid w:val="008249C5"/>
    <w:rsid w:val="00830FD0"/>
    <w:rsid w:val="008526F9"/>
    <w:rsid w:val="0085285E"/>
    <w:rsid w:val="00853023"/>
    <w:rsid w:val="008534D4"/>
    <w:rsid w:val="00853C85"/>
    <w:rsid w:val="00861AEF"/>
    <w:rsid w:val="00881470"/>
    <w:rsid w:val="00881E28"/>
    <w:rsid w:val="00882FCB"/>
    <w:rsid w:val="00884786"/>
    <w:rsid w:val="008910B2"/>
    <w:rsid w:val="00894C4B"/>
    <w:rsid w:val="008A12E3"/>
    <w:rsid w:val="008A42FA"/>
    <w:rsid w:val="008B0AC7"/>
    <w:rsid w:val="008B21C4"/>
    <w:rsid w:val="008C2335"/>
    <w:rsid w:val="008C67C1"/>
    <w:rsid w:val="008D1D39"/>
    <w:rsid w:val="008D4ED7"/>
    <w:rsid w:val="008F07D2"/>
    <w:rsid w:val="00917851"/>
    <w:rsid w:val="00917F65"/>
    <w:rsid w:val="009311E7"/>
    <w:rsid w:val="009357ED"/>
    <w:rsid w:val="00942694"/>
    <w:rsid w:val="009436F2"/>
    <w:rsid w:val="00944CC1"/>
    <w:rsid w:val="00993490"/>
    <w:rsid w:val="009A7E3A"/>
    <w:rsid w:val="009B10FB"/>
    <w:rsid w:val="009B1265"/>
    <w:rsid w:val="009B4A15"/>
    <w:rsid w:val="009B5693"/>
    <w:rsid w:val="009B66C8"/>
    <w:rsid w:val="009C4551"/>
    <w:rsid w:val="009C5DA4"/>
    <w:rsid w:val="009C61A2"/>
    <w:rsid w:val="009C700E"/>
    <w:rsid w:val="009C78E4"/>
    <w:rsid w:val="009D687E"/>
    <w:rsid w:val="009F6DE7"/>
    <w:rsid w:val="00A10583"/>
    <w:rsid w:val="00A1531B"/>
    <w:rsid w:val="00A37FCB"/>
    <w:rsid w:val="00A54863"/>
    <w:rsid w:val="00A61D74"/>
    <w:rsid w:val="00A8688B"/>
    <w:rsid w:val="00A91163"/>
    <w:rsid w:val="00A9286F"/>
    <w:rsid w:val="00A96255"/>
    <w:rsid w:val="00AA0B4E"/>
    <w:rsid w:val="00AB285B"/>
    <w:rsid w:val="00AB2C5B"/>
    <w:rsid w:val="00AC04CB"/>
    <w:rsid w:val="00AE39F3"/>
    <w:rsid w:val="00AF5552"/>
    <w:rsid w:val="00AF5CB4"/>
    <w:rsid w:val="00AF5ED1"/>
    <w:rsid w:val="00AF71D6"/>
    <w:rsid w:val="00B216EE"/>
    <w:rsid w:val="00B237F5"/>
    <w:rsid w:val="00B3175F"/>
    <w:rsid w:val="00B31E2C"/>
    <w:rsid w:val="00B323B0"/>
    <w:rsid w:val="00B329B0"/>
    <w:rsid w:val="00B402D8"/>
    <w:rsid w:val="00B4237C"/>
    <w:rsid w:val="00B42FE8"/>
    <w:rsid w:val="00B52AFD"/>
    <w:rsid w:val="00B54077"/>
    <w:rsid w:val="00B70B28"/>
    <w:rsid w:val="00B7786F"/>
    <w:rsid w:val="00B8087E"/>
    <w:rsid w:val="00B858DC"/>
    <w:rsid w:val="00BA0766"/>
    <w:rsid w:val="00BA1E45"/>
    <w:rsid w:val="00BA522E"/>
    <w:rsid w:val="00BB646E"/>
    <w:rsid w:val="00BD1BA1"/>
    <w:rsid w:val="00C019E5"/>
    <w:rsid w:val="00C03A89"/>
    <w:rsid w:val="00C35BC4"/>
    <w:rsid w:val="00C43C07"/>
    <w:rsid w:val="00C43F5B"/>
    <w:rsid w:val="00C4679C"/>
    <w:rsid w:val="00C62006"/>
    <w:rsid w:val="00C65493"/>
    <w:rsid w:val="00CB4371"/>
    <w:rsid w:val="00CC516D"/>
    <w:rsid w:val="00CD4C6A"/>
    <w:rsid w:val="00CF445C"/>
    <w:rsid w:val="00CF45B3"/>
    <w:rsid w:val="00CF6270"/>
    <w:rsid w:val="00CF6FAC"/>
    <w:rsid w:val="00D11E07"/>
    <w:rsid w:val="00D14B89"/>
    <w:rsid w:val="00D228D5"/>
    <w:rsid w:val="00D24330"/>
    <w:rsid w:val="00D40056"/>
    <w:rsid w:val="00D42A03"/>
    <w:rsid w:val="00D51E7C"/>
    <w:rsid w:val="00D54F29"/>
    <w:rsid w:val="00D7020C"/>
    <w:rsid w:val="00D70AD9"/>
    <w:rsid w:val="00D72152"/>
    <w:rsid w:val="00D94BA5"/>
    <w:rsid w:val="00D9510F"/>
    <w:rsid w:val="00DA615C"/>
    <w:rsid w:val="00DC3760"/>
    <w:rsid w:val="00DD1BC6"/>
    <w:rsid w:val="00DE5DC3"/>
    <w:rsid w:val="00DE64C8"/>
    <w:rsid w:val="00DF0314"/>
    <w:rsid w:val="00DF3530"/>
    <w:rsid w:val="00E00D8A"/>
    <w:rsid w:val="00E06136"/>
    <w:rsid w:val="00E1050F"/>
    <w:rsid w:val="00E11604"/>
    <w:rsid w:val="00E11D92"/>
    <w:rsid w:val="00E130A0"/>
    <w:rsid w:val="00E210C4"/>
    <w:rsid w:val="00E23DB7"/>
    <w:rsid w:val="00E4496C"/>
    <w:rsid w:val="00E459E0"/>
    <w:rsid w:val="00E46D96"/>
    <w:rsid w:val="00E52CCA"/>
    <w:rsid w:val="00E66409"/>
    <w:rsid w:val="00E81D5B"/>
    <w:rsid w:val="00E976B9"/>
    <w:rsid w:val="00EA05D3"/>
    <w:rsid w:val="00EB19AD"/>
    <w:rsid w:val="00EB2F31"/>
    <w:rsid w:val="00EB6493"/>
    <w:rsid w:val="00EC2915"/>
    <w:rsid w:val="00ED05A9"/>
    <w:rsid w:val="00ED1BA0"/>
    <w:rsid w:val="00ED366B"/>
    <w:rsid w:val="00ED7981"/>
    <w:rsid w:val="00EE6549"/>
    <w:rsid w:val="00F103BD"/>
    <w:rsid w:val="00F17257"/>
    <w:rsid w:val="00F23F0B"/>
    <w:rsid w:val="00F34D24"/>
    <w:rsid w:val="00F4130B"/>
    <w:rsid w:val="00F47341"/>
    <w:rsid w:val="00F556A2"/>
    <w:rsid w:val="00F64EDF"/>
    <w:rsid w:val="00F65033"/>
    <w:rsid w:val="00F719A8"/>
    <w:rsid w:val="00F878B9"/>
    <w:rsid w:val="00F93E5B"/>
    <w:rsid w:val="00FB24E8"/>
    <w:rsid w:val="00FB3B2B"/>
    <w:rsid w:val="00FC18DA"/>
    <w:rsid w:val="00FC3917"/>
    <w:rsid w:val="00FC5278"/>
    <w:rsid w:val="00FD60DA"/>
    <w:rsid w:val="00FE47C8"/>
    <w:rsid w:val="00FE6657"/>
    <w:rsid w:val="00FF07B4"/>
    <w:rsid w:val="150F57CF"/>
    <w:rsid w:val="1FCA0D09"/>
    <w:rsid w:val="2520AD74"/>
    <w:rsid w:val="3E494965"/>
    <w:rsid w:val="42851DA8"/>
    <w:rsid w:val="6ED69FFF"/>
    <w:rsid w:val="790A3D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776D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6D7E"/>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776D7E"/>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apple-converted-space">
    <w:name w:val="apple-converted-space"/>
    <w:basedOn w:val="DefaultParagraphFont"/>
    <w:rsid w:val="002B2318"/>
  </w:style>
  <w:style w:type="character" w:customStyle="1" w:styleId="Heading2Char">
    <w:name w:val="Heading 2 Char"/>
    <w:basedOn w:val="DefaultParagraphFont"/>
    <w:link w:val="Heading2"/>
    <w:uiPriority w:val="9"/>
    <w:semiHidden/>
    <w:rsid w:val="00776D7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76D7E"/>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776D7E"/>
    <w:rPr>
      <w:rFonts w:asciiTheme="majorHAnsi" w:eastAsiaTheme="majorEastAsia" w:hAnsiTheme="majorHAnsi" w:cstheme="majorBidi"/>
      <w:i/>
      <w:iCs/>
      <w:color w:val="365F91" w:themeColor="accent1" w:themeShade="BF"/>
      <w:sz w:val="24"/>
      <w:szCs w:val="24"/>
      <w:lang w:val="en-US" w:eastAsia="en-US"/>
    </w:rPr>
  </w:style>
  <w:style w:type="character" w:customStyle="1" w:styleId="UnresolvedMention1">
    <w:name w:val="Unresolved Mention1"/>
    <w:basedOn w:val="DefaultParagraphFont"/>
    <w:uiPriority w:val="99"/>
    <w:semiHidden/>
    <w:unhideWhenUsed/>
    <w:rsid w:val="00776D7E"/>
    <w:rPr>
      <w:color w:val="605E5C"/>
      <w:shd w:val="clear" w:color="auto" w:fill="E1DFDD"/>
    </w:rPr>
  </w:style>
  <w:style w:type="paragraph" w:customStyle="1" w:styleId="Normal1">
    <w:name w:val="Normal1"/>
    <w:rsid w:val="00776D7E"/>
    <w:rPr>
      <w:rFonts w:ascii="Calibri" w:eastAsia="Calibri" w:hAnsi="Calibri" w:cs="Calibri"/>
      <w:lang w:val="en-US" w:eastAsia="en-US"/>
    </w:rPr>
  </w:style>
  <w:style w:type="paragraph" w:styleId="FootnoteText">
    <w:name w:val="footnote text"/>
    <w:basedOn w:val="Normal"/>
    <w:link w:val="FootnoteTextChar"/>
    <w:uiPriority w:val="99"/>
    <w:unhideWhenUsed/>
    <w:rsid w:val="00776D7E"/>
    <w:pPr>
      <w:spacing w:after="0" w:line="240" w:lineRule="auto"/>
    </w:pPr>
    <w:rPr>
      <w:rFonts w:ascii="Calibri" w:eastAsia="Calibri" w:hAnsi="Calibri" w:cs="Calibri"/>
      <w:sz w:val="20"/>
      <w:szCs w:val="20"/>
      <w:lang w:val="en-US" w:eastAsia="en-US"/>
    </w:rPr>
  </w:style>
  <w:style w:type="character" w:customStyle="1" w:styleId="FootnoteTextChar">
    <w:name w:val="Footnote Text Char"/>
    <w:basedOn w:val="DefaultParagraphFont"/>
    <w:link w:val="FootnoteText"/>
    <w:uiPriority w:val="99"/>
    <w:rsid w:val="00776D7E"/>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776D7E"/>
    <w:rPr>
      <w:vertAlign w:val="superscript"/>
    </w:rPr>
  </w:style>
  <w:style w:type="character" w:styleId="FollowedHyperlink">
    <w:name w:val="FollowedHyperlink"/>
    <w:basedOn w:val="DefaultParagraphFont"/>
    <w:uiPriority w:val="99"/>
    <w:semiHidden/>
    <w:unhideWhenUsed/>
    <w:rsid w:val="00776D7E"/>
    <w:rPr>
      <w:color w:val="800080" w:themeColor="followedHyperlink"/>
      <w:u w:val="single"/>
    </w:rPr>
  </w:style>
  <w:style w:type="paragraph" w:styleId="Revision">
    <w:name w:val="Revision"/>
    <w:hidden/>
    <w:uiPriority w:val="99"/>
    <w:semiHidden/>
    <w:rsid w:val="00776D7E"/>
    <w:pPr>
      <w:spacing w:after="0" w:line="240" w:lineRule="auto"/>
    </w:pPr>
    <w:rPr>
      <w:rFonts w:ascii="Times New Roman" w:eastAsia="Times New Roman" w:hAnsi="Times New Roman" w:cs="Times New Roman"/>
      <w:sz w:val="24"/>
      <w:szCs w:val="24"/>
      <w:lang w:val="en-US" w:eastAsia="en-US"/>
    </w:rPr>
  </w:style>
  <w:style w:type="paragraph" w:customStyle="1" w:styleId="Default">
    <w:name w:val="Default"/>
    <w:rsid w:val="00776D7E"/>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NoSpacing">
    <w:name w:val="No Spacing"/>
    <w:uiPriority w:val="1"/>
    <w:qFormat/>
    <w:rsid w:val="00776D7E"/>
    <w:pPr>
      <w:spacing w:after="0" w:line="240" w:lineRule="auto"/>
    </w:pPr>
    <w:rPr>
      <w:rFonts w:eastAsiaTheme="minorHAnsi"/>
      <w:lang w:eastAsia="en-US"/>
    </w:rPr>
  </w:style>
  <w:style w:type="paragraph" w:styleId="NormalWeb">
    <w:name w:val="Normal (Web)"/>
    <w:basedOn w:val="Normal"/>
    <w:uiPriority w:val="99"/>
    <w:unhideWhenUsed/>
    <w:rsid w:val="00776D7E"/>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character" w:customStyle="1" w:styleId="UnresolvedMention2">
    <w:name w:val="Unresolved Mention2"/>
    <w:basedOn w:val="DefaultParagraphFont"/>
    <w:uiPriority w:val="99"/>
    <w:semiHidden/>
    <w:unhideWhenUsed/>
    <w:rsid w:val="00776D7E"/>
    <w:rPr>
      <w:color w:val="605E5C"/>
      <w:shd w:val="clear" w:color="auto" w:fill="E1DFDD"/>
    </w:rPr>
  </w:style>
  <w:style w:type="paragraph" w:customStyle="1" w:styleId="NumberedChar">
    <w:name w:val="Numbered Char"/>
    <w:link w:val="NumberedCharChar"/>
    <w:uiPriority w:val="99"/>
    <w:rsid w:val="00776D7E"/>
    <w:pPr>
      <w:numPr>
        <w:numId w:val="8"/>
      </w:numPr>
      <w:spacing w:before="240" w:after="240" w:line="240" w:lineRule="auto"/>
      <w:ind w:left="454" w:hanging="454"/>
      <w:jc w:val="both"/>
    </w:pPr>
    <w:rPr>
      <w:rFonts w:ascii="Times New Roman" w:eastAsia="Times New Roman" w:hAnsi="Times New Roman" w:cs="Times New Roman"/>
      <w:szCs w:val="20"/>
      <w:lang w:val="en-AU" w:eastAsia="en-US"/>
    </w:rPr>
  </w:style>
  <w:style w:type="character" w:customStyle="1" w:styleId="NumberedCharChar">
    <w:name w:val="Numbered Char Char"/>
    <w:basedOn w:val="DefaultParagraphFont"/>
    <w:link w:val="NumberedChar"/>
    <w:uiPriority w:val="99"/>
    <w:locked/>
    <w:rsid w:val="00776D7E"/>
    <w:rPr>
      <w:rFonts w:ascii="Times New Roman" w:eastAsia="Times New Roman" w:hAnsi="Times New Roman" w:cs="Times New Roman"/>
      <w:szCs w:val="20"/>
      <w:lang w:val="en-AU" w:eastAsia="en-US"/>
    </w:rPr>
  </w:style>
  <w:style w:type="character" w:customStyle="1" w:styleId="A0">
    <w:name w:val="A0"/>
    <w:uiPriority w:val="99"/>
    <w:rsid w:val="00776D7E"/>
    <w:rPr>
      <w:rFonts w:cs="Myriad Pro"/>
      <w:color w:val="211D1E"/>
      <w:sz w:val="20"/>
      <w:szCs w:val="20"/>
    </w:rPr>
  </w:style>
  <w:style w:type="character" w:customStyle="1" w:styleId="A4">
    <w:name w:val="A4"/>
    <w:uiPriority w:val="99"/>
    <w:rsid w:val="00776D7E"/>
    <w:rPr>
      <w:rFonts w:cs="Myriad Pro"/>
      <w:color w:val="211D1E"/>
      <w:sz w:val="11"/>
      <w:szCs w:val="11"/>
    </w:rPr>
  </w:style>
  <w:style w:type="character" w:styleId="Emphasis">
    <w:name w:val="Emphasis"/>
    <w:basedOn w:val="DefaultParagraphFont"/>
    <w:uiPriority w:val="20"/>
    <w:qFormat/>
    <w:rsid w:val="00776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69">
      <w:bodyDiv w:val="1"/>
      <w:marLeft w:val="0"/>
      <w:marRight w:val="0"/>
      <w:marTop w:val="0"/>
      <w:marBottom w:val="0"/>
      <w:divBdr>
        <w:top w:val="none" w:sz="0" w:space="0" w:color="auto"/>
        <w:left w:val="none" w:sz="0" w:space="0" w:color="auto"/>
        <w:bottom w:val="none" w:sz="0" w:space="0" w:color="auto"/>
        <w:right w:val="none" w:sz="0" w:space="0" w:color="auto"/>
      </w:divBdr>
    </w:div>
    <w:div w:id="620259191">
      <w:bodyDiv w:val="1"/>
      <w:marLeft w:val="0"/>
      <w:marRight w:val="0"/>
      <w:marTop w:val="0"/>
      <w:marBottom w:val="0"/>
      <w:divBdr>
        <w:top w:val="none" w:sz="0" w:space="0" w:color="auto"/>
        <w:left w:val="none" w:sz="0" w:space="0" w:color="auto"/>
        <w:bottom w:val="none" w:sz="0" w:space="0" w:color="auto"/>
        <w:right w:val="none" w:sz="0" w:space="0" w:color="auto"/>
      </w:divBdr>
    </w:div>
    <w:div w:id="686562065">
      <w:bodyDiv w:val="1"/>
      <w:marLeft w:val="0"/>
      <w:marRight w:val="0"/>
      <w:marTop w:val="0"/>
      <w:marBottom w:val="0"/>
      <w:divBdr>
        <w:top w:val="none" w:sz="0" w:space="0" w:color="auto"/>
        <w:left w:val="none" w:sz="0" w:space="0" w:color="auto"/>
        <w:bottom w:val="none" w:sz="0" w:space="0" w:color="auto"/>
        <w:right w:val="none" w:sz="0" w:space="0" w:color="auto"/>
      </w:divBdr>
    </w:div>
    <w:div w:id="746609370">
      <w:bodyDiv w:val="1"/>
      <w:marLeft w:val="0"/>
      <w:marRight w:val="0"/>
      <w:marTop w:val="0"/>
      <w:marBottom w:val="0"/>
      <w:divBdr>
        <w:top w:val="none" w:sz="0" w:space="0" w:color="auto"/>
        <w:left w:val="none" w:sz="0" w:space="0" w:color="auto"/>
        <w:bottom w:val="none" w:sz="0" w:space="0" w:color="auto"/>
        <w:right w:val="none" w:sz="0" w:space="0" w:color="auto"/>
      </w:divBdr>
    </w:div>
    <w:div w:id="768281210">
      <w:bodyDiv w:val="1"/>
      <w:marLeft w:val="0"/>
      <w:marRight w:val="0"/>
      <w:marTop w:val="0"/>
      <w:marBottom w:val="0"/>
      <w:divBdr>
        <w:top w:val="none" w:sz="0" w:space="0" w:color="auto"/>
        <w:left w:val="none" w:sz="0" w:space="0" w:color="auto"/>
        <w:bottom w:val="none" w:sz="0" w:space="0" w:color="auto"/>
        <w:right w:val="none" w:sz="0" w:space="0" w:color="auto"/>
      </w:divBdr>
    </w:div>
    <w:div w:id="101122441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0714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int/sites/default/files/treaties/7789-treaty-0033_-_african_youth_charter_e.pdf" TargetMode="External"/><Relationship Id="rId18"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26" Type="http://schemas.openxmlformats.org/officeDocument/2006/relationships/hyperlink" Target="http://unstats.un.org/unsd/nationalaccount/docs/sna2008.pdf" TargetMode="External"/><Relationship Id="rId3" Type="http://schemas.openxmlformats.org/officeDocument/2006/relationships/customXml" Target="../customXml/item3.xml"/><Relationship Id="rId21" Type="http://schemas.openxmlformats.org/officeDocument/2006/relationships/hyperlink" Target="http://www.ilo.org/global/statistics-and-databases/lang--end/index.htm"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washingtongroup-disability.com/fileadmin/uploads/wg/Documents/Questions/Washington_Group_Questionnaire__1_-_WG_Short_Set_on_Functioning.pdf" TargetMode="External"/><Relationship Id="rId17" Type="http://schemas.openxmlformats.org/officeDocument/2006/relationships/hyperlink" Target="https://www.washingtongroup-disability.com/fileadmin/uploads/wg/Documents/Questions/Washington_Group_Questionnaire__1_-_WG_Short_Set_on_Functioning.pdf" TargetMode="External"/><Relationship Id="rId25" Type="http://schemas.openxmlformats.org/officeDocument/2006/relationships/hyperlink" Target="https://doi.org/10.1787/9789264268920-e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mb.cision.com/Public/1179/9413414/af807359d5bcbc53.pdf" TargetMode="External"/><Relationship Id="rId29" Type="http://schemas.openxmlformats.org/officeDocument/2006/relationships/hyperlink" Target="https://unstats.un.org/sdgs/iaeg-sdgs/metadata-compil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oecd-ilibrary.org/governance/government-at-a-glance-2017/employment-in-general-government_gov_glance-2017-24-en"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iri.org/sites/default/files/wysiwyg/womens_political_index_0.pdf" TargetMode="External"/><Relationship Id="rId28" Type="http://schemas.openxmlformats.org/officeDocument/2006/relationships/hyperlink" Target="http://www.undp.org/content/undp/en/home/librarypage/democratic-governance/public_administration/gepa.html" TargetMode="External"/><Relationship Id="rId10" Type="http://schemas.openxmlformats.org/officeDocument/2006/relationships/footnotes" Target="footnotes.xml"/><Relationship Id="rId19" Type="http://schemas.openxmlformats.org/officeDocument/2006/relationships/hyperlink" Target="http://eige.europa.eu/gender-statistics/dg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dg16reporting.undp.org" TargetMode="External"/><Relationship Id="rId22" Type="http://schemas.openxmlformats.org/officeDocument/2006/relationships/hyperlink" Target="http://www.ilo.org/wcmsp5/groups/public/---dgreports/---dcomm/---publ/documents/publication/wcms_172572.pdf" TargetMode="External"/><Relationship Id="rId27" Type="http://schemas.openxmlformats.org/officeDocument/2006/relationships/hyperlink" Target="http://www.undp.org/content/dam/undp/library/Democratic%20Governance/Human%20Rights/UNDP-_Disability_Inclusive_Development__accessible.pdf" TargetMode="External"/><Relationship Id="rId30" Type="http://schemas.openxmlformats.org/officeDocument/2006/relationships/hyperlink" Target="https://pdf.sciencedirectassets.com/282136/1-s2.0-S2212567116X00068/1-s2.0-S221256711630243X/main.pdf?X-Amz-Security-Token=IQoJb3JpZ2luX2VjEJf%2F%2F%2F%2F%2F%2F%2F%2F%2F%2FwEaCXVzLWVhc3QtMSJGMEQCIASHczwuNvR41Ggk4y%2FtuCnAyhX6JTTklmucLIvEMpJsAiBDFj1fRmMT5ncsAyMAUMcYSlvMQNM8VgmCzcXCHcXnWyqDBAjw%2F%2F%2F%2F%2F%2F%2F%2F%2F%2F8BEAQaDDA1OTAwMzU0Njg2NSIM5hO3irD4kYD6sJq1KtcDtOrVWvdxyI0ifzrBEqe96BzIQE6CWPBeQglsSgl1Tz03BWPEG24jNDIvUxDyuYOOFdy%2F7NPx51K4rocZ1sz0ZBDJC%2BF5pKyZNGB8a3He5gAsRYHqZUcc%2FyT5pKqckqLexAg8zHC8Sq5SH803T9kDjO40Nr8oP7P%2FcX6d9pb71ELoYiTEbGbkpKIE1HcNUJAh0COkMOB6PZXGzIXroONcqHxBO1MpuC8Xrc1O2oN2IEWt1m0ze0ZL0o9lSQiEvdz%2FhGT4FFoetmrETN335BnZFL5RHsChm67Fjne9OTFeTuFGmzL%2Bpqb3CIL7l%2FONdchcICPljv0OmTAze1kaLO1wphwBl2%2BScLsC9CuIrw7NbkMuhqflgvExODTOvvXm2TE3KM4d5dntAChL1hBmBi3JeHtQfn7XrqGePDJRr%2FIYKm07jwufIgrIfj7fTFlcCqfejyv6Xti4C1ZTRG%2BAXRMpf3d1P6l8fwBfQVLu6X0FkXTMR9nGBBvdTwqb26Viph1Wl8DIuOLQLH9%2F7AkRf2vJiFIYZnGPYldsJ8Z3QvJfxKEFDbJjbXHyAxj9P3NqtpWedr8ks8hFqE7kWD98FKKeCmmqd6pZENNnV05UQi3U8lBnjz1rb1AfMMa585AGOqYBN6Z9iLWL3U4YhxsR4%2BRScPEjIoC2rhm%2F5XrGaoTEx%2BZlQflmaDVsi2gaEP0vgIw4%2BBwewlUA7CMXaYtZ7CGGWL41e%2BNXl6zyjR2ODNDaS2B7E2SDzZP3mnn9uIl4OEf5RzDw0JOjrcEM33Ju%2FEChGEzAhWJDo32FAYNOV5atBXHUfCd2sdloFESqLzlilV9Gs9RQvapMcd87grNj0CNnmCYnRfi9Zw%3D%3D&amp;X-Amz-Algorithm=AWS4-HMAC-SHA256&amp;X-Amz-Date=20220228T154926Z&amp;X-Amz-SignedHeaders=host&amp;X-Amz-Expires=300&amp;X-Amz-Credential=ASIAQ3PHCVTYXXZQYSGS%2F20220228%2Fus-east-1%2Fs3%2Faws4_request&amp;X-Amz-Signature=75e862389336f50a909bd8fb24ae73e364e173338eb754c6e41ee225c79d4041&amp;hash=da861965a0e2a8c0edadf9fac506fef25e99e541f569b7c5ccc083a0ba9d5f09&amp;host=68042c943591013ac2b2430a89b270f6af2c76d8dfd086a07176afe7c76c2c61&amp;pii=S221256711630243X&amp;tid=spdf-890b7e2b-8417-4dbf-b198-b88aac07e9f8&amp;sid=4e8f7b9885f64943a49b7700b30cdcdc4508gxrqa&amp;type=client&amp;ua=570452030c04595602&amp;rr=6e4acd89bb2867e1" TargetMode="Externa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unstats.un.org/sdgs/files/meetings/iaeg-sdgs-meeting-06/2017-10-04_CCSA%20Guiding%20Principles%20data%20flows.pdf" TargetMode="External"/><Relationship Id="rId1" Type="http://schemas.openxmlformats.org/officeDocument/2006/relationships/hyperlink" Target="http://www.undp.org/content/dam/undp/library/Democratic%20Governance/Human%20Rights/UNDP-_Disability_Inclusive_Development__accessibl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77CADDE-D113-4D16-9F7C-76F6BB14C897}"/>
      </w:docPartPr>
      <w:docPartBody>
        <w:p w:rsidR="00000000" w:rsidRDefault="002833CD">
          <w:r w:rsidRPr="00C51B9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swiss"/>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CD"/>
    <w:rsid w:val="002833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3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8" ma:contentTypeDescription="Crear nuevo documento." ma:contentTypeScope="" ma:versionID="02c79a7a56af7037bc82f7a9c142887b">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2c852a3375393369e7465ed9c24c423d"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34A9D-DB71-4467-9CA0-5861BC9E7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7f2b7c80-0f2d-4f77-964f-8aeab417169f"/>
    <ds:schemaRef ds:uri="http://schemas.microsoft.com/office/infopath/2007/PartnerControls"/>
    <ds:schemaRef ds:uri="http://www.w3.org/XML/1998/namespace"/>
    <ds:schemaRef ds:uri="http://purl.org/dc/elements/1.1/"/>
    <ds:schemaRef ds:uri="http://schemas.microsoft.com/office/2006/metadata/properties"/>
    <ds:schemaRef ds:uri="http://schemas.microsoft.com/office/2006/documentManagement/types"/>
    <ds:schemaRef ds:uri="http://purl.org/dc/dcmitype/"/>
    <ds:schemaRef ds:uri="2a0920cc-17e2-4fde-a745-a5fd8e25cdb2"/>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87C2AA47-DF70-404A-A65D-0C73EAF190A6}">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21</Pages>
  <Words>8309</Words>
  <Characters>47365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11</cp:revision>
  <cp:lastPrinted>2016-07-16T14:25:00Z</cp:lastPrinted>
  <dcterms:created xsi:type="dcterms:W3CDTF">2022-02-28T20:15:00Z</dcterms:created>
  <dcterms:modified xsi:type="dcterms:W3CDTF">2022-12-20T22:42:00Z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