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47CEC42" w:rsidR="00D24330" w:rsidRPr="00A96255" w:rsidRDefault="00301B92" w:rsidP="002F5F0C">
      <w:pPr>
        <w:pStyle w:val="MGTHeader"/>
      </w:pPr>
      <w:r w:rsidRPr="00301B92">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2B1610A7" w:rsidR="00D24330" w:rsidRPr="00A96255" w:rsidRDefault="3112710F" w:rsidP="7D808317">
      <w:pPr>
        <w:pStyle w:val="MGTHeader"/>
      </w:pPr>
      <w:r w:rsidRPr="7D808317">
        <w:rPr>
          <w:rFonts w:ascii="Calibri" w:eastAsia="Calibri" w:hAnsi="Calibri" w:cs="Calibri"/>
          <w:color w:val="444444"/>
        </w:rPr>
        <w:t>Target 17.10: Promote a universal, rules-based, open, non‑discriminatory and equitable multilateral trading system under the World Trade Organization, including through the conclusion of negotiations under its Doha Development Agenda</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2E636D4A" w:rsidR="00D24330" w:rsidRPr="00A96255" w:rsidRDefault="00301B92" w:rsidP="00D24330">
      <w:pPr>
        <w:pStyle w:val="MGTHeader"/>
      </w:pPr>
      <w:r w:rsidRPr="00301B92">
        <w:t>Indicator 17.10.1: Worldwide weighted tariff-average</w:t>
      </w:r>
    </w:p>
    <w:p w14:paraId="37E5E4F6" w14:textId="77777777" w:rsidR="00D24330" w:rsidRPr="000E68CD" w:rsidRDefault="00D24330" w:rsidP="00D24330">
      <w:pPr>
        <w:pStyle w:val="MIndHeader"/>
        <w:rPr>
          <w:lang w:val="en-US"/>
        </w:rPr>
      </w:pPr>
      <w:r w:rsidRPr="000E68CD">
        <w:rPr>
          <w:lang w:val="en-US"/>
        </w:rPr>
        <w:t xml:space="preserve">0.d. Series </w:t>
      </w:r>
      <w:r>
        <w:rPr>
          <w:color w:val="B4B4B4"/>
          <w:sz w:val="20"/>
        </w:rPr>
        <w:t>(SDG_SERIES_DESCR)</w:t>
      </w:r>
    </w:p>
    <w:p w14:paraId="771888BA" w14:textId="7176C612" w:rsidR="00D24330" w:rsidRPr="000E68CD" w:rsidRDefault="00D24330" w:rsidP="00D24330">
      <w:pPr>
        <w:pStyle w:val="MGTHeader"/>
        <w:rPr>
          <w:lang w:val="en-US"/>
        </w:rPr>
      </w:pPr>
    </w:p>
    <w:p w14:paraId="157DACE7" w14:textId="77777777" w:rsidR="00D24330" w:rsidRPr="000E68CD" w:rsidRDefault="00D24330" w:rsidP="00D24330">
      <w:pPr>
        <w:pStyle w:val="MIndHeader"/>
        <w:rPr>
          <w:lang w:val="en-US"/>
        </w:rPr>
      </w:pPr>
      <w:r w:rsidRPr="000E68CD">
        <w:rPr>
          <w:lang w:val="en-US"/>
        </w:rPr>
        <w:t xml:space="preserve">0.e. Metadata update </w:t>
      </w:r>
      <w:r>
        <w:rPr>
          <w:color w:val="B4B4B4"/>
          <w:sz w:val="20"/>
        </w:rPr>
        <w:t>(META_LAST_UPDATE)</w:t>
      </w:r>
    </w:p>
    <w:sdt>
      <w:sdtPr>
        <w:rPr>
          <w:lang w:val="en-US"/>
        </w:rPr>
        <w:id w:val="1103070771"/>
        <w:placeholder>
          <w:docPart w:val="DefaultPlaceholder_-1854013437"/>
        </w:placeholder>
        <w:date w:fullDate="2016-07-19T00:00:00Z">
          <w:dateFormat w:val="yyyy-MM-dd"/>
          <w:lid w:val="en-US"/>
          <w:storeMappedDataAs w:val="dateTime"/>
          <w:calendar w:val="gregorian"/>
        </w:date>
      </w:sdtPr>
      <w:sdtContent>
        <w:p w14:paraId="03424B60" w14:textId="43E36874" w:rsidR="00D24330" w:rsidRPr="000E68CD" w:rsidRDefault="000E68CD" w:rsidP="00D24330">
          <w:pPr>
            <w:pStyle w:val="MGTHeader"/>
            <w:rPr>
              <w:lang w:val="en-US"/>
            </w:rPr>
          </w:pPr>
          <w:r>
            <w:rPr>
              <w:lang w:val="en-US"/>
            </w:rPr>
            <w:t>2016-07-19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2A10882A" w:rsidR="00D24330" w:rsidRPr="00A96255" w:rsidRDefault="00511A9D" w:rsidP="00D24330">
      <w:pPr>
        <w:pStyle w:val="MGTHeader"/>
      </w:pPr>
      <w:r w:rsidRPr="00511A9D">
        <w:t>Linkages with the decrease of agricultural market distortions (target 2.b), improvements in the transfer of environmental goods and services (target 17.7) and better access to essential medicines (3.b).</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FC536CD" w14:textId="16B7467F" w:rsidR="00511A9D" w:rsidRDefault="00511A9D" w:rsidP="00511A9D">
      <w:pPr>
        <w:pStyle w:val="MGTHeader"/>
      </w:pPr>
      <w:r>
        <w:t>International Trade Centre (ITC)</w:t>
      </w:r>
    </w:p>
    <w:p w14:paraId="099B58B7" w14:textId="0E316D79" w:rsidR="00511A9D" w:rsidRDefault="00511A9D" w:rsidP="00511A9D">
      <w:pPr>
        <w:pStyle w:val="MGTHeader"/>
      </w:pPr>
      <w:r>
        <w:t>United Nations Conference on Trade and Development (UNCTAD)</w:t>
      </w:r>
    </w:p>
    <w:p w14:paraId="0393368E" w14:textId="27A7278B" w:rsidR="00621893" w:rsidRPr="00A96255" w:rsidRDefault="00511A9D" w:rsidP="00511A9D">
      <w:pPr>
        <w:pStyle w:val="MGTHeader"/>
        <w:rPr>
          <w:color w:val="4A4A4A"/>
        </w:rPr>
      </w:pPr>
      <w:r>
        <w:t>The World Trade Organization (WTO)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1870E06" w14:textId="30A4C03C" w:rsidR="00511A9D" w:rsidRDefault="00511A9D" w:rsidP="00511A9D">
      <w:pPr>
        <w:pStyle w:val="MText"/>
      </w:pPr>
      <w:r>
        <w:t>International Trade Centre (ITC)</w:t>
      </w:r>
    </w:p>
    <w:p w14:paraId="38AF18A8" w14:textId="428C4039" w:rsidR="00511A9D" w:rsidRDefault="00511A9D" w:rsidP="00511A9D">
      <w:pPr>
        <w:pStyle w:val="MText"/>
      </w:pPr>
      <w:r>
        <w:t>United Nations Conference on Trade and Development (UNCTAD)</w:t>
      </w:r>
    </w:p>
    <w:p w14:paraId="065F26D2" w14:textId="3051A971" w:rsidR="00576CFA" w:rsidRDefault="00511A9D" w:rsidP="00511A9D">
      <w:pPr>
        <w:pStyle w:val="MText"/>
      </w:pPr>
      <w:r>
        <w:t>The World Trade Organization (WTO)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651D5FF" w14:textId="77777777" w:rsidR="001E0E9E" w:rsidRPr="009C6BEE" w:rsidRDefault="001E0E9E" w:rsidP="001E0E9E">
      <w:pPr>
        <w:pStyle w:val="MText"/>
        <w:rPr>
          <w:b/>
          <w:bCs/>
        </w:rPr>
      </w:pPr>
      <w:r w:rsidRPr="009C6BEE">
        <w:rPr>
          <w:b/>
          <w:bCs/>
        </w:rPr>
        <w:t>Definition:</w:t>
      </w:r>
    </w:p>
    <w:p w14:paraId="51A62C5A" w14:textId="77777777" w:rsidR="001E0E9E" w:rsidRDefault="001E0E9E" w:rsidP="001E0E9E">
      <w:pPr>
        <w:pStyle w:val="MText"/>
      </w:pPr>
      <w:r>
        <w:t>Value in percentage of weighted average tariffs applied to the imports of goods in HS chapter 01-97.</w:t>
      </w:r>
    </w:p>
    <w:p w14:paraId="153B09C3" w14:textId="6F0061E4" w:rsidR="00D51E7C" w:rsidRDefault="00D51E7C" w:rsidP="00576CFA">
      <w:pPr>
        <w:pStyle w:val="MText"/>
      </w:pPr>
    </w:p>
    <w:p w14:paraId="4AF2B26E" w14:textId="77777777" w:rsidR="001E0E9E" w:rsidRPr="009C6BEE" w:rsidRDefault="001E0E9E" w:rsidP="001E0E9E">
      <w:pPr>
        <w:pStyle w:val="MText"/>
        <w:rPr>
          <w:b/>
          <w:bCs/>
        </w:rPr>
      </w:pPr>
      <w:r w:rsidRPr="009C6BEE">
        <w:rPr>
          <w:b/>
          <w:bCs/>
        </w:rPr>
        <w:t>Concepts:</w:t>
      </w:r>
    </w:p>
    <w:p w14:paraId="245D8227" w14:textId="77777777" w:rsidR="001E0E9E" w:rsidRDefault="001E0E9E" w:rsidP="001E0E9E">
      <w:pPr>
        <w:pStyle w:val="MText"/>
      </w:pPr>
      <w:r>
        <w:lastRenderedPageBreak/>
        <w:t xml:space="preserve">Weighted average: </w:t>
      </w:r>
      <w:proofErr w:type="gramStart"/>
      <w:r>
        <w:t>In order to</w:t>
      </w:r>
      <w:proofErr w:type="gramEnd"/>
      <w:r>
        <w:t xml:space="preserve"> aggregate tariff value for country groups it is recommended to make use of a weighting methodology based on the value of goods imported.</w:t>
      </w:r>
    </w:p>
    <w:p w14:paraId="3256E68A" w14:textId="77777777" w:rsidR="001E0E9E" w:rsidRDefault="001E0E9E" w:rsidP="001E0E9E">
      <w:pPr>
        <w:pStyle w:val="MText"/>
      </w:pPr>
    </w:p>
    <w:p w14:paraId="4AD703D7" w14:textId="77777777" w:rsidR="001E0E9E" w:rsidRDefault="001E0E9E" w:rsidP="001E0E9E">
      <w:pPr>
        <w:pStyle w:val="MText"/>
      </w:pPr>
      <w:r>
        <w:t>Tariffs: Tariffs are customs duties on merchandise imports, levied either on an ad valorem basis (percentage of value) or on a specific basis (</w:t>
      </w:r>
      <w:proofErr w:type="gramStart"/>
      <w:r>
        <w:t>e.g.</w:t>
      </w:r>
      <w:proofErr w:type="gramEnd"/>
      <w:r>
        <w:t xml:space="preserve"> $7 per 100 kg). Tariffs can be used to create a price advantage for similar </w:t>
      </w:r>
      <w:proofErr w:type="gramStart"/>
      <w:r>
        <w:t>locally-produced</w:t>
      </w:r>
      <w:proofErr w:type="gramEnd"/>
      <w:r>
        <w:t xml:space="preserve"> goods and for raising government revenues. Trade remedy measures and taxes are not considered to be tariffs.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69A9E11E" w:rsidR="00EC2915" w:rsidRDefault="00610985" w:rsidP="00576CFA">
      <w:pPr>
        <w:pStyle w:val="MText"/>
      </w:pPr>
      <w:r w:rsidRPr="00610985">
        <w:t>The main information used to calculate indicators 17.10.1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610985">
        <w:t>MAcMap</w:t>
      </w:r>
      <w:proofErr w:type="spellEnd"/>
      <w:r w:rsidRPr="00610985">
        <w:t>) - http://www.macmap.org/ - WTO (IDB) - http://tao.wto.org - and UNCTAD (TRAINS) databases. Import tariff data included in the ITC (</w:t>
      </w:r>
      <w:proofErr w:type="spellStart"/>
      <w:r w:rsidRPr="00610985">
        <w:t>MAcMap</w:t>
      </w:r>
      <w:proofErr w:type="spellEnd"/>
      <w:r w:rsidRPr="00610985">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p w14:paraId="352E355C" w14:textId="77777777" w:rsidR="00610985" w:rsidRPr="00A96255" w:rsidRDefault="0061098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31E7CC7" w:rsidR="00576CFA" w:rsidRPr="00A96255" w:rsidRDefault="00610985" w:rsidP="00576CFA">
      <w:pPr>
        <w:pStyle w:val="MText"/>
      </w:pPr>
      <w:r w:rsidRPr="00610985">
        <w:t>Continuously update all year round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26913A9" w:rsidR="00576CFA" w:rsidRPr="00A96255" w:rsidRDefault="00610985" w:rsidP="00576CFA">
      <w:pPr>
        <w:pStyle w:val="MText"/>
      </w:pPr>
      <w:r w:rsidRPr="00610985">
        <w:t>Indicatively the indicators calculations can be ready by March every year. However, the date of release will depend on the period envisaged for the launching of the SDG monitoring report.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EC7B08F" w:rsidR="00576CFA" w:rsidRPr="00A96255" w:rsidRDefault="00610985" w:rsidP="00576CFA">
      <w:pPr>
        <w:pStyle w:val="MText"/>
      </w:pPr>
      <w:r w:rsidRPr="00610985">
        <w:t>ITC, WTO and UNCTAD will jointly report on this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47083FF9" w:rsidR="00576CFA" w:rsidRDefault="001E0E9E" w:rsidP="001E0E9E">
      <w:pPr>
        <w:pStyle w:val="MText"/>
      </w:pPr>
      <w:r>
        <w:t>The average level of customs tariff rates applied worldwide can be used as an indicator of the degree of success achieved by multilateral negotiations and regional trade agreements.</w:t>
      </w:r>
    </w:p>
    <w:p w14:paraId="228B1431" w14:textId="77777777" w:rsidR="001E0E9E" w:rsidRPr="00A96255" w:rsidRDefault="001E0E9E" w:rsidP="001E0E9E">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3797794" w14:textId="4BE25DAE" w:rsidR="001E0E9E" w:rsidRDefault="00546097" w:rsidP="001E0E9E">
      <w:pPr>
        <w:pStyle w:val="MText"/>
      </w:pPr>
      <w:r>
        <w:t>T</w:t>
      </w:r>
      <w:r w:rsidR="001E0E9E">
        <w:t>ariffs are only part of the factors that can explain the degree of openness and transparency in the international trade arena. However, accurate estimates on non-tariff measures or of transparency indicator do not exist.</w:t>
      </w:r>
    </w:p>
    <w:p w14:paraId="05ED1ECB" w14:textId="77777777" w:rsidR="001E0E9E" w:rsidRDefault="001E0E9E" w:rsidP="001E0E9E">
      <w:pPr>
        <w:pStyle w:val="MText"/>
      </w:pPr>
    </w:p>
    <w:p w14:paraId="74C303CC" w14:textId="77777777" w:rsidR="001E0E9E" w:rsidRDefault="001E0E9E" w:rsidP="001E0E9E">
      <w:pPr>
        <w:pStyle w:val="MText"/>
      </w:pPr>
      <w:r>
        <w:t xml:space="preserve">To further refine the quality of the information, additional sub-measurements could be calculated </w:t>
      </w:r>
      <w:proofErr w:type="gramStart"/>
      <w:r>
        <w:t>including:</w:t>
      </w:r>
      <w:proofErr w:type="gramEnd"/>
      <w:r>
        <w:t xml:space="preserve"> a) Tariff peaks (i.e. % of tariffs on some products that are considerably higher than usual, defined as above 15 per cent) and b) Tariff escalation (i.e. wherein a country applies a higher tariff rate to products at the later stages of production). These calculations were already provided by ITC as part of the MDG Gap Task Force Report. See the report for further information on the methodology at http://www.un.org/en/development/desa/policy/mdg_gap/mdg_gap2014/2014GAP_FULL_EN.pdf</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4047A66" w:rsidR="00576CFA" w:rsidRPr="00A96255" w:rsidRDefault="001E0E9E" w:rsidP="00576CFA">
      <w:pPr>
        <w:pStyle w:val="MText"/>
      </w:pPr>
      <w:r w:rsidRPr="001E0E9E">
        <w:t>In order to include all tariffs into the calculation, some rates which are not expressed in ad valorem form (e.g., specific duties) are converted in ad valorem equivalents (</w:t>
      </w:r>
      <w:proofErr w:type="gramStart"/>
      <w:r w:rsidRPr="001E0E9E">
        <w:t>i.e.</w:t>
      </w:r>
      <w:proofErr w:type="gramEnd"/>
      <w:r w:rsidRPr="001E0E9E">
        <w:t xml:space="preserve"> in per cent of the import value), The conversion is made at the tariff line level for each importer by using the unit value method. Import unit values are calculated from import values and quantities. Only a limited number of non-ad valorem tariff rates (</w:t>
      </w:r>
      <w:proofErr w:type="gramStart"/>
      <w:r w:rsidRPr="001E0E9E">
        <w:t>i.e.</w:t>
      </w:r>
      <w:proofErr w:type="gramEnd"/>
      <w:r w:rsidRPr="001E0E9E">
        <w:t xml:space="preserve"> technical duties) cannot be provided with ad valorem equivalents (AVE) and are excluded from the calculation. This methodology also allows for cross-country comparisons.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6A2AE8D7" w14:textId="77777777" w:rsidR="001E0E9E" w:rsidRPr="00546097" w:rsidRDefault="001E0E9E" w:rsidP="001E0E9E">
      <w:pPr>
        <w:pStyle w:val="MText"/>
        <w:rPr>
          <w:b/>
          <w:bCs/>
        </w:rPr>
      </w:pPr>
      <w:r w:rsidRPr="00546097">
        <w:rPr>
          <w:b/>
          <w:bCs/>
        </w:rPr>
        <w:t>•</w:t>
      </w:r>
      <w:r w:rsidRPr="00546097">
        <w:rPr>
          <w:b/>
          <w:bCs/>
        </w:rPr>
        <w:tab/>
        <w:t>At country level</w:t>
      </w:r>
    </w:p>
    <w:p w14:paraId="0B336FE7" w14:textId="77777777" w:rsidR="001E0E9E" w:rsidRDefault="001E0E9E" w:rsidP="001E0E9E">
      <w:pPr>
        <w:pStyle w:val="MText"/>
      </w:pPr>
    </w:p>
    <w:p w14:paraId="4F58A4B1" w14:textId="77777777" w:rsidR="001E0E9E" w:rsidRDefault="001E0E9E" w:rsidP="001E0E9E">
      <w:pPr>
        <w:pStyle w:val="MText"/>
      </w:pPr>
      <w:r>
        <w:t>Missing values are calculated using the most recent year available.</w:t>
      </w:r>
    </w:p>
    <w:p w14:paraId="16B307D9" w14:textId="77777777" w:rsidR="001E0E9E" w:rsidRDefault="001E0E9E" w:rsidP="001E0E9E">
      <w:pPr>
        <w:pStyle w:val="MText"/>
      </w:pPr>
    </w:p>
    <w:p w14:paraId="6D40D8BC" w14:textId="77777777" w:rsidR="001E0E9E" w:rsidRPr="00546097" w:rsidRDefault="001E0E9E" w:rsidP="001E0E9E">
      <w:pPr>
        <w:pStyle w:val="MText"/>
        <w:rPr>
          <w:b/>
          <w:bCs/>
        </w:rPr>
      </w:pPr>
      <w:r w:rsidRPr="00546097">
        <w:rPr>
          <w:b/>
          <w:bCs/>
        </w:rPr>
        <w:t>•</w:t>
      </w:r>
      <w:r w:rsidRPr="00546097">
        <w:rPr>
          <w:b/>
          <w:bCs/>
        </w:rPr>
        <w:tab/>
        <w:t>At regional and global levels</w:t>
      </w:r>
    </w:p>
    <w:p w14:paraId="6BC79A62" w14:textId="77777777" w:rsidR="001E0E9E" w:rsidRDefault="001E0E9E" w:rsidP="001E0E9E">
      <w:pPr>
        <w:pStyle w:val="MText"/>
      </w:pPr>
    </w:p>
    <w:p w14:paraId="637A85A1" w14:textId="77777777" w:rsidR="001E0E9E" w:rsidRDefault="001E0E9E" w:rsidP="001E0E9E">
      <w:pPr>
        <w:pStyle w:val="MText"/>
      </w:pPr>
      <w:r>
        <w:t>Missing values are calculated using the most recent year available.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62104ABF" w:rsidR="00EC2915" w:rsidRDefault="00610985" w:rsidP="00576CFA">
      <w:pPr>
        <w:pStyle w:val="MText"/>
      </w:pPr>
      <w:r w:rsidRPr="00610985">
        <w:t>HS 6-digit tariff averages weighted with HS 6-digit bilateral import flows for traded national tariff lines.</w:t>
      </w:r>
    </w:p>
    <w:p w14:paraId="261071B5" w14:textId="77777777" w:rsidR="00546097" w:rsidRPr="00A96255" w:rsidRDefault="00546097"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546097" w:rsidRDefault="00D51E7C" w:rsidP="00576CFA">
      <w:pPr>
        <w:pStyle w:val="MText"/>
        <w:rPr>
          <w:b/>
          <w:bCs/>
        </w:rPr>
      </w:pPr>
      <w:r w:rsidRPr="00546097">
        <w:rPr>
          <w:b/>
          <w:bCs/>
        </w:rPr>
        <w:t>Data availability:</w:t>
      </w:r>
    </w:p>
    <w:p w14:paraId="5D61A32F" w14:textId="77777777" w:rsidR="00610985" w:rsidRDefault="00610985" w:rsidP="00610985">
      <w:pPr>
        <w:pStyle w:val="MText"/>
      </w:pPr>
      <w:r>
        <w:t>Asia and Pacific: 42</w:t>
      </w:r>
    </w:p>
    <w:p w14:paraId="05BE1EEA" w14:textId="77777777" w:rsidR="00610985" w:rsidRDefault="00610985" w:rsidP="00610985">
      <w:pPr>
        <w:pStyle w:val="MText"/>
      </w:pPr>
      <w:r>
        <w:t>Africa: 49</w:t>
      </w:r>
    </w:p>
    <w:p w14:paraId="69B4AC81" w14:textId="77777777" w:rsidR="00610985" w:rsidRDefault="00610985" w:rsidP="00610985">
      <w:pPr>
        <w:pStyle w:val="MText"/>
      </w:pPr>
      <w:r>
        <w:t>Latin America and the Caribbean: 34</w:t>
      </w:r>
    </w:p>
    <w:p w14:paraId="534AC53A" w14:textId="77777777" w:rsidR="00610985" w:rsidRDefault="00610985" w:rsidP="00610985">
      <w:pPr>
        <w:pStyle w:val="MText"/>
      </w:pPr>
      <w:r>
        <w:t xml:space="preserve">Europe, North America, Australia, New </w:t>
      </w:r>
      <w:proofErr w:type="gramStart"/>
      <w:r>
        <w:t>Zealand</w:t>
      </w:r>
      <w:proofErr w:type="gramEnd"/>
      <w:r>
        <w:t xml:space="preserve"> and Japan: 48</w:t>
      </w:r>
    </w:p>
    <w:p w14:paraId="767D1F47" w14:textId="77777777" w:rsidR="00610985" w:rsidRDefault="00610985" w:rsidP="00610985">
      <w:pPr>
        <w:pStyle w:val="MText"/>
      </w:pPr>
    </w:p>
    <w:p w14:paraId="7DE218F7" w14:textId="4E57BA72" w:rsidR="00610985" w:rsidRPr="00546097" w:rsidRDefault="00610985" w:rsidP="00610985">
      <w:pPr>
        <w:pStyle w:val="MText"/>
        <w:rPr>
          <w:b/>
          <w:bCs/>
        </w:rPr>
      </w:pPr>
      <w:r w:rsidRPr="00546097">
        <w:rPr>
          <w:b/>
          <w:bCs/>
        </w:rPr>
        <w:t>Time series:</w:t>
      </w:r>
    </w:p>
    <w:p w14:paraId="65E4C825" w14:textId="77777777" w:rsidR="00610985" w:rsidRDefault="00610985" w:rsidP="00610985">
      <w:pPr>
        <w:pStyle w:val="MText"/>
      </w:pPr>
      <w:r>
        <w:t xml:space="preserve">Yearly data from 2005 to latest year </w:t>
      </w:r>
    </w:p>
    <w:p w14:paraId="760C013A" w14:textId="4597FCBD" w:rsidR="00D51E7C" w:rsidRPr="00C019E5" w:rsidRDefault="00D51E7C" w:rsidP="00576CFA">
      <w:pPr>
        <w:pStyle w:val="MText"/>
        <w:rPr>
          <w:highlight w:val="cyan"/>
        </w:rPr>
      </w:pPr>
    </w:p>
    <w:p w14:paraId="43045B64" w14:textId="257D65AF" w:rsidR="001E0E9E" w:rsidRPr="00546097" w:rsidRDefault="001E0E9E" w:rsidP="001E0E9E">
      <w:pPr>
        <w:pStyle w:val="MText"/>
        <w:rPr>
          <w:b/>
          <w:bCs/>
        </w:rPr>
      </w:pPr>
      <w:r w:rsidRPr="00546097">
        <w:rPr>
          <w:b/>
          <w:bCs/>
        </w:rPr>
        <w:t>Disaggregation:</w:t>
      </w:r>
    </w:p>
    <w:p w14:paraId="1932E731" w14:textId="77777777" w:rsidR="001E0E9E" w:rsidRDefault="001E0E9E" w:rsidP="001E0E9E">
      <w:pPr>
        <w:pStyle w:val="MText"/>
      </w:pPr>
      <w:r>
        <w:t>Disaggregation is available by product sector (</w:t>
      </w:r>
      <w:proofErr w:type="gramStart"/>
      <w:r>
        <w:t>e.g.</w:t>
      </w:r>
      <w:proofErr w:type="gramEnd"/>
      <w:r>
        <w:t xml:space="preserve"> Agriculture, Textile, Environmental goods), geographical regions and country income level (e.g. Developed, Developing, LDCs)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F8E2970" w14:textId="77777777" w:rsidR="00610985" w:rsidRPr="00546097" w:rsidRDefault="00610985" w:rsidP="00610985">
      <w:pPr>
        <w:pStyle w:val="MText"/>
        <w:rPr>
          <w:b/>
          <w:bCs/>
        </w:rPr>
      </w:pPr>
      <w:r w:rsidRPr="00546097">
        <w:rPr>
          <w:b/>
          <w:bCs/>
        </w:rPr>
        <w:t>Sources of discrepancies:</w:t>
      </w:r>
    </w:p>
    <w:p w14:paraId="5AB6DD91" w14:textId="6E8C0E48" w:rsidR="00F719A8" w:rsidRDefault="00610985" w:rsidP="00610985">
      <w:pPr>
        <w:pStyle w:val="MText"/>
      </w:pPr>
      <w:r>
        <w:t>Not applicable</w:t>
      </w:r>
    </w:p>
    <w:p w14:paraId="09787E25" w14:textId="77777777" w:rsidR="00610985" w:rsidRPr="00A96255" w:rsidRDefault="00610985" w:rsidP="00610985">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221D82E" w14:textId="77777777" w:rsidR="00610985" w:rsidRPr="00546097" w:rsidRDefault="00610985" w:rsidP="00610985">
      <w:pPr>
        <w:pStyle w:val="MText"/>
        <w:rPr>
          <w:b/>
          <w:bCs/>
        </w:rPr>
      </w:pPr>
      <w:r w:rsidRPr="00546097">
        <w:rPr>
          <w:b/>
          <w:bCs/>
        </w:rPr>
        <w:t>URL:</w:t>
      </w:r>
    </w:p>
    <w:p w14:paraId="076F18A8" w14:textId="77777777" w:rsidR="00610985" w:rsidRDefault="00610985" w:rsidP="00610985">
      <w:pPr>
        <w:pStyle w:val="MText"/>
      </w:pPr>
    </w:p>
    <w:p w14:paraId="4C11A47F" w14:textId="77777777" w:rsidR="00610985" w:rsidRDefault="00610985" w:rsidP="00610985">
      <w:pPr>
        <w:pStyle w:val="MText"/>
      </w:pPr>
      <w:r>
        <w:t>http://www.intracen.org / www.wto.org / http://unctad.org/en/Pages/Home.aspx</w:t>
      </w:r>
    </w:p>
    <w:p w14:paraId="5BE07034" w14:textId="77777777" w:rsidR="00610985" w:rsidRDefault="00610985" w:rsidP="00610985">
      <w:pPr>
        <w:pStyle w:val="MText"/>
      </w:pPr>
    </w:p>
    <w:p w14:paraId="4C3D7373" w14:textId="77777777" w:rsidR="00610985" w:rsidRPr="00546097" w:rsidRDefault="00610985" w:rsidP="00610985">
      <w:pPr>
        <w:pStyle w:val="MText"/>
        <w:rPr>
          <w:b/>
          <w:bCs/>
        </w:rPr>
      </w:pPr>
      <w:r w:rsidRPr="00546097">
        <w:rPr>
          <w:b/>
          <w:bCs/>
        </w:rPr>
        <w:t>References:</w:t>
      </w:r>
    </w:p>
    <w:p w14:paraId="6C82E694" w14:textId="77777777" w:rsidR="00610985" w:rsidRDefault="00610985" w:rsidP="00610985">
      <w:pPr>
        <w:pStyle w:val="MText"/>
      </w:pPr>
    </w:p>
    <w:p w14:paraId="384B0992" w14:textId="157AB945" w:rsidR="00186795" w:rsidRDefault="00610985" w:rsidP="00564DDF">
      <w:pPr>
        <w:pStyle w:val="MText"/>
      </w:pPr>
      <w:r>
        <w:t>Not references</w:t>
      </w: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D6180" w14:textId="77777777" w:rsidR="00A50DEF" w:rsidRDefault="00A50DEF" w:rsidP="00573C0B">
      <w:pPr>
        <w:spacing w:after="0" w:line="240" w:lineRule="auto"/>
      </w:pPr>
      <w:r>
        <w:separator/>
      </w:r>
    </w:p>
  </w:endnote>
  <w:endnote w:type="continuationSeparator" w:id="0">
    <w:p w14:paraId="0A2D455F" w14:textId="77777777" w:rsidR="00A50DEF" w:rsidRDefault="00A50DEF" w:rsidP="00573C0B">
      <w:pPr>
        <w:spacing w:after="0" w:line="240" w:lineRule="auto"/>
      </w:pPr>
      <w:r>
        <w:continuationSeparator/>
      </w:r>
    </w:p>
  </w:endnote>
  <w:endnote w:type="continuationNotice" w:id="1">
    <w:p w14:paraId="56F4C6F6" w14:textId="77777777" w:rsidR="00A50DEF" w:rsidRDefault="00A50D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C59F2BE" w14:paraId="527CEDCA" w14:textId="77777777" w:rsidTr="0C59F2BE">
      <w:tc>
        <w:tcPr>
          <w:tcW w:w="3005" w:type="dxa"/>
        </w:tcPr>
        <w:p w14:paraId="61760EED" w14:textId="3CED2920" w:rsidR="0C59F2BE" w:rsidRDefault="0C59F2BE" w:rsidP="0C59F2BE">
          <w:pPr>
            <w:pStyle w:val="Header"/>
            <w:ind w:left="-115"/>
          </w:pPr>
        </w:p>
      </w:tc>
      <w:tc>
        <w:tcPr>
          <w:tcW w:w="3005" w:type="dxa"/>
        </w:tcPr>
        <w:p w14:paraId="77F6A63B" w14:textId="3829DD32" w:rsidR="0C59F2BE" w:rsidRDefault="0C59F2BE" w:rsidP="0C59F2BE">
          <w:pPr>
            <w:pStyle w:val="Header"/>
            <w:jc w:val="center"/>
          </w:pPr>
        </w:p>
      </w:tc>
      <w:tc>
        <w:tcPr>
          <w:tcW w:w="3005" w:type="dxa"/>
        </w:tcPr>
        <w:p w14:paraId="7FF8E5FD" w14:textId="74820164" w:rsidR="0C59F2BE" w:rsidRDefault="0C59F2BE" w:rsidP="0C59F2BE">
          <w:pPr>
            <w:pStyle w:val="Header"/>
            <w:ind w:right="-115"/>
            <w:jc w:val="right"/>
          </w:pPr>
        </w:p>
      </w:tc>
    </w:tr>
  </w:tbl>
  <w:p w14:paraId="1F167F3B" w14:textId="49CEC240" w:rsidR="0C59F2BE" w:rsidRDefault="0C59F2BE" w:rsidP="0C59F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FA3DB" w14:textId="77777777" w:rsidR="00A50DEF" w:rsidRDefault="00A50DEF" w:rsidP="00573C0B">
      <w:pPr>
        <w:spacing w:after="0" w:line="240" w:lineRule="auto"/>
      </w:pPr>
      <w:r>
        <w:separator/>
      </w:r>
    </w:p>
  </w:footnote>
  <w:footnote w:type="continuationSeparator" w:id="0">
    <w:p w14:paraId="4D44698C" w14:textId="77777777" w:rsidR="00A50DEF" w:rsidRDefault="00A50DEF" w:rsidP="00573C0B">
      <w:pPr>
        <w:spacing w:after="0" w:line="240" w:lineRule="auto"/>
      </w:pPr>
      <w:r>
        <w:continuationSeparator/>
      </w:r>
    </w:p>
  </w:footnote>
  <w:footnote w:type="continuationNotice" w:id="1">
    <w:p w14:paraId="00C5E6F3" w14:textId="77777777" w:rsidR="00A50DEF" w:rsidRDefault="00A50D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7734977" w:rsidR="00077F46" w:rsidRPr="00757E8A" w:rsidRDefault="0C59F2BE"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C59F2BE">
      <w:rPr>
        <w:color w:val="404040" w:themeColor="text1" w:themeTint="BF"/>
        <w:sz w:val="18"/>
        <w:szCs w:val="18"/>
      </w:rPr>
      <w:t>Last updated:</w:t>
    </w:r>
    <w:bookmarkEnd w:id="5"/>
    <w:bookmarkEnd w:id="6"/>
    <w:bookmarkEnd w:id="7"/>
    <w:bookmarkEnd w:id="8"/>
    <w:bookmarkEnd w:id="9"/>
    <w:bookmarkEnd w:id="10"/>
    <w:r w:rsidRPr="0C59F2BE">
      <w:rPr>
        <w:color w:val="404040" w:themeColor="text1" w:themeTint="BF"/>
        <w:sz w:val="18"/>
        <w:szCs w:val="18"/>
      </w:rPr>
      <w:t xml:space="preserve"> 2016-07-19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E68CD"/>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0E9E"/>
    <w:rsid w:val="00261A8D"/>
    <w:rsid w:val="00283C1C"/>
    <w:rsid w:val="00291A00"/>
    <w:rsid w:val="00291A11"/>
    <w:rsid w:val="002A315C"/>
    <w:rsid w:val="002A3342"/>
    <w:rsid w:val="002A64BA"/>
    <w:rsid w:val="002B4989"/>
    <w:rsid w:val="002C2510"/>
    <w:rsid w:val="002D714E"/>
    <w:rsid w:val="002E53C3"/>
    <w:rsid w:val="002F1468"/>
    <w:rsid w:val="002F5F0C"/>
    <w:rsid w:val="00301B92"/>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1A9D"/>
    <w:rsid w:val="00514DBF"/>
    <w:rsid w:val="00546097"/>
    <w:rsid w:val="00550921"/>
    <w:rsid w:val="00563712"/>
    <w:rsid w:val="00564DDF"/>
    <w:rsid w:val="00573631"/>
    <w:rsid w:val="00573C0B"/>
    <w:rsid w:val="00576CFA"/>
    <w:rsid w:val="0058556D"/>
    <w:rsid w:val="00592AF2"/>
    <w:rsid w:val="005947AD"/>
    <w:rsid w:val="00597748"/>
    <w:rsid w:val="005979E8"/>
    <w:rsid w:val="005D0AF4"/>
    <w:rsid w:val="005E54BD"/>
    <w:rsid w:val="005F6CCA"/>
    <w:rsid w:val="006104AF"/>
    <w:rsid w:val="00610985"/>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6BEE"/>
    <w:rsid w:val="009C78E4"/>
    <w:rsid w:val="009D687E"/>
    <w:rsid w:val="009F6DE7"/>
    <w:rsid w:val="00A10583"/>
    <w:rsid w:val="00A37FCB"/>
    <w:rsid w:val="00A50DEF"/>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C59F2BE"/>
    <w:rsid w:val="3112710F"/>
    <w:rsid w:val="5FB52C76"/>
    <w:rsid w:val="7D8083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B0BB3EA-6326-449C-8CCC-D6013B3BDE6C}"/>
      </w:docPartPr>
      <w:docPartBody>
        <w:p w:rsidR="00000000" w:rsidRDefault="004B347A">
          <w:r w:rsidRPr="00BD087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7A"/>
    <w:rsid w:val="004B34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4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04E6C3-E938-4E50-9B6C-7D1635E7B522}">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purl.org/dc/terms/"/>
    <ds:schemaRef ds:uri="d114b01d-ae01-4749-b845-9d88e7ef5c0e"/>
    <ds:schemaRef ds:uri="http://purl.org/dc/elements/1.1/"/>
    <ds:schemaRef ds:uri="http://schemas.openxmlformats.org/package/2006/metadata/core-properties"/>
    <ds:schemaRef ds:uri="http://purl.org/dc/dcmitype/"/>
    <ds:schemaRef ds:uri="http://schemas.microsoft.com/office/2006/documentManagement/types"/>
    <ds:schemaRef ds:uri="f2d2d782-0088-4826-96df-71eba56e6d2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2020-12-13T07:36:00Z</dcterms:created>
  <dcterms:modified xsi:type="dcterms:W3CDTF">2022-12-20T22:53:00Z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