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74216FB1"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B809E7">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0D25512A" w:rsidR="00D24330" w:rsidRPr="00A96255" w:rsidRDefault="00C72E45" w:rsidP="002F5F0C">
      <w:pPr>
        <w:pStyle w:val="MGTHeader"/>
      </w:pPr>
      <w:r w:rsidRPr="00573631">
        <w:t>Goal</w:t>
      </w:r>
      <w:r>
        <w:t xml:space="preserve"> 17: </w:t>
      </w:r>
      <w:r w:rsidRPr="00FF1234">
        <w:t xml:space="preserve">Strengthen the means of implementation and revitalize the </w:t>
      </w:r>
      <w:r w:rsidR="00716A43">
        <w:t>G</w:t>
      </w:r>
      <w:r w:rsidRPr="00FF1234">
        <w:t xml:space="preserve">lobal </w:t>
      </w:r>
      <w:r w:rsidR="0032593C">
        <w:t>P</w:t>
      </w:r>
      <w:r w:rsidRPr="00FF1234">
        <w:t xml:space="preserve">artnership for </w:t>
      </w:r>
      <w:r w:rsidR="00716A43">
        <w:t>S</w:t>
      </w:r>
      <w:r w:rsidRPr="00FF1234">
        <w:t xml:space="preserve">ustainable </w:t>
      </w:r>
      <w:r w:rsidR="00141C4A">
        <w:t>D</w:t>
      </w:r>
      <w:r w:rsidRPr="00FF1234">
        <w:t>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6CBF64BB" w:rsidR="00D24330" w:rsidRPr="00A96255" w:rsidRDefault="00ED5022" w:rsidP="00D24330">
      <w:pPr>
        <w:pStyle w:val="MGTHeader"/>
      </w:pPr>
      <w:r>
        <w:t xml:space="preserve">Target </w:t>
      </w:r>
      <w:r w:rsidRPr="00FF1234">
        <w:t>17.13</w:t>
      </w:r>
      <w:r>
        <w:t>:</w:t>
      </w:r>
      <w:r w:rsidRPr="00FF1234">
        <w:t xml:space="preserve"> Enhance global macroeconomic stability</w:t>
      </w:r>
      <w:r w:rsidR="0014578B">
        <w:t>,</w:t>
      </w:r>
      <w:r w:rsidRPr="00FF1234">
        <w:t xml:space="preserve"> including through policy coordination and policy coherence</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18B06B9D" w:rsidR="00D24330" w:rsidRPr="00A96255" w:rsidRDefault="00E4511D" w:rsidP="00E4511D">
      <w:pPr>
        <w:pStyle w:val="MGTHeader"/>
      </w:pPr>
      <w:r w:rsidRPr="00573631">
        <w:t>Indicator</w:t>
      </w:r>
      <w:r>
        <w:t xml:space="preserve"> 17.13.1</w:t>
      </w:r>
      <w:r w:rsidRPr="00573631">
        <w:t>:</w:t>
      </w:r>
      <w:r w:rsidRPr="00FF1234">
        <w:t xml:space="preserve"> Macroeconomic Dashboard</w:t>
      </w:r>
    </w:p>
    <w:p w14:paraId="37E5E4F6" w14:textId="77777777" w:rsidR="00D24330" w:rsidRPr="00A96255" w:rsidRDefault="00D24330" w:rsidP="00D24330">
      <w:pPr>
        <w:pStyle w:val="MIndHeader"/>
      </w:pPr>
      <w:r>
        <w:t xml:space="preserve">0.d. Series </w:t>
      </w:r>
      <w:r>
        <w:rPr>
          <w:color w:val="B4B4B4"/>
          <w:sz w:val="20"/>
        </w:rPr>
        <w:t>(SDG_SERIES_DESCR)</w:t>
      </w:r>
    </w:p>
    <w:p w14:paraId="4D170232" w14:textId="77777777" w:rsidR="00BC2507" w:rsidRDefault="00BC2507" w:rsidP="00BC2507">
      <w:pPr>
        <w:pStyle w:val="MGTHeader"/>
      </w:pPr>
      <w:r>
        <w:t>BN_CAB_XOKA_GD_ZS - Current account balance as a proportion of GDP (%) [17.13.1]</w:t>
      </w:r>
    </w:p>
    <w:p w14:paraId="06BC045F" w14:textId="77777777" w:rsidR="00BC2507" w:rsidRDefault="00BC2507" w:rsidP="00BC2507">
      <w:pPr>
        <w:pStyle w:val="MGTHeader"/>
      </w:pPr>
      <w:r>
        <w:t>BN_KLT_PTXL_CD - Portfolio investment, net (Balance of Payments, current United States dollars) [17.13.1]</w:t>
      </w:r>
    </w:p>
    <w:p w14:paraId="76005992" w14:textId="77777777" w:rsidR="00BC2507" w:rsidRDefault="00BC2507" w:rsidP="00BC2507">
      <w:pPr>
        <w:pStyle w:val="MGTHeader"/>
      </w:pPr>
      <w:r>
        <w:t>BX_KLT_DINV_WD_GD_ZS - Foreign direct investment, net inflows, as a proportion of GDP (%) [17.13.1]</w:t>
      </w:r>
    </w:p>
    <w:p w14:paraId="06792490" w14:textId="77777777" w:rsidR="00BC2507" w:rsidRDefault="00BC2507" w:rsidP="00BC2507">
      <w:pPr>
        <w:pStyle w:val="MGTHeader"/>
      </w:pPr>
      <w:r>
        <w:t>DP_DOD_DLD2_CR_CG_Z1 - Gross public sector debt, Central Government, as a proportion of GDP (%) [17.13.1]</w:t>
      </w:r>
    </w:p>
    <w:p w14:paraId="707C58CA" w14:textId="77777777" w:rsidR="00BC2507" w:rsidRDefault="00BC2507" w:rsidP="00BC2507">
      <w:pPr>
        <w:pStyle w:val="MGTHeader"/>
      </w:pPr>
      <w:r>
        <w:t>DT_DOD_DECT_GN_ZS - External debt stocks as a proportion of GNI (%) [17.13.1]</w:t>
      </w:r>
    </w:p>
    <w:p w14:paraId="6D672B3A" w14:textId="77777777" w:rsidR="00BC2507" w:rsidRDefault="00BC2507" w:rsidP="00BC2507">
      <w:pPr>
        <w:pStyle w:val="MGTHeader"/>
      </w:pPr>
      <w:r>
        <w:t>FB_BNK_CAPA_ZS - Bank capital to assets ratio (%) [17.13.1]</w:t>
      </w:r>
    </w:p>
    <w:p w14:paraId="29F23500" w14:textId="77777777" w:rsidR="00BC2507" w:rsidRDefault="00BC2507" w:rsidP="00BC2507">
      <w:pPr>
        <w:pStyle w:val="MGTHeader"/>
      </w:pPr>
      <w:r>
        <w:t>FI_RES_TOTL_MO - Total reserves in months of imports (ratio) [17.13.1]</w:t>
      </w:r>
    </w:p>
    <w:p w14:paraId="4BE80E40" w14:textId="77777777" w:rsidR="00BC2507" w:rsidRDefault="00BC2507" w:rsidP="00BC2507">
      <w:pPr>
        <w:pStyle w:val="MGTHeader"/>
      </w:pPr>
      <w:r>
        <w:t>FM_LBL_BMNY_IR_ZS - Broad money to total reserves ratio [17.13.1]</w:t>
      </w:r>
    </w:p>
    <w:p w14:paraId="20779182" w14:textId="77777777" w:rsidR="00BC2507" w:rsidRDefault="00BC2507" w:rsidP="00BC2507">
      <w:pPr>
        <w:pStyle w:val="MGTHeader"/>
      </w:pPr>
      <w:r>
        <w:t>FM_LBL_BMNY_ZG - Annual broad money growth (%) [17.13.1]</w:t>
      </w:r>
    </w:p>
    <w:p w14:paraId="2615DD0E" w14:textId="77777777" w:rsidR="00BC2507" w:rsidRDefault="00BC2507" w:rsidP="00BC2507">
      <w:pPr>
        <w:pStyle w:val="MGTHeader"/>
      </w:pPr>
      <w:r>
        <w:t>FP_CPI_TOTL_ZG - Annual inflation, consumer prices (%) [17.13.1]</w:t>
      </w:r>
    </w:p>
    <w:p w14:paraId="2FCE17BC" w14:textId="77777777" w:rsidR="00BC2507" w:rsidRDefault="00BC2507" w:rsidP="00BC2507">
      <w:pPr>
        <w:pStyle w:val="MGTHeader"/>
      </w:pPr>
      <w:r>
        <w:t>GC_BAL_CASH_GD_ZS - Cash surplus/deficit as a proportion of GDP [17.13.1]</w:t>
      </w:r>
    </w:p>
    <w:p w14:paraId="1071633D" w14:textId="77777777" w:rsidR="00BC2507" w:rsidRDefault="00BC2507" w:rsidP="00BC2507">
      <w:pPr>
        <w:pStyle w:val="MGTHeader"/>
      </w:pPr>
      <w:r>
        <w:t>GC_TAX_TOTL_GD_ZS - Tax revenue as a proportion of GDP (%) [17.13.1]</w:t>
      </w:r>
    </w:p>
    <w:p w14:paraId="68F8C9C3" w14:textId="77777777" w:rsidR="00BC2507" w:rsidRDefault="00BC2507" w:rsidP="00BC2507">
      <w:pPr>
        <w:pStyle w:val="MGTHeader"/>
      </w:pPr>
      <w:r>
        <w:t>NE_CON_GOVT_KD_ZG - Annual growth of the general government final consumption expenditure (%) [17.13.1]</w:t>
      </w:r>
    </w:p>
    <w:p w14:paraId="2B613D4B" w14:textId="77777777" w:rsidR="00BC2507" w:rsidRDefault="00BC2507" w:rsidP="00BC2507">
      <w:pPr>
        <w:pStyle w:val="MGTHeader"/>
      </w:pPr>
      <w:r>
        <w:t>NE_CON_PRVT_KD_ZG - Annual growth of households and NPISHs final consumption expenditure [17.13.1]</w:t>
      </w:r>
    </w:p>
    <w:p w14:paraId="4C793EF6" w14:textId="77777777" w:rsidR="00BC2507" w:rsidRDefault="00BC2507" w:rsidP="00BC2507">
      <w:pPr>
        <w:pStyle w:val="MGTHeader"/>
      </w:pPr>
      <w:r>
        <w:t>NE_EXP_GNFS_KD_ZG - Annual growth of exports of goods and services (%) [17.13.1]</w:t>
      </w:r>
    </w:p>
    <w:p w14:paraId="62713F9A" w14:textId="77777777" w:rsidR="00BC2507" w:rsidRDefault="00BC2507" w:rsidP="00BC2507">
      <w:pPr>
        <w:pStyle w:val="MGTHeader"/>
      </w:pPr>
      <w:r>
        <w:t>NE_GDI_TOTL_KD_ZG - Annual growth of the gross capital formation (%) [17.13.1]</w:t>
      </w:r>
    </w:p>
    <w:p w14:paraId="2DA1E7CA" w14:textId="77777777" w:rsidR="00BC2507" w:rsidRDefault="00BC2507" w:rsidP="00BC2507">
      <w:pPr>
        <w:pStyle w:val="MGTHeader"/>
      </w:pPr>
      <w:r>
        <w:t>NE_IMP_GNFS_KD_ZG - Annual growth of imports of goods and services (%) [17.13.1]</w:t>
      </w:r>
    </w:p>
    <w:p w14:paraId="3745F8FD" w14:textId="77777777" w:rsidR="00BC2507" w:rsidRDefault="00BC2507" w:rsidP="00BC2507">
      <w:pPr>
        <w:pStyle w:val="MGTHeader"/>
      </w:pPr>
      <w:r>
        <w:t>NY_GDP_MKTP_KD_ZG - Annual GDP growth (%) [17.13.1]</w:t>
      </w:r>
    </w:p>
    <w:p w14:paraId="126DDC20" w14:textId="77777777" w:rsidR="00BC2507" w:rsidRDefault="00BC2507" w:rsidP="00BC2507">
      <w:pPr>
        <w:pStyle w:val="MGTHeader"/>
      </w:pPr>
      <w:r>
        <w:t>PA_NUS_ATLS - DEC alternative conversion factor (in local currency unit per United States dollar) [17.13.1]</w:t>
      </w:r>
    </w:p>
    <w:p w14:paraId="1BA285C7" w14:textId="77777777" w:rsidR="00BC2507" w:rsidRDefault="00BC2507" w:rsidP="00BC2507">
      <w:pPr>
        <w:pStyle w:val="MGTHeader"/>
      </w:pPr>
      <w:r>
        <w:t>TG_VAL_TOTL_GD_ZS - Merchandise trade as a proportion of GDP (%) [17.13.1]</w:t>
      </w:r>
    </w:p>
    <w:p w14:paraId="44F2E814" w14:textId="77777777" w:rsidR="00BC2507" w:rsidRDefault="00BC2507" w:rsidP="00BC2507">
      <w:pPr>
        <w:pStyle w:val="MGTHeader"/>
      </w:pPr>
    </w:p>
    <w:p w14:paraId="35BE175D" w14:textId="77777777" w:rsidR="00BC2507" w:rsidRDefault="00BC2507" w:rsidP="00BC2507">
      <w:pPr>
        <w:pStyle w:val="MGTHeader"/>
      </w:pPr>
      <w:r>
        <w:t>Series that are part of the dashboard but already associated with other indicators are listed below.</w:t>
      </w:r>
    </w:p>
    <w:p w14:paraId="58932B4B" w14:textId="77777777" w:rsidR="00BC2507" w:rsidRDefault="00BC2507" w:rsidP="00BC2507">
      <w:pPr>
        <w:pStyle w:val="MGTHeader"/>
      </w:pPr>
    </w:p>
    <w:p w14:paraId="20F0B44A" w14:textId="77777777" w:rsidR="00BC2507" w:rsidRDefault="00BC2507" w:rsidP="00BC2507">
      <w:pPr>
        <w:pStyle w:val="MGTHeader"/>
      </w:pPr>
      <w:r>
        <w:t xml:space="preserve">FI_FSI_FSANL - Non-performing loans to total gross loans (%) [10.5.1] </w:t>
      </w:r>
    </w:p>
    <w:p w14:paraId="4D413EC4" w14:textId="67A031C3" w:rsidR="00BC2507" w:rsidRDefault="00BC2507" w:rsidP="00BC2507">
      <w:pPr>
        <w:pStyle w:val="MGTHeader"/>
      </w:pPr>
      <w:r>
        <w:t xml:space="preserve">DT_TDS_DECT - Debt service as a proportion of exports of </w:t>
      </w:r>
      <w:proofErr w:type="spellStart"/>
      <w:proofErr w:type="gramStart"/>
      <w:r>
        <w:t>goods</w:t>
      </w:r>
      <w:r w:rsidR="00E40D0F">
        <w:t>,</w:t>
      </w:r>
      <w:r>
        <w:t>services</w:t>
      </w:r>
      <w:proofErr w:type="spellEnd"/>
      <w:proofErr w:type="gramEnd"/>
      <w:r w:rsidR="00E40D0F">
        <w:t xml:space="preserve"> and primary income</w:t>
      </w:r>
      <w:r>
        <w:t xml:space="preserve"> [17.4.1]</w:t>
      </w:r>
    </w:p>
    <w:p w14:paraId="5B11D4C5" w14:textId="77777777" w:rsidR="00BC2507" w:rsidRDefault="00BC2507" w:rsidP="00BC2507">
      <w:pPr>
        <w:pStyle w:val="MGTHeader"/>
      </w:pPr>
      <w:r>
        <w:t xml:space="preserve">BX_TRF_PWKR - Volume of remittances (in United States dollars) as a proportion of total GDP [17.3.2] </w:t>
      </w:r>
    </w:p>
    <w:p w14:paraId="771888BA" w14:textId="75891FDE" w:rsidR="00D24330" w:rsidRPr="00A96255" w:rsidRDefault="00BC2507" w:rsidP="006752AD">
      <w:pPr>
        <w:pStyle w:val="MGTHeader"/>
      </w:pPr>
      <w:r>
        <w:t>SL_TLF_UEM - Unemployment rate, by sex and age - 13th ICLS (%) [8.5.2]</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896121677"/>
        <w:placeholder>
          <w:docPart w:val="DefaultPlaceholder_-1854013437"/>
        </w:placeholder>
        <w:date w:fullDate="2025-04-23T00:00:00Z">
          <w:dateFormat w:val="yyyy-MM-dd"/>
          <w:lid w:val="en-US"/>
          <w:storeMappedDataAs w:val="dateTime"/>
          <w:calendar w:val="gregorian"/>
        </w:date>
      </w:sdtPr>
      <w:sdtEndPr/>
      <w:sdtContent>
        <w:p w14:paraId="03424B60" w14:textId="07A1FD21" w:rsidR="00D24330" w:rsidRPr="00A96255" w:rsidRDefault="004B3200" w:rsidP="00D24330">
          <w:pPr>
            <w:pStyle w:val="MGTHeader"/>
          </w:pPr>
          <w:r>
            <w:rPr>
              <w:lang w:val="en-US"/>
            </w:rPr>
            <w:t>2025-04-23</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42134E4" w14:textId="1EAE0734" w:rsidR="00A05DC9" w:rsidRPr="00A05DC9" w:rsidRDefault="00A05DC9" w:rsidP="00A05DC9">
      <w:pPr>
        <w:pStyle w:val="MIndHeader"/>
        <w:rPr>
          <w:color w:val="333333"/>
          <w:sz w:val="21"/>
          <w:szCs w:val="21"/>
        </w:rPr>
      </w:pPr>
      <w:r w:rsidRPr="00A05DC9">
        <w:rPr>
          <w:color w:val="333333"/>
          <w:sz w:val="21"/>
          <w:szCs w:val="21"/>
        </w:rPr>
        <w:t>8.1.1</w:t>
      </w:r>
      <w:r w:rsidR="00B6570B">
        <w:rPr>
          <w:color w:val="333333"/>
          <w:sz w:val="21"/>
          <w:szCs w:val="21"/>
        </w:rPr>
        <w:t xml:space="preserve">, </w:t>
      </w:r>
      <w:r w:rsidR="00B6570B" w:rsidRPr="00A05DC9">
        <w:rPr>
          <w:color w:val="333333"/>
          <w:sz w:val="21"/>
          <w:szCs w:val="21"/>
        </w:rPr>
        <w:t>8.5.2</w:t>
      </w:r>
      <w:r w:rsidR="00B6570B">
        <w:rPr>
          <w:color w:val="333333"/>
          <w:sz w:val="21"/>
          <w:szCs w:val="21"/>
        </w:rPr>
        <w:t xml:space="preserve">, </w:t>
      </w:r>
      <w:r w:rsidRPr="00A05DC9">
        <w:rPr>
          <w:color w:val="333333"/>
          <w:sz w:val="21"/>
          <w:szCs w:val="21"/>
        </w:rPr>
        <w:t>10.1.1</w:t>
      </w:r>
      <w:r w:rsidR="00B6570B">
        <w:rPr>
          <w:color w:val="333333"/>
          <w:sz w:val="21"/>
          <w:szCs w:val="21"/>
        </w:rPr>
        <w:t xml:space="preserve">, </w:t>
      </w:r>
      <w:r w:rsidR="00B6570B" w:rsidRPr="00A05DC9">
        <w:rPr>
          <w:color w:val="333333"/>
          <w:sz w:val="21"/>
          <w:szCs w:val="21"/>
        </w:rPr>
        <w:t>17.1.1</w:t>
      </w:r>
      <w:r w:rsidR="00B6570B">
        <w:rPr>
          <w:color w:val="333333"/>
          <w:sz w:val="21"/>
          <w:szCs w:val="21"/>
        </w:rPr>
        <w:t xml:space="preserve">, </w:t>
      </w:r>
      <w:r w:rsidR="00B6570B" w:rsidRPr="00A05DC9">
        <w:rPr>
          <w:color w:val="333333"/>
          <w:sz w:val="21"/>
          <w:szCs w:val="21"/>
        </w:rPr>
        <w:t>17.3.1</w:t>
      </w:r>
      <w:r w:rsidR="00B6570B">
        <w:rPr>
          <w:color w:val="333333"/>
          <w:sz w:val="21"/>
          <w:szCs w:val="21"/>
        </w:rPr>
        <w:t>,</w:t>
      </w:r>
      <w:r w:rsidR="00B6570B" w:rsidRPr="00B6570B">
        <w:rPr>
          <w:color w:val="333333"/>
          <w:sz w:val="21"/>
          <w:szCs w:val="21"/>
        </w:rPr>
        <w:t xml:space="preserve"> </w:t>
      </w:r>
      <w:r w:rsidR="00B6570B" w:rsidRPr="00A05DC9">
        <w:rPr>
          <w:color w:val="333333"/>
          <w:sz w:val="21"/>
          <w:szCs w:val="21"/>
        </w:rPr>
        <w:t>17.3.2</w:t>
      </w:r>
      <w:r w:rsidR="00B6570B">
        <w:rPr>
          <w:color w:val="333333"/>
          <w:sz w:val="21"/>
          <w:szCs w:val="21"/>
        </w:rPr>
        <w:t xml:space="preserve">, and </w:t>
      </w:r>
      <w:r w:rsidR="00B6570B" w:rsidRPr="00A05DC9">
        <w:rPr>
          <w:color w:val="333333"/>
          <w:sz w:val="21"/>
          <w:szCs w:val="21"/>
        </w:rPr>
        <w:t>17.4.1</w:t>
      </w:r>
    </w:p>
    <w:p w14:paraId="077BC49E" w14:textId="76BA6D58" w:rsidR="00D24330" w:rsidRPr="00A96255" w:rsidRDefault="00D24330" w:rsidP="00A05DC9">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68F338D0" w:rsidR="00621893" w:rsidRPr="00A96255" w:rsidRDefault="00785454" w:rsidP="00D24330">
      <w:pPr>
        <w:pStyle w:val="MGTHeader"/>
        <w:rPr>
          <w:color w:val="4A4A4A"/>
        </w:rPr>
      </w:pPr>
      <w:r>
        <w:t>World Bank</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5A21B0FC"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5A05A3E1" w14:textId="70CD22A1" w:rsidR="00D055C8" w:rsidRDefault="00201A89" w:rsidP="00576CFA">
      <w:pPr>
        <w:pStyle w:val="MText"/>
      </w:pPr>
      <w:r>
        <w:t>World Bank</w:t>
      </w:r>
    </w:p>
    <w:p w14:paraId="08B666C3" w14:textId="77777777" w:rsidR="00D055C8" w:rsidRDefault="00D055C8"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DB1568F" w14:textId="7AF906B1" w:rsidR="00197E61" w:rsidRDefault="00A05D9E" w:rsidP="00775B4D">
      <w:pPr>
        <w:pStyle w:val="MText"/>
        <w:jc w:val="both"/>
        <w:rPr>
          <w:b/>
          <w:bCs/>
        </w:rPr>
      </w:pPr>
      <w:r w:rsidRPr="00A05D9E">
        <w:rPr>
          <w:b/>
          <w:bCs/>
        </w:rPr>
        <w:t xml:space="preserve">1. </w:t>
      </w:r>
      <w:r w:rsidR="00197E61" w:rsidRPr="00A05D9E">
        <w:rPr>
          <w:b/>
          <w:bCs/>
        </w:rPr>
        <w:t>External Sector</w:t>
      </w:r>
    </w:p>
    <w:p w14:paraId="778898C4" w14:textId="4F35FA98" w:rsidR="003A4191" w:rsidRPr="00D82359" w:rsidRDefault="00185C1C" w:rsidP="003A4191">
      <w:pPr>
        <w:pStyle w:val="MText"/>
        <w:jc w:val="both"/>
      </w:pPr>
      <w:r>
        <w:t>Indicators for the current and capital &amp; financial accounts are included to monitor each country's trade and balance of payme</w:t>
      </w:r>
      <w:r w:rsidR="00D82359" w:rsidRPr="00D82359">
        <w:t xml:space="preserve">nts. </w:t>
      </w:r>
      <w:r w:rsidR="003A4191" w:rsidRPr="00D82359">
        <w:t>The sustainability of the balance of payments depends on both the current account and the capital and financial account balances, including foreign reserves.</w:t>
      </w:r>
    </w:p>
    <w:p w14:paraId="3971E09A" w14:textId="77777777" w:rsidR="00775B4D" w:rsidRPr="00D82359" w:rsidRDefault="00775B4D" w:rsidP="00775B4D">
      <w:pPr>
        <w:pStyle w:val="MText"/>
        <w:jc w:val="both"/>
      </w:pPr>
    </w:p>
    <w:p w14:paraId="57E0D2B8" w14:textId="731BC08E" w:rsidR="00D82359" w:rsidRPr="00D82359" w:rsidRDefault="00D82359" w:rsidP="00775B4D">
      <w:pPr>
        <w:pStyle w:val="MText"/>
        <w:jc w:val="both"/>
      </w:pPr>
      <w:r w:rsidRPr="00D82359">
        <w:rPr>
          <w:u w:val="single"/>
        </w:rPr>
        <w:t>Current Account:</w:t>
      </w:r>
      <w:r w:rsidRPr="00D82359">
        <w:t xml:space="preserve"> The current account balance is an important indicator of an economy</w:t>
      </w:r>
      <w:r w:rsidR="005B6AF3">
        <w:t>'</w:t>
      </w:r>
      <w:r w:rsidRPr="00D82359">
        <w:t xml:space="preserve">s health. It is defined as the sum of the resource balance (exports less imports of goods and services), net primary income and secondary income. In addition, the dashboard includes indicators such as merchandise trade as a share of GDP to monitor the trade openness of the country and data on personal remittances, which have become an important integral part of many developing economies, since any changes to these flows may have </w:t>
      </w:r>
      <w:r w:rsidR="00574D71">
        <w:t xml:space="preserve">a </w:t>
      </w:r>
      <w:r w:rsidRPr="00D82359">
        <w:t>major impact on developing countries</w:t>
      </w:r>
      <w:r w:rsidR="005B6AF3">
        <w:t>'</w:t>
      </w:r>
      <w:r w:rsidRPr="00D82359">
        <w:t xml:space="preserve"> current account balances</w:t>
      </w:r>
      <w:r w:rsidR="00F13235">
        <w:t xml:space="preserve"> (</w:t>
      </w:r>
      <w:r w:rsidRPr="00D82359">
        <w:t>defined as the savings-investment gap for an economy</w:t>
      </w:r>
      <w:r w:rsidR="00F13235">
        <w:t>)</w:t>
      </w:r>
      <w:r w:rsidRPr="00D82359">
        <w:t>.</w:t>
      </w:r>
    </w:p>
    <w:p w14:paraId="3029E53A" w14:textId="77777777" w:rsidR="00D82359" w:rsidRDefault="00D82359" w:rsidP="00775B4D">
      <w:pPr>
        <w:pStyle w:val="MText"/>
        <w:jc w:val="both"/>
      </w:pPr>
    </w:p>
    <w:p w14:paraId="6700C36B" w14:textId="468230AB" w:rsidR="00D82359" w:rsidRPr="00D00A85" w:rsidRDefault="00D82359" w:rsidP="00775B4D">
      <w:pPr>
        <w:pStyle w:val="MText"/>
        <w:jc w:val="both"/>
      </w:pPr>
      <w:r w:rsidRPr="415F1897">
        <w:rPr>
          <w:u w:val="single"/>
        </w:rPr>
        <w:t>Capital and Financial Accounts:</w:t>
      </w:r>
      <w:r>
        <w:t xml:space="preserve"> Data on capital and financial flows are key for monitoring vulnerability to shocks and constraints on fiscal and monetary policies. Financing trade deficits or other current imbalances through capital and financial flows is a reasonable way to achieve consumption smoothing of emerging economies. </w:t>
      </w:r>
      <w:r w:rsidR="0EDC8A59">
        <w:t>Foreign D</w:t>
      </w:r>
      <w:r w:rsidR="6BD2FD60">
        <w:t>i</w:t>
      </w:r>
      <w:r w:rsidR="0EDC8A59">
        <w:t>rect Investments (</w:t>
      </w:r>
      <w:r>
        <w:t>FDI</w:t>
      </w:r>
      <w:r w:rsidR="438861DD">
        <w:t>)</w:t>
      </w:r>
      <w:r>
        <w:t xml:space="preserve"> equity </w:t>
      </w:r>
      <w:r w:rsidR="007C7BD4">
        <w:t>is</w:t>
      </w:r>
      <w:r>
        <w:t xml:space="preserve"> a preferred method of financing external current account deficits since these flows are non–debt–creating. Portfolio investment inflows measure the exposure of foreign investors to developing country bond and equity markets.  </w:t>
      </w:r>
    </w:p>
    <w:p w14:paraId="3F12C434" w14:textId="77777777" w:rsidR="00D82359" w:rsidRDefault="00D82359" w:rsidP="00775B4D">
      <w:pPr>
        <w:pStyle w:val="MText"/>
        <w:jc w:val="both"/>
      </w:pPr>
    </w:p>
    <w:p w14:paraId="2E9680B1" w14:textId="25A4C22B" w:rsidR="00D82359" w:rsidRDefault="00D82359" w:rsidP="00775B4D">
      <w:pPr>
        <w:pStyle w:val="MText"/>
        <w:jc w:val="both"/>
      </w:pPr>
      <w:r w:rsidRPr="00D82359">
        <w:t>External indebtedness affects a country's creditworthiness and investor perceptions. Nonreporting countries might have outstanding debt</w:t>
      </w:r>
      <w:r w:rsidR="008B0D73">
        <w:t>s</w:t>
      </w:r>
      <w:r w:rsidRPr="00D82359">
        <w:t xml:space="preserve"> with the World Bank, other international financial institutions, or </w:t>
      </w:r>
      <w:r w:rsidRPr="00D82359">
        <w:lastRenderedPageBreak/>
        <w:t xml:space="preserve">private creditors. Total debt service is contrasted with countries' ability to obtain foreign exchange through exports of goods, services, primary income, and personal remittances. Debt ratios are used to assess the sustainability of a country's debt service obligations, but no absolute rules determine what values are too high. </w:t>
      </w:r>
    </w:p>
    <w:p w14:paraId="402929F3" w14:textId="77777777" w:rsidR="00424B71" w:rsidRPr="00D82359" w:rsidRDefault="00424B71" w:rsidP="00775B4D">
      <w:pPr>
        <w:pStyle w:val="MText"/>
        <w:jc w:val="both"/>
      </w:pPr>
    </w:p>
    <w:p w14:paraId="3E82BA33" w14:textId="2EE1E5EC" w:rsidR="00D82359" w:rsidRPr="00424B71" w:rsidRDefault="00D82359" w:rsidP="00775B4D">
      <w:pPr>
        <w:pStyle w:val="MText"/>
        <w:jc w:val="both"/>
      </w:pPr>
      <w:r w:rsidRPr="00424B71">
        <w:rPr>
          <w:u w:val="single"/>
        </w:rPr>
        <w:t>Exchange Rates:</w:t>
      </w:r>
      <w:r w:rsidRPr="00D82359">
        <w:t xml:space="preserve">  Sharp devaluations are usually associated with significant declines in equity markets, capital flows, and reserves. The dashboard will present official average exchange rates.</w:t>
      </w:r>
    </w:p>
    <w:p w14:paraId="217FC33B" w14:textId="77777777" w:rsidR="00A05D9E" w:rsidRDefault="00A05D9E" w:rsidP="00775B4D">
      <w:pPr>
        <w:pStyle w:val="MText"/>
        <w:jc w:val="both"/>
      </w:pPr>
    </w:p>
    <w:p w14:paraId="546B5151" w14:textId="77777777" w:rsidR="001513D5" w:rsidRPr="00416496" w:rsidRDefault="000C4539" w:rsidP="00775B4D">
      <w:pPr>
        <w:pStyle w:val="MText"/>
        <w:numPr>
          <w:ilvl w:val="0"/>
          <w:numId w:val="5"/>
        </w:numPr>
        <w:tabs>
          <w:tab w:val="left" w:pos="360"/>
        </w:tabs>
        <w:ind w:left="450" w:hanging="450"/>
        <w:jc w:val="both"/>
        <w:rPr>
          <w:i/>
          <w:iCs/>
        </w:rPr>
      </w:pPr>
      <w:r w:rsidRPr="000C4539">
        <w:rPr>
          <w:i/>
          <w:iCs/>
        </w:rPr>
        <w:t>Merchandise trade as a proportion of GDP (%)</w:t>
      </w:r>
    </w:p>
    <w:p w14:paraId="71EA206F" w14:textId="78AA1C44" w:rsidR="00522636" w:rsidRDefault="00197E61" w:rsidP="00775B4D">
      <w:pPr>
        <w:pStyle w:val="MText"/>
        <w:jc w:val="both"/>
      </w:pPr>
      <w:r w:rsidRPr="008D134C">
        <w:t>This indicator is used as measurement for the Trade Openness of a country. Merchandise trade as a share of GDP is the sum of merchandise exports and imports divided by the value of GDP.</w:t>
      </w:r>
    </w:p>
    <w:p w14:paraId="1CCA6AB0" w14:textId="77777777" w:rsidR="00B45430" w:rsidRDefault="00B45430" w:rsidP="00775B4D">
      <w:pPr>
        <w:pStyle w:val="MText"/>
        <w:jc w:val="both"/>
      </w:pPr>
    </w:p>
    <w:p w14:paraId="7126D647" w14:textId="1FCE041C" w:rsidR="00B45430" w:rsidRPr="00416496" w:rsidRDefault="00522636" w:rsidP="00775B4D">
      <w:pPr>
        <w:pStyle w:val="MText"/>
        <w:numPr>
          <w:ilvl w:val="0"/>
          <w:numId w:val="5"/>
        </w:numPr>
        <w:tabs>
          <w:tab w:val="left" w:pos="360"/>
        </w:tabs>
        <w:ind w:left="450" w:hanging="450"/>
        <w:jc w:val="both"/>
        <w:rPr>
          <w:i/>
          <w:iCs/>
        </w:rPr>
      </w:pPr>
      <w:r w:rsidRPr="00614F87">
        <w:rPr>
          <w:i/>
          <w:iCs/>
        </w:rPr>
        <w:t>Personal remittances, received, as a proportion of GDP (%)</w:t>
      </w:r>
    </w:p>
    <w:p w14:paraId="4B988957" w14:textId="64DB88A3" w:rsidR="0045578C" w:rsidRDefault="00197E61" w:rsidP="00775B4D">
      <w:pPr>
        <w:pStyle w:val="MText"/>
        <w:jc w:val="both"/>
      </w:pPr>
      <w:r>
        <w:t>Comprise personal transfers and compensation of employees, as defined in the sixth edition of the</w:t>
      </w:r>
      <w:r w:rsidR="07DDF36C">
        <w:t xml:space="preserve"> International </w:t>
      </w:r>
      <w:r w:rsidR="0462A442">
        <w:t>Monetary</w:t>
      </w:r>
      <w:r w:rsidR="07DDF36C">
        <w:t xml:space="preserve"> Fund</w:t>
      </w:r>
      <w:r>
        <w:t xml:space="preserve"> </w:t>
      </w:r>
      <w:r w:rsidR="2251B9D5">
        <w:t>(</w:t>
      </w:r>
      <w:r>
        <w:t>IMF</w:t>
      </w:r>
      <w:r w:rsidR="7B05D63E">
        <w:t>)</w:t>
      </w:r>
      <w:r>
        <w:t xml:space="preserve">s Balance of Payments Manual. Personal transfers consist of all current transfers in cash or in kind made or received by resident households to or from </w:t>
      </w:r>
      <w:r w:rsidR="00496F10">
        <w:t>non-resident</w:t>
      </w:r>
      <w:r>
        <w:t xml:space="preserve"> households. Personal transfers thus include all current transfers between resident and </w:t>
      </w:r>
      <w:r w:rsidR="00496F10">
        <w:t>non-resident</w:t>
      </w:r>
      <w:r>
        <w:t xml:space="preserve"> individuals. Compensation of employees refers to the income of border, seasonal, and other short-term workers who are employed in an economy where they are not resident and of residents employed by </w:t>
      </w:r>
      <w:r w:rsidR="00496F10">
        <w:t>non-resident</w:t>
      </w:r>
      <w:r>
        <w:t xml:space="preserve"> entities. </w:t>
      </w:r>
    </w:p>
    <w:p w14:paraId="178E39BC" w14:textId="77777777" w:rsidR="0045578C" w:rsidRDefault="0045578C" w:rsidP="00775B4D">
      <w:pPr>
        <w:pStyle w:val="MText"/>
        <w:jc w:val="both"/>
      </w:pPr>
    </w:p>
    <w:p w14:paraId="4D30BB88" w14:textId="1204575F" w:rsidR="0045578C" w:rsidRPr="0045578C" w:rsidRDefault="0045578C" w:rsidP="00775B4D">
      <w:pPr>
        <w:pStyle w:val="MText"/>
        <w:numPr>
          <w:ilvl w:val="0"/>
          <w:numId w:val="5"/>
        </w:numPr>
        <w:tabs>
          <w:tab w:val="left" w:pos="360"/>
        </w:tabs>
        <w:ind w:left="450" w:hanging="450"/>
        <w:jc w:val="both"/>
        <w:rPr>
          <w:i/>
          <w:iCs/>
        </w:rPr>
      </w:pPr>
      <w:r w:rsidRPr="0045578C">
        <w:rPr>
          <w:i/>
          <w:iCs/>
        </w:rPr>
        <w:t>Current account balance as a proportion of GDP (%)</w:t>
      </w:r>
    </w:p>
    <w:p w14:paraId="2EE2AA4A" w14:textId="18ADC800" w:rsidR="005A7C24" w:rsidRDefault="00197E61" w:rsidP="00775B4D">
      <w:pPr>
        <w:pStyle w:val="MText"/>
        <w:jc w:val="both"/>
      </w:pPr>
      <w:r w:rsidRPr="00B45430">
        <w:t xml:space="preserve">Current account balance is the sum of net exports of goods and services, net primary income, and net secondary income. </w:t>
      </w:r>
    </w:p>
    <w:p w14:paraId="7C986486" w14:textId="77777777" w:rsidR="005A7C24" w:rsidRDefault="005A7C24" w:rsidP="00775B4D">
      <w:pPr>
        <w:pStyle w:val="MText"/>
        <w:jc w:val="both"/>
      </w:pPr>
    </w:p>
    <w:p w14:paraId="4471A5A9" w14:textId="4D6263AA" w:rsidR="00B45430" w:rsidRPr="00416496" w:rsidRDefault="005A7C24" w:rsidP="00775B4D">
      <w:pPr>
        <w:pStyle w:val="MText"/>
        <w:numPr>
          <w:ilvl w:val="0"/>
          <w:numId w:val="5"/>
        </w:numPr>
        <w:tabs>
          <w:tab w:val="left" w:pos="360"/>
        </w:tabs>
        <w:ind w:left="450" w:hanging="450"/>
        <w:jc w:val="both"/>
        <w:rPr>
          <w:i/>
          <w:iCs/>
        </w:rPr>
      </w:pPr>
      <w:r w:rsidRPr="005A7C24">
        <w:rPr>
          <w:i/>
          <w:iCs/>
        </w:rPr>
        <w:t>Foreign direct investment, net inflows, as a proportion of GDP (%)</w:t>
      </w:r>
    </w:p>
    <w:p w14:paraId="28D717ED" w14:textId="35685481" w:rsidR="00197E61" w:rsidRPr="008D134C" w:rsidRDefault="00197E61" w:rsidP="00775B4D">
      <w:pPr>
        <w:pStyle w:val="MText"/>
        <w:jc w:val="both"/>
      </w:pPr>
      <w:r w:rsidRPr="008D134C">
        <w:t>Comprises the net inflows of foreign direct investment to acquire a lasting management interest (10 percent or more of voting stock) in an enterprise operating in an economy other than that of the investor. FDI is the sum of equity capital, reinvestment of earnings, other long-term capital, and short-term capital as shown in the balance of payments. This series shows net inflows (new investment inflows less disinvestment) in the reporting economy from foreign investors and is divided by GDP.</w:t>
      </w:r>
    </w:p>
    <w:p w14:paraId="5EBC975A" w14:textId="77777777" w:rsidR="00B45430" w:rsidRDefault="00B45430" w:rsidP="00775B4D">
      <w:pPr>
        <w:pStyle w:val="MText"/>
        <w:jc w:val="both"/>
      </w:pPr>
    </w:p>
    <w:p w14:paraId="147DE150" w14:textId="77777777" w:rsidR="003654C1" w:rsidRPr="003654C1" w:rsidRDefault="003654C1" w:rsidP="00775B4D">
      <w:pPr>
        <w:pStyle w:val="MText"/>
        <w:numPr>
          <w:ilvl w:val="0"/>
          <w:numId w:val="5"/>
        </w:numPr>
        <w:tabs>
          <w:tab w:val="left" w:pos="360"/>
        </w:tabs>
        <w:ind w:left="450" w:hanging="450"/>
        <w:jc w:val="both"/>
        <w:rPr>
          <w:i/>
          <w:iCs/>
        </w:rPr>
      </w:pPr>
      <w:r w:rsidRPr="003654C1">
        <w:rPr>
          <w:i/>
          <w:iCs/>
        </w:rPr>
        <w:t>Portfolio investment, net (</w:t>
      </w:r>
      <w:proofErr w:type="spellStart"/>
      <w:r w:rsidRPr="003654C1">
        <w:rPr>
          <w:i/>
          <w:iCs/>
        </w:rPr>
        <w:t>BoP</w:t>
      </w:r>
      <w:proofErr w:type="spellEnd"/>
      <w:r w:rsidRPr="003654C1">
        <w:rPr>
          <w:i/>
          <w:iCs/>
        </w:rPr>
        <w:t>, current US$)</w:t>
      </w:r>
    </w:p>
    <w:p w14:paraId="5EBDA11C" w14:textId="717531D6" w:rsidR="00197E61" w:rsidRPr="008D134C" w:rsidRDefault="00197E61" w:rsidP="00775B4D">
      <w:pPr>
        <w:pStyle w:val="MText"/>
        <w:jc w:val="both"/>
      </w:pPr>
      <w:r w:rsidRPr="008D134C">
        <w:t>Portfolio investment covers transactions in equity securities and debt securities. Data are in current U</w:t>
      </w:r>
      <w:r w:rsidR="00D02631">
        <w:t>S</w:t>
      </w:r>
      <w:r w:rsidRPr="008D134C">
        <w:t xml:space="preserve"> dollars. </w:t>
      </w:r>
    </w:p>
    <w:p w14:paraId="45F0BDE3" w14:textId="77777777" w:rsidR="008D3395" w:rsidRDefault="008D3395" w:rsidP="00775B4D">
      <w:pPr>
        <w:pStyle w:val="MText"/>
        <w:jc w:val="both"/>
      </w:pPr>
    </w:p>
    <w:p w14:paraId="7CB8FB2D" w14:textId="77777777" w:rsidR="00416496" w:rsidRPr="000D2728" w:rsidRDefault="00416496" w:rsidP="00775B4D">
      <w:pPr>
        <w:pStyle w:val="MText"/>
        <w:numPr>
          <w:ilvl w:val="0"/>
          <w:numId w:val="5"/>
        </w:numPr>
        <w:tabs>
          <w:tab w:val="left" w:pos="360"/>
        </w:tabs>
        <w:ind w:left="450" w:hanging="450"/>
        <w:jc w:val="both"/>
        <w:rPr>
          <w:i/>
          <w:iCs/>
        </w:rPr>
      </w:pPr>
      <w:r w:rsidRPr="000D2728">
        <w:rPr>
          <w:i/>
          <w:iCs/>
        </w:rPr>
        <w:t>Total reserves in months of imports</w:t>
      </w:r>
    </w:p>
    <w:p w14:paraId="2BDA89FD" w14:textId="0800338A" w:rsidR="00197E61" w:rsidRDefault="00197E61" w:rsidP="00775B4D">
      <w:pPr>
        <w:pStyle w:val="MText"/>
        <w:jc w:val="both"/>
      </w:pPr>
      <w:r w:rsidRPr="008D134C">
        <w:t>Total reserves comprise holdings of monetary gold, special drawing rights, reserves of IMF members held by the IMF, and holdings of foreign exchange under the control of monetary authorities. The gold component of these reserves is valued at year-end (December 31) London prices. This item shows reserves expressed in terms of the number of months of imports of goods and services they could pay for [Reserves/(Imports/12)].</w:t>
      </w:r>
    </w:p>
    <w:p w14:paraId="64F801BE" w14:textId="69E4184D" w:rsidR="00416496" w:rsidRDefault="00416496" w:rsidP="00775B4D">
      <w:pPr>
        <w:pStyle w:val="MText"/>
        <w:jc w:val="both"/>
      </w:pPr>
    </w:p>
    <w:p w14:paraId="06FE2468" w14:textId="77777777" w:rsidR="00DB768F" w:rsidRPr="00DB768F" w:rsidRDefault="00DB768F" w:rsidP="00DB768F">
      <w:pPr>
        <w:pStyle w:val="MText"/>
        <w:numPr>
          <w:ilvl w:val="0"/>
          <w:numId w:val="5"/>
        </w:numPr>
        <w:tabs>
          <w:tab w:val="left" w:pos="360"/>
        </w:tabs>
        <w:ind w:left="450" w:hanging="450"/>
        <w:jc w:val="both"/>
        <w:rPr>
          <w:i/>
          <w:iCs/>
        </w:rPr>
      </w:pPr>
      <w:r w:rsidRPr="00DB768F">
        <w:rPr>
          <w:i/>
          <w:iCs/>
        </w:rPr>
        <w:t>External debt stocks as a proportion of GNI (%)</w:t>
      </w:r>
    </w:p>
    <w:p w14:paraId="5EC759A9" w14:textId="77777777" w:rsidR="00DB768F" w:rsidRPr="00DB768F" w:rsidRDefault="00DB768F" w:rsidP="00DB768F">
      <w:pPr>
        <w:pStyle w:val="MText"/>
        <w:jc w:val="both"/>
      </w:pPr>
      <w:r w:rsidRPr="00DB768F">
        <w:t xml:space="preserve">Total external debt is debt owed to non-residents repayable in currency, goods, or services. Total external debt is the sum of public, publicly guaranteed, and private nonguaranteed long-term debt, use of IMF credit, and short-term debt. Short-term debt includes all debt having an original maturity of one year or </w:t>
      </w:r>
      <w:r w:rsidRPr="00DB768F">
        <w:lastRenderedPageBreak/>
        <w:t>less and interest in arrears on long-term debt. GNI (formerly GNP) is the sum of value added by all resident producers plus any product taxes (less subsidies) not included in the valuation of output plus net receipts of primary income (compensation of employees and property income) from abroad.</w:t>
      </w:r>
    </w:p>
    <w:p w14:paraId="6E8532E3" w14:textId="77777777" w:rsidR="00DB768F" w:rsidRPr="00DB768F" w:rsidRDefault="00DB768F" w:rsidP="00775B4D">
      <w:pPr>
        <w:pStyle w:val="MText"/>
        <w:jc w:val="both"/>
      </w:pPr>
    </w:p>
    <w:p w14:paraId="4AFF9B78" w14:textId="77777777" w:rsidR="009D4851" w:rsidRPr="00DB768F" w:rsidRDefault="009D4851" w:rsidP="00775B4D">
      <w:pPr>
        <w:pStyle w:val="MText"/>
        <w:numPr>
          <w:ilvl w:val="0"/>
          <w:numId w:val="5"/>
        </w:numPr>
        <w:tabs>
          <w:tab w:val="left" w:pos="360"/>
        </w:tabs>
        <w:ind w:left="450" w:hanging="450"/>
        <w:jc w:val="both"/>
        <w:rPr>
          <w:i/>
          <w:iCs/>
        </w:rPr>
      </w:pPr>
      <w:r w:rsidRPr="00DB768F">
        <w:rPr>
          <w:i/>
          <w:iCs/>
        </w:rPr>
        <w:t>Debt service (PPG and IMF only, % of exports of goods, services and primary income)</w:t>
      </w:r>
    </w:p>
    <w:p w14:paraId="79EC6814" w14:textId="4E9D529B" w:rsidR="00197E61" w:rsidRDefault="00197E61" w:rsidP="00775B4D">
      <w:pPr>
        <w:pStyle w:val="MText"/>
        <w:jc w:val="both"/>
      </w:pPr>
      <w:r w:rsidRPr="00DB768F">
        <w:t xml:space="preserve">Debt service is the sum of principle repayments and interest actually paid in currency, goods, or services. This series differs from the standard debt to exports series. It covers only long-term public and publicly guaranteed </w:t>
      </w:r>
      <w:r w:rsidR="00784904">
        <w:t xml:space="preserve">(PPG) </w:t>
      </w:r>
      <w:r w:rsidRPr="00DB768F">
        <w:t>debt and repayments (repurchases and charges) to the IMF. Data for Heavily Indebted Poor Countries (HIPC) are from HIPC Initiative's Status of Implementation Report.</w:t>
      </w:r>
      <w:r w:rsidRPr="008D134C">
        <w:t xml:space="preserve"> </w:t>
      </w:r>
    </w:p>
    <w:p w14:paraId="35079A81" w14:textId="2B5AA806" w:rsidR="00023935" w:rsidRDefault="00023935" w:rsidP="00775B4D">
      <w:pPr>
        <w:pStyle w:val="MText"/>
        <w:jc w:val="both"/>
      </w:pPr>
    </w:p>
    <w:p w14:paraId="496BFD5E" w14:textId="77777777" w:rsidR="00DB49ED" w:rsidRPr="008D0900" w:rsidRDefault="00DB49ED" w:rsidP="00DB49ED">
      <w:pPr>
        <w:pStyle w:val="MText"/>
        <w:numPr>
          <w:ilvl w:val="0"/>
          <w:numId w:val="5"/>
        </w:numPr>
        <w:tabs>
          <w:tab w:val="left" w:pos="360"/>
        </w:tabs>
        <w:ind w:left="450" w:hanging="450"/>
        <w:jc w:val="both"/>
        <w:rPr>
          <w:i/>
          <w:iCs/>
        </w:rPr>
      </w:pPr>
      <w:r w:rsidRPr="008D0900">
        <w:rPr>
          <w:i/>
          <w:iCs/>
        </w:rPr>
        <w:t>DEC alternative conversion factor (LCU per US$)</w:t>
      </w:r>
    </w:p>
    <w:p w14:paraId="4EE3E114" w14:textId="5515B2E0" w:rsidR="00DB49ED" w:rsidRPr="00792423" w:rsidRDefault="00DB49ED" w:rsidP="00DB49ED">
      <w:pPr>
        <w:pStyle w:val="MText"/>
        <w:tabs>
          <w:tab w:val="left" w:pos="360"/>
        </w:tabs>
        <w:jc w:val="both"/>
        <w:rPr>
          <w:highlight w:val="yellow"/>
        </w:rPr>
      </w:pPr>
      <w:r>
        <w:t>The</w:t>
      </w:r>
      <w:r w:rsidR="1726754C">
        <w:t xml:space="preserve"> Development Economics</w:t>
      </w:r>
      <w:r>
        <w:t xml:space="preserve"> </w:t>
      </w:r>
      <w:r w:rsidR="26686A4C">
        <w:t>(</w:t>
      </w:r>
      <w:r>
        <w:t>DEC</w:t>
      </w:r>
      <w:r w:rsidR="6B6AD708">
        <w:t>)</w:t>
      </w:r>
      <w:r>
        <w:t xml:space="preserve"> alternative conversion factor is the underlying annual exchange rate used for the World Bank Atlas method. As a rule, it is the official exchange rate reported in the IMF's International Financial Statistics. Exceptions arise where further refinements are made by World Bank staff. It is expressed in local currency units per US dollar.</w:t>
      </w:r>
    </w:p>
    <w:p w14:paraId="4FECC5C5" w14:textId="77777777" w:rsidR="00DB49ED" w:rsidRDefault="00DB49ED" w:rsidP="00775B4D">
      <w:pPr>
        <w:pStyle w:val="MText"/>
        <w:jc w:val="both"/>
      </w:pPr>
    </w:p>
    <w:p w14:paraId="4C151E93" w14:textId="1052BF4C" w:rsidR="00DD4000" w:rsidRDefault="00023935" w:rsidP="00775B4D">
      <w:pPr>
        <w:pStyle w:val="MText"/>
        <w:jc w:val="both"/>
        <w:rPr>
          <w:b/>
          <w:bCs/>
        </w:rPr>
      </w:pPr>
      <w:r>
        <w:rPr>
          <w:b/>
          <w:bCs/>
        </w:rPr>
        <w:t xml:space="preserve">2. </w:t>
      </w:r>
      <w:r w:rsidR="00197E61" w:rsidRPr="00023935">
        <w:rPr>
          <w:b/>
          <w:bCs/>
        </w:rPr>
        <w:t>Fiscal Sector</w:t>
      </w:r>
    </w:p>
    <w:p w14:paraId="5E00A08C" w14:textId="1BBFF750" w:rsidR="000B4CD2" w:rsidRPr="000B4CD2" w:rsidRDefault="000B4CD2" w:rsidP="00775B4D">
      <w:pPr>
        <w:pStyle w:val="MText"/>
        <w:jc w:val="both"/>
      </w:pPr>
      <w:r w:rsidRPr="000B4CD2">
        <w:t>For</w:t>
      </w:r>
      <w:r w:rsidR="00D771BC">
        <w:t xml:space="preserve"> </w:t>
      </w:r>
      <w:r w:rsidRPr="000B4CD2">
        <w:t xml:space="preserve">a sustainable economic growth path, </w:t>
      </w:r>
      <w:r w:rsidR="00D771BC">
        <w:t xml:space="preserve">a country needs </w:t>
      </w:r>
      <w:r w:rsidR="00511863">
        <w:t xml:space="preserve">a </w:t>
      </w:r>
      <w:r w:rsidRPr="000B4CD2">
        <w:t xml:space="preserve">sustainable fiscal policy. </w:t>
      </w:r>
      <w:r w:rsidR="00107AD1">
        <w:t>The</w:t>
      </w:r>
      <w:r w:rsidRPr="000B4CD2">
        <w:t xml:space="preserve"> dashboard </w:t>
      </w:r>
      <w:r w:rsidR="008008E1">
        <w:t xml:space="preserve">monitors </w:t>
      </w:r>
      <w:r w:rsidR="00224669" w:rsidRPr="00224669">
        <w:t>government revenues</w:t>
      </w:r>
      <w:r w:rsidR="00394AA8">
        <w:t>,</w:t>
      </w:r>
      <w:r w:rsidR="00394AA8" w:rsidRPr="00394AA8">
        <w:t xml:space="preserve"> </w:t>
      </w:r>
      <w:r w:rsidR="00394AA8" w:rsidRPr="000B4CD2">
        <w:t xml:space="preserve">fiscal balance, </w:t>
      </w:r>
      <w:r w:rsidR="00394AA8">
        <w:t xml:space="preserve">and </w:t>
      </w:r>
      <w:r w:rsidR="00394AA8" w:rsidRPr="000B4CD2">
        <w:t>public debt as a share of GDP</w:t>
      </w:r>
      <w:r w:rsidR="00224669" w:rsidRPr="00224669">
        <w:t xml:space="preserve"> to </w:t>
      </w:r>
      <w:r w:rsidR="00107AD1">
        <w:t>inform policy</w:t>
      </w:r>
      <w:r w:rsidR="00191696">
        <w:t>-decision making</w:t>
      </w:r>
      <w:r w:rsidRPr="000B4CD2">
        <w:t xml:space="preserve">. </w:t>
      </w:r>
    </w:p>
    <w:p w14:paraId="51818D57" w14:textId="77777777" w:rsidR="00DD4000" w:rsidRDefault="00DD4000" w:rsidP="00775B4D">
      <w:pPr>
        <w:pStyle w:val="MText"/>
        <w:jc w:val="both"/>
        <w:rPr>
          <w:b/>
          <w:bCs/>
        </w:rPr>
      </w:pPr>
    </w:p>
    <w:p w14:paraId="21A1A03E" w14:textId="6B49F3DD" w:rsidR="00DD4000" w:rsidRPr="00DD4000" w:rsidRDefault="00DD4000" w:rsidP="00775B4D">
      <w:pPr>
        <w:pStyle w:val="MText"/>
        <w:numPr>
          <w:ilvl w:val="0"/>
          <w:numId w:val="7"/>
        </w:numPr>
        <w:tabs>
          <w:tab w:val="left" w:pos="360"/>
        </w:tabs>
        <w:ind w:hanging="720"/>
        <w:jc w:val="both"/>
        <w:rPr>
          <w:i/>
          <w:iCs/>
        </w:rPr>
      </w:pPr>
      <w:r w:rsidRPr="00DD4000">
        <w:rPr>
          <w:i/>
          <w:iCs/>
        </w:rPr>
        <w:t>Tax revenue as a proportion of GDP (%)</w:t>
      </w:r>
    </w:p>
    <w:p w14:paraId="0ECB836E" w14:textId="634EB34D" w:rsidR="00197E61" w:rsidRDefault="00197E61" w:rsidP="00775B4D">
      <w:pPr>
        <w:pStyle w:val="MText"/>
        <w:jc w:val="both"/>
      </w:pPr>
      <w:r w:rsidRPr="008D134C">
        <w:t xml:space="preserve">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 </w:t>
      </w:r>
    </w:p>
    <w:p w14:paraId="482CE714" w14:textId="7DA9D6D5" w:rsidR="00127C11" w:rsidRDefault="00127C11" w:rsidP="00775B4D">
      <w:pPr>
        <w:pStyle w:val="MText"/>
        <w:jc w:val="both"/>
      </w:pPr>
    </w:p>
    <w:p w14:paraId="3D83134F" w14:textId="77777777" w:rsidR="00727611" w:rsidRPr="00992288" w:rsidRDefault="00727611" w:rsidP="00775B4D">
      <w:pPr>
        <w:pStyle w:val="MText"/>
        <w:numPr>
          <w:ilvl w:val="0"/>
          <w:numId w:val="7"/>
        </w:numPr>
        <w:tabs>
          <w:tab w:val="left" w:pos="360"/>
        </w:tabs>
        <w:ind w:hanging="720"/>
        <w:jc w:val="both"/>
        <w:rPr>
          <w:i/>
          <w:iCs/>
        </w:rPr>
      </w:pPr>
      <w:r w:rsidRPr="00992288">
        <w:rPr>
          <w:i/>
          <w:iCs/>
        </w:rPr>
        <w:t>Cash surplus/deficit as a proportion of GDP (%)</w:t>
      </w:r>
    </w:p>
    <w:p w14:paraId="49F10A05" w14:textId="5BE5FD66" w:rsidR="00197E61" w:rsidRDefault="00534CAA" w:rsidP="00775B4D">
      <w:pPr>
        <w:pStyle w:val="MText"/>
        <w:jc w:val="both"/>
      </w:pPr>
      <w:r>
        <w:t>Cash surplus or deficit is revenue (including grants) minus expense, minus net acquisition of nonfinancial assets. In the 1986</w:t>
      </w:r>
      <w:r w:rsidR="44AF02FC">
        <w:t xml:space="preserve"> Government Finance Statistics</w:t>
      </w:r>
      <w:r>
        <w:t xml:space="preserve"> </w:t>
      </w:r>
      <w:r w:rsidR="100D05D2">
        <w:t>(</w:t>
      </w:r>
      <w:r>
        <w:t>GFS</w:t>
      </w:r>
      <w:r w:rsidR="50989CBA">
        <w:t>)</w:t>
      </w:r>
      <w:r>
        <w:t xml:space="preserve"> manual nonfinancial assets were included under revenue and expenditure in gross terms. This cash surplus or deficit is closest to the earlier overall budget balance (still missing is lending minus repayments, which are now a financing item under net acquisition of financial assets).</w:t>
      </w:r>
    </w:p>
    <w:p w14:paraId="4CB40ACF" w14:textId="25891167" w:rsidR="00FD650E" w:rsidRDefault="00FD650E" w:rsidP="00775B4D">
      <w:pPr>
        <w:pStyle w:val="MText"/>
        <w:jc w:val="both"/>
      </w:pPr>
    </w:p>
    <w:p w14:paraId="7F58FF6A" w14:textId="77777777" w:rsidR="009F044F" w:rsidRPr="00971DB6" w:rsidRDefault="009F044F" w:rsidP="009F044F">
      <w:pPr>
        <w:pStyle w:val="MText"/>
        <w:numPr>
          <w:ilvl w:val="0"/>
          <w:numId w:val="7"/>
        </w:numPr>
        <w:tabs>
          <w:tab w:val="left" w:pos="360"/>
        </w:tabs>
        <w:ind w:left="0" w:firstLine="0"/>
        <w:jc w:val="both"/>
        <w:rPr>
          <w:i/>
          <w:iCs/>
        </w:rPr>
      </w:pPr>
      <w:r w:rsidRPr="00971DB6">
        <w:rPr>
          <w:i/>
          <w:iCs/>
        </w:rPr>
        <w:t>Gross PSD, Central Gov.-D2, All maturities, D1+ SDRs + currency and deposits, Nominal Value, as a proportion of GDP (%)</w:t>
      </w:r>
    </w:p>
    <w:p w14:paraId="144B7CA6" w14:textId="77777777" w:rsidR="009F044F" w:rsidRDefault="009F044F" w:rsidP="009F044F">
      <w:pPr>
        <w:pStyle w:val="MText"/>
        <w:jc w:val="both"/>
      </w:pPr>
      <w:r w:rsidRPr="008D134C">
        <w:t xml:space="preserve">The D2 coverage of instruments according to this classification includes (1) debt securities, (2) loans, (3) special drawing rights and (4) currency and deposits as percentage of GDP. </w:t>
      </w:r>
    </w:p>
    <w:p w14:paraId="166D6F71" w14:textId="77777777" w:rsidR="009F044F" w:rsidRPr="008D134C" w:rsidRDefault="009F044F" w:rsidP="00775B4D">
      <w:pPr>
        <w:pStyle w:val="MText"/>
        <w:jc w:val="both"/>
      </w:pPr>
    </w:p>
    <w:p w14:paraId="3F1A3044" w14:textId="5CC047A7" w:rsidR="00197E61" w:rsidRDefault="00971DB6" w:rsidP="00775B4D">
      <w:pPr>
        <w:pStyle w:val="MText"/>
        <w:jc w:val="both"/>
        <w:rPr>
          <w:b/>
          <w:bCs/>
        </w:rPr>
      </w:pPr>
      <w:r>
        <w:rPr>
          <w:b/>
          <w:bCs/>
        </w:rPr>
        <w:t xml:space="preserve">3. </w:t>
      </w:r>
      <w:r w:rsidR="00197E61" w:rsidRPr="00971DB6">
        <w:rPr>
          <w:b/>
          <w:bCs/>
        </w:rPr>
        <w:t>Real Sector</w:t>
      </w:r>
    </w:p>
    <w:p w14:paraId="17C0513A" w14:textId="509AD1D7" w:rsidR="00F43D19" w:rsidRPr="00F43D19" w:rsidRDefault="00F43D19" w:rsidP="00F6466E">
      <w:pPr>
        <w:pStyle w:val="MText"/>
        <w:jc w:val="both"/>
      </w:pPr>
      <w:r w:rsidRPr="00F43D19">
        <w:t>GDP measures the nation</w:t>
      </w:r>
      <w:r w:rsidR="005B6AF3">
        <w:t>'</w:t>
      </w:r>
      <w:r w:rsidRPr="00F43D19">
        <w:t>s total output of goods and services. For many decades, it has been a comprehensive measure of market activity used for a wide variety of analytical purposes such as measuring productivity, conducting monetary policy, and projecting tax revenues. In this section, we monitor growth trends of GDP; Gross capital formation; Exports of goods and services; Imports of goods and services; Household consumption; Government consumption</w:t>
      </w:r>
      <w:r w:rsidR="00F6466E">
        <w:t xml:space="preserve">; and </w:t>
      </w:r>
      <w:r w:rsidRPr="00F43D19">
        <w:t>Consumer Price Index</w:t>
      </w:r>
      <w:r w:rsidR="00F6466E">
        <w:t xml:space="preserve"> to</w:t>
      </w:r>
      <w:r w:rsidRPr="00F43D19">
        <w:t xml:space="preserve"> monitor the price trends.</w:t>
      </w:r>
    </w:p>
    <w:p w14:paraId="2292AF52" w14:textId="77777777" w:rsidR="00627779" w:rsidRPr="00971DB6" w:rsidRDefault="00627779" w:rsidP="00775B4D">
      <w:pPr>
        <w:pStyle w:val="MText"/>
        <w:jc w:val="both"/>
        <w:rPr>
          <w:b/>
          <w:bCs/>
        </w:rPr>
      </w:pPr>
    </w:p>
    <w:p w14:paraId="25C7934B" w14:textId="49CA3CF5" w:rsidR="00627779" w:rsidRPr="00627779" w:rsidRDefault="00627779" w:rsidP="00775B4D">
      <w:pPr>
        <w:pStyle w:val="MText"/>
        <w:numPr>
          <w:ilvl w:val="0"/>
          <w:numId w:val="8"/>
        </w:numPr>
        <w:tabs>
          <w:tab w:val="left" w:pos="360"/>
        </w:tabs>
        <w:ind w:hanging="720"/>
        <w:jc w:val="both"/>
        <w:rPr>
          <w:i/>
          <w:iCs/>
        </w:rPr>
      </w:pPr>
      <w:r w:rsidRPr="00627779">
        <w:rPr>
          <w:i/>
          <w:iCs/>
        </w:rPr>
        <w:t>Annual GDP growth (%)</w:t>
      </w:r>
    </w:p>
    <w:p w14:paraId="6ABA815C" w14:textId="7635F99A" w:rsidR="00197E61" w:rsidRDefault="00197E61" w:rsidP="00775B4D">
      <w:pPr>
        <w:pStyle w:val="MText"/>
        <w:jc w:val="both"/>
      </w:pPr>
      <w:r w:rsidRPr="008D134C">
        <w:lastRenderedPageBreak/>
        <w:t>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
      </w:r>
      <w:r w:rsidR="00803EF0">
        <w:t>.</w:t>
      </w:r>
    </w:p>
    <w:p w14:paraId="076B3510" w14:textId="77777777" w:rsidR="007836A1" w:rsidRPr="008D134C" w:rsidRDefault="007836A1" w:rsidP="00775B4D">
      <w:pPr>
        <w:pStyle w:val="MText"/>
        <w:jc w:val="both"/>
      </w:pPr>
    </w:p>
    <w:p w14:paraId="76AF6773" w14:textId="77777777" w:rsidR="007836A1" w:rsidRPr="007836A1" w:rsidRDefault="007836A1" w:rsidP="00775B4D">
      <w:pPr>
        <w:pStyle w:val="MText"/>
        <w:numPr>
          <w:ilvl w:val="0"/>
          <w:numId w:val="8"/>
        </w:numPr>
        <w:tabs>
          <w:tab w:val="left" w:pos="360"/>
        </w:tabs>
        <w:ind w:hanging="720"/>
        <w:jc w:val="both"/>
        <w:rPr>
          <w:i/>
          <w:iCs/>
        </w:rPr>
      </w:pPr>
      <w:r w:rsidRPr="007836A1">
        <w:rPr>
          <w:i/>
          <w:iCs/>
        </w:rPr>
        <w:t>Annual growth of the gross capital formation (%)</w:t>
      </w:r>
    </w:p>
    <w:p w14:paraId="10018C67" w14:textId="2EF95321" w:rsidR="00197E61" w:rsidRDefault="00197E61" w:rsidP="00775B4D">
      <w:pPr>
        <w:pStyle w:val="MText"/>
        <w:jc w:val="both"/>
      </w:pPr>
      <w:r w:rsidRPr="008D134C">
        <w:t xml:space="preserve">Gross capital formation (formerly gross domestic investment) consists of outlays on additions to the fixed assets of the economy plus net changes in the level of inventories. Fixed assets include </w:t>
      </w:r>
      <w:r w:rsidR="00CD598E">
        <w:t>dwellings, other buildings and structures (inc</w:t>
      </w:r>
      <w:r w:rsidR="00FD1F4A">
        <w:t xml:space="preserve">luding </w:t>
      </w:r>
      <w:r w:rsidRPr="008D134C">
        <w:t>land improvements</w:t>
      </w:r>
      <w:proofErr w:type="gramStart"/>
      <w:r w:rsidR="00FD1F4A">
        <w:t>),</w:t>
      </w:r>
      <w:r w:rsidRPr="008D134C">
        <w:t xml:space="preserve">  machinery</w:t>
      </w:r>
      <w:proofErr w:type="gramEnd"/>
      <w:r w:rsidRPr="008D134C">
        <w:t xml:space="preserve"> and equipment</w:t>
      </w:r>
      <w:r w:rsidR="00325BD1">
        <w:t>, weapons systems</w:t>
      </w:r>
      <w:r w:rsidR="005D4713">
        <w:t xml:space="preserve">, cultivated biological resources, and intellectual property products (R&amp;D, mineral exploration, </w:t>
      </w:r>
      <w:r w:rsidR="00D05D3B">
        <w:t>software, etc.)</w:t>
      </w:r>
      <w:r w:rsidRPr="008D134C">
        <w:t xml:space="preserve">. Inventories are stocks of goods held by firms to meet temporary or unexpected fluctuations in production or sales, and "work in progress." According to the 2008 SNA, net acquisitions of valuables are also considered capital formation. </w:t>
      </w:r>
    </w:p>
    <w:p w14:paraId="33902A5A" w14:textId="77777777" w:rsidR="00F903BE" w:rsidRPr="008D134C" w:rsidRDefault="00F903BE" w:rsidP="00775B4D">
      <w:pPr>
        <w:pStyle w:val="MText"/>
        <w:jc w:val="both"/>
      </w:pPr>
    </w:p>
    <w:p w14:paraId="662A56E7" w14:textId="77777777" w:rsidR="00203287" w:rsidRPr="00203287" w:rsidRDefault="00203287" w:rsidP="00775B4D">
      <w:pPr>
        <w:pStyle w:val="MText"/>
        <w:numPr>
          <w:ilvl w:val="0"/>
          <w:numId w:val="8"/>
        </w:numPr>
        <w:tabs>
          <w:tab w:val="left" w:pos="360"/>
        </w:tabs>
        <w:ind w:hanging="720"/>
        <w:jc w:val="both"/>
        <w:rPr>
          <w:i/>
          <w:iCs/>
        </w:rPr>
      </w:pPr>
      <w:r w:rsidRPr="00203287">
        <w:rPr>
          <w:i/>
          <w:iCs/>
        </w:rPr>
        <w:t>Annual growth of households and NPISHs final consumption expenditure (%)</w:t>
      </w:r>
    </w:p>
    <w:p w14:paraId="14B2F9B8" w14:textId="2DF6D84E" w:rsidR="00956330" w:rsidRDefault="00197E61" w:rsidP="00775B4D">
      <w:pPr>
        <w:pStyle w:val="MText"/>
        <w:jc w:val="both"/>
      </w:pPr>
      <w:r w:rsidRPr="008D134C">
        <w:t xml:space="preserve">Household final consumption expenditure (formerly private consumption) is the market value of all goods and services, including durable products (such as cars, washing machines, and home computers), purchased by households. It excludes purchases of dwellings but includes imputed rent for owner-occupied dwellings. It also includes payments and fees to governments to obtain permits and licenses. In WDI, household consumption expenditure includes the expenditures of </w:t>
      </w:r>
      <w:r w:rsidR="00203287" w:rsidRPr="008D134C">
        <w:t>non-profit</w:t>
      </w:r>
      <w:r w:rsidRPr="008D134C">
        <w:t xml:space="preserve"> institutions serving households, even when reported separately by the country. </w:t>
      </w:r>
    </w:p>
    <w:p w14:paraId="0136AE02" w14:textId="77777777" w:rsidR="00956330" w:rsidRDefault="00956330" w:rsidP="00775B4D">
      <w:pPr>
        <w:pStyle w:val="MText"/>
        <w:jc w:val="both"/>
      </w:pPr>
    </w:p>
    <w:p w14:paraId="358A7CCF" w14:textId="0608A51D" w:rsidR="00956330" w:rsidRPr="00956330" w:rsidRDefault="00956330" w:rsidP="00775B4D">
      <w:pPr>
        <w:pStyle w:val="MText"/>
        <w:numPr>
          <w:ilvl w:val="0"/>
          <w:numId w:val="8"/>
        </w:numPr>
        <w:tabs>
          <w:tab w:val="left" w:pos="360"/>
        </w:tabs>
        <w:ind w:hanging="720"/>
        <w:jc w:val="both"/>
        <w:rPr>
          <w:i/>
          <w:iCs/>
        </w:rPr>
      </w:pPr>
      <w:r w:rsidRPr="00956330">
        <w:rPr>
          <w:i/>
          <w:iCs/>
        </w:rPr>
        <w:t>Annual growth of the general government final consumption expenditure (%)</w:t>
      </w:r>
    </w:p>
    <w:p w14:paraId="7C1014BB" w14:textId="76445847" w:rsidR="00956330" w:rsidRDefault="00197E61" w:rsidP="00775B4D">
      <w:pPr>
        <w:pStyle w:val="MText"/>
        <w:jc w:val="both"/>
      </w:pPr>
      <w:r w:rsidRPr="008D134C">
        <w:t>General government final consumption expenditure (formerly general government consumption) includes all government current expenditures for purchases of goods and services (including compensation of employees</w:t>
      </w:r>
      <w:r w:rsidR="00C04B95">
        <w:t xml:space="preserve"> and consumption of fixed capital</w:t>
      </w:r>
      <w:r w:rsidRPr="008D134C">
        <w:t xml:space="preserve">). </w:t>
      </w:r>
    </w:p>
    <w:p w14:paraId="3B15DF01" w14:textId="77777777" w:rsidR="00DC3D1C" w:rsidRDefault="00DC3D1C" w:rsidP="00775B4D">
      <w:pPr>
        <w:pStyle w:val="MText"/>
        <w:jc w:val="both"/>
      </w:pPr>
    </w:p>
    <w:p w14:paraId="60A3BD4C" w14:textId="472F48FE" w:rsidR="00956330" w:rsidRPr="00956330" w:rsidRDefault="00956330" w:rsidP="00775B4D">
      <w:pPr>
        <w:pStyle w:val="MText"/>
        <w:numPr>
          <w:ilvl w:val="0"/>
          <w:numId w:val="8"/>
        </w:numPr>
        <w:tabs>
          <w:tab w:val="left" w:pos="360"/>
        </w:tabs>
        <w:ind w:hanging="720"/>
        <w:jc w:val="both"/>
        <w:rPr>
          <w:i/>
          <w:iCs/>
        </w:rPr>
      </w:pPr>
      <w:r w:rsidRPr="00956330">
        <w:rPr>
          <w:i/>
          <w:iCs/>
        </w:rPr>
        <w:t>Annual growth of exports of goods and services (%)</w:t>
      </w:r>
    </w:p>
    <w:p w14:paraId="25E3472E" w14:textId="7194EB23" w:rsidR="00DC3D1C" w:rsidRDefault="00197E61" w:rsidP="00775B4D">
      <w:pPr>
        <w:pStyle w:val="MText"/>
        <w:jc w:val="both"/>
      </w:pPr>
      <w:r w:rsidRPr="008D134C">
        <w:t xml:space="preserve">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w:t>
      </w:r>
    </w:p>
    <w:p w14:paraId="62460491" w14:textId="77777777" w:rsidR="00DC3D1C" w:rsidRDefault="00DC3D1C" w:rsidP="00775B4D">
      <w:pPr>
        <w:pStyle w:val="MText"/>
        <w:jc w:val="both"/>
      </w:pPr>
    </w:p>
    <w:p w14:paraId="1FE27AE3" w14:textId="77777777" w:rsidR="00AB1C1A" w:rsidRPr="003D32F5" w:rsidRDefault="00AB1C1A" w:rsidP="00775B4D">
      <w:pPr>
        <w:pStyle w:val="MText"/>
        <w:numPr>
          <w:ilvl w:val="0"/>
          <w:numId w:val="8"/>
        </w:numPr>
        <w:tabs>
          <w:tab w:val="left" w:pos="360"/>
        </w:tabs>
        <w:ind w:hanging="720"/>
        <w:jc w:val="both"/>
        <w:rPr>
          <w:i/>
          <w:iCs/>
        </w:rPr>
      </w:pPr>
      <w:r w:rsidRPr="003D32F5">
        <w:rPr>
          <w:i/>
          <w:iCs/>
        </w:rPr>
        <w:t>Annual growth of imports of goods and services (%)</w:t>
      </w:r>
    </w:p>
    <w:p w14:paraId="6FD1442C" w14:textId="58D73AA9" w:rsidR="00197E61" w:rsidRDefault="00197E61" w:rsidP="00775B4D">
      <w:pPr>
        <w:pStyle w:val="MText"/>
        <w:jc w:val="both"/>
      </w:pPr>
      <w:r w:rsidRPr="008D134C">
        <w:t xml:space="preserve">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w:t>
      </w:r>
    </w:p>
    <w:p w14:paraId="029143F2" w14:textId="77777777" w:rsidR="00AB1C1A" w:rsidRPr="008D134C" w:rsidRDefault="00AB1C1A" w:rsidP="00775B4D">
      <w:pPr>
        <w:pStyle w:val="MText"/>
        <w:jc w:val="both"/>
      </w:pPr>
    </w:p>
    <w:p w14:paraId="5B7D62AF" w14:textId="77777777" w:rsidR="002E3FCC" w:rsidRPr="002E3FCC" w:rsidRDefault="002E3FCC" w:rsidP="00775B4D">
      <w:pPr>
        <w:pStyle w:val="MText"/>
        <w:numPr>
          <w:ilvl w:val="0"/>
          <w:numId w:val="8"/>
        </w:numPr>
        <w:tabs>
          <w:tab w:val="left" w:pos="360"/>
        </w:tabs>
        <w:ind w:hanging="720"/>
        <w:jc w:val="both"/>
        <w:rPr>
          <w:i/>
          <w:iCs/>
        </w:rPr>
      </w:pPr>
      <w:r w:rsidRPr="002E3FCC">
        <w:rPr>
          <w:i/>
          <w:iCs/>
        </w:rPr>
        <w:t>Annual inflation, consumer prices (%)</w:t>
      </w:r>
    </w:p>
    <w:p w14:paraId="3DEE1754" w14:textId="16D290AD" w:rsidR="00D9384C" w:rsidRDefault="00197E61" w:rsidP="00775B4D">
      <w:pPr>
        <w:pStyle w:val="MText"/>
        <w:jc w:val="both"/>
      </w:pPr>
      <w:r w:rsidRPr="008D134C">
        <w:t xml:space="preserve">Consumer price index reflects changes in the cost to the average consumer of acquiring a basket of goods and services that may be fixed or changed at specified intervals, such as yearly. The Laspeyres formula is generally used. Data are period averages. </w:t>
      </w:r>
    </w:p>
    <w:p w14:paraId="61A3324B" w14:textId="77777777" w:rsidR="00511863" w:rsidRDefault="00511863" w:rsidP="00775B4D">
      <w:pPr>
        <w:pStyle w:val="MText"/>
        <w:jc w:val="both"/>
      </w:pPr>
    </w:p>
    <w:p w14:paraId="222325C4" w14:textId="5B14D896" w:rsidR="005F624A" w:rsidRPr="000467B6" w:rsidRDefault="000467B6" w:rsidP="00775B4D">
      <w:pPr>
        <w:pStyle w:val="MText"/>
        <w:jc w:val="both"/>
        <w:rPr>
          <w:b/>
          <w:bCs/>
        </w:rPr>
      </w:pPr>
      <w:r>
        <w:rPr>
          <w:b/>
          <w:bCs/>
        </w:rPr>
        <w:t xml:space="preserve">4. </w:t>
      </w:r>
      <w:r w:rsidR="005F624A" w:rsidRPr="000467B6">
        <w:rPr>
          <w:b/>
          <w:bCs/>
        </w:rPr>
        <w:t>Financial Sector</w:t>
      </w:r>
    </w:p>
    <w:p w14:paraId="396C8DCB" w14:textId="5E614840" w:rsidR="005F624A" w:rsidRPr="000467B6" w:rsidRDefault="005F624A" w:rsidP="00775B4D">
      <w:pPr>
        <w:pStyle w:val="MText"/>
        <w:jc w:val="both"/>
      </w:pPr>
      <w:r w:rsidRPr="000467B6">
        <w:t>Financial sector indicators are essential for measuring countries</w:t>
      </w:r>
      <w:r w:rsidR="005B6AF3">
        <w:t>'</w:t>
      </w:r>
      <w:r w:rsidRPr="000467B6">
        <w:t xml:space="preserve"> financial market stability and</w:t>
      </w:r>
      <w:r w:rsidR="00B543FB">
        <w:t xml:space="preserve"> </w:t>
      </w:r>
      <w:r w:rsidRPr="000467B6">
        <w:t xml:space="preserve">economic stability. Stronger financial institutions play a </w:t>
      </w:r>
      <w:r w:rsidR="009E70C3">
        <w:t>signific</w:t>
      </w:r>
      <w:r w:rsidRPr="000467B6">
        <w:t>ant role in a country</w:t>
      </w:r>
      <w:r w:rsidR="005B6AF3">
        <w:t>'</w:t>
      </w:r>
      <w:r w:rsidRPr="000467B6">
        <w:t>s economic performance</w:t>
      </w:r>
      <w:r w:rsidR="00ED5246">
        <w:t>. T</w:t>
      </w:r>
      <w:r w:rsidR="00896F28">
        <w:t>h</w:t>
      </w:r>
      <w:r w:rsidRPr="000467B6">
        <w:t xml:space="preserve">e strength </w:t>
      </w:r>
      <w:r w:rsidR="00ED5246">
        <w:t>of th</w:t>
      </w:r>
      <w:r w:rsidR="000A4553">
        <w:t xml:space="preserve">ose institutions </w:t>
      </w:r>
      <w:r w:rsidR="00896F28">
        <w:t xml:space="preserve">is measured through </w:t>
      </w:r>
      <w:r w:rsidR="00C22968">
        <w:t xml:space="preserve">the following indicators. </w:t>
      </w:r>
    </w:p>
    <w:p w14:paraId="7C4B3A64" w14:textId="2E24741F" w:rsidR="000467B6" w:rsidRDefault="000467B6" w:rsidP="00775B4D">
      <w:pPr>
        <w:pStyle w:val="MText"/>
        <w:jc w:val="both"/>
      </w:pPr>
    </w:p>
    <w:p w14:paraId="3918D329" w14:textId="77777777" w:rsidR="00954345" w:rsidRPr="00954345" w:rsidRDefault="00954345" w:rsidP="00954345">
      <w:pPr>
        <w:pStyle w:val="MText"/>
        <w:numPr>
          <w:ilvl w:val="0"/>
          <w:numId w:val="10"/>
        </w:numPr>
        <w:tabs>
          <w:tab w:val="left" w:pos="360"/>
        </w:tabs>
        <w:ind w:hanging="720"/>
        <w:jc w:val="both"/>
        <w:rPr>
          <w:i/>
          <w:iCs/>
        </w:rPr>
      </w:pPr>
      <w:r w:rsidRPr="00954345">
        <w:rPr>
          <w:i/>
          <w:iCs/>
        </w:rPr>
        <w:t>Bank capital to assets ratio (%)</w:t>
      </w:r>
    </w:p>
    <w:p w14:paraId="0869AC8E" w14:textId="7E378BCC" w:rsidR="00954345" w:rsidRDefault="00954345" w:rsidP="00954345">
      <w:pPr>
        <w:pStyle w:val="MText"/>
        <w:jc w:val="both"/>
      </w:pPr>
      <w:r w:rsidRPr="008D134C">
        <w:t xml:space="preserve">Bank capital to assets is the ratio of bank capital and reserves to total assets. Capital and reserves include funds contributed by owners, retained earnings, general and special reserves, provisions, and valuation adjustments. Capital consists of tier 1 capital (paid-up shares and common stock), which is a common feature in all countries' banking systems, and total regulatory capital, which includes several specified types of subordinated debt instruments that need not be repaid if the funds are required to maintain minimum capital levels (these comprise tier 2 and tier 3 capital). Total assets include all nonfinancial and financial assets. </w:t>
      </w:r>
    </w:p>
    <w:p w14:paraId="6E0BB73D" w14:textId="52818330" w:rsidR="00E30E01" w:rsidRDefault="00E30E01" w:rsidP="00954345">
      <w:pPr>
        <w:pStyle w:val="MText"/>
        <w:jc w:val="both"/>
      </w:pPr>
    </w:p>
    <w:p w14:paraId="103CAEE1" w14:textId="77777777" w:rsidR="00E30E01" w:rsidRPr="001F59BF" w:rsidRDefault="00E30E01" w:rsidP="001F59BF">
      <w:pPr>
        <w:pStyle w:val="MText"/>
        <w:numPr>
          <w:ilvl w:val="0"/>
          <w:numId w:val="10"/>
        </w:numPr>
        <w:tabs>
          <w:tab w:val="left" w:pos="360"/>
        </w:tabs>
        <w:ind w:hanging="720"/>
        <w:jc w:val="both"/>
        <w:rPr>
          <w:i/>
          <w:iCs/>
        </w:rPr>
      </w:pPr>
      <w:r w:rsidRPr="00DE093D">
        <w:rPr>
          <w:i/>
          <w:iCs/>
        </w:rPr>
        <w:t>Bank nonperforming loans to total gross loans (%)</w:t>
      </w:r>
    </w:p>
    <w:p w14:paraId="030D9E12" w14:textId="76678715" w:rsidR="00E30E01" w:rsidRDefault="00E30E01" w:rsidP="00E30E01">
      <w:pPr>
        <w:pStyle w:val="MText"/>
        <w:tabs>
          <w:tab w:val="left" w:pos="360"/>
        </w:tabs>
        <w:jc w:val="both"/>
      </w:pPr>
      <w:r w:rsidRPr="008D134C">
        <w:t xml:space="preserve">Bank nonperforming loans to total gross loans is the value of nonperforming loans divided by the total value of the loan portfolio (including nonperforming loans before the deduction of specific loan-loss provisions). The loan amount recorded as nonperforming should be the gross value of the loan as recorded on the balance sheet, not just the amount that is overdue. </w:t>
      </w:r>
    </w:p>
    <w:p w14:paraId="4D92B528" w14:textId="4E6566C8" w:rsidR="00E30E01" w:rsidRPr="00206CFD" w:rsidRDefault="00E30E01" w:rsidP="00206CFD">
      <w:pPr>
        <w:pStyle w:val="MText"/>
        <w:tabs>
          <w:tab w:val="left" w:pos="360"/>
        </w:tabs>
        <w:jc w:val="both"/>
        <w:rPr>
          <w:i/>
          <w:iCs/>
        </w:rPr>
      </w:pPr>
    </w:p>
    <w:p w14:paraId="59663291" w14:textId="77777777" w:rsidR="00206CFD" w:rsidRPr="00A665AA" w:rsidRDefault="00206CFD" w:rsidP="00206CFD">
      <w:pPr>
        <w:pStyle w:val="MText"/>
        <w:numPr>
          <w:ilvl w:val="0"/>
          <w:numId w:val="10"/>
        </w:numPr>
        <w:tabs>
          <w:tab w:val="left" w:pos="360"/>
        </w:tabs>
        <w:ind w:hanging="720"/>
        <w:jc w:val="both"/>
        <w:rPr>
          <w:i/>
          <w:iCs/>
        </w:rPr>
      </w:pPr>
      <w:r w:rsidRPr="00A665AA">
        <w:rPr>
          <w:i/>
          <w:iCs/>
        </w:rPr>
        <w:t>Annual broad money growth (%)</w:t>
      </w:r>
    </w:p>
    <w:p w14:paraId="40AEBD77" w14:textId="57893EB0" w:rsidR="00206CFD" w:rsidRPr="008D134C" w:rsidRDefault="00206CFD" w:rsidP="00206CFD">
      <w:pPr>
        <w:pStyle w:val="MText"/>
        <w:jc w:val="both"/>
      </w:pPr>
      <w:r w:rsidRPr="008D134C">
        <w:t xml:space="preserve">Broad money is the sum of currency outside banks; demand deposits other than those of the central government; the time, savings, and foreign currency deposits of resident sectors other than the central government; bank and </w:t>
      </w:r>
      <w:proofErr w:type="spellStart"/>
      <w:r w:rsidRPr="008D134C">
        <w:t>traveler</w:t>
      </w:r>
      <w:r w:rsidR="005B6AF3">
        <w:t>'</w:t>
      </w:r>
      <w:r w:rsidRPr="008D134C">
        <w:t>s</w:t>
      </w:r>
      <w:proofErr w:type="spellEnd"/>
      <w:r w:rsidRPr="008D134C">
        <w:t xml:space="preserve"> checks; and other securities such as certificates of deposit and commercial paper. </w:t>
      </w:r>
    </w:p>
    <w:p w14:paraId="2324E4B1" w14:textId="77777777" w:rsidR="00206CFD" w:rsidRPr="008D134C" w:rsidRDefault="00206CFD" w:rsidP="00954345">
      <w:pPr>
        <w:pStyle w:val="MText"/>
        <w:jc w:val="both"/>
      </w:pPr>
    </w:p>
    <w:p w14:paraId="4787A02E" w14:textId="10ACDA4D" w:rsidR="00954345" w:rsidRPr="00A82C22" w:rsidRDefault="00FF4547" w:rsidP="00A82C22">
      <w:pPr>
        <w:pStyle w:val="MText"/>
        <w:numPr>
          <w:ilvl w:val="0"/>
          <w:numId w:val="10"/>
        </w:numPr>
        <w:tabs>
          <w:tab w:val="left" w:pos="360"/>
        </w:tabs>
        <w:ind w:hanging="720"/>
        <w:jc w:val="both"/>
        <w:rPr>
          <w:i/>
          <w:iCs/>
        </w:rPr>
      </w:pPr>
      <w:r w:rsidRPr="00A82C22">
        <w:rPr>
          <w:i/>
          <w:iCs/>
        </w:rPr>
        <w:t>Broad money to total reserves ratio</w:t>
      </w:r>
    </w:p>
    <w:p w14:paraId="523F791D" w14:textId="4BD4AD4E" w:rsidR="00A82C22" w:rsidRPr="00A82C22" w:rsidRDefault="00A82C22" w:rsidP="00A82C22">
      <w:pPr>
        <w:pStyle w:val="MText"/>
        <w:jc w:val="both"/>
      </w:pPr>
      <w:r w:rsidRPr="00A82C22">
        <w:t>Broad money (IFS line 35</w:t>
      </w:r>
      <w:proofErr w:type="gramStart"/>
      <w:r w:rsidRPr="00A82C22">
        <w:t>L..</w:t>
      </w:r>
      <w:proofErr w:type="gramEnd"/>
      <w:r w:rsidR="006B6E31">
        <w:t xml:space="preserve"> Z</w:t>
      </w:r>
      <w:r w:rsidR="00D02631">
        <w:t>K</w:t>
      </w:r>
      <w:r w:rsidRPr="00A82C22">
        <w:t xml:space="preserve">) is the sum of currency outside banks; demand deposits other than those of the central government; the time, savings, and foreign currency deposits of resident sectors other than the central government; bank and </w:t>
      </w:r>
      <w:proofErr w:type="spellStart"/>
      <w:r w:rsidRPr="00A82C22">
        <w:t>traveler</w:t>
      </w:r>
      <w:r w:rsidR="005B6AF3">
        <w:t>'</w:t>
      </w:r>
      <w:r w:rsidRPr="00A82C22">
        <w:t>s</w:t>
      </w:r>
      <w:proofErr w:type="spellEnd"/>
      <w:r w:rsidRPr="00A82C22">
        <w:t xml:space="preserve"> checks; and other securities such as certificates of deposit and commercial paper. </w:t>
      </w:r>
    </w:p>
    <w:p w14:paraId="110A45C3" w14:textId="77777777" w:rsidR="00FF4547" w:rsidRPr="00FF4547" w:rsidRDefault="00FF4547" w:rsidP="00FF4547">
      <w:pPr>
        <w:pStyle w:val="MText"/>
        <w:tabs>
          <w:tab w:val="left" w:pos="360"/>
        </w:tabs>
        <w:jc w:val="both"/>
      </w:pPr>
    </w:p>
    <w:p w14:paraId="75282FC7" w14:textId="012A8388" w:rsidR="000467B6" w:rsidRPr="000467B6" w:rsidRDefault="000467B6" w:rsidP="00775B4D">
      <w:pPr>
        <w:pStyle w:val="MText"/>
        <w:jc w:val="both"/>
        <w:rPr>
          <w:b/>
          <w:bCs/>
        </w:rPr>
      </w:pPr>
      <w:r>
        <w:rPr>
          <w:b/>
          <w:bCs/>
        </w:rPr>
        <w:t xml:space="preserve">5. </w:t>
      </w:r>
      <w:r w:rsidRPr="000467B6">
        <w:rPr>
          <w:b/>
          <w:bCs/>
        </w:rPr>
        <w:t>Unemployment</w:t>
      </w:r>
    </w:p>
    <w:p w14:paraId="4A4708A3" w14:textId="5191F569" w:rsidR="005F624A" w:rsidRPr="00A96255" w:rsidRDefault="00E0241B" w:rsidP="00775B4D">
      <w:pPr>
        <w:pStyle w:val="MText"/>
        <w:jc w:val="both"/>
      </w:pPr>
      <w:r w:rsidRPr="000467B6">
        <w:t>Trends in unemployment rate data are a v</w:t>
      </w:r>
      <w:r>
        <w:t>ital</w:t>
      </w:r>
      <w:r w:rsidRPr="000467B6">
        <w:t xml:space="preserve"> indicator for </w:t>
      </w:r>
      <w:proofErr w:type="spellStart"/>
      <w:r>
        <w:t>analyzing</w:t>
      </w:r>
      <w:proofErr w:type="spellEnd"/>
      <w:r w:rsidRPr="000467B6">
        <w:t xml:space="preserve"> the long-term economic development of a country</w:t>
      </w:r>
      <w:r w:rsidR="00937690">
        <w:t xml:space="preserve"> (</w:t>
      </w:r>
      <w:r w:rsidR="000467B6" w:rsidRPr="000467B6">
        <w:t>SDG 8.5.2</w:t>
      </w:r>
      <w:r w:rsidR="00937690">
        <w:t xml:space="preserve">). </w:t>
      </w:r>
      <w:r w:rsidR="000467B6" w:rsidRPr="000467B6">
        <w:t xml:space="preserve">Stronger and sustainable economic growth </w:t>
      </w:r>
      <w:r w:rsidR="00E74748">
        <w:t xml:space="preserve">often </w:t>
      </w:r>
      <w:r w:rsidR="000467B6" w:rsidRPr="000467B6">
        <w:t>result</w:t>
      </w:r>
      <w:r w:rsidR="00E74748">
        <w:t>s</w:t>
      </w:r>
      <w:r w:rsidR="000467B6" w:rsidRPr="000467B6">
        <w:t xml:space="preserve"> in lower unemployment rates. </w:t>
      </w:r>
    </w:p>
    <w:p w14:paraId="6E54D3D6" w14:textId="12126B07" w:rsidR="00EC2915" w:rsidRDefault="00EC2915" w:rsidP="00775B4D">
      <w:pPr>
        <w:pStyle w:val="MText"/>
        <w:jc w:val="both"/>
      </w:pPr>
    </w:p>
    <w:p w14:paraId="1A573997" w14:textId="67E92116" w:rsidR="006C07D2" w:rsidRPr="007F4337" w:rsidRDefault="006C07D2" w:rsidP="00775B4D">
      <w:pPr>
        <w:pStyle w:val="MText"/>
        <w:tabs>
          <w:tab w:val="left" w:pos="360"/>
        </w:tabs>
        <w:jc w:val="both"/>
        <w:rPr>
          <w:i/>
          <w:iCs/>
        </w:rPr>
      </w:pPr>
      <w:r w:rsidRPr="007F4337">
        <w:rPr>
          <w:i/>
          <w:iCs/>
        </w:rPr>
        <w:t xml:space="preserve">Total unemployment out of total </w:t>
      </w:r>
      <w:proofErr w:type="spellStart"/>
      <w:r w:rsidRPr="007F4337">
        <w:rPr>
          <w:i/>
          <w:iCs/>
        </w:rPr>
        <w:t>labor</w:t>
      </w:r>
      <w:proofErr w:type="spellEnd"/>
      <w:r w:rsidRPr="007F4337">
        <w:rPr>
          <w:i/>
          <w:iCs/>
        </w:rPr>
        <w:t xml:space="preserve"> force (national estimate) (%)</w:t>
      </w:r>
    </w:p>
    <w:p w14:paraId="1F49220F" w14:textId="1C0BC5DC" w:rsidR="006C07D2" w:rsidRPr="008D134C" w:rsidRDefault="006C07D2" w:rsidP="00775B4D">
      <w:pPr>
        <w:pStyle w:val="MText"/>
        <w:jc w:val="both"/>
      </w:pPr>
      <w:r w:rsidRPr="008D134C">
        <w:t xml:space="preserve">Unemployment refers to the share of the </w:t>
      </w:r>
      <w:proofErr w:type="spellStart"/>
      <w:r w:rsidRPr="008D134C">
        <w:t>labor</w:t>
      </w:r>
      <w:proofErr w:type="spellEnd"/>
      <w:r w:rsidRPr="008D134C">
        <w:t xml:space="preserve"> force that is without work but available for and seeking employment. Definitions of </w:t>
      </w:r>
      <w:r w:rsidR="004A6E3A">
        <w:t xml:space="preserve">the </w:t>
      </w:r>
      <w:proofErr w:type="spellStart"/>
      <w:r w:rsidRPr="008D134C">
        <w:t>labor</w:t>
      </w:r>
      <w:proofErr w:type="spellEnd"/>
      <w:r w:rsidRPr="008D134C">
        <w:t xml:space="preserve"> force and unemployment differ by country. </w:t>
      </w:r>
    </w:p>
    <w:p w14:paraId="67A0AE9A" w14:textId="77777777" w:rsidR="006C07D2" w:rsidRPr="00A96255" w:rsidRDefault="006C07D2"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0744DBA1" w14:textId="3C49DE55" w:rsidR="00EE3460" w:rsidRDefault="00812F5E" w:rsidP="00EE3460">
      <w:pPr>
        <w:pStyle w:val="MText"/>
      </w:pPr>
      <w:r>
        <w:t xml:space="preserve">Percent </w:t>
      </w:r>
      <w:r w:rsidR="0066445E">
        <w:t xml:space="preserve">(%), </w:t>
      </w:r>
      <w:r>
        <w:t xml:space="preserve">except for these: </w:t>
      </w:r>
    </w:p>
    <w:p w14:paraId="77AA6A14" w14:textId="77777777" w:rsidR="00EE3460" w:rsidRDefault="00EE3460" w:rsidP="00E958F0">
      <w:pPr>
        <w:pStyle w:val="MText"/>
        <w:numPr>
          <w:ilvl w:val="0"/>
          <w:numId w:val="13"/>
        </w:numPr>
      </w:pPr>
      <w:r>
        <w:t>Portfolio investment, net (</w:t>
      </w:r>
      <w:proofErr w:type="spellStart"/>
      <w:r>
        <w:t>BoP</w:t>
      </w:r>
      <w:proofErr w:type="spellEnd"/>
      <w:r>
        <w:t>, current US$)</w:t>
      </w:r>
    </w:p>
    <w:p w14:paraId="4A2070B6" w14:textId="7B86BD92" w:rsidR="00EE3460" w:rsidRDefault="00EE3460" w:rsidP="00E958F0">
      <w:pPr>
        <w:pStyle w:val="MText"/>
        <w:numPr>
          <w:ilvl w:val="0"/>
          <w:numId w:val="13"/>
        </w:numPr>
      </w:pPr>
      <w:r>
        <w:t>Total reserves in months of imports (ratio)</w:t>
      </w:r>
    </w:p>
    <w:p w14:paraId="5990DD71" w14:textId="3CCED3AB" w:rsidR="00EE3460" w:rsidRDefault="00EE3460" w:rsidP="00E958F0">
      <w:pPr>
        <w:pStyle w:val="MText"/>
        <w:numPr>
          <w:ilvl w:val="0"/>
          <w:numId w:val="13"/>
        </w:numPr>
      </w:pPr>
      <w:r>
        <w:t>Broad money to total reserves ratio (ratio)</w:t>
      </w:r>
    </w:p>
    <w:p w14:paraId="2111AE07" w14:textId="358BB6A8" w:rsidR="00EE3460" w:rsidRDefault="00EE3460" w:rsidP="00E958F0">
      <w:pPr>
        <w:pStyle w:val="MText"/>
        <w:numPr>
          <w:ilvl w:val="0"/>
          <w:numId w:val="13"/>
        </w:numPr>
      </w:pPr>
      <w:r>
        <w:t>DEC alternative conversion factor (LCU per US$) (ratio)</w:t>
      </w:r>
    </w:p>
    <w:p w14:paraId="13604547" w14:textId="77777777" w:rsidR="00EE3460" w:rsidRPr="00A96255" w:rsidRDefault="00EE3460" w:rsidP="00EE3460">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067B813F" w14:textId="488C9A1F" w:rsidR="00B676E1" w:rsidRDefault="003E2F37" w:rsidP="003E2F37">
      <w:pPr>
        <w:pStyle w:val="MText"/>
      </w:pPr>
      <w:r>
        <w:lastRenderedPageBreak/>
        <w:t>IMF Balance of Payments Manual 6</w:t>
      </w:r>
      <w:r w:rsidR="00AD75A7">
        <w:t xml:space="preserve"> for the </w:t>
      </w:r>
      <w:r w:rsidR="001306D3">
        <w:t>E</w:t>
      </w:r>
      <w:r w:rsidR="00AD75A7">
        <w:t xml:space="preserve">xternal </w:t>
      </w:r>
      <w:r w:rsidR="00182699">
        <w:t>S</w:t>
      </w:r>
      <w:r w:rsidR="00AD75A7">
        <w:t>ector</w:t>
      </w:r>
      <w:r w:rsidR="00486D75">
        <w:t>:</w:t>
      </w:r>
    </w:p>
    <w:p w14:paraId="4EA531D9" w14:textId="724EDEEA" w:rsidR="003E2F37" w:rsidRDefault="00B676E1" w:rsidP="003E2F37">
      <w:pPr>
        <w:pStyle w:val="MText"/>
      </w:pPr>
      <w:hyperlink r:id="rId11" w:history="1">
        <w:r w:rsidRPr="00747BA8">
          <w:rPr>
            <w:rStyle w:val="Hyperlink"/>
          </w:rPr>
          <w:t>https://www.imf.org/external/pubs/ft/bop/2007/pdf/bpm6.pdf</w:t>
        </w:r>
      </w:hyperlink>
      <w:r w:rsidR="00486D75">
        <w:t xml:space="preserve"> </w:t>
      </w:r>
    </w:p>
    <w:p w14:paraId="753CC849" w14:textId="77777777" w:rsidR="00B676E1" w:rsidRDefault="00B676E1" w:rsidP="003E2F37">
      <w:pPr>
        <w:pStyle w:val="MText"/>
      </w:pPr>
    </w:p>
    <w:p w14:paraId="68408D7C" w14:textId="226B4ED4" w:rsidR="00B676E1" w:rsidRDefault="003E2F37" w:rsidP="003E2F37">
      <w:pPr>
        <w:pStyle w:val="MText"/>
      </w:pPr>
      <w:r>
        <w:t>IMF International Financial Statistics</w:t>
      </w:r>
      <w:r w:rsidR="00B83F8D">
        <w:t xml:space="preserve"> for the </w:t>
      </w:r>
      <w:r w:rsidR="001306D3">
        <w:t>F</w:t>
      </w:r>
      <w:r w:rsidR="00B83F8D">
        <w:t xml:space="preserve">inancial </w:t>
      </w:r>
      <w:r w:rsidR="00AA42C4">
        <w:t>sector</w:t>
      </w:r>
      <w:r>
        <w:t xml:space="preserve">: </w:t>
      </w:r>
    </w:p>
    <w:p w14:paraId="327620E2" w14:textId="5F33D461" w:rsidR="003E2F37" w:rsidRDefault="00B676E1" w:rsidP="003E2F37">
      <w:pPr>
        <w:pStyle w:val="MText"/>
      </w:pPr>
      <w:hyperlink r:id="rId12" w:history="1">
        <w:r w:rsidRPr="00747BA8">
          <w:rPr>
            <w:rStyle w:val="Hyperlink"/>
          </w:rPr>
          <w:t>http://data.imf.org/?sk=4C514D48-B6BA-49ED-8AB9-52B0C1A0179B&amp;sId=1537997141415</w:t>
        </w:r>
      </w:hyperlink>
      <w:r w:rsidR="003E2F37">
        <w:t xml:space="preserve">  </w:t>
      </w:r>
    </w:p>
    <w:p w14:paraId="228E7D8B" w14:textId="77777777" w:rsidR="00B676E1" w:rsidRDefault="00B676E1" w:rsidP="003E2F37">
      <w:pPr>
        <w:pStyle w:val="MText"/>
      </w:pPr>
    </w:p>
    <w:p w14:paraId="3DE8912B" w14:textId="08E9FB8A" w:rsidR="00B676E1" w:rsidRDefault="003E2F37" w:rsidP="003E2F37">
      <w:pPr>
        <w:pStyle w:val="MText"/>
      </w:pPr>
      <w:r>
        <w:t>IMF Government Financial Statistics</w:t>
      </w:r>
      <w:r w:rsidR="00B83F8D">
        <w:t xml:space="preserve"> for the </w:t>
      </w:r>
      <w:r w:rsidR="001306D3">
        <w:t>F</w:t>
      </w:r>
      <w:r w:rsidR="00B83F8D">
        <w:t xml:space="preserve">iscal </w:t>
      </w:r>
      <w:r w:rsidR="00AA42C4">
        <w:t>sector</w:t>
      </w:r>
      <w:r w:rsidR="000F43A6">
        <w:t xml:space="preserve">: </w:t>
      </w:r>
    </w:p>
    <w:p w14:paraId="78D849C7" w14:textId="32824F55" w:rsidR="003E2F37" w:rsidRDefault="00B676E1" w:rsidP="003E2F37">
      <w:pPr>
        <w:pStyle w:val="MText"/>
      </w:pPr>
      <w:hyperlink r:id="rId13" w:history="1">
        <w:r w:rsidRPr="00747BA8">
          <w:rPr>
            <w:rStyle w:val="Hyperlink"/>
          </w:rPr>
          <w:t>https://www.imf.org/external/pubs/ft/gfs/manual/gfs.htm</w:t>
        </w:r>
      </w:hyperlink>
      <w:r w:rsidR="000F43A6">
        <w:t xml:space="preserve"> </w:t>
      </w:r>
      <w:r w:rsidR="003E2F37">
        <w:t xml:space="preserve"> </w:t>
      </w:r>
    </w:p>
    <w:p w14:paraId="09B8596E" w14:textId="77777777" w:rsidR="00B676E1" w:rsidRDefault="00B676E1" w:rsidP="003E2F37">
      <w:pPr>
        <w:pStyle w:val="MText"/>
      </w:pPr>
    </w:p>
    <w:p w14:paraId="34DE9400" w14:textId="09516F98" w:rsidR="00B676E1" w:rsidRDefault="003E2F37" w:rsidP="003E2F37">
      <w:pPr>
        <w:pStyle w:val="MText"/>
      </w:pPr>
      <w:r>
        <w:t>System of National Accounts</w:t>
      </w:r>
      <w:r w:rsidR="00B83F8D">
        <w:t xml:space="preserve"> for the </w:t>
      </w:r>
      <w:r w:rsidR="001306D3">
        <w:t>R</w:t>
      </w:r>
      <w:r w:rsidR="00B83F8D">
        <w:t>eal sector</w:t>
      </w:r>
      <w:r w:rsidR="000F43A6">
        <w:t xml:space="preserve">: </w:t>
      </w:r>
    </w:p>
    <w:p w14:paraId="123172F4" w14:textId="0870A0B3" w:rsidR="00F719A8" w:rsidRDefault="00B676E1" w:rsidP="003E2F37">
      <w:pPr>
        <w:pStyle w:val="MText"/>
      </w:pPr>
      <w:hyperlink r:id="rId14" w:history="1">
        <w:r w:rsidRPr="00747BA8">
          <w:rPr>
            <w:rStyle w:val="Hyperlink"/>
          </w:rPr>
          <w:t>https://unstats.un.org/unsd/nationalaccount/sna.asp</w:t>
        </w:r>
      </w:hyperlink>
      <w:r w:rsidR="000F43A6">
        <w:t xml:space="preserve"> </w:t>
      </w:r>
    </w:p>
    <w:p w14:paraId="03C8AD6F" w14:textId="77777777" w:rsidR="00486D75" w:rsidRPr="00A96255" w:rsidRDefault="00486D75" w:rsidP="003E2F37">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2ACCD740" w14:textId="367D286B" w:rsidR="00D322F2" w:rsidRDefault="008B0AC7" w:rsidP="006E349E">
      <w:pPr>
        <w:pStyle w:val="MHeader2"/>
      </w:pPr>
      <w:r w:rsidRPr="00A96255">
        <w:t xml:space="preserve">3.a. Data sources </w:t>
      </w:r>
      <w:r>
        <w:rPr>
          <w:color w:val="B4B4B4"/>
          <w:sz w:val="20"/>
        </w:rPr>
        <w:t>(SOURCE_TYPE)</w:t>
      </w:r>
    </w:p>
    <w:p w14:paraId="3018A8D8" w14:textId="140CE8E6" w:rsidR="00EC2915" w:rsidRPr="001306D3" w:rsidRDefault="0079458A" w:rsidP="00BE30C4">
      <w:pPr>
        <w:rPr>
          <w:color w:val="4A4A4A"/>
        </w:rPr>
      </w:pPr>
      <w:r w:rsidRPr="001306D3">
        <w:rPr>
          <w:color w:val="4A4A4A"/>
        </w:rPr>
        <w:t xml:space="preserve">The data source is the </w:t>
      </w:r>
      <w:r w:rsidR="00A80AF1" w:rsidRPr="001306D3">
        <w:rPr>
          <w:color w:val="4A4A4A"/>
        </w:rPr>
        <w:t>World Development Indicators</w:t>
      </w:r>
      <w:r w:rsidR="005B7DE6" w:rsidRPr="001306D3">
        <w:rPr>
          <w:color w:val="4A4A4A"/>
        </w:rPr>
        <w:t xml:space="preserve"> (</w:t>
      </w:r>
      <w:hyperlink r:id="rId15" w:history="1">
        <w:r w:rsidR="005B7DE6" w:rsidRPr="00182699">
          <w:rPr>
            <w:rStyle w:val="Hyperlink"/>
            <w:color w:val="0000FF"/>
          </w:rPr>
          <w:t>http://wdi.worldbank.org/</w:t>
        </w:r>
      </w:hyperlink>
      <w:r w:rsidR="005B7DE6" w:rsidRPr="001306D3">
        <w:rPr>
          <w:color w:val="4A4A4A"/>
        </w:rPr>
        <w:t>)</w:t>
      </w:r>
      <w:r w:rsidR="00CF324E" w:rsidRPr="001306D3">
        <w:rPr>
          <w:color w:val="4A4A4A"/>
        </w:rPr>
        <w:t>—</w:t>
      </w:r>
      <w:r w:rsidR="00A80AF1" w:rsidRPr="001306D3">
        <w:rPr>
          <w:color w:val="4A4A4A"/>
        </w:rPr>
        <w:t>a</w:t>
      </w:r>
      <w:r w:rsidR="00CF324E" w:rsidRPr="001306D3">
        <w:rPr>
          <w:color w:val="4A4A4A"/>
        </w:rPr>
        <w:t xml:space="preserve"> </w:t>
      </w:r>
      <w:r w:rsidR="0080717C" w:rsidRPr="001306D3">
        <w:rPr>
          <w:color w:val="4A4A4A"/>
        </w:rPr>
        <w:t xml:space="preserve">compilation </w:t>
      </w:r>
      <w:r w:rsidR="0088154B" w:rsidRPr="001306D3">
        <w:rPr>
          <w:color w:val="4A4A4A"/>
        </w:rPr>
        <w:t xml:space="preserve">of development data from </w:t>
      </w:r>
      <w:r w:rsidR="00742C6F" w:rsidRPr="001306D3">
        <w:rPr>
          <w:color w:val="4A4A4A"/>
        </w:rPr>
        <w:t xml:space="preserve">countries and </w:t>
      </w:r>
      <w:r w:rsidR="0088154B" w:rsidRPr="001306D3">
        <w:rPr>
          <w:color w:val="4A4A4A"/>
        </w:rPr>
        <w:t xml:space="preserve">international </w:t>
      </w:r>
      <w:r w:rsidR="00742C6F" w:rsidRPr="001306D3">
        <w:rPr>
          <w:color w:val="4A4A4A"/>
        </w:rPr>
        <w:t>agencies</w:t>
      </w:r>
      <w:r w:rsidR="00DF4456" w:rsidRPr="001306D3">
        <w:rPr>
          <w:color w:val="4A4A4A"/>
        </w:rPr>
        <w:t>, covering 1,400 time-series indicators for 217 economies</w:t>
      </w:r>
      <w:r w:rsidR="00842415" w:rsidRPr="001306D3">
        <w:rPr>
          <w:color w:val="4A4A4A"/>
        </w:rPr>
        <w:t xml:space="preserve"> for many indicators going back </w:t>
      </w:r>
      <w:r w:rsidR="008E1D05" w:rsidRPr="001306D3">
        <w:rPr>
          <w:color w:val="4A4A4A"/>
        </w:rPr>
        <w:t>6</w:t>
      </w:r>
      <w:r w:rsidR="00842415" w:rsidRPr="001306D3">
        <w:rPr>
          <w:color w:val="4A4A4A"/>
        </w:rPr>
        <w:t>0 years.</w:t>
      </w:r>
      <w:r w:rsidR="0075035C" w:rsidRPr="001306D3">
        <w:rPr>
          <w:color w:val="4A4A4A"/>
        </w:rPr>
        <w:t xml:space="preserve"> </w:t>
      </w:r>
      <w:r w:rsidR="00BD0619" w:rsidRPr="001306D3">
        <w:rPr>
          <w:color w:val="4A4A4A"/>
        </w:rPr>
        <w:t xml:space="preserve"> </w:t>
      </w: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EA2F4A4" w14:textId="01890DBA" w:rsidR="00B906A6" w:rsidRPr="00A96255" w:rsidRDefault="00802DBC" w:rsidP="00B906A6">
      <w:pPr>
        <w:pStyle w:val="MText"/>
      </w:pPr>
      <w:r>
        <w:t>The</w:t>
      </w:r>
      <w:r w:rsidR="00B906A6">
        <w:t xml:space="preserve"> </w:t>
      </w:r>
      <w:r>
        <w:t xml:space="preserve">data and relevant </w:t>
      </w:r>
      <w:r w:rsidR="00B906A6">
        <w:t xml:space="preserve">information </w:t>
      </w:r>
      <w:proofErr w:type="gramStart"/>
      <w:r>
        <w:t>is</w:t>
      </w:r>
      <w:proofErr w:type="gramEnd"/>
      <w:r>
        <w:t xml:space="preserve"> collected </w:t>
      </w:r>
      <w:r w:rsidR="00B906A6">
        <w:t>from</w:t>
      </w:r>
      <w:r w:rsidR="00DE3503">
        <w:t xml:space="preserve"> </w:t>
      </w:r>
      <w:r w:rsidR="00151469">
        <w:t xml:space="preserve">the </w:t>
      </w:r>
      <w:r w:rsidR="00B906A6">
        <w:t xml:space="preserve">data </w:t>
      </w:r>
      <w:r w:rsidR="00DE3503">
        <w:t xml:space="preserve">sources listed above.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0172D45B" w:rsidR="00576CFA" w:rsidRPr="00A96255" w:rsidRDefault="00CA0EE7" w:rsidP="00576CFA">
      <w:pPr>
        <w:pStyle w:val="MText"/>
      </w:pPr>
      <w:r>
        <w:t>Ongoing process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61B9EC94" w:rsidR="00EC2915" w:rsidRDefault="008D597D" w:rsidP="00D455A8">
      <w:pPr>
        <w:pStyle w:val="MText"/>
        <w:jc w:val="both"/>
      </w:pPr>
      <w:r w:rsidRPr="00DC4D5E">
        <w:t xml:space="preserve">Every July and December. </w:t>
      </w:r>
      <w:r w:rsidR="00D455A8" w:rsidRPr="00DC4D5E">
        <w:t>However,</w:t>
      </w:r>
      <w:r w:rsidRPr="00DC4D5E">
        <w:t xml:space="preserve"> data can be updated </w:t>
      </w:r>
      <w:r w:rsidR="00CD7E5F">
        <w:t xml:space="preserve">when </w:t>
      </w:r>
      <w:r w:rsidRPr="00DC4D5E">
        <w:t>countries revise their economic data monthly or quarterly, change methodology or coverage, or introduce new weights.</w:t>
      </w:r>
    </w:p>
    <w:p w14:paraId="0D0A479C" w14:textId="77777777" w:rsidR="00D455A8" w:rsidRPr="00A96255" w:rsidRDefault="00D455A8" w:rsidP="00D455A8">
      <w:pPr>
        <w:pStyle w:val="MText"/>
        <w:jc w:val="both"/>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160BC75" w14:textId="13A88E36" w:rsidR="009B7BAC" w:rsidRPr="00DC1444" w:rsidRDefault="00FE016A" w:rsidP="009B7BAC">
      <w:pPr>
        <w:pStyle w:val="form-control-static"/>
        <w:shd w:val="clear" w:color="auto" w:fill="FFFFFF"/>
        <w:spacing w:before="0" w:beforeAutospacing="0" w:after="0" w:afterAutospacing="0"/>
        <w:rPr>
          <w:rFonts w:asciiTheme="minorHAnsi" w:hAnsiTheme="minorHAnsi"/>
          <w:color w:val="4A4A4A"/>
          <w:sz w:val="21"/>
          <w:szCs w:val="21"/>
        </w:rPr>
      </w:pPr>
      <w:r w:rsidRPr="00B63EC2">
        <w:rPr>
          <w:rFonts w:asciiTheme="minorHAnsi" w:hAnsiTheme="minorHAnsi"/>
          <w:color w:val="4A4A4A"/>
          <w:sz w:val="21"/>
          <w:szCs w:val="21"/>
        </w:rPr>
        <w:t>International Labour Organization</w:t>
      </w:r>
      <w:r>
        <w:rPr>
          <w:rFonts w:asciiTheme="minorHAnsi" w:hAnsiTheme="minorHAnsi"/>
          <w:color w:val="4A4A4A"/>
          <w:sz w:val="21"/>
          <w:szCs w:val="21"/>
        </w:rPr>
        <w:t xml:space="preserve"> (ILO), </w:t>
      </w:r>
      <w:r w:rsidR="00B63EC2" w:rsidRPr="00B63EC2">
        <w:rPr>
          <w:rFonts w:asciiTheme="minorHAnsi" w:hAnsiTheme="minorHAnsi"/>
          <w:color w:val="4A4A4A"/>
          <w:sz w:val="21"/>
          <w:szCs w:val="21"/>
        </w:rPr>
        <w:t>International Monetary Fund</w:t>
      </w:r>
      <w:r>
        <w:rPr>
          <w:rFonts w:asciiTheme="minorHAnsi" w:hAnsiTheme="minorHAnsi"/>
          <w:color w:val="4A4A4A"/>
          <w:sz w:val="21"/>
          <w:szCs w:val="21"/>
        </w:rPr>
        <w:t xml:space="preserve"> (IMF)</w:t>
      </w:r>
      <w:r w:rsidR="00B63EC2">
        <w:rPr>
          <w:rFonts w:asciiTheme="minorHAnsi" w:hAnsiTheme="minorHAnsi"/>
          <w:color w:val="4A4A4A"/>
          <w:sz w:val="21"/>
          <w:szCs w:val="21"/>
        </w:rPr>
        <w:t xml:space="preserve">, </w:t>
      </w:r>
      <w:r w:rsidRPr="009B21D0">
        <w:rPr>
          <w:rFonts w:asciiTheme="minorHAnsi" w:hAnsiTheme="minorHAnsi"/>
          <w:color w:val="4A4A4A"/>
          <w:sz w:val="21"/>
          <w:szCs w:val="21"/>
        </w:rPr>
        <w:t>Organisation for Economic Co-operation and Development (OECD)</w:t>
      </w:r>
      <w:r>
        <w:rPr>
          <w:rFonts w:asciiTheme="minorHAnsi" w:hAnsiTheme="minorHAnsi"/>
          <w:color w:val="4A4A4A"/>
          <w:sz w:val="21"/>
          <w:szCs w:val="21"/>
        </w:rPr>
        <w:t xml:space="preserve">, </w:t>
      </w:r>
      <w:r w:rsidRPr="00DC1444">
        <w:rPr>
          <w:rFonts w:asciiTheme="minorHAnsi" w:hAnsiTheme="minorHAnsi"/>
          <w:color w:val="4A4A4A"/>
          <w:sz w:val="21"/>
          <w:szCs w:val="21"/>
        </w:rPr>
        <w:t>World Bank</w:t>
      </w:r>
      <w:r>
        <w:rPr>
          <w:rFonts w:asciiTheme="minorHAnsi" w:hAnsiTheme="minorHAnsi"/>
          <w:color w:val="4A4A4A"/>
          <w:sz w:val="21"/>
          <w:szCs w:val="21"/>
        </w:rPr>
        <w:t xml:space="preserve">, and </w:t>
      </w:r>
      <w:r w:rsidR="00B63EC2" w:rsidRPr="00B63EC2">
        <w:rPr>
          <w:rFonts w:asciiTheme="minorHAnsi" w:hAnsiTheme="minorHAnsi"/>
          <w:color w:val="4A4A4A"/>
          <w:sz w:val="21"/>
          <w:szCs w:val="21"/>
        </w:rPr>
        <w:t>World Trade Organization</w:t>
      </w:r>
      <w:r>
        <w:rPr>
          <w:rFonts w:asciiTheme="minorHAnsi" w:hAnsiTheme="minorHAnsi"/>
          <w:color w:val="4A4A4A"/>
          <w:sz w:val="21"/>
          <w:szCs w:val="21"/>
        </w:rPr>
        <w:t xml:space="preserve"> (WTO)</w:t>
      </w:r>
      <w:r w:rsidR="00B63EC2">
        <w:rPr>
          <w:rFonts w:asciiTheme="minorHAnsi" w:hAnsiTheme="minorHAnsi"/>
          <w:color w:val="4A4A4A"/>
          <w:sz w:val="21"/>
          <w:szCs w:val="21"/>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13FC8B07" w14:textId="77777777" w:rsidR="009B7BAC" w:rsidRPr="00DC1444" w:rsidRDefault="009B7BAC" w:rsidP="009B7BAC">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World Bank</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3C7C172A" w:rsidR="00576CFA" w:rsidRPr="00A96255" w:rsidRDefault="00831BCF" w:rsidP="00576CFA">
      <w:pPr>
        <w:pStyle w:val="MText"/>
      </w:pPr>
      <w:r>
        <w:t>N</w:t>
      </w:r>
      <w:r w:rsidR="003A0FB6">
        <w:t xml:space="preserve">ot </w:t>
      </w:r>
      <w:r w:rsidR="00B00D02">
        <w:t>applicable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EB6982F" w14:textId="0C4BE858" w:rsidR="00EE7AD0" w:rsidRDefault="00935206" w:rsidP="002655A0">
      <w:pPr>
        <w:pStyle w:val="MText"/>
        <w:jc w:val="both"/>
      </w:pPr>
      <w:r w:rsidRPr="00935206">
        <w:lastRenderedPageBreak/>
        <w:t xml:space="preserve">To provide a standardized instrument to monitor the macroeconomic stability of countries, the World Bank has designed a Macroeconomic dashboard including important macroeconomic indicators covering the external, financial, fiscal, and real sectors. The indicator selection builds on existing macroeconomic monitoring frameworks developed and used by international and regional agencies, such as IMF, </w:t>
      </w:r>
      <w:r w:rsidR="00D02631">
        <w:t>WB</w:t>
      </w:r>
      <w:r w:rsidRPr="00935206">
        <w:t xml:space="preserve">, </w:t>
      </w:r>
      <w:r w:rsidR="00800B7C" w:rsidRPr="00935206">
        <w:t>ECB,</w:t>
      </w:r>
      <w:r w:rsidRPr="00935206">
        <w:t xml:space="preserve"> and OECD.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E34F171" w14:textId="7F916D49" w:rsidR="00667DA0" w:rsidRDefault="0095798B" w:rsidP="00FE3ECB">
      <w:pPr>
        <w:pStyle w:val="MText"/>
        <w:tabs>
          <w:tab w:val="left" w:pos="360"/>
        </w:tabs>
      </w:pPr>
      <w:r w:rsidRPr="0095798B">
        <w:t>The methodologies for selected indicators follow long</w:t>
      </w:r>
      <w:r w:rsidR="00997021">
        <w:t>-</w:t>
      </w:r>
      <w:r w:rsidRPr="0095798B">
        <w:t>established international standards</w:t>
      </w:r>
      <w:r w:rsidR="00997021">
        <w:t xml:space="preserve"> as listed in 2.c</w:t>
      </w:r>
      <w:r w:rsidRPr="0095798B">
        <w:t>.</w:t>
      </w:r>
      <w:r w:rsidR="00494752">
        <w:t xml:space="preserve"> </w:t>
      </w:r>
      <w:r w:rsidR="009704B3">
        <w:t>Classifications.</w:t>
      </w:r>
      <w:r w:rsidRPr="0095798B">
        <w:t xml:space="preserve"> For example, N</w:t>
      </w:r>
      <w:r w:rsidR="00997021">
        <w:t xml:space="preserve">ational </w:t>
      </w:r>
      <w:r w:rsidRPr="0095798B">
        <w:t>S</w:t>
      </w:r>
      <w:r w:rsidR="00997021">
        <w:t xml:space="preserve">tatistical </w:t>
      </w:r>
      <w:r w:rsidRPr="0095798B">
        <w:t>O</w:t>
      </w:r>
      <w:r w:rsidR="00997021">
        <w:t>ffice</w:t>
      </w:r>
      <w:r w:rsidRPr="0095798B">
        <w:t>s compile real sector data</w:t>
      </w:r>
      <w:r w:rsidR="007C30ED">
        <w:t xml:space="preserve"> according to </w:t>
      </w:r>
      <w:r w:rsidRPr="0095798B">
        <w:t>the System of National Accounts 1993 / 2008</w:t>
      </w:r>
      <w:r w:rsidR="00997021">
        <w:t xml:space="preserve">. </w:t>
      </w:r>
      <w:r w:rsidRPr="0095798B">
        <w:t>Similarly, Central Banks and Ministries of Finance co</w:t>
      </w:r>
      <w:r w:rsidR="007C30ED">
        <w:t>llect</w:t>
      </w:r>
      <w:r w:rsidR="00EA16C4">
        <w:t xml:space="preserve"> </w:t>
      </w:r>
      <w:r w:rsidRPr="0095798B">
        <w:t>balance payments according to</w:t>
      </w:r>
      <w:r w:rsidR="00EA16C4">
        <w:t xml:space="preserve"> the</w:t>
      </w:r>
      <w:r w:rsidRPr="0095798B">
        <w:t xml:space="preserve"> IMF Balance of Payments Manual, financial indicators follow</w:t>
      </w:r>
      <w:r w:rsidR="007C30ED">
        <w:t>ing</w:t>
      </w:r>
      <w:r w:rsidRPr="0095798B">
        <w:t xml:space="preserve"> the IMF International Financial Statistics, and fiscal indicators following the IMF Government Financial Statistics.</w:t>
      </w:r>
      <w:r w:rsidR="007C30ED">
        <w:t xml:space="preserve"> However, </w:t>
      </w:r>
      <w:r w:rsidR="007C30ED" w:rsidRPr="00B63EC2">
        <w:t xml:space="preserve">the implementation at </w:t>
      </w:r>
      <w:r w:rsidR="007C30ED">
        <w:t xml:space="preserve">the </w:t>
      </w:r>
      <w:r w:rsidR="007C30ED" w:rsidRPr="00B63EC2">
        <w:t xml:space="preserve">national level </w:t>
      </w:r>
      <w:r w:rsidR="007C30ED">
        <w:t xml:space="preserve">may </w:t>
      </w:r>
      <w:r w:rsidR="007C30ED" w:rsidRPr="00B63EC2">
        <w:t>var</w:t>
      </w:r>
      <w:r w:rsidR="007C30ED">
        <w:t>y.</w:t>
      </w:r>
      <w:r w:rsidR="0048091D">
        <w:t xml:space="preserve"> </w:t>
      </w:r>
      <w:r w:rsidR="0048091D" w:rsidRPr="00302CC9">
        <w:rPr>
          <w:rFonts w:cstheme="minorHAnsi"/>
          <w:sz w:val="22"/>
          <w:szCs w:val="22"/>
        </w:rPr>
        <w:t>For</w:t>
      </w:r>
      <w:r w:rsidR="00FE3ECB">
        <w:rPr>
          <w:rFonts w:cstheme="minorHAnsi"/>
          <w:sz w:val="22"/>
          <w:szCs w:val="22"/>
        </w:rPr>
        <w:t xml:space="preserve"> </w:t>
      </w:r>
      <w:r w:rsidR="00880276">
        <w:rPr>
          <w:rFonts w:cstheme="minorHAnsi"/>
          <w:sz w:val="22"/>
          <w:szCs w:val="22"/>
        </w:rPr>
        <w:t>more information on</w:t>
      </w:r>
      <w:r w:rsidR="005B13C0">
        <w:rPr>
          <w:rFonts w:cstheme="minorHAnsi"/>
          <w:sz w:val="22"/>
          <w:szCs w:val="22"/>
        </w:rPr>
        <w:t xml:space="preserve"> individual indicators</w:t>
      </w:r>
      <w:r w:rsidR="0048091D" w:rsidRPr="00302CC9">
        <w:rPr>
          <w:rFonts w:cstheme="minorHAnsi"/>
          <w:sz w:val="22"/>
          <w:szCs w:val="22"/>
        </w:rPr>
        <w:t>, please visit</w:t>
      </w:r>
      <w:r w:rsidR="0048091D">
        <w:t xml:space="preserve"> </w:t>
      </w:r>
      <w:r w:rsidR="00302CC9" w:rsidRPr="00CD6622">
        <w:t>World Development Indicators (WDI)</w:t>
      </w:r>
      <w:r w:rsidR="00880276">
        <w:t xml:space="preserve"> at </w:t>
      </w:r>
      <w:hyperlink r:id="rId16" w:history="1">
        <w:r w:rsidR="005B13C0" w:rsidRPr="00747BA8">
          <w:rPr>
            <w:rStyle w:val="Hyperlink"/>
          </w:rPr>
          <w:t>https://databank.worldbank.org/source/world-development-indicators</w:t>
        </w:r>
      </w:hyperlink>
      <w:r w:rsidR="005B13C0">
        <w:t xml:space="preserve">. </w:t>
      </w:r>
    </w:p>
    <w:p w14:paraId="2F0C99AE" w14:textId="77777777" w:rsidR="00A72EED" w:rsidRPr="00A96255" w:rsidRDefault="00A72EED" w:rsidP="00667DA0">
      <w:pPr>
        <w:pStyle w:val="MText"/>
        <w:jc w:val="both"/>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44DC82F" w14:textId="26DB3262" w:rsidR="00D92914" w:rsidRPr="001E1476" w:rsidRDefault="00057F73" w:rsidP="00057F73">
      <w:pPr>
        <w:pStyle w:val="MText"/>
        <w:jc w:val="both"/>
      </w:pPr>
      <w:r w:rsidRPr="00057F73">
        <w:rPr>
          <w:rFonts w:cstheme="minorHAnsi"/>
          <w:sz w:val="22"/>
          <w:szCs w:val="22"/>
        </w:rPr>
        <w:t>Refer to the Manuals listed in 2.c. Classifications.</w:t>
      </w:r>
    </w:p>
    <w:p w14:paraId="01461D2D" w14:textId="77777777" w:rsidR="001E1476" w:rsidRPr="001E1476" w:rsidRDefault="001E1476" w:rsidP="00737042">
      <w:pPr>
        <w:pStyle w:val="MText"/>
        <w:jc w:val="both"/>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30495DB2" w:rsidR="00F719A8" w:rsidRPr="00A96255" w:rsidRDefault="00DA7974" w:rsidP="00576CFA">
      <w:pPr>
        <w:pStyle w:val="MText"/>
      </w:pPr>
      <w:r w:rsidRPr="00DA7974">
        <w:t xml:space="preserve"> A variety of checks are conducted by the subject matter experts, including anomaly detection, time series comparisons, and checks for missing values or other inconsistencies.</w:t>
      </w: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099C5307" w:rsidR="00576CFA" w:rsidRPr="00A96255" w:rsidRDefault="00B327B5" w:rsidP="00576CFA">
      <w:pPr>
        <w:pStyle w:val="MText"/>
      </w:pPr>
      <w:r>
        <w:t>N</w:t>
      </w:r>
      <w:r w:rsidR="003A0FB6">
        <w:t xml:space="preserve">ot </w:t>
      </w:r>
      <w:r w:rsidR="00B00D02">
        <w:t>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7033367" w14:textId="4D29F375" w:rsidR="00EC2915" w:rsidRDefault="00B327B5" w:rsidP="00576CFA">
      <w:pPr>
        <w:pStyle w:val="MText"/>
      </w:pPr>
      <w:r>
        <w:t>N</w:t>
      </w:r>
      <w:r w:rsidR="003A0FB6">
        <w:t xml:space="preserve">ot </w:t>
      </w:r>
      <w:r w:rsidR="00B00D02">
        <w:t>applicable</w:t>
      </w:r>
    </w:p>
    <w:p w14:paraId="0FB92CB7" w14:textId="77777777" w:rsidR="00B327B5" w:rsidRPr="00A96255" w:rsidRDefault="00B327B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1D7FB6DE" w14:textId="1C1A7BB2" w:rsidR="00D874B7" w:rsidRDefault="00860FFE" w:rsidP="00D874B7">
      <w:pPr>
        <w:pStyle w:val="MText"/>
      </w:pPr>
      <w:r>
        <w:t xml:space="preserve">Weighted average </w:t>
      </w:r>
      <w:r w:rsidR="009C432C">
        <w:t xml:space="preserve">when available </w:t>
      </w:r>
      <w:r>
        <w:t>and m</w:t>
      </w:r>
      <w:r w:rsidR="00125C4F">
        <w:t xml:space="preserve">edian for </w:t>
      </w:r>
      <w:r w:rsidR="005C298A" w:rsidRPr="005C298A">
        <w:t>Annual inflation, consumer prices (%)</w:t>
      </w:r>
      <w:r w:rsidR="000C70E0">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22E89409" w:rsidR="00576CFA" w:rsidRPr="00A96255" w:rsidRDefault="0082216B" w:rsidP="00576CFA">
      <w:pPr>
        <w:pStyle w:val="MText"/>
      </w:pPr>
      <w:r w:rsidRPr="00057F73">
        <w:rPr>
          <w:rFonts w:cstheme="minorHAnsi"/>
          <w:sz w:val="22"/>
          <w:szCs w:val="22"/>
        </w:rPr>
        <w:t>Refer to the Manuals listed in 2.c. Classifications.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B6480BD" w:rsidR="00EC2915" w:rsidRPr="00A96255" w:rsidRDefault="00771424" w:rsidP="00576CFA">
      <w:pPr>
        <w:pStyle w:val="MText"/>
      </w:pPr>
      <w:r>
        <w:t xml:space="preserve"> </w:t>
      </w:r>
      <w:r w:rsidR="00485E75" w:rsidRPr="00485E75">
        <w:t>Throughout the data handling process, from acquisition to distribution, all activities adhere to internal policies designed to regulate data visibility for observations. Data usage also follows the terms established with the source agencies. A</w:t>
      </w:r>
      <w:r w:rsidR="00BB2197">
        <w:t>dditionally, a</w:t>
      </w:r>
      <w:r w:rsidR="00485E75" w:rsidRPr="00485E75">
        <w:t>ll information stored in the in-house system is safeguarded against unauthorized access and backed up daily to prevent data loss or system failures.</w:t>
      </w:r>
    </w:p>
    <w:p w14:paraId="17B979CA" w14:textId="449C0153" w:rsidR="00E1050F" w:rsidRPr="00A96255" w:rsidRDefault="00E1050F" w:rsidP="00F719A8">
      <w:pPr>
        <w:pStyle w:val="MHeader2"/>
      </w:pPr>
      <w:r w:rsidRPr="00A96255">
        <w:lastRenderedPageBreak/>
        <w:t xml:space="preserve">4.j Quality assurance </w:t>
      </w:r>
      <w:r>
        <w:rPr>
          <w:color w:val="B4B4B4"/>
          <w:sz w:val="20"/>
        </w:rPr>
        <w:t>(QUALITY_ASSURE)</w:t>
      </w:r>
    </w:p>
    <w:p w14:paraId="2C8A3A1A" w14:textId="0C446EFB" w:rsidR="001367E7" w:rsidRDefault="00771424" w:rsidP="001367E7">
      <w:pPr>
        <w:pStyle w:val="MText"/>
      </w:pPr>
      <w:r>
        <w:t xml:space="preserve"> </w:t>
      </w:r>
      <w:r w:rsidR="001367E7">
        <w:t xml:space="preserve">The data is structured using a standardized data model to </w:t>
      </w:r>
      <w:proofErr w:type="spellStart"/>
      <w:r w:rsidR="001367E7">
        <w:t>analyze</w:t>
      </w:r>
      <w:proofErr w:type="spellEnd"/>
      <w:r w:rsidR="001367E7">
        <w:t xml:space="preserve"> results derived from diverse data sources. Quality assurance processes include comparing different data versions and performing checks to verify that all inputs are functioning as intended, and to secure accurate calculations within the system. </w:t>
      </w:r>
    </w:p>
    <w:p w14:paraId="4DE3B782" w14:textId="77777777" w:rsidR="001367E7" w:rsidRDefault="001367E7" w:rsidP="001367E7">
      <w:pPr>
        <w:pStyle w:val="MText"/>
      </w:pPr>
    </w:p>
    <w:p w14:paraId="03EF3244" w14:textId="414660AF" w:rsidR="00EC2915" w:rsidRPr="00A96255" w:rsidRDefault="001367E7" w:rsidP="00576CFA">
      <w:pPr>
        <w:pStyle w:val="MText"/>
      </w:pPr>
      <w:r>
        <w:t>A detailed description of several of the transformations that take place are described in this technical page on the World Bank website: https://datatopics.worldbank.org/world-development-indicators/sources-and-methods.html</w:t>
      </w: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26453044" w:rsidR="00576CFA" w:rsidRPr="00A96255" w:rsidRDefault="00DC1A62" w:rsidP="00576CFA">
      <w:pPr>
        <w:pStyle w:val="MText"/>
      </w:pPr>
      <w:r w:rsidRPr="00DC1A62">
        <w:t>The series undergo</w:t>
      </w:r>
      <w:r w:rsidR="00A25722">
        <w:t>es</w:t>
      </w:r>
      <w:r w:rsidRPr="00DC1A62">
        <w:t xml:space="preserve"> regular internal reviews, </w:t>
      </w:r>
      <w:proofErr w:type="gramStart"/>
      <w:r w:rsidRPr="00DC1A62">
        <w:t>taking into account</w:t>
      </w:r>
      <w:proofErr w:type="gramEnd"/>
      <w:r w:rsidRPr="00DC1A62">
        <w:t xml:space="preserve"> quantitative metrics such as completeness and comparability. The World Bank aims to apply uniform methodologies across various regions and time periods for indicators. Geographic identifiers are also adjusted to ensure consistency of national boundaries over time whenever feasible. Moreover, qualitative aspects, including development relevance, use of accurate and reliable data, and adherence to internationally agreed standards, are also taken into consideration.</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63989EBE" w14:textId="7145F2BD" w:rsidR="005F6ED2" w:rsidRPr="00A96255" w:rsidRDefault="00576CFA" w:rsidP="000412A0">
      <w:pPr>
        <w:pStyle w:val="MHeader"/>
        <w:spacing w:after="100"/>
      </w:pPr>
      <w:r w:rsidRPr="00A96255">
        <w:t xml:space="preserve">5. Data availability and disaggregation </w:t>
      </w:r>
      <w:r>
        <w:rPr>
          <w:color w:val="B4B4B4"/>
          <w:sz w:val="20"/>
        </w:rPr>
        <w:t>(COVERAGE)</w:t>
      </w:r>
    </w:p>
    <w:p w14:paraId="4CD8F3EF" w14:textId="4BBEF657" w:rsidR="00F719A8" w:rsidRDefault="00D3465D" w:rsidP="005E2ECA">
      <w:pPr>
        <w:pStyle w:val="MText"/>
        <w:jc w:val="both"/>
      </w:pPr>
      <w:r>
        <w:t>The</w:t>
      </w:r>
      <w:r w:rsidR="006C4ABD">
        <w:t xml:space="preserve"> </w:t>
      </w:r>
      <w:r w:rsidR="005B30B6" w:rsidRPr="005E2ECA">
        <w:t xml:space="preserve">number of </w:t>
      </w:r>
      <w:r w:rsidR="00282076" w:rsidRPr="005E2ECA">
        <w:t xml:space="preserve">economies </w:t>
      </w:r>
      <w:r w:rsidR="006C4ABD">
        <w:t>with</w:t>
      </w:r>
      <w:r w:rsidR="006F18B9" w:rsidRPr="005E2ECA">
        <w:t xml:space="preserve"> at least </w:t>
      </w:r>
      <w:r w:rsidR="005E2ECA" w:rsidRPr="005E2ECA">
        <w:t>1 data point by indicator</w:t>
      </w:r>
    </w:p>
    <w:tbl>
      <w:tblPr>
        <w:tblW w:w="8995" w:type="dxa"/>
        <w:tblLook w:val="04A0" w:firstRow="1" w:lastRow="0" w:firstColumn="1" w:lastColumn="0" w:noHBand="0" w:noVBand="1"/>
      </w:tblPr>
      <w:tblGrid>
        <w:gridCol w:w="6835"/>
        <w:gridCol w:w="2160"/>
      </w:tblGrid>
      <w:tr w:rsidR="00157347" w:rsidRPr="00286BC1" w14:paraId="12D88356" w14:textId="77777777" w:rsidTr="001868ED">
        <w:trPr>
          <w:trHeight w:val="288"/>
        </w:trPr>
        <w:tc>
          <w:tcPr>
            <w:tcW w:w="6835" w:type="dxa"/>
            <w:tcBorders>
              <w:top w:val="single" w:sz="4" w:space="0" w:color="auto"/>
              <w:left w:val="single" w:sz="4" w:space="0" w:color="auto"/>
              <w:bottom w:val="single" w:sz="4" w:space="0" w:color="auto"/>
              <w:right w:val="single" w:sz="4" w:space="0" w:color="auto"/>
            </w:tcBorders>
            <w:shd w:val="clear" w:color="auto" w:fill="auto"/>
            <w:vAlign w:val="bottom"/>
          </w:tcPr>
          <w:p w14:paraId="4EE6E5DD" w14:textId="77777777" w:rsidR="00157347" w:rsidRPr="0083599E" w:rsidRDefault="00157347" w:rsidP="001868ED">
            <w:pPr>
              <w:pStyle w:val="MText"/>
              <w:rPr>
                <w:b/>
                <w:bCs/>
              </w:rPr>
            </w:pPr>
            <w:r w:rsidRPr="0083599E">
              <w:rPr>
                <w:b/>
                <w:bCs/>
              </w:rPr>
              <w:t>Indicator</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0B0D2887" w14:textId="77777777" w:rsidR="00157347" w:rsidRPr="0083599E" w:rsidRDefault="00157347" w:rsidP="001868ED">
            <w:pPr>
              <w:pStyle w:val="MText"/>
              <w:rPr>
                <w:b/>
                <w:bCs/>
              </w:rPr>
            </w:pPr>
            <w:r w:rsidRPr="0083599E">
              <w:rPr>
                <w:b/>
                <w:bCs/>
              </w:rPr>
              <w:t>Number of economies</w:t>
            </w:r>
          </w:p>
        </w:tc>
      </w:tr>
      <w:tr w:rsidR="00157347" w:rsidRPr="00286BC1" w14:paraId="709806DE" w14:textId="77777777" w:rsidTr="001868ED">
        <w:trPr>
          <w:trHeight w:val="288"/>
        </w:trPr>
        <w:tc>
          <w:tcPr>
            <w:tcW w:w="68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327E0" w14:textId="77777777" w:rsidR="00157347" w:rsidRPr="00286BC1" w:rsidRDefault="00157347" w:rsidP="001868ED">
            <w:pPr>
              <w:pStyle w:val="MText"/>
            </w:pPr>
            <w:r w:rsidRPr="00286BC1">
              <w:t>Current account balance as a proportion of GDP (%)</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208D879B" w14:textId="77777777" w:rsidR="00157347" w:rsidRPr="00286BC1" w:rsidRDefault="00157347" w:rsidP="004533F4">
            <w:pPr>
              <w:pStyle w:val="MText"/>
              <w:jc w:val="right"/>
            </w:pPr>
            <w:r w:rsidRPr="00286BC1">
              <w:t>196</w:t>
            </w:r>
          </w:p>
        </w:tc>
      </w:tr>
      <w:tr w:rsidR="00157347" w:rsidRPr="00286BC1" w14:paraId="293DC564"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134C7062" w14:textId="77777777" w:rsidR="00157347" w:rsidRPr="00286BC1" w:rsidRDefault="00157347" w:rsidP="001868ED">
            <w:pPr>
              <w:pStyle w:val="MText"/>
            </w:pPr>
            <w:r w:rsidRPr="00286BC1">
              <w:t>Portfolio investment, net (</w:t>
            </w:r>
            <w:proofErr w:type="spellStart"/>
            <w:r w:rsidRPr="00286BC1">
              <w:t>BoP</w:t>
            </w:r>
            <w:proofErr w:type="spellEnd"/>
            <w:r w:rsidRPr="00286BC1">
              <w:t>, current US$)</w:t>
            </w:r>
          </w:p>
        </w:tc>
        <w:tc>
          <w:tcPr>
            <w:tcW w:w="2160" w:type="dxa"/>
            <w:tcBorders>
              <w:top w:val="nil"/>
              <w:left w:val="nil"/>
              <w:bottom w:val="single" w:sz="4" w:space="0" w:color="auto"/>
              <w:right w:val="single" w:sz="4" w:space="0" w:color="auto"/>
            </w:tcBorders>
            <w:shd w:val="clear" w:color="auto" w:fill="auto"/>
            <w:noWrap/>
            <w:vAlign w:val="center"/>
            <w:hideMark/>
          </w:tcPr>
          <w:p w14:paraId="76800B48" w14:textId="77777777" w:rsidR="00157347" w:rsidRPr="00286BC1" w:rsidRDefault="00157347" w:rsidP="004533F4">
            <w:pPr>
              <w:pStyle w:val="MText"/>
              <w:jc w:val="right"/>
            </w:pPr>
            <w:r w:rsidRPr="00286BC1">
              <w:t>196</w:t>
            </w:r>
          </w:p>
        </w:tc>
      </w:tr>
      <w:tr w:rsidR="00157347" w:rsidRPr="00286BC1" w14:paraId="5E46436E"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41CA4719" w14:textId="77777777" w:rsidR="00157347" w:rsidRPr="00286BC1" w:rsidRDefault="00157347" w:rsidP="001868ED">
            <w:pPr>
              <w:pStyle w:val="MText"/>
            </w:pPr>
            <w:r w:rsidRPr="00286BC1">
              <w:t>Foreign direct investment, net inflows,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081665A6" w14:textId="77777777" w:rsidR="00157347" w:rsidRPr="00286BC1" w:rsidRDefault="00157347" w:rsidP="004533F4">
            <w:pPr>
              <w:pStyle w:val="MText"/>
              <w:jc w:val="right"/>
            </w:pPr>
            <w:r w:rsidRPr="00286BC1">
              <w:t>203</w:t>
            </w:r>
          </w:p>
        </w:tc>
      </w:tr>
      <w:tr w:rsidR="00157347" w:rsidRPr="00286BC1" w14:paraId="68C32FDB"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4895C0A8" w14:textId="77777777" w:rsidR="00157347" w:rsidRPr="00286BC1" w:rsidRDefault="00157347" w:rsidP="001868ED">
            <w:pPr>
              <w:pStyle w:val="MText"/>
            </w:pPr>
            <w:r w:rsidRPr="00286BC1">
              <w:t>Personal remittances, received,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340CC3E0" w14:textId="77777777" w:rsidR="00157347" w:rsidRPr="00286BC1" w:rsidRDefault="00157347" w:rsidP="004533F4">
            <w:pPr>
              <w:pStyle w:val="MText"/>
              <w:jc w:val="right"/>
            </w:pPr>
            <w:r w:rsidRPr="00286BC1">
              <w:t>196</w:t>
            </w:r>
          </w:p>
        </w:tc>
      </w:tr>
      <w:tr w:rsidR="00157347" w:rsidRPr="00286BC1" w14:paraId="6D04BCFF"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230FC957" w14:textId="77777777" w:rsidR="00157347" w:rsidRPr="00286BC1" w:rsidRDefault="00157347" w:rsidP="001868ED">
            <w:pPr>
              <w:pStyle w:val="MText"/>
            </w:pPr>
            <w:r w:rsidRPr="00286BC1">
              <w:t>Gross PSD, Central Gov.-D2, All maturities, D1+ SDRs + currency and deposits, Nominal Value,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2FABCDD9" w14:textId="77777777" w:rsidR="00157347" w:rsidRPr="00286BC1" w:rsidRDefault="00157347" w:rsidP="004533F4">
            <w:pPr>
              <w:pStyle w:val="MText"/>
              <w:jc w:val="right"/>
            </w:pPr>
            <w:r w:rsidRPr="00286BC1">
              <w:t>44</w:t>
            </w:r>
          </w:p>
        </w:tc>
      </w:tr>
      <w:tr w:rsidR="00157347" w:rsidRPr="00286BC1" w14:paraId="7C6E0983"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69D36132" w14:textId="77777777" w:rsidR="00157347" w:rsidRPr="00286BC1" w:rsidRDefault="00157347" w:rsidP="001868ED">
            <w:pPr>
              <w:pStyle w:val="MText"/>
            </w:pPr>
            <w:r w:rsidRPr="00286BC1">
              <w:t>External debt stocks as a proportion of GNI (%)</w:t>
            </w:r>
          </w:p>
        </w:tc>
        <w:tc>
          <w:tcPr>
            <w:tcW w:w="2160" w:type="dxa"/>
            <w:tcBorders>
              <w:top w:val="nil"/>
              <w:left w:val="nil"/>
              <w:bottom w:val="single" w:sz="4" w:space="0" w:color="auto"/>
              <w:right w:val="single" w:sz="4" w:space="0" w:color="auto"/>
            </w:tcBorders>
            <w:shd w:val="clear" w:color="auto" w:fill="auto"/>
            <w:noWrap/>
            <w:vAlign w:val="center"/>
            <w:hideMark/>
          </w:tcPr>
          <w:p w14:paraId="6D449DFE" w14:textId="77777777" w:rsidR="00157347" w:rsidRPr="00286BC1" w:rsidRDefault="00157347" w:rsidP="004533F4">
            <w:pPr>
              <w:pStyle w:val="MText"/>
              <w:jc w:val="right"/>
            </w:pPr>
            <w:r w:rsidRPr="00286BC1">
              <w:t>119</w:t>
            </w:r>
          </w:p>
        </w:tc>
      </w:tr>
      <w:tr w:rsidR="00157347" w:rsidRPr="00286BC1" w14:paraId="1DDA0373"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246FEAB1" w14:textId="77777777" w:rsidR="00157347" w:rsidRPr="00286BC1" w:rsidRDefault="00157347" w:rsidP="001868ED">
            <w:pPr>
              <w:pStyle w:val="MText"/>
            </w:pPr>
            <w:r w:rsidRPr="00286BC1">
              <w:t>Debt service (PPG and IMF only, % of exports of goods, services and primary income)</w:t>
            </w:r>
          </w:p>
        </w:tc>
        <w:tc>
          <w:tcPr>
            <w:tcW w:w="2160" w:type="dxa"/>
            <w:tcBorders>
              <w:top w:val="nil"/>
              <w:left w:val="nil"/>
              <w:bottom w:val="single" w:sz="4" w:space="0" w:color="auto"/>
              <w:right w:val="single" w:sz="4" w:space="0" w:color="auto"/>
            </w:tcBorders>
            <w:shd w:val="clear" w:color="auto" w:fill="auto"/>
            <w:noWrap/>
            <w:vAlign w:val="center"/>
            <w:hideMark/>
          </w:tcPr>
          <w:p w14:paraId="748B44C4" w14:textId="77777777" w:rsidR="00157347" w:rsidRPr="00286BC1" w:rsidRDefault="00157347" w:rsidP="004533F4">
            <w:pPr>
              <w:pStyle w:val="MText"/>
              <w:jc w:val="right"/>
            </w:pPr>
            <w:r w:rsidRPr="00286BC1">
              <w:t>122</w:t>
            </w:r>
          </w:p>
        </w:tc>
      </w:tr>
      <w:tr w:rsidR="00157347" w:rsidRPr="00286BC1" w14:paraId="475EF539"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4FC30A26" w14:textId="77777777" w:rsidR="00157347" w:rsidRPr="00286BC1" w:rsidRDefault="00157347" w:rsidP="001868ED">
            <w:pPr>
              <w:pStyle w:val="MText"/>
            </w:pPr>
            <w:r w:rsidRPr="00286BC1">
              <w:t>Bank nonperforming loans to total gross loans (%)</w:t>
            </w:r>
          </w:p>
        </w:tc>
        <w:tc>
          <w:tcPr>
            <w:tcW w:w="2160" w:type="dxa"/>
            <w:tcBorders>
              <w:top w:val="nil"/>
              <w:left w:val="nil"/>
              <w:bottom w:val="single" w:sz="4" w:space="0" w:color="auto"/>
              <w:right w:val="single" w:sz="4" w:space="0" w:color="auto"/>
            </w:tcBorders>
            <w:shd w:val="clear" w:color="auto" w:fill="auto"/>
            <w:noWrap/>
            <w:vAlign w:val="center"/>
            <w:hideMark/>
          </w:tcPr>
          <w:p w14:paraId="08693690" w14:textId="77777777" w:rsidR="00157347" w:rsidRPr="00286BC1" w:rsidRDefault="00157347" w:rsidP="004533F4">
            <w:pPr>
              <w:pStyle w:val="MText"/>
              <w:jc w:val="right"/>
            </w:pPr>
            <w:r w:rsidRPr="00286BC1">
              <w:t>141</w:t>
            </w:r>
          </w:p>
        </w:tc>
      </w:tr>
      <w:tr w:rsidR="00157347" w:rsidRPr="00286BC1" w14:paraId="63741250"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20F26D6A" w14:textId="77777777" w:rsidR="00157347" w:rsidRPr="00286BC1" w:rsidRDefault="00157347" w:rsidP="001868ED">
            <w:pPr>
              <w:pStyle w:val="MText"/>
            </w:pPr>
            <w:r w:rsidRPr="00286BC1">
              <w:t>Bank capital to assets ratio (%)</w:t>
            </w:r>
          </w:p>
        </w:tc>
        <w:tc>
          <w:tcPr>
            <w:tcW w:w="2160" w:type="dxa"/>
            <w:tcBorders>
              <w:top w:val="nil"/>
              <w:left w:val="nil"/>
              <w:bottom w:val="single" w:sz="4" w:space="0" w:color="auto"/>
              <w:right w:val="single" w:sz="4" w:space="0" w:color="auto"/>
            </w:tcBorders>
            <w:shd w:val="clear" w:color="auto" w:fill="auto"/>
            <w:noWrap/>
            <w:vAlign w:val="center"/>
            <w:hideMark/>
          </w:tcPr>
          <w:p w14:paraId="0F5C4FF5" w14:textId="77777777" w:rsidR="00157347" w:rsidRPr="00286BC1" w:rsidRDefault="00157347" w:rsidP="004533F4">
            <w:pPr>
              <w:pStyle w:val="MText"/>
              <w:jc w:val="right"/>
            </w:pPr>
            <w:r w:rsidRPr="00286BC1">
              <w:t>137</w:t>
            </w:r>
          </w:p>
        </w:tc>
      </w:tr>
      <w:tr w:rsidR="00157347" w:rsidRPr="00286BC1" w14:paraId="237038CB"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76EF7C9F" w14:textId="77777777" w:rsidR="00157347" w:rsidRPr="00286BC1" w:rsidRDefault="00157347" w:rsidP="001868ED">
            <w:pPr>
              <w:pStyle w:val="MText"/>
            </w:pPr>
            <w:r w:rsidRPr="00286BC1">
              <w:t>Total reserves in months of imports</w:t>
            </w:r>
          </w:p>
        </w:tc>
        <w:tc>
          <w:tcPr>
            <w:tcW w:w="2160" w:type="dxa"/>
            <w:tcBorders>
              <w:top w:val="nil"/>
              <w:left w:val="nil"/>
              <w:bottom w:val="single" w:sz="4" w:space="0" w:color="auto"/>
              <w:right w:val="single" w:sz="4" w:space="0" w:color="auto"/>
            </w:tcBorders>
            <w:shd w:val="clear" w:color="auto" w:fill="auto"/>
            <w:noWrap/>
            <w:vAlign w:val="center"/>
            <w:hideMark/>
          </w:tcPr>
          <w:p w14:paraId="5C8CDFBD" w14:textId="77777777" w:rsidR="00157347" w:rsidRPr="00286BC1" w:rsidRDefault="00157347" w:rsidP="004533F4">
            <w:pPr>
              <w:pStyle w:val="MText"/>
              <w:jc w:val="right"/>
            </w:pPr>
            <w:r w:rsidRPr="00286BC1">
              <w:t>180</w:t>
            </w:r>
          </w:p>
        </w:tc>
      </w:tr>
      <w:tr w:rsidR="00157347" w:rsidRPr="00286BC1" w14:paraId="6BF1023E"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233F8323" w14:textId="77777777" w:rsidR="00157347" w:rsidRPr="00286BC1" w:rsidRDefault="00157347" w:rsidP="001868ED">
            <w:pPr>
              <w:pStyle w:val="MText"/>
            </w:pPr>
            <w:r w:rsidRPr="00286BC1">
              <w:t>Broad money to total reserves ratio</w:t>
            </w:r>
          </w:p>
        </w:tc>
        <w:tc>
          <w:tcPr>
            <w:tcW w:w="2160" w:type="dxa"/>
            <w:tcBorders>
              <w:top w:val="nil"/>
              <w:left w:val="nil"/>
              <w:bottom w:val="single" w:sz="4" w:space="0" w:color="auto"/>
              <w:right w:val="single" w:sz="4" w:space="0" w:color="auto"/>
            </w:tcBorders>
            <w:shd w:val="clear" w:color="auto" w:fill="auto"/>
            <w:noWrap/>
            <w:vAlign w:val="center"/>
            <w:hideMark/>
          </w:tcPr>
          <w:p w14:paraId="5696A2D1" w14:textId="77777777" w:rsidR="00157347" w:rsidRPr="00286BC1" w:rsidRDefault="00157347" w:rsidP="004533F4">
            <w:pPr>
              <w:pStyle w:val="MText"/>
              <w:jc w:val="right"/>
            </w:pPr>
            <w:r w:rsidRPr="00286BC1">
              <w:t>160</w:t>
            </w:r>
          </w:p>
        </w:tc>
      </w:tr>
      <w:tr w:rsidR="00157347" w:rsidRPr="00286BC1" w14:paraId="13EF9EC6"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17EFE7F5" w14:textId="77777777" w:rsidR="00157347" w:rsidRPr="00286BC1" w:rsidRDefault="00157347" w:rsidP="001868ED">
            <w:pPr>
              <w:pStyle w:val="MText"/>
            </w:pPr>
            <w:r w:rsidRPr="00286BC1">
              <w:t>Annual broad money growth (%)</w:t>
            </w:r>
          </w:p>
        </w:tc>
        <w:tc>
          <w:tcPr>
            <w:tcW w:w="2160" w:type="dxa"/>
            <w:tcBorders>
              <w:top w:val="nil"/>
              <w:left w:val="nil"/>
              <w:bottom w:val="single" w:sz="4" w:space="0" w:color="auto"/>
              <w:right w:val="single" w:sz="4" w:space="0" w:color="auto"/>
            </w:tcBorders>
            <w:shd w:val="clear" w:color="auto" w:fill="auto"/>
            <w:noWrap/>
            <w:vAlign w:val="center"/>
            <w:hideMark/>
          </w:tcPr>
          <w:p w14:paraId="69A256FA" w14:textId="77777777" w:rsidR="00157347" w:rsidRPr="00286BC1" w:rsidRDefault="00157347" w:rsidP="004533F4">
            <w:pPr>
              <w:pStyle w:val="MText"/>
              <w:jc w:val="right"/>
            </w:pPr>
            <w:r w:rsidRPr="00286BC1">
              <w:t>170</w:t>
            </w:r>
          </w:p>
        </w:tc>
      </w:tr>
      <w:tr w:rsidR="00157347" w:rsidRPr="00286BC1" w14:paraId="27B1687F"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6AAABF42" w14:textId="77777777" w:rsidR="00157347" w:rsidRPr="00286BC1" w:rsidRDefault="00157347" w:rsidP="001868ED">
            <w:pPr>
              <w:pStyle w:val="MText"/>
            </w:pPr>
            <w:r w:rsidRPr="00286BC1">
              <w:t>Annual inflation, consumer prices (%)</w:t>
            </w:r>
          </w:p>
        </w:tc>
        <w:tc>
          <w:tcPr>
            <w:tcW w:w="2160" w:type="dxa"/>
            <w:tcBorders>
              <w:top w:val="nil"/>
              <w:left w:val="nil"/>
              <w:bottom w:val="single" w:sz="4" w:space="0" w:color="auto"/>
              <w:right w:val="single" w:sz="4" w:space="0" w:color="auto"/>
            </w:tcBorders>
            <w:shd w:val="clear" w:color="auto" w:fill="auto"/>
            <w:noWrap/>
            <w:vAlign w:val="center"/>
            <w:hideMark/>
          </w:tcPr>
          <w:p w14:paraId="3378430F" w14:textId="77777777" w:rsidR="00157347" w:rsidRPr="00286BC1" w:rsidRDefault="00157347" w:rsidP="004533F4">
            <w:pPr>
              <w:pStyle w:val="MText"/>
              <w:jc w:val="right"/>
            </w:pPr>
            <w:r w:rsidRPr="00286BC1">
              <w:t>194</w:t>
            </w:r>
          </w:p>
        </w:tc>
      </w:tr>
      <w:tr w:rsidR="00157347" w:rsidRPr="00286BC1" w14:paraId="6A5BA7F5"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5C02A601" w14:textId="77777777" w:rsidR="00157347" w:rsidRPr="00286BC1" w:rsidRDefault="00157347" w:rsidP="001868ED">
            <w:pPr>
              <w:pStyle w:val="MText"/>
            </w:pPr>
            <w:r w:rsidRPr="00286BC1">
              <w:t>Cash surplus/deficit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6CA75458" w14:textId="77777777" w:rsidR="00157347" w:rsidRPr="00286BC1" w:rsidRDefault="00157347" w:rsidP="004533F4">
            <w:pPr>
              <w:pStyle w:val="MText"/>
              <w:jc w:val="right"/>
            </w:pPr>
            <w:r w:rsidRPr="00286BC1">
              <w:t>153</w:t>
            </w:r>
          </w:p>
        </w:tc>
      </w:tr>
      <w:tr w:rsidR="00157347" w:rsidRPr="00286BC1" w14:paraId="05670F6A"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594742BC" w14:textId="77777777" w:rsidR="00157347" w:rsidRPr="00286BC1" w:rsidRDefault="00157347" w:rsidP="001868ED">
            <w:pPr>
              <w:pStyle w:val="MText"/>
            </w:pPr>
            <w:r w:rsidRPr="00286BC1">
              <w:t>Tax revenue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1DD8133F" w14:textId="77777777" w:rsidR="00157347" w:rsidRPr="00286BC1" w:rsidRDefault="00157347" w:rsidP="004533F4">
            <w:pPr>
              <w:pStyle w:val="MText"/>
              <w:jc w:val="right"/>
            </w:pPr>
            <w:r w:rsidRPr="00286BC1">
              <w:t>156</w:t>
            </w:r>
          </w:p>
        </w:tc>
      </w:tr>
      <w:tr w:rsidR="00157347" w:rsidRPr="00286BC1" w14:paraId="5DD1075D"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5DC6F979" w14:textId="77777777" w:rsidR="00157347" w:rsidRPr="00286BC1" w:rsidRDefault="00157347" w:rsidP="001868ED">
            <w:pPr>
              <w:pStyle w:val="MText"/>
            </w:pPr>
            <w:r w:rsidRPr="00286BC1">
              <w:t>Annual growth of the general government final consumption expenditure (%)</w:t>
            </w:r>
          </w:p>
        </w:tc>
        <w:tc>
          <w:tcPr>
            <w:tcW w:w="2160" w:type="dxa"/>
            <w:tcBorders>
              <w:top w:val="nil"/>
              <w:left w:val="nil"/>
              <w:bottom w:val="single" w:sz="4" w:space="0" w:color="auto"/>
              <w:right w:val="single" w:sz="4" w:space="0" w:color="auto"/>
            </w:tcBorders>
            <w:shd w:val="clear" w:color="auto" w:fill="auto"/>
            <w:noWrap/>
            <w:vAlign w:val="center"/>
            <w:hideMark/>
          </w:tcPr>
          <w:p w14:paraId="355D77FD" w14:textId="77777777" w:rsidR="00157347" w:rsidRPr="00286BC1" w:rsidRDefault="00157347" w:rsidP="004533F4">
            <w:pPr>
              <w:pStyle w:val="MText"/>
              <w:jc w:val="right"/>
            </w:pPr>
            <w:r w:rsidRPr="00286BC1">
              <w:t>173</w:t>
            </w:r>
          </w:p>
        </w:tc>
      </w:tr>
      <w:tr w:rsidR="00157347" w:rsidRPr="00286BC1" w14:paraId="65D03CAB"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37146E8D" w14:textId="77777777" w:rsidR="00157347" w:rsidRPr="00286BC1" w:rsidRDefault="00157347" w:rsidP="001868ED">
            <w:pPr>
              <w:pStyle w:val="MText"/>
            </w:pPr>
            <w:r w:rsidRPr="00286BC1">
              <w:t>Annual growth of households and NPISHs final consumption expenditure (%)</w:t>
            </w:r>
          </w:p>
        </w:tc>
        <w:tc>
          <w:tcPr>
            <w:tcW w:w="2160" w:type="dxa"/>
            <w:tcBorders>
              <w:top w:val="nil"/>
              <w:left w:val="nil"/>
              <w:bottom w:val="single" w:sz="4" w:space="0" w:color="auto"/>
              <w:right w:val="single" w:sz="4" w:space="0" w:color="auto"/>
            </w:tcBorders>
            <w:shd w:val="clear" w:color="auto" w:fill="auto"/>
            <w:noWrap/>
            <w:vAlign w:val="center"/>
            <w:hideMark/>
          </w:tcPr>
          <w:p w14:paraId="25E1E30D" w14:textId="77777777" w:rsidR="00157347" w:rsidRPr="00286BC1" w:rsidRDefault="00157347" w:rsidP="004533F4">
            <w:pPr>
              <w:pStyle w:val="MText"/>
              <w:jc w:val="right"/>
            </w:pPr>
            <w:r w:rsidRPr="00286BC1">
              <w:t>175</w:t>
            </w:r>
          </w:p>
        </w:tc>
      </w:tr>
      <w:tr w:rsidR="00157347" w:rsidRPr="00286BC1" w14:paraId="484A3AC2"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00B448E3" w14:textId="77777777" w:rsidR="00157347" w:rsidRPr="00286BC1" w:rsidRDefault="00157347" w:rsidP="001868ED">
            <w:pPr>
              <w:pStyle w:val="MText"/>
            </w:pPr>
            <w:r w:rsidRPr="00286BC1">
              <w:t>Annual growth of exports of goods and services (%)</w:t>
            </w:r>
          </w:p>
        </w:tc>
        <w:tc>
          <w:tcPr>
            <w:tcW w:w="2160" w:type="dxa"/>
            <w:tcBorders>
              <w:top w:val="nil"/>
              <w:left w:val="nil"/>
              <w:bottom w:val="single" w:sz="4" w:space="0" w:color="auto"/>
              <w:right w:val="single" w:sz="4" w:space="0" w:color="auto"/>
            </w:tcBorders>
            <w:shd w:val="clear" w:color="auto" w:fill="auto"/>
            <w:noWrap/>
            <w:vAlign w:val="center"/>
            <w:hideMark/>
          </w:tcPr>
          <w:p w14:paraId="1F5CDAFF" w14:textId="77777777" w:rsidR="00157347" w:rsidRPr="00286BC1" w:rsidRDefault="00157347" w:rsidP="004533F4">
            <w:pPr>
              <w:pStyle w:val="MText"/>
              <w:jc w:val="right"/>
            </w:pPr>
            <w:r w:rsidRPr="00286BC1">
              <w:t>180</w:t>
            </w:r>
          </w:p>
        </w:tc>
      </w:tr>
      <w:tr w:rsidR="00157347" w:rsidRPr="00286BC1" w14:paraId="11A38141"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62BD0CD0" w14:textId="77777777" w:rsidR="00157347" w:rsidRPr="00286BC1" w:rsidRDefault="00157347" w:rsidP="001868ED">
            <w:pPr>
              <w:pStyle w:val="MText"/>
            </w:pPr>
            <w:r w:rsidRPr="00286BC1">
              <w:t>Annual growth of the gross capital formation (%)</w:t>
            </w:r>
          </w:p>
        </w:tc>
        <w:tc>
          <w:tcPr>
            <w:tcW w:w="2160" w:type="dxa"/>
            <w:tcBorders>
              <w:top w:val="nil"/>
              <w:left w:val="nil"/>
              <w:bottom w:val="single" w:sz="4" w:space="0" w:color="auto"/>
              <w:right w:val="single" w:sz="4" w:space="0" w:color="auto"/>
            </w:tcBorders>
            <w:shd w:val="clear" w:color="auto" w:fill="auto"/>
            <w:noWrap/>
            <w:vAlign w:val="center"/>
            <w:hideMark/>
          </w:tcPr>
          <w:p w14:paraId="09A1721D" w14:textId="77777777" w:rsidR="00157347" w:rsidRPr="00286BC1" w:rsidRDefault="00157347" w:rsidP="004533F4">
            <w:pPr>
              <w:pStyle w:val="MText"/>
              <w:jc w:val="right"/>
            </w:pPr>
            <w:r w:rsidRPr="00286BC1">
              <w:t>171</w:t>
            </w:r>
          </w:p>
        </w:tc>
      </w:tr>
      <w:tr w:rsidR="00157347" w:rsidRPr="00286BC1" w14:paraId="39C0E013"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48A24F5D" w14:textId="77777777" w:rsidR="00157347" w:rsidRPr="00286BC1" w:rsidRDefault="00157347" w:rsidP="001868ED">
            <w:pPr>
              <w:pStyle w:val="MText"/>
            </w:pPr>
            <w:r w:rsidRPr="00286BC1">
              <w:t>Annual growth of imports of goods and services (%)</w:t>
            </w:r>
          </w:p>
        </w:tc>
        <w:tc>
          <w:tcPr>
            <w:tcW w:w="2160" w:type="dxa"/>
            <w:tcBorders>
              <w:top w:val="nil"/>
              <w:left w:val="nil"/>
              <w:bottom w:val="single" w:sz="4" w:space="0" w:color="auto"/>
              <w:right w:val="single" w:sz="4" w:space="0" w:color="auto"/>
            </w:tcBorders>
            <w:shd w:val="clear" w:color="auto" w:fill="auto"/>
            <w:noWrap/>
            <w:vAlign w:val="center"/>
            <w:hideMark/>
          </w:tcPr>
          <w:p w14:paraId="15CB77D5" w14:textId="77777777" w:rsidR="00157347" w:rsidRPr="00286BC1" w:rsidRDefault="00157347" w:rsidP="004533F4">
            <w:pPr>
              <w:pStyle w:val="MText"/>
              <w:jc w:val="right"/>
            </w:pPr>
            <w:r w:rsidRPr="00286BC1">
              <w:t>180</w:t>
            </w:r>
          </w:p>
        </w:tc>
      </w:tr>
      <w:tr w:rsidR="00157347" w:rsidRPr="00286BC1" w14:paraId="066395B6"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37610D7F" w14:textId="77777777" w:rsidR="00157347" w:rsidRPr="00286BC1" w:rsidRDefault="00157347" w:rsidP="001868ED">
            <w:pPr>
              <w:pStyle w:val="MText"/>
            </w:pPr>
            <w:r w:rsidRPr="00286BC1">
              <w:t>Annual GDP growth (%)</w:t>
            </w:r>
          </w:p>
        </w:tc>
        <w:tc>
          <w:tcPr>
            <w:tcW w:w="2160" w:type="dxa"/>
            <w:tcBorders>
              <w:top w:val="nil"/>
              <w:left w:val="nil"/>
              <w:bottom w:val="single" w:sz="4" w:space="0" w:color="auto"/>
              <w:right w:val="single" w:sz="4" w:space="0" w:color="auto"/>
            </w:tcBorders>
            <w:shd w:val="clear" w:color="auto" w:fill="auto"/>
            <w:noWrap/>
            <w:vAlign w:val="center"/>
            <w:hideMark/>
          </w:tcPr>
          <w:p w14:paraId="214F9DC0" w14:textId="77777777" w:rsidR="00157347" w:rsidRPr="00286BC1" w:rsidRDefault="00157347" w:rsidP="004533F4">
            <w:pPr>
              <w:pStyle w:val="MText"/>
              <w:jc w:val="right"/>
            </w:pPr>
            <w:r w:rsidRPr="00286BC1">
              <w:t>219</w:t>
            </w:r>
          </w:p>
        </w:tc>
      </w:tr>
      <w:tr w:rsidR="00157347" w:rsidRPr="00286BC1" w14:paraId="1B2B8B74"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35731B1E" w14:textId="77777777" w:rsidR="00157347" w:rsidRPr="00286BC1" w:rsidRDefault="00157347" w:rsidP="001868ED">
            <w:pPr>
              <w:pStyle w:val="MText"/>
            </w:pPr>
            <w:r w:rsidRPr="00286BC1">
              <w:lastRenderedPageBreak/>
              <w:t>DEC alternative conversion factor (LCU per US$)</w:t>
            </w:r>
          </w:p>
        </w:tc>
        <w:tc>
          <w:tcPr>
            <w:tcW w:w="2160" w:type="dxa"/>
            <w:tcBorders>
              <w:top w:val="nil"/>
              <w:left w:val="nil"/>
              <w:bottom w:val="single" w:sz="4" w:space="0" w:color="auto"/>
              <w:right w:val="single" w:sz="4" w:space="0" w:color="auto"/>
            </w:tcBorders>
            <w:shd w:val="clear" w:color="auto" w:fill="auto"/>
            <w:noWrap/>
            <w:vAlign w:val="center"/>
            <w:hideMark/>
          </w:tcPr>
          <w:p w14:paraId="1BE429FD" w14:textId="77777777" w:rsidR="00157347" w:rsidRPr="00286BC1" w:rsidRDefault="00157347" w:rsidP="004533F4">
            <w:pPr>
              <w:pStyle w:val="MText"/>
              <w:jc w:val="right"/>
            </w:pPr>
            <w:r w:rsidRPr="00286BC1">
              <w:t>220</w:t>
            </w:r>
          </w:p>
        </w:tc>
      </w:tr>
      <w:tr w:rsidR="00157347" w:rsidRPr="00286BC1" w14:paraId="068F0839"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7091B1FC" w14:textId="6F6595A0" w:rsidR="00157347" w:rsidRPr="00286BC1" w:rsidRDefault="00157347" w:rsidP="001868ED">
            <w:pPr>
              <w:pStyle w:val="MText"/>
            </w:pPr>
            <w:r w:rsidRPr="00286BC1">
              <w:t xml:space="preserve">Total unemployment out of total </w:t>
            </w:r>
            <w:r w:rsidR="00CD6622" w:rsidRPr="00286BC1">
              <w:t>labour</w:t>
            </w:r>
            <w:r w:rsidRPr="00286BC1">
              <w:t xml:space="preserve"> force (national estimate) (%)</w:t>
            </w:r>
          </w:p>
        </w:tc>
        <w:tc>
          <w:tcPr>
            <w:tcW w:w="2160" w:type="dxa"/>
            <w:tcBorders>
              <w:top w:val="nil"/>
              <w:left w:val="nil"/>
              <w:bottom w:val="single" w:sz="4" w:space="0" w:color="auto"/>
              <w:right w:val="single" w:sz="4" w:space="0" w:color="auto"/>
            </w:tcBorders>
            <w:shd w:val="clear" w:color="auto" w:fill="auto"/>
            <w:noWrap/>
            <w:vAlign w:val="center"/>
            <w:hideMark/>
          </w:tcPr>
          <w:p w14:paraId="20661060" w14:textId="77777777" w:rsidR="00157347" w:rsidRPr="00286BC1" w:rsidRDefault="00157347" w:rsidP="004533F4">
            <w:pPr>
              <w:pStyle w:val="MText"/>
              <w:jc w:val="right"/>
            </w:pPr>
            <w:r w:rsidRPr="00286BC1">
              <w:t>220</w:t>
            </w:r>
          </w:p>
        </w:tc>
      </w:tr>
      <w:tr w:rsidR="00157347" w:rsidRPr="00286BC1" w14:paraId="01D9A703" w14:textId="77777777" w:rsidTr="001868ED">
        <w:trPr>
          <w:trHeight w:val="288"/>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383B21EA" w14:textId="77777777" w:rsidR="00157347" w:rsidRPr="00286BC1" w:rsidRDefault="00157347" w:rsidP="001868ED">
            <w:pPr>
              <w:pStyle w:val="MText"/>
            </w:pPr>
            <w:r w:rsidRPr="00286BC1">
              <w:t>Merchandise trade as a proportion of GDP (%)</w:t>
            </w:r>
          </w:p>
        </w:tc>
        <w:tc>
          <w:tcPr>
            <w:tcW w:w="2160" w:type="dxa"/>
            <w:tcBorders>
              <w:top w:val="nil"/>
              <w:left w:val="nil"/>
              <w:bottom w:val="single" w:sz="4" w:space="0" w:color="auto"/>
              <w:right w:val="single" w:sz="4" w:space="0" w:color="auto"/>
            </w:tcBorders>
            <w:shd w:val="clear" w:color="auto" w:fill="auto"/>
            <w:noWrap/>
            <w:vAlign w:val="center"/>
            <w:hideMark/>
          </w:tcPr>
          <w:p w14:paraId="4F90D21E" w14:textId="77777777" w:rsidR="00157347" w:rsidRPr="00286BC1" w:rsidRDefault="00157347" w:rsidP="004533F4">
            <w:pPr>
              <w:pStyle w:val="MText"/>
              <w:jc w:val="right"/>
            </w:pPr>
            <w:r w:rsidRPr="00286BC1">
              <w:t>209</w:t>
            </w:r>
          </w:p>
        </w:tc>
      </w:tr>
    </w:tbl>
    <w:p w14:paraId="2D7AC2D7" w14:textId="7E0208C1" w:rsidR="00157347" w:rsidRPr="00F719A8" w:rsidRDefault="00157347" w:rsidP="00C50338">
      <w:pPr>
        <w:pStyle w:val="MText"/>
        <w:tabs>
          <w:tab w:val="left" w:pos="2235"/>
        </w:tabs>
        <w:rPr>
          <w:highlight w:val="yellow"/>
        </w:rPr>
      </w:pP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B4000C4" w14:textId="0AA26B90" w:rsidR="00B63EC2" w:rsidRDefault="00B63EC2" w:rsidP="00B63EC2">
      <w:pPr>
        <w:pStyle w:val="MText"/>
        <w:jc w:val="both"/>
      </w:pPr>
      <w:r>
        <w:t xml:space="preserve">The macroeconomic </w:t>
      </w:r>
      <w:r w:rsidRPr="00B63EC2">
        <w:t>data are organized by international standards</w:t>
      </w:r>
      <w:r w:rsidR="00F662BD">
        <w:t xml:space="preserve"> such as </w:t>
      </w:r>
      <w:r w:rsidRPr="00B63EC2">
        <w:t>the System of National Accounts (SNA)</w:t>
      </w:r>
      <w:r w:rsidR="00F662BD">
        <w:t xml:space="preserve"> and </w:t>
      </w:r>
      <w:r w:rsidRPr="00B63EC2">
        <w:t>the Balance of Payments (</w:t>
      </w:r>
      <w:proofErr w:type="spellStart"/>
      <w:r w:rsidRPr="00B63EC2">
        <w:t>BoP</w:t>
      </w:r>
      <w:proofErr w:type="spellEnd"/>
      <w:r w:rsidRPr="00B63EC2">
        <w:t>)</w:t>
      </w:r>
      <w:r w:rsidR="00F662BD">
        <w:t>.</w:t>
      </w:r>
      <w:r w:rsidRPr="00B63EC2">
        <w:t xml:space="preserve"> </w:t>
      </w:r>
      <w:r w:rsidR="00AC39D4">
        <w:t xml:space="preserve">However, </w:t>
      </w:r>
      <w:r w:rsidRPr="00B63EC2">
        <w:t xml:space="preserve">the implementation at </w:t>
      </w:r>
      <w:r w:rsidR="00730E7B">
        <w:t xml:space="preserve">the </w:t>
      </w:r>
      <w:r w:rsidRPr="00B63EC2">
        <w:t xml:space="preserve">national level </w:t>
      </w:r>
      <w:r w:rsidR="00FC2591">
        <w:t xml:space="preserve">may </w:t>
      </w:r>
      <w:r w:rsidRPr="00B63EC2">
        <w:t>var</w:t>
      </w:r>
      <w:r w:rsidR="00FC2591">
        <w:t>y</w:t>
      </w:r>
      <w:r>
        <w:t>.</w:t>
      </w:r>
    </w:p>
    <w:p w14:paraId="5AB6DD91" w14:textId="77777777" w:rsidR="00F719A8" w:rsidRPr="00A96255" w:rsidRDefault="00F719A8" w:rsidP="00B63EC2">
      <w:pPr>
        <w:pStyle w:val="MText"/>
        <w:jc w:val="both"/>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75F0511" w14:textId="77777777" w:rsidR="00B63EC2" w:rsidRPr="00090AB4" w:rsidRDefault="00B63EC2" w:rsidP="00B63EC2">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URL:</w:t>
      </w:r>
    </w:p>
    <w:p w14:paraId="33521526" w14:textId="574BEC6E" w:rsidR="00B63EC2" w:rsidRPr="00090AB4" w:rsidRDefault="00A02D84" w:rsidP="00B63EC2">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hyperlink r:id="rId17" w:history="1">
        <w:r w:rsidRPr="007003A4">
          <w:rPr>
            <w:rStyle w:val="Hyperlink"/>
            <w:rFonts w:asciiTheme="minorHAnsi" w:hAnsiTheme="minorHAnsi"/>
            <w:sz w:val="21"/>
            <w:szCs w:val="21"/>
          </w:rPr>
          <w:t>www.worldbank.org</w:t>
        </w:r>
      </w:hyperlink>
      <w:r>
        <w:rPr>
          <w:rFonts w:asciiTheme="minorHAnsi" w:hAnsiTheme="minorHAnsi"/>
          <w:color w:val="4A4A4A"/>
          <w:sz w:val="21"/>
          <w:szCs w:val="21"/>
        </w:rPr>
        <w:t xml:space="preserve"> </w:t>
      </w:r>
    </w:p>
    <w:p w14:paraId="18E913AE" w14:textId="7D799282" w:rsidR="00576CFA" w:rsidRDefault="00576CFA" w:rsidP="00576CFA">
      <w:pPr>
        <w:pStyle w:val="MText"/>
      </w:pPr>
    </w:p>
    <w:p w14:paraId="22066875" w14:textId="77777777" w:rsidR="00B63EC2" w:rsidRPr="00DC1444" w:rsidRDefault="00B63EC2" w:rsidP="00B63EC2">
      <w:pPr>
        <w:keepNext/>
        <w:keepLines/>
        <w:shd w:val="clear" w:color="auto" w:fill="FFFFFF"/>
        <w:spacing w:after="0"/>
        <w:rPr>
          <w:rFonts w:cs="Times New Roman"/>
          <w:color w:val="4A4A4A"/>
          <w:sz w:val="21"/>
          <w:szCs w:val="21"/>
        </w:rPr>
      </w:pPr>
      <w:r w:rsidRPr="00DC1444">
        <w:rPr>
          <w:rStyle w:val="Strong"/>
          <w:rFonts w:cs="Times New Roman"/>
          <w:color w:val="4A4A4A"/>
          <w:sz w:val="21"/>
          <w:szCs w:val="21"/>
        </w:rPr>
        <w:t>References:</w:t>
      </w:r>
    </w:p>
    <w:p w14:paraId="078D711E" w14:textId="77777777" w:rsidR="00CD6622" w:rsidRDefault="00B63EC2" w:rsidP="00CD6622">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CD6622">
        <w:rPr>
          <w:rFonts w:asciiTheme="minorHAnsi" w:hAnsiTheme="minorHAnsi"/>
          <w:color w:val="4A4A4A"/>
          <w:sz w:val="21"/>
          <w:szCs w:val="21"/>
        </w:rPr>
        <w:t xml:space="preserve">World Development Indicators (WDI), The World Bank </w:t>
      </w:r>
    </w:p>
    <w:p w14:paraId="384B0992" w14:textId="10C89ABD" w:rsidR="00186795" w:rsidRPr="00CD6622" w:rsidRDefault="00B63EC2" w:rsidP="00CD6622">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CD6622">
        <w:rPr>
          <w:rFonts w:asciiTheme="minorHAnsi" w:hAnsiTheme="minorHAnsi"/>
          <w:color w:val="4A4A4A"/>
          <w:sz w:val="21"/>
          <w:szCs w:val="21"/>
        </w:rPr>
        <w:t>(</w:t>
      </w:r>
      <w:hyperlink r:id="rId18" w:history="1">
        <w:r w:rsidR="00A02D84" w:rsidRPr="007003A4">
          <w:rPr>
            <w:rStyle w:val="Hyperlink"/>
            <w:rFonts w:asciiTheme="minorHAnsi" w:hAnsiTheme="minorHAnsi"/>
            <w:sz w:val="21"/>
            <w:szCs w:val="21"/>
          </w:rPr>
          <w:t>https://databank.worldbank.org/source/world-development-indicators</w:t>
        </w:r>
      </w:hyperlink>
      <w:r w:rsidRPr="00CD6622">
        <w:rPr>
          <w:rFonts w:asciiTheme="minorHAnsi" w:hAnsiTheme="minorHAnsi"/>
          <w:color w:val="4A4A4A"/>
          <w:sz w:val="21"/>
          <w:szCs w:val="21"/>
        </w:rPr>
        <w:t>)</w:t>
      </w:r>
    </w:p>
    <w:p w14:paraId="6C4E77EE" w14:textId="0482792C" w:rsidR="00F719A8" w:rsidRDefault="00F719A8">
      <w:pPr>
        <w:rPr>
          <w:rFonts w:eastAsia="Times New Roman" w:cs="Times New Roman"/>
          <w:color w:val="1C75BC"/>
          <w:sz w:val="28"/>
          <w:szCs w:val="28"/>
          <w:lang w:eastAsia="en-GB"/>
        </w:rPr>
      </w:pPr>
      <w:bookmarkStart w:id="5" w:name="_Toc37932752"/>
      <w:bookmarkEnd w:id="5"/>
    </w:p>
    <w:sectPr w:rsidR="00F719A8">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B19E3" w14:textId="77777777" w:rsidR="0079071C" w:rsidRDefault="0079071C" w:rsidP="00573C0B">
      <w:pPr>
        <w:spacing w:after="0" w:line="240" w:lineRule="auto"/>
      </w:pPr>
      <w:r>
        <w:separator/>
      </w:r>
    </w:p>
  </w:endnote>
  <w:endnote w:type="continuationSeparator" w:id="0">
    <w:p w14:paraId="27E6EC3E" w14:textId="77777777" w:rsidR="0079071C" w:rsidRDefault="0079071C" w:rsidP="00573C0B">
      <w:pPr>
        <w:spacing w:after="0" w:line="240" w:lineRule="auto"/>
      </w:pPr>
      <w:r>
        <w:continuationSeparator/>
      </w:r>
    </w:p>
  </w:endnote>
  <w:endnote w:type="continuationNotice" w:id="1">
    <w:p w14:paraId="1E29170F" w14:textId="77777777" w:rsidR="0079071C" w:rsidRDefault="007907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28BDB" w14:textId="77777777" w:rsidR="0079071C" w:rsidRDefault="0079071C" w:rsidP="00573C0B">
      <w:pPr>
        <w:spacing w:after="0" w:line="240" w:lineRule="auto"/>
      </w:pPr>
      <w:r>
        <w:separator/>
      </w:r>
    </w:p>
  </w:footnote>
  <w:footnote w:type="continuationSeparator" w:id="0">
    <w:p w14:paraId="36981D8F" w14:textId="77777777" w:rsidR="0079071C" w:rsidRDefault="0079071C" w:rsidP="00573C0B">
      <w:pPr>
        <w:spacing w:after="0" w:line="240" w:lineRule="auto"/>
      </w:pPr>
      <w:r>
        <w:continuationSeparator/>
      </w:r>
    </w:p>
  </w:footnote>
  <w:footnote w:type="continuationNotice" w:id="1">
    <w:p w14:paraId="5B934075" w14:textId="77777777" w:rsidR="0079071C" w:rsidRDefault="007907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07A7A9D7" w:rsidR="00B63EC2" w:rsidRPr="00757E8A" w:rsidRDefault="00B63EC2"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E40D0F">
      <w:rPr>
        <w:color w:val="404040" w:themeColor="text1" w:themeTint="BF"/>
        <w:sz w:val="18"/>
        <w:szCs w:val="18"/>
      </w:rPr>
      <w:t>202</w:t>
    </w:r>
    <w:r w:rsidR="004B3200">
      <w:rPr>
        <w:color w:val="404040" w:themeColor="text1" w:themeTint="BF"/>
        <w:sz w:val="18"/>
        <w:szCs w:val="18"/>
      </w:rPr>
      <w:t>5</w:t>
    </w:r>
    <w:r w:rsidR="00E40D0F">
      <w:rPr>
        <w:color w:val="404040" w:themeColor="text1" w:themeTint="BF"/>
        <w:sz w:val="18"/>
        <w:szCs w:val="18"/>
      </w:rPr>
      <w:t>-</w:t>
    </w:r>
    <w:r w:rsidR="004B3200">
      <w:rPr>
        <w:color w:val="404040" w:themeColor="text1" w:themeTint="BF"/>
        <w:sz w:val="18"/>
        <w:szCs w:val="18"/>
      </w:rPr>
      <w:t>04</w:t>
    </w:r>
    <w:r w:rsidR="00E40D0F">
      <w:rPr>
        <w:color w:val="404040" w:themeColor="text1" w:themeTint="BF"/>
        <w:sz w:val="18"/>
        <w:szCs w:val="18"/>
      </w:rPr>
      <w:t>-2</w:t>
    </w:r>
    <w:r w:rsidR="004B3200">
      <w:rPr>
        <w:color w:val="404040" w:themeColor="text1" w:themeTint="BF"/>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52A79"/>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DD5190"/>
    <w:multiLevelType w:val="hybridMultilevel"/>
    <w:tmpl w:val="99E6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C743E"/>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C331F"/>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46E1E"/>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16E69"/>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D7B5F"/>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B2CB4"/>
    <w:multiLevelType w:val="hybridMultilevel"/>
    <w:tmpl w:val="8A4267E4"/>
    <w:lvl w:ilvl="0" w:tplc="7E20F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AC512C"/>
    <w:multiLevelType w:val="hybridMultilevel"/>
    <w:tmpl w:val="9B1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385421">
    <w:abstractNumId w:val="6"/>
  </w:num>
  <w:num w:numId="2" w16cid:durableId="1244029774">
    <w:abstractNumId w:val="0"/>
  </w:num>
  <w:num w:numId="3" w16cid:durableId="1979332422">
    <w:abstractNumId w:val="11"/>
  </w:num>
  <w:num w:numId="4" w16cid:durableId="509375410">
    <w:abstractNumId w:val="2"/>
  </w:num>
  <w:num w:numId="5" w16cid:durableId="136338315">
    <w:abstractNumId w:val="8"/>
  </w:num>
  <w:num w:numId="6" w16cid:durableId="765812528">
    <w:abstractNumId w:val="1"/>
  </w:num>
  <w:num w:numId="7" w16cid:durableId="1176191771">
    <w:abstractNumId w:val="5"/>
  </w:num>
  <w:num w:numId="8" w16cid:durableId="1325860074">
    <w:abstractNumId w:val="10"/>
  </w:num>
  <w:num w:numId="9" w16cid:durableId="2121801654">
    <w:abstractNumId w:val="3"/>
  </w:num>
  <w:num w:numId="10" w16cid:durableId="605846846">
    <w:abstractNumId w:val="7"/>
  </w:num>
  <w:num w:numId="11" w16cid:durableId="1733888378">
    <w:abstractNumId w:val="9"/>
  </w:num>
  <w:num w:numId="12" w16cid:durableId="1555895811">
    <w:abstractNumId w:val="4"/>
  </w:num>
  <w:num w:numId="13" w16cid:durableId="4826980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zNjI2NjY3NDO0sDBW0lEKTi0uzszPAykwrgUAp7IiNiwAAAA="/>
  </w:docVars>
  <w:rsids>
    <w:rsidRoot w:val="0058556D"/>
    <w:rsid w:val="00004845"/>
    <w:rsid w:val="000070BA"/>
    <w:rsid w:val="00016E1B"/>
    <w:rsid w:val="000173F9"/>
    <w:rsid w:val="00017835"/>
    <w:rsid w:val="0002335B"/>
    <w:rsid w:val="000233ED"/>
    <w:rsid w:val="00023935"/>
    <w:rsid w:val="000412A0"/>
    <w:rsid w:val="0004137B"/>
    <w:rsid w:val="00043907"/>
    <w:rsid w:val="000467B6"/>
    <w:rsid w:val="00047DDA"/>
    <w:rsid w:val="0005455A"/>
    <w:rsid w:val="00055CDE"/>
    <w:rsid w:val="00057F73"/>
    <w:rsid w:val="00063817"/>
    <w:rsid w:val="0006425C"/>
    <w:rsid w:val="00066C11"/>
    <w:rsid w:val="00071F07"/>
    <w:rsid w:val="0007759D"/>
    <w:rsid w:val="000777AB"/>
    <w:rsid w:val="00077F46"/>
    <w:rsid w:val="00090FB1"/>
    <w:rsid w:val="00091A43"/>
    <w:rsid w:val="00096186"/>
    <w:rsid w:val="000A0CE8"/>
    <w:rsid w:val="000A4553"/>
    <w:rsid w:val="000A565F"/>
    <w:rsid w:val="000A69FD"/>
    <w:rsid w:val="000A72E4"/>
    <w:rsid w:val="000B0E2F"/>
    <w:rsid w:val="000B2430"/>
    <w:rsid w:val="000B4CD2"/>
    <w:rsid w:val="000B6A19"/>
    <w:rsid w:val="000C4539"/>
    <w:rsid w:val="000C70E0"/>
    <w:rsid w:val="000D0B30"/>
    <w:rsid w:val="000D206D"/>
    <w:rsid w:val="000D2728"/>
    <w:rsid w:val="000D3C4C"/>
    <w:rsid w:val="000D7AAC"/>
    <w:rsid w:val="000D7E6F"/>
    <w:rsid w:val="000F43A6"/>
    <w:rsid w:val="000F703E"/>
    <w:rsid w:val="000F7DD3"/>
    <w:rsid w:val="00104471"/>
    <w:rsid w:val="00107AD1"/>
    <w:rsid w:val="00112994"/>
    <w:rsid w:val="00120E86"/>
    <w:rsid w:val="00124C7C"/>
    <w:rsid w:val="00124F81"/>
    <w:rsid w:val="00125C4F"/>
    <w:rsid w:val="00125DE9"/>
    <w:rsid w:val="00127C11"/>
    <w:rsid w:val="001306D3"/>
    <w:rsid w:val="001332E0"/>
    <w:rsid w:val="00134DE7"/>
    <w:rsid w:val="001367E7"/>
    <w:rsid w:val="00141C4A"/>
    <w:rsid w:val="0014478E"/>
    <w:rsid w:val="0014578B"/>
    <w:rsid w:val="00146F7F"/>
    <w:rsid w:val="001513D5"/>
    <w:rsid w:val="00151469"/>
    <w:rsid w:val="00157347"/>
    <w:rsid w:val="00160239"/>
    <w:rsid w:val="00170D44"/>
    <w:rsid w:val="00181EDE"/>
    <w:rsid w:val="00182699"/>
    <w:rsid w:val="00185354"/>
    <w:rsid w:val="001854DC"/>
    <w:rsid w:val="00185C1C"/>
    <w:rsid w:val="00186795"/>
    <w:rsid w:val="001868ED"/>
    <w:rsid w:val="00186F33"/>
    <w:rsid w:val="00191696"/>
    <w:rsid w:val="00194D09"/>
    <w:rsid w:val="00197E61"/>
    <w:rsid w:val="001A1DBC"/>
    <w:rsid w:val="001A5BEC"/>
    <w:rsid w:val="001A7D5C"/>
    <w:rsid w:val="001B2E11"/>
    <w:rsid w:val="001B60AA"/>
    <w:rsid w:val="001B63C8"/>
    <w:rsid w:val="001C1972"/>
    <w:rsid w:val="001C421F"/>
    <w:rsid w:val="001C4E41"/>
    <w:rsid w:val="001C4EBC"/>
    <w:rsid w:val="001C6F32"/>
    <w:rsid w:val="001D360D"/>
    <w:rsid w:val="001E0A78"/>
    <w:rsid w:val="001E1476"/>
    <w:rsid w:val="001E5346"/>
    <w:rsid w:val="001F59BF"/>
    <w:rsid w:val="001F5C10"/>
    <w:rsid w:val="001F7E88"/>
    <w:rsid w:val="00201A89"/>
    <w:rsid w:val="00203287"/>
    <w:rsid w:val="00206CFD"/>
    <w:rsid w:val="00224669"/>
    <w:rsid w:val="00255384"/>
    <w:rsid w:val="00257C59"/>
    <w:rsid w:val="00261A8D"/>
    <w:rsid w:val="00261C12"/>
    <w:rsid w:val="00264D14"/>
    <w:rsid w:val="002655A0"/>
    <w:rsid w:val="00282076"/>
    <w:rsid w:val="00283C1C"/>
    <w:rsid w:val="00286BC1"/>
    <w:rsid w:val="00291A00"/>
    <w:rsid w:val="00291A11"/>
    <w:rsid w:val="00297E9A"/>
    <w:rsid w:val="002A0510"/>
    <w:rsid w:val="002A315C"/>
    <w:rsid w:val="002A3342"/>
    <w:rsid w:val="002A64BA"/>
    <w:rsid w:val="002B4989"/>
    <w:rsid w:val="002C2510"/>
    <w:rsid w:val="002D5B04"/>
    <w:rsid w:val="002D714E"/>
    <w:rsid w:val="002E39BA"/>
    <w:rsid w:val="002E3FCC"/>
    <w:rsid w:val="002E53C3"/>
    <w:rsid w:val="002F1468"/>
    <w:rsid w:val="002F2B99"/>
    <w:rsid w:val="002F5F0C"/>
    <w:rsid w:val="002F6658"/>
    <w:rsid w:val="002F7F2A"/>
    <w:rsid w:val="00302CC9"/>
    <w:rsid w:val="00303ACF"/>
    <w:rsid w:val="0032079D"/>
    <w:rsid w:val="0032593C"/>
    <w:rsid w:val="00325BD1"/>
    <w:rsid w:val="003265EB"/>
    <w:rsid w:val="00326ADF"/>
    <w:rsid w:val="00327287"/>
    <w:rsid w:val="0033474F"/>
    <w:rsid w:val="0033563E"/>
    <w:rsid w:val="0034329E"/>
    <w:rsid w:val="00343FAA"/>
    <w:rsid w:val="00346C87"/>
    <w:rsid w:val="00347F5E"/>
    <w:rsid w:val="00353C98"/>
    <w:rsid w:val="003626A7"/>
    <w:rsid w:val="0036521C"/>
    <w:rsid w:val="003654C1"/>
    <w:rsid w:val="003705A0"/>
    <w:rsid w:val="00370B05"/>
    <w:rsid w:val="00371A20"/>
    <w:rsid w:val="00375C56"/>
    <w:rsid w:val="003821B4"/>
    <w:rsid w:val="00382CF3"/>
    <w:rsid w:val="003861E2"/>
    <w:rsid w:val="00387D52"/>
    <w:rsid w:val="00392B5D"/>
    <w:rsid w:val="00394536"/>
    <w:rsid w:val="00394AA8"/>
    <w:rsid w:val="00397323"/>
    <w:rsid w:val="003A0FB6"/>
    <w:rsid w:val="003A4191"/>
    <w:rsid w:val="003A7CEA"/>
    <w:rsid w:val="003B2B54"/>
    <w:rsid w:val="003B35C9"/>
    <w:rsid w:val="003C07AF"/>
    <w:rsid w:val="003C0F1F"/>
    <w:rsid w:val="003C6AB5"/>
    <w:rsid w:val="003D32F5"/>
    <w:rsid w:val="003E2F37"/>
    <w:rsid w:val="003E5E81"/>
    <w:rsid w:val="003F0BD3"/>
    <w:rsid w:val="003F278A"/>
    <w:rsid w:val="003F378F"/>
    <w:rsid w:val="003F3C05"/>
    <w:rsid w:val="003F7495"/>
    <w:rsid w:val="003F7A02"/>
    <w:rsid w:val="0040560A"/>
    <w:rsid w:val="00411781"/>
    <w:rsid w:val="004161D9"/>
    <w:rsid w:val="00416496"/>
    <w:rsid w:val="00422EA5"/>
    <w:rsid w:val="00422EFA"/>
    <w:rsid w:val="00423A40"/>
    <w:rsid w:val="00424B71"/>
    <w:rsid w:val="00425187"/>
    <w:rsid w:val="0042791F"/>
    <w:rsid w:val="00435833"/>
    <w:rsid w:val="00436B4B"/>
    <w:rsid w:val="00442092"/>
    <w:rsid w:val="004456ED"/>
    <w:rsid w:val="0044773C"/>
    <w:rsid w:val="0045244C"/>
    <w:rsid w:val="004533F4"/>
    <w:rsid w:val="00453DF5"/>
    <w:rsid w:val="0045578C"/>
    <w:rsid w:val="00455C26"/>
    <w:rsid w:val="0045770F"/>
    <w:rsid w:val="004603D3"/>
    <w:rsid w:val="004669FF"/>
    <w:rsid w:val="00473773"/>
    <w:rsid w:val="0048045A"/>
    <w:rsid w:val="0048091D"/>
    <w:rsid w:val="00483B2A"/>
    <w:rsid w:val="004841B8"/>
    <w:rsid w:val="00485E75"/>
    <w:rsid w:val="00486D75"/>
    <w:rsid w:val="00491056"/>
    <w:rsid w:val="00492795"/>
    <w:rsid w:val="004930F2"/>
    <w:rsid w:val="00493F3A"/>
    <w:rsid w:val="00494752"/>
    <w:rsid w:val="00496F10"/>
    <w:rsid w:val="004A6E3A"/>
    <w:rsid w:val="004B0539"/>
    <w:rsid w:val="004B0F1C"/>
    <w:rsid w:val="004B3200"/>
    <w:rsid w:val="004B456E"/>
    <w:rsid w:val="004D050C"/>
    <w:rsid w:val="004E21B3"/>
    <w:rsid w:val="004F2EE6"/>
    <w:rsid w:val="00502DBA"/>
    <w:rsid w:val="005040C4"/>
    <w:rsid w:val="00507637"/>
    <w:rsid w:val="00507852"/>
    <w:rsid w:val="00511863"/>
    <w:rsid w:val="00514DBF"/>
    <w:rsid w:val="005177BE"/>
    <w:rsid w:val="00522636"/>
    <w:rsid w:val="00531C39"/>
    <w:rsid w:val="005333A7"/>
    <w:rsid w:val="00533A42"/>
    <w:rsid w:val="00534CAA"/>
    <w:rsid w:val="0053689D"/>
    <w:rsid w:val="00541CFF"/>
    <w:rsid w:val="00550921"/>
    <w:rsid w:val="00562A90"/>
    <w:rsid w:val="00563712"/>
    <w:rsid w:val="00573631"/>
    <w:rsid w:val="00573C0B"/>
    <w:rsid w:val="00574D71"/>
    <w:rsid w:val="00576CFA"/>
    <w:rsid w:val="0058133D"/>
    <w:rsid w:val="0058556D"/>
    <w:rsid w:val="005863A2"/>
    <w:rsid w:val="00592AF2"/>
    <w:rsid w:val="005947AD"/>
    <w:rsid w:val="00597748"/>
    <w:rsid w:val="005979E8"/>
    <w:rsid w:val="005A6554"/>
    <w:rsid w:val="005A7C24"/>
    <w:rsid w:val="005B13C0"/>
    <w:rsid w:val="005B30B6"/>
    <w:rsid w:val="005B6AF3"/>
    <w:rsid w:val="005B6CC6"/>
    <w:rsid w:val="005B7DE6"/>
    <w:rsid w:val="005C298A"/>
    <w:rsid w:val="005C5A8F"/>
    <w:rsid w:val="005D0AF4"/>
    <w:rsid w:val="005D4713"/>
    <w:rsid w:val="005D6457"/>
    <w:rsid w:val="005E214C"/>
    <w:rsid w:val="005E2ECA"/>
    <w:rsid w:val="005E54BD"/>
    <w:rsid w:val="005E6AF3"/>
    <w:rsid w:val="005F624A"/>
    <w:rsid w:val="005F6CCA"/>
    <w:rsid w:val="005F6ED2"/>
    <w:rsid w:val="00606C08"/>
    <w:rsid w:val="006104AF"/>
    <w:rsid w:val="006108DA"/>
    <w:rsid w:val="00614F87"/>
    <w:rsid w:val="0062158E"/>
    <w:rsid w:val="00621893"/>
    <w:rsid w:val="00627779"/>
    <w:rsid w:val="00630AFD"/>
    <w:rsid w:val="006351E1"/>
    <w:rsid w:val="006447B1"/>
    <w:rsid w:val="006533E1"/>
    <w:rsid w:val="0065686D"/>
    <w:rsid w:val="00656F41"/>
    <w:rsid w:val="00662775"/>
    <w:rsid w:val="0066445E"/>
    <w:rsid w:val="00667DA0"/>
    <w:rsid w:val="006715B5"/>
    <w:rsid w:val="006752AD"/>
    <w:rsid w:val="00682913"/>
    <w:rsid w:val="00683C44"/>
    <w:rsid w:val="006852FC"/>
    <w:rsid w:val="006A5600"/>
    <w:rsid w:val="006A61FC"/>
    <w:rsid w:val="006B09CA"/>
    <w:rsid w:val="006B40AB"/>
    <w:rsid w:val="006B5DC5"/>
    <w:rsid w:val="006B6E31"/>
    <w:rsid w:val="006C07D2"/>
    <w:rsid w:val="006C4ABD"/>
    <w:rsid w:val="006C4BFD"/>
    <w:rsid w:val="006C7D30"/>
    <w:rsid w:val="006D0F00"/>
    <w:rsid w:val="006E115B"/>
    <w:rsid w:val="006E349E"/>
    <w:rsid w:val="006E3C08"/>
    <w:rsid w:val="006E404B"/>
    <w:rsid w:val="006F02A4"/>
    <w:rsid w:val="006F18B9"/>
    <w:rsid w:val="00700ACF"/>
    <w:rsid w:val="00710F66"/>
    <w:rsid w:val="00712487"/>
    <w:rsid w:val="0071293A"/>
    <w:rsid w:val="00716A43"/>
    <w:rsid w:val="00721888"/>
    <w:rsid w:val="00725354"/>
    <w:rsid w:val="00727611"/>
    <w:rsid w:val="007305CC"/>
    <w:rsid w:val="00730E7B"/>
    <w:rsid w:val="007325DE"/>
    <w:rsid w:val="00735DE7"/>
    <w:rsid w:val="00737042"/>
    <w:rsid w:val="00741101"/>
    <w:rsid w:val="00742C6F"/>
    <w:rsid w:val="0075035C"/>
    <w:rsid w:val="007520F8"/>
    <w:rsid w:val="007530CA"/>
    <w:rsid w:val="007578D9"/>
    <w:rsid w:val="00757E8A"/>
    <w:rsid w:val="00763E43"/>
    <w:rsid w:val="00764EB5"/>
    <w:rsid w:val="00771424"/>
    <w:rsid w:val="00775B4D"/>
    <w:rsid w:val="00777A95"/>
    <w:rsid w:val="00782416"/>
    <w:rsid w:val="007836A1"/>
    <w:rsid w:val="00784904"/>
    <w:rsid w:val="00785454"/>
    <w:rsid w:val="0079071C"/>
    <w:rsid w:val="00792423"/>
    <w:rsid w:val="0079458A"/>
    <w:rsid w:val="007A00A9"/>
    <w:rsid w:val="007A7D08"/>
    <w:rsid w:val="007B0364"/>
    <w:rsid w:val="007B261D"/>
    <w:rsid w:val="007B52CB"/>
    <w:rsid w:val="007C30ED"/>
    <w:rsid w:val="007C32D8"/>
    <w:rsid w:val="007C3F01"/>
    <w:rsid w:val="007C7BD4"/>
    <w:rsid w:val="007D0981"/>
    <w:rsid w:val="007D1929"/>
    <w:rsid w:val="007E0A4C"/>
    <w:rsid w:val="007E49FF"/>
    <w:rsid w:val="007F4337"/>
    <w:rsid w:val="007F74F4"/>
    <w:rsid w:val="008008E1"/>
    <w:rsid w:val="00800B7C"/>
    <w:rsid w:val="00802DBC"/>
    <w:rsid w:val="00803C10"/>
    <w:rsid w:val="00803CF1"/>
    <w:rsid w:val="00803EF0"/>
    <w:rsid w:val="0080717C"/>
    <w:rsid w:val="008104BB"/>
    <w:rsid w:val="00812AD0"/>
    <w:rsid w:val="00812F5E"/>
    <w:rsid w:val="00814470"/>
    <w:rsid w:val="00815B7E"/>
    <w:rsid w:val="0082216B"/>
    <w:rsid w:val="008249C5"/>
    <w:rsid w:val="00831BCF"/>
    <w:rsid w:val="0083599E"/>
    <w:rsid w:val="0084004F"/>
    <w:rsid w:val="008409B6"/>
    <w:rsid w:val="0084232A"/>
    <w:rsid w:val="00842415"/>
    <w:rsid w:val="008526F9"/>
    <w:rsid w:val="0085285E"/>
    <w:rsid w:val="00853023"/>
    <w:rsid w:val="00853296"/>
    <w:rsid w:val="008534D4"/>
    <w:rsid w:val="00860FFE"/>
    <w:rsid w:val="008771D3"/>
    <w:rsid w:val="00880276"/>
    <w:rsid w:val="0088154B"/>
    <w:rsid w:val="00881E28"/>
    <w:rsid w:val="00881E62"/>
    <w:rsid w:val="00885989"/>
    <w:rsid w:val="008913C4"/>
    <w:rsid w:val="00892DD8"/>
    <w:rsid w:val="00894C4B"/>
    <w:rsid w:val="00896F28"/>
    <w:rsid w:val="008A12E3"/>
    <w:rsid w:val="008A42FA"/>
    <w:rsid w:val="008B0AC7"/>
    <w:rsid w:val="008B0D73"/>
    <w:rsid w:val="008B329A"/>
    <w:rsid w:val="008B665E"/>
    <w:rsid w:val="008C2335"/>
    <w:rsid w:val="008C27FC"/>
    <w:rsid w:val="008C3CD5"/>
    <w:rsid w:val="008C414A"/>
    <w:rsid w:val="008C67C1"/>
    <w:rsid w:val="008D0900"/>
    <w:rsid w:val="008D134C"/>
    <w:rsid w:val="008D14C1"/>
    <w:rsid w:val="008D1D39"/>
    <w:rsid w:val="008D3395"/>
    <w:rsid w:val="008D597D"/>
    <w:rsid w:val="008D65FC"/>
    <w:rsid w:val="008E057C"/>
    <w:rsid w:val="008E1D05"/>
    <w:rsid w:val="008E2A02"/>
    <w:rsid w:val="008F07D2"/>
    <w:rsid w:val="008F1AE3"/>
    <w:rsid w:val="008F29B1"/>
    <w:rsid w:val="009000A2"/>
    <w:rsid w:val="009049C3"/>
    <w:rsid w:val="00915F01"/>
    <w:rsid w:val="00916672"/>
    <w:rsid w:val="00917851"/>
    <w:rsid w:val="00917F65"/>
    <w:rsid w:val="00930889"/>
    <w:rsid w:val="009311E7"/>
    <w:rsid w:val="00935206"/>
    <w:rsid w:val="00937690"/>
    <w:rsid w:val="00942694"/>
    <w:rsid w:val="00954345"/>
    <w:rsid w:val="00954B7D"/>
    <w:rsid w:val="00956330"/>
    <w:rsid w:val="0095798B"/>
    <w:rsid w:val="009605F3"/>
    <w:rsid w:val="00960E62"/>
    <w:rsid w:val="00966AAE"/>
    <w:rsid w:val="009704B3"/>
    <w:rsid w:val="00971DB6"/>
    <w:rsid w:val="00973D92"/>
    <w:rsid w:val="00992288"/>
    <w:rsid w:val="00997021"/>
    <w:rsid w:val="009A269C"/>
    <w:rsid w:val="009A401C"/>
    <w:rsid w:val="009A6BDE"/>
    <w:rsid w:val="009A7E3A"/>
    <w:rsid w:val="009B1265"/>
    <w:rsid w:val="009B21D0"/>
    <w:rsid w:val="009B4A15"/>
    <w:rsid w:val="009B5693"/>
    <w:rsid w:val="009B78BF"/>
    <w:rsid w:val="009B7BAC"/>
    <w:rsid w:val="009C10CA"/>
    <w:rsid w:val="009C432C"/>
    <w:rsid w:val="009C57DD"/>
    <w:rsid w:val="009C61A2"/>
    <w:rsid w:val="009C78E4"/>
    <w:rsid w:val="009D4851"/>
    <w:rsid w:val="009D5AB5"/>
    <w:rsid w:val="009D687E"/>
    <w:rsid w:val="009E3B27"/>
    <w:rsid w:val="009E46EE"/>
    <w:rsid w:val="009E70C3"/>
    <w:rsid w:val="009E7EDA"/>
    <w:rsid w:val="009F044F"/>
    <w:rsid w:val="009F288E"/>
    <w:rsid w:val="009F6DE7"/>
    <w:rsid w:val="00A0265F"/>
    <w:rsid w:val="00A02D84"/>
    <w:rsid w:val="00A05D9E"/>
    <w:rsid w:val="00A05DC9"/>
    <w:rsid w:val="00A10583"/>
    <w:rsid w:val="00A11E1F"/>
    <w:rsid w:val="00A1458A"/>
    <w:rsid w:val="00A16123"/>
    <w:rsid w:val="00A24CC4"/>
    <w:rsid w:val="00A25722"/>
    <w:rsid w:val="00A344F5"/>
    <w:rsid w:val="00A37FCB"/>
    <w:rsid w:val="00A44FE4"/>
    <w:rsid w:val="00A51F67"/>
    <w:rsid w:val="00A54863"/>
    <w:rsid w:val="00A61D74"/>
    <w:rsid w:val="00A620D8"/>
    <w:rsid w:val="00A665AA"/>
    <w:rsid w:val="00A72EED"/>
    <w:rsid w:val="00A80AF1"/>
    <w:rsid w:val="00A81B56"/>
    <w:rsid w:val="00A82C22"/>
    <w:rsid w:val="00A8688B"/>
    <w:rsid w:val="00A91163"/>
    <w:rsid w:val="00A9286F"/>
    <w:rsid w:val="00A96255"/>
    <w:rsid w:val="00AA42C4"/>
    <w:rsid w:val="00AA7251"/>
    <w:rsid w:val="00AA7B25"/>
    <w:rsid w:val="00AB1C1A"/>
    <w:rsid w:val="00AB285B"/>
    <w:rsid w:val="00AC39D4"/>
    <w:rsid w:val="00AC799F"/>
    <w:rsid w:val="00AD75A7"/>
    <w:rsid w:val="00AE6883"/>
    <w:rsid w:val="00AF5552"/>
    <w:rsid w:val="00AF55CE"/>
    <w:rsid w:val="00AF5CB4"/>
    <w:rsid w:val="00AF5ED1"/>
    <w:rsid w:val="00AF71D6"/>
    <w:rsid w:val="00B00D02"/>
    <w:rsid w:val="00B023F4"/>
    <w:rsid w:val="00B073CD"/>
    <w:rsid w:val="00B1075C"/>
    <w:rsid w:val="00B3079C"/>
    <w:rsid w:val="00B3175F"/>
    <w:rsid w:val="00B31E2C"/>
    <w:rsid w:val="00B327B5"/>
    <w:rsid w:val="00B329B0"/>
    <w:rsid w:val="00B402D8"/>
    <w:rsid w:val="00B4237C"/>
    <w:rsid w:val="00B42FE8"/>
    <w:rsid w:val="00B4332B"/>
    <w:rsid w:val="00B44757"/>
    <w:rsid w:val="00B45430"/>
    <w:rsid w:val="00B45B89"/>
    <w:rsid w:val="00B52AFD"/>
    <w:rsid w:val="00B53068"/>
    <w:rsid w:val="00B536BE"/>
    <w:rsid w:val="00B54077"/>
    <w:rsid w:val="00B543FB"/>
    <w:rsid w:val="00B63EC2"/>
    <w:rsid w:val="00B6570B"/>
    <w:rsid w:val="00B676E1"/>
    <w:rsid w:val="00B8087E"/>
    <w:rsid w:val="00B809E7"/>
    <w:rsid w:val="00B810EF"/>
    <w:rsid w:val="00B83371"/>
    <w:rsid w:val="00B83CA8"/>
    <w:rsid w:val="00B83F8D"/>
    <w:rsid w:val="00B8564F"/>
    <w:rsid w:val="00B906A6"/>
    <w:rsid w:val="00B95079"/>
    <w:rsid w:val="00BB0654"/>
    <w:rsid w:val="00BB2197"/>
    <w:rsid w:val="00BB5516"/>
    <w:rsid w:val="00BB646E"/>
    <w:rsid w:val="00BC2507"/>
    <w:rsid w:val="00BD0619"/>
    <w:rsid w:val="00BD1BA1"/>
    <w:rsid w:val="00BE30C4"/>
    <w:rsid w:val="00BE7B26"/>
    <w:rsid w:val="00C04B95"/>
    <w:rsid w:val="00C22968"/>
    <w:rsid w:val="00C35BC4"/>
    <w:rsid w:val="00C4075D"/>
    <w:rsid w:val="00C43F5B"/>
    <w:rsid w:val="00C50338"/>
    <w:rsid w:val="00C534A4"/>
    <w:rsid w:val="00C54B04"/>
    <w:rsid w:val="00C64188"/>
    <w:rsid w:val="00C70E48"/>
    <w:rsid w:val="00C71CD7"/>
    <w:rsid w:val="00C72E45"/>
    <w:rsid w:val="00C738A6"/>
    <w:rsid w:val="00C74B5C"/>
    <w:rsid w:val="00C761DC"/>
    <w:rsid w:val="00C82FBF"/>
    <w:rsid w:val="00CA0EE7"/>
    <w:rsid w:val="00CB4371"/>
    <w:rsid w:val="00CC0609"/>
    <w:rsid w:val="00CC516D"/>
    <w:rsid w:val="00CD2152"/>
    <w:rsid w:val="00CD529E"/>
    <w:rsid w:val="00CD598E"/>
    <w:rsid w:val="00CD6622"/>
    <w:rsid w:val="00CD76ED"/>
    <w:rsid w:val="00CD7E5F"/>
    <w:rsid w:val="00CF236D"/>
    <w:rsid w:val="00CF324E"/>
    <w:rsid w:val="00D00CFB"/>
    <w:rsid w:val="00D02631"/>
    <w:rsid w:val="00D055C8"/>
    <w:rsid w:val="00D05D3B"/>
    <w:rsid w:val="00D078B8"/>
    <w:rsid w:val="00D16F0D"/>
    <w:rsid w:val="00D24330"/>
    <w:rsid w:val="00D27F26"/>
    <w:rsid w:val="00D317BD"/>
    <w:rsid w:val="00D322F2"/>
    <w:rsid w:val="00D3465D"/>
    <w:rsid w:val="00D40056"/>
    <w:rsid w:val="00D41645"/>
    <w:rsid w:val="00D455A8"/>
    <w:rsid w:val="00D47463"/>
    <w:rsid w:val="00D51840"/>
    <w:rsid w:val="00D53469"/>
    <w:rsid w:val="00D538B8"/>
    <w:rsid w:val="00D54F29"/>
    <w:rsid w:val="00D6294D"/>
    <w:rsid w:val="00D65361"/>
    <w:rsid w:val="00D70AD9"/>
    <w:rsid w:val="00D72152"/>
    <w:rsid w:val="00D73F7D"/>
    <w:rsid w:val="00D76B8F"/>
    <w:rsid w:val="00D771BC"/>
    <w:rsid w:val="00D82359"/>
    <w:rsid w:val="00D874B7"/>
    <w:rsid w:val="00D92914"/>
    <w:rsid w:val="00D9384C"/>
    <w:rsid w:val="00D94BA5"/>
    <w:rsid w:val="00D9510F"/>
    <w:rsid w:val="00DA2945"/>
    <w:rsid w:val="00DA615C"/>
    <w:rsid w:val="00DA7974"/>
    <w:rsid w:val="00DB1402"/>
    <w:rsid w:val="00DB2BB0"/>
    <w:rsid w:val="00DB49ED"/>
    <w:rsid w:val="00DB768F"/>
    <w:rsid w:val="00DC1A62"/>
    <w:rsid w:val="00DC3D1C"/>
    <w:rsid w:val="00DC4D5E"/>
    <w:rsid w:val="00DD0A29"/>
    <w:rsid w:val="00DD1BC6"/>
    <w:rsid w:val="00DD4000"/>
    <w:rsid w:val="00DD4CAB"/>
    <w:rsid w:val="00DE093D"/>
    <w:rsid w:val="00DE3503"/>
    <w:rsid w:val="00DE5DC3"/>
    <w:rsid w:val="00DF4456"/>
    <w:rsid w:val="00DF60B5"/>
    <w:rsid w:val="00E00D8A"/>
    <w:rsid w:val="00E0241B"/>
    <w:rsid w:val="00E04481"/>
    <w:rsid w:val="00E07467"/>
    <w:rsid w:val="00E1050F"/>
    <w:rsid w:val="00E11604"/>
    <w:rsid w:val="00E11D92"/>
    <w:rsid w:val="00E130A0"/>
    <w:rsid w:val="00E20066"/>
    <w:rsid w:val="00E210C4"/>
    <w:rsid w:val="00E23DB7"/>
    <w:rsid w:val="00E26597"/>
    <w:rsid w:val="00E30E01"/>
    <w:rsid w:val="00E343C7"/>
    <w:rsid w:val="00E36F02"/>
    <w:rsid w:val="00E40A42"/>
    <w:rsid w:val="00E40D0F"/>
    <w:rsid w:val="00E4511D"/>
    <w:rsid w:val="00E46D96"/>
    <w:rsid w:val="00E47DE3"/>
    <w:rsid w:val="00E52CCA"/>
    <w:rsid w:val="00E65334"/>
    <w:rsid w:val="00E66409"/>
    <w:rsid w:val="00E74748"/>
    <w:rsid w:val="00E76E07"/>
    <w:rsid w:val="00E8071C"/>
    <w:rsid w:val="00E81D5B"/>
    <w:rsid w:val="00E854B3"/>
    <w:rsid w:val="00E958F0"/>
    <w:rsid w:val="00E976B9"/>
    <w:rsid w:val="00E97A89"/>
    <w:rsid w:val="00EA05D3"/>
    <w:rsid w:val="00EA16C4"/>
    <w:rsid w:val="00EB19AD"/>
    <w:rsid w:val="00EB2F31"/>
    <w:rsid w:val="00EB302A"/>
    <w:rsid w:val="00EB6493"/>
    <w:rsid w:val="00EC2915"/>
    <w:rsid w:val="00EC543F"/>
    <w:rsid w:val="00ED0430"/>
    <w:rsid w:val="00ED05A9"/>
    <w:rsid w:val="00ED1BA0"/>
    <w:rsid w:val="00ED5022"/>
    <w:rsid w:val="00ED5246"/>
    <w:rsid w:val="00EE3460"/>
    <w:rsid w:val="00EE3E04"/>
    <w:rsid w:val="00EE7AD0"/>
    <w:rsid w:val="00EF54BC"/>
    <w:rsid w:val="00F13235"/>
    <w:rsid w:val="00F17257"/>
    <w:rsid w:val="00F17AB3"/>
    <w:rsid w:val="00F2171D"/>
    <w:rsid w:val="00F235E1"/>
    <w:rsid w:val="00F240EC"/>
    <w:rsid w:val="00F26AAE"/>
    <w:rsid w:val="00F34D24"/>
    <w:rsid w:val="00F40223"/>
    <w:rsid w:val="00F4130B"/>
    <w:rsid w:val="00F43C7A"/>
    <w:rsid w:val="00F43D19"/>
    <w:rsid w:val="00F556A2"/>
    <w:rsid w:val="00F56803"/>
    <w:rsid w:val="00F60491"/>
    <w:rsid w:val="00F6466E"/>
    <w:rsid w:val="00F662BD"/>
    <w:rsid w:val="00F662F6"/>
    <w:rsid w:val="00F719A8"/>
    <w:rsid w:val="00F878B9"/>
    <w:rsid w:val="00F903BE"/>
    <w:rsid w:val="00FA16A9"/>
    <w:rsid w:val="00FA1837"/>
    <w:rsid w:val="00FA7E64"/>
    <w:rsid w:val="00FB24E8"/>
    <w:rsid w:val="00FB3B2B"/>
    <w:rsid w:val="00FC18DA"/>
    <w:rsid w:val="00FC2591"/>
    <w:rsid w:val="00FC3917"/>
    <w:rsid w:val="00FD1F4A"/>
    <w:rsid w:val="00FD60DA"/>
    <w:rsid w:val="00FD650E"/>
    <w:rsid w:val="00FE016A"/>
    <w:rsid w:val="00FE2773"/>
    <w:rsid w:val="00FE3ECB"/>
    <w:rsid w:val="00FE6FFE"/>
    <w:rsid w:val="00FF07B4"/>
    <w:rsid w:val="00FF23FD"/>
    <w:rsid w:val="00FF4547"/>
    <w:rsid w:val="0462A442"/>
    <w:rsid w:val="07DDF36C"/>
    <w:rsid w:val="0EDC8A59"/>
    <w:rsid w:val="0F38100E"/>
    <w:rsid w:val="100D05D2"/>
    <w:rsid w:val="1726754C"/>
    <w:rsid w:val="2251B9D5"/>
    <w:rsid w:val="26686A4C"/>
    <w:rsid w:val="289E9CCD"/>
    <w:rsid w:val="2FB520DB"/>
    <w:rsid w:val="34E07D49"/>
    <w:rsid w:val="415F1897"/>
    <w:rsid w:val="426F08F0"/>
    <w:rsid w:val="438861DD"/>
    <w:rsid w:val="44AF02FC"/>
    <w:rsid w:val="4A7648F3"/>
    <w:rsid w:val="50989CBA"/>
    <w:rsid w:val="53FC4C0A"/>
    <w:rsid w:val="5FDC1C26"/>
    <w:rsid w:val="666B0E74"/>
    <w:rsid w:val="66D24E37"/>
    <w:rsid w:val="6B6AD708"/>
    <w:rsid w:val="6BD2FD60"/>
    <w:rsid w:val="7B05D63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AD0"/>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FE6F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9B7B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63EC2"/>
    <w:rPr>
      <w:b/>
      <w:bCs/>
    </w:rPr>
  </w:style>
  <w:style w:type="character" w:styleId="FollowedHyperlink">
    <w:name w:val="FollowedHyperlink"/>
    <w:basedOn w:val="DefaultParagraphFont"/>
    <w:uiPriority w:val="99"/>
    <w:semiHidden/>
    <w:unhideWhenUsed/>
    <w:rsid w:val="003E2F37"/>
    <w:rPr>
      <w:color w:val="800080" w:themeColor="followedHyperlink"/>
      <w:u w:val="single"/>
    </w:rPr>
  </w:style>
  <w:style w:type="paragraph" w:styleId="Date">
    <w:name w:val="Date"/>
    <w:basedOn w:val="Normal"/>
    <w:next w:val="Normal"/>
    <w:link w:val="DateChar"/>
    <w:uiPriority w:val="99"/>
    <w:semiHidden/>
    <w:unhideWhenUsed/>
    <w:rsid w:val="00B6570B"/>
  </w:style>
  <w:style w:type="character" w:customStyle="1" w:styleId="DateChar">
    <w:name w:val="Date Char"/>
    <w:basedOn w:val="DefaultParagraphFont"/>
    <w:link w:val="Date"/>
    <w:uiPriority w:val="99"/>
    <w:semiHidden/>
    <w:rsid w:val="00B6570B"/>
  </w:style>
  <w:style w:type="character" w:customStyle="1" w:styleId="Heading3Char">
    <w:name w:val="Heading 3 Char"/>
    <w:basedOn w:val="DefaultParagraphFont"/>
    <w:link w:val="Heading3"/>
    <w:uiPriority w:val="9"/>
    <w:semiHidden/>
    <w:rsid w:val="00FE6FFE"/>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A02D84"/>
    <w:rPr>
      <w:color w:val="605E5C"/>
      <w:shd w:val="clear" w:color="auto" w:fill="E1DFDD"/>
    </w:rPr>
  </w:style>
  <w:style w:type="paragraph" w:styleId="Revision">
    <w:name w:val="Revision"/>
    <w:hidden/>
    <w:uiPriority w:val="99"/>
    <w:semiHidden/>
    <w:rsid w:val="00B00D02"/>
    <w:pPr>
      <w:spacing w:after="0" w:line="240" w:lineRule="auto"/>
    </w:pPr>
  </w:style>
  <w:style w:type="paragraph" w:styleId="FootnoteText">
    <w:name w:val="footnote text"/>
    <w:basedOn w:val="Normal"/>
    <w:link w:val="FootnoteTextChar"/>
    <w:uiPriority w:val="99"/>
    <w:semiHidden/>
    <w:unhideWhenUsed/>
    <w:rsid w:val="00066C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6C11"/>
    <w:rPr>
      <w:sz w:val="20"/>
      <w:szCs w:val="20"/>
    </w:rPr>
  </w:style>
  <w:style w:type="character" w:styleId="FootnoteReference">
    <w:name w:val="footnote reference"/>
    <w:basedOn w:val="DefaultParagraphFont"/>
    <w:uiPriority w:val="99"/>
    <w:semiHidden/>
    <w:unhideWhenUsed/>
    <w:rsid w:val="00066C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748640">
      <w:bodyDiv w:val="1"/>
      <w:marLeft w:val="0"/>
      <w:marRight w:val="0"/>
      <w:marTop w:val="0"/>
      <w:marBottom w:val="0"/>
      <w:divBdr>
        <w:top w:val="none" w:sz="0" w:space="0" w:color="auto"/>
        <w:left w:val="none" w:sz="0" w:space="0" w:color="auto"/>
        <w:bottom w:val="none" w:sz="0" w:space="0" w:color="auto"/>
        <w:right w:val="none" w:sz="0" w:space="0" w:color="auto"/>
      </w:divBdr>
    </w:div>
    <w:div w:id="232399456">
      <w:bodyDiv w:val="1"/>
      <w:marLeft w:val="0"/>
      <w:marRight w:val="0"/>
      <w:marTop w:val="0"/>
      <w:marBottom w:val="0"/>
      <w:divBdr>
        <w:top w:val="none" w:sz="0" w:space="0" w:color="auto"/>
        <w:left w:val="none" w:sz="0" w:space="0" w:color="auto"/>
        <w:bottom w:val="none" w:sz="0" w:space="0" w:color="auto"/>
        <w:right w:val="none" w:sz="0" w:space="0" w:color="auto"/>
      </w:divBdr>
      <w:divsChild>
        <w:div w:id="930311072">
          <w:marLeft w:val="0"/>
          <w:marRight w:val="0"/>
          <w:marTop w:val="0"/>
          <w:marBottom w:val="0"/>
          <w:divBdr>
            <w:top w:val="none" w:sz="0" w:space="0" w:color="auto"/>
            <w:left w:val="none" w:sz="0" w:space="0" w:color="auto"/>
            <w:bottom w:val="none" w:sz="0" w:space="0" w:color="auto"/>
            <w:right w:val="none" w:sz="0" w:space="0" w:color="auto"/>
          </w:divBdr>
        </w:div>
      </w:divsChild>
    </w:div>
    <w:div w:id="28292901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96992772">
      <w:bodyDiv w:val="1"/>
      <w:marLeft w:val="0"/>
      <w:marRight w:val="0"/>
      <w:marTop w:val="0"/>
      <w:marBottom w:val="0"/>
      <w:divBdr>
        <w:top w:val="none" w:sz="0" w:space="0" w:color="auto"/>
        <w:left w:val="none" w:sz="0" w:space="0" w:color="auto"/>
        <w:bottom w:val="none" w:sz="0" w:space="0" w:color="auto"/>
        <w:right w:val="none" w:sz="0" w:space="0" w:color="auto"/>
      </w:divBdr>
    </w:div>
    <w:div w:id="1532451423">
      <w:bodyDiv w:val="1"/>
      <w:marLeft w:val="0"/>
      <w:marRight w:val="0"/>
      <w:marTop w:val="0"/>
      <w:marBottom w:val="0"/>
      <w:divBdr>
        <w:top w:val="none" w:sz="0" w:space="0" w:color="auto"/>
        <w:left w:val="none" w:sz="0" w:space="0" w:color="auto"/>
        <w:bottom w:val="none" w:sz="0" w:space="0" w:color="auto"/>
        <w:right w:val="none" w:sz="0" w:space="0" w:color="auto"/>
      </w:divBdr>
      <w:divsChild>
        <w:div w:id="2099868836">
          <w:marLeft w:val="0"/>
          <w:marRight w:val="0"/>
          <w:marTop w:val="0"/>
          <w:marBottom w:val="0"/>
          <w:divBdr>
            <w:top w:val="none" w:sz="0" w:space="0" w:color="auto"/>
            <w:left w:val="none" w:sz="0" w:space="0" w:color="auto"/>
            <w:bottom w:val="none" w:sz="0" w:space="0" w:color="auto"/>
            <w:right w:val="none" w:sz="0" w:space="0" w:color="auto"/>
          </w:divBdr>
        </w:div>
      </w:divsChild>
    </w:div>
    <w:div w:id="1809543464">
      <w:bodyDiv w:val="1"/>
      <w:marLeft w:val="0"/>
      <w:marRight w:val="0"/>
      <w:marTop w:val="0"/>
      <w:marBottom w:val="0"/>
      <w:divBdr>
        <w:top w:val="none" w:sz="0" w:space="0" w:color="auto"/>
        <w:left w:val="none" w:sz="0" w:space="0" w:color="auto"/>
        <w:bottom w:val="none" w:sz="0" w:space="0" w:color="auto"/>
        <w:right w:val="none" w:sz="0" w:space="0" w:color="auto"/>
      </w:divBdr>
    </w:div>
    <w:div w:id="2050452172">
      <w:bodyDiv w:val="1"/>
      <w:marLeft w:val="0"/>
      <w:marRight w:val="0"/>
      <w:marTop w:val="0"/>
      <w:marBottom w:val="0"/>
      <w:divBdr>
        <w:top w:val="none" w:sz="0" w:space="0" w:color="auto"/>
        <w:left w:val="none" w:sz="0" w:space="0" w:color="auto"/>
        <w:bottom w:val="none" w:sz="0" w:space="0" w:color="auto"/>
        <w:right w:val="none" w:sz="0" w:space="0" w:color="auto"/>
      </w:divBdr>
    </w:div>
    <w:div w:id="21452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mf.org/external/pubs/ft/gfs/manual/gfs.htm" TargetMode="External"/><Relationship Id="rId18" Type="http://schemas.openxmlformats.org/officeDocument/2006/relationships/hyperlink" Target="https://databank.worldbank.org/source/world-development-indicators"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data.imf.org/?sk=4C514D48-B6BA-49ED-8AB9-52B0C1A0179B&amp;sId=1537997141415" TargetMode="External"/><Relationship Id="rId17" Type="http://schemas.openxmlformats.org/officeDocument/2006/relationships/hyperlink" Target="http://www.worldbank.org" TargetMode="External"/><Relationship Id="rId2" Type="http://schemas.openxmlformats.org/officeDocument/2006/relationships/customXml" Target="../customXml/item2.xml"/><Relationship Id="rId16" Type="http://schemas.openxmlformats.org/officeDocument/2006/relationships/hyperlink" Target="https://databank.worldbank.org/source/world-development-indicato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mf.org/external/pubs/ft/bop/2007/pdf/bpm6.pdf" TargetMode="External"/><Relationship Id="rId5" Type="http://schemas.openxmlformats.org/officeDocument/2006/relationships/numbering" Target="numbering.xml"/><Relationship Id="rId15" Type="http://schemas.openxmlformats.org/officeDocument/2006/relationships/hyperlink" Target="http://wdi.worldbank.org/"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nationalaccount/sna.asp"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ECE9700B-19D6-44E0-833B-229C91F0D812}"/>
      </w:docPartPr>
      <w:docPartBody>
        <w:p w:rsidR="00CE3958" w:rsidRDefault="00CE3958">
          <w:r w:rsidRPr="00F460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58"/>
    <w:rsid w:val="0004137B"/>
    <w:rsid w:val="000D206D"/>
    <w:rsid w:val="00556E5C"/>
    <w:rsid w:val="006E404B"/>
    <w:rsid w:val="008409B6"/>
    <w:rsid w:val="00916672"/>
    <w:rsid w:val="00B073CD"/>
    <w:rsid w:val="00CE3958"/>
    <w:rsid w:val="00EE64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9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d114b01d-ae01-4749-b845-9d88e7ef5c0e"/>
    <ds:schemaRef ds:uri="http://schemas.microsoft.com/office/infopath/2007/PartnerControls"/>
    <ds:schemaRef ds:uri="f2d2d782-0088-4826-96df-71eba56e6d2e"/>
    <ds:schemaRef ds:uri="http://www.w3.org/XML/1998/namespace"/>
    <ds:schemaRef ds:uri="http://purl.org/dc/elements/1.1/"/>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48E93C56-20C5-4E27-B466-BCB006DC44AC}">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15</TotalTime>
  <Pages>10</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11</cp:revision>
  <cp:lastPrinted>2025-04-23T03:20:00Z</cp:lastPrinted>
  <dcterms:created xsi:type="dcterms:W3CDTF">2024-07-19T13:27:00Z</dcterms:created>
  <dcterms:modified xsi:type="dcterms:W3CDTF">2025-04-23T03:20:00Z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