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7046B41C"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434E9E">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08F1B2E" w:rsidR="00D24330" w:rsidRPr="00A96255" w:rsidRDefault="007B38F4" w:rsidP="002F5F0C">
      <w:pPr>
        <w:pStyle w:val="MGTHeader"/>
      </w:pPr>
      <w:r w:rsidRPr="007B38F4">
        <w:t xml:space="preserve">Goal 17: Strengthen the means of implementation and revitalize the </w:t>
      </w:r>
      <w:r w:rsidR="00782F34" w:rsidRPr="00782F34">
        <w:t>Global Partnership</w:t>
      </w:r>
      <w:r w:rsidRPr="007B38F4">
        <w:t xml:space="preserve"> for </w:t>
      </w:r>
      <w:r w:rsidR="00782F34" w:rsidRPr="00782F34">
        <w:t>Sustainable</w:t>
      </w:r>
      <w:r w:rsidR="00065076">
        <w:t xml:space="preserve"> </w:t>
      </w:r>
      <w:r w:rsidR="00782F34" w:rsidRPr="00782F34">
        <w:t>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697D2A3F" w:rsidR="00D24330" w:rsidRPr="00A96255" w:rsidRDefault="007B38F4" w:rsidP="00D24330">
      <w:pPr>
        <w:pStyle w:val="MGTHeader"/>
      </w:pPr>
      <w:r w:rsidRPr="007B38F4">
        <w:t>Target 17.14: Enhance policy coherence for sustainable development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7D128E39" w:rsidR="00D24330" w:rsidRPr="00FE189A" w:rsidRDefault="007B38F4" w:rsidP="00D24330">
      <w:pPr>
        <w:pStyle w:val="MGTHeader"/>
        <w:rPr>
          <w:rFonts w:ascii="Calibri" w:hAnsi="Calibri"/>
        </w:rPr>
      </w:pPr>
      <w:r w:rsidRPr="00FE189A">
        <w:rPr>
          <w:rFonts w:ascii="Calibri" w:hAnsi="Calibri"/>
          <w:color w:val="444444"/>
        </w:rPr>
        <w:t>Indicator 17.14.1</w:t>
      </w:r>
      <w:r w:rsidR="3C53773C" w:rsidRPr="47B21E64">
        <w:rPr>
          <w:rFonts w:ascii="Calibri" w:eastAsia="Calibri" w:hAnsi="Calibri" w:cs="Calibri"/>
          <w:color w:val="444444"/>
        </w:rPr>
        <w:t>: Number of countries with mechanisms</w:t>
      </w:r>
      <w:r w:rsidRPr="00FE189A">
        <w:rPr>
          <w:rFonts w:ascii="Calibri" w:hAnsi="Calibri"/>
          <w:color w:val="444444"/>
        </w:rPr>
        <w:t xml:space="preserve"> in place to enhance policy coherence of sustainable development</w:t>
      </w:r>
    </w:p>
    <w:p w14:paraId="37E5E4F6" w14:textId="77777777" w:rsidR="00D24330" w:rsidRPr="00DB418B" w:rsidRDefault="00D24330" w:rsidP="00D24330">
      <w:pPr>
        <w:pStyle w:val="MIndHeader"/>
        <w:rPr>
          <w:lang w:val="en-US"/>
        </w:rPr>
      </w:pPr>
      <w:r w:rsidRPr="00DB418B">
        <w:rPr>
          <w:lang w:val="en-US"/>
        </w:rPr>
        <w:t xml:space="preserve">0.d. Series </w:t>
      </w:r>
      <w:r>
        <w:rPr>
          <w:color w:val="B4B4B4"/>
          <w:sz w:val="20"/>
        </w:rPr>
        <w:t>(SDG_SERIES_DESCR)</w:t>
      </w:r>
    </w:p>
    <w:p w14:paraId="771888BA" w14:textId="7B8D13AC" w:rsidR="00D24330" w:rsidRPr="00B52028" w:rsidRDefault="006729AA" w:rsidP="00D24330">
      <w:pPr>
        <w:pStyle w:val="MGTHeader"/>
        <w:rPr>
          <w:rFonts w:ascii="Calibri" w:hAnsi="Calibri"/>
          <w:color w:val="444444"/>
        </w:rPr>
      </w:pPr>
      <w:r w:rsidRPr="006729AA">
        <w:rPr>
          <w:rFonts w:ascii="Calibri" w:hAnsi="Calibri"/>
          <w:color w:val="444444"/>
        </w:rPr>
        <w:t>SG_CPA_SDEVP - Mechanisms in place to enhance policy coherence for sustainable development (Percent) [</w:t>
      </w:r>
      <w:proofErr w:type="gramStart"/>
      <w:r w:rsidRPr="006729AA">
        <w:rPr>
          <w:rFonts w:ascii="Calibri" w:hAnsi="Calibri"/>
          <w:color w:val="444444"/>
        </w:rPr>
        <w:t>17.14.1 ]</w:t>
      </w:r>
      <w:proofErr w:type="gramEnd"/>
    </w:p>
    <w:p w14:paraId="157DACE7" w14:textId="77777777" w:rsidR="00D24330" w:rsidRPr="00DB418B" w:rsidRDefault="00D24330" w:rsidP="00D24330">
      <w:pPr>
        <w:pStyle w:val="MIndHeader"/>
        <w:rPr>
          <w:lang w:val="en-US"/>
        </w:rPr>
      </w:pPr>
      <w:r w:rsidRPr="00DB418B">
        <w:rPr>
          <w:lang w:val="en-US"/>
        </w:rPr>
        <w:t xml:space="preserve">0.e. Metadata update </w:t>
      </w:r>
      <w:r>
        <w:rPr>
          <w:color w:val="B4B4B4"/>
          <w:sz w:val="20"/>
        </w:rPr>
        <w:t>(META_LAST_UPDATE)</w:t>
      </w:r>
    </w:p>
    <w:p w14:paraId="03424B60" w14:textId="640D86EC" w:rsidR="00D24330" w:rsidRPr="00DB418B" w:rsidRDefault="00000000" w:rsidP="00D24330">
      <w:pPr>
        <w:pStyle w:val="MGTHeader"/>
        <w:rPr>
          <w:lang w:val="en-US"/>
        </w:rPr>
      </w:pPr>
      <w:sdt>
        <w:sdtPr>
          <w:rPr>
            <w:lang w:val="en-US"/>
          </w:rPr>
          <w:id w:val="542942992"/>
          <w:placeholder>
            <w:docPart w:val="DefaultPlaceholder_-1854013437"/>
          </w:placeholder>
          <w:date w:fullDate="2024-07-29T00:00:00Z">
            <w:dateFormat w:val="yyyy-MM-dd"/>
            <w:lid w:val="en-US"/>
            <w:storeMappedDataAs w:val="dateTime"/>
            <w:calendar w:val="gregorian"/>
          </w:date>
        </w:sdtPr>
        <w:sdtContent>
          <w:r w:rsidR="0091295A">
            <w:rPr>
              <w:lang w:val="en-US"/>
            </w:rPr>
            <w:t>2024-07-29</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D92198C" w:rsidR="00D24330" w:rsidRPr="00A96255" w:rsidRDefault="007B38F4" w:rsidP="00D24330">
      <w:pPr>
        <w:pStyle w:val="MGTHeader"/>
      </w:pPr>
      <w:r w:rsidRPr="007B38F4">
        <w:t>N</w:t>
      </w:r>
      <w:r w:rsidR="00AA0EC5">
        <w:t xml:space="preserve">ot </w:t>
      </w:r>
      <w:r w:rsidR="00B46F9C">
        <w:t>a</w:t>
      </w:r>
      <w:r w:rsidR="00AA0EC5">
        <w:t>pplicable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3C11A88" w:rsidR="00621893" w:rsidRPr="00A96255" w:rsidRDefault="007B38F4" w:rsidP="00D24330">
      <w:pPr>
        <w:pStyle w:val="MGTHeader"/>
        <w:rPr>
          <w:color w:val="4A4A4A"/>
        </w:rPr>
      </w:pPr>
      <w:r w:rsidRPr="007B38F4">
        <w:t>United Nations Environment Programme</w:t>
      </w:r>
      <w:r w:rsidR="00661FD3">
        <w:t xml:space="preserv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3A99F61" w:rsidR="00576CFA" w:rsidRDefault="007B38F4" w:rsidP="00576CFA">
      <w:pPr>
        <w:pStyle w:val="MText"/>
      </w:pPr>
      <w:r w:rsidRPr="007B38F4">
        <w:t>United Nations Environment Programme</w:t>
      </w:r>
      <w:r w:rsidR="00661FD3">
        <w:t xml:space="preserv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4B2D58D" w14:textId="77777777" w:rsidR="007B38F4" w:rsidRDefault="007B38F4" w:rsidP="00DB418B">
      <w:pPr>
        <w:pStyle w:val="GHFeaturedlist"/>
        <w:numPr>
          <w:ilvl w:val="0"/>
          <w:numId w:val="0"/>
        </w:numPr>
        <w:tabs>
          <w:tab w:val="left" w:pos="720"/>
        </w:tabs>
        <w:spacing w:after="0" w:line="276" w:lineRule="auto"/>
        <w:rPr>
          <w:rFonts w:asciiTheme="minorHAnsi" w:eastAsia="Times New Roman" w:hAnsiTheme="minorHAnsi"/>
          <w:b/>
          <w:bCs/>
          <w:color w:val="4A4A4A"/>
          <w:sz w:val="21"/>
          <w:szCs w:val="21"/>
          <w:lang w:eastAsia="en-GB"/>
        </w:rPr>
      </w:pPr>
      <w:r>
        <w:rPr>
          <w:rFonts w:asciiTheme="minorHAnsi" w:eastAsia="Times New Roman" w:hAnsiTheme="minorHAnsi"/>
          <w:b/>
          <w:bCs/>
          <w:color w:val="4A4A4A"/>
          <w:sz w:val="21"/>
          <w:szCs w:val="21"/>
          <w:lang w:eastAsia="en-GB"/>
        </w:rPr>
        <w:t xml:space="preserve">Definition: </w:t>
      </w:r>
    </w:p>
    <w:p w14:paraId="5BB745BB" w14:textId="1A6344A5" w:rsidR="007B38F4" w:rsidRDefault="007B38F4" w:rsidP="00A240D5">
      <w:pPr>
        <w:shd w:val="clear" w:color="auto" w:fill="FFFFFF"/>
        <w:spacing w:after="0"/>
        <w:rPr>
          <w:rFonts w:eastAsia="Times New Roman" w:cs="Times New Roman"/>
          <w:color w:val="4A4A4A"/>
          <w:sz w:val="21"/>
          <w:szCs w:val="21"/>
          <w:lang w:eastAsia="en-GB"/>
        </w:rPr>
      </w:pPr>
      <w:proofErr w:type="gramStart"/>
      <w:r>
        <w:rPr>
          <w:rFonts w:eastAsia="Times New Roman" w:cs="Times New Roman"/>
          <w:color w:val="4A4A4A"/>
          <w:sz w:val="21"/>
          <w:szCs w:val="21"/>
          <w:lang w:eastAsia="en-GB"/>
        </w:rPr>
        <w:t>For the purpose of</w:t>
      </w:r>
      <w:proofErr w:type="gramEnd"/>
      <w:r>
        <w:rPr>
          <w:rFonts w:eastAsia="Times New Roman" w:cs="Times New Roman"/>
          <w:color w:val="4A4A4A"/>
          <w:sz w:val="21"/>
          <w:szCs w:val="21"/>
          <w:lang w:eastAsia="en-GB"/>
        </w:rPr>
        <w:t xml:space="preserve"> this methodology ‘policy coherence of sustainable development’ has been interpreted as the coherence between policies in general that cover the dimensions of sustainable development.</w:t>
      </w:r>
      <w:r>
        <w:rPr>
          <w:rFonts w:ascii="Calibri" w:hAnsi="Calibri"/>
          <w:color w:val="595959" w:themeColor="text1" w:themeTint="A6"/>
          <w:sz w:val="21"/>
        </w:rPr>
        <w:t xml:space="preserve"> This indicator </w:t>
      </w:r>
      <w:r>
        <w:rPr>
          <w:rFonts w:eastAsia="Times New Roman" w:cs="Times New Roman"/>
          <w:color w:val="4A4A4A"/>
          <w:sz w:val="21"/>
          <w:szCs w:val="21"/>
          <w:lang w:eastAsia="en-GB"/>
        </w:rPr>
        <w:t>is a composite indicator which covers mechanisms related to</w:t>
      </w:r>
      <w:r w:rsidR="00A240D5">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20FB0A07" w14:textId="77777777" w:rsidR="007B38F4" w:rsidRDefault="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Institutionalization of Political Commitment </w:t>
      </w:r>
      <w:r>
        <w:rPr>
          <w:rFonts w:eastAsia="Times New Roman" w:cs="Times New Roman"/>
          <w:color w:val="4A4A4A"/>
          <w:sz w:val="21"/>
          <w:szCs w:val="21"/>
          <w:lang w:eastAsia="en-GB"/>
        </w:rPr>
        <w:tab/>
      </w:r>
    </w:p>
    <w:p w14:paraId="59BC6204" w14:textId="77777777" w:rsidR="007B38F4" w:rsidRDefault="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Long-term considerations in decision-making</w:t>
      </w:r>
    </w:p>
    <w:p w14:paraId="2B092B7D" w14:textId="77777777" w:rsidR="007B38F4" w:rsidRDefault="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Inter-ministerial and cross-sectoral coordination</w:t>
      </w:r>
      <w:r>
        <w:rPr>
          <w:rFonts w:eastAsia="Times New Roman" w:cs="Times New Roman"/>
          <w:color w:val="4A4A4A"/>
          <w:sz w:val="21"/>
          <w:szCs w:val="21"/>
          <w:lang w:eastAsia="en-GB"/>
        </w:rPr>
        <w:tab/>
      </w:r>
    </w:p>
    <w:p w14:paraId="19D633CD" w14:textId="77777777" w:rsidR="007B38F4" w:rsidRDefault="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Participatory processes</w:t>
      </w:r>
    </w:p>
    <w:p w14:paraId="498E0DB3" w14:textId="77777777" w:rsidR="007B38F4" w:rsidRDefault="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Policy linkages</w:t>
      </w:r>
    </w:p>
    <w:p w14:paraId="69B057C7" w14:textId="77777777" w:rsidR="007B38F4" w:rsidRDefault="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Alignment across government levels</w:t>
      </w:r>
    </w:p>
    <w:p w14:paraId="2D245FA3" w14:textId="77777777" w:rsidR="007B38F4" w:rsidRDefault="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Monitoring and reporting for policy coherence</w:t>
      </w:r>
    </w:p>
    <w:p w14:paraId="6775AABB" w14:textId="77777777" w:rsidR="007B38F4" w:rsidRDefault="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Financing for policy coherence</w:t>
      </w:r>
    </w:p>
    <w:p w14:paraId="2823C2D1" w14:textId="77777777" w:rsidR="007B38F4" w:rsidRDefault="007B38F4" w:rsidP="007B38F4">
      <w:pPr>
        <w:shd w:val="clear" w:color="auto" w:fill="FFFFFF"/>
        <w:spacing w:after="0"/>
        <w:rPr>
          <w:rFonts w:eastAsia="Times New Roman" w:cs="Times New Roman"/>
          <w:b/>
          <w:bCs/>
          <w:color w:val="4A4A4A"/>
          <w:sz w:val="21"/>
          <w:szCs w:val="21"/>
          <w:lang w:eastAsia="en-GB"/>
        </w:rPr>
      </w:pPr>
    </w:p>
    <w:p w14:paraId="710F019E" w14:textId="67924BB7" w:rsidR="007B38F4" w:rsidRPr="007B38F4" w:rsidRDefault="007B38F4" w:rsidP="007B38F4">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Concepts:</w:t>
      </w:r>
    </w:p>
    <w:p w14:paraId="67BE038E" w14:textId="22B61C02" w:rsidR="007B38F4" w:rsidRDefault="007B38F4" w:rsidP="00DB418B">
      <w:pPr>
        <w:shd w:val="clear" w:color="auto" w:fill="FFFFFF"/>
        <w:spacing w:after="0"/>
        <w:jc w:val="both"/>
        <w:rPr>
          <w:rFonts w:eastAsia="Times New Roman" w:cs="Times New Roman"/>
          <w:i/>
          <w:iCs/>
          <w:color w:val="4A4A4A"/>
          <w:sz w:val="21"/>
          <w:szCs w:val="21"/>
          <w:lang w:eastAsia="en-GB"/>
        </w:rPr>
      </w:pPr>
      <w:r>
        <w:rPr>
          <w:rFonts w:eastAsia="Times New Roman" w:cs="Times New Roman"/>
          <w:i/>
          <w:iCs/>
          <w:color w:val="4A4A4A"/>
          <w:sz w:val="21"/>
          <w:szCs w:val="21"/>
          <w:lang w:eastAsia="en-GB"/>
        </w:rPr>
        <w:t>Scope of “Sustainable Development”</w:t>
      </w:r>
      <w:r w:rsidR="00CF0B7F">
        <w:rPr>
          <w:rFonts w:eastAsia="Times New Roman" w:cs="Times New Roman"/>
          <w:i/>
          <w:iCs/>
          <w:color w:val="4A4A4A"/>
          <w:sz w:val="21"/>
          <w:szCs w:val="21"/>
          <w:lang w:eastAsia="en-GB"/>
        </w:rPr>
        <w:t>:</w:t>
      </w:r>
      <w:r>
        <w:rPr>
          <w:rFonts w:eastAsia="Times New Roman" w:cs="Times New Roman"/>
          <w:i/>
          <w:iCs/>
          <w:color w:val="4A4A4A"/>
          <w:sz w:val="21"/>
          <w:szCs w:val="21"/>
          <w:lang w:eastAsia="en-GB"/>
        </w:rPr>
        <w:t xml:space="preserve"> </w:t>
      </w:r>
      <w:r>
        <w:rPr>
          <w:rFonts w:eastAsia="Times New Roman" w:cs="Times New Roman"/>
          <w:color w:val="4A4A4A"/>
          <w:sz w:val="21"/>
          <w:szCs w:val="21"/>
          <w:lang w:eastAsia="en-GB"/>
        </w:rPr>
        <w:t xml:space="preserve">For the purpose of this methodology ‘policy coherence of sustainable development’ has been interpreted as the coherence between policies in general that cover the dimensions of sustainable development, rather than adopting a narrower definition of mechanisms put in place to support the coherent implementation of Agenda 2030 and the </w:t>
      </w:r>
      <w:r w:rsidR="009F3095">
        <w:rPr>
          <w:rFonts w:eastAsia="Times New Roman" w:cs="Times New Roman"/>
          <w:color w:val="4A4A4A"/>
          <w:sz w:val="21"/>
          <w:szCs w:val="21"/>
          <w:lang w:eastAsia="en-GB"/>
        </w:rPr>
        <w:t>Sustainable Development Goals (</w:t>
      </w:r>
      <w:r>
        <w:rPr>
          <w:rFonts w:eastAsia="Times New Roman" w:cs="Times New Roman"/>
          <w:color w:val="4A4A4A"/>
          <w:sz w:val="21"/>
          <w:szCs w:val="21"/>
          <w:lang w:eastAsia="en-GB"/>
        </w:rPr>
        <w:t>SDGs</w:t>
      </w:r>
      <w:r w:rsidR="009F3095">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so as to promote coherent policy for sustainable development well beyond the current agenda’s timeframe. The policy coherence mechanisms set out in this methodology may therefore include mechanisms already in place before the adoption of the 2030 Agenda in 2015, and any mechanisms established during the next decade leading up to 2030 should aim to continue well beyond that timeframe. However, given the role of Agenda 2030 and the individual goals in defining the specific parameters of sustainable development, it is likely that governments will focus, in implementing this methodology, on bringing coherence in their policy approaches to implement the goals. </w:t>
      </w:r>
    </w:p>
    <w:p w14:paraId="7F9B53D8" w14:textId="77777777" w:rsidR="007B38F4" w:rsidRDefault="007B38F4" w:rsidP="00DB418B">
      <w:pPr>
        <w:shd w:val="clear" w:color="auto" w:fill="FFFFFF"/>
        <w:spacing w:after="0"/>
        <w:jc w:val="both"/>
        <w:rPr>
          <w:rFonts w:eastAsia="Times New Roman" w:cs="Times New Roman"/>
          <w:color w:val="4A4A4A"/>
          <w:sz w:val="21"/>
          <w:szCs w:val="21"/>
          <w:lang w:eastAsia="en-GB"/>
        </w:rPr>
      </w:pPr>
    </w:p>
    <w:p w14:paraId="04EC8FF1" w14:textId="0BE5DD5F" w:rsidR="007B38F4" w:rsidRDefault="007B38F4" w:rsidP="00DB418B">
      <w:pPr>
        <w:shd w:val="clear" w:color="auto" w:fill="FFFFFF"/>
        <w:spacing w:after="0"/>
        <w:jc w:val="both"/>
        <w:rPr>
          <w:rFonts w:eastAsia="Times New Roman" w:cs="Times New Roman"/>
          <w:i/>
          <w:iCs/>
          <w:color w:val="4A4A4A"/>
          <w:sz w:val="21"/>
          <w:szCs w:val="21"/>
          <w:lang w:eastAsia="en-GB"/>
        </w:rPr>
      </w:pPr>
      <w:r>
        <w:rPr>
          <w:rFonts w:eastAsia="Times New Roman" w:cs="Times New Roman"/>
          <w:i/>
          <w:iCs/>
          <w:color w:val="4A4A4A"/>
          <w:sz w:val="21"/>
          <w:szCs w:val="21"/>
          <w:lang w:eastAsia="en-GB"/>
        </w:rPr>
        <w:t xml:space="preserve">The concept of Policy Coherence: </w:t>
      </w:r>
      <w:r>
        <w:rPr>
          <w:rFonts w:eastAsia="Times New Roman" w:cs="Times New Roman"/>
          <w:color w:val="4A4A4A"/>
          <w:sz w:val="21"/>
          <w:szCs w:val="21"/>
          <w:lang w:eastAsia="en-GB"/>
        </w:rPr>
        <w:t xml:space="preserve">The textual formulation of the indicator covers “policy coherence”.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make the indicator universally applicable and adaptable to various national contexts, the mechanisms measured by the methodology cover a wide range of mechanisms that, although aiming to achieve the same objective, use slightly different language.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properly assess and report on this indicator</w:t>
      </w:r>
      <w:r w:rsidR="00267269">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similar concepts such as “whole of government approach or “integrated approach” will be interpreted in the same spirit as the concept of “policy coherence”. However, it is important that the used concept considers policies that cover the various dimensions of sustainable development. Hence, a mechanism focusing solely on the concept of policy coherence for development (which is often limited to coherence between Official Development Assistance (ODA) and other policies, in the spirit of the Millennium Development Goals) will not be considered by this framework.  </w:t>
      </w:r>
    </w:p>
    <w:p w14:paraId="007036D6" w14:textId="37D523BE" w:rsidR="007B38F4" w:rsidRPr="00A96255" w:rsidRDefault="007B38F4"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07076B93" w14:textId="78EAC538" w:rsidR="00661FD3" w:rsidRDefault="00661FD3" w:rsidP="00576CFA">
      <w:pPr>
        <w:pStyle w:val="MText"/>
      </w:pPr>
      <w:r>
        <w:t>Percent</w:t>
      </w:r>
      <w:r w:rsidR="00861F8E">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03F96978" w:rsidR="00F719A8" w:rsidRDefault="00684665" w:rsidP="00576CFA">
      <w:pPr>
        <w:pStyle w:val="MText"/>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p>
    <w:p w14:paraId="688B2951" w14:textId="77777777" w:rsidR="00D53EC2" w:rsidRPr="00A96255" w:rsidRDefault="00D53EC2"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1B9BBFA6" w:rsidR="00576CFA" w:rsidRPr="00A96255" w:rsidRDefault="007B38F4" w:rsidP="00576CFA">
      <w:pPr>
        <w:pStyle w:val="MText"/>
      </w:pPr>
      <w:r>
        <w:rPr>
          <w:rFonts w:ascii="Calibri" w:eastAsia="MS PGothic" w:hAnsi="Calibri"/>
          <w:color w:val="595959" w:themeColor="text1" w:themeTint="A6"/>
          <w:szCs w:val="24"/>
          <w:lang w:eastAsia="en-US"/>
        </w:rPr>
        <w:t>Data provided by national governments, including entities responsible for SDG implementation</w:t>
      </w:r>
      <w:r w:rsidR="00AE39BC">
        <w:rPr>
          <w:rFonts w:ascii="Calibri" w:eastAsia="MS PGothic" w:hAnsi="Calibri"/>
          <w:color w:val="595959" w:themeColor="text1" w:themeTint="A6"/>
          <w:szCs w:val="24"/>
          <w:lang w:eastAsia="en-US"/>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49C62B1E" w:rsidR="00576CFA" w:rsidRPr="00A96255" w:rsidRDefault="00EC0C5F" w:rsidP="00DB418B">
      <w:pPr>
        <w:pStyle w:val="MText"/>
        <w:jc w:val="both"/>
      </w:pPr>
      <w:r w:rsidRPr="00EC0C5F">
        <w:t xml:space="preserve"> </w:t>
      </w:r>
      <w:r w:rsidRPr="00EC0C5F">
        <w:rPr>
          <w:rFonts w:ascii="Calibri" w:eastAsia="MS PGothic" w:hAnsi="Calibri"/>
          <w:color w:val="595959" w:themeColor="text1" w:themeTint="A6"/>
          <w:szCs w:val="24"/>
          <w:lang w:eastAsia="en-US"/>
        </w:rPr>
        <w:t xml:space="preserve">National data are collected through the UNEP Questionnaire on </w:t>
      </w:r>
      <w:r w:rsidR="00300B44">
        <w:rPr>
          <w:rFonts w:ascii="Calibri" w:eastAsia="MS PGothic" w:hAnsi="Calibri"/>
          <w:color w:val="595959" w:themeColor="text1" w:themeTint="A6"/>
          <w:szCs w:val="24"/>
          <w:lang w:eastAsia="en-US"/>
        </w:rPr>
        <w:t xml:space="preserve">the </w:t>
      </w:r>
      <w:r w:rsidR="000A2926" w:rsidRPr="000A2926">
        <w:rPr>
          <w:rFonts w:ascii="Calibri" w:eastAsia="MS PGothic" w:hAnsi="Calibri"/>
          <w:color w:val="595959" w:themeColor="text1" w:themeTint="A6"/>
          <w:szCs w:val="24"/>
          <w:lang w:eastAsia="en-US"/>
        </w:rPr>
        <w:t>mechanism in place to enhance policy coherence of sustainable development</w:t>
      </w:r>
      <w:r>
        <w:rPr>
          <w:rFonts w:ascii="Calibri" w:eastAsia="MS PGothic" w:hAnsi="Calibri"/>
          <w:color w:val="595959" w:themeColor="text1" w:themeTint="A6"/>
          <w:szCs w:val="24"/>
          <w:lang w:eastAsia="en-US"/>
        </w:rPr>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12351DAC" w14:textId="39ED9953" w:rsidR="00484D3D" w:rsidRPr="00A96255" w:rsidRDefault="007B38F4" w:rsidP="00576CFA">
      <w:pPr>
        <w:pStyle w:val="MText"/>
      </w:pPr>
      <w:r>
        <w:t>First data collection</w:t>
      </w:r>
      <w:r w:rsidR="000208AC">
        <w:t xml:space="preserve"> </w:t>
      </w:r>
      <w:r>
        <w:t xml:space="preserve">in </w:t>
      </w:r>
      <w:r w:rsidR="000208AC">
        <w:t>2020</w:t>
      </w:r>
      <w:r>
        <w:t xml:space="preserve">.  </w:t>
      </w:r>
      <w:r w:rsidR="00661FD3">
        <w:t>B</w:t>
      </w:r>
      <w:r w:rsidR="00661FD3" w:rsidRPr="00661FD3">
        <w:t>iennially</w:t>
      </w:r>
      <w:r>
        <w:t xml:space="preserve"> thereafter.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5F358FAB" w:rsidR="00576CFA" w:rsidRPr="009F0E44" w:rsidRDefault="007B38F4" w:rsidP="00C02E81">
      <w:pPr>
        <w:pStyle w:val="MText"/>
      </w:pPr>
      <w:r>
        <w:t>First reporting cycle: 2021.</w:t>
      </w:r>
      <w:r w:rsidR="009F0E44">
        <w:t xml:space="preserve"> </w:t>
      </w:r>
      <w:r w:rsidR="00661FD3" w:rsidRPr="009F0E44">
        <w:t>Biennially</w:t>
      </w:r>
      <w:r w:rsidRPr="009F0E44">
        <w:t xml:space="preserve"> thereafter.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4D749BA2" w:rsidR="00576CFA" w:rsidRPr="00A96255" w:rsidRDefault="007B38F4" w:rsidP="00DB418B">
      <w:pPr>
        <w:pStyle w:val="MText"/>
        <w:jc w:val="both"/>
      </w:pPr>
      <w:r>
        <w:t xml:space="preserve">Data </w:t>
      </w:r>
      <w:r w:rsidR="00D5360C">
        <w:t>are</w:t>
      </w:r>
      <w:r>
        <w:t xml:space="preserve"> provided by </w:t>
      </w:r>
      <w:r w:rsidR="00D5360C">
        <w:rPr>
          <w:rFonts w:ascii="Calibri" w:eastAsia="MS PGothic" w:hAnsi="Calibri"/>
          <w:color w:val="595959" w:themeColor="text1" w:themeTint="A6"/>
          <w:szCs w:val="24"/>
          <w:lang w:eastAsia="en-US"/>
        </w:rPr>
        <w:t>national governments, including entities responsible for SDG implementation</w:t>
      </w:r>
      <w:r>
        <w:t>.</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0D838799" w:rsidR="00576CFA" w:rsidRPr="00A96255" w:rsidRDefault="007B38F4" w:rsidP="00576CFA">
      <w:pPr>
        <w:pStyle w:val="MText"/>
      </w:pPr>
      <w:r>
        <w:rPr>
          <w:lang w:val="en-US"/>
        </w:rPr>
        <w:t xml:space="preserve">United Nations Environment </w:t>
      </w:r>
      <w:proofErr w:type="spellStart"/>
      <w:r>
        <w:rPr>
          <w:lang w:val="en-US"/>
        </w:rPr>
        <w:t>Programme</w:t>
      </w:r>
      <w:proofErr w:type="spellEnd"/>
      <w:r w:rsidR="00661FD3">
        <w:rPr>
          <w:lang w:val="en-US"/>
        </w:rPr>
        <w:t xml:space="preserve"> (UNEP)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2BB3DD7" w14:textId="622CC7E8" w:rsidR="00C34CAD" w:rsidRPr="00A96255" w:rsidRDefault="00F9278F" w:rsidP="00DB418B">
      <w:pPr>
        <w:pStyle w:val="MText"/>
        <w:jc w:val="both"/>
      </w:pPr>
      <w:r>
        <w:t xml:space="preserve">The </w:t>
      </w:r>
      <w:r>
        <w:rPr>
          <w:lang w:val="en-US"/>
        </w:rPr>
        <w:t xml:space="preserve">United Nations Environment </w:t>
      </w:r>
      <w:proofErr w:type="spellStart"/>
      <w:r>
        <w:rPr>
          <w:lang w:val="en-US"/>
        </w:rPr>
        <w:t>Programme</w:t>
      </w:r>
      <w:proofErr w:type="spellEnd"/>
      <w:r>
        <w:rPr>
          <w:lang w:val="en-US"/>
        </w:rPr>
        <w:t xml:space="preserve"> (</w:t>
      </w:r>
      <w:r w:rsidR="00C34CAD" w:rsidRPr="009E635C">
        <w:t>UNEP</w:t>
      </w:r>
      <w:r>
        <w:t>)</w:t>
      </w:r>
      <w:r w:rsidR="00C34CAD" w:rsidRPr="009E635C">
        <w:t xml:space="preserve"> </w:t>
      </w:r>
      <w:r w:rsidR="00C34CAD">
        <w:t xml:space="preserve">was mandated as Custodian Agency for indicator 17.14.1 by the </w:t>
      </w:r>
      <w:r w:rsidR="00C34CAD" w:rsidRPr="009E635C">
        <w:t>Inter-agency and Expert Group on SDG Indicators</w:t>
      </w:r>
      <w:r w:rsidR="007C0AF5">
        <w:t xml:space="preserve"> </w:t>
      </w:r>
      <w:r w:rsidR="00FB1C41">
        <w:t xml:space="preserve">and supports </w:t>
      </w:r>
      <w:r w:rsidR="00C34CAD">
        <w:t xml:space="preserve">all work aspect in relation to </w:t>
      </w:r>
      <w:r w:rsidR="00FB1C41">
        <w:t>Policy Coherence for Sustainable Development.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7376858" w14:textId="77777777" w:rsidR="007B38F4" w:rsidRDefault="007B38F4" w:rsidP="00DB418B">
      <w:pPr>
        <w:pStyle w:val="MText"/>
        <w:jc w:val="both"/>
      </w:pPr>
      <w:r>
        <w:t xml:space="preserve">Enhancing policy coherence for sustainable development is important for achieving sustainable development in its three dimensions (economic, social and environmental) in a balanced and integrated manner; for ensuring coherence between policies at various levels of government; and for ensuring that policies in different sectors are mutually supportive and do not work against each other. It is also important in addressing the impacts of domestic policy internationally. </w:t>
      </w:r>
    </w:p>
    <w:p w14:paraId="43AABE7A" w14:textId="77777777" w:rsidR="007B38F4" w:rsidRDefault="007B38F4" w:rsidP="00DB418B">
      <w:pPr>
        <w:pStyle w:val="MText"/>
        <w:jc w:val="both"/>
      </w:pPr>
    </w:p>
    <w:p w14:paraId="0AD7EEA2" w14:textId="3A3931CE" w:rsidR="00576CFA" w:rsidRPr="00A96255" w:rsidRDefault="007B38F4" w:rsidP="00DB418B">
      <w:pPr>
        <w:pStyle w:val="MText"/>
        <w:jc w:val="both"/>
      </w:pPr>
      <w:r>
        <w:t>Policy coherence aims, as a minimum, to identify trade-offs and mitigate negative impacts between policies. At a more ambitious level, it should also aim to foster synergies and produce policies that mutually reinforce each other</w:t>
      </w:r>
      <w:r w:rsidR="002A01EC">
        <w:t xml:space="preserve"> </w:t>
      </w:r>
      <w:r>
        <w:t>and to ensure that policies put in place are implementable and sustainable as they are inclusive of the concerned stakeholders’ perspectives.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733CB43F" w:rsidR="00576CFA" w:rsidRPr="00A96255" w:rsidRDefault="007B38F4" w:rsidP="00DB418B">
      <w:pPr>
        <w:pStyle w:val="MText"/>
        <w:jc w:val="both"/>
      </w:pPr>
      <w:r w:rsidRPr="007B38F4">
        <w:t>There are many mechanisms that could be useful to assess at the national level which would be relevant to enhance policy coherence for sustainable development. This methodology aims to provide a basis for countries to engage in discussions around what policy coherence means at the national level and how it could be improved. Such discussions and strategies to improve policy coherence that may results from it could feed into a country Voluntary National Review (VNR) or National Development Strategy or Plan development, to inform further efforts by the country to improve its ability to implement Agenda 2030 through better policy coherence. This document should be considered a living document which is regularly updated with the country experiences in putting in place and assessing mechanisms for policy coherence. These experiences, and related challenges, lessons learned and solutions, can be shared so that UNEP as custodian agency, with partners, can further refine this methodology and disseminate it not only as a tool to enable effective reporting but also to support national efforts toward policy coherence.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5CBF666B" w14:textId="7A63345D" w:rsidR="007B38F4" w:rsidRDefault="00F9278F" w:rsidP="007A0C07">
      <w:pPr>
        <w:spacing w:after="0"/>
        <w:jc w:val="both"/>
        <w:rPr>
          <w:rFonts w:eastAsia="Times New Roman" w:cs="Times New Roman"/>
          <w:color w:val="4A4A4A"/>
          <w:sz w:val="21"/>
          <w:szCs w:val="21"/>
          <w:lang w:eastAsia="en-GB"/>
        </w:rPr>
      </w:pPr>
      <w:r w:rsidRPr="00DB418B">
        <w:rPr>
          <w:rStyle w:val="MTextChar"/>
          <w:rFonts w:eastAsiaTheme="minorEastAsia"/>
        </w:rPr>
        <w:t>The United Nations Environment Programme (</w:t>
      </w:r>
      <w:r w:rsidR="007B38F4" w:rsidRPr="00DB418B">
        <w:rPr>
          <w:rStyle w:val="MTextChar"/>
          <w:rFonts w:eastAsiaTheme="minorEastAsia"/>
        </w:rPr>
        <w:t>UNEP</w:t>
      </w:r>
      <w:r w:rsidRPr="00DB418B">
        <w:rPr>
          <w:rStyle w:val="MTextChar"/>
          <w:rFonts w:eastAsiaTheme="minorEastAsia"/>
        </w:rPr>
        <w:t>)</w:t>
      </w:r>
      <w:r w:rsidR="007B38F4" w:rsidRPr="00DB418B">
        <w:rPr>
          <w:rStyle w:val="MTextChar"/>
          <w:rFonts w:eastAsiaTheme="minorEastAsia"/>
        </w:rPr>
        <w:t xml:space="preserve"> has</w:t>
      </w:r>
      <w:r w:rsidR="007B38F4">
        <w:rPr>
          <w:rFonts w:eastAsia="Times New Roman" w:cs="Times New Roman"/>
          <w:color w:val="4A4A4A"/>
          <w:sz w:val="21"/>
          <w:szCs w:val="21"/>
          <w:lang w:eastAsia="en-GB"/>
        </w:rPr>
        <w:t xml:space="preserve"> developed a composite indicator framework for SDG 17.14.1 based on initial research on existing work, literature, partners and existing indicators on similar issues. This indicator includes 8 domains. Each </w:t>
      </w:r>
      <w:r w:rsidR="00553EF2">
        <w:rPr>
          <w:rFonts w:eastAsia="Times New Roman" w:cs="Times New Roman"/>
          <w:color w:val="4A4A4A"/>
          <w:sz w:val="21"/>
          <w:szCs w:val="21"/>
          <w:lang w:eastAsia="en-GB"/>
        </w:rPr>
        <w:t xml:space="preserve">domain </w:t>
      </w:r>
      <w:r w:rsidR="007B38F4">
        <w:rPr>
          <w:rFonts w:eastAsia="Times New Roman" w:cs="Times New Roman"/>
          <w:color w:val="4A4A4A"/>
          <w:sz w:val="21"/>
          <w:szCs w:val="21"/>
          <w:lang w:eastAsia="en-GB"/>
        </w:rPr>
        <w:t xml:space="preserve">is scored on </w:t>
      </w:r>
      <w:r w:rsidR="00D10524">
        <w:rPr>
          <w:rFonts w:eastAsia="Times New Roman" w:cs="Times New Roman"/>
          <w:color w:val="4A4A4A"/>
          <w:sz w:val="21"/>
          <w:szCs w:val="21"/>
          <w:lang w:eastAsia="en-GB"/>
        </w:rPr>
        <w:t>a scale from</w:t>
      </w:r>
      <w:r w:rsidR="00723991">
        <w:rPr>
          <w:rFonts w:eastAsia="Times New Roman" w:cs="Times New Roman"/>
          <w:color w:val="4A4A4A"/>
          <w:sz w:val="21"/>
          <w:szCs w:val="21"/>
          <w:lang w:eastAsia="en-GB"/>
        </w:rPr>
        <w:t xml:space="preserve"> </w:t>
      </w:r>
      <w:r w:rsidR="00080A95">
        <w:rPr>
          <w:rFonts w:eastAsia="Times New Roman" w:cs="Times New Roman"/>
          <w:color w:val="4A4A4A"/>
          <w:sz w:val="21"/>
          <w:szCs w:val="21"/>
          <w:lang w:eastAsia="en-GB"/>
        </w:rPr>
        <w:t xml:space="preserve">0 to 10, where 0 means </w:t>
      </w:r>
      <w:r w:rsidR="00F64745">
        <w:rPr>
          <w:rFonts w:eastAsia="Times New Roman" w:cs="Times New Roman"/>
          <w:color w:val="4A4A4A"/>
          <w:sz w:val="21"/>
          <w:szCs w:val="21"/>
          <w:lang w:eastAsia="en-GB"/>
        </w:rPr>
        <w:t>none</w:t>
      </w:r>
      <w:r w:rsidR="009B2394">
        <w:rPr>
          <w:rFonts w:eastAsia="Times New Roman" w:cs="Times New Roman"/>
          <w:color w:val="4A4A4A"/>
          <w:sz w:val="21"/>
          <w:szCs w:val="21"/>
          <w:lang w:eastAsia="en-GB"/>
        </w:rPr>
        <w:t xml:space="preserve"> of </w:t>
      </w:r>
      <w:r w:rsidR="00F64745">
        <w:rPr>
          <w:rFonts w:eastAsia="Times New Roman" w:cs="Times New Roman"/>
          <w:color w:val="4A4A4A"/>
          <w:sz w:val="21"/>
          <w:szCs w:val="21"/>
          <w:lang w:eastAsia="en-GB"/>
        </w:rPr>
        <w:t>the requested</w:t>
      </w:r>
      <w:r w:rsidR="009B2394">
        <w:rPr>
          <w:rFonts w:eastAsia="Times New Roman" w:cs="Times New Roman"/>
          <w:color w:val="4A4A4A"/>
          <w:sz w:val="21"/>
          <w:szCs w:val="21"/>
          <w:lang w:eastAsia="en-GB"/>
        </w:rPr>
        <w:t xml:space="preserve"> mechanism</w:t>
      </w:r>
      <w:r w:rsidR="00F64745">
        <w:rPr>
          <w:rFonts w:eastAsia="Times New Roman" w:cs="Times New Roman"/>
          <w:color w:val="4A4A4A"/>
          <w:sz w:val="21"/>
          <w:szCs w:val="21"/>
          <w:lang w:eastAsia="en-GB"/>
        </w:rPr>
        <w:t>s</w:t>
      </w:r>
      <w:r w:rsidR="009B2394">
        <w:rPr>
          <w:rFonts w:eastAsia="Times New Roman" w:cs="Times New Roman"/>
          <w:color w:val="4A4A4A"/>
          <w:sz w:val="21"/>
          <w:szCs w:val="21"/>
          <w:lang w:eastAsia="en-GB"/>
        </w:rPr>
        <w:t xml:space="preserve"> </w:t>
      </w:r>
      <w:r w:rsidR="00E35A9C">
        <w:rPr>
          <w:rFonts w:eastAsia="Times New Roman" w:cs="Times New Roman"/>
          <w:color w:val="4A4A4A"/>
          <w:sz w:val="21"/>
          <w:szCs w:val="21"/>
          <w:lang w:eastAsia="en-GB"/>
        </w:rPr>
        <w:t>are</w:t>
      </w:r>
      <w:r w:rsidR="009B2394">
        <w:rPr>
          <w:rFonts w:eastAsia="Times New Roman" w:cs="Times New Roman"/>
          <w:color w:val="4A4A4A"/>
          <w:sz w:val="21"/>
          <w:szCs w:val="21"/>
          <w:lang w:eastAsia="en-GB"/>
        </w:rPr>
        <w:t xml:space="preserve"> implemented, </w:t>
      </w:r>
      <w:r w:rsidR="00143A95">
        <w:rPr>
          <w:rFonts w:eastAsia="Times New Roman" w:cs="Times New Roman"/>
          <w:color w:val="4A4A4A"/>
          <w:sz w:val="21"/>
          <w:szCs w:val="21"/>
          <w:lang w:eastAsia="en-GB"/>
        </w:rPr>
        <w:t xml:space="preserve">10 means all </w:t>
      </w:r>
      <w:r w:rsidR="00E35A9C">
        <w:rPr>
          <w:rFonts w:eastAsia="Times New Roman" w:cs="Times New Roman"/>
          <w:color w:val="4A4A4A"/>
          <w:sz w:val="21"/>
          <w:szCs w:val="21"/>
          <w:lang w:eastAsia="en-GB"/>
        </w:rPr>
        <w:t>the requested</w:t>
      </w:r>
      <w:r w:rsidR="00143A95">
        <w:rPr>
          <w:rFonts w:eastAsia="Times New Roman" w:cs="Times New Roman"/>
          <w:color w:val="4A4A4A"/>
          <w:sz w:val="21"/>
          <w:szCs w:val="21"/>
          <w:lang w:eastAsia="en-GB"/>
        </w:rPr>
        <w:t xml:space="preserve"> mechanisms are in place.</w:t>
      </w:r>
      <w:r w:rsidR="00E35A9C">
        <w:rPr>
          <w:rFonts w:eastAsia="Times New Roman" w:cs="Times New Roman"/>
          <w:color w:val="4A4A4A"/>
          <w:sz w:val="21"/>
          <w:szCs w:val="21"/>
          <w:lang w:eastAsia="en-GB"/>
        </w:rPr>
        <w:t xml:space="preserve"> </w:t>
      </w:r>
      <w:r w:rsidR="007B38F4">
        <w:rPr>
          <w:rFonts w:eastAsia="Times New Roman" w:cs="Times New Roman"/>
          <w:color w:val="4A4A4A"/>
          <w:sz w:val="21"/>
          <w:szCs w:val="21"/>
          <w:lang w:eastAsia="en-GB"/>
        </w:rPr>
        <w:t xml:space="preserve">The percentage of points out of the total 80 points is then computed for each country. It is recommended that Governments convene a stakeholder group for self-scoring. The below table </w:t>
      </w:r>
      <w:r w:rsidR="0002602A">
        <w:rPr>
          <w:rFonts w:eastAsia="Times New Roman" w:cs="Times New Roman"/>
          <w:color w:val="4A4A4A"/>
          <w:sz w:val="21"/>
          <w:szCs w:val="21"/>
          <w:lang w:eastAsia="en-GB"/>
        </w:rPr>
        <w:t>is</w:t>
      </w:r>
      <w:r w:rsidR="007B38F4">
        <w:rPr>
          <w:rFonts w:eastAsia="Times New Roman" w:cs="Times New Roman"/>
          <w:color w:val="4A4A4A"/>
          <w:sz w:val="21"/>
          <w:szCs w:val="21"/>
          <w:lang w:eastAsia="en-GB"/>
        </w:rPr>
        <w:t xml:space="preserve"> used for scoring. Full details are in the document “Methodology for SDG-indicator 17.14.1: Mechanisms in place to enhance policy coherence for sustainable development”.</w:t>
      </w:r>
    </w:p>
    <w:p w14:paraId="09B0B6D8" w14:textId="104810EF" w:rsidR="0002602A" w:rsidRDefault="0002602A" w:rsidP="007A0C07">
      <w:pPr>
        <w:spacing w:after="0"/>
        <w:jc w:val="both"/>
        <w:rPr>
          <w:rFonts w:eastAsia="Times New Roman" w:cs="Times New Roman"/>
          <w:color w:val="4A4A4A"/>
          <w:sz w:val="21"/>
          <w:szCs w:val="21"/>
          <w:lang w:eastAsia="en-GB"/>
        </w:rPr>
      </w:pPr>
    </w:p>
    <w:p w14:paraId="37BE562D" w14:textId="707CA2A9" w:rsidR="0002602A" w:rsidRPr="00DB418B" w:rsidRDefault="0002602A" w:rsidP="00DB418B">
      <w:pPr>
        <w:spacing w:after="0"/>
        <w:jc w:val="both"/>
        <w:rPr>
          <w:rFonts w:eastAsia="Times New Roman" w:cs="Times New Roman"/>
          <w:i/>
          <w:iCs/>
          <w:color w:val="4A4A4A"/>
          <w:sz w:val="21"/>
          <w:szCs w:val="21"/>
          <w:lang w:eastAsia="en-GB"/>
        </w:rPr>
      </w:pPr>
      <w:r w:rsidRPr="00DB418B">
        <w:rPr>
          <w:rFonts w:eastAsia="Times New Roman" w:cs="Times New Roman"/>
          <w:i/>
          <w:iCs/>
          <w:color w:val="4A4A4A"/>
          <w:sz w:val="21"/>
          <w:szCs w:val="21"/>
          <w:lang w:eastAsia="en-GB"/>
        </w:rPr>
        <w:t>Table 1: Scoring for mechanisms in place to enhance policy coherence for sustainable development</w:t>
      </w:r>
    </w:p>
    <w:tbl>
      <w:tblPr>
        <w:tblpPr w:leftFromText="180" w:rightFromText="180" w:bottomFromText="200" w:vertAnchor="text" w:horzAnchor="margin" w:tblpY="22"/>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5608"/>
        <w:gridCol w:w="850"/>
        <w:gridCol w:w="992"/>
      </w:tblGrid>
      <w:tr w:rsidR="009F0E44" w:rsidRPr="009B2E67" w14:paraId="7DAE9D81" w14:textId="77777777" w:rsidTr="00DB418B">
        <w:trPr>
          <w:trHeight w:val="77"/>
        </w:trPr>
        <w:tc>
          <w:tcPr>
            <w:tcW w:w="1617" w:type="dxa"/>
            <w:tcBorders>
              <w:top w:val="single" w:sz="4" w:space="0" w:color="auto"/>
              <w:left w:val="single" w:sz="4" w:space="0" w:color="auto"/>
              <w:bottom w:val="single" w:sz="4" w:space="0" w:color="auto"/>
              <w:right w:val="single" w:sz="4" w:space="0" w:color="auto"/>
            </w:tcBorders>
            <w:noWrap/>
            <w:hideMark/>
          </w:tcPr>
          <w:p w14:paraId="0FF473BE" w14:textId="6BF3656D" w:rsidR="009F0E44" w:rsidRPr="00DB418B" w:rsidRDefault="009F0E44" w:rsidP="00DB418B">
            <w:pPr>
              <w:spacing w:after="0"/>
              <w:jc w:val="center"/>
              <w:rPr>
                <w:b/>
                <w:color w:val="000000"/>
                <w:sz w:val="20"/>
              </w:rPr>
            </w:pPr>
            <w:r w:rsidRPr="00DB418B">
              <w:rPr>
                <w:b/>
                <w:color w:val="000000"/>
                <w:sz w:val="20"/>
              </w:rPr>
              <w:t>Theme</w:t>
            </w:r>
          </w:p>
        </w:tc>
        <w:tc>
          <w:tcPr>
            <w:tcW w:w="5608" w:type="dxa"/>
            <w:tcBorders>
              <w:top w:val="single" w:sz="4" w:space="0" w:color="auto"/>
              <w:left w:val="single" w:sz="4" w:space="0" w:color="auto"/>
              <w:bottom w:val="single" w:sz="4" w:space="0" w:color="auto"/>
              <w:right w:val="single" w:sz="4" w:space="0" w:color="auto"/>
            </w:tcBorders>
            <w:hideMark/>
          </w:tcPr>
          <w:p w14:paraId="3008F3A6" w14:textId="77777777" w:rsidR="009F0E44" w:rsidRPr="00DB418B" w:rsidRDefault="009F0E44" w:rsidP="00DB418B">
            <w:pPr>
              <w:spacing w:after="0"/>
              <w:jc w:val="center"/>
              <w:rPr>
                <w:b/>
                <w:color w:val="000000"/>
                <w:sz w:val="20"/>
              </w:rPr>
            </w:pPr>
            <w:r w:rsidRPr="00DB418B">
              <w:rPr>
                <w:b/>
                <w:color w:val="000000"/>
                <w:sz w:val="20"/>
              </w:rPr>
              <w:t>Domain</w:t>
            </w:r>
          </w:p>
        </w:tc>
        <w:tc>
          <w:tcPr>
            <w:tcW w:w="850" w:type="dxa"/>
            <w:tcBorders>
              <w:top w:val="single" w:sz="4" w:space="0" w:color="auto"/>
              <w:left w:val="single" w:sz="4" w:space="0" w:color="auto"/>
              <w:bottom w:val="single" w:sz="4" w:space="0" w:color="auto"/>
              <w:right w:val="single" w:sz="4" w:space="0" w:color="auto"/>
            </w:tcBorders>
            <w:hideMark/>
          </w:tcPr>
          <w:p w14:paraId="627806E9" w14:textId="7386EAC6" w:rsidR="009F0E44" w:rsidRPr="00DB418B" w:rsidRDefault="009F0E44" w:rsidP="008F767C">
            <w:pPr>
              <w:spacing w:after="0"/>
              <w:jc w:val="center"/>
              <w:rPr>
                <w:b/>
                <w:color w:val="000000"/>
                <w:sz w:val="20"/>
              </w:rPr>
            </w:pPr>
            <w:r w:rsidRPr="00DB418B">
              <w:rPr>
                <w:b/>
                <w:color w:val="000000"/>
                <w:sz w:val="20"/>
              </w:rPr>
              <w:t>Points</w:t>
            </w:r>
          </w:p>
        </w:tc>
        <w:tc>
          <w:tcPr>
            <w:tcW w:w="992" w:type="dxa"/>
            <w:tcBorders>
              <w:top w:val="single" w:sz="4" w:space="0" w:color="auto"/>
              <w:left w:val="single" w:sz="4" w:space="0" w:color="auto"/>
              <w:bottom w:val="single" w:sz="4" w:space="0" w:color="auto"/>
              <w:right w:val="single" w:sz="4" w:space="0" w:color="auto"/>
            </w:tcBorders>
            <w:hideMark/>
          </w:tcPr>
          <w:p w14:paraId="31AE1028" w14:textId="68E1AE49" w:rsidR="009F0E44" w:rsidRPr="00DB418B" w:rsidRDefault="008F767C" w:rsidP="008F767C">
            <w:pPr>
              <w:spacing w:after="0"/>
              <w:jc w:val="center"/>
              <w:rPr>
                <w:b/>
                <w:color w:val="000000"/>
                <w:sz w:val="20"/>
              </w:rPr>
            </w:pPr>
            <w:r>
              <w:rPr>
                <w:b/>
                <w:color w:val="000000"/>
                <w:sz w:val="20"/>
              </w:rPr>
              <w:t xml:space="preserve">National </w:t>
            </w:r>
            <w:r w:rsidR="009F0E44" w:rsidRPr="00DB418B">
              <w:rPr>
                <w:b/>
                <w:color w:val="000000"/>
                <w:sz w:val="20"/>
              </w:rPr>
              <w:t>Score</w:t>
            </w:r>
          </w:p>
        </w:tc>
      </w:tr>
      <w:tr w:rsidR="009F0E44" w:rsidRPr="009B2E67" w14:paraId="0CA603BA" w14:textId="77777777" w:rsidTr="00DB418B">
        <w:trPr>
          <w:trHeight w:val="150"/>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2EDD48F0" w14:textId="77777777" w:rsidR="009F0E44" w:rsidRPr="00DB418B" w:rsidRDefault="009F0E44" w:rsidP="009F0E44">
            <w:pPr>
              <w:spacing w:after="0"/>
              <w:rPr>
                <w:i/>
                <w:color w:val="244061" w:themeColor="accent1" w:themeShade="80"/>
                <w:sz w:val="20"/>
              </w:rPr>
            </w:pPr>
            <w:r w:rsidRPr="00DB418B">
              <w:rPr>
                <w:rStyle w:val="Heading4Char"/>
                <w:rFonts w:asciiTheme="minorHAnsi" w:hAnsiTheme="minorHAnsi"/>
                <w:i w:val="0"/>
                <w:color w:val="244061" w:themeColor="accent1" w:themeShade="80"/>
                <w:sz w:val="20"/>
              </w:rPr>
              <w:t>1. Institutionalized political commitment</w:t>
            </w:r>
          </w:p>
        </w:tc>
        <w:tc>
          <w:tcPr>
            <w:tcW w:w="5608" w:type="dxa"/>
            <w:tcBorders>
              <w:top w:val="single" w:sz="4" w:space="0" w:color="auto"/>
              <w:left w:val="single" w:sz="4" w:space="0" w:color="auto"/>
              <w:bottom w:val="single" w:sz="4" w:space="0" w:color="auto"/>
              <w:right w:val="single" w:sz="4" w:space="0" w:color="auto"/>
            </w:tcBorders>
            <w:hideMark/>
          </w:tcPr>
          <w:p w14:paraId="7A43E864" w14:textId="77777777" w:rsidR="009F0E44" w:rsidRPr="00DB418B" w:rsidRDefault="009F0E44" w:rsidP="009F0E44">
            <w:pPr>
              <w:spacing w:after="0"/>
              <w:rPr>
                <w:i/>
                <w:color w:val="244061" w:themeColor="accent1" w:themeShade="80"/>
                <w:sz w:val="20"/>
              </w:rPr>
            </w:pPr>
            <w:r w:rsidRPr="00DB418B">
              <w:rPr>
                <w:rStyle w:val="Heading4Char"/>
                <w:rFonts w:asciiTheme="minorHAnsi" w:hAnsiTheme="minorHAnsi"/>
                <w:i w:val="0"/>
                <w:color w:val="244061" w:themeColor="accent1" w:themeShade="80"/>
                <w:sz w:val="20"/>
              </w:rPr>
              <w:t>Political commitment expressed/endorsed by the highest level</w:t>
            </w:r>
          </w:p>
        </w:tc>
        <w:tc>
          <w:tcPr>
            <w:tcW w:w="850" w:type="dxa"/>
            <w:tcBorders>
              <w:top w:val="single" w:sz="4" w:space="0" w:color="auto"/>
              <w:left w:val="single" w:sz="4" w:space="0" w:color="auto"/>
              <w:bottom w:val="single" w:sz="4" w:space="0" w:color="auto"/>
              <w:right w:val="single" w:sz="4" w:space="0" w:color="auto"/>
            </w:tcBorders>
            <w:hideMark/>
          </w:tcPr>
          <w:p w14:paraId="1A372FEE"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52366AA4"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2E3783CC" w14:textId="77777777" w:rsidTr="00DB418B">
        <w:trPr>
          <w:trHeight w:val="150"/>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57E9AA7F" w14:textId="77777777" w:rsidR="009F0E44" w:rsidRPr="00DB418B" w:rsidRDefault="009F0E44" w:rsidP="009F0E44">
            <w:pPr>
              <w:spacing w:after="0"/>
              <w:rPr>
                <w:i/>
                <w:color w:val="244061" w:themeColor="accent1" w:themeShade="80"/>
                <w:sz w:val="20"/>
              </w:rPr>
            </w:pPr>
          </w:p>
        </w:tc>
        <w:tc>
          <w:tcPr>
            <w:tcW w:w="5608" w:type="dxa"/>
            <w:tcBorders>
              <w:top w:val="single" w:sz="4" w:space="0" w:color="auto"/>
              <w:left w:val="single" w:sz="4" w:space="0" w:color="auto"/>
              <w:bottom w:val="single" w:sz="4" w:space="0" w:color="auto"/>
              <w:right w:val="single" w:sz="4" w:space="0" w:color="auto"/>
            </w:tcBorders>
            <w:hideMark/>
          </w:tcPr>
          <w:p w14:paraId="3A3E9F42"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Additional specific commitments (1 point each, maximum of 5 points): </w:t>
            </w:r>
          </w:p>
          <w:p w14:paraId="0F7067A5"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Set timelines for the achievement of policy coherence objectives;</w:t>
            </w:r>
          </w:p>
          <w:p w14:paraId="6644CF0D"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A dedicated budget;</w:t>
            </w:r>
          </w:p>
          <w:p w14:paraId="78C802B5"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Defined roles and responsibilities;</w:t>
            </w:r>
          </w:p>
          <w:p w14:paraId="2C1CC38E"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Regular reporting mechanism;</w:t>
            </w:r>
          </w:p>
          <w:p w14:paraId="6686E458"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Explicit consideration of international commitments; </w:t>
            </w:r>
          </w:p>
          <w:p w14:paraId="5FF2E1ED" w14:textId="77777777" w:rsidR="009F0E44" w:rsidRPr="00DB418B" w:rsidRDefault="009F0E44" w:rsidP="009F0E44">
            <w:pPr>
              <w:spacing w:after="0"/>
              <w:rPr>
                <w:sz w:val="20"/>
              </w:rPr>
            </w:pPr>
            <w:r w:rsidRPr="00DB418B">
              <w:rPr>
                <w:rStyle w:val="Heading4Char"/>
                <w:rFonts w:asciiTheme="minorHAnsi" w:hAnsiTheme="minorHAnsi"/>
                <w:i w:val="0"/>
                <w:color w:val="244061" w:themeColor="accent1" w:themeShade="80"/>
                <w:sz w:val="20"/>
              </w:rPr>
              <w:t>• Other nationally relevant commitment.</w:t>
            </w:r>
          </w:p>
        </w:tc>
        <w:tc>
          <w:tcPr>
            <w:tcW w:w="850" w:type="dxa"/>
            <w:tcBorders>
              <w:top w:val="single" w:sz="4" w:space="0" w:color="auto"/>
              <w:left w:val="single" w:sz="4" w:space="0" w:color="auto"/>
              <w:bottom w:val="single" w:sz="4" w:space="0" w:color="auto"/>
              <w:right w:val="single" w:sz="4" w:space="0" w:color="auto"/>
            </w:tcBorders>
            <w:hideMark/>
          </w:tcPr>
          <w:p w14:paraId="03D238C3"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32D84764"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1ADB4A7E" w14:textId="77777777" w:rsidTr="00DB418B">
        <w:trPr>
          <w:trHeight w:val="156"/>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22C7F2FE" w14:textId="77777777" w:rsidR="009F0E44" w:rsidRPr="00DB418B" w:rsidRDefault="009F0E44" w:rsidP="009F0E44">
            <w:pPr>
              <w:spacing w:after="0"/>
              <w:rPr>
                <w:sz w:val="20"/>
              </w:rPr>
            </w:pPr>
            <w:r w:rsidRPr="00DB418B">
              <w:rPr>
                <w:color w:val="244061" w:themeColor="accent1" w:themeShade="80"/>
                <w:sz w:val="20"/>
              </w:rPr>
              <w:t>2</w:t>
            </w:r>
            <w:r w:rsidRPr="00DB418B">
              <w:rPr>
                <w:sz w:val="20"/>
              </w:rPr>
              <w:t xml:space="preserve">. </w:t>
            </w:r>
            <w:r w:rsidRPr="00DB418B">
              <w:rPr>
                <w:color w:val="244061" w:themeColor="accent1" w:themeShade="80"/>
                <w:sz w:val="20"/>
              </w:rPr>
              <w:t xml:space="preserve">Long-term considerations </w:t>
            </w:r>
          </w:p>
        </w:tc>
        <w:tc>
          <w:tcPr>
            <w:tcW w:w="5608" w:type="dxa"/>
            <w:tcBorders>
              <w:top w:val="single" w:sz="4" w:space="0" w:color="auto"/>
              <w:left w:val="single" w:sz="4" w:space="0" w:color="auto"/>
              <w:bottom w:val="single" w:sz="4" w:space="0" w:color="auto"/>
              <w:right w:val="single" w:sz="4" w:space="0" w:color="auto"/>
            </w:tcBorders>
            <w:hideMark/>
          </w:tcPr>
          <w:p w14:paraId="6BC1B17E" w14:textId="77777777" w:rsidR="009F0E44" w:rsidRPr="00DB418B" w:rsidRDefault="009F0E44" w:rsidP="009F0E44">
            <w:pPr>
              <w:spacing w:after="0"/>
              <w:rPr>
                <w:color w:val="244061" w:themeColor="accent1" w:themeShade="80"/>
                <w:sz w:val="20"/>
              </w:rPr>
            </w:pPr>
            <w:r w:rsidRPr="00DB418B">
              <w:rPr>
                <w:rStyle w:val="Heading4Char"/>
                <w:rFonts w:asciiTheme="minorHAnsi" w:hAnsiTheme="minorHAnsi"/>
                <w:i w:val="0"/>
                <w:color w:val="244061" w:themeColor="accent1" w:themeShade="80"/>
                <w:sz w:val="20"/>
              </w:rPr>
              <w:t>Long-term objectives going beyond the current electoral cycle included in national strategies</w:t>
            </w:r>
          </w:p>
        </w:tc>
        <w:tc>
          <w:tcPr>
            <w:tcW w:w="850" w:type="dxa"/>
            <w:tcBorders>
              <w:top w:val="single" w:sz="4" w:space="0" w:color="auto"/>
              <w:left w:val="single" w:sz="4" w:space="0" w:color="auto"/>
              <w:bottom w:val="single" w:sz="4" w:space="0" w:color="auto"/>
              <w:right w:val="single" w:sz="4" w:space="0" w:color="auto"/>
            </w:tcBorders>
            <w:hideMark/>
          </w:tcPr>
          <w:p w14:paraId="00C329F6"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5A2D6728"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68A4A653" w14:textId="77777777" w:rsidTr="00DB418B">
        <w:trPr>
          <w:trHeight w:val="156"/>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69C5845C" w14:textId="77777777" w:rsidR="009F0E44" w:rsidRPr="00DB418B" w:rsidRDefault="009F0E44" w:rsidP="009F0E44">
            <w:pPr>
              <w:spacing w:after="0"/>
              <w:rPr>
                <w:sz w:val="20"/>
              </w:rPr>
            </w:pPr>
          </w:p>
        </w:tc>
        <w:tc>
          <w:tcPr>
            <w:tcW w:w="5608" w:type="dxa"/>
            <w:tcBorders>
              <w:top w:val="single" w:sz="4" w:space="0" w:color="auto"/>
              <w:left w:val="single" w:sz="4" w:space="0" w:color="auto"/>
              <w:bottom w:val="single" w:sz="4" w:space="0" w:color="auto"/>
              <w:right w:val="single" w:sz="4" w:space="0" w:color="auto"/>
            </w:tcBorders>
            <w:hideMark/>
          </w:tcPr>
          <w:p w14:paraId="5973AD4A"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Additional specific mechanisms (1 point each, maximum of 5 points): </w:t>
            </w:r>
          </w:p>
          <w:p w14:paraId="45CBD0FD"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A commissioner, council or ombudsperson for future generations; </w:t>
            </w:r>
          </w:p>
          <w:p w14:paraId="371D6356"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Other mechanisms of scrutiny or oversight on possible future effects; </w:t>
            </w:r>
          </w:p>
          <w:p w14:paraId="7D78A385"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Mechanisms for regular appraisal of policies; </w:t>
            </w:r>
          </w:p>
          <w:p w14:paraId="182617E2"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Impact assessment mechanisms; and </w:t>
            </w:r>
          </w:p>
          <w:p w14:paraId="086F089B" w14:textId="77777777" w:rsidR="009F0E44" w:rsidRPr="00DB418B" w:rsidRDefault="009F0E44" w:rsidP="009F0E44">
            <w:pPr>
              <w:spacing w:after="0"/>
              <w:rPr>
                <w:sz w:val="20"/>
              </w:rPr>
            </w:pPr>
            <w:r w:rsidRPr="00DB418B">
              <w:rPr>
                <w:rStyle w:val="Heading4Char"/>
                <w:rFonts w:asciiTheme="minorHAnsi" w:hAnsiTheme="minorHAnsi"/>
                <w:i w:val="0"/>
                <w:color w:val="244061" w:themeColor="accent1" w:themeShade="80"/>
                <w:sz w:val="20"/>
              </w:rPr>
              <w:t>• Other nationally relevant factors.</w:t>
            </w:r>
          </w:p>
        </w:tc>
        <w:tc>
          <w:tcPr>
            <w:tcW w:w="850" w:type="dxa"/>
            <w:tcBorders>
              <w:top w:val="single" w:sz="4" w:space="0" w:color="auto"/>
              <w:left w:val="single" w:sz="4" w:space="0" w:color="auto"/>
              <w:bottom w:val="single" w:sz="4" w:space="0" w:color="auto"/>
              <w:right w:val="single" w:sz="4" w:space="0" w:color="auto"/>
            </w:tcBorders>
            <w:hideMark/>
          </w:tcPr>
          <w:p w14:paraId="26A9CB12"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5AE0442F"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169625E5" w14:textId="77777777" w:rsidTr="00DB418B">
        <w:trPr>
          <w:trHeight w:val="77"/>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0F8DA389"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3. Inter-ministerial and cross-sectoral coordination</w:t>
            </w:r>
          </w:p>
        </w:tc>
        <w:tc>
          <w:tcPr>
            <w:tcW w:w="5608" w:type="dxa"/>
            <w:tcBorders>
              <w:top w:val="single" w:sz="4" w:space="0" w:color="auto"/>
              <w:left w:val="single" w:sz="4" w:space="0" w:color="auto"/>
              <w:bottom w:val="single" w:sz="4" w:space="0" w:color="auto"/>
              <w:right w:val="single" w:sz="4" w:space="0" w:color="auto"/>
            </w:tcBorders>
            <w:hideMark/>
          </w:tcPr>
          <w:p w14:paraId="47C76907" w14:textId="77777777" w:rsidR="009F0E44" w:rsidRPr="00DB418B" w:rsidRDefault="009F0E44" w:rsidP="009F0E44">
            <w:pPr>
              <w:spacing w:after="0"/>
              <w:rPr>
                <w:sz w:val="20"/>
              </w:rPr>
            </w:pPr>
            <w:r w:rsidRPr="00DB418B">
              <w:rPr>
                <w:rStyle w:val="Heading4Char"/>
                <w:rFonts w:asciiTheme="minorHAnsi" w:hAnsiTheme="minorHAnsi"/>
                <w:i w:val="0"/>
                <w:color w:val="244061" w:themeColor="accent1" w:themeShade="80"/>
                <w:sz w:val="20"/>
              </w:rPr>
              <w:t xml:space="preserve">National mechanism for regular coordination </w:t>
            </w:r>
          </w:p>
        </w:tc>
        <w:tc>
          <w:tcPr>
            <w:tcW w:w="850" w:type="dxa"/>
            <w:tcBorders>
              <w:top w:val="single" w:sz="4" w:space="0" w:color="auto"/>
              <w:left w:val="single" w:sz="4" w:space="0" w:color="auto"/>
              <w:bottom w:val="single" w:sz="4" w:space="0" w:color="auto"/>
              <w:right w:val="single" w:sz="4" w:space="0" w:color="auto"/>
            </w:tcBorders>
            <w:hideMark/>
          </w:tcPr>
          <w:p w14:paraId="48151C77"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6CF1E2C9"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70CA40DA" w14:textId="77777777" w:rsidTr="00DB418B">
        <w:trPr>
          <w:trHeight w:val="282"/>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193872D3" w14:textId="77777777" w:rsidR="009F0E44" w:rsidRPr="00DB418B" w:rsidRDefault="009F0E44" w:rsidP="009F0E44">
            <w:pPr>
              <w:spacing w:after="0"/>
              <w:rPr>
                <w:rStyle w:val="Heading4Char"/>
                <w:rFonts w:asciiTheme="minorHAnsi" w:hAnsiTheme="minorHAnsi"/>
                <w:color w:val="244061" w:themeColor="accent1" w:themeShade="80"/>
                <w:sz w:val="20"/>
              </w:rPr>
            </w:pPr>
          </w:p>
        </w:tc>
        <w:tc>
          <w:tcPr>
            <w:tcW w:w="5608" w:type="dxa"/>
            <w:tcBorders>
              <w:top w:val="single" w:sz="4" w:space="0" w:color="auto"/>
              <w:left w:val="single" w:sz="4" w:space="0" w:color="auto"/>
              <w:bottom w:val="single" w:sz="4" w:space="0" w:color="auto"/>
              <w:right w:val="single" w:sz="4" w:space="0" w:color="auto"/>
            </w:tcBorders>
            <w:hideMark/>
          </w:tcPr>
          <w:p w14:paraId="2599B7B6" w14:textId="4ADCD902"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Additional elements</w:t>
            </w:r>
            <w:r w:rsidR="001D2999">
              <w:t xml:space="preserve"> </w:t>
            </w:r>
            <w:r w:rsidR="001D2999" w:rsidRPr="001D2999">
              <w:rPr>
                <w:rStyle w:val="Heading4Char"/>
                <w:rFonts w:asciiTheme="minorHAnsi" w:hAnsiTheme="minorHAnsi"/>
                <w:i w:val="0"/>
                <w:color w:val="244061" w:themeColor="accent1" w:themeShade="80"/>
                <w:sz w:val="20"/>
              </w:rPr>
              <w:t>(maximum of 5 points)</w:t>
            </w:r>
            <w:r w:rsidRPr="00DB418B">
              <w:rPr>
                <w:rStyle w:val="Heading4Char"/>
                <w:rFonts w:asciiTheme="minorHAnsi" w:hAnsiTheme="minorHAnsi"/>
                <w:i w:val="0"/>
                <w:color w:val="244061" w:themeColor="accent1" w:themeShade="80"/>
                <w:sz w:val="20"/>
              </w:rPr>
              <w:t xml:space="preserve">: </w:t>
            </w:r>
          </w:p>
          <w:p w14:paraId="1529774B"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A mandate to make decisions regarding trade-offs (2 points);</w:t>
            </w:r>
          </w:p>
          <w:p w14:paraId="72D2383B"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Coordination body is convened by a centralized government body (1 point);</w:t>
            </w:r>
          </w:p>
          <w:p w14:paraId="05C43449"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Coordination at both political level and technical level (1 point);</w:t>
            </w:r>
          </w:p>
          <w:p w14:paraId="5146A7F9" w14:textId="77777777" w:rsidR="001D2999"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Mandate for aligning internal and external policies (1 point)</w:t>
            </w:r>
            <w:r w:rsidR="001D2999">
              <w:rPr>
                <w:rStyle w:val="Heading4Char"/>
                <w:rFonts w:asciiTheme="minorHAnsi" w:hAnsiTheme="minorHAnsi"/>
                <w:i w:val="0"/>
                <w:color w:val="244061" w:themeColor="accent1" w:themeShade="80"/>
                <w:sz w:val="20"/>
              </w:rPr>
              <w:t>;</w:t>
            </w:r>
          </w:p>
          <w:p w14:paraId="531689F1" w14:textId="157DFA12" w:rsidR="009F0E44" w:rsidRPr="00DB418B" w:rsidRDefault="008C4332" w:rsidP="009F0E44">
            <w:pPr>
              <w:spacing w:after="0"/>
              <w:rPr>
                <w:rStyle w:val="Heading4Char"/>
                <w:rFonts w:asciiTheme="minorHAnsi" w:hAnsiTheme="minorHAnsi"/>
                <w:i w:val="0"/>
                <w:color w:val="244061" w:themeColor="accent1" w:themeShade="80"/>
                <w:sz w:val="20"/>
              </w:rPr>
            </w:pPr>
            <w:r w:rsidRPr="008C4332">
              <w:rPr>
                <w:rStyle w:val="Heading4Char"/>
                <w:rFonts w:asciiTheme="minorHAnsi" w:hAnsiTheme="minorHAnsi"/>
                <w:i w:val="0"/>
                <w:color w:val="244061" w:themeColor="accent1" w:themeShade="80"/>
                <w:sz w:val="20"/>
              </w:rPr>
              <w:t>• Other nationally relevant mechanism (1 point).</w:t>
            </w:r>
          </w:p>
        </w:tc>
        <w:tc>
          <w:tcPr>
            <w:tcW w:w="850" w:type="dxa"/>
            <w:tcBorders>
              <w:top w:val="single" w:sz="4" w:space="0" w:color="auto"/>
              <w:left w:val="single" w:sz="4" w:space="0" w:color="auto"/>
              <w:bottom w:val="single" w:sz="4" w:space="0" w:color="auto"/>
              <w:right w:val="single" w:sz="4" w:space="0" w:color="auto"/>
            </w:tcBorders>
            <w:hideMark/>
          </w:tcPr>
          <w:p w14:paraId="22B6CFF3"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5A54583F"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57581AD1" w14:textId="77777777" w:rsidTr="00DB418B">
        <w:trPr>
          <w:trHeight w:val="156"/>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1A26CE7A" w14:textId="77777777" w:rsidR="009F0E44" w:rsidRPr="00DB418B" w:rsidRDefault="009F0E44" w:rsidP="009F0E44">
            <w:pPr>
              <w:spacing w:after="0"/>
              <w:ind w:right="400"/>
              <w:rPr>
                <w:sz w:val="20"/>
              </w:rPr>
            </w:pPr>
            <w:r w:rsidRPr="00DB418B">
              <w:rPr>
                <w:color w:val="244061" w:themeColor="accent1" w:themeShade="80"/>
                <w:sz w:val="20"/>
              </w:rPr>
              <w:t>4</w:t>
            </w:r>
            <w:r w:rsidRPr="00DB418B">
              <w:rPr>
                <w:sz w:val="20"/>
              </w:rPr>
              <w:t xml:space="preserve">. </w:t>
            </w:r>
            <w:r w:rsidRPr="00DB418B">
              <w:rPr>
                <w:color w:val="244061" w:themeColor="accent1" w:themeShade="80"/>
                <w:sz w:val="20"/>
              </w:rPr>
              <w:t>Participatory processes</w:t>
            </w:r>
          </w:p>
        </w:tc>
        <w:tc>
          <w:tcPr>
            <w:tcW w:w="5608" w:type="dxa"/>
            <w:tcBorders>
              <w:top w:val="single" w:sz="4" w:space="0" w:color="auto"/>
              <w:left w:val="single" w:sz="4" w:space="0" w:color="auto"/>
              <w:bottom w:val="single" w:sz="4" w:space="0" w:color="auto"/>
              <w:right w:val="single" w:sz="4" w:space="0" w:color="auto"/>
            </w:tcBorders>
            <w:hideMark/>
          </w:tcPr>
          <w:p w14:paraId="5DCBEBB8" w14:textId="77777777" w:rsidR="009F0E44" w:rsidRPr="00DB418B" w:rsidRDefault="009F0E44" w:rsidP="009F0E44">
            <w:pPr>
              <w:spacing w:after="0"/>
              <w:rPr>
                <w:color w:val="244061" w:themeColor="accent1" w:themeShade="80"/>
                <w:sz w:val="20"/>
              </w:rPr>
            </w:pPr>
            <w:r w:rsidRPr="00DB418B">
              <w:rPr>
                <w:rStyle w:val="Heading4Char"/>
                <w:rFonts w:asciiTheme="minorHAnsi" w:hAnsiTheme="minorHAnsi"/>
                <w:i w:val="0"/>
                <w:color w:val="244061" w:themeColor="accent1" w:themeShade="80"/>
                <w:sz w:val="20"/>
              </w:rPr>
              <w:t>Relevant stakeholders are consulted at the early stages of development of laws, policies, plans, etc.</w:t>
            </w:r>
          </w:p>
        </w:tc>
        <w:tc>
          <w:tcPr>
            <w:tcW w:w="850" w:type="dxa"/>
            <w:tcBorders>
              <w:top w:val="single" w:sz="4" w:space="0" w:color="auto"/>
              <w:left w:val="single" w:sz="4" w:space="0" w:color="auto"/>
              <w:bottom w:val="single" w:sz="4" w:space="0" w:color="auto"/>
              <w:right w:val="single" w:sz="4" w:space="0" w:color="auto"/>
            </w:tcBorders>
            <w:hideMark/>
          </w:tcPr>
          <w:p w14:paraId="731EE408"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031F0038"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4EF346D3" w14:textId="77777777" w:rsidTr="00DB418B">
        <w:trPr>
          <w:trHeight w:val="156"/>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6A099FCA" w14:textId="77777777" w:rsidR="009F0E44" w:rsidRPr="00DB418B" w:rsidRDefault="009F0E44" w:rsidP="009F0E44">
            <w:pPr>
              <w:spacing w:after="0"/>
              <w:rPr>
                <w:sz w:val="20"/>
              </w:rPr>
            </w:pPr>
          </w:p>
        </w:tc>
        <w:tc>
          <w:tcPr>
            <w:tcW w:w="5608" w:type="dxa"/>
            <w:tcBorders>
              <w:top w:val="single" w:sz="4" w:space="0" w:color="auto"/>
              <w:left w:val="single" w:sz="4" w:space="0" w:color="auto"/>
              <w:bottom w:val="single" w:sz="4" w:space="0" w:color="auto"/>
              <w:right w:val="single" w:sz="4" w:space="0" w:color="auto"/>
            </w:tcBorders>
            <w:hideMark/>
          </w:tcPr>
          <w:p w14:paraId="0E43ED64"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Additional elements (scored as follows): </w:t>
            </w:r>
          </w:p>
          <w:p w14:paraId="5EF6C31C"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Consultations take place in a comprehensive manner at various stages of the policy cycle (1 point);</w:t>
            </w:r>
          </w:p>
          <w:p w14:paraId="3BA7E256"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lastRenderedPageBreak/>
              <w:t>• Institutions disclose the rationale for not including inputs from consultations (2 points);</w:t>
            </w:r>
          </w:p>
          <w:p w14:paraId="32A2DCED"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An accountability mechanism that allows public intervention (2 points).</w:t>
            </w:r>
          </w:p>
        </w:tc>
        <w:tc>
          <w:tcPr>
            <w:tcW w:w="850" w:type="dxa"/>
            <w:tcBorders>
              <w:top w:val="single" w:sz="4" w:space="0" w:color="auto"/>
              <w:left w:val="single" w:sz="4" w:space="0" w:color="auto"/>
              <w:bottom w:val="single" w:sz="4" w:space="0" w:color="auto"/>
              <w:right w:val="single" w:sz="4" w:space="0" w:color="auto"/>
            </w:tcBorders>
            <w:hideMark/>
          </w:tcPr>
          <w:p w14:paraId="2D024837"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lastRenderedPageBreak/>
              <w:t>5</w:t>
            </w:r>
          </w:p>
        </w:tc>
        <w:tc>
          <w:tcPr>
            <w:tcW w:w="992" w:type="dxa"/>
            <w:tcBorders>
              <w:top w:val="single" w:sz="4" w:space="0" w:color="auto"/>
              <w:left w:val="single" w:sz="4" w:space="0" w:color="auto"/>
              <w:bottom w:val="single" w:sz="4" w:space="0" w:color="auto"/>
              <w:right w:val="single" w:sz="4" w:space="0" w:color="auto"/>
            </w:tcBorders>
          </w:tcPr>
          <w:p w14:paraId="4B9930D5"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3EF51F03" w14:textId="77777777" w:rsidTr="00DB418B">
        <w:trPr>
          <w:trHeight w:val="221"/>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65F0F89F" w14:textId="77777777" w:rsidR="009F0E44" w:rsidRPr="00DB418B" w:rsidRDefault="009F0E44" w:rsidP="009F0E44">
            <w:pPr>
              <w:spacing w:after="0"/>
              <w:rPr>
                <w:sz w:val="20"/>
              </w:rPr>
            </w:pPr>
            <w:r w:rsidRPr="00DB418B">
              <w:rPr>
                <w:color w:val="244061" w:themeColor="accent1" w:themeShade="80"/>
                <w:sz w:val="20"/>
              </w:rPr>
              <w:t>5</w:t>
            </w:r>
            <w:r w:rsidRPr="00DB418B">
              <w:rPr>
                <w:sz w:val="20"/>
              </w:rPr>
              <w:t xml:space="preserve">. </w:t>
            </w:r>
            <w:r w:rsidRPr="00DB418B">
              <w:rPr>
                <w:color w:val="244061" w:themeColor="accent1" w:themeShade="80"/>
                <w:sz w:val="20"/>
              </w:rPr>
              <w:t>Integration of the three dimensions of Sustainable Development, assessment of policy effects and linkages</w:t>
            </w:r>
          </w:p>
        </w:tc>
        <w:tc>
          <w:tcPr>
            <w:tcW w:w="5608" w:type="dxa"/>
            <w:tcBorders>
              <w:top w:val="single" w:sz="4" w:space="0" w:color="auto"/>
              <w:left w:val="single" w:sz="4" w:space="0" w:color="auto"/>
              <w:bottom w:val="single" w:sz="4" w:space="0" w:color="auto"/>
              <w:right w:val="single" w:sz="4" w:space="0" w:color="auto"/>
            </w:tcBorders>
            <w:hideMark/>
          </w:tcPr>
          <w:p w14:paraId="66B6A558" w14:textId="6D4D1C1D" w:rsidR="009F0E44" w:rsidRPr="00DB418B" w:rsidRDefault="009F0E44" w:rsidP="009F0E44">
            <w:pPr>
              <w:spacing w:after="0"/>
              <w:rPr>
                <w:sz w:val="20"/>
              </w:rPr>
            </w:pPr>
            <w:r w:rsidRPr="00DB418B">
              <w:rPr>
                <w:rStyle w:val="Heading4Char"/>
                <w:rFonts w:asciiTheme="minorHAnsi" w:hAnsiTheme="minorHAnsi"/>
                <w:i w:val="0"/>
                <w:color w:val="244061" w:themeColor="accent1" w:themeShade="80"/>
                <w:sz w:val="20"/>
              </w:rPr>
              <w:t xml:space="preserve">A mechanism for assessing and addressing issues in terms of the contribution of a policy (new or existing) to broader sustainable development, including transboundary elements. </w:t>
            </w:r>
          </w:p>
        </w:tc>
        <w:tc>
          <w:tcPr>
            <w:tcW w:w="850" w:type="dxa"/>
            <w:tcBorders>
              <w:top w:val="single" w:sz="4" w:space="0" w:color="auto"/>
              <w:left w:val="single" w:sz="4" w:space="0" w:color="auto"/>
              <w:bottom w:val="single" w:sz="4" w:space="0" w:color="auto"/>
              <w:right w:val="single" w:sz="4" w:space="0" w:color="auto"/>
            </w:tcBorders>
            <w:hideMark/>
          </w:tcPr>
          <w:p w14:paraId="07F1FD22"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6988C4DC"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3647EA61" w14:textId="77777777" w:rsidTr="00DB418B">
        <w:trPr>
          <w:trHeight w:val="1607"/>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5CB38FED" w14:textId="77777777" w:rsidR="009F0E44" w:rsidRPr="00DB418B" w:rsidRDefault="009F0E44" w:rsidP="009F0E44">
            <w:pPr>
              <w:spacing w:after="0"/>
              <w:rPr>
                <w:sz w:val="20"/>
              </w:rPr>
            </w:pPr>
          </w:p>
        </w:tc>
        <w:tc>
          <w:tcPr>
            <w:tcW w:w="5608" w:type="dxa"/>
            <w:tcBorders>
              <w:top w:val="single" w:sz="4" w:space="0" w:color="auto"/>
              <w:left w:val="single" w:sz="4" w:space="0" w:color="auto"/>
              <w:bottom w:val="single" w:sz="4" w:space="0" w:color="auto"/>
              <w:right w:val="single" w:sz="4" w:space="0" w:color="auto"/>
            </w:tcBorders>
            <w:hideMark/>
          </w:tcPr>
          <w:p w14:paraId="6FA56F21"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Additional mechanisms (1 point each, maximum of 5 points): </w:t>
            </w:r>
          </w:p>
          <w:p w14:paraId="38A544BE"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The application of the above mechanisms at all levels of government;</w:t>
            </w:r>
          </w:p>
          <w:p w14:paraId="374AFB53"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An indicator framework for tracking policy effectiveness towards sustainable development; </w:t>
            </w:r>
          </w:p>
          <w:p w14:paraId="529871DF"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Cost-benefit analysis of policy impacts across all sectors;</w:t>
            </w:r>
          </w:p>
          <w:p w14:paraId="3D55663B"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The identification of measures to mitigate potentially negative effects and to optimize synergies as part of policy and planning;</w:t>
            </w:r>
          </w:p>
          <w:p w14:paraId="103FC6B2"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The consideration of international </w:t>
            </w:r>
            <w:proofErr w:type="gramStart"/>
            <w:r w:rsidRPr="00DB418B">
              <w:rPr>
                <w:rStyle w:val="Heading4Char"/>
                <w:rFonts w:asciiTheme="minorHAnsi" w:hAnsiTheme="minorHAnsi"/>
                <w:i w:val="0"/>
                <w:color w:val="244061" w:themeColor="accent1" w:themeShade="80"/>
                <w:sz w:val="20"/>
              </w:rPr>
              <w:t>spill-overs</w:t>
            </w:r>
            <w:proofErr w:type="gramEnd"/>
            <w:r w:rsidRPr="00DB418B">
              <w:rPr>
                <w:rStyle w:val="Heading4Char"/>
                <w:rFonts w:asciiTheme="minorHAnsi" w:hAnsiTheme="minorHAnsi"/>
                <w:i w:val="0"/>
                <w:color w:val="244061" w:themeColor="accent1" w:themeShade="80"/>
                <w:sz w:val="20"/>
              </w:rPr>
              <w:t xml:space="preserve">, such as cross-border and international impacts; and </w:t>
            </w:r>
          </w:p>
          <w:p w14:paraId="79B6454C"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Other nationally relevant mechanisms.</w:t>
            </w:r>
          </w:p>
        </w:tc>
        <w:tc>
          <w:tcPr>
            <w:tcW w:w="850" w:type="dxa"/>
            <w:tcBorders>
              <w:top w:val="single" w:sz="4" w:space="0" w:color="auto"/>
              <w:left w:val="single" w:sz="4" w:space="0" w:color="auto"/>
              <w:bottom w:val="single" w:sz="4" w:space="0" w:color="auto"/>
              <w:right w:val="single" w:sz="4" w:space="0" w:color="auto"/>
            </w:tcBorders>
            <w:hideMark/>
          </w:tcPr>
          <w:p w14:paraId="608D5C02"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2A0FAC0B"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18A58F1E" w14:textId="77777777" w:rsidTr="00DB418B">
        <w:trPr>
          <w:trHeight w:val="513"/>
        </w:trPr>
        <w:tc>
          <w:tcPr>
            <w:tcW w:w="1617" w:type="dxa"/>
            <w:tcBorders>
              <w:top w:val="single" w:sz="4" w:space="0" w:color="auto"/>
              <w:left w:val="single" w:sz="4" w:space="0" w:color="auto"/>
              <w:bottom w:val="single" w:sz="4" w:space="0" w:color="auto"/>
              <w:right w:val="single" w:sz="4" w:space="0" w:color="auto"/>
            </w:tcBorders>
            <w:noWrap/>
            <w:vAlign w:val="center"/>
            <w:hideMark/>
          </w:tcPr>
          <w:p w14:paraId="7FF7508B" w14:textId="77777777" w:rsidR="009F0E44" w:rsidRPr="00DB418B" w:rsidRDefault="009F0E44" w:rsidP="009F0E44">
            <w:pPr>
              <w:spacing w:after="0"/>
              <w:rPr>
                <w:sz w:val="20"/>
              </w:rPr>
            </w:pPr>
            <w:r w:rsidRPr="00DB418B">
              <w:rPr>
                <w:color w:val="244061" w:themeColor="accent1" w:themeShade="80"/>
                <w:sz w:val="20"/>
              </w:rPr>
              <w:t>6</w:t>
            </w:r>
            <w:r w:rsidRPr="00DB418B">
              <w:rPr>
                <w:sz w:val="20"/>
              </w:rPr>
              <w:t xml:space="preserve">. </w:t>
            </w:r>
            <w:r w:rsidRPr="00DB418B">
              <w:rPr>
                <w:color w:val="244061" w:themeColor="accent1" w:themeShade="80"/>
                <w:sz w:val="20"/>
              </w:rPr>
              <w:t>Consultation and coordination across government levels</w:t>
            </w:r>
          </w:p>
        </w:tc>
        <w:tc>
          <w:tcPr>
            <w:tcW w:w="5608" w:type="dxa"/>
            <w:tcBorders>
              <w:top w:val="single" w:sz="4" w:space="0" w:color="auto"/>
              <w:left w:val="single" w:sz="4" w:space="0" w:color="auto"/>
              <w:bottom w:val="single" w:sz="4" w:space="0" w:color="auto"/>
              <w:right w:val="single" w:sz="4" w:space="0" w:color="auto"/>
            </w:tcBorders>
            <w:hideMark/>
          </w:tcPr>
          <w:p w14:paraId="4DD9E55F" w14:textId="423C6651" w:rsidR="009F0E44" w:rsidRPr="00DB418B" w:rsidRDefault="009F0E44" w:rsidP="009F0E44">
            <w:pPr>
              <w:spacing w:after="0"/>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 xml:space="preserve">Any of following mechanisms (5 points each, 10 points total – two mechanisms </w:t>
            </w:r>
            <w:r w:rsidR="00AE163E" w:rsidRPr="00DB418B">
              <w:rPr>
                <w:rStyle w:val="Heading4Char"/>
                <w:rFonts w:asciiTheme="minorHAnsi" w:hAnsiTheme="minorHAnsi" w:cstheme="minorHAnsi"/>
                <w:bCs/>
                <w:i w:val="0"/>
                <w:iCs w:val="0"/>
                <w:color w:val="244061" w:themeColor="accent1" w:themeShade="80"/>
                <w:sz w:val="20"/>
                <w:szCs w:val="20"/>
              </w:rPr>
              <w:t>are</w:t>
            </w:r>
            <w:r w:rsidRPr="00DB418B">
              <w:rPr>
                <w:rStyle w:val="Heading4Char"/>
                <w:rFonts w:asciiTheme="minorHAnsi" w:hAnsiTheme="minorHAnsi"/>
                <w:i w:val="0"/>
                <w:color w:val="244061" w:themeColor="accent1" w:themeShade="80"/>
                <w:sz w:val="20"/>
              </w:rPr>
              <w:t xml:space="preserve"> enough for 10 points):</w:t>
            </w:r>
          </w:p>
          <w:p w14:paraId="3B415789"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Mechanisms to systematically collect the inputs of sub-national government entities; </w:t>
            </w:r>
          </w:p>
          <w:p w14:paraId="54C7FD6F"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Arrangements for regular formal exchange between central government and subnational levels;</w:t>
            </w:r>
          </w:p>
          <w:p w14:paraId="307B31A1" w14:textId="222E0CEA" w:rsidR="00AE163E" w:rsidRPr="00DB418B" w:rsidRDefault="009F0E44" w:rsidP="009F0E44">
            <w:pPr>
              <w:spacing w:after="0"/>
              <w:rPr>
                <w:rStyle w:val="Heading4Char"/>
                <w:rFonts w:asciiTheme="minorHAnsi" w:hAnsiTheme="minorHAnsi" w:cstheme="minorHAnsi"/>
                <w:bCs/>
                <w:i w:val="0"/>
                <w:iCs w:val="0"/>
                <w:color w:val="244061" w:themeColor="accent1" w:themeShade="80"/>
                <w:sz w:val="20"/>
                <w:szCs w:val="20"/>
              </w:rPr>
            </w:pPr>
            <w:r w:rsidRPr="00DB418B">
              <w:rPr>
                <w:rStyle w:val="Heading4Char"/>
                <w:rFonts w:asciiTheme="minorHAnsi" w:hAnsiTheme="minorHAnsi"/>
                <w:i w:val="0"/>
                <w:color w:val="244061" w:themeColor="accent1" w:themeShade="80"/>
                <w:sz w:val="20"/>
              </w:rPr>
              <w:t>• Mechanisms to ensure enhance substantive coherence (templates &amp; checklists</w:t>
            </w:r>
            <w:r w:rsidRPr="00DB418B">
              <w:rPr>
                <w:rStyle w:val="Heading4Char"/>
                <w:rFonts w:asciiTheme="minorHAnsi" w:hAnsiTheme="minorHAnsi" w:cstheme="minorHAnsi"/>
                <w:bCs/>
                <w:i w:val="0"/>
                <w:iCs w:val="0"/>
                <w:color w:val="244061" w:themeColor="accent1" w:themeShade="80"/>
                <w:sz w:val="20"/>
                <w:szCs w:val="20"/>
              </w:rPr>
              <w:t>);</w:t>
            </w:r>
          </w:p>
          <w:p w14:paraId="17525CED" w14:textId="6DBAC096" w:rsidR="009F0E44" w:rsidRPr="00DB418B" w:rsidRDefault="009F0E44" w:rsidP="009F0E44">
            <w:pPr>
              <w:spacing w:after="0"/>
              <w:rPr>
                <w:sz w:val="20"/>
              </w:rPr>
            </w:pPr>
            <w:r w:rsidRPr="00DB418B">
              <w:rPr>
                <w:rStyle w:val="Heading4Char"/>
                <w:rFonts w:asciiTheme="minorHAnsi" w:hAnsiTheme="minorHAnsi" w:cstheme="minorHAnsi"/>
                <w:bCs/>
                <w:i w:val="0"/>
                <w:iCs w:val="0"/>
                <w:color w:val="244061" w:themeColor="accent1" w:themeShade="80"/>
                <w:sz w:val="20"/>
                <w:szCs w:val="20"/>
              </w:rPr>
              <w:t>•</w:t>
            </w:r>
            <w:r w:rsidRPr="00DB418B">
              <w:rPr>
                <w:rStyle w:val="Heading4Char"/>
                <w:rFonts w:asciiTheme="minorHAnsi" w:hAnsiTheme="minorHAnsi"/>
                <w:i w:val="0"/>
                <w:color w:val="244061" w:themeColor="accent1" w:themeShade="80"/>
                <w:sz w:val="20"/>
              </w:rPr>
              <w:t xml:space="preserve"> Planning cycle timeframes that facilitate alignment.</w:t>
            </w:r>
          </w:p>
        </w:tc>
        <w:tc>
          <w:tcPr>
            <w:tcW w:w="850" w:type="dxa"/>
            <w:tcBorders>
              <w:top w:val="single" w:sz="4" w:space="0" w:color="auto"/>
              <w:left w:val="single" w:sz="4" w:space="0" w:color="auto"/>
              <w:bottom w:val="single" w:sz="4" w:space="0" w:color="auto"/>
              <w:right w:val="single" w:sz="4" w:space="0" w:color="auto"/>
            </w:tcBorders>
            <w:hideMark/>
          </w:tcPr>
          <w:p w14:paraId="4DC39C28"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10</w:t>
            </w:r>
          </w:p>
        </w:tc>
        <w:tc>
          <w:tcPr>
            <w:tcW w:w="992" w:type="dxa"/>
            <w:tcBorders>
              <w:top w:val="single" w:sz="4" w:space="0" w:color="auto"/>
              <w:left w:val="single" w:sz="4" w:space="0" w:color="auto"/>
              <w:bottom w:val="single" w:sz="4" w:space="0" w:color="auto"/>
              <w:right w:val="single" w:sz="4" w:space="0" w:color="auto"/>
            </w:tcBorders>
          </w:tcPr>
          <w:p w14:paraId="644A7CE0"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67E71613" w14:textId="77777777" w:rsidTr="00DB418B">
        <w:trPr>
          <w:trHeight w:val="68"/>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22704166" w14:textId="77777777" w:rsidR="009F0E44" w:rsidRPr="00DB418B" w:rsidRDefault="009F0E44" w:rsidP="009F0E44">
            <w:pPr>
              <w:spacing w:after="0"/>
              <w:rPr>
                <w:sz w:val="20"/>
              </w:rPr>
            </w:pPr>
            <w:r w:rsidRPr="00DB418B">
              <w:rPr>
                <w:color w:val="244061" w:themeColor="accent1" w:themeShade="80"/>
                <w:sz w:val="20"/>
              </w:rPr>
              <w:t>7</w:t>
            </w:r>
            <w:r w:rsidRPr="00DB418B">
              <w:rPr>
                <w:sz w:val="20"/>
              </w:rPr>
              <w:t xml:space="preserve">. </w:t>
            </w:r>
            <w:r w:rsidRPr="00DB418B">
              <w:rPr>
                <w:color w:val="244061" w:themeColor="accent1" w:themeShade="80"/>
                <w:sz w:val="20"/>
              </w:rPr>
              <w:t>Monitoring and reporting for policy coherence</w:t>
            </w:r>
          </w:p>
        </w:tc>
        <w:tc>
          <w:tcPr>
            <w:tcW w:w="5608" w:type="dxa"/>
            <w:tcBorders>
              <w:top w:val="single" w:sz="4" w:space="0" w:color="auto"/>
              <w:left w:val="single" w:sz="4" w:space="0" w:color="auto"/>
              <w:bottom w:val="single" w:sz="4" w:space="0" w:color="auto"/>
              <w:right w:val="single" w:sz="4" w:space="0" w:color="auto"/>
            </w:tcBorders>
            <w:hideMark/>
          </w:tcPr>
          <w:p w14:paraId="4789B52E" w14:textId="77777777" w:rsidR="009F0E44" w:rsidRPr="00DB418B" w:rsidRDefault="009F0E44" w:rsidP="009F0E44">
            <w:pPr>
              <w:spacing w:after="0"/>
              <w:rPr>
                <w:color w:val="244061" w:themeColor="accent1" w:themeShade="80"/>
                <w:sz w:val="20"/>
              </w:rPr>
            </w:pPr>
            <w:r w:rsidRPr="00DB418B">
              <w:rPr>
                <w:rStyle w:val="Heading4Char"/>
                <w:rFonts w:asciiTheme="minorHAnsi" w:hAnsiTheme="minorHAnsi"/>
                <w:i w:val="0"/>
                <w:color w:val="244061" w:themeColor="accent1" w:themeShade="80"/>
                <w:sz w:val="20"/>
              </w:rPr>
              <w:t>Monitoring and evaluation framework for policy coherence for sustainable development.</w:t>
            </w:r>
          </w:p>
        </w:tc>
        <w:tc>
          <w:tcPr>
            <w:tcW w:w="850" w:type="dxa"/>
            <w:tcBorders>
              <w:top w:val="single" w:sz="4" w:space="0" w:color="auto"/>
              <w:left w:val="single" w:sz="4" w:space="0" w:color="auto"/>
              <w:bottom w:val="single" w:sz="4" w:space="0" w:color="auto"/>
              <w:right w:val="single" w:sz="4" w:space="0" w:color="auto"/>
            </w:tcBorders>
            <w:hideMark/>
          </w:tcPr>
          <w:p w14:paraId="08F8785C"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5</w:t>
            </w:r>
          </w:p>
        </w:tc>
        <w:tc>
          <w:tcPr>
            <w:tcW w:w="992" w:type="dxa"/>
            <w:tcBorders>
              <w:top w:val="single" w:sz="4" w:space="0" w:color="auto"/>
              <w:left w:val="single" w:sz="4" w:space="0" w:color="auto"/>
              <w:bottom w:val="single" w:sz="4" w:space="0" w:color="auto"/>
              <w:right w:val="single" w:sz="4" w:space="0" w:color="auto"/>
            </w:tcBorders>
          </w:tcPr>
          <w:p w14:paraId="3F2E224F"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7B4E4E5A" w14:textId="77777777" w:rsidTr="00DB418B">
        <w:trPr>
          <w:trHeight w:val="84"/>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2746CDE4" w14:textId="77777777" w:rsidR="009F0E44" w:rsidRPr="00DB418B" w:rsidRDefault="009F0E44" w:rsidP="009F0E44">
            <w:pPr>
              <w:spacing w:after="0"/>
              <w:rPr>
                <w:sz w:val="20"/>
              </w:rPr>
            </w:pPr>
          </w:p>
        </w:tc>
        <w:tc>
          <w:tcPr>
            <w:tcW w:w="5608" w:type="dxa"/>
            <w:tcBorders>
              <w:top w:val="single" w:sz="4" w:space="0" w:color="auto"/>
              <w:left w:val="single" w:sz="4" w:space="0" w:color="auto"/>
              <w:bottom w:val="single" w:sz="4" w:space="0" w:color="auto"/>
              <w:right w:val="single" w:sz="4" w:space="0" w:color="auto"/>
            </w:tcBorders>
            <w:hideMark/>
          </w:tcPr>
          <w:p w14:paraId="62556863"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Aspects of policy coherence for sustainable development are integrated into reporting processes.</w:t>
            </w:r>
          </w:p>
        </w:tc>
        <w:tc>
          <w:tcPr>
            <w:tcW w:w="850" w:type="dxa"/>
            <w:tcBorders>
              <w:top w:val="single" w:sz="4" w:space="0" w:color="auto"/>
              <w:left w:val="single" w:sz="4" w:space="0" w:color="auto"/>
              <w:bottom w:val="single" w:sz="4" w:space="0" w:color="auto"/>
              <w:right w:val="single" w:sz="4" w:space="0" w:color="auto"/>
            </w:tcBorders>
            <w:hideMark/>
          </w:tcPr>
          <w:p w14:paraId="01927F87"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2</w:t>
            </w:r>
          </w:p>
        </w:tc>
        <w:tc>
          <w:tcPr>
            <w:tcW w:w="992" w:type="dxa"/>
            <w:tcBorders>
              <w:top w:val="single" w:sz="4" w:space="0" w:color="auto"/>
              <w:left w:val="single" w:sz="4" w:space="0" w:color="auto"/>
              <w:bottom w:val="single" w:sz="4" w:space="0" w:color="auto"/>
              <w:right w:val="single" w:sz="4" w:space="0" w:color="auto"/>
            </w:tcBorders>
          </w:tcPr>
          <w:p w14:paraId="6C32FE2F"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46490569" w14:textId="77777777" w:rsidTr="00DB418B">
        <w:trPr>
          <w:trHeight w:val="84"/>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0620D30D" w14:textId="77777777" w:rsidR="009F0E44" w:rsidRPr="00DB418B" w:rsidRDefault="009F0E44" w:rsidP="009F0E44">
            <w:pPr>
              <w:spacing w:after="0"/>
              <w:rPr>
                <w:sz w:val="20"/>
              </w:rPr>
            </w:pPr>
          </w:p>
        </w:tc>
        <w:tc>
          <w:tcPr>
            <w:tcW w:w="5608" w:type="dxa"/>
            <w:tcBorders>
              <w:top w:val="single" w:sz="4" w:space="0" w:color="auto"/>
              <w:left w:val="single" w:sz="4" w:space="0" w:color="auto"/>
              <w:bottom w:val="single" w:sz="4" w:space="0" w:color="auto"/>
              <w:right w:val="single" w:sz="4" w:space="0" w:color="auto"/>
            </w:tcBorders>
            <w:hideMark/>
          </w:tcPr>
          <w:p w14:paraId="344D530B"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Data and information management system for sustainable development data.</w:t>
            </w:r>
          </w:p>
        </w:tc>
        <w:tc>
          <w:tcPr>
            <w:tcW w:w="850" w:type="dxa"/>
            <w:tcBorders>
              <w:top w:val="single" w:sz="4" w:space="0" w:color="auto"/>
              <w:left w:val="single" w:sz="4" w:space="0" w:color="auto"/>
              <w:bottom w:val="single" w:sz="4" w:space="0" w:color="auto"/>
              <w:right w:val="single" w:sz="4" w:space="0" w:color="auto"/>
            </w:tcBorders>
            <w:hideMark/>
          </w:tcPr>
          <w:p w14:paraId="1577A51D"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3</w:t>
            </w:r>
          </w:p>
        </w:tc>
        <w:tc>
          <w:tcPr>
            <w:tcW w:w="992" w:type="dxa"/>
            <w:tcBorders>
              <w:top w:val="single" w:sz="4" w:space="0" w:color="auto"/>
              <w:left w:val="single" w:sz="4" w:space="0" w:color="auto"/>
              <w:bottom w:val="single" w:sz="4" w:space="0" w:color="auto"/>
              <w:right w:val="single" w:sz="4" w:space="0" w:color="auto"/>
            </w:tcBorders>
          </w:tcPr>
          <w:p w14:paraId="2A061464"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4186DB78" w14:textId="77777777" w:rsidTr="00DB418B">
        <w:trPr>
          <w:trHeight w:val="846"/>
        </w:trPr>
        <w:tc>
          <w:tcPr>
            <w:tcW w:w="1617" w:type="dxa"/>
            <w:tcBorders>
              <w:top w:val="single" w:sz="4" w:space="0" w:color="auto"/>
              <w:left w:val="single" w:sz="4" w:space="0" w:color="auto"/>
              <w:bottom w:val="single" w:sz="4" w:space="0" w:color="auto"/>
              <w:right w:val="single" w:sz="4" w:space="0" w:color="auto"/>
            </w:tcBorders>
            <w:noWrap/>
            <w:vAlign w:val="center"/>
            <w:hideMark/>
          </w:tcPr>
          <w:p w14:paraId="7A61791D" w14:textId="77777777" w:rsidR="009F0E44" w:rsidRPr="00DB418B" w:rsidRDefault="009F0E44" w:rsidP="009F0E44">
            <w:pPr>
              <w:spacing w:after="0"/>
              <w:rPr>
                <w:sz w:val="20"/>
              </w:rPr>
            </w:pPr>
            <w:r w:rsidRPr="00DB418B">
              <w:rPr>
                <w:color w:val="244061" w:themeColor="accent1" w:themeShade="80"/>
                <w:sz w:val="20"/>
              </w:rPr>
              <w:t>8</w:t>
            </w:r>
            <w:r w:rsidRPr="00DB418B">
              <w:rPr>
                <w:sz w:val="20"/>
              </w:rPr>
              <w:t xml:space="preserve">. </w:t>
            </w:r>
            <w:r w:rsidRPr="00DB418B">
              <w:rPr>
                <w:color w:val="244061" w:themeColor="accent1" w:themeShade="80"/>
                <w:sz w:val="20"/>
              </w:rPr>
              <w:t>Financial resources and tools</w:t>
            </w:r>
          </w:p>
        </w:tc>
        <w:tc>
          <w:tcPr>
            <w:tcW w:w="5608" w:type="dxa"/>
            <w:tcBorders>
              <w:top w:val="single" w:sz="4" w:space="0" w:color="auto"/>
              <w:left w:val="single" w:sz="4" w:space="0" w:color="auto"/>
              <w:bottom w:val="single" w:sz="4" w:space="0" w:color="auto"/>
              <w:right w:val="single" w:sz="4" w:space="0" w:color="auto"/>
            </w:tcBorders>
            <w:hideMark/>
          </w:tcPr>
          <w:p w14:paraId="087043ED" w14:textId="77777777" w:rsidR="009F0E44" w:rsidRPr="00DB418B" w:rsidRDefault="009F0E44" w:rsidP="009F0E44">
            <w:pPr>
              <w:spacing w:after="0"/>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Any of following (5 points each, 10 points total):</w:t>
            </w:r>
          </w:p>
          <w:p w14:paraId="55EA8E46"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xml:space="preserve">• </w:t>
            </w:r>
            <w:proofErr w:type="gramStart"/>
            <w:r w:rsidRPr="00DB418B">
              <w:rPr>
                <w:rStyle w:val="Heading4Char"/>
                <w:rFonts w:asciiTheme="minorHAnsi" w:hAnsiTheme="minorHAnsi"/>
                <w:i w:val="0"/>
                <w:color w:val="244061" w:themeColor="accent1" w:themeShade="80"/>
                <w:sz w:val="20"/>
              </w:rPr>
              <w:t>Check-lists</w:t>
            </w:r>
            <w:proofErr w:type="gramEnd"/>
            <w:r w:rsidRPr="00DB418B">
              <w:rPr>
                <w:rStyle w:val="Heading4Char"/>
                <w:rFonts w:asciiTheme="minorHAnsi" w:hAnsiTheme="minorHAnsi"/>
                <w:i w:val="0"/>
                <w:color w:val="244061" w:themeColor="accent1" w:themeShade="80"/>
                <w:sz w:val="20"/>
              </w:rPr>
              <w:t xml:space="preserve"> to ensure that plans and budgets reflect policy coherence for sustainable development;</w:t>
            </w:r>
          </w:p>
          <w:p w14:paraId="2260EF98" w14:textId="5BB23E8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 Integrated financial information systems</w:t>
            </w:r>
            <w:r w:rsidR="00E245CC">
              <w:rPr>
                <w:rStyle w:val="Heading4Char"/>
                <w:rFonts w:asciiTheme="minorHAnsi" w:hAnsiTheme="minorHAnsi"/>
                <w:i w:val="0"/>
                <w:color w:val="244061" w:themeColor="accent1" w:themeShade="80"/>
                <w:sz w:val="20"/>
              </w:rPr>
              <w:t>;</w:t>
            </w:r>
          </w:p>
          <w:p w14:paraId="4F862188" w14:textId="6015B2DB" w:rsidR="009F0E44" w:rsidRDefault="009F0E44" w:rsidP="009F0E44">
            <w:pPr>
              <w:spacing w:after="0"/>
              <w:rPr>
                <w:color w:val="244061" w:themeColor="accent1" w:themeShade="80"/>
                <w:sz w:val="20"/>
              </w:rPr>
            </w:pPr>
            <w:r w:rsidRPr="00DB418B">
              <w:rPr>
                <w:rStyle w:val="Heading4Char"/>
                <w:rFonts w:asciiTheme="minorHAnsi" w:hAnsiTheme="minorHAnsi"/>
                <w:i w:val="0"/>
                <w:color w:val="244061" w:themeColor="accent1" w:themeShade="80"/>
                <w:sz w:val="20"/>
              </w:rPr>
              <w:t xml:space="preserve">• </w:t>
            </w:r>
            <w:r w:rsidRPr="00DB418B">
              <w:rPr>
                <w:color w:val="244061" w:themeColor="accent1" w:themeShade="80"/>
                <w:sz w:val="20"/>
              </w:rPr>
              <w:t>Mechanisms to ensure that cooperation funds are aligned with national policies and priorities</w:t>
            </w:r>
            <w:r w:rsidR="00E245CC">
              <w:rPr>
                <w:color w:val="244061" w:themeColor="accent1" w:themeShade="80"/>
                <w:sz w:val="20"/>
              </w:rPr>
              <w:t>;</w:t>
            </w:r>
          </w:p>
          <w:p w14:paraId="7BD45DBA" w14:textId="4708F129" w:rsidR="0003677A" w:rsidRPr="00DB418B" w:rsidRDefault="0003677A" w:rsidP="009F0E44">
            <w:pPr>
              <w:spacing w:after="0"/>
              <w:rPr>
                <w:sz w:val="20"/>
              </w:rPr>
            </w:pPr>
            <w:r w:rsidRPr="0003677A">
              <w:rPr>
                <w:sz w:val="20"/>
              </w:rPr>
              <w:t>• Additional points for mechanisms that could promote alignment between internal and external policy coherence.</w:t>
            </w:r>
          </w:p>
        </w:tc>
        <w:tc>
          <w:tcPr>
            <w:tcW w:w="850" w:type="dxa"/>
            <w:tcBorders>
              <w:top w:val="single" w:sz="4" w:space="0" w:color="auto"/>
              <w:left w:val="single" w:sz="4" w:space="0" w:color="auto"/>
              <w:bottom w:val="single" w:sz="4" w:space="0" w:color="auto"/>
              <w:right w:val="single" w:sz="4" w:space="0" w:color="auto"/>
            </w:tcBorders>
            <w:hideMark/>
          </w:tcPr>
          <w:p w14:paraId="1D1C9BAA" w14:textId="77777777" w:rsidR="009F0E44" w:rsidRPr="00DB418B" w:rsidRDefault="009F0E44" w:rsidP="009F0E44">
            <w:pPr>
              <w:spacing w:after="0"/>
              <w:jc w:val="center"/>
              <w:rPr>
                <w:rStyle w:val="Heading4Char"/>
                <w:rFonts w:asciiTheme="minorHAnsi" w:hAnsiTheme="minorHAnsi"/>
                <w:color w:val="244061" w:themeColor="accent1" w:themeShade="80"/>
                <w:sz w:val="20"/>
              </w:rPr>
            </w:pPr>
            <w:r w:rsidRPr="00DB418B">
              <w:rPr>
                <w:rStyle w:val="Heading4Char"/>
                <w:rFonts w:asciiTheme="minorHAnsi" w:hAnsiTheme="minorHAnsi"/>
                <w:i w:val="0"/>
                <w:color w:val="244061" w:themeColor="accent1" w:themeShade="80"/>
                <w:sz w:val="20"/>
              </w:rPr>
              <w:t>10</w:t>
            </w:r>
          </w:p>
        </w:tc>
        <w:tc>
          <w:tcPr>
            <w:tcW w:w="992" w:type="dxa"/>
            <w:tcBorders>
              <w:top w:val="single" w:sz="4" w:space="0" w:color="auto"/>
              <w:left w:val="single" w:sz="4" w:space="0" w:color="auto"/>
              <w:bottom w:val="single" w:sz="4" w:space="0" w:color="auto"/>
              <w:right w:val="single" w:sz="4" w:space="0" w:color="auto"/>
            </w:tcBorders>
          </w:tcPr>
          <w:p w14:paraId="6D8C7C3B"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p>
        </w:tc>
      </w:tr>
      <w:tr w:rsidR="009F0E44" w:rsidRPr="009B2E67" w14:paraId="270D68C6" w14:textId="77777777" w:rsidTr="00DB418B">
        <w:trPr>
          <w:trHeight w:val="347"/>
        </w:trPr>
        <w:tc>
          <w:tcPr>
            <w:tcW w:w="7225" w:type="dxa"/>
            <w:gridSpan w:val="2"/>
            <w:tcBorders>
              <w:top w:val="single" w:sz="4" w:space="0" w:color="auto"/>
              <w:left w:val="single" w:sz="4" w:space="0" w:color="auto"/>
              <w:bottom w:val="single" w:sz="4" w:space="0" w:color="auto"/>
              <w:right w:val="single" w:sz="4" w:space="0" w:color="auto"/>
            </w:tcBorders>
            <w:noWrap/>
            <w:vAlign w:val="bottom"/>
            <w:hideMark/>
          </w:tcPr>
          <w:p w14:paraId="6D9E6421" w14:textId="77777777" w:rsidR="009F0E44" w:rsidRPr="00DB418B" w:rsidRDefault="009F0E44" w:rsidP="009F0E44">
            <w:pPr>
              <w:spacing w:after="0"/>
              <w:rPr>
                <w:rStyle w:val="Heading4Char"/>
                <w:rFonts w:asciiTheme="minorHAnsi" w:hAnsiTheme="minorHAnsi"/>
                <w:i w:val="0"/>
                <w:color w:val="244061" w:themeColor="accent1" w:themeShade="80"/>
                <w:sz w:val="20"/>
              </w:rPr>
            </w:pPr>
            <w:r w:rsidRPr="00DB418B">
              <w:rPr>
                <w:b/>
                <w:color w:val="244061" w:themeColor="accent1" w:themeShade="80"/>
                <w:sz w:val="20"/>
              </w:rPr>
              <w:t>TOTAL</w:t>
            </w:r>
          </w:p>
        </w:tc>
        <w:tc>
          <w:tcPr>
            <w:tcW w:w="850" w:type="dxa"/>
            <w:tcBorders>
              <w:top w:val="single" w:sz="4" w:space="0" w:color="auto"/>
              <w:left w:val="single" w:sz="4" w:space="0" w:color="auto"/>
              <w:bottom w:val="single" w:sz="4" w:space="0" w:color="auto"/>
              <w:right w:val="single" w:sz="4" w:space="0" w:color="auto"/>
            </w:tcBorders>
            <w:hideMark/>
          </w:tcPr>
          <w:p w14:paraId="70744883"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80</w:t>
            </w:r>
          </w:p>
        </w:tc>
        <w:tc>
          <w:tcPr>
            <w:tcW w:w="992" w:type="dxa"/>
            <w:tcBorders>
              <w:top w:val="single" w:sz="4" w:space="0" w:color="auto"/>
              <w:left w:val="single" w:sz="4" w:space="0" w:color="auto"/>
              <w:bottom w:val="single" w:sz="4" w:space="0" w:color="auto"/>
              <w:right w:val="single" w:sz="4" w:space="0" w:color="auto"/>
            </w:tcBorders>
            <w:hideMark/>
          </w:tcPr>
          <w:p w14:paraId="380EB39D" w14:textId="77777777" w:rsidR="009F0E44" w:rsidRPr="00DB418B" w:rsidRDefault="009F0E44" w:rsidP="009F0E44">
            <w:pPr>
              <w:spacing w:after="0"/>
              <w:jc w:val="center"/>
              <w:rPr>
                <w:rStyle w:val="Heading4Char"/>
                <w:rFonts w:asciiTheme="minorHAnsi" w:hAnsiTheme="minorHAnsi"/>
                <w:i w:val="0"/>
                <w:color w:val="244061" w:themeColor="accent1" w:themeShade="80"/>
                <w:sz w:val="20"/>
              </w:rPr>
            </w:pPr>
            <w:r w:rsidRPr="00DB418B">
              <w:rPr>
                <w:rStyle w:val="Heading4Char"/>
                <w:rFonts w:asciiTheme="minorHAnsi" w:hAnsiTheme="minorHAnsi"/>
                <w:i w:val="0"/>
                <w:color w:val="244061" w:themeColor="accent1" w:themeShade="80"/>
                <w:sz w:val="20"/>
              </w:rPr>
              <w:t>Sum</w:t>
            </w:r>
          </w:p>
        </w:tc>
      </w:tr>
      <w:tr w:rsidR="00C96073" w:rsidRPr="009B2E67" w14:paraId="229B5501" w14:textId="77777777" w:rsidTr="00020B30">
        <w:trPr>
          <w:trHeight w:val="347"/>
        </w:trPr>
        <w:tc>
          <w:tcPr>
            <w:tcW w:w="7225" w:type="dxa"/>
            <w:gridSpan w:val="2"/>
            <w:tcBorders>
              <w:top w:val="single" w:sz="4" w:space="0" w:color="auto"/>
              <w:left w:val="single" w:sz="4" w:space="0" w:color="auto"/>
              <w:bottom w:val="single" w:sz="4" w:space="0" w:color="auto"/>
              <w:right w:val="single" w:sz="4" w:space="0" w:color="auto"/>
            </w:tcBorders>
            <w:noWrap/>
            <w:vAlign w:val="bottom"/>
            <w:hideMark/>
          </w:tcPr>
          <w:p w14:paraId="48794C7F" w14:textId="77777777" w:rsidR="00C96073" w:rsidRPr="00DB418B" w:rsidRDefault="00C96073" w:rsidP="009F0E44">
            <w:pPr>
              <w:spacing w:after="0"/>
              <w:rPr>
                <w:rStyle w:val="Heading4Char"/>
                <w:rFonts w:asciiTheme="minorHAnsi" w:hAnsiTheme="minorHAnsi"/>
                <w:b/>
                <w:i w:val="0"/>
                <w:color w:val="244061" w:themeColor="accent1" w:themeShade="80"/>
                <w:sz w:val="20"/>
              </w:rPr>
            </w:pPr>
            <w:r w:rsidRPr="00DB418B">
              <w:rPr>
                <w:b/>
                <w:color w:val="244061" w:themeColor="accent1" w:themeShade="80"/>
                <w:sz w:val="20"/>
              </w:rPr>
              <w:t>Mechanisms in place to enhance policy coherence for sustainable development (%)</w:t>
            </w:r>
          </w:p>
        </w:tc>
        <w:tc>
          <w:tcPr>
            <w:tcW w:w="1842" w:type="dxa"/>
            <w:gridSpan w:val="2"/>
            <w:tcBorders>
              <w:top w:val="single" w:sz="4" w:space="0" w:color="auto"/>
              <w:left w:val="single" w:sz="4" w:space="0" w:color="auto"/>
              <w:bottom w:val="single" w:sz="4" w:space="0" w:color="auto"/>
              <w:right w:val="single" w:sz="4" w:space="0" w:color="auto"/>
            </w:tcBorders>
          </w:tcPr>
          <w:p w14:paraId="57CB0568" w14:textId="3B7B7864" w:rsidR="00C96073" w:rsidRPr="00DB418B" w:rsidRDefault="00C96073" w:rsidP="009F0E44">
            <w:pPr>
              <w:spacing w:after="0"/>
              <w:jc w:val="center"/>
              <w:rPr>
                <w:rStyle w:val="Heading4Char"/>
                <w:rFonts w:asciiTheme="minorHAnsi" w:hAnsiTheme="minorHAnsi"/>
                <w:i w:val="0"/>
                <w:color w:val="244061" w:themeColor="accent1" w:themeShade="80"/>
                <w:sz w:val="20"/>
              </w:rPr>
            </w:pPr>
            <m:oMathPara>
              <m:oMath>
                <m:r>
                  <m:rPr>
                    <m:sty m:val="p"/>
                  </m:rPr>
                  <w:rPr>
                    <w:rStyle w:val="Heading4Char"/>
                    <w:rFonts w:ascii="Cambria Math" w:hAnsi="Cambria Math"/>
                    <w:color w:val="244061" w:themeColor="accent1" w:themeShade="80"/>
                    <w:sz w:val="20"/>
                  </w:rPr>
                  <m:t xml:space="preserve">  </m:t>
                </m:r>
                <m:f>
                  <m:fPr>
                    <m:ctrlPr>
                      <w:rPr>
                        <w:rStyle w:val="Heading4Char"/>
                        <w:rFonts w:ascii="Cambria Math" w:hAnsi="Cambria Math"/>
                        <w:i w:val="0"/>
                        <w:iCs w:val="0"/>
                        <w:color w:val="244061" w:themeColor="accent1" w:themeShade="80"/>
                        <w:sz w:val="20"/>
                      </w:rPr>
                    </m:ctrlPr>
                  </m:fPr>
                  <m:num>
                    <m:r>
                      <m:rPr>
                        <m:sty m:val="p"/>
                      </m:rPr>
                      <w:rPr>
                        <w:rStyle w:val="Heading4Char"/>
                        <w:rFonts w:ascii="Cambria Math" w:hAnsi="Cambria Math"/>
                        <w:color w:val="244061" w:themeColor="accent1" w:themeShade="80"/>
                        <w:sz w:val="20"/>
                      </w:rPr>
                      <m:t>Sum</m:t>
                    </m:r>
                  </m:num>
                  <m:den>
                    <m:r>
                      <m:rPr>
                        <m:sty m:val="p"/>
                      </m:rPr>
                      <w:rPr>
                        <w:rStyle w:val="Heading4Char"/>
                        <w:rFonts w:ascii="Cambria Math" w:hAnsi="Cambria Math"/>
                        <w:color w:val="244061" w:themeColor="accent1" w:themeShade="80"/>
                        <w:sz w:val="20"/>
                      </w:rPr>
                      <m:t>80</m:t>
                    </m:r>
                  </m:den>
                </m:f>
                <m:r>
                  <m:rPr>
                    <m:sty m:val="p"/>
                  </m:rPr>
                  <w:rPr>
                    <w:rStyle w:val="Heading4Char"/>
                    <w:rFonts w:ascii="Cambria Math" w:hAnsi="Cambria Math"/>
                    <w:color w:val="244061" w:themeColor="accent1" w:themeShade="80"/>
                    <w:sz w:val="20"/>
                  </w:rPr>
                  <m:t xml:space="preserve"> </m:t>
                </m:r>
                <m:r>
                  <w:rPr>
                    <w:rStyle w:val="Heading4Char"/>
                    <w:rFonts w:ascii="Cambria Math" w:hAnsi="Cambria Math"/>
                    <w:color w:val="244061" w:themeColor="accent1" w:themeShade="80"/>
                    <w:sz w:val="20"/>
                  </w:rPr>
                  <m:t>×</m:t>
                </m:r>
                <m:r>
                  <m:rPr>
                    <m:sty m:val="p"/>
                  </m:rPr>
                  <w:rPr>
                    <w:rStyle w:val="Heading4Char"/>
                    <w:rFonts w:ascii="Cambria Math" w:hAnsi="Cambria Math"/>
                    <w:color w:val="244061" w:themeColor="accent1" w:themeShade="80"/>
                    <w:sz w:val="20"/>
                  </w:rPr>
                  <m:t>100%</m:t>
                </m:r>
              </m:oMath>
            </m:oMathPara>
          </w:p>
        </w:tc>
      </w:tr>
    </w:tbl>
    <w:p w14:paraId="35C8ECE4" w14:textId="6D6AE160" w:rsidR="007B38F4" w:rsidRDefault="007B38F4" w:rsidP="007B38F4">
      <w:pPr>
        <w:spacing w:after="0"/>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D552652" w14:textId="7B76C7BA" w:rsidR="002C4765" w:rsidRDefault="005E7DDF" w:rsidP="00DB418B">
      <w:pPr>
        <w:pStyle w:val="MText"/>
        <w:jc w:val="both"/>
      </w:pPr>
      <w:r>
        <w:lastRenderedPageBreak/>
        <w:t>The United Nations Environment Programme (</w:t>
      </w:r>
      <w:r w:rsidR="00D6181E">
        <w:t>UNEP</w:t>
      </w:r>
      <w:r>
        <w:t>)</w:t>
      </w:r>
      <w:r w:rsidR="00D6181E">
        <w:t xml:space="preserve"> carries out data validation procedures and contact countries for clarification if needed.</w:t>
      </w:r>
    </w:p>
    <w:p w14:paraId="0025F830" w14:textId="0C156F22" w:rsidR="00F719A8" w:rsidRPr="00A96255" w:rsidRDefault="00F90025" w:rsidP="00576CFA">
      <w:pPr>
        <w:pStyle w:val="MText"/>
      </w:pPr>
      <w:r>
        <w:t xml:space="preserve"> </w:t>
      </w: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5DAD39BD" w:rsidR="00EC2915" w:rsidRDefault="00C46E32" w:rsidP="00576CFA">
      <w:pPr>
        <w:pStyle w:val="MText"/>
      </w:pPr>
      <w:r>
        <w:t>No adjustments are made</w:t>
      </w:r>
      <w:r w:rsidR="00D6181E">
        <w:t>.</w:t>
      </w:r>
    </w:p>
    <w:p w14:paraId="6A3F8A8F" w14:textId="77777777" w:rsidR="00D6181E" w:rsidRPr="00A96255" w:rsidRDefault="00D6181E"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A02E86C" w14:textId="252D9AFD" w:rsidR="003D7A94" w:rsidRDefault="005E7DDF" w:rsidP="00D51E7C">
      <w:pPr>
        <w:pStyle w:val="MText"/>
      </w:pPr>
      <w:r>
        <w:t xml:space="preserve">The United Nations Environment Programme (UNEP) </w:t>
      </w:r>
      <w:r w:rsidRPr="00C62E10">
        <w:t>does not make any imputation for missing values</w:t>
      </w:r>
      <w:r>
        <w:t>.</w:t>
      </w:r>
      <w:r w:rsidR="003D7A94">
        <w:t xml:space="preserve"> </w:t>
      </w:r>
    </w:p>
    <w:p w14:paraId="04748E1F" w14:textId="0F24B7F1" w:rsidR="00D51E7C" w:rsidRDefault="00D51E7C" w:rsidP="00D51E7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39B1A390" w:rsidR="00EC2915" w:rsidRDefault="007F1D07" w:rsidP="00DB418B">
      <w:pPr>
        <w:pStyle w:val="MText"/>
        <w:jc w:val="both"/>
        <w:rPr>
          <w:rStyle w:val="Hyperlink"/>
          <w:sz w:val="26"/>
          <w:szCs w:val="36"/>
        </w:rPr>
      </w:pPr>
      <w:r>
        <w:rPr>
          <w:bCs/>
        </w:rPr>
        <w:t xml:space="preserve">The </w:t>
      </w:r>
      <w:r w:rsidRPr="006931AC">
        <w:rPr>
          <w:bCs/>
        </w:rPr>
        <w:t xml:space="preserve">data </w:t>
      </w:r>
      <w:r w:rsidR="00CC485C">
        <w:rPr>
          <w:bCs/>
        </w:rPr>
        <w:t>are</w:t>
      </w:r>
      <w:r w:rsidRPr="006931AC">
        <w:rPr>
          <w:bCs/>
        </w:rPr>
        <w:t xml:space="preserve"> aggregated at the sub-regional, regional and global levels</w:t>
      </w:r>
      <w:r>
        <w:rPr>
          <w:bCs/>
        </w:rPr>
        <w:t xml:space="preserve">. </w:t>
      </w:r>
      <w:r w:rsidRPr="00331D4D">
        <w:rPr>
          <w:bCs/>
        </w:rPr>
        <w:t>For the aggregation methods, please see</w:t>
      </w:r>
      <w:r>
        <w:t>:</w:t>
      </w:r>
      <w:r w:rsidR="002762A1">
        <w:t xml:space="preserve"> </w:t>
      </w:r>
      <w:hyperlink r:id="rId11" w:history="1">
        <w:r w:rsidRPr="00C61795">
          <w:rPr>
            <w:rStyle w:val="Hyperlink"/>
          </w:rPr>
          <w:t>http</w:t>
        </w:r>
        <w:r w:rsidRPr="0085210C">
          <w:rPr>
            <w:rStyle w:val="Hyperlink"/>
          </w:rPr>
          <w:t>s://wesr.unep.org/media/docs/graphs/aggregation_methods.pdf</w:t>
        </w:r>
      </w:hyperlink>
      <w:r w:rsidR="00CC485C">
        <w:rPr>
          <w:rStyle w:val="Hyperlink"/>
        </w:rPr>
        <w:t>.</w:t>
      </w:r>
    </w:p>
    <w:p w14:paraId="5DBE59AC" w14:textId="77777777" w:rsidR="007F1D07" w:rsidRPr="00A96255" w:rsidRDefault="007F1D07" w:rsidP="007F1D07">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2C8BB92" w14:textId="7CC02D09" w:rsidR="00EC30AF" w:rsidRDefault="00BF5B86" w:rsidP="00DB418B">
      <w:pPr>
        <w:pStyle w:val="MText"/>
        <w:jc w:val="both"/>
      </w:pPr>
      <w:r>
        <w:t>The methodology</w:t>
      </w:r>
      <w:r w:rsidR="005364EE">
        <w:t xml:space="preserve"> for calculati</w:t>
      </w:r>
      <w:r w:rsidR="0091114C">
        <w:t>ng</w:t>
      </w:r>
      <w:r w:rsidR="005364EE">
        <w:t xml:space="preserve"> this indicator </w:t>
      </w:r>
      <w:r w:rsidR="00EC30AF">
        <w:t xml:space="preserve">and </w:t>
      </w:r>
      <w:r>
        <w:t>guid</w:t>
      </w:r>
      <w:r w:rsidR="00DB493F">
        <w:t>ing</w:t>
      </w:r>
      <w:r>
        <w:t xml:space="preserve"> the reporting process </w:t>
      </w:r>
      <w:r w:rsidR="00EC30AF">
        <w:t xml:space="preserve">is </w:t>
      </w:r>
      <w:r>
        <w:t xml:space="preserve">available </w:t>
      </w:r>
      <w:r w:rsidR="007551B9">
        <w:t xml:space="preserve">in </w:t>
      </w:r>
      <w:r w:rsidR="00BC36CC">
        <w:t>the UNEP document</w:t>
      </w:r>
      <w:r w:rsidR="009A1C7E" w:rsidRPr="009A1C7E">
        <w:t xml:space="preserve"> </w:t>
      </w:r>
      <w:r w:rsidR="009A1C7E">
        <w:t>“</w:t>
      </w:r>
      <w:hyperlink r:id="rId12" w:history="1">
        <w:r w:rsidR="009A1C7E" w:rsidRPr="00B442A3">
          <w:rPr>
            <w:rStyle w:val="Hyperlink"/>
          </w:rPr>
          <w:t>Methodology for SDG-indicator 17.14.1: Mechanisms in place to enhance policy coherence for sustainable development</w:t>
        </w:r>
      </w:hyperlink>
      <w:r w:rsidR="009A1C7E">
        <w:t>”.</w:t>
      </w:r>
    </w:p>
    <w:p w14:paraId="76DBF3A7" w14:textId="77777777" w:rsidR="009A1C7E" w:rsidRPr="00A96255" w:rsidRDefault="009A1C7E" w:rsidP="009A1C7E">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37D5DC6" w:rsidR="00EC2915" w:rsidRDefault="00340FD8" w:rsidP="009F0E44">
      <w:pPr>
        <w:pStyle w:val="MText"/>
      </w:pPr>
      <w:r w:rsidRPr="00281C7F">
        <w:t>Quality management is provided</w:t>
      </w:r>
      <w:r>
        <w:t xml:space="preserve"> by t</w:t>
      </w:r>
      <w:r w:rsidRPr="00281C7F">
        <w:t>he United Nations Environment Programme (UNEP)</w:t>
      </w:r>
      <w:r>
        <w:t>.</w:t>
      </w:r>
    </w:p>
    <w:p w14:paraId="6E48E985" w14:textId="77777777" w:rsidR="00792EB6" w:rsidRPr="00A96255" w:rsidRDefault="00792EB6" w:rsidP="009F0E44">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21BF2C09" w14:textId="7EBD1A4D" w:rsidR="00305659" w:rsidRPr="00A96255" w:rsidRDefault="003E12A5" w:rsidP="00305659">
      <w:pPr>
        <w:pStyle w:val="MText"/>
      </w:pPr>
      <w:r w:rsidRPr="009171FC">
        <w:t xml:space="preserve">Quality </w:t>
      </w:r>
      <w:r>
        <w:t>assurance</w:t>
      </w:r>
      <w:r w:rsidRPr="009171FC">
        <w:t xml:space="preserve"> is provided by the United Nations Environment Programme (UNEP)</w:t>
      </w:r>
      <w:r>
        <w:t xml:space="preserve"> in cooperation with the countries that provide these data.</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E090FF0" w14:textId="62212D0D" w:rsidR="00305659" w:rsidRPr="00A96255" w:rsidRDefault="00395AD8" w:rsidP="00305659">
      <w:pPr>
        <w:pStyle w:val="MText"/>
      </w:pPr>
      <w:r w:rsidRPr="00281C7F">
        <w:t xml:space="preserve">Quality </w:t>
      </w:r>
      <w:r>
        <w:t>assessment</w:t>
      </w:r>
      <w:r w:rsidRPr="00281C7F">
        <w:t xml:space="preserve"> is provided</w:t>
      </w:r>
      <w:r>
        <w:t xml:space="preserve"> by t</w:t>
      </w:r>
      <w:r w:rsidRPr="00281C7F">
        <w:t>he United Nations Environment Programme (UNEP)</w:t>
      </w:r>
      <w:r>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DB418B" w:rsidRDefault="00D51E7C" w:rsidP="00576CFA">
      <w:pPr>
        <w:pStyle w:val="MText"/>
      </w:pPr>
      <w:r w:rsidRPr="00FE189A">
        <w:rPr>
          <w:b/>
        </w:rPr>
        <w:t>Data availability:</w:t>
      </w:r>
    </w:p>
    <w:p w14:paraId="016E1A1B" w14:textId="5BA8D78C" w:rsidR="007B38F4" w:rsidRDefault="007B38F4" w:rsidP="00DB418B">
      <w:pPr>
        <w:pStyle w:val="MText"/>
        <w:jc w:val="both"/>
      </w:pPr>
      <w:r>
        <w:t xml:space="preserve">Data </w:t>
      </w:r>
      <w:r w:rsidR="00764D0A">
        <w:t>are</w:t>
      </w:r>
      <w:r>
        <w:t xml:space="preserve"> available for all </w:t>
      </w:r>
      <w:r w:rsidR="00764D0A">
        <w:t xml:space="preserve">countries that </w:t>
      </w:r>
      <w:r w:rsidR="0006009C">
        <w:t>provide</w:t>
      </w:r>
      <w:r w:rsidR="00CA53EF">
        <w:t xml:space="preserve"> country data</w:t>
      </w:r>
      <w:r w:rsidR="00764D0A">
        <w:t xml:space="preserve"> to the UNEP Questionnaire </w:t>
      </w:r>
      <w:r w:rsidR="00E51861" w:rsidRPr="00E51861">
        <w:t>on the mechanism in place to enhance policy coherence of sustainable development</w:t>
      </w:r>
      <w:r w:rsidR="00764D0A">
        <w:t>.</w:t>
      </w:r>
    </w:p>
    <w:p w14:paraId="77EC3986" w14:textId="77777777" w:rsidR="007B38F4" w:rsidRDefault="007B38F4" w:rsidP="007B38F4">
      <w:pPr>
        <w:pStyle w:val="MText"/>
      </w:pPr>
    </w:p>
    <w:p w14:paraId="3C67C0F8" w14:textId="77777777" w:rsidR="007B38F4" w:rsidRPr="00DB418B" w:rsidRDefault="007B38F4" w:rsidP="007B38F4">
      <w:pPr>
        <w:pStyle w:val="MText"/>
      </w:pPr>
      <w:r w:rsidRPr="00FE189A">
        <w:rPr>
          <w:b/>
        </w:rPr>
        <w:t>Time series:</w:t>
      </w:r>
    </w:p>
    <w:p w14:paraId="7362AFB3" w14:textId="3F229121" w:rsidR="007B38F4" w:rsidRDefault="00CD7DBA" w:rsidP="00DB418B">
      <w:pPr>
        <w:pStyle w:val="MText"/>
        <w:jc w:val="both"/>
      </w:pPr>
      <w:r w:rsidRPr="0000647B">
        <w:t xml:space="preserve">The data sets presented in the SDG database </w:t>
      </w:r>
      <w:r>
        <w:t>presented according to country responses.</w:t>
      </w:r>
    </w:p>
    <w:p w14:paraId="760C013A" w14:textId="4597FCBD" w:rsidR="00D51E7C" w:rsidRPr="00C019E5" w:rsidRDefault="00D51E7C" w:rsidP="00576CFA">
      <w:pPr>
        <w:pStyle w:val="MText"/>
        <w:rPr>
          <w:highlight w:val="cyan"/>
        </w:rPr>
      </w:pPr>
    </w:p>
    <w:p w14:paraId="72C7C370" w14:textId="7CA3CA69" w:rsidR="00D51E7C" w:rsidRPr="00DB418B" w:rsidRDefault="00D51E7C" w:rsidP="00576CFA">
      <w:pPr>
        <w:pStyle w:val="MText"/>
      </w:pPr>
      <w:r w:rsidRPr="00FE189A">
        <w:rPr>
          <w:b/>
        </w:rPr>
        <w:t>Disaggregation:</w:t>
      </w:r>
    </w:p>
    <w:p w14:paraId="42E8CA56" w14:textId="58300ECB" w:rsidR="00D51E7C" w:rsidRDefault="00473872" w:rsidP="00576CFA">
      <w:pPr>
        <w:pStyle w:val="MText"/>
      </w:pPr>
      <w:r>
        <w:t xml:space="preserve">Not applicable </w:t>
      </w:r>
    </w:p>
    <w:p w14:paraId="46B468C6" w14:textId="77777777" w:rsidR="00CD7DBA" w:rsidRPr="00A96255" w:rsidRDefault="00CD7DB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DB418B" w:rsidRDefault="00D51E7C" w:rsidP="00576CFA">
      <w:pPr>
        <w:pStyle w:val="MText"/>
      </w:pPr>
      <w:r w:rsidRPr="00FE189A">
        <w:rPr>
          <w:b/>
        </w:rPr>
        <w:t>Sources of discrepancies:</w:t>
      </w:r>
    </w:p>
    <w:p w14:paraId="5AB6DD91" w14:textId="7B917205" w:rsidR="00F719A8" w:rsidRDefault="00143679" w:rsidP="00576CFA">
      <w:pPr>
        <w:pStyle w:val="MText"/>
      </w:pPr>
      <w:r>
        <w:t>Not applicable</w:t>
      </w:r>
    </w:p>
    <w:p w14:paraId="15D01B30" w14:textId="77777777" w:rsidR="004677D5" w:rsidRPr="00A96255" w:rsidRDefault="004677D5"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5BBFF3D" w14:textId="22CD2604" w:rsidR="00081DC0" w:rsidRDefault="00081DC0" w:rsidP="00DB418B">
      <w:pPr>
        <w:pStyle w:val="MText"/>
        <w:jc w:val="both"/>
      </w:pPr>
      <w:r>
        <w:t>The methodology for calculating this indicator is available in the UNEP document</w:t>
      </w:r>
      <w:r w:rsidRPr="009A1C7E">
        <w:t xml:space="preserve"> </w:t>
      </w:r>
      <w:r>
        <w:t>“</w:t>
      </w:r>
      <w:hyperlink r:id="rId13" w:history="1">
        <w:r w:rsidRPr="00B442A3">
          <w:rPr>
            <w:rStyle w:val="Hyperlink"/>
          </w:rPr>
          <w:t>Methodology for SDG-indicator 17.14.1: Mechanisms in place to enhance policy coherence for sustainable development</w:t>
        </w:r>
      </w:hyperlink>
      <w:r>
        <w:t>”.</w:t>
      </w:r>
    </w:p>
    <w:p w14:paraId="384B0992" w14:textId="36889691" w:rsidR="00186795" w:rsidRDefault="00186795"/>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7DF3E" w14:textId="77777777" w:rsidR="0083252A" w:rsidRDefault="0083252A" w:rsidP="00573C0B">
      <w:pPr>
        <w:spacing w:after="0" w:line="240" w:lineRule="auto"/>
      </w:pPr>
      <w:r>
        <w:separator/>
      </w:r>
    </w:p>
  </w:endnote>
  <w:endnote w:type="continuationSeparator" w:id="0">
    <w:p w14:paraId="62F2532F" w14:textId="77777777" w:rsidR="0083252A" w:rsidRDefault="0083252A" w:rsidP="00573C0B">
      <w:pPr>
        <w:spacing w:after="0" w:line="240" w:lineRule="auto"/>
      </w:pPr>
      <w:r>
        <w:continuationSeparator/>
      </w:r>
    </w:p>
  </w:endnote>
  <w:endnote w:type="continuationNotice" w:id="1">
    <w:p w14:paraId="6A757A0C" w14:textId="77777777" w:rsidR="0083252A" w:rsidRDefault="008325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D76C2" w14:textId="77777777" w:rsidR="0083252A" w:rsidRDefault="0083252A" w:rsidP="00573C0B">
      <w:pPr>
        <w:spacing w:after="0" w:line="240" w:lineRule="auto"/>
      </w:pPr>
      <w:r>
        <w:separator/>
      </w:r>
    </w:p>
  </w:footnote>
  <w:footnote w:type="continuationSeparator" w:id="0">
    <w:p w14:paraId="5F7DFAFA" w14:textId="77777777" w:rsidR="0083252A" w:rsidRDefault="0083252A" w:rsidP="00573C0B">
      <w:pPr>
        <w:spacing w:after="0" w:line="240" w:lineRule="auto"/>
      </w:pPr>
      <w:r>
        <w:continuationSeparator/>
      </w:r>
    </w:p>
  </w:footnote>
  <w:footnote w:type="continuationNotice" w:id="1">
    <w:p w14:paraId="7A1E0D25" w14:textId="77777777" w:rsidR="0083252A" w:rsidRDefault="008325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5C43050"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53011A">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clip_image001"/>
      </v:shape>
    </w:pict>
  </w:numPicBullet>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cs="Times New Roman" w:hint="default"/>
      </w:rPr>
    </w:lvl>
    <w:lvl w:ilvl="2" w:tplc="04464938">
      <w:start w:val="1"/>
      <w:numFmt w:val="bullet"/>
      <w:lvlText w:val=""/>
      <w:lvlJc w:val="left"/>
      <w:pPr>
        <w:ind w:left="2160" w:hanging="360"/>
      </w:pPr>
      <w:rPr>
        <w:rFonts w:ascii="Wingdings" w:hAnsi="Wingdings" w:hint="default"/>
      </w:rPr>
    </w:lvl>
    <w:lvl w:ilvl="3" w:tplc="56149B08">
      <w:start w:val="1"/>
      <w:numFmt w:val="bullet"/>
      <w:lvlText w:val=""/>
      <w:lvlJc w:val="left"/>
      <w:pPr>
        <w:ind w:left="2880" w:hanging="360"/>
      </w:pPr>
      <w:rPr>
        <w:rFonts w:ascii="Symbol" w:hAnsi="Symbol" w:hint="default"/>
      </w:rPr>
    </w:lvl>
    <w:lvl w:ilvl="4" w:tplc="EBCC9F9E">
      <w:start w:val="1"/>
      <w:numFmt w:val="bullet"/>
      <w:lvlText w:val="o"/>
      <w:lvlJc w:val="left"/>
      <w:pPr>
        <w:ind w:left="3600" w:hanging="360"/>
      </w:pPr>
      <w:rPr>
        <w:rFonts w:ascii="Courier New" w:hAnsi="Courier New" w:cs="Times New Roman" w:hint="default"/>
      </w:rPr>
    </w:lvl>
    <w:lvl w:ilvl="5" w:tplc="EC041288">
      <w:start w:val="1"/>
      <w:numFmt w:val="bullet"/>
      <w:lvlText w:val=""/>
      <w:lvlJc w:val="left"/>
      <w:pPr>
        <w:ind w:left="4320" w:hanging="360"/>
      </w:pPr>
      <w:rPr>
        <w:rFonts w:ascii="Wingdings" w:hAnsi="Wingdings" w:hint="default"/>
      </w:rPr>
    </w:lvl>
    <w:lvl w:ilvl="6" w:tplc="6818DA3C">
      <w:start w:val="1"/>
      <w:numFmt w:val="bullet"/>
      <w:lvlText w:val=""/>
      <w:lvlJc w:val="left"/>
      <w:pPr>
        <w:ind w:left="5040" w:hanging="360"/>
      </w:pPr>
      <w:rPr>
        <w:rFonts w:ascii="Symbol" w:hAnsi="Symbol" w:hint="default"/>
      </w:rPr>
    </w:lvl>
    <w:lvl w:ilvl="7" w:tplc="EA80E482">
      <w:start w:val="1"/>
      <w:numFmt w:val="bullet"/>
      <w:lvlText w:val="o"/>
      <w:lvlJc w:val="left"/>
      <w:pPr>
        <w:ind w:left="5760" w:hanging="360"/>
      </w:pPr>
      <w:rPr>
        <w:rFonts w:ascii="Courier New" w:hAnsi="Courier New" w:cs="Times New Roman" w:hint="default"/>
      </w:rPr>
    </w:lvl>
    <w:lvl w:ilvl="8" w:tplc="E25216FC">
      <w:start w:val="1"/>
      <w:numFmt w:val="bullet"/>
      <w:lvlText w:val=""/>
      <w:lvlJc w:val="left"/>
      <w:pPr>
        <w:ind w:left="6480" w:hanging="360"/>
      </w:pPr>
      <w:rPr>
        <w:rFonts w:ascii="Wingdings" w:hAnsi="Wingdings" w:hint="default"/>
      </w:rPr>
    </w:lvl>
  </w:abstractNum>
  <w:abstractNum w:abstractNumId="3" w15:restartNumberingAfterBreak="0">
    <w:nsid w:val="46C004C2"/>
    <w:multiLevelType w:val="hybridMultilevel"/>
    <w:tmpl w:val="727ECF22"/>
    <w:lvl w:ilvl="0" w:tplc="F3E6755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747786">
    <w:abstractNumId w:val="4"/>
  </w:num>
  <w:num w:numId="2" w16cid:durableId="2073188642">
    <w:abstractNumId w:val="0"/>
  </w:num>
  <w:num w:numId="3" w16cid:durableId="128327849">
    <w:abstractNumId w:val="5"/>
  </w:num>
  <w:num w:numId="4" w16cid:durableId="2077392059">
    <w:abstractNumId w:val="1"/>
  </w:num>
  <w:num w:numId="5" w16cid:durableId="627398188">
    <w:abstractNumId w:val="2"/>
  </w:num>
  <w:num w:numId="6" w16cid:durableId="1469397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08AC"/>
    <w:rsid w:val="0002602A"/>
    <w:rsid w:val="0003677A"/>
    <w:rsid w:val="00037125"/>
    <w:rsid w:val="000412A0"/>
    <w:rsid w:val="00047DDA"/>
    <w:rsid w:val="0005455A"/>
    <w:rsid w:val="0006009C"/>
    <w:rsid w:val="00061993"/>
    <w:rsid w:val="00065076"/>
    <w:rsid w:val="00071F07"/>
    <w:rsid w:val="0007759D"/>
    <w:rsid w:val="000777AB"/>
    <w:rsid w:val="00077F46"/>
    <w:rsid w:val="00080A95"/>
    <w:rsid w:val="00081DC0"/>
    <w:rsid w:val="00090FB1"/>
    <w:rsid w:val="00096186"/>
    <w:rsid w:val="000A2926"/>
    <w:rsid w:val="000A72E4"/>
    <w:rsid w:val="000B0E2F"/>
    <w:rsid w:val="000B2430"/>
    <w:rsid w:val="000D0B30"/>
    <w:rsid w:val="000E21F1"/>
    <w:rsid w:val="000F703E"/>
    <w:rsid w:val="00120E86"/>
    <w:rsid w:val="00122BFD"/>
    <w:rsid w:val="00125DE9"/>
    <w:rsid w:val="00126216"/>
    <w:rsid w:val="001332E0"/>
    <w:rsid w:val="00134DE7"/>
    <w:rsid w:val="00143679"/>
    <w:rsid w:val="00143A95"/>
    <w:rsid w:val="00165011"/>
    <w:rsid w:val="00185354"/>
    <w:rsid w:val="001854DC"/>
    <w:rsid w:val="001862C6"/>
    <w:rsid w:val="00186795"/>
    <w:rsid w:val="00194D09"/>
    <w:rsid w:val="0019555D"/>
    <w:rsid w:val="001A7D5C"/>
    <w:rsid w:val="001B60AA"/>
    <w:rsid w:val="001B63C8"/>
    <w:rsid w:val="001C1972"/>
    <w:rsid w:val="001C421F"/>
    <w:rsid w:val="001C4815"/>
    <w:rsid w:val="001D2999"/>
    <w:rsid w:val="001D360D"/>
    <w:rsid w:val="001D65FE"/>
    <w:rsid w:val="002060B6"/>
    <w:rsid w:val="00255367"/>
    <w:rsid w:val="00260A0E"/>
    <w:rsid w:val="00261A8D"/>
    <w:rsid w:val="00267269"/>
    <w:rsid w:val="00271ABE"/>
    <w:rsid w:val="002762A1"/>
    <w:rsid w:val="00283C1C"/>
    <w:rsid w:val="00291A00"/>
    <w:rsid w:val="00291A11"/>
    <w:rsid w:val="002A01EC"/>
    <w:rsid w:val="002A315C"/>
    <w:rsid w:val="002A3342"/>
    <w:rsid w:val="002A64BA"/>
    <w:rsid w:val="002B4989"/>
    <w:rsid w:val="002B7BD8"/>
    <w:rsid w:val="002C2510"/>
    <w:rsid w:val="002C4765"/>
    <w:rsid w:val="002D714E"/>
    <w:rsid w:val="002E53C3"/>
    <w:rsid w:val="002F1468"/>
    <w:rsid w:val="002F5F0C"/>
    <w:rsid w:val="00300B44"/>
    <w:rsid w:val="00305659"/>
    <w:rsid w:val="00315098"/>
    <w:rsid w:val="00323FEA"/>
    <w:rsid w:val="003265EB"/>
    <w:rsid w:val="00340FD8"/>
    <w:rsid w:val="0034329E"/>
    <w:rsid w:val="00343FAA"/>
    <w:rsid w:val="00344363"/>
    <w:rsid w:val="00347F5E"/>
    <w:rsid w:val="00353C98"/>
    <w:rsid w:val="00371A20"/>
    <w:rsid w:val="003821B4"/>
    <w:rsid w:val="00382CF3"/>
    <w:rsid w:val="00386EC1"/>
    <w:rsid w:val="00387D52"/>
    <w:rsid w:val="00395AD8"/>
    <w:rsid w:val="003A025D"/>
    <w:rsid w:val="003A7CEA"/>
    <w:rsid w:val="003D7A94"/>
    <w:rsid w:val="003E07B2"/>
    <w:rsid w:val="003E12A5"/>
    <w:rsid w:val="003E3664"/>
    <w:rsid w:val="003F0831"/>
    <w:rsid w:val="003F0BD3"/>
    <w:rsid w:val="003F278A"/>
    <w:rsid w:val="003F6231"/>
    <w:rsid w:val="003F7A02"/>
    <w:rsid w:val="004000F7"/>
    <w:rsid w:val="004006FA"/>
    <w:rsid w:val="00422EA5"/>
    <w:rsid w:val="00422EFA"/>
    <w:rsid w:val="0042791F"/>
    <w:rsid w:val="00434E9E"/>
    <w:rsid w:val="004456ED"/>
    <w:rsid w:val="004677D5"/>
    <w:rsid w:val="00473872"/>
    <w:rsid w:val="0048045A"/>
    <w:rsid w:val="00483454"/>
    <w:rsid w:val="004841B8"/>
    <w:rsid w:val="00484D3D"/>
    <w:rsid w:val="00491A5F"/>
    <w:rsid w:val="004930F2"/>
    <w:rsid w:val="004B022C"/>
    <w:rsid w:val="004B0F1C"/>
    <w:rsid w:val="004C5648"/>
    <w:rsid w:val="004D67D3"/>
    <w:rsid w:val="004E3019"/>
    <w:rsid w:val="004E6452"/>
    <w:rsid w:val="004F282C"/>
    <w:rsid w:val="004F2EE6"/>
    <w:rsid w:val="004F6076"/>
    <w:rsid w:val="00502DBA"/>
    <w:rsid w:val="005040C4"/>
    <w:rsid w:val="00507637"/>
    <w:rsid w:val="00507852"/>
    <w:rsid w:val="00514DBF"/>
    <w:rsid w:val="0053011A"/>
    <w:rsid w:val="00533A59"/>
    <w:rsid w:val="00535C25"/>
    <w:rsid w:val="005364EE"/>
    <w:rsid w:val="00542839"/>
    <w:rsid w:val="00546099"/>
    <w:rsid w:val="00550921"/>
    <w:rsid w:val="00553EF2"/>
    <w:rsid w:val="00561317"/>
    <w:rsid w:val="00563712"/>
    <w:rsid w:val="00566BD4"/>
    <w:rsid w:val="00571C11"/>
    <w:rsid w:val="00573631"/>
    <w:rsid w:val="00573C0B"/>
    <w:rsid w:val="00576CFA"/>
    <w:rsid w:val="005774D3"/>
    <w:rsid w:val="00580FD4"/>
    <w:rsid w:val="0058556D"/>
    <w:rsid w:val="00592AF2"/>
    <w:rsid w:val="005947AD"/>
    <w:rsid w:val="00594CC0"/>
    <w:rsid w:val="00597748"/>
    <w:rsid w:val="005979E8"/>
    <w:rsid w:val="005B1FAE"/>
    <w:rsid w:val="005D0AF4"/>
    <w:rsid w:val="005E54BD"/>
    <w:rsid w:val="005E7DDF"/>
    <w:rsid w:val="005F3F23"/>
    <w:rsid w:val="005F6CCA"/>
    <w:rsid w:val="006016BA"/>
    <w:rsid w:val="00601FCF"/>
    <w:rsid w:val="006104AF"/>
    <w:rsid w:val="00621893"/>
    <w:rsid w:val="006351E1"/>
    <w:rsid w:val="006447B1"/>
    <w:rsid w:val="00645E40"/>
    <w:rsid w:val="00646237"/>
    <w:rsid w:val="00661FD3"/>
    <w:rsid w:val="00662775"/>
    <w:rsid w:val="006729AA"/>
    <w:rsid w:val="00684665"/>
    <w:rsid w:val="006852FC"/>
    <w:rsid w:val="006B40AB"/>
    <w:rsid w:val="006B5DC5"/>
    <w:rsid w:val="006C4BFD"/>
    <w:rsid w:val="006C7D30"/>
    <w:rsid w:val="006E3C08"/>
    <w:rsid w:val="006F6918"/>
    <w:rsid w:val="00700ACF"/>
    <w:rsid w:val="00712487"/>
    <w:rsid w:val="007134DB"/>
    <w:rsid w:val="00723090"/>
    <w:rsid w:val="00723991"/>
    <w:rsid w:val="00735102"/>
    <w:rsid w:val="007458E1"/>
    <w:rsid w:val="007530CA"/>
    <w:rsid w:val="007551B9"/>
    <w:rsid w:val="00756D68"/>
    <w:rsid w:val="007578D9"/>
    <w:rsid w:val="00757E8A"/>
    <w:rsid w:val="00763DDC"/>
    <w:rsid w:val="00763E43"/>
    <w:rsid w:val="00764D0A"/>
    <w:rsid w:val="00764EB5"/>
    <w:rsid w:val="00777A95"/>
    <w:rsid w:val="00782416"/>
    <w:rsid w:val="00782F34"/>
    <w:rsid w:val="00792E55"/>
    <w:rsid w:val="00792EB6"/>
    <w:rsid w:val="007A02EF"/>
    <w:rsid w:val="007A0C07"/>
    <w:rsid w:val="007B0364"/>
    <w:rsid w:val="007B38F4"/>
    <w:rsid w:val="007B5848"/>
    <w:rsid w:val="007C0AF5"/>
    <w:rsid w:val="007C6617"/>
    <w:rsid w:val="007D0981"/>
    <w:rsid w:val="007D1929"/>
    <w:rsid w:val="007E6E0B"/>
    <w:rsid w:val="007F1D07"/>
    <w:rsid w:val="007F3A5D"/>
    <w:rsid w:val="00803CF1"/>
    <w:rsid w:val="008104BB"/>
    <w:rsid w:val="008249C5"/>
    <w:rsid w:val="00824D0A"/>
    <w:rsid w:val="0083252A"/>
    <w:rsid w:val="00843FB4"/>
    <w:rsid w:val="008526F9"/>
    <w:rsid w:val="0085285E"/>
    <w:rsid w:val="00853023"/>
    <w:rsid w:val="008534D4"/>
    <w:rsid w:val="00861F8E"/>
    <w:rsid w:val="008711E9"/>
    <w:rsid w:val="00881E28"/>
    <w:rsid w:val="0089156F"/>
    <w:rsid w:val="00894C4B"/>
    <w:rsid w:val="008A12E3"/>
    <w:rsid w:val="008A42FA"/>
    <w:rsid w:val="008B0AC7"/>
    <w:rsid w:val="008C2335"/>
    <w:rsid w:val="008C4332"/>
    <w:rsid w:val="008C58B4"/>
    <w:rsid w:val="008C67C1"/>
    <w:rsid w:val="008D1D39"/>
    <w:rsid w:val="008F07D2"/>
    <w:rsid w:val="008F767C"/>
    <w:rsid w:val="00910E60"/>
    <w:rsid w:val="0091114C"/>
    <w:rsid w:val="0091295A"/>
    <w:rsid w:val="00917851"/>
    <w:rsid w:val="00917F65"/>
    <w:rsid w:val="00927A00"/>
    <w:rsid w:val="009311E7"/>
    <w:rsid w:val="00942694"/>
    <w:rsid w:val="00966FA0"/>
    <w:rsid w:val="00971CD0"/>
    <w:rsid w:val="009A1C7E"/>
    <w:rsid w:val="009A6085"/>
    <w:rsid w:val="009A7E3A"/>
    <w:rsid w:val="009B1265"/>
    <w:rsid w:val="009B2394"/>
    <w:rsid w:val="009B2E67"/>
    <w:rsid w:val="009B492B"/>
    <w:rsid w:val="009B4A15"/>
    <w:rsid w:val="009B5693"/>
    <w:rsid w:val="009B645A"/>
    <w:rsid w:val="009C61A2"/>
    <w:rsid w:val="009C78E4"/>
    <w:rsid w:val="009D687E"/>
    <w:rsid w:val="009E380B"/>
    <w:rsid w:val="009F0E44"/>
    <w:rsid w:val="009F3095"/>
    <w:rsid w:val="009F6DE7"/>
    <w:rsid w:val="00A10583"/>
    <w:rsid w:val="00A240D5"/>
    <w:rsid w:val="00A37FCB"/>
    <w:rsid w:val="00A54863"/>
    <w:rsid w:val="00A61D74"/>
    <w:rsid w:val="00A6499E"/>
    <w:rsid w:val="00A70879"/>
    <w:rsid w:val="00A8688B"/>
    <w:rsid w:val="00A91163"/>
    <w:rsid w:val="00A9286F"/>
    <w:rsid w:val="00A96255"/>
    <w:rsid w:val="00AA0EC5"/>
    <w:rsid w:val="00AB285B"/>
    <w:rsid w:val="00AB6E0D"/>
    <w:rsid w:val="00AB7330"/>
    <w:rsid w:val="00AC4940"/>
    <w:rsid w:val="00AC5DE5"/>
    <w:rsid w:val="00AE163E"/>
    <w:rsid w:val="00AE39BC"/>
    <w:rsid w:val="00AF5552"/>
    <w:rsid w:val="00AF5CB4"/>
    <w:rsid w:val="00AF5ED1"/>
    <w:rsid w:val="00AF71D6"/>
    <w:rsid w:val="00B02340"/>
    <w:rsid w:val="00B216EE"/>
    <w:rsid w:val="00B3175F"/>
    <w:rsid w:val="00B31E2C"/>
    <w:rsid w:val="00B329B0"/>
    <w:rsid w:val="00B402D8"/>
    <w:rsid w:val="00B4237C"/>
    <w:rsid w:val="00B42FE8"/>
    <w:rsid w:val="00B442A3"/>
    <w:rsid w:val="00B46F9C"/>
    <w:rsid w:val="00B52028"/>
    <w:rsid w:val="00B52AFD"/>
    <w:rsid w:val="00B54077"/>
    <w:rsid w:val="00B8087E"/>
    <w:rsid w:val="00B861D8"/>
    <w:rsid w:val="00BB5B06"/>
    <w:rsid w:val="00BB646E"/>
    <w:rsid w:val="00BC36CC"/>
    <w:rsid w:val="00BD1BA1"/>
    <w:rsid w:val="00BF2AE8"/>
    <w:rsid w:val="00BF5B86"/>
    <w:rsid w:val="00C019E5"/>
    <w:rsid w:val="00C01CE6"/>
    <w:rsid w:val="00C02E81"/>
    <w:rsid w:val="00C34CAD"/>
    <w:rsid w:val="00C35BC4"/>
    <w:rsid w:val="00C43F5B"/>
    <w:rsid w:val="00C46E32"/>
    <w:rsid w:val="00C65647"/>
    <w:rsid w:val="00C6765E"/>
    <w:rsid w:val="00C916FF"/>
    <w:rsid w:val="00C96073"/>
    <w:rsid w:val="00CA53EF"/>
    <w:rsid w:val="00CB4371"/>
    <w:rsid w:val="00CC485C"/>
    <w:rsid w:val="00CC516D"/>
    <w:rsid w:val="00CD7DBA"/>
    <w:rsid w:val="00CF0B7F"/>
    <w:rsid w:val="00CF67FB"/>
    <w:rsid w:val="00CF7F1B"/>
    <w:rsid w:val="00D10524"/>
    <w:rsid w:val="00D24330"/>
    <w:rsid w:val="00D325A5"/>
    <w:rsid w:val="00D40056"/>
    <w:rsid w:val="00D51E7C"/>
    <w:rsid w:val="00D5360C"/>
    <w:rsid w:val="00D53EC2"/>
    <w:rsid w:val="00D54F29"/>
    <w:rsid w:val="00D6181E"/>
    <w:rsid w:val="00D7020C"/>
    <w:rsid w:val="00D70AD9"/>
    <w:rsid w:val="00D72152"/>
    <w:rsid w:val="00D77842"/>
    <w:rsid w:val="00D85C2C"/>
    <w:rsid w:val="00D94BA5"/>
    <w:rsid w:val="00D9510F"/>
    <w:rsid w:val="00DA615C"/>
    <w:rsid w:val="00DB418B"/>
    <w:rsid w:val="00DB493F"/>
    <w:rsid w:val="00DC584A"/>
    <w:rsid w:val="00DD1BC6"/>
    <w:rsid w:val="00DE5DC3"/>
    <w:rsid w:val="00DF0C8C"/>
    <w:rsid w:val="00DF0E9F"/>
    <w:rsid w:val="00DF45A9"/>
    <w:rsid w:val="00E00271"/>
    <w:rsid w:val="00E00D8A"/>
    <w:rsid w:val="00E1050F"/>
    <w:rsid w:val="00E11604"/>
    <w:rsid w:val="00E11D92"/>
    <w:rsid w:val="00E12268"/>
    <w:rsid w:val="00E130A0"/>
    <w:rsid w:val="00E175D3"/>
    <w:rsid w:val="00E210C4"/>
    <w:rsid w:val="00E23DB7"/>
    <w:rsid w:val="00E245CC"/>
    <w:rsid w:val="00E35A9C"/>
    <w:rsid w:val="00E46D96"/>
    <w:rsid w:val="00E51861"/>
    <w:rsid w:val="00E52CCA"/>
    <w:rsid w:val="00E66409"/>
    <w:rsid w:val="00E72ADB"/>
    <w:rsid w:val="00E81D5B"/>
    <w:rsid w:val="00E976B9"/>
    <w:rsid w:val="00EA05D3"/>
    <w:rsid w:val="00EA0F3F"/>
    <w:rsid w:val="00EB19AD"/>
    <w:rsid w:val="00EB2F31"/>
    <w:rsid w:val="00EB6493"/>
    <w:rsid w:val="00EC0C5F"/>
    <w:rsid w:val="00EC2915"/>
    <w:rsid w:val="00EC30AF"/>
    <w:rsid w:val="00EC672F"/>
    <w:rsid w:val="00ED05A9"/>
    <w:rsid w:val="00ED1BA0"/>
    <w:rsid w:val="00F00021"/>
    <w:rsid w:val="00F17257"/>
    <w:rsid w:val="00F17EFE"/>
    <w:rsid w:val="00F24DDE"/>
    <w:rsid w:val="00F30E0B"/>
    <w:rsid w:val="00F34D24"/>
    <w:rsid w:val="00F4130B"/>
    <w:rsid w:val="00F55445"/>
    <w:rsid w:val="00F556A2"/>
    <w:rsid w:val="00F64745"/>
    <w:rsid w:val="00F719A8"/>
    <w:rsid w:val="00F86C57"/>
    <w:rsid w:val="00F878B9"/>
    <w:rsid w:val="00F87B74"/>
    <w:rsid w:val="00F90025"/>
    <w:rsid w:val="00F9278F"/>
    <w:rsid w:val="00FA0153"/>
    <w:rsid w:val="00FB1C41"/>
    <w:rsid w:val="00FB24E8"/>
    <w:rsid w:val="00FB3B2B"/>
    <w:rsid w:val="00FC18DA"/>
    <w:rsid w:val="00FC3917"/>
    <w:rsid w:val="00FC4A00"/>
    <w:rsid w:val="00FC6CA9"/>
    <w:rsid w:val="00FD60DA"/>
    <w:rsid w:val="00FE189A"/>
    <w:rsid w:val="00FE37BE"/>
    <w:rsid w:val="00FF07B4"/>
    <w:rsid w:val="0B61B68D"/>
    <w:rsid w:val="3C53773C"/>
    <w:rsid w:val="47B21E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7B38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601FCF"/>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locked/>
    <w:rsid w:val="007B38F4"/>
  </w:style>
  <w:style w:type="paragraph" w:customStyle="1" w:styleId="GHFeaturedlist">
    <w:name w:val="GH_Featured list"/>
    <w:basedOn w:val="Normal"/>
    <w:qFormat/>
    <w:rsid w:val="007B38F4"/>
    <w:pPr>
      <w:numPr>
        <w:numId w:val="5"/>
      </w:numPr>
      <w:spacing w:after="180" w:line="360" w:lineRule="auto"/>
      <w:contextualSpacing/>
      <w:jc w:val="both"/>
    </w:pPr>
    <w:rPr>
      <w:rFonts w:ascii="Arial" w:eastAsia="MS PGothic" w:hAnsi="Arial" w:cs="Times New Roman"/>
      <w:sz w:val="18"/>
      <w:szCs w:val="24"/>
      <w:lang w:eastAsia="en-US"/>
    </w:rPr>
  </w:style>
  <w:style w:type="character" w:customStyle="1" w:styleId="Heading4Char">
    <w:name w:val="Heading 4 Char"/>
    <w:basedOn w:val="DefaultParagraphFont"/>
    <w:link w:val="Heading4"/>
    <w:uiPriority w:val="9"/>
    <w:semiHidden/>
    <w:rsid w:val="007B38F4"/>
    <w:rPr>
      <w:rFonts w:asciiTheme="majorHAnsi" w:eastAsiaTheme="majorEastAsia" w:hAnsiTheme="majorHAnsi" w:cstheme="majorBidi"/>
      <w:i/>
      <w:iCs/>
      <w:color w:val="365F91" w:themeColor="accent1" w:themeShade="BF"/>
    </w:rPr>
  </w:style>
  <w:style w:type="character" w:styleId="Mention">
    <w:name w:val="Mention"/>
    <w:basedOn w:val="DefaultParagraphFont"/>
    <w:uiPriority w:val="99"/>
    <w:unhideWhenUsed/>
    <w:rsid w:val="00723090"/>
    <w:rPr>
      <w:color w:val="2B579A"/>
      <w:shd w:val="clear" w:color="auto" w:fill="E1DFDD"/>
    </w:rPr>
  </w:style>
  <w:style w:type="paragraph" w:styleId="Revision">
    <w:name w:val="Revision"/>
    <w:hidden/>
    <w:uiPriority w:val="99"/>
    <w:semiHidden/>
    <w:rsid w:val="00EC672F"/>
    <w:pPr>
      <w:spacing w:after="0" w:line="240" w:lineRule="auto"/>
    </w:pPr>
  </w:style>
  <w:style w:type="character" w:customStyle="1" w:styleId="normaltextrun">
    <w:name w:val="normaltextrun"/>
    <w:basedOn w:val="DefaultParagraphFont"/>
    <w:rsid w:val="00684665"/>
  </w:style>
  <w:style w:type="character" w:styleId="FollowedHyperlink">
    <w:name w:val="FollowedHyperlink"/>
    <w:basedOn w:val="DefaultParagraphFont"/>
    <w:uiPriority w:val="99"/>
    <w:semiHidden/>
    <w:unhideWhenUsed/>
    <w:rsid w:val="007551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770497">
      <w:bodyDiv w:val="1"/>
      <w:marLeft w:val="0"/>
      <w:marRight w:val="0"/>
      <w:marTop w:val="0"/>
      <w:marBottom w:val="0"/>
      <w:divBdr>
        <w:top w:val="none" w:sz="0" w:space="0" w:color="auto"/>
        <w:left w:val="none" w:sz="0" w:space="0" w:color="auto"/>
        <w:bottom w:val="none" w:sz="0" w:space="0" w:color="auto"/>
        <w:right w:val="none" w:sz="0" w:space="0" w:color="auto"/>
      </w:divBdr>
    </w:div>
    <w:div w:id="67962132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8814063">
      <w:bodyDiv w:val="1"/>
      <w:marLeft w:val="0"/>
      <w:marRight w:val="0"/>
      <w:marTop w:val="0"/>
      <w:marBottom w:val="0"/>
      <w:divBdr>
        <w:top w:val="none" w:sz="0" w:space="0" w:color="auto"/>
        <w:left w:val="none" w:sz="0" w:space="0" w:color="auto"/>
        <w:bottom w:val="none" w:sz="0" w:space="0" w:color="auto"/>
        <w:right w:val="none" w:sz="0" w:space="0" w:color="auto"/>
      </w:divBdr>
    </w:div>
    <w:div w:id="1563828987">
      <w:bodyDiv w:val="1"/>
      <w:marLeft w:val="0"/>
      <w:marRight w:val="0"/>
      <w:marTop w:val="0"/>
      <w:marBottom w:val="0"/>
      <w:divBdr>
        <w:top w:val="none" w:sz="0" w:space="0" w:color="auto"/>
        <w:left w:val="none" w:sz="0" w:space="0" w:color="auto"/>
        <w:bottom w:val="none" w:sz="0" w:space="0" w:color="auto"/>
        <w:right w:val="none" w:sz="0" w:space="0" w:color="auto"/>
      </w:divBdr>
    </w:div>
    <w:div w:id="16473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docs.unep.org/xmlui/bitstream/handle/20.500.11822/38262/SDG17.14.1_methodology.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docs.unep.org/xmlui/bitstream/handle/20.500.11822/38262/SDG17.14.1_methodology.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sr.unep.org/media/docs/graphs/aggregation_methods.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B0F5E1D-4B33-41F2-BF92-5689B9AA1AF0}"/>
      </w:docPartPr>
      <w:docPartBody>
        <w:p w:rsidR="005547C1" w:rsidRDefault="00841718">
          <w:r w:rsidRPr="00F073A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18"/>
    <w:rsid w:val="00016185"/>
    <w:rsid w:val="004E625F"/>
    <w:rsid w:val="005547C1"/>
    <w:rsid w:val="00841718"/>
    <w:rsid w:val="00C22CE6"/>
    <w:rsid w:val="00D77715"/>
    <w:rsid w:val="00DD3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7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d055a5a-a443-4286-b79d-4e9baf2cd17b">
      <Terms xmlns="http://schemas.microsoft.com/office/infopath/2007/PartnerControls"/>
    </lcf76f155ced4ddcb4097134ff3c332f>
    <TaxCatchAll xmlns="985ec44e-1bab-4c0b-9df0-6ba128686fc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8687E850F6874DAA2C89080697799B" ma:contentTypeVersion="16" ma:contentTypeDescription="Create a new document." ma:contentTypeScope="" ma:versionID="6cab7416a39ba42a4ea9ebd3ff680da2">
  <xsd:schema xmlns:xsd="http://www.w3.org/2001/XMLSchema" xmlns:xs="http://www.w3.org/2001/XMLSchema" xmlns:p="http://schemas.microsoft.com/office/2006/metadata/properties" xmlns:ns2="dd055a5a-a443-4286-b79d-4e9baf2cd17b" xmlns:ns3="81436bda-9819-4d2a-9e28-fbe5892ec302" xmlns:ns4="985ec44e-1bab-4c0b-9df0-6ba128686fc9" targetNamespace="http://schemas.microsoft.com/office/2006/metadata/properties" ma:root="true" ma:fieldsID="d9d81d0f869caea69e7b8ec4e10c2e7a" ns2:_="" ns3:_="" ns4:_="">
    <xsd:import namespace="dd055a5a-a443-4286-b79d-4e9baf2cd17b"/>
    <xsd:import namespace="81436bda-9819-4d2a-9e28-fbe5892ec302"/>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55a5a-a443-4286-b79d-4e9baf2cd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36bda-9819-4d2a-9e28-fbe5892ec30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2d2f505-14cc-4416-b5f0-25a89fb8bc5f}" ma:internalName="TaxCatchAll" ma:showField="CatchAllData" ma:web="81436bda-9819-4d2a-9e28-fbe5892ec3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d055a5a-a443-4286-b79d-4e9baf2cd17b"/>
    <ds:schemaRef ds:uri="985ec44e-1bab-4c0b-9df0-6ba128686fc9"/>
  </ds:schemaRefs>
</ds:datastoreItem>
</file>

<file path=customXml/itemProps2.xml><?xml version="1.0" encoding="utf-8"?>
<ds:datastoreItem xmlns:ds="http://schemas.openxmlformats.org/officeDocument/2006/customXml" ds:itemID="{54D85978-3802-46CF-A86D-F34289C9C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55a5a-a443-4286-b79d-4e9baf2cd17b"/>
    <ds:schemaRef ds:uri="81436bda-9819-4d2a-9e28-fbe5892ec302"/>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B24465-5F3B-4119-BE66-3B6822FD0D75}">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6</cp:revision>
  <cp:lastPrinted>2016-07-16T14:25:00Z</cp:lastPrinted>
  <dcterms:created xsi:type="dcterms:W3CDTF">2024-06-03T18:03:00Z</dcterms:created>
  <dcterms:modified xsi:type="dcterms:W3CDTF">2024-07-25T21:15:00Z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0x0101002A8687E850F6874DAA2C89080697799B</vt:lpwstr>
  </property>
</Properties>
</file>