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10E90F29"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6F277C">
        <w:rPr>
          <w:rFonts w:eastAsia="Times New Roman" w:cs="Calibri"/>
          <w:b/>
          <w:bCs/>
          <w:color w:val="4A4A4A"/>
          <w:sz w:val="21"/>
          <w:szCs w:val="21"/>
          <w:lang w:eastAsia="en-GB"/>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7C47BC48" w14:textId="77777777" w:rsidR="00D366A8" w:rsidRDefault="00D366A8" w:rsidP="00D366A8">
      <w:pPr>
        <w:pStyle w:val="MGTHeader"/>
      </w:pPr>
      <w:r>
        <w:t>Goal 17. Strengthen the means of implementation and revitalize the Global Partnership for Sustainable Development</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465F1545" w14:textId="5DF385F7" w:rsidR="00D366A8" w:rsidRDefault="00D366A8" w:rsidP="00D366A8">
      <w:pPr>
        <w:pStyle w:val="MGTHeader"/>
      </w:pPr>
      <w:r>
        <w:t xml:space="preserve">Target 17.18: By 2020, enhance capacity-building support to developing countries, including for least developed countries and small island developing </w:t>
      </w:r>
      <w:r w:rsidR="00EC317C">
        <w:t>s</w:t>
      </w:r>
      <w:r>
        <w:t xml:space="preserve">tates, to increase significantly the availability of high-quality, timely and reliable data disaggregated by income, gender, age, race, ethnicity, migratory status, disability, geographic location and other characteristics relevant in national </w:t>
      </w:r>
      <w:proofErr w:type="gramStart"/>
      <w:r>
        <w:t>contexts</w:t>
      </w:r>
      <w:proofErr w:type="gramEnd"/>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3E07973E" w14:textId="63C4010E" w:rsidR="00D366A8" w:rsidRDefault="00D366A8" w:rsidP="00D366A8">
      <w:pPr>
        <w:pStyle w:val="MGTHeader"/>
      </w:pPr>
      <w:r w:rsidRPr="005002DF">
        <w:t xml:space="preserve">Indicator 17.18.1: </w:t>
      </w:r>
      <w:r w:rsidR="009019A2">
        <w:t>Statistical capacity indicators</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464B59A2" w14:textId="5F91ED49" w:rsidR="00D366A8" w:rsidRDefault="003267A0" w:rsidP="00D366A8">
      <w:pPr>
        <w:pStyle w:val="MGTHeader"/>
      </w:pPr>
      <w:r w:rsidRPr="003267A0">
        <w:t>SG_STT_ODIN - Open Data Inventory (ODIN) Coverage Index [17.18.1]</w:t>
      </w: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sdt>
      <w:sdtPr>
        <w:id w:val="1186480725"/>
        <w:placeholder>
          <w:docPart w:val="C48DC73C0DB3457884344CF9B7BFD986"/>
        </w:placeholder>
        <w:date w:fullDate="2024-03-28T00:00:00Z">
          <w:dateFormat w:val="yyyy-MM-dd"/>
          <w:lid w:val="en-US"/>
          <w:storeMappedDataAs w:val="dateTime"/>
          <w:calendar w:val="gregorian"/>
        </w:date>
      </w:sdtPr>
      <w:sdtEndPr/>
      <w:sdtContent>
        <w:p w14:paraId="03424B60" w14:textId="71696653" w:rsidR="00D24330" w:rsidRPr="00A36F61" w:rsidRDefault="007511F8" w:rsidP="00D24330">
          <w:pPr>
            <w:pStyle w:val="MGTHeader"/>
          </w:pPr>
          <w:r>
            <w:rPr>
              <w:lang w:val="en-US"/>
            </w:rPr>
            <w:t>2024-03-28</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7C33928D" w14:textId="2BB25187" w:rsidR="006360B3" w:rsidRPr="00A96255" w:rsidRDefault="00D270C3" w:rsidP="00D270C3">
      <w:pPr>
        <w:pStyle w:val="MGTHeader"/>
      </w:pPr>
      <w:r>
        <w:t>17.18.2, 17.18.</w:t>
      </w:r>
      <w:r w:rsidR="000D064F">
        <w:t>3</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1D7001A1" w14:textId="16D6E15A" w:rsidR="00D366A8" w:rsidRPr="001D0DB7" w:rsidRDefault="00D366A8" w:rsidP="00D366A8">
      <w:pPr>
        <w:pStyle w:val="MGTHeader"/>
      </w:pPr>
      <w:r w:rsidRPr="001D0DB7">
        <w:t>Open Data Watch (ODW)</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1C94D225" w14:textId="6D35E103" w:rsidR="00D366A8" w:rsidRPr="001D0DB7" w:rsidRDefault="00D366A8" w:rsidP="00D366A8">
      <w:pPr>
        <w:pStyle w:val="MText"/>
      </w:pPr>
      <w:r w:rsidRPr="001D0DB7">
        <w:t>Open Data Watch (ODW)</w:t>
      </w:r>
    </w:p>
    <w:p w14:paraId="27917BB3" w14:textId="1343538D" w:rsidR="00576CFA" w:rsidRPr="00A96255" w:rsidRDefault="00576CFA"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4335E054" w14:textId="77777777" w:rsidR="00D366A8" w:rsidRPr="00EC2826" w:rsidRDefault="00D366A8" w:rsidP="00D366A8">
      <w:pPr>
        <w:pStyle w:val="MText"/>
      </w:pPr>
      <w:r w:rsidRPr="00EC2826">
        <w:rPr>
          <w:color w:val="2B579A"/>
          <w:shd w:val="clear" w:color="auto" w:fill="E6E6E6"/>
        </w:rPr>
        <w:t>Definitions:</w:t>
      </w:r>
    </w:p>
    <w:p w14:paraId="04EBBCBA" w14:textId="61BA3203" w:rsidR="00D366A8" w:rsidRPr="006804E1" w:rsidRDefault="00D366A8" w:rsidP="00D366A8">
      <w:pPr>
        <w:pStyle w:val="MText"/>
      </w:pPr>
      <w:r w:rsidRPr="006804E1">
        <w:t>The Open Data Inventory (ODIN) is an evaluation of the coverage and openness of data provided on the websites maintained by national statistical offices (NSOs) and any official government website that is accessible from the NSO site</w:t>
      </w:r>
      <w:r w:rsidR="003E76C8" w:rsidRPr="006804E1">
        <w:t xml:space="preserve">, as well as a country’s official SDG portal. </w:t>
      </w:r>
    </w:p>
    <w:p w14:paraId="62B3E69D" w14:textId="77777777" w:rsidR="00D366A8" w:rsidRDefault="00D366A8" w:rsidP="00D366A8">
      <w:pPr>
        <w:pStyle w:val="MText"/>
        <w:rPr>
          <w:highlight w:val="yellow"/>
        </w:rPr>
      </w:pPr>
    </w:p>
    <w:p w14:paraId="2AA2F3F9" w14:textId="2C84196E" w:rsidR="00D366A8" w:rsidRDefault="003F2248" w:rsidP="00D366A8">
      <w:pPr>
        <w:pStyle w:val="MText"/>
      </w:pPr>
      <w:r w:rsidRPr="2AB24E4D">
        <w:rPr>
          <w:rFonts w:cstheme="minorBidi"/>
        </w:rPr>
        <w:t>Capacity to produce a set of official statistics from national databases to support the SDG</w:t>
      </w:r>
      <w:r w:rsidR="00D74B0F">
        <w:rPr>
          <w:rFonts w:cstheme="minorBidi"/>
        </w:rPr>
        <w:t>s</w:t>
      </w:r>
      <w:r w:rsidR="00D366A8" w:rsidRPr="001D0DB7">
        <w:t xml:space="preserve">: The ODIN </w:t>
      </w:r>
      <w:r w:rsidR="41DB129C">
        <w:t>C</w:t>
      </w:r>
      <w:r w:rsidR="00D366A8">
        <w:t xml:space="preserve">overage </w:t>
      </w:r>
      <w:r w:rsidR="4177D34A">
        <w:t>Index</w:t>
      </w:r>
      <w:r w:rsidR="00D366A8" w:rsidRPr="001D0DB7">
        <w:t xml:space="preserve"> refers to the availability of important statistical indicators in </w:t>
      </w:r>
      <w:hyperlink r:id="rId11" w:history="1">
        <w:r w:rsidR="00D366A8" w:rsidRPr="003C6670">
          <w:rPr>
            <w:rStyle w:val="Hyperlink"/>
          </w:rPr>
          <w:t>22 categories of social, economic, and environmental statistics</w:t>
        </w:r>
      </w:hyperlink>
      <w:r w:rsidR="00D366A8" w:rsidRPr="001D0DB7">
        <w:t>. Each data category is assessed on five elements of coverage</w:t>
      </w:r>
      <w:r w:rsidR="002E41B8">
        <w:t xml:space="preserve"> </w:t>
      </w:r>
      <w:r w:rsidR="00C47FC0">
        <w:t xml:space="preserve">(see below) </w:t>
      </w:r>
      <w:r w:rsidR="002E41B8">
        <w:t>that measure how complete the country’s data offerings are</w:t>
      </w:r>
      <w:r w:rsidR="00D366A8" w:rsidRPr="001D0DB7">
        <w:t xml:space="preserve">. </w:t>
      </w:r>
    </w:p>
    <w:p w14:paraId="25278507" w14:textId="77777777" w:rsidR="002E41B8" w:rsidRDefault="002E41B8" w:rsidP="00D366A8">
      <w:pPr>
        <w:pStyle w:val="MText"/>
      </w:pPr>
    </w:p>
    <w:p w14:paraId="2C48E8BC" w14:textId="183131A3" w:rsidR="002E41B8" w:rsidRDefault="002E41B8" w:rsidP="002E41B8">
      <w:pPr>
        <w:pStyle w:val="MText"/>
      </w:pPr>
      <w:r>
        <w:t xml:space="preserve">Information on all elements </w:t>
      </w:r>
      <w:proofErr w:type="gramStart"/>
      <w:r>
        <w:t>are</w:t>
      </w:r>
      <w:proofErr w:type="gramEnd"/>
      <w:r>
        <w:t xml:space="preserve"> collected for each dataset assessed in ODIN, except for elements 4 and 5</w:t>
      </w:r>
      <w:r w:rsidR="008A54F0">
        <w:t xml:space="preserve"> (see below)</w:t>
      </w:r>
      <w:r>
        <w:t xml:space="preserve"> that are not included for some data categories or for small countries.</w:t>
      </w:r>
    </w:p>
    <w:p w14:paraId="04153903" w14:textId="77777777" w:rsidR="002E41B8" w:rsidRDefault="002E41B8" w:rsidP="002E41B8">
      <w:pPr>
        <w:pStyle w:val="MText"/>
      </w:pPr>
      <w:r>
        <w:t xml:space="preserve"> </w:t>
      </w:r>
    </w:p>
    <w:p w14:paraId="3D38CADB" w14:textId="09ED750D" w:rsidR="002E41B8" w:rsidRDefault="002E41B8" w:rsidP="002E41B8">
      <w:pPr>
        <w:pStyle w:val="MText"/>
      </w:pPr>
      <w:r>
        <w:t xml:space="preserve">The five coverage elements </w:t>
      </w:r>
      <w:r w:rsidR="00882DAD">
        <w:t xml:space="preserve">(further described in 4.c) </w:t>
      </w:r>
      <w:r>
        <w:t>are:</w:t>
      </w:r>
    </w:p>
    <w:p w14:paraId="786BC11A" w14:textId="4AF5A666" w:rsidR="002E41B8" w:rsidRDefault="002E41B8" w:rsidP="003A14B4">
      <w:pPr>
        <w:pStyle w:val="MText"/>
        <w:numPr>
          <w:ilvl w:val="0"/>
          <w:numId w:val="6"/>
        </w:numPr>
      </w:pPr>
      <w:r>
        <w:t xml:space="preserve">Availability of indicators and </w:t>
      </w:r>
      <w:proofErr w:type="spellStart"/>
      <w:r>
        <w:t>disaggregations</w:t>
      </w:r>
      <w:proofErr w:type="spellEnd"/>
    </w:p>
    <w:p w14:paraId="58DBF037" w14:textId="77777777" w:rsidR="002E41B8" w:rsidRDefault="002E41B8" w:rsidP="003A14B4">
      <w:pPr>
        <w:pStyle w:val="MText"/>
        <w:numPr>
          <w:ilvl w:val="0"/>
          <w:numId w:val="6"/>
        </w:numPr>
      </w:pPr>
      <w:r>
        <w:t>Availability of data in the last five years</w:t>
      </w:r>
    </w:p>
    <w:p w14:paraId="089B4BDF" w14:textId="77777777" w:rsidR="002E41B8" w:rsidRDefault="002E41B8" w:rsidP="003A14B4">
      <w:pPr>
        <w:pStyle w:val="MText"/>
        <w:numPr>
          <w:ilvl w:val="0"/>
          <w:numId w:val="6"/>
        </w:numPr>
      </w:pPr>
      <w:r>
        <w:t>Availability of data in the last ten years</w:t>
      </w:r>
    </w:p>
    <w:p w14:paraId="48BA4DFA" w14:textId="77777777" w:rsidR="002E41B8" w:rsidRDefault="002E41B8" w:rsidP="003A14B4">
      <w:pPr>
        <w:pStyle w:val="MText"/>
        <w:numPr>
          <w:ilvl w:val="0"/>
          <w:numId w:val="6"/>
        </w:numPr>
      </w:pPr>
      <w:r>
        <w:t>Availability of data at the first administrative geographic level</w:t>
      </w:r>
    </w:p>
    <w:p w14:paraId="27E6DB61" w14:textId="2E4E50DB" w:rsidR="002E41B8" w:rsidRDefault="002E41B8" w:rsidP="003A14B4">
      <w:pPr>
        <w:pStyle w:val="MText"/>
        <w:numPr>
          <w:ilvl w:val="0"/>
          <w:numId w:val="6"/>
        </w:numPr>
      </w:pPr>
      <w:r>
        <w:t>Availability of data at the second administrative geographic level</w:t>
      </w:r>
    </w:p>
    <w:p w14:paraId="6E54D3D6" w14:textId="77777777" w:rsidR="00EC2915" w:rsidRDefault="00EC2915" w:rsidP="00576CFA">
      <w:pPr>
        <w:pStyle w:val="MText"/>
      </w:pPr>
    </w:p>
    <w:p w14:paraId="60DEDEDD" w14:textId="1D77C543" w:rsidR="002D3B35" w:rsidRDefault="00C319CF" w:rsidP="002D3B35">
      <w:pPr>
        <w:pStyle w:val="MText"/>
      </w:pPr>
      <w:r w:rsidRPr="00C319CF">
        <w:t>Scores are assigned for each element of each data category, not indicator. In addition, each data category cannot score higher on coverage elements 2-5 than coverage element 1.</w:t>
      </w:r>
      <w:r>
        <w:t xml:space="preserve"> </w:t>
      </w:r>
      <w:r w:rsidR="002D3B35" w:rsidRPr="001D0DB7">
        <w:t>Aggregate scores are computed across categories and elements.</w:t>
      </w:r>
    </w:p>
    <w:p w14:paraId="01DBBFA0" w14:textId="77777777" w:rsidR="002D3B35" w:rsidRPr="00A96255" w:rsidRDefault="002D3B3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224E9D5E" w:rsidR="00EC2915" w:rsidRDefault="00CC019C" w:rsidP="00576CFA">
      <w:pPr>
        <w:pStyle w:val="MText"/>
      </w:pPr>
      <w:r>
        <w:t>The availability of official statistics is expressed as an index</w:t>
      </w:r>
      <w:r w:rsidR="000E7CC5">
        <w:t xml:space="preserve"> from 0 to 100</w:t>
      </w:r>
      <w:r w:rsidR="00221D43">
        <w:t xml:space="preserve">—0 </w:t>
      </w:r>
      <w:r w:rsidR="00CF7633">
        <w:t>expressing no availability and 100 expressing complete availability</w:t>
      </w:r>
      <w:r w:rsidR="000E7CC5">
        <w:t>.</w:t>
      </w:r>
    </w:p>
    <w:p w14:paraId="3D0EB6FB" w14:textId="77777777" w:rsidR="000E7CC5" w:rsidRPr="00A96255" w:rsidRDefault="000E7CC5" w:rsidP="00576CFA">
      <w:pPr>
        <w:pStyle w:val="MText"/>
      </w:pPr>
      <w:bookmarkStart w:id="5" w:name="_Hlk130454128"/>
    </w:p>
    <w:p w14:paraId="651AA7AC" w14:textId="5144B8C4" w:rsidR="00DA615C" w:rsidRPr="00A96255" w:rsidRDefault="008B0AC7" w:rsidP="00F719A8">
      <w:pPr>
        <w:pStyle w:val="MHeader2"/>
      </w:pPr>
      <w:r w:rsidRPr="00A96255">
        <w:t xml:space="preserve">2.c. Classifications </w:t>
      </w:r>
      <w:r>
        <w:rPr>
          <w:color w:val="B4B4B4"/>
          <w:sz w:val="20"/>
        </w:rPr>
        <w:t>(CLASS_SYSTEM)</w:t>
      </w:r>
    </w:p>
    <w:bookmarkEnd w:id="5"/>
    <w:p w14:paraId="123172F4" w14:textId="38D4A88C" w:rsidR="00F719A8" w:rsidRDefault="003C6670" w:rsidP="00576CFA">
      <w:pPr>
        <w:pStyle w:val="MText"/>
      </w:pPr>
      <w:r>
        <w:t>Not applicable</w:t>
      </w:r>
    </w:p>
    <w:p w14:paraId="118ECC4A" w14:textId="77777777" w:rsidR="003C6670" w:rsidRPr="00A96255" w:rsidRDefault="003C6670"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7750DB80" w14:textId="3CF7EF9F" w:rsidR="00D366A8" w:rsidRPr="00A96255" w:rsidRDefault="00B74575" w:rsidP="00576CFA">
      <w:pPr>
        <w:pStyle w:val="MText"/>
      </w:pPr>
      <w:r>
        <w:t xml:space="preserve">Assessments </w:t>
      </w:r>
      <w:r w:rsidR="06E2507E">
        <w:t xml:space="preserve">by Open Data Watch assessors </w:t>
      </w:r>
      <w:r>
        <w:t>of N</w:t>
      </w:r>
      <w:r w:rsidR="00D6346C">
        <w:t xml:space="preserve">ational Statistical </w:t>
      </w:r>
      <w:r>
        <w:t>O</w:t>
      </w:r>
      <w:r w:rsidR="00D6346C">
        <w:t>ffice</w:t>
      </w:r>
      <w:r>
        <w:t xml:space="preserve"> </w:t>
      </w:r>
      <w:r w:rsidR="00D6346C">
        <w:t xml:space="preserve">(NSO) </w:t>
      </w:r>
      <w:r>
        <w:t xml:space="preserve">websites (and any official government sites or portals that are </w:t>
      </w:r>
      <w:r w:rsidR="00925A96">
        <w:t>linked</w:t>
      </w:r>
      <w:r w:rsidR="54383310">
        <w:t xml:space="preserve"> to</w:t>
      </w:r>
      <w:r>
        <w:t xml:space="preserve"> the NSO website)</w:t>
      </w:r>
      <w:r w:rsidR="00BE19AD">
        <w:t>.</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7D9CB8BC" w14:textId="77777777" w:rsidR="005A4E05" w:rsidRPr="005A4E05" w:rsidRDefault="005A4E05" w:rsidP="005A4E05">
      <w:pPr>
        <w:pStyle w:val="MText"/>
        <w:rPr>
          <w:b/>
          <w:bCs/>
          <w:lang w:val="en-US"/>
        </w:rPr>
      </w:pPr>
      <w:r w:rsidRPr="005A4E05">
        <w:rPr>
          <w:b/>
          <w:bCs/>
          <w:i/>
          <w:iCs/>
          <w:lang w:val="en-US"/>
        </w:rPr>
        <w:t>Stage One: Initial Assessment</w:t>
      </w:r>
    </w:p>
    <w:p w14:paraId="7BAB4CF9" w14:textId="6EE7D28C" w:rsidR="005A4E05" w:rsidRPr="005A4E05" w:rsidRDefault="005A4E05" w:rsidP="005A4E05">
      <w:pPr>
        <w:pStyle w:val="MText"/>
        <w:rPr>
          <w:lang w:val="en-US"/>
        </w:rPr>
      </w:pPr>
      <w:r w:rsidRPr="005A4E05">
        <w:rPr>
          <w:lang w:val="en-US"/>
        </w:rPr>
        <w:t xml:space="preserve">Assessors evaluate the NSO website (and any official government sites or portals that are one click away from the NSO </w:t>
      </w:r>
      <w:r w:rsidRPr="006804E1">
        <w:rPr>
          <w:lang w:val="en-US"/>
        </w:rPr>
        <w:t>website</w:t>
      </w:r>
      <w:r w:rsidR="003E76C8" w:rsidRPr="006804E1">
        <w:rPr>
          <w:lang w:val="en-US"/>
        </w:rPr>
        <w:t xml:space="preserve"> or SDG portals)</w:t>
      </w:r>
      <w:r w:rsidRPr="006804E1">
        <w:rPr>
          <w:lang w:val="en-US"/>
        </w:rPr>
        <w:t xml:space="preserve"> for</w:t>
      </w:r>
      <w:r w:rsidRPr="005A4E05">
        <w:rPr>
          <w:lang w:val="en-US"/>
        </w:rPr>
        <w:t xml:space="preserve"> data on the </w:t>
      </w:r>
      <w:hyperlink r:id="rId12" w:history="1">
        <w:r w:rsidRPr="003C6670">
          <w:rPr>
            <w:rStyle w:val="Hyperlink"/>
            <w:lang w:val="en-US"/>
          </w:rPr>
          <w:t xml:space="preserve">65 </w:t>
        </w:r>
        <w:r w:rsidR="00DF17BE" w:rsidRPr="003C6670">
          <w:rPr>
            <w:rStyle w:val="Hyperlink"/>
          </w:rPr>
          <w:t>Open Data Inventory (</w:t>
        </w:r>
        <w:r w:rsidRPr="003C6670">
          <w:rPr>
            <w:rStyle w:val="Hyperlink"/>
            <w:lang w:val="en-US"/>
          </w:rPr>
          <w:t>ODIN</w:t>
        </w:r>
        <w:r w:rsidR="00DF17BE" w:rsidRPr="003C6670">
          <w:rPr>
            <w:rStyle w:val="Hyperlink"/>
            <w:lang w:val="en-US"/>
          </w:rPr>
          <w:t>)</w:t>
        </w:r>
        <w:r w:rsidRPr="003C6670">
          <w:rPr>
            <w:rStyle w:val="Hyperlink"/>
            <w:lang w:val="en-US"/>
          </w:rPr>
          <w:t xml:space="preserve"> indicators</w:t>
        </w:r>
      </w:hyperlink>
      <w:r w:rsidRPr="005A4E05">
        <w:rPr>
          <w:lang w:val="en-US"/>
        </w:rPr>
        <w:t>.</w:t>
      </w:r>
    </w:p>
    <w:p w14:paraId="75B4E0D1" w14:textId="77777777" w:rsidR="005A4E05" w:rsidRPr="005A4E05" w:rsidRDefault="005A4E05" w:rsidP="005A4E05">
      <w:pPr>
        <w:pStyle w:val="MText"/>
        <w:rPr>
          <w:lang w:val="en-US"/>
        </w:rPr>
      </w:pPr>
    </w:p>
    <w:p w14:paraId="3721B593" w14:textId="77777777" w:rsidR="005A4E05" w:rsidRPr="005A4E05" w:rsidRDefault="005A4E05" w:rsidP="005A4E05">
      <w:pPr>
        <w:pStyle w:val="MText"/>
        <w:rPr>
          <w:lang w:val="en-US"/>
        </w:rPr>
      </w:pPr>
      <w:r w:rsidRPr="005A4E05">
        <w:rPr>
          <w:b/>
          <w:bCs/>
          <w:i/>
          <w:iCs/>
          <w:lang w:val="en-US"/>
        </w:rPr>
        <w:t>Stage Two: First Round Internal Review</w:t>
      </w:r>
    </w:p>
    <w:p w14:paraId="202F5177" w14:textId="77777777" w:rsidR="005A4E05" w:rsidRDefault="005A4E05" w:rsidP="005A4E05">
      <w:pPr>
        <w:pStyle w:val="MText"/>
        <w:rPr>
          <w:lang w:val="en-US"/>
        </w:rPr>
      </w:pPr>
      <w:r w:rsidRPr="005A4E05">
        <w:rPr>
          <w:lang w:val="en-US"/>
        </w:rPr>
        <w:t xml:space="preserve">During this stage, internal reviewers meticulously review all the information provided by assessors. They download and view all recorded datasets to confirm the information provided by the assessor and </w:t>
      </w:r>
      <w:proofErr w:type="gramStart"/>
      <w:r w:rsidRPr="005A4E05">
        <w:rPr>
          <w:lang w:val="en-US"/>
        </w:rPr>
        <w:t>make adjustments</w:t>
      </w:r>
      <w:proofErr w:type="gramEnd"/>
      <w:r w:rsidRPr="005A4E05">
        <w:rPr>
          <w:lang w:val="en-US"/>
        </w:rPr>
        <w:t>, as necessary.</w:t>
      </w:r>
    </w:p>
    <w:p w14:paraId="57E13715" w14:textId="77777777" w:rsidR="00065FFE" w:rsidRPr="005A4E05" w:rsidRDefault="00065FFE" w:rsidP="005A4E05">
      <w:pPr>
        <w:pStyle w:val="MText"/>
        <w:rPr>
          <w:lang w:val="en-US"/>
        </w:rPr>
      </w:pPr>
    </w:p>
    <w:p w14:paraId="525505D1" w14:textId="77777777" w:rsidR="005A4E05" w:rsidRPr="005A4E05" w:rsidRDefault="005A4E05" w:rsidP="005A4E05">
      <w:pPr>
        <w:pStyle w:val="MText"/>
        <w:rPr>
          <w:b/>
          <w:bCs/>
          <w:lang w:val="en-US"/>
        </w:rPr>
      </w:pPr>
      <w:r w:rsidRPr="005A4E05">
        <w:rPr>
          <w:b/>
          <w:bCs/>
          <w:i/>
          <w:iCs/>
          <w:lang w:val="en-US"/>
        </w:rPr>
        <w:t>Stage Three: NSO Review (Second Round)</w:t>
      </w:r>
    </w:p>
    <w:p w14:paraId="1711CBBC" w14:textId="59CF1EBB" w:rsidR="005A4E05" w:rsidRDefault="005A4E05" w:rsidP="005A4E05">
      <w:pPr>
        <w:pStyle w:val="MText"/>
        <w:rPr>
          <w:lang w:val="en-US"/>
        </w:rPr>
      </w:pPr>
      <w:r w:rsidRPr="005A4E05">
        <w:rPr>
          <w:lang w:val="en-US"/>
        </w:rPr>
        <w:t xml:space="preserve">NSOs are contacted at least three times by email inviting them to participate in the NSO Review process. If they accept, they are sent the results from their assessment (excluding scores). NSOs are then given one month to provide feedback on their assessment, including comments on datasets used. They </w:t>
      </w:r>
      <w:r w:rsidR="00896C73" w:rsidRPr="005A4E05">
        <w:rPr>
          <w:lang w:val="en-US"/>
        </w:rPr>
        <w:t>can</w:t>
      </w:r>
      <w:r w:rsidRPr="005A4E05">
        <w:rPr>
          <w:lang w:val="en-US"/>
        </w:rPr>
        <w:t xml:space="preserve"> suggest new datasets, sources, or provide other information relevant to the assessment. During this stage, any adjustments to the assessment that result from the feedback received are completed.</w:t>
      </w:r>
    </w:p>
    <w:p w14:paraId="5CFC94AF" w14:textId="77777777" w:rsidR="00065FFE" w:rsidRPr="005A4E05" w:rsidRDefault="00065FFE" w:rsidP="005A4E05">
      <w:pPr>
        <w:pStyle w:val="MText"/>
        <w:rPr>
          <w:lang w:val="en-US"/>
        </w:rPr>
      </w:pPr>
    </w:p>
    <w:p w14:paraId="20C19ACE" w14:textId="77777777" w:rsidR="005A4E05" w:rsidRPr="005A4E05" w:rsidRDefault="005A4E05" w:rsidP="005A4E05">
      <w:pPr>
        <w:pStyle w:val="MText"/>
        <w:rPr>
          <w:b/>
          <w:bCs/>
          <w:lang w:val="en-US"/>
        </w:rPr>
      </w:pPr>
      <w:r w:rsidRPr="005A4E05">
        <w:rPr>
          <w:b/>
          <w:bCs/>
          <w:i/>
          <w:iCs/>
          <w:lang w:val="en-US"/>
        </w:rPr>
        <w:t>Stage Four: Third Round Internal Review</w:t>
      </w:r>
    </w:p>
    <w:p w14:paraId="34656AB9" w14:textId="77777777" w:rsidR="005A4E05" w:rsidRDefault="005A4E05" w:rsidP="005A4E05">
      <w:pPr>
        <w:pStyle w:val="MText"/>
        <w:rPr>
          <w:lang w:val="en-US"/>
        </w:rPr>
      </w:pPr>
      <w:r w:rsidRPr="005A4E05">
        <w:rPr>
          <w:lang w:val="en-US"/>
        </w:rPr>
        <w:t>During this stage, a final review is conducted that primarily focuses on scores. Each country’s scores are reviewed for accuracy and adherence to the ODIN methodology.</w:t>
      </w:r>
    </w:p>
    <w:p w14:paraId="22362CD4" w14:textId="77777777" w:rsidR="00065FFE" w:rsidRPr="005A4E05" w:rsidRDefault="00065FFE" w:rsidP="005A4E05">
      <w:pPr>
        <w:pStyle w:val="MText"/>
        <w:rPr>
          <w:lang w:val="en-US"/>
        </w:rPr>
      </w:pPr>
    </w:p>
    <w:p w14:paraId="31BC01DE" w14:textId="77777777" w:rsidR="005A4E05" w:rsidRPr="005A4E05" w:rsidRDefault="005A4E05" w:rsidP="005A4E05">
      <w:pPr>
        <w:pStyle w:val="MText"/>
        <w:rPr>
          <w:b/>
          <w:bCs/>
          <w:lang w:val="en-US"/>
        </w:rPr>
      </w:pPr>
      <w:r w:rsidRPr="005A4E05">
        <w:rPr>
          <w:b/>
          <w:bCs/>
          <w:i/>
          <w:iCs/>
          <w:lang w:val="en-US"/>
        </w:rPr>
        <w:t>Stage Five: Analysis and Release of Results</w:t>
      </w:r>
    </w:p>
    <w:p w14:paraId="67950B49" w14:textId="77777777" w:rsidR="005A4E05" w:rsidRPr="005A4E05" w:rsidRDefault="005A4E05" w:rsidP="005A4E05">
      <w:pPr>
        <w:pStyle w:val="MText"/>
        <w:rPr>
          <w:lang w:val="en-US"/>
        </w:rPr>
      </w:pPr>
      <w:r w:rsidRPr="005A4E05">
        <w:rPr>
          <w:lang w:val="en-US"/>
        </w:rPr>
        <w:t>During this stage, results are analyzed, scores are published on the ODIN website, and the ODIN annual report is released. </w:t>
      </w:r>
    </w:p>
    <w:p w14:paraId="5823FBC8" w14:textId="31C25C97" w:rsidR="00576CFA" w:rsidRPr="00A96255" w:rsidRDefault="00576CFA" w:rsidP="00576CFA">
      <w:pPr>
        <w:pStyle w:val="MText"/>
      </w:pPr>
      <w:r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23E76E5E" w14:textId="66064943" w:rsidR="00D366A8" w:rsidRPr="00682F5D" w:rsidRDefault="00221D43" w:rsidP="00743D22">
      <w:pPr>
        <w:pStyle w:val="MText"/>
        <w:rPr>
          <w:lang w:val="en-US"/>
        </w:rPr>
      </w:pPr>
      <w:r>
        <w:rPr>
          <w:lang w:val="en-US"/>
        </w:rPr>
        <w:t xml:space="preserve">June to </w:t>
      </w:r>
      <w:r w:rsidR="004D2DDF">
        <w:rPr>
          <w:lang w:val="en-US"/>
        </w:rPr>
        <w:t>September</w:t>
      </w:r>
      <w:r w:rsidR="00D366A8" w:rsidRPr="00682F5D">
        <w:rPr>
          <w:lang w:val="en-US"/>
        </w:rPr>
        <w:t xml:space="preserve"> every two years. </w:t>
      </w:r>
      <w:r w:rsidR="00743D22">
        <w:rPr>
          <w:lang w:val="en-US"/>
        </w:rPr>
        <w:t>The l</w:t>
      </w:r>
      <w:r w:rsidR="00D366A8" w:rsidRPr="00682F5D">
        <w:rPr>
          <w:lang w:val="en-US"/>
        </w:rPr>
        <w:t xml:space="preserve">atest data collection </w:t>
      </w:r>
      <w:r w:rsidR="00D366A8" w:rsidRPr="006804E1">
        <w:rPr>
          <w:lang w:val="en-US"/>
        </w:rPr>
        <w:t xml:space="preserve">period was June – </w:t>
      </w:r>
      <w:r w:rsidR="003E76C8" w:rsidRPr="006804E1">
        <w:rPr>
          <w:lang w:val="en-US"/>
        </w:rPr>
        <w:t>October</w:t>
      </w:r>
      <w:r w:rsidR="00D366A8" w:rsidRPr="006804E1">
        <w:rPr>
          <w:lang w:val="en-US"/>
        </w:rPr>
        <w:t xml:space="preserve"> 2022</w:t>
      </w:r>
      <w:r w:rsidR="00743D22" w:rsidRPr="006804E1">
        <w:rPr>
          <w:lang w:val="en-US"/>
        </w:rPr>
        <w:t xml:space="preserve"> and </w:t>
      </w:r>
      <w:r w:rsidR="000D77B3" w:rsidRPr="006804E1">
        <w:rPr>
          <w:lang w:val="en-US"/>
        </w:rPr>
        <w:t>the</w:t>
      </w:r>
      <w:r w:rsidR="000D77B3">
        <w:rPr>
          <w:lang w:val="en-US"/>
        </w:rPr>
        <w:t xml:space="preserve"> </w:t>
      </w:r>
      <w:r w:rsidR="00743D22">
        <w:rPr>
          <w:lang w:val="en-US"/>
        </w:rPr>
        <w:t xml:space="preserve">next </w:t>
      </w:r>
      <w:r w:rsidR="00D366A8" w:rsidRPr="00682F5D">
        <w:rPr>
          <w:lang w:val="en-US"/>
        </w:rPr>
        <w:t xml:space="preserve">data collection </w:t>
      </w:r>
      <w:r>
        <w:rPr>
          <w:lang w:val="en-US"/>
        </w:rPr>
        <w:t>will begin June</w:t>
      </w:r>
      <w:r w:rsidR="00D366A8" w:rsidRPr="00682F5D">
        <w:rPr>
          <w:lang w:val="en-US"/>
        </w:rPr>
        <w:t xml:space="preserve"> 2024.</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4629E162" w14:textId="3AA0425B" w:rsidR="00D366A8" w:rsidRPr="00EC2826" w:rsidRDefault="00561249" w:rsidP="00D366A8">
      <w:pPr>
        <w:pStyle w:val="MText"/>
      </w:pPr>
      <w:r>
        <w:rPr>
          <w:color w:val="2B579A"/>
          <w:shd w:val="clear" w:color="auto" w:fill="E6E6E6"/>
        </w:rPr>
        <w:t>The la</w:t>
      </w:r>
      <w:r w:rsidR="003C6670">
        <w:rPr>
          <w:color w:val="2B579A"/>
          <w:shd w:val="clear" w:color="auto" w:fill="E6E6E6"/>
        </w:rPr>
        <w:t>test</w:t>
      </w:r>
      <w:r>
        <w:rPr>
          <w:color w:val="2B579A"/>
          <w:shd w:val="clear" w:color="auto" w:fill="E6E6E6"/>
        </w:rPr>
        <w:t xml:space="preserve"> data </w:t>
      </w:r>
      <w:r w:rsidRPr="006804E1">
        <w:rPr>
          <w:color w:val="2B579A"/>
          <w:shd w:val="clear" w:color="auto" w:fill="E6E6E6"/>
        </w:rPr>
        <w:t xml:space="preserve">release is </w:t>
      </w:r>
      <w:r w:rsidR="003E76C8" w:rsidRPr="006804E1">
        <w:rPr>
          <w:color w:val="2B579A"/>
          <w:shd w:val="clear" w:color="auto" w:fill="E6E6E6"/>
        </w:rPr>
        <w:t xml:space="preserve">July </w:t>
      </w:r>
      <w:proofErr w:type="gramStart"/>
      <w:r w:rsidR="003E76C8" w:rsidRPr="006804E1">
        <w:rPr>
          <w:color w:val="2B579A"/>
          <w:shd w:val="clear" w:color="auto" w:fill="E6E6E6"/>
        </w:rPr>
        <w:t>2023</w:t>
      </w:r>
      <w:proofErr w:type="gramEnd"/>
      <w:r w:rsidRPr="006804E1">
        <w:rPr>
          <w:color w:val="2B579A"/>
          <w:shd w:val="clear" w:color="auto" w:fill="E6E6E6"/>
        </w:rPr>
        <w:t xml:space="preserve"> and</w:t>
      </w:r>
      <w:r>
        <w:rPr>
          <w:color w:val="2B579A"/>
          <w:shd w:val="clear" w:color="auto" w:fill="E6E6E6"/>
        </w:rPr>
        <w:t xml:space="preserve"> the next data release will be </w:t>
      </w:r>
      <w:r w:rsidR="00D366A8" w:rsidRPr="00EC2826">
        <w:rPr>
          <w:color w:val="2B579A"/>
          <w:shd w:val="clear" w:color="auto" w:fill="E6E6E6"/>
        </w:rPr>
        <w:t>Q1 202</w:t>
      </w:r>
      <w:r w:rsidR="00402012" w:rsidRPr="00EC2826">
        <w:rPr>
          <w:color w:val="2B579A"/>
          <w:shd w:val="clear" w:color="auto" w:fill="E6E6E6"/>
        </w:rPr>
        <w:t>5</w:t>
      </w:r>
      <w:r>
        <w:rPr>
          <w:color w:val="2B579A"/>
          <w:shd w:val="clear" w:color="auto" w:fill="E6E6E6"/>
        </w:rPr>
        <w:t>.</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3AB8E4E4" w14:textId="07DBE562" w:rsidR="00D366A8" w:rsidRPr="00EC2826" w:rsidRDefault="00D366A8" w:rsidP="00D366A8">
      <w:pPr>
        <w:pStyle w:val="MText"/>
      </w:pPr>
      <w:r w:rsidRPr="00FC0FA6">
        <w:t>National Statistical Offices (NSOs)</w:t>
      </w:r>
      <w:r w:rsidR="00401729">
        <w:t xml:space="preserve"> websites</w:t>
      </w:r>
      <w:r w:rsidRPr="00FC0FA6">
        <w:t xml:space="preserve"> and </w:t>
      </w:r>
      <w:r w:rsidR="00113054">
        <w:t>linked</w:t>
      </w:r>
      <w:r w:rsidRPr="00FC0FA6">
        <w:t xml:space="preserve"> </w:t>
      </w:r>
      <w:r w:rsidR="00113054">
        <w:t>websites</w:t>
      </w:r>
      <w:r w:rsidRPr="00FC0FA6">
        <w:t xml:space="preserve"> of the National Statistical System (NSS)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7538F8D0" w:rsidR="00EC2915" w:rsidRDefault="00924435" w:rsidP="00576CFA">
      <w:pPr>
        <w:pStyle w:val="MText"/>
      </w:pPr>
      <w:r>
        <w:t>Open Data Watch (ODW)</w:t>
      </w:r>
    </w:p>
    <w:p w14:paraId="1F239117" w14:textId="77777777" w:rsidR="00924435" w:rsidRPr="00A96255" w:rsidRDefault="0092443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3D063F4C" w14:textId="498FF1F9" w:rsidR="00F719A8" w:rsidRDefault="003C6670" w:rsidP="00576CFA">
      <w:pPr>
        <w:pStyle w:val="MText"/>
      </w:pPr>
      <w:r>
        <w:t>Not applicable</w:t>
      </w:r>
    </w:p>
    <w:p w14:paraId="3242B127" w14:textId="77777777" w:rsidR="003C6670" w:rsidRPr="00A96255" w:rsidRDefault="003C6670"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5D9DC5B1" w14:textId="433D0574" w:rsidR="00C17A26" w:rsidRPr="00A96255" w:rsidRDefault="00C17A26" w:rsidP="00576CFA">
      <w:pPr>
        <w:pStyle w:val="MText"/>
      </w:pPr>
      <w:r>
        <w:t xml:space="preserve">The </w:t>
      </w:r>
      <w:r w:rsidR="00DF17BE" w:rsidRPr="00993A7B">
        <w:t xml:space="preserve">Open Data Inventory </w:t>
      </w:r>
      <w:r w:rsidR="00DF17BE">
        <w:t>(</w:t>
      </w:r>
      <w:r>
        <w:t>ODIN</w:t>
      </w:r>
      <w:r w:rsidR="00DF17BE">
        <w:t>)</w:t>
      </w:r>
      <w:r>
        <w:t xml:space="preserve"> </w:t>
      </w:r>
      <w:r w:rsidR="00186B64">
        <w:t>C</w:t>
      </w:r>
      <w:r>
        <w:t>overage</w:t>
      </w:r>
      <w:r w:rsidR="00540D65">
        <w:t xml:space="preserve"> </w:t>
      </w:r>
      <w:r w:rsidR="00186B64">
        <w:t>Index</w:t>
      </w:r>
      <w:r w:rsidR="00540D65">
        <w:t xml:space="preserve"> is an indicator of a country’s c</w:t>
      </w:r>
      <w:r w:rsidR="00540D65">
        <w:rPr>
          <w:rFonts w:cstheme="minorHAnsi"/>
          <w:szCs w:val="16"/>
        </w:rPr>
        <w:t>apacity to produce</w:t>
      </w:r>
      <w:r w:rsidR="00540D65" w:rsidRPr="00A70862">
        <w:rPr>
          <w:rFonts w:cstheme="minorHAnsi"/>
          <w:szCs w:val="16"/>
        </w:rPr>
        <w:t xml:space="preserve"> a set of official statistics</w:t>
      </w:r>
      <w:r w:rsidR="00540D65">
        <w:rPr>
          <w:rFonts w:cstheme="minorHAnsi"/>
          <w:szCs w:val="16"/>
        </w:rPr>
        <w:t xml:space="preserve"> </w:t>
      </w:r>
      <w:r w:rsidR="00D30BF3">
        <w:rPr>
          <w:rFonts w:cstheme="minorHAnsi"/>
          <w:szCs w:val="16"/>
        </w:rPr>
        <w:t xml:space="preserve">across 22 categories </w:t>
      </w:r>
      <w:r w:rsidR="00540D65">
        <w:rPr>
          <w:rFonts w:cstheme="minorHAnsi"/>
          <w:szCs w:val="16"/>
        </w:rPr>
        <w:t xml:space="preserve">from national databases to support the SDGs. </w:t>
      </w:r>
      <w:r w:rsidR="00D30BF3">
        <w:rPr>
          <w:rFonts w:cstheme="minorHAnsi"/>
          <w:szCs w:val="16"/>
        </w:rPr>
        <w:t xml:space="preserve">Computing the total </w:t>
      </w:r>
      <w:r w:rsidR="004F2C9F">
        <w:rPr>
          <w:rFonts w:cstheme="minorHAnsi"/>
          <w:szCs w:val="16"/>
        </w:rPr>
        <w:t>index</w:t>
      </w:r>
      <w:r w:rsidR="00D30BF3">
        <w:rPr>
          <w:rFonts w:cstheme="minorHAnsi"/>
          <w:szCs w:val="16"/>
        </w:rPr>
        <w:t xml:space="preserve"> across the five elements for each of the 22 data categories </w:t>
      </w:r>
      <w:r w:rsidR="00C75E8F">
        <w:rPr>
          <w:rFonts w:cstheme="minorHAnsi"/>
          <w:szCs w:val="16"/>
        </w:rPr>
        <w:t>allows for an assessment of the country’s revealed capacity to produce data that are important for national, regional, and global development efforts.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41BBDB6D" w14:textId="622164EE" w:rsidR="003441E4" w:rsidRDefault="00AC1318" w:rsidP="00576CFA">
      <w:pPr>
        <w:pStyle w:val="MText"/>
      </w:pPr>
      <w:r>
        <w:t>Limitations:</w:t>
      </w:r>
    </w:p>
    <w:p w14:paraId="050963DF" w14:textId="3A90C62D" w:rsidR="00E4564E" w:rsidRPr="00A96255" w:rsidRDefault="00AC1318" w:rsidP="00264820">
      <w:pPr>
        <w:pStyle w:val="MText"/>
      </w:pPr>
      <w:r>
        <w:t>Data produced by supranational entities, such as multilateral organizations</w:t>
      </w:r>
      <w:r w:rsidR="00E4564E">
        <w:t xml:space="preserve"> may contain national level data but may not be published by national statistical offices.</w:t>
      </w:r>
      <w:r w:rsidR="00264820">
        <w:t xml:space="preserve"> </w:t>
      </w:r>
      <w:r w:rsidR="0076578F">
        <w:t xml:space="preserve">Depending on the governance of a country’s national statistical system, the </w:t>
      </w:r>
      <w:r w:rsidR="007D60AA">
        <w:t>national statistical office website may not be the central repository of datasets or necessarily link to data portals.</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lastRenderedPageBreak/>
        <w:t xml:space="preserve">4.c. Method of computation </w:t>
      </w:r>
      <w:r>
        <w:rPr>
          <w:color w:val="B4B4B4"/>
          <w:sz w:val="20"/>
        </w:rPr>
        <w:t>(DATA_COMP)</w:t>
      </w:r>
    </w:p>
    <w:p w14:paraId="757C639B" w14:textId="583C6510" w:rsidR="00E33CEF" w:rsidRDefault="00D327D9" w:rsidP="00576CFA">
      <w:pPr>
        <w:pStyle w:val="MText"/>
      </w:pPr>
      <w:r>
        <w:t>Criteria of Coverage Elements</w:t>
      </w:r>
    </w:p>
    <w:p w14:paraId="0BB01716" w14:textId="77777777" w:rsidR="005F3271" w:rsidRPr="005F3271" w:rsidRDefault="005F3271" w:rsidP="005F3271">
      <w:pPr>
        <w:pStyle w:val="MText"/>
        <w:rPr>
          <w:b/>
          <w:bCs/>
          <w:lang w:val="en-US"/>
        </w:rPr>
      </w:pPr>
      <w:r w:rsidRPr="005F3271">
        <w:rPr>
          <w:b/>
          <w:bCs/>
          <w:i/>
          <w:iCs/>
          <w:lang w:val="en-US"/>
        </w:rPr>
        <w:t xml:space="preserve">Availability of indicators &amp; </w:t>
      </w:r>
      <w:proofErr w:type="spellStart"/>
      <w:r w:rsidRPr="005F3271">
        <w:rPr>
          <w:b/>
          <w:bCs/>
          <w:i/>
          <w:iCs/>
          <w:lang w:val="en-US"/>
        </w:rPr>
        <w:t>disaggregations</w:t>
      </w:r>
      <w:proofErr w:type="spellEnd"/>
      <w:r w:rsidRPr="005F3271">
        <w:rPr>
          <w:b/>
          <w:bCs/>
          <w:i/>
          <w:iCs/>
          <w:lang w:val="en-US"/>
        </w:rPr>
        <w:t xml:space="preserve"> (coverage element 1)</w:t>
      </w:r>
    </w:p>
    <w:p w14:paraId="7D726627" w14:textId="0D066A6D" w:rsidR="005F3271" w:rsidRPr="005F3271" w:rsidRDefault="005F3271" w:rsidP="005F3271">
      <w:pPr>
        <w:pStyle w:val="MText"/>
        <w:rPr>
          <w:lang w:val="en-US"/>
        </w:rPr>
      </w:pPr>
      <w:r w:rsidRPr="005F3271">
        <w:rPr>
          <w:lang w:val="en-US"/>
        </w:rPr>
        <w:t xml:space="preserve">This element measures </w:t>
      </w:r>
      <w:r w:rsidR="053684F5" w:rsidRPr="2AB24E4D">
        <w:rPr>
          <w:lang w:val="en-US"/>
        </w:rPr>
        <w:t>whether</w:t>
      </w:r>
      <w:r w:rsidRPr="005F3271">
        <w:rPr>
          <w:lang w:val="en-US"/>
        </w:rPr>
        <w:t xml:space="preserve"> indicators are available in each data category and what </w:t>
      </w:r>
      <w:proofErr w:type="spellStart"/>
      <w:r w:rsidRPr="005F3271">
        <w:rPr>
          <w:lang w:val="en-US"/>
        </w:rPr>
        <w:t>disaggregations</w:t>
      </w:r>
      <w:proofErr w:type="spellEnd"/>
      <w:r w:rsidRPr="005F3271">
        <w:rPr>
          <w:lang w:val="en-US"/>
        </w:rPr>
        <w:t xml:space="preserve"> are available.</w:t>
      </w:r>
    </w:p>
    <w:p w14:paraId="28C5EB18" w14:textId="77777777" w:rsidR="005F3271" w:rsidRPr="005F3271" w:rsidRDefault="005F3271" w:rsidP="005F3271">
      <w:pPr>
        <w:pStyle w:val="MText"/>
        <w:rPr>
          <w:lang w:val="en-US"/>
        </w:rPr>
      </w:pPr>
    </w:p>
    <w:p w14:paraId="4BD8B42F" w14:textId="5F0F6F1B" w:rsidR="005F3271" w:rsidRDefault="005F3271" w:rsidP="005F3271">
      <w:pPr>
        <w:pStyle w:val="MText"/>
        <w:rPr>
          <w:lang w:val="en-US"/>
        </w:rPr>
      </w:pPr>
      <w:r w:rsidRPr="005F3271">
        <w:rPr>
          <w:lang w:val="en-US"/>
        </w:rPr>
        <w:t xml:space="preserve">Because there are a unique number of indicators in each data category, the number of indicators and </w:t>
      </w:r>
      <w:proofErr w:type="spellStart"/>
      <w:r w:rsidRPr="005F3271">
        <w:rPr>
          <w:lang w:val="en-US"/>
        </w:rPr>
        <w:t>disaggregations</w:t>
      </w:r>
      <w:proofErr w:type="spellEnd"/>
      <w:r w:rsidRPr="005F3271">
        <w:rPr>
          <w:lang w:val="en-US"/>
        </w:rPr>
        <w:t xml:space="preserve"> required to receive </w:t>
      </w:r>
      <w:r w:rsidR="00685ED4">
        <w:rPr>
          <w:lang w:val="en-US"/>
        </w:rPr>
        <w:t xml:space="preserve">full </w:t>
      </w:r>
      <w:r w:rsidRPr="2AB24E4D">
        <w:rPr>
          <w:lang w:val="en-US"/>
        </w:rPr>
        <w:t>credit</w:t>
      </w:r>
      <w:r w:rsidR="00F867F8">
        <w:rPr>
          <w:lang w:val="en-US"/>
        </w:rPr>
        <w:t xml:space="preserve"> for this element</w:t>
      </w:r>
      <w:r w:rsidRPr="2AB24E4D">
        <w:rPr>
          <w:lang w:val="en-US"/>
        </w:rPr>
        <w:t xml:space="preserve"> </w:t>
      </w:r>
      <w:r w:rsidR="00685ED4">
        <w:rPr>
          <w:lang w:val="en-US"/>
        </w:rPr>
        <w:t>vary by</w:t>
      </w:r>
      <w:r w:rsidRPr="005F3271">
        <w:rPr>
          <w:lang w:val="en-US"/>
        </w:rPr>
        <w:t xml:space="preserve"> data category. See the section</w:t>
      </w:r>
      <w:r>
        <w:rPr>
          <w:lang w:val="en-US"/>
        </w:rPr>
        <w:t xml:space="preserve"> of the official ODIN methodology</w:t>
      </w:r>
      <w:r w:rsidRPr="005F3271">
        <w:rPr>
          <w:lang w:val="en-US"/>
        </w:rPr>
        <w:t xml:space="preserve">, </w:t>
      </w:r>
      <w:hyperlink r:id="rId13" w:anchor="heading=h.83hsxks91ejv" w:history="1">
        <w:r w:rsidRPr="005F3271">
          <w:rPr>
            <w:rStyle w:val="Hyperlink"/>
            <w:lang w:val="en-US"/>
          </w:rPr>
          <w:t>Data Categories &amp; Indicators</w:t>
        </w:r>
      </w:hyperlink>
      <w:r w:rsidRPr="005F3271">
        <w:rPr>
          <w:lang w:val="en-US"/>
        </w:rPr>
        <w:t>, for the criteria required in each category for full or partial credit on this element. </w:t>
      </w:r>
    </w:p>
    <w:p w14:paraId="6AA1F71A" w14:textId="77777777" w:rsidR="00514E11" w:rsidRDefault="00514E11" w:rsidP="005F3271">
      <w:pPr>
        <w:pStyle w:val="MText"/>
        <w:rPr>
          <w:lang w:val="en-US"/>
        </w:rPr>
      </w:pPr>
    </w:p>
    <w:p w14:paraId="49DAC732" w14:textId="77777777" w:rsidR="00514E11" w:rsidRPr="00514E11" w:rsidRDefault="00514E11" w:rsidP="00514E11">
      <w:pPr>
        <w:pStyle w:val="MText"/>
        <w:rPr>
          <w:b/>
          <w:bCs/>
          <w:lang w:val="en-US"/>
        </w:rPr>
      </w:pPr>
      <w:r w:rsidRPr="00514E11">
        <w:rPr>
          <w:b/>
          <w:bCs/>
          <w:i/>
          <w:iCs/>
          <w:lang w:val="en-US"/>
        </w:rPr>
        <w:t>Availability of data in the last 5 years (coverage element 2)</w:t>
      </w:r>
    </w:p>
    <w:p w14:paraId="6918A4B9" w14:textId="77777777" w:rsidR="00514E11" w:rsidRDefault="00514E11" w:rsidP="00514E11">
      <w:pPr>
        <w:pStyle w:val="MText"/>
        <w:rPr>
          <w:lang w:val="en-US"/>
        </w:rPr>
      </w:pPr>
      <w:r w:rsidRPr="00514E11">
        <w:rPr>
          <w:lang w:val="en-US"/>
        </w:rPr>
        <w:t>This element measures whether the data identified in coverage element 1 are available over the last five years. ODIN 2022/23 includes the years 2017-2021 (or 2016/2017- 2020/2021 for non-calendar years).</w:t>
      </w:r>
    </w:p>
    <w:p w14:paraId="0BADDEDE" w14:textId="77777777" w:rsidR="00514E11" w:rsidRPr="00514E11" w:rsidRDefault="00514E11" w:rsidP="00514E11">
      <w:pPr>
        <w:pStyle w:val="MText"/>
        <w:rPr>
          <w:lang w:val="en-US"/>
        </w:rPr>
      </w:pPr>
    </w:p>
    <w:p w14:paraId="71744C0F" w14:textId="77777777" w:rsidR="00514E11" w:rsidRDefault="00514E11" w:rsidP="00514E11">
      <w:pPr>
        <w:pStyle w:val="MText"/>
        <w:rPr>
          <w:lang w:val="en-US"/>
        </w:rPr>
      </w:pPr>
      <w:r w:rsidRPr="00514E11">
        <w:rPr>
          <w:lang w:val="en-US"/>
        </w:rPr>
        <w:t xml:space="preserve">If data are presented on a quarterly or monthly basis, </w:t>
      </w:r>
      <w:proofErr w:type="gramStart"/>
      <w:r w:rsidRPr="00514E11">
        <w:rPr>
          <w:lang w:val="en-US"/>
        </w:rPr>
        <w:t>a majority of</w:t>
      </w:r>
      <w:proofErr w:type="gramEnd"/>
      <w:r w:rsidRPr="00514E11">
        <w:rPr>
          <w:lang w:val="en-US"/>
        </w:rPr>
        <w:t xml:space="preserve"> quarters or months for a given year must have data available to receive credit for that year. For example, at least 3 out of 4 quarters or 7 out of 12 months for a particular year must be present to award credit for that year.</w:t>
      </w:r>
    </w:p>
    <w:p w14:paraId="095849E0" w14:textId="77777777" w:rsidR="00514E11" w:rsidRPr="00514E11" w:rsidRDefault="00514E11" w:rsidP="00514E11">
      <w:pPr>
        <w:pStyle w:val="MText"/>
        <w:rPr>
          <w:lang w:val="en-US"/>
        </w:rPr>
      </w:pPr>
    </w:p>
    <w:p w14:paraId="1596C926" w14:textId="77777777" w:rsidR="00514E11" w:rsidRPr="00514E11" w:rsidRDefault="00514E11" w:rsidP="00514E11">
      <w:pPr>
        <w:pStyle w:val="MText"/>
        <w:rPr>
          <w:lang w:val="en-US"/>
        </w:rPr>
      </w:pPr>
      <w:r w:rsidRPr="00514E11">
        <w:rPr>
          <w:lang w:val="en-US"/>
        </w:rPr>
        <w:t>The following table shows how each data category is scored for this element. Full credit only requires publication of data for 3 of the last 5 years, since not all indicators have enough variability from year to year to warrant more frequent data collection in many countries.</w:t>
      </w:r>
    </w:p>
    <w:tbl>
      <w:tblPr>
        <w:tblW w:w="0" w:type="auto"/>
        <w:jc w:val="right"/>
        <w:tblCellMar>
          <w:top w:w="15" w:type="dxa"/>
          <w:left w:w="15" w:type="dxa"/>
          <w:bottom w:w="15" w:type="dxa"/>
          <w:right w:w="15" w:type="dxa"/>
        </w:tblCellMar>
        <w:tblLook w:val="04A0" w:firstRow="1" w:lastRow="0" w:firstColumn="1" w:lastColumn="0" w:noHBand="0" w:noVBand="1"/>
      </w:tblPr>
      <w:tblGrid>
        <w:gridCol w:w="765"/>
        <w:gridCol w:w="8241"/>
      </w:tblGrid>
      <w:tr w:rsidR="00514E11" w:rsidRPr="00514E11" w14:paraId="681A2300" w14:textId="77777777" w:rsidTr="2AB24E4D">
        <w:trPr>
          <w:trHeight w:val="465"/>
          <w:jc w:val="right"/>
        </w:trPr>
        <w:tc>
          <w:tcPr>
            <w:tcW w:w="0" w:type="auto"/>
            <w:gridSpan w:val="2"/>
            <w:tcBorders>
              <w:top w:val="single" w:sz="8" w:space="0" w:color="A6A6A6" w:themeColor="background1" w:themeShade="A6"/>
              <w:left w:val="single" w:sz="8" w:space="0" w:color="000000" w:themeColor="text1"/>
              <w:bottom w:val="single" w:sz="8" w:space="0" w:color="A6A6A6" w:themeColor="background1" w:themeShade="A6"/>
              <w:right w:val="single" w:sz="8" w:space="0" w:color="A6A6A6" w:themeColor="background1" w:themeShade="A6"/>
            </w:tcBorders>
            <w:shd w:val="clear" w:color="auto" w:fill="0070C0"/>
            <w:tcMar>
              <w:top w:w="20" w:type="dxa"/>
              <w:left w:w="20" w:type="dxa"/>
              <w:bottom w:w="100" w:type="dxa"/>
              <w:right w:w="20" w:type="dxa"/>
            </w:tcMar>
            <w:hideMark/>
          </w:tcPr>
          <w:p w14:paraId="54AF6748" w14:textId="77777777" w:rsidR="00514E11" w:rsidRPr="00514E11" w:rsidRDefault="00514E11" w:rsidP="00514E11">
            <w:pPr>
              <w:pStyle w:val="MText"/>
              <w:rPr>
                <w:b/>
                <w:bCs/>
                <w:lang w:val="en-US"/>
              </w:rPr>
            </w:pPr>
            <w:r w:rsidRPr="00514E11">
              <w:rPr>
                <w:b/>
                <w:bCs/>
                <w:lang w:val="en-US"/>
              </w:rPr>
              <w:t>Coverage Element 2: How to receive credit</w:t>
            </w:r>
          </w:p>
        </w:tc>
      </w:tr>
      <w:tr w:rsidR="00514E11" w:rsidRPr="00514E11" w14:paraId="7B2B64B7" w14:textId="77777777" w:rsidTr="2AB24E4D">
        <w:trPr>
          <w:trHeight w:val="321"/>
          <w:jc w:val="right"/>
        </w:trPr>
        <w:tc>
          <w:tcPr>
            <w:tcW w:w="0" w:type="auto"/>
            <w:tcBorders>
              <w:top w:val="single" w:sz="8" w:space="0" w:color="A6A6A6" w:themeColor="background1" w:themeShade="A6"/>
              <w:left w:val="single" w:sz="8" w:space="0" w:color="000000" w:themeColor="text1"/>
              <w:bottom w:val="single" w:sz="8" w:space="0" w:color="A6A6A6" w:themeColor="background1" w:themeShade="A6"/>
              <w:right w:val="single" w:sz="8" w:space="0" w:color="A6A6A6" w:themeColor="background1" w:themeShade="A6"/>
            </w:tcBorders>
            <w:shd w:val="clear" w:color="auto" w:fill="E7E6E6"/>
            <w:tcMar>
              <w:top w:w="20" w:type="dxa"/>
              <w:left w:w="20" w:type="dxa"/>
              <w:bottom w:w="100" w:type="dxa"/>
              <w:right w:w="20" w:type="dxa"/>
            </w:tcMar>
            <w:vAlign w:val="center"/>
            <w:hideMark/>
          </w:tcPr>
          <w:p w14:paraId="4DBD9BC7" w14:textId="77777777" w:rsidR="00514E11" w:rsidRPr="00514E11" w:rsidRDefault="00514E11" w:rsidP="00514E11">
            <w:pPr>
              <w:pStyle w:val="MText"/>
              <w:rPr>
                <w:lang w:val="en-US"/>
              </w:rPr>
            </w:pPr>
            <w:r w:rsidRPr="00514E11">
              <w:rPr>
                <w:b/>
                <w:bCs/>
                <w:lang w:val="en-US"/>
              </w:rPr>
              <w:t>Score</w:t>
            </w:r>
          </w:p>
        </w:tc>
        <w:tc>
          <w:tcPr>
            <w:tcW w:w="0" w:type="auto"/>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E7E6E6"/>
            <w:tcMar>
              <w:top w:w="20" w:type="dxa"/>
              <w:left w:w="20" w:type="dxa"/>
              <w:bottom w:w="100" w:type="dxa"/>
              <w:right w:w="20" w:type="dxa"/>
            </w:tcMar>
            <w:vAlign w:val="center"/>
            <w:hideMark/>
          </w:tcPr>
          <w:p w14:paraId="7E0E06E4" w14:textId="77777777" w:rsidR="00514E11" w:rsidRPr="00514E11" w:rsidRDefault="00514E11" w:rsidP="00514E11">
            <w:pPr>
              <w:pStyle w:val="MText"/>
              <w:rPr>
                <w:lang w:val="en-US"/>
              </w:rPr>
            </w:pPr>
            <w:r w:rsidRPr="00514E11">
              <w:rPr>
                <w:b/>
                <w:bCs/>
                <w:lang w:val="en-US"/>
              </w:rPr>
              <w:t>Minimum Criteria</w:t>
            </w:r>
          </w:p>
        </w:tc>
      </w:tr>
      <w:tr w:rsidR="00514E11" w:rsidRPr="00514E11" w14:paraId="4DF66226" w14:textId="77777777" w:rsidTr="2AB24E4D">
        <w:trPr>
          <w:trHeight w:val="1446"/>
          <w:jc w:val="right"/>
        </w:trPr>
        <w:tc>
          <w:tcPr>
            <w:tcW w:w="0" w:type="auto"/>
            <w:tcBorders>
              <w:top w:val="single" w:sz="8" w:space="0" w:color="A6A6A6" w:themeColor="background1" w:themeShade="A6"/>
              <w:left w:val="single" w:sz="8" w:space="0" w:color="000000" w:themeColor="text1"/>
              <w:bottom w:val="single" w:sz="8" w:space="0" w:color="A6A6A6" w:themeColor="background1" w:themeShade="A6"/>
              <w:right w:val="single" w:sz="8" w:space="0" w:color="A6A6A6" w:themeColor="background1" w:themeShade="A6"/>
            </w:tcBorders>
            <w:tcMar>
              <w:top w:w="20" w:type="dxa"/>
              <w:left w:w="20" w:type="dxa"/>
              <w:bottom w:w="100" w:type="dxa"/>
              <w:right w:w="20" w:type="dxa"/>
            </w:tcMar>
            <w:vAlign w:val="center"/>
            <w:hideMark/>
          </w:tcPr>
          <w:p w14:paraId="4AC3C57A" w14:textId="77777777" w:rsidR="00514E11" w:rsidRPr="00514E11" w:rsidRDefault="00514E11" w:rsidP="00514E11">
            <w:pPr>
              <w:pStyle w:val="MText"/>
              <w:rPr>
                <w:lang w:val="en-US"/>
              </w:rPr>
            </w:pPr>
            <w:r w:rsidRPr="00514E11">
              <w:rPr>
                <w:b/>
                <w:bCs/>
                <w:lang w:val="en-US"/>
              </w:rPr>
              <w:t>1 point</w:t>
            </w:r>
          </w:p>
        </w:tc>
        <w:tc>
          <w:tcPr>
            <w:tcW w:w="0" w:type="auto"/>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20" w:type="dxa"/>
              <w:left w:w="20" w:type="dxa"/>
              <w:bottom w:w="100" w:type="dxa"/>
              <w:right w:w="20" w:type="dxa"/>
            </w:tcMar>
            <w:vAlign w:val="center"/>
            <w:hideMark/>
          </w:tcPr>
          <w:p w14:paraId="537BC30B" w14:textId="77777777" w:rsidR="00514E11" w:rsidRPr="00514E11" w:rsidRDefault="00514E11" w:rsidP="00514E11">
            <w:pPr>
              <w:pStyle w:val="MText"/>
              <w:rPr>
                <w:lang w:val="en-US"/>
              </w:rPr>
            </w:pPr>
            <w:r w:rsidRPr="00514E11">
              <w:rPr>
                <w:lang w:val="en-US"/>
              </w:rPr>
              <w:t xml:space="preserve">All indicators available in the category must have national data for at least 3 of the last 5 years for all available </w:t>
            </w:r>
            <w:proofErr w:type="spellStart"/>
            <w:r w:rsidRPr="00514E11">
              <w:rPr>
                <w:lang w:val="en-US"/>
              </w:rPr>
              <w:t>disaggregations</w:t>
            </w:r>
            <w:proofErr w:type="spellEnd"/>
            <w:r w:rsidRPr="00514E11">
              <w:rPr>
                <w:lang w:val="en-US"/>
              </w:rPr>
              <w:t>. </w:t>
            </w:r>
          </w:p>
        </w:tc>
      </w:tr>
      <w:tr w:rsidR="00514E11" w:rsidRPr="00514E11" w14:paraId="5C396C66" w14:textId="77777777" w:rsidTr="2AB24E4D">
        <w:trPr>
          <w:trHeight w:val="975"/>
          <w:jc w:val="right"/>
        </w:trPr>
        <w:tc>
          <w:tcPr>
            <w:tcW w:w="0" w:type="auto"/>
            <w:tcBorders>
              <w:top w:val="single" w:sz="8" w:space="0" w:color="A6A6A6" w:themeColor="background1" w:themeShade="A6"/>
              <w:left w:val="single" w:sz="8" w:space="0" w:color="000000" w:themeColor="text1"/>
              <w:bottom w:val="single" w:sz="8" w:space="0" w:color="A6A6A6" w:themeColor="background1" w:themeShade="A6"/>
              <w:right w:val="single" w:sz="8" w:space="0" w:color="A6A6A6" w:themeColor="background1" w:themeShade="A6"/>
            </w:tcBorders>
            <w:tcMar>
              <w:top w:w="20" w:type="dxa"/>
              <w:left w:w="20" w:type="dxa"/>
              <w:bottom w:w="100" w:type="dxa"/>
              <w:right w:w="20" w:type="dxa"/>
            </w:tcMar>
            <w:vAlign w:val="center"/>
            <w:hideMark/>
          </w:tcPr>
          <w:p w14:paraId="00202DE4" w14:textId="77777777" w:rsidR="00514E11" w:rsidRPr="00514E11" w:rsidRDefault="00514E11" w:rsidP="00514E11">
            <w:pPr>
              <w:pStyle w:val="MText"/>
              <w:rPr>
                <w:lang w:val="en-US"/>
              </w:rPr>
            </w:pPr>
            <w:r w:rsidRPr="00514E11">
              <w:rPr>
                <w:b/>
                <w:bCs/>
                <w:lang w:val="en-US"/>
              </w:rPr>
              <w:t>.5 point</w:t>
            </w:r>
          </w:p>
        </w:tc>
        <w:tc>
          <w:tcPr>
            <w:tcW w:w="0" w:type="auto"/>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20" w:type="dxa"/>
              <w:left w:w="20" w:type="dxa"/>
              <w:bottom w:w="100" w:type="dxa"/>
              <w:right w:w="20" w:type="dxa"/>
            </w:tcMar>
            <w:vAlign w:val="center"/>
            <w:hideMark/>
          </w:tcPr>
          <w:p w14:paraId="6D8D2E63" w14:textId="77777777" w:rsidR="00514E11" w:rsidRPr="00514E11" w:rsidRDefault="00514E11" w:rsidP="00514E11">
            <w:pPr>
              <w:pStyle w:val="MText"/>
              <w:rPr>
                <w:lang w:val="en-US"/>
              </w:rPr>
            </w:pPr>
            <w:r w:rsidRPr="00514E11">
              <w:rPr>
                <w:lang w:val="en-US"/>
              </w:rPr>
              <w:t xml:space="preserve">One indicator in the category has national data for at least 1 year of the last 5 years for any number of </w:t>
            </w:r>
            <w:proofErr w:type="spellStart"/>
            <w:r w:rsidRPr="00514E11">
              <w:rPr>
                <w:lang w:val="en-US"/>
              </w:rPr>
              <w:t>disaggregations</w:t>
            </w:r>
            <w:proofErr w:type="spellEnd"/>
            <w:r w:rsidRPr="00514E11">
              <w:rPr>
                <w:lang w:val="en-US"/>
              </w:rPr>
              <w:t>.</w:t>
            </w:r>
          </w:p>
        </w:tc>
      </w:tr>
      <w:tr w:rsidR="00514E11" w:rsidRPr="00514E11" w14:paraId="50F08F5D" w14:textId="77777777" w:rsidTr="2AB24E4D">
        <w:trPr>
          <w:trHeight w:val="975"/>
          <w:jc w:val="right"/>
        </w:trPr>
        <w:tc>
          <w:tcPr>
            <w:tcW w:w="0" w:type="auto"/>
            <w:tcBorders>
              <w:top w:val="single" w:sz="8" w:space="0" w:color="A6A6A6" w:themeColor="background1" w:themeShade="A6"/>
              <w:left w:val="single" w:sz="8" w:space="0" w:color="000000" w:themeColor="text1"/>
              <w:bottom w:val="single" w:sz="8" w:space="0" w:color="A6A6A6" w:themeColor="background1" w:themeShade="A6"/>
              <w:right w:val="single" w:sz="8" w:space="0" w:color="A6A6A6" w:themeColor="background1" w:themeShade="A6"/>
            </w:tcBorders>
            <w:tcMar>
              <w:top w:w="20" w:type="dxa"/>
              <w:left w:w="20" w:type="dxa"/>
              <w:bottom w:w="100" w:type="dxa"/>
              <w:right w:w="20" w:type="dxa"/>
            </w:tcMar>
            <w:vAlign w:val="center"/>
            <w:hideMark/>
          </w:tcPr>
          <w:p w14:paraId="22006497" w14:textId="77777777" w:rsidR="00514E11" w:rsidRPr="00514E11" w:rsidRDefault="00514E11" w:rsidP="00514E11">
            <w:pPr>
              <w:pStyle w:val="MText"/>
              <w:rPr>
                <w:lang w:val="en-US"/>
              </w:rPr>
            </w:pPr>
            <w:r w:rsidRPr="00514E11">
              <w:rPr>
                <w:b/>
                <w:bCs/>
                <w:lang w:val="en-US"/>
              </w:rPr>
              <w:t>0 points</w:t>
            </w:r>
          </w:p>
        </w:tc>
        <w:tc>
          <w:tcPr>
            <w:tcW w:w="0" w:type="auto"/>
            <w:tc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cBorders>
            <w:tcMar>
              <w:top w:w="20" w:type="dxa"/>
              <w:left w:w="20" w:type="dxa"/>
              <w:bottom w:w="100" w:type="dxa"/>
              <w:right w:w="20" w:type="dxa"/>
            </w:tcMar>
            <w:vAlign w:val="center"/>
            <w:hideMark/>
          </w:tcPr>
          <w:p w14:paraId="041FBF0A" w14:textId="77777777" w:rsidR="00514E11" w:rsidRPr="00514E11" w:rsidRDefault="00514E11" w:rsidP="00514E11">
            <w:pPr>
              <w:pStyle w:val="MText"/>
              <w:rPr>
                <w:lang w:val="en-US"/>
              </w:rPr>
            </w:pPr>
            <w:r w:rsidRPr="00514E11">
              <w:rPr>
                <w:lang w:val="en-US"/>
              </w:rPr>
              <w:t>No indicators in the category have any national data for any of the last 5 years. </w:t>
            </w:r>
          </w:p>
        </w:tc>
      </w:tr>
      <w:tr w:rsidR="00514E11" w:rsidRPr="00514E11" w14:paraId="47AFDAB3" w14:textId="77777777" w:rsidTr="2AB24E4D">
        <w:trPr>
          <w:trHeight w:val="465"/>
          <w:jc w:val="right"/>
        </w:trPr>
        <w:tc>
          <w:tcPr>
            <w:tcW w:w="0" w:type="auto"/>
            <w:gridSpan w:val="2"/>
            <w:tcBorders>
              <w:top w:val="single" w:sz="8" w:space="0" w:color="A6A6A6" w:themeColor="background1" w:themeShade="A6"/>
              <w:left w:val="single" w:sz="8" w:space="0" w:color="000000" w:themeColor="text1"/>
              <w:bottom w:val="single" w:sz="8" w:space="0" w:color="A6A6A6" w:themeColor="background1" w:themeShade="A6"/>
              <w:right w:val="single" w:sz="8" w:space="0" w:color="A6A6A6" w:themeColor="background1" w:themeShade="A6"/>
            </w:tcBorders>
            <w:tcMar>
              <w:top w:w="20" w:type="dxa"/>
              <w:left w:w="20" w:type="dxa"/>
              <w:bottom w:w="100" w:type="dxa"/>
              <w:right w:w="20" w:type="dxa"/>
            </w:tcMar>
            <w:vAlign w:val="center"/>
            <w:hideMark/>
          </w:tcPr>
          <w:p w14:paraId="37B8CD7C" w14:textId="7A058D7A" w:rsidR="00514E11" w:rsidRPr="00514E11" w:rsidRDefault="00514E11" w:rsidP="00514E11">
            <w:pPr>
              <w:pStyle w:val="MText"/>
              <w:rPr>
                <w:lang w:val="en-US"/>
              </w:rPr>
            </w:pPr>
            <w:r w:rsidRPr="00514E11">
              <w:rPr>
                <w:lang w:val="en-US"/>
              </w:rPr>
              <w:t>Note: Coverage element 2 cannot score higher than coverage element 1. This is to prevent inflated coverage scores based on the publication of just a few indicators.</w:t>
            </w:r>
          </w:p>
        </w:tc>
      </w:tr>
    </w:tbl>
    <w:p w14:paraId="204AA823" w14:textId="77777777" w:rsidR="00514E11" w:rsidRDefault="00514E11" w:rsidP="005F3271">
      <w:pPr>
        <w:pStyle w:val="MText"/>
        <w:rPr>
          <w:lang w:val="en-US"/>
        </w:rPr>
      </w:pPr>
    </w:p>
    <w:p w14:paraId="3982366D" w14:textId="77777777" w:rsidR="00223535" w:rsidRPr="00223535" w:rsidRDefault="00223535" w:rsidP="00223535">
      <w:pPr>
        <w:pStyle w:val="MText"/>
        <w:rPr>
          <w:b/>
          <w:bCs/>
          <w:lang w:val="en-US"/>
        </w:rPr>
      </w:pPr>
      <w:r w:rsidRPr="00223535">
        <w:rPr>
          <w:b/>
          <w:bCs/>
          <w:i/>
          <w:iCs/>
          <w:lang w:val="en-US"/>
        </w:rPr>
        <w:t>Availability of data in the last 10 years (coverage element 3)</w:t>
      </w:r>
    </w:p>
    <w:p w14:paraId="536ED155" w14:textId="77777777" w:rsidR="00223535" w:rsidRDefault="00223535" w:rsidP="00223535">
      <w:pPr>
        <w:pStyle w:val="MText"/>
        <w:rPr>
          <w:lang w:val="en-US"/>
        </w:rPr>
      </w:pPr>
      <w:r w:rsidRPr="00223535">
        <w:rPr>
          <w:lang w:val="en-US"/>
        </w:rPr>
        <w:t>This element measures whether the data identified in coverage element 1 are available over the last ten years. For ODIN 2022/23, this includes the years 2012-2021 (or 2011/2012- 2020/2021 for non-calendar years)</w:t>
      </w:r>
    </w:p>
    <w:p w14:paraId="15864220" w14:textId="77777777" w:rsidR="00BC4B15" w:rsidRPr="00223535" w:rsidRDefault="00BC4B15" w:rsidP="00223535">
      <w:pPr>
        <w:pStyle w:val="MText"/>
        <w:rPr>
          <w:lang w:val="en-US"/>
        </w:rPr>
      </w:pPr>
    </w:p>
    <w:p w14:paraId="5D618CA2" w14:textId="74C7A66C" w:rsidR="00223535" w:rsidRDefault="00223535" w:rsidP="00223535">
      <w:pPr>
        <w:pStyle w:val="MText"/>
        <w:rPr>
          <w:lang w:val="en-US"/>
        </w:rPr>
      </w:pPr>
      <w:r w:rsidRPr="00223535">
        <w:rPr>
          <w:lang w:val="en-US"/>
        </w:rPr>
        <w:t xml:space="preserve">If data are presented on a quarterly or monthly basis, </w:t>
      </w:r>
      <w:proofErr w:type="gramStart"/>
      <w:r w:rsidR="336BBF9A" w:rsidRPr="2AB24E4D">
        <w:rPr>
          <w:lang w:val="en-US"/>
        </w:rPr>
        <w:t>the</w:t>
      </w:r>
      <w:r w:rsidRPr="00223535">
        <w:rPr>
          <w:lang w:val="en-US"/>
        </w:rPr>
        <w:t xml:space="preserve"> majority of</w:t>
      </w:r>
      <w:proofErr w:type="gramEnd"/>
      <w:r w:rsidRPr="00223535">
        <w:rPr>
          <w:lang w:val="en-US"/>
        </w:rPr>
        <w:t xml:space="preserve"> quarters or months for a given year must have data available to receive credit for that year. For example, at least 3 out of 4 quarters or 7 out of 12 months for a particular year must be present to award credit for that year.</w:t>
      </w:r>
    </w:p>
    <w:p w14:paraId="0824E2F5" w14:textId="77777777" w:rsidR="00BC4B15" w:rsidRPr="00223535" w:rsidRDefault="00BC4B15" w:rsidP="00223535">
      <w:pPr>
        <w:pStyle w:val="MText"/>
        <w:rPr>
          <w:lang w:val="en-US"/>
        </w:rPr>
      </w:pPr>
    </w:p>
    <w:p w14:paraId="025D0C21" w14:textId="77777777" w:rsidR="00223535" w:rsidRPr="00223535" w:rsidRDefault="00223535" w:rsidP="00223535">
      <w:pPr>
        <w:pStyle w:val="MText"/>
        <w:rPr>
          <w:lang w:val="en-US"/>
        </w:rPr>
      </w:pPr>
      <w:r w:rsidRPr="00223535">
        <w:rPr>
          <w:lang w:val="en-US"/>
        </w:rPr>
        <w:t>The following table shows how each data category is scored for this element. Full credit only requires publication of data for 6 of the last 10 years, since not all indicators have enough variability from year to year to warrant more frequent data collection in many countries.</w:t>
      </w:r>
    </w:p>
    <w:tbl>
      <w:tblPr>
        <w:tblW w:w="0" w:type="auto"/>
        <w:jc w:val="right"/>
        <w:tblCellMar>
          <w:top w:w="15" w:type="dxa"/>
          <w:left w:w="15" w:type="dxa"/>
          <w:bottom w:w="15" w:type="dxa"/>
          <w:right w:w="15" w:type="dxa"/>
        </w:tblCellMar>
        <w:tblLook w:val="04A0" w:firstRow="1" w:lastRow="0" w:firstColumn="1" w:lastColumn="0" w:noHBand="0" w:noVBand="1"/>
      </w:tblPr>
      <w:tblGrid>
        <w:gridCol w:w="697"/>
        <w:gridCol w:w="8309"/>
      </w:tblGrid>
      <w:tr w:rsidR="00223535" w:rsidRPr="00223535" w14:paraId="111DD654" w14:textId="77777777" w:rsidTr="00223535">
        <w:trPr>
          <w:trHeight w:val="465"/>
          <w:jc w:val="right"/>
        </w:trPr>
        <w:tc>
          <w:tcPr>
            <w:tcW w:w="0" w:type="auto"/>
            <w:gridSpan w:val="2"/>
            <w:tcBorders>
              <w:top w:val="single" w:sz="8" w:space="0" w:color="A6A6A6"/>
              <w:left w:val="single" w:sz="8" w:space="0" w:color="000000"/>
              <w:bottom w:val="single" w:sz="8" w:space="0" w:color="A6A6A6"/>
              <w:right w:val="single" w:sz="8" w:space="0" w:color="A6A6A6"/>
            </w:tcBorders>
            <w:shd w:val="clear" w:color="auto" w:fill="0070C0"/>
            <w:tcMar>
              <w:top w:w="20" w:type="dxa"/>
              <w:left w:w="20" w:type="dxa"/>
              <w:bottom w:w="100" w:type="dxa"/>
              <w:right w:w="20" w:type="dxa"/>
            </w:tcMar>
            <w:hideMark/>
          </w:tcPr>
          <w:p w14:paraId="46A70955" w14:textId="77777777" w:rsidR="00223535" w:rsidRPr="00223535" w:rsidRDefault="00223535" w:rsidP="00223535">
            <w:pPr>
              <w:pStyle w:val="MText"/>
              <w:rPr>
                <w:b/>
                <w:bCs/>
                <w:lang w:val="en-US"/>
              </w:rPr>
            </w:pPr>
            <w:r w:rsidRPr="00223535">
              <w:rPr>
                <w:b/>
                <w:bCs/>
                <w:lang w:val="en-US"/>
              </w:rPr>
              <w:t>Coverage Element 3: How to receive credit</w:t>
            </w:r>
          </w:p>
        </w:tc>
      </w:tr>
      <w:tr w:rsidR="00223535" w:rsidRPr="00223535" w14:paraId="090CB408" w14:textId="77777777" w:rsidTr="00223535">
        <w:trPr>
          <w:trHeight w:val="321"/>
          <w:jc w:val="right"/>
        </w:trPr>
        <w:tc>
          <w:tcPr>
            <w:tcW w:w="0" w:type="auto"/>
            <w:tcBorders>
              <w:top w:val="single" w:sz="8" w:space="0" w:color="A6A6A6"/>
              <w:left w:val="single" w:sz="8" w:space="0" w:color="000000"/>
              <w:bottom w:val="single" w:sz="8" w:space="0" w:color="A6A6A6"/>
              <w:right w:val="single" w:sz="8" w:space="0" w:color="A6A6A6"/>
            </w:tcBorders>
            <w:shd w:val="clear" w:color="auto" w:fill="E7E6E6"/>
            <w:tcMar>
              <w:top w:w="20" w:type="dxa"/>
              <w:left w:w="20" w:type="dxa"/>
              <w:bottom w:w="100" w:type="dxa"/>
              <w:right w:w="20" w:type="dxa"/>
            </w:tcMar>
            <w:vAlign w:val="center"/>
            <w:hideMark/>
          </w:tcPr>
          <w:p w14:paraId="40B413D5" w14:textId="77777777" w:rsidR="00223535" w:rsidRPr="00223535" w:rsidRDefault="00223535" w:rsidP="00223535">
            <w:pPr>
              <w:pStyle w:val="MText"/>
              <w:rPr>
                <w:lang w:val="en-US"/>
              </w:rPr>
            </w:pPr>
            <w:r w:rsidRPr="00223535">
              <w:rPr>
                <w:b/>
                <w:bCs/>
                <w:lang w:val="en-US"/>
              </w:rPr>
              <w:t>Score</w:t>
            </w:r>
          </w:p>
        </w:tc>
        <w:tc>
          <w:tcPr>
            <w:tcW w:w="0" w:type="auto"/>
            <w:tcBorders>
              <w:top w:val="single" w:sz="8" w:space="0" w:color="A6A6A6"/>
              <w:left w:val="single" w:sz="8" w:space="0" w:color="A6A6A6"/>
              <w:bottom w:val="single" w:sz="8" w:space="0" w:color="A6A6A6"/>
              <w:right w:val="single" w:sz="8" w:space="0" w:color="A6A6A6"/>
            </w:tcBorders>
            <w:shd w:val="clear" w:color="auto" w:fill="E7E6E6"/>
            <w:tcMar>
              <w:top w:w="20" w:type="dxa"/>
              <w:left w:w="20" w:type="dxa"/>
              <w:bottom w:w="100" w:type="dxa"/>
              <w:right w:w="20" w:type="dxa"/>
            </w:tcMar>
            <w:vAlign w:val="center"/>
            <w:hideMark/>
          </w:tcPr>
          <w:p w14:paraId="57699883" w14:textId="77777777" w:rsidR="00223535" w:rsidRPr="00223535" w:rsidRDefault="00223535" w:rsidP="00223535">
            <w:pPr>
              <w:pStyle w:val="MText"/>
              <w:rPr>
                <w:lang w:val="en-US"/>
              </w:rPr>
            </w:pPr>
            <w:r w:rsidRPr="00223535">
              <w:rPr>
                <w:b/>
                <w:bCs/>
                <w:lang w:val="en-US"/>
              </w:rPr>
              <w:t>Minimum Criteria</w:t>
            </w:r>
          </w:p>
        </w:tc>
      </w:tr>
      <w:tr w:rsidR="00223535" w:rsidRPr="00223535" w14:paraId="15A72E60" w14:textId="77777777" w:rsidTr="00223535">
        <w:trPr>
          <w:trHeight w:val="1446"/>
          <w:jc w:val="right"/>
        </w:trPr>
        <w:tc>
          <w:tcPr>
            <w:tcW w:w="0" w:type="auto"/>
            <w:tcBorders>
              <w:top w:val="single" w:sz="8" w:space="0" w:color="A6A6A6"/>
              <w:left w:val="single" w:sz="8" w:space="0" w:color="000000"/>
              <w:bottom w:val="single" w:sz="8" w:space="0" w:color="A6A6A6"/>
              <w:right w:val="single" w:sz="8" w:space="0" w:color="A6A6A6"/>
            </w:tcBorders>
            <w:tcMar>
              <w:top w:w="20" w:type="dxa"/>
              <w:left w:w="20" w:type="dxa"/>
              <w:bottom w:w="100" w:type="dxa"/>
              <w:right w:w="20" w:type="dxa"/>
            </w:tcMar>
            <w:vAlign w:val="center"/>
            <w:hideMark/>
          </w:tcPr>
          <w:p w14:paraId="47635399" w14:textId="77777777" w:rsidR="00223535" w:rsidRPr="00223535" w:rsidRDefault="00223535" w:rsidP="00223535">
            <w:pPr>
              <w:pStyle w:val="MText"/>
              <w:rPr>
                <w:lang w:val="en-US"/>
              </w:rPr>
            </w:pPr>
            <w:r w:rsidRPr="00223535">
              <w:rPr>
                <w:b/>
                <w:bCs/>
                <w:lang w:val="en-US"/>
              </w:rPr>
              <w:t>1 point</w:t>
            </w:r>
          </w:p>
        </w:tc>
        <w:tc>
          <w:tcPr>
            <w:tcW w:w="0" w:type="auto"/>
            <w:tcBorders>
              <w:top w:val="single" w:sz="8" w:space="0" w:color="A6A6A6"/>
              <w:left w:val="single" w:sz="8" w:space="0" w:color="A6A6A6"/>
              <w:bottom w:val="single" w:sz="8" w:space="0" w:color="A6A6A6"/>
              <w:right w:val="single" w:sz="8" w:space="0" w:color="A6A6A6"/>
            </w:tcBorders>
            <w:tcMar>
              <w:top w:w="20" w:type="dxa"/>
              <w:left w:w="20" w:type="dxa"/>
              <w:bottom w:w="100" w:type="dxa"/>
              <w:right w:w="20" w:type="dxa"/>
            </w:tcMar>
            <w:vAlign w:val="center"/>
            <w:hideMark/>
          </w:tcPr>
          <w:p w14:paraId="488AF35E" w14:textId="77777777" w:rsidR="00223535" w:rsidRPr="00223535" w:rsidRDefault="00223535" w:rsidP="00223535">
            <w:pPr>
              <w:pStyle w:val="MText"/>
              <w:rPr>
                <w:lang w:val="en-US"/>
              </w:rPr>
            </w:pPr>
            <w:r w:rsidRPr="00223535">
              <w:rPr>
                <w:lang w:val="en-US"/>
              </w:rPr>
              <w:t xml:space="preserve">All indicators available in the category must have national data for at least 6 of the last 10 years for all available </w:t>
            </w:r>
            <w:proofErr w:type="spellStart"/>
            <w:r w:rsidRPr="00223535">
              <w:rPr>
                <w:lang w:val="en-US"/>
              </w:rPr>
              <w:t>disaggregations</w:t>
            </w:r>
            <w:proofErr w:type="spellEnd"/>
            <w:r w:rsidRPr="00223535">
              <w:rPr>
                <w:lang w:val="en-US"/>
              </w:rPr>
              <w:t>. </w:t>
            </w:r>
          </w:p>
        </w:tc>
      </w:tr>
      <w:tr w:rsidR="00223535" w:rsidRPr="00223535" w14:paraId="18A5EF3A" w14:textId="77777777" w:rsidTr="00223535">
        <w:trPr>
          <w:trHeight w:val="975"/>
          <w:jc w:val="right"/>
        </w:trPr>
        <w:tc>
          <w:tcPr>
            <w:tcW w:w="0" w:type="auto"/>
            <w:tcBorders>
              <w:top w:val="single" w:sz="8" w:space="0" w:color="A6A6A6"/>
              <w:left w:val="single" w:sz="8" w:space="0" w:color="000000"/>
              <w:bottom w:val="single" w:sz="8" w:space="0" w:color="A6A6A6"/>
              <w:right w:val="single" w:sz="8" w:space="0" w:color="A6A6A6"/>
            </w:tcBorders>
            <w:tcMar>
              <w:top w:w="20" w:type="dxa"/>
              <w:left w:w="20" w:type="dxa"/>
              <w:bottom w:w="100" w:type="dxa"/>
              <w:right w:w="20" w:type="dxa"/>
            </w:tcMar>
            <w:vAlign w:val="center"/>
            <w:hideMark/>
          </w:tcPr>
          <w:p w14:paraId="49AAC874" w14:textId="77777777" w:rsidR="00223535" w:rsidRPr="00223535" w:rsidRDefault="00223535" w:rsidP="00223535">
            <w:pPr>
              <w:pStyle w:val="MText"/>
              <w:rPr>
                <w:lang w:val="en-US"/>
              </w:rPr>
            </w:pPr>
            <w:r w:rsidRPr="00223535">
              <w:rPr>
                <w:b/>
                <w:bCs/>
                <w:lang w:val="en-US"/>
              </w:rPr>
              <w:t>.5 point</w:t>
            </w:r>
          </w:p>
        </w:tc>
        <w:tc>
          <w:tcPr>
            <w:tcW w:w="0" w:type="auto"/>
            <w:tcBorders>
              <w:top w:val="single" w:sz="8" w:space="0" w:color="A6A6A6"/>
              <w:left w:val="single" w:sz="8" w:space="0" w:color="A6A6A6"/>
              <w:bottom w:val="single" w:sz="8" w:space="0" w:color="A6A6A6"/>
              <w:right w:val="single" w:sz="8" w:space="0" w:color="A6A6A6"/>
            </w:tcBorders>
            <w:tcMar>
              <w:top w:w="20" w:type="dxa"/>
              <w:left w:w="20" w:type="dxa"/>
              <w:bottom w:w="100" w:type="dxa"/>
              <w:right w:w="20" w:type="dxa"/>
            </w:tcMar>
            <w:vAlign w:val="center"/>
            <w:hideMark/>
          </w:tcPr>
          <w:p w14:paraId="37D8F118" w14:textId="77777777" w:rsidR="00223535" w:rsidRPr="00223535" w:rsidRDefault="00223535" w:rsidP="00223535">
            <w:pPr>
              <w:pStyle w:val="MText"/>
              <w:rPr>
                <w:lang w:val="en-US"/>
              </w:rPr>
            </w:pPr>
            <w:r w:rsidRPr="00223535">
              <w:rPr>
                <w:lang w:val="en-US"/>
              </w:rPr>
              <w:t xml:space="preserve">One indicator in the category has national data for at least 3 years of the last 10 years for any number of </w:t>
            </w:r>
            <w:proofErr w:type="spellStart"/>
            <w:r w:rsidRPr="00223535">
              <w:rPr>
                <w:lang w:val="en-US"/>
              </w:rPr>
              <w:t>disaggregations</w:t>
            </w:r>
            <w:proofErr w:type="spellEnd"/>
            <w:r w:rsidRPr="00223535">
              <w:rPr>
                <w:lang w:val="en-US"/>
              </w:rPr>
              <w:t>.</w:t>
            </w:r>
          </w:p>
        </w:tc>
      </w:tr>
      <w:tr w:rsidR="00223535" w:rsidRPr="00223535" w14:paraId="08F3A532" w14:textId="77777777" w:rsidTr="00223535">
        <w:trPr>
          <w:trHeight w:val="975"/>
          <w:jc w:val="right"/>
        </w:trPr>
        <w:tc>
          <w:tcPr>
            <w:tcW w:w="0" w:type="auto"/>
            <w:tcBorders>
              <w:top w:val="single" w:sz="8" w:space="0" w:color="A6A6A6"/>
              <w:left w:val="single" w:sz="8" w:space="0" w:color="000000"/>
              <w:bottom w:val="single" w:sz="8" w:space="0" w:color="A6A6A6"/>
              <w:right w:val="single" w:sz="8" w:space="0" w:color="A6A6A6"/>
            </w:tcBorders>
            <w:tcMar>
              <w:top w:w="20" w:type="dxa"/>
              <w:left w:w="20" w:type="dxa"/>
              <w:bottom w:w="100" w:type="dxa"/>
              <w:right w:w="20" w:type="dxa"/>
            </w:tcMar>
            <w:vAlign w:val="center"/>
            <w:hideMark/>
          </w:tcPr>
          <w:p w14:paraId="30D73ED1" w14:textId="77777777" w:rsidR="00223535" w:rsidRPr="00223535" w:rsidRDefault="00223535" w:rsidP="00223535">
            <w:pPr>
              <w:pStyle w:val="MText"/>
              <w:rPr>
                <w:lang w:val="en-US"/>
              </w:rPr>
            </w:pPr>
            <w:r w:rsidRPr="00223535">
              <w:rPr>
                <w:b/>
                <w:bCs/>
                <w:lang w:val="en-US"/>
              </w:rPr>
              <w:t>0 points</w:t>
            </w:r>
          </w:p>
        </w:tc>
        <w:tc>
          <w:tcPr>
            <w:tcW w:w="0" w:type="auto"/>
            <w:tcBorders>
              <w:top w:val="single" w:sz="8" w:space="0" w:color="A6A6A6"/>
              <w:left w:val="single" w:sz="8" w:space="0" w:color="A6A6A6"/>
              <w:bottom w:val="single" w:sz="8" w:space="0" w:color="A6A6A6"/>
              <w:right w:val="single" w:sz="8" w:space="0" w:color="A6A6A6"/>
            </w:tcBorders>
            <w:tcMar>
              <w:top w:w="20" w:type="dxa"/>
              <w:left w:w="20" w:type="dxa"/>
              <w:bottom w:w="100" w:type="dxa"/>
              <w:right w:w="20" w:type="dxa"/>
            </w:tcMar>
            <w:vAlign w:val="center"/>
            <w:hideMark/>
          </w:tcPr>
          <w:p w14:paraId="4C919AFC" w14:textId="77777777" w:rsidR="00223535" w:rsidRPr="00223535" w:rsidRDefault="00223535" w:rsidP="00223535">
            <w:pPr>
              <w:pStyle w:val="MText"/>
              <w:rPr>
                <w:lang w:val="en-US"/>
              </w:rPr>
            </w:pPr>
            <w:r w:rsidRPr="00223535">
              <w:rPr>
                <w:lang w:val="en-US"/>
              </w:rPr>
              <w:t>No indicators in the category have any national data for at least 2 of the last 10 years. </w:t>
            </w:r>
          </w:p>
        </w:tc>
      </w:tr>
      <w:tr w:rsidR="00223535" w:rsidRPr="00223535" w14:paraId="71D396C9" w14:textId="77777777" w:rsidTr="00223535">
        <w:trPr>
          <w:trHeight w:val="465"/>
          <w:jc w:val="right"/>
        </w:trPr>
        <w:tc>
          <w:tcPr>
            <w:tcW w:w="0" w:type="auto"/>
            <w:gridSpan w:val="2"/>
            <w:tcBorders>
              <w:top w:val="single" w:sz="8" w:space="0" w:color="A6A6A6"/>
              <w:left w:val="single" w:sz="8" w:space="0" w:color="000000"/>
              <w:bottom w:val="single" w:sz="8" w:space="0" w:color="A6A6A6"/>
              <w:right w:val="single" w:sz="8" w:space="0" w:color="A6A6A6"/>
            </w:tcBorders>
            <w:tcMar>
              <w:top w:w="20" w:type="dxa"/>
              <w:left w:w="20" w:type="dxa"/>
              <w:bottom w:w="100" w:type="dxa"/>
              <w:right w:w="20" w:type="dxa"/>
            </w:tcMar>
            <w:vAlign w:val="center"/>
            <w:hideMark/>
          </w:tcPr>
          <w:p w14:paraId="06151502" w14:textId="02E2DAC3" w:rsidR="00223535" w:rsidRPr="00223535" w:rsidRDefault="00223535" w:rsidP="00223535">
            <w:pPr>
              <w:pStyle w:val="MText"/>
              <w:rPr>
                <w:lang w:val="en-US"/>
              </w:rPr>
            </w:pPr>
            <w:r w:rsidRPr="00223535">
              <w:rPr>
                <w:lang w:val="en-US"/>
              </w:rPr>
              <w:t xml:space="preserve">Note: Coverage element 3 cannot score higher than coverage element 1. </w:t>
            </w:r>
          </w:p>
        </w:tc>
      </w:tr>
    </w:tbl>
    <w:p w14:paraId="3A039060" w14:textId="77777777" w:rsidR="00223535" w:rsidRPr="005F3271" w:rsidRDefault="00223535" w:rsidP="005F3271">
      <w:pPr>
        <w:pStyle w:val="MText"/>
        <w:rPr>
          <w:lang w:val="en-US"/>
        </w:rPr>
      </w:pPr>
    </w:p>
    <w:p w14:paraId="3E8AB03E" w14:textId="77777777" w:rsidR="00BC4B15" w:rsidRPr="00BC4B15" w:rsidRDefault="00BC4B15" w:rsidP="00BC4B15">
      <w:pPr>
        <w:pStyle w:val="MText"/>
        <w:rPr>
          <w:b/>
          <w:bCs/>
          <w:lang w:val="en-US"/>
        </w:rPr>
      </w:pPr>
      <w:r w:rsidRPr="00BC4B15">
        <w:rPr>
          <w:b/>
          <w:bCs/>
          <w:i/>
          <w:iCs/>
          <w:lang w:val="en-US"/>
        </w:rPr>
        <w:t>Availability of data at the first administrative geographic level (coverage element 4)</w:t>
      </w:r>
    </w:p>
    <w:p w14:paraId="6997FD82" w14:textId="77777777" w:rsidR="00BC4B15" w:rsidRDefault="00BC4B15" w:rsidP="00BC4B15">
      <w:pPr>
        <w:pStyle w:val="MText"/>
        <w:rPr>
          <w:lang w:val="en-US"/>
        </w:rPr>
      </w:pPr>
      <w:r w:rsidRPr="00BC4B15">
        <w:rPr>
          <w:lang w:val="en-US"/>
        </w:rPr>
        <w:t>This element records whether the data identified in coverage element 1 are also available at the subnational level defined as the first administrative geographic level. To identify the first administrative levels, ODIN largely draws on the ISO 3166-2 standard. For a full list of first administrative levels used in ODIN, see</w:t>
      </w:r>
      <w:hyperlink r:id="rId14" w:history="1">
        <w:r w:rsidRPr="00BC4B15">
          <w:rPr>
            <w:rStyle w:val="Hyperlink"/>
            <w:lang w:val="en-US"/>
          </w:rPr>
          <w:t xml:space="preserve"> this file</w:t>
        </w:r>
      </w:hyperlink>
      <w:r w:rsidRPr="00BC4B15">
        <w:rPr>
          <w:lang w:val="en-US"/>
        </w:rPr>
        <w:t>.</w:t>
      </w:r>
    </w:p>
    <w:p w14:paraId="6530F3DE" w14:textId="77777777" w:rsidR="00BC4B15" w:rsidRPr="00BC4B15" w:rsidRDefault="00BC4B15" w:rsidP="00BC4B15">
      <w:pPr>
        <w:pStyle w:val="MText"/>
        <w:rPr>
          <w:lang w:val="en-US"/>
        </w:rPr>
      </w:pPr>
    </w:p>
    <w:p w14:paraId="06E563E8" w14:textId="77777777" w:rsidR="00BC4B15" w:rsidRPr="00BC4B15" w:rsidRDefault="00BC4B15" w:rsidP="00BC4B15">
      <w:pPr>
        <w:pStyle w:val="MText"/>
        <w:rPr>
          <w:lang w:val="en-US"/>
        </w:rPr>
      </w:pPr>
      <w:r w:rsidRPr="00BC4B15">
        <w:rPr>
          <w:lang w:val="en-US"/>
        </w:rPr>
        <w:t>If data are presented at the first administrative level, the majority of first administrative level divisions must have data available to receive credit for that year. Credit will only be given for less than a majority of first administrative divisions if there are methodological reasons for them not to exist (sample size is too small, indicator not relevant to those divisions, or other reasons) and this is stated in the metadata of the dataset.</w:t>
      </w:r>
    </w:p>
    <w:p w14:paraId="50A8145F" w14:textId="77777777" w:rsidR="00BC4B15" w:rsidRDefault="00BC4B15" w:rsidP="00BC4B15">
      <w:pPr>
        <w:pStyle w:val="MText"/>
        <w:rPr>
          <w:lang w:val="en-US"/>
        </w:rPr>
      </w:pPr>
    </w:p>
    <w:p w14:paraId="2936828A" w14:textId="17B688BA" w:rsidR="00BC4B15" w:rsidRPr="00BC4B15" w:rsidRDefault="00BC4B15" w:rsidP="00BC4B15">
      <w:pPr>
        <w:pStyle w:val="MText"/>
        <w:rPr>
          <w:lang w:val="en-US"/>
        </w:rPr>
      </w:pPr>
      <w:r w:rsidRPr="00BC4B15">
        <w:rPr>
          <w:lang w:val="en-US"/>
        </w:rPr>
        <w:t>In certain data categories, all indicators in the category are not scored for data at the first administrative level because how these indicators are calculated often do now allow for geographic disaggregation in most countries. These categories are Money &amp; Banking, International Trade, Balance of Payments, and Energy.</w:t>
      </w:r>
    </w:p>
    <w:p w14:paraId="4CB4507F" w14:textId="77777777" w:rsidR="00BC4B15" w:rsidRDefault="00BC4B15" w:rsidP="00BC4B15">
      <w:pPr>
        <w:pStyle w:val="MText"/>
        <w:rPr>
          <w:lang w:val="en-US"/>
        </w:rPr>
      </w:pPr>
    </w:p>
    <w:p w14:paraId="2B3AB802" w14:textId="055FF12F" w:rsidR="00BC4B15" w:rsidRPr="00BC4B15" w:rsidRDefault="00BC4B15" w:rsidP="00BC4B15">
      <w:pPr>
        <w:pStyle w:val="MText"/>
        <w:rPr>
          <w:lang w:val="en-US"/>
        </w:rPr>
      </w:pPr>
      <w:r w:rsidRPr="00BC4B15">
        <w:rPr>
          <w:lang w:val="en-US"/>
        </w:rPr>
        <w:t>The following table shows how each data category is scored for this element. </w:t>
      </w:r>
    </w:p>
    <w:tbl>
      <w:tblPr>
        <w:tblW w:w="0" w:type="auto"/>
        <w:jc w:val="right"/>
        <w:tblCellMar>
          <w:top w:w="15" w:type="dxa"/>
          <w:left w:w="15" w:type="dxa"/>
          <w:bottom w:w="15" w:type="dxa"/>
          <w:right w:w="15" w:type="dxa"/>
        </w:tblCellMar>
        <w:tblLook w:val="04A0" w:firstRow="1" w:lastRow="0" w:firstColumn="1" w:lastColumn="0" w:noHBand="0" w:noVBand="1"/>
      </w:tblPr>
      <w:tblGrid>
        <w:gridCol w:w="952"/>
        <w:gridCol w:w="8054"/>
      </w:tblGrid>
      <w:tr w:rsidR="00954831" w:rsidRPr="00954831" w14:paraId="00524487" w14:textId="77777777" w:rsidTr="00954831">
        <w:trPr>
          <w:trHeight w:val="465"/>
          <w:jc w:val="right"/>
        </w:trPr>
        <w:tc>
          <w:tcPr>
            <w:tcW w:w="0" w:type="auto"/>
            <w:gridSpan w:val="2"/>
            <w:tcBorders>
              <w:top w:val="single" w:sz="8" w:space="0" w:color="A6A6A6"/>
              <w:left w:val="single" w:sz="8" w:space="0" w:color="000000"/>
              <w:bottom w:val="single" w:sz="8" w:space="0" w:color="A6A6A6"/>
              <w:right w:val="single" w:sz="8" w:space="0" w:color="A6A6A6"/>
            </w:tcBorders>
            <w:shd w:val="clear" w:color="auto" w:fill="0070C0"/>
            <w:tcMar>
              <w:top w:w="20" w:type="dxa"/>
              <w:left w:w="20" w:type="dxa"/>
              <w:bottom w:w="100" w:type="dxa"/>
              <w:right w:w="20" w:type="dxa"/>
            </w:tcMar>
            <w:hideMark/>
          </w:tcPr>
          <w:p w14:paraId="1742FF8B" w14:textId="77777777" w:rsidR="00954831" w:rsidRPr="00954831" w:rsidRDefault="00954831" w:rsidP="00954831">
            <w:pPr>
              <w:pStyle w:val="MText"/>
              <w:rPr>
                <w:b/>
                <w:bCs/>
                <w:lang w:val="en-US"/>
              </w:rPr>
            </w:pPr>
            <w:r w:rsidRPr="00954831">
              <w:rPr>
                <w:b/>
                <w:bCs/>
                <w:lang w:val="en-US"/>
              </w:rPr>
              <w:lastRenderedPageBreak/>
              <w:t>Coverage Element 4: How to receive credit</w:t>
            </w:r>
          </w:p>
        </w:tc>
      </w:tr>
      <w:tr w:rsidR="00954831" w:rsidRPr="00954831" w14:paraId="053C7DFF" w14:textId="77777777" w:rsidTr="00954831">
        <w:trPr>
          <w:trHeight w:val="321"/>
          <w:jc w:val="right"/>
        </w:trPr>
        <w:tc>
          <w:tcPr>
            <w:tcW w:w="0" w:type="auto"/>
            <w:tcBorders>
              <w:top w:val="single" w:sz="8" w:space="0" w:color="A6A6A6"/>
              <w:left w:val="single" w:sz="8" w:space="0" w:color="000000"/>
              <w:bottom w:val="single" w:sz="8" w:space="0" w:color="A6A6A6"/>
              <w:right w:val="single" w:sz="8" w:space="0" w:color="A6A6A6"/>
            </w:tcBorders>
            <w:shd w:val="clear" w:color="auto" w:fill="E7E6E6"/>
            <w:tcMar>
              <w:top w:w="20" w:type="dxa"/>
              <w:left w:w="20" w:type="dxa"/>
              <w:bottom w:w="100" w:type="dxa"/>
              <w:right w:w="20" w:type="dxa"/>
            </w:tcMar>
            <w:vAlign w:val="center"/>
            <w:hideMark/>
          </w:tcPr>
          <w:p w14:paraId="6F1B9807" w14:textId="77777777" w:rsidR="00954831" w:rsidRPr="00954831" w:rsidRDefault="00954831" w:rsidP="00954831">
            <w:pPr>
              <w:pStyle w:val="MText"/>
              <w:rPr>
                <w:lang w:val="en-US"/>
              </w:rPr>
            </w:pPr>
            <w:r w:rsidRPr="00954831">
              <w:rPr>
                <w:b/>
                <w:bCs/>
                <w:lang w:val="en-US"/>
              </w:rPr>
              <w:t>Score</w:t>
            </w:r>
          </w:p>
        </w:tc>
        <w:tc>
          <w:tcPr>
            <w:tcW w:w="0" w:type="auto"/>
            <w:tcBorders>
              <w:top w:val="single" w:sz="8" w:space="0" w:color="A6A6A6"/>
              <w:left w:val="single" w:sz="8" w:space="0" w:color="A6A6A6"/>
              <w:bottom w:val="single" w:sz="8" w:space="0" w:color="A6A6A6"/>
              <w:right w:val="single" w:sz="8" w:space="0" w:color="A6A6A6"/>
            </w:tcBorders>
            <w:shd w:val="clear" w:color="auto" w:fill="E7E6E6"/>
            <w:tcMar>
              <w:top w:w="20" w:type="dxa"/>
              <w:left w:w="20" w:type="dxa"/>
              <w:bottom w:w="100" w:type="dxa"/>
              <w:right w:w="20" w:type="dxa"/>
            </w:tcMar>
            <w:vAlign w:val="center"/>
            <w:hideMark/>
          </w:tcPr>
          <w:p w14:paraId="10A42C19" w14:textId="77777777" w:rsidR="00954831" w:rsidRPr="00954831" w:rsidRDefault="00954831" w:rsidP="00954831">
            <w:pPr>
              <w:pStyle w:val="MText"/>
              <w:rPr>
                <w:lang w:val="en-US"/>
              </w:rPr>
            </w:pPr>
            <w:r w:rsidRPr="00954831">
              <w:rPr>
                <w:b/>
                <w:bCs/>
                <w:lang w:val="en-US"/>
              </w:rPr>
              <w:t>Minimum Criteria</w:t>
            </w:r>
          </w:p>
        </w:tc>
      </w:tr>
      <w:tr w:rsidR="00954831" w:rsidRPr="00954831" w14:paraId="2200A63D" w14:textId="77777777" w:rsidTr="00954831">
        <w:trPr>
          <w:trHeight w:val="1446"/>
          <w:jc w:val="right"/>
        </w:trPr>
        <w:tc>
          <w:tcPr>
            <w:tcW w:w="0" w:type="auto"/>
            <w:tcBorders>
              <w:top w:val="single" w:sz="8" w:space="0" w:color="A6A6A6"/>
              <w:left w:val="single" w:sz="8" w:space="0" w:color="000000"/>
              <w:bottom w:val="single" w:sz="8" w:space="0" w:color="A6A6A6"/>
              <w:right w:val="single" w:sz="8" w:space="0" w:color="A6A6A6"/>
            </w:tcBorders>
            <w:tcMar>
              <w:top w:w="20" w:type="dxa"/>
              <w:left w:w="20" w:type="dxa"/>
              <w:bottom w:w="100" w:type="dxa"/>
              <w:right w:w="20" w:type="dxa"/>
            </w:tcMar>
            <w:vAlign w:val="center"/>
            <w:hideMark/>
          </w:tcPr>
          <w:p w14:paraId="7CBA5AFA" w14:textId="77777777" w:rsidR="00954831" w:rsidRPr="00954831" w:rsidRDefault="00954831" w:rsidP="00954831">
            <w:pPr>
              <w:pStyle w:val="MText"/>
              <w:rPr>
                <w:lang w:val="en-US"/>
              </w:rPr>
            </w:pPr>
            <w:r w:rsidRPr="00954831">
              <w:rPr>
                <w:b/>
                <w:bCs/>
                <w:lang w:val="en-US"/>
              </w:rPr>
              <w:t>1 point</w:t>
            </w:r>
          </w:p>
        </w:tc>
        <w:tc>
          <w:tcPr>
            <w:tcW w:w="0" w:type="auto"/>
            <w:tcBorders>
              <w:top w:val="single" w:sz="8" w:space="0" w:color="A6A6A6"/>
              <w:left w:val="single" w:sz="8" w:space="0" w:color="A6A6A6"/>
              <w:bottom w:val="single" w:sz="8" w:space="0" w:color="A6A6A6"/>
              <w:right w:val="single" w:sz="8" w:space="0" w:color="A6A6A6"/>
            </w:tcBorders>
            <w:tcMar>
              <w:top w:w="20" w:type="dxa"/>
              <w:left w:w="20" w:type="dxa"/>
              <w:bottom w:w="100" w:type="dxa"/>
              <w:right w:w="20" w:type="dxa"/>
            </w:tcMar>
            <w:vAlign w:val="center"/>
            <w:hideMark/>
          </w:tcPr>
          <w:p w14:paraId="144123A1" w14:textId="531EEB7F" w:rsidR="00954831" w:rsidRPr="00954831" w:rsidRDefault="00954831" w:rsidP="00954831">
            <w:pPr>
              <w:pStyle w:val="MText"/>
              <w:rPr>
                <w:lang w:val="en-US"/>
              </w:rPr>
            </w:pPr>
            <w:r w:rsidRPr="00954831">
              <w:rPr>
                <w:lang w:val="en-US"/>
              </w:rPr>
              <w:t xml:space="preserve">All </w:t>
            </w:r>
            <w:r w:rsidRPr="006804E1">
              <w:rPr>
                <w:lang w:val="en-US"/>
              </w:rPr>
              <w:t xml:space="preserve">indicators available in the category must have first administrative level data for all available </w:t>
            </w:r>
            <w:proofErr w:type="spellStart"/>
            <w:r w:rsidRPr="006804E1">
              <w:rPr>
                <w:lang w:val="en-US"/>
              </w:rPr>
              <w:t>disaggregations</w:t>
            </w:r>
            <w:proofErr w:type="spellEnd"/>
            <w:r w:rsidR="003E76C8" w:rsidRPr="006804E1">
              <w:rPr>
                <w:lang w:val="en-US"/>
              </w:rPr>
              <w:t>.</w:t>
            </w:r>
          </w:p>
        </w:tc>
      </w:tr>
      <w:tr w:rsidR="00954831" w:rsidRPr="00954831" w14:paraId="3AD7F43B" w14:textId="77777777" w:rsidTr="00954831">
        <w:trPr>
          <w:trHeight w:val="975"/>
          <w:jc w:val="right"/>
        </w:trPr>
        <w:tc>
          <w:tcPr>
            <w:tcW w:w="0" w:type="auto"/>
            <w:tcBorders>
              <w:top w:val="single" w:sz="8" w:space="0" w:color="A6A6A6"/>
              <w:left w:val="single" w:sz="8" w:space="0" w:color="000000"/>
              <w:bottom w:val="single" w:sz="8" w:space="0" w:color="A6A6A6"/>
              <w:right w:val="single" w:sz="8" w:space="0" w:color="A6A6A6"/>
            </w:tcBorders>
            <w:tcMar>
              <w:top w:w="20" w:type="dxa"/>
              <w:left w:w="20" w:type="dxa"/>
              <w:bottom w:w="100" w:type="dxa"/>
              <w:right w:w="20" w:type="dxa"/>
            </w:tcMar>
            <w:vAlign w:val="center"/>
            <w:hideMark/>
          </w:tcPr>
          <w:p w14:paraId="0DF64855" w14:textId="77777777" w:rsidR="00954831" w:rsidRPr="00954831" w:rsidRDefault="00954831" w:rsidP="00954831">
            <w:pPr>
              <w:pStyle w:val="MText"/>
              <w:rPr>
                <w:lang w:val="en-US"/>
              </w:rPr>
            </w:pPr>
            <w:r w:rsidRPr="00954831">
              <w:rPr>
                <w:b/>
                <w:bCs/>
                <w:lang w:val="en-US"/>
              </w:rPr>
              <w:t>.5 point</w:t>
            </w:r>
          </w:p>
        </w:tc>
        <w:tc>
          <w:tcPr>
            <w:tcW w:w="0" w:type="auto"/>
            <w:tcBorders>
              <w:top w:val="single" w:sz="8" w:space="0" w:color="A6A6A6"/>
              <w:left w:val="single" w:sz="8" w:space="0" w:color="A6A6A6"/>
              <w:bottom w:val="single" w:sz="8" w:space="0" w:color="A6A6A6"/>
              <w:right w:val="single" w:sz="8" w:space="0" w:color="A6A6A6"/>
            </w:tcBorders>
            <w:tcMar>
              <w:top w:w="20" w:type="dxa"/>
              <w:left w:w="20" w:type="dxa"/>
              <w:bottom w:w="100" w:type="dxa"/>
              <w:right w:w="20" w:type="dxa"/>
            </w:tcMar>
            <w:vAlign w:val="center"/>
            <w:hideMark/>
          </w:tcPr>
          <w:p w14:paraId="3C419402" w14:textId="4C60C3B3" w:rsidR="00954831" w:rsidRPr="00954831" w:rsidRDefault="00954831" w:rsidP="00954831">
            <w:pPr>
              <w:pStyle w:val="MText"/>
              <w:rPr>
                <w:lang w:val="en-US"/>
              </w:rPr>
            </w:pPr>
            <w:r w:rsidRPr="00954831">
              <w:rPr>
                <w:lang w:val="en-US"/>
              </w:rPr>
              <w:t xml:space="preserve">One indicator in the category has first administrative data for any number of </w:t>
            </w:r>
            <w:proofErr w:type="spellStart"/>
            <w:r w:rsidRPr="00954831">
              <w:rPr>
                <w:lang w:val="en-US"/>
              </w:rPr>
              <w:t>disaggregations</w:t>
            </w:r>
            <w:proofErr w:type="spellEnd"/>
            <w:r w:rsidR="003E76C8">
              <w:rPr>
                <w:lang w:val="en-US"/>
              </w:rPr>
              <w:t>.</w:t>
            </w:r>
          </w:p>
        </w:tc>
      </w:tr>
      <w:tr w:rsidR="00954831" w:rsidRPr="00954831" w14:paraId="769D8296" w14:textId="77777777" w:rsidTr="00954831">
        <w:trPr>
          <w:trHeight w:val="975"/>
          <w:jc w:val="right"/>
        </w:trPr>
        <w:tc>
          <w:tcPr>
            <w:tcW w:w="0" w:type="auto"/>
            <w:tcBorders>
              <w:top w:val="single" w:sz="8" w:space="0" w:color="A6A6A6"/>
              <w:left w:val="single" w:sz="8" w:space="0" w:color="000000"/>
              <w:bottom w:val="single" w:sz="8" w:space="0" w:color="A6A6A6"/>
              <w:right w:val="single" w:sz="8" w:space="0" w:color="A6A6A6"/>
            </w:tcBorders>
            <w:tcMar>
              <w:top w:w="20" w:type="dxa"/>
              <w:left w:w="20" w:type="dxa"/>
              <w:bottom w:w="100" w:type="dxa"/>
              <w:right w:w="20" w:type="dxa"/>
            </w:tcMar>
            <w:vAlign w:val="center"/>
            <w:hideMark/>
          </w:tcPr>
          <w:p w14:paraId="09C15DAB" w14:textId="77777777" w:rsidR="00954831" w:rsidRPr="00954831" w:rsidRDefault="00954831" w:rsidP="00954831">
            <w:pPr>
              <w:pStyle w:val="MText"/>
              <w:rPr>
                <w:lang w:val="en-US"/>
              </w:rPr>
            </w:pPr>
            <w:r w:rsidRPr="00954831">
              <w:rPr>
                <w:b/>
                <w:bCs/>
                <w:lang w:val="en-US"/>
              </w:rPr>
              <w:t>0 points</w:t>
            </w:r>
          </w:p>
        </w:tc>
        <w:tc>
          <w:tcPr>
            <w:tcW w:w="0" w:type="auto"/>
            <w:tcBorders>
              <w:top w:val="single" w:sz="8" w:space="0" w:color="A6A6A6"/>
              <w:left w:val="single" w:sz="8" w:space="0" w:color="A6A6A6"/>
              <w:bottom w:val="single" w:sz="8" w:space="0" w:color="A6A6A6"/>
              <w:right w:val="single" w:sz="8" w:space="0" w:color="A6A6A6"/>
            </w:tcBorders>
            <w:tcMar>
              <w:top w:w="20" w:type="dxa"/>
              <w:left w:w="20" w:type="dxa"/>
              <w:bottom w:w="100" w:type="dxa"/>
              <w:right w:w="20" w:type="dxa"/>
            </w:tcMar>
            <w:vAlign w:val="center"/>
            <w:hideMark/>
          </w:tcPr>
          <w:p w14:paraId="5A33219E" w14:textId="77777777" w:rsidR="00954831" w:rsidRPr="00954831" w:rsidRDefault="00954831" w:rsidP="00954831">
            <w:pPr>
              <w:pStyle w:val="MText"/>
              <w:rPr>
                <w:lang w:val="en-US"/>
              </w:rPr>
            </w:pPr>
            <w:r w:rsidRPr="00954831">
              <w:rPr>
                <w:lang w:val="en-US"/>
              </w:rPr>
              <w:t>No indicators in the category have any data available at the first administrative level.</w:t>
            </w:r>
          </w:p>
        </w:tc>
      </w:tr>
      <w:tr w:rsidR="00954831" w:rsidRPr="00954831" w14:paraId="2298502D" w14:textId="77777777" w:rsidTr="00954831">
        <w:trPr>
          <w:trHeight w:val="465"/>
          <w:jc w:val="right"/>
        </w:trPr>
        <w:tc>
          <w:tcPr>
            <w:tcW w:w="0" w:type="auto"/>
            <w:gridSpan w:val="2"/>
            <w:tcBorders>
              <w:top w:val="single" w:sz="8" w:space="0" w:color="A6A6A6"/>
              <w:left w:val="single" w:sz="8" w:space="0" w:color="000000"/>
              <w:bottom w:val="single" w:sz="8" w:space="0" w:color="A6A6A6"/>
              <w:right w:val="single" w:sz="8" w:space="0" w:color="A6A6A6"/>
            </w:tcBorders>
            <w:tcMar>
              <w:top w:w="20" w:type="dxa"/>
              <w:left w:w="20" w:type="dxa"/>
              <w:bottom w:w="100" w:type="dxa"/>
              <w:right w:w="20" w:type="dxa"/>
            </w:tcMar>
            <w:vAlign w:val="center"/>
            <w:hideMark/>
          </w:tcPr>
          <w:p w14:paraId="13A7ACAE" w14:textId="6E2658F0" w:rsidR="00954831" w:rsidRPr="00954831" w:rsidRDefault="00954831" w:rsidP="00954831">
            <w:pPr>
              <w:pStyle w:val="MText"/>
              <w:rPr>
                <w:lang w:val="en-US"/>
              </w:rPr>
            </w:pPr>
            <w:r w:rsidRPr="00954831">
              <w:rPr>
                <w:lang w:val="en-US"/>
              </w:rPr>
              <w:t>Note: Coverage element 4 cannot score higher than coverage element 1. In addition, ODIN designates certain countries as “</w:t>
            </w:r>
            <w:hyperlink r:id="rId15" w:anchor="heading=h.24shir1680ap" w:history="1">
              <w:r w:rsidRPr="00954831">
                <w:rPr>
                  <w:rStyle w:val="Hyperlink"/>
                  <w:lang w:val="en-US"/>
                </w:rPr>
                <w:t>Small Countries</w:t>
              </w:r>
            </w:hyperlink>
            <w:r w:rsidRPr="00954831">
              <w:rPr>
                <w:lang w:val="en-US"/>
              </w:rPr>
              <w:t>” which are not scored for publishing data at the first administrative level for the indicators 2.3, 4.3, 6.1, 6.2, 7.3, 7.4, 7.5, 8.2, 9.3, 10.2, and 18.2. </w:t>
            </w:r>
          </w:p>
        </w:tc>
      </w:tr>
    </w:tbl>
    <w:p w14:paraId="54C47C0D" w14:textId="77777777" w:rsidR="00D327D9" w:rsidRDefault="00D327D9" w:rsidP="00576CFA">
      <w:pPr>
        <w:pStyle w:val="MText"/>
      </w:pPr>
    </w:p>
    <w:p w14:paraId="5679C8EF" w14:textId="77777777" w:rsidR="00954831" w:rsidRPr="00954831" w:rsidRDefault="00954831" w:rsidP="00954831">
      <w:pPr>
        <w:pStyle w:val="MText"/>
        <w:rPr>
          <w:b/>
          <w:bCs/>
          <w:lang w:val="en-US"/>
        </w:rPr>
      </w:pPr>
      <w:r w:rsidRPr="00954831">
        <w:rPr>
          <w:b/>
          <w:bCs/>
          <w:i/>
          <w:iCs/>
          <w:lang w:val="en-US"/>
        </w:rPr>
        <w:t>Availability of data at the second administrative geographic level (coverage element 5)</w:t>
      </w:r>
    </w:p>
    <w:p w14:paraId="191E6519" w14:textId="77777777" w:rsidR="00954831" w:rsidRDefault="00954831" w:rsidP="00954831">
      <w:pPr>
        <w:pStyle w:val="MText"/>
        <w:rPr>
          <w:lang w:val="en-US"/>
        </w:rPr>
      </w:pPr>
      <w:r w:rsidRPr="00954831">
        <w:rPr>
          <w:lang w:val="en-US"/>
        </w:rPr>
        <w:t>This element measures whether the data identified in coverage element 1 are also available at the subnational level defined as the second administrative geographic level. Second administrative levels are defined by the country but must be a further division of their first administrative levels. For a full list of the possible second administrative levels used in ODIN, see</w:t>
      </w:r>
      <w:hyperlink r:id="rId16" w:history="1">
        <w:r w:rsidRPr="00954831">
          <w:rPr>
            <w:rStyle w:val="Hyperlink"/>
            <w:lang w:val="en-US"/>
          </w:rPr>
          <w:t xml:space="preserve"> this file</w:t>
        </w:r>
      </w:hyperlink>
      <w:r w:rsidRPr="00954831">
        <w:rPr>
          <w:lang w:val="en-US"/>
        </w:rPr>
        <w:t>.</w:t>
      </w:r>
    </w:p>
    <w:p w14:paraId="3966EE3D" w14:textId="77777777" w:rsidR="00954831" w:rsidRPr="00954831" w:rsidRDefault="00954831" w:rsidP="00954831">
      <w:pPr>
        <w:pStyle w:val="MText"/>
        <w:rPr>
          <w:lang w:val="en-US"/>
        </w:rPr>
      </w:pPr>
    </w:p>
    <w:p w14:paraId="3E19359E" w14:textId="77777777" w:rsidR="00954831" w:rsidRDefault="00954831" w:rsidP="00954831">
      <w:pPr>
        <w:pStyle w:val="MText"/>
        <w:rPr>
          <w:lang w:val="en-US"/>
        </w:rPr>
      </w:pPr>
      <w:r w:rsidRPr="00954831">
        <w:rPr>
          <w:lang w:val="en-US"/>
        </w:rPr>
        <w:t>If data are presented at the second administrative level, the majority of second administrative level divisions must have data available to award credit for that year. Credit will only be given for less than a majority of second administrative divisions if there are methodological reasons for them not to exist (sample size is too small, indicator not relevant to those divisions, or other reasons) and this is stated in the metadata of the dataset.</w:t>
      </w:r>
    </w:p>
    <w:p w14:paraId="281A76B0" w14:textId="77777777" w:rsidR="00954831" w:rsidRPr="00954831" w:rsidRDefault="00954831" w:rsidP="00954831">
      <w:pPr>
        <w:pStyle w:val="MText"/>
        <w:rPr>
          <w:lang w:val="en-US"/>
        </w:rPr>
      </w:pPr>
    </w:p>
    <w:p w14:paraId="682AB774" w14:textId="08178AB6" w:rsidR="00954831" w:rsidRDefault="00954831" w:rsidP="00954831">
      <w:pPr>
        <w:pStyle w:val="MText"/>
        <w:rPr>
          <w:lang w:val="en-US"/>
        </w:rPr>
      </w:pPr>
      <w:r w:rsidRPr="00954831">
        <w:rPr>
          <w:lang w:val="en-US"/>
        </w:rPr>
        <w:t xml:space="preserve">In certain data categories, all indicators in the category are not scored at the second administrative level because </w:t>
      </w:r>
      <w:r w:rsidR="04F4A0ED" w:rsidRPr="2AB24E4D">
        <w:rPr>
          <w:lang w:val="en-US"/>
        </w:rPr>
        <w:t xml:space="preserve">administrative units responsible for producing these data do not exist in </w:t>
      </w:r>
      <w:r w:rsidR="564BE230" w:rsidRPr="2AB24E4D">
        <w:rPr>
          <w:lang w:val="en-US"/>
        </w:rPr>
        <w:t>many</w:t>
      </w:r>
      <w:r w:rsidRPr="00954831">
        <w:rPr>
          <w:lang w:val="en-US"/>
        </w:rPr>
        <w:t xml:space="preserve"> countries</w:t>
      </w:r>
      <w:r w:rsidR="6F1B2066" w:rsidRPr="2AB24E4D">
        <w:rPr>
          <w:lang w:val="en-US"/>
        </w:rPr>
        <w:t xml:space="preserve"> or the indicators are not typically defined for small administrative units</w:t>
      </w:r>
      <w:r w:rsidR="00662FAF">
        <w:rPr>
          <w:lang w:val="en-US"/>
        </w:rPr>
        <w:t>.</w:t>
      </w:r>
      <w:r>
        <w:rPr>
          <w:lang w:val="en-US"/>
        </w:rPr>
        <w:t xml:space="preserve"> </w:t>
      </w:r>
      <w:r w:rsidRPr="00954831">
        <w:rPr>
          <w:lang w:val="en-US"/>
        </w:rPr>
        <w:t>These categories are Money &amp; Banking, International Trade, Balance of Payments, National Accounts, Government Finance, Pollution, Energy, Price Indexes, and Resource Use.</w:t>
      </w:r>
    </w:p>
    <w:p w14:paraId="1F6478BA" w14:textId="77777777" w:rsidR="00954831" w:rsidRPr="00954831" w:rsidRDefault="00954831" w:rsidP="00954831">
      <w:pPr>
        <w:pStyle w:val="MText"/>
        <w:rPr>
          <w:lang w:val="en-US"/>
        </w:rPr>
      </w:pPr>
    </w:p>
    <w:p w14:paraId="49CCBACD" w14:textId="2EC4B382" w:rsidR="00954831" w:rsidRPr="00954831" w:rsidRDefault="00954831" w:rsidP="00954831">
      <w:pPr>
        <w:pStyle w:val="MText"/>
        <w:rPr>
          <w:lang w:val="en-US"/>
        </w:rPr>
      </w:pPr>
      <w:r w:rsidRPr="00954831">
        <w:rPr>
          <w:lang w:val="en-US"/>
        </w:rPr>
        <w:t xml:space="preserve">In addition, the following indicators in other categories are not scored at the second administrative level for the same </w:t>
      </w:r>
      <w:r w:rsidRPr="2AB24E4D">
        <w:rPr>
          <w:lang w:val="en-US"/>
        </w:rPr>
        <w:t>reason</w:t>
      </w:r>
      <w:r w:rsidR="351A22A7" w:rsidRPr="2AB24E4D">
        <w:rPr>
          <w:lang w:val="en-US"/>
        </w:rPr>
        <w:t>s</w:t>
      </w:r>
      <w:r w:rsidRPr="2AB24E4D">
        <w:rPr>
          <w:lang w:val="en-US"/>
        </w:rPr>
        <w:t>.</w:t>
      </w:r>
      <w:r w:rsidRPr="00954831">
        <w:rPr>
          <w:lang w:val="en-US"/>
        </w:rPr>
        <w:t xml:space="preserve"> These include:</w:t>
      </w:r>
    </w:p>
    <w:p w14:paraId="4E272642" w14:textId="77777777" w:rsidR="00954831" w:rsidRPr="00954831" w:rsidRDefault="00954831" w:rsidP="00954831">
      <w:pPr>
        <w:pStyle w:val="MText"/>
        <w:rPr>
          <w:lang w:val="en-US"/>
        </w:rPr>
      </w:pPr>
      <w:r w:rsidRPr="00954831">
        <w:rPr>
          <w:lang w:val="en-US"/>
        </w:rPr>
        <w:t>(2.3) Education expenditures</w:t>
      </w:r>
    </w:p>
    <w:p w14:paraId="4EF39F5F" w14:textId="77777777" w:rsidR="00954831" w:rsidRPr="00954831" w:rsidRDefault="00954831" w:rsidP="00954831">
      <w:pPr>
        <w:pStyle w:val="MText"/>
        <w:rPr>
          <w:lang w:val="en-US"/>
        </w:rPr>
      </w:pPr>
      <w:r w:rsidRPr="00954831">
        <w:rPr>
          <w:lang w:val="en-US"/>
        </w:rPr>
        <w:t>(4.3) Health expenditures</w:t>
      </w:r>
    </w:p>
    <w:p w14:paraId="7335E0D7" w14:textId="77777777" w:rsidR="00954831" w:rsidRPr="00954831" w:rsidRDefault="00954831" w:rsidP="00954831">
      <w:pPr>
        <w:pStyle w:val="MText"/>
        <w:rPr>
          <w:lang w:val="en-US"/>
        </w:rPr>
      </w:pPr>
      <w:r w:rsidRPr="00954831">
        <w:rPr>
          <w:lang w:val="en-US"/>
        </w:rPr>
        <w:t>(6.1) Maternal mortality rate</w:t>
      </w:r>
    </w:p>
    <w:p w14:paraId="74FF966F" w14:textId="77777777" w:rsidR="00954831" w:rsidRPr="00954831" w:rsidRDefault="00954831" w:rsidP="00954831">
      <w:pPr>
        <w:pStyle w:val="MText"/>
        <w:rPr>
          <w:lang w:val="en-US"/>
        </w:rPr>
      </w:pPr>
      <w:r w:rsidRPr="00954831">
        <w:rPr>
          <w:lang w:val="en-US"/>
        </w:rPr>
        <w:t>(6.2) Infant mortality rate or neonatal mortality rate</w:t>
      </w:r>
    </w:p>
    <w:p w14:paraId="0C3B03C2" w14:textId="77777777" w:rsidR="00954831" w:rsidRPr="00954831" w:rsidRDefault="00954831" w:rsidP="00954831">
      <w:pPr>
        <w:pStyle w:val="MText"/>
        <w:rPr>
          <w:lang w:val="en-US"/>
        </w:rPr>
      </w:pPr>
      <w:r w:rsidRPr="00954831">
        <w:rPr>
          <w:lang w:val="en-US"/>
        </w:rPr>
        <w:t>(7.3) Prevalence of obesity</w:t>
      </w:r>
    </w:p>
    <w:p w14:paraId="4F0BDE73" w14:textId="77777777" w:rsidR="00954831" w:rsidRPr="00954831" w:rsidRDefault="00954831" w:rsidP="00954831">
      <w:pPr>
        <w:pStyle w:val="MText"/>
        <w:rPr>
          <w:lang w:val="en-US"/>
        </w:rPr>
      </w:pPr>
      <w:r w:rsidRPr="00954831">
        <w:rPr>
          <w:lang w:val="en-US"/>
        </w:rPr>
        <w:t>(7.4) Prevalence of stunting</w:t>
      </w:r>
    </w:p>
    <w:p w14:paraId="1561CBBB" w14:textId="77777777" w:rsidR="00954831" w:rsidRPr="00954831" w:rsidRDefault="00954831" w:rsidP="00954831">
      <w:pPr>
        <w:pStyle w:val="MText"/>
        <w:rPr>
          <w:lang w:val="en-US"/>
        </w:rPr>
      </w:pPr>
      <w:r w:rsidRPr="00954831">
        <w:rPr>
          <w:lang w:val="en-US"/>
        </w:rPr>
        <w:lastRenderedPageBreak/>
        <w:t>(7.5) Prevalence of wasting</w:t>
      </w:r>
    </w:p>
    <w:p w14:paraId="63D17243" w14:textId="77777777" w:rsidR="00954831" w:rsidRPr="00954831" w:rsidRDefault="00954831" w:rsidP="00954831">
      <w:pPr>
        <w:pStyle w:val="MText"/>
        <w:rPr>
          <w:lang w:val="en-US"/>
        </w:rPr>
      </w:pPr>
      <w:r w:rsidRPr="00954831">
        <w:rPr>
          <w:lang w:val="en-US"/>
        </w:rPr>
        <w:t>(8.2) Proportion of women in government</w:t>
      </w:r>
    </w:p>
    <w:p w14:paraId="7519706B" w14:textId="77777777" w:rsidR="00954831" w:rsidRPr="00954831" w:rsidRDefault="00954831" w:rsidP="00954831">
      <w:pPr>
        <w:pStyle w:val="MText"/>
        <w:rPr>
          <w:lang w:val="en-US"/>
        </w:rPr>
      </w:pPr>
      <w:r w:rsidRPr="00954831">
        <w:rPr>
          <w:lang w:val="en-US"/>
        </w:rPr>
        <w:t>(9.3) Data on prison population</w:t>
      </w:r>
    </w:p>
    <w:p w14:paraId="6BFAB147" w14:textId="77777777" w:rsidR="00954831" w:rsidRPr="00954831" w:rsidRDefault="00954831" w:rsidP="00954831">
      <w:pPr>
        <w:pStyle w:val="MText"/>
        <w:rPr>
          <w:lang w:val="en-US"/>
        </w:rPr>
      </w:pPr>
      <w:r w:rsidRPr="00954831">
        <w:rPr>
          <w:lang w:val="en-US"/>
        </w:rPr>
        <w:t>(10.2) Distribution of income by deciles or Gini coefficient</w:t>
      </w:r>
    </w:p>
    <w:p w14:paraId="0B6FED1A" w14:textId="77777777" w:rsidR="00954831" w:rsidRPr="00954831" w:rsidRDefault="00954831" w:rsidP="00954831">
      <w:pPr>
        <w:pStyle w:val="MText"/>
        <w:rPr>
          <w:lang w:val="en-US"/>
        </w:rPr>
      </w:pPr>
      <w:r w:rsidRPr="00954831">
        <w:rPr>
          <w:lang w:val="en-US"/>
        </w:rPr>
        <w:t>(18.2) Data on protected lands</w:t>
      </w:r>
      <w:r w:rsidRPr="00954831">
        <w:rPr>
          <w:u w:val="single"/>
          <w:lang w:val="en-US"/>
        </w:rPr>
        <w:t> </w:t>
      </w:r>
    </w:p>
    <w:p w14:paraId="5FE7BF1B" w14:textId="77777777" w:rsidR="00954831" w:rsidRPr="00954831" w:rsidRDefault="00954831" w:rsidP="00954831">
      <w:pPr>
        <w:pStyle w:val="MText"/>
        <w:rPr>
          <w:lang w:val="en-US"/>
        </w:rPr>
      </w:pPr>
    </w:p>
    <w:p w14:paraId="589B65A5" w14:textId="77777777" w:rsidR="00954831" w:rsidRPr="00954831" w:rsidRDefault="00954831" w:rsidP="00954831">
      <w:pPr>
        <w:pStyle w:val="MText"/>
        <w:rPr>
          <w:lang w:val="en-US"/>
        </w:rPr>
      </w:pPr>
      <w:r w:rsidRPr="00954831">
        <w:rPr>
          <w:lang w:val="en-US"/>
        </w:rPr>
        <w:t xml:space="preserve">The following table shows how each data category is scored for this element. </w:t>
      </w:r>
    </w:p>
    <w:tbl>
      <w:tblPr>
        <w:tblW w:w="0" w:type="auto"/>
        <w:jc w:val="right"/>
        <w:tblCellMar>
          <w:top w:w="15" w:type="dxa"/>
          <w:left w:w="15" w:type="dxa"/>
          <w:bottom w:w="15" w:type="dxa"/>
          <w:right w:w="15" w:type="dxa"/>
        </w:tblCellMar>
        <w:tblLook w:val="04A0" w:firstRow="1" w:lastRow="0" w:firstColumn="1" w:lastColumn="0" w:noHBand="0" w:noVBand="1"/>
      </w:tblPr>
      <w:tblGrid>
        <w:gridCol w:w="905"/>
        <w:gridCol w:w="8101"/>
      </w:tblGrid>
      <w:tr w:rsidR="001823B5" w:rsidRPr="001823B5" w14:paraId="7764B558" w14:textId="77777777" w:rsidTr="001823B5">
        <w:trPr>
          <w:trHeight w:val="465"/>
          <w:jc w:val="right"/>
        </w:trPr>
        <w:tc>
          <w:tcPr>
            <w:tcW w:w="0" w:type="auto"/>
            <w:gridSpan w:val="2"/>
            <w:tcBorders>
              <w:top w:val="single" w:sz="8" w:space="0" w:color="A6A6A6"/>
              <w:left w:val="single" w:sz="8" w:space="0" w:color="000000"/>
              <w:bottom w:val="single" w:sz="8" w:space="0" w:color="A6A6A6"/>
              <w:right w:val="single" w:sz="8" w:space="0" w:color="A6A6A6"/>
            </w:tcBorders>
            <w:shd w:val="clear" w:color="auto" w:fill="0070C0"/>
            <w:tcMar>
              <w:top w:w="20" w:type="dxa"/>
              <w:left w:w="20" w:type="dxa"/>
              <w:bottom w:w="100" w:type="dxa"/>
              <w:right w:w="20" w:type="dxa"/>
            </w:tcMar>
            <w:hideMark/>
          </w:tcPr>
          <w:p w14:paraId="67DBD419" w14:textId="77777777" w:rsidR="001823B5" w:rsidRPr="001823B5" w:rsidRDefault="001823B5" w:rsidP="001823B5">
            <w:pPr>
              <w:pStyle w:val="MText"/>
              <w:rPr>
                <w:b/>
                <w:bCs/>
                <w:lang w:val="en-US"/>
              </w:rPr>
            </w:pPr>
            <w:r w:rsidRPr="001823B5">
              <w:rPr>
                <w:b/>
                <w:bCs/>
                <w:lang w:val="en-US"/>
              </w:rPr>
              <w:t>Coverage Element 5: How to receive credit</w:t>
            </w:r>
          </w:p>
        </w:tc>
      </w:tr>
      <w:tr w:rsidR="001823B5" w:rsidRPr="001823B5" w14:paraId="5F6ECE62" w14:textId="77777777" w:rsidTr="001823B5">
        <w:trPr>
          <w:trHeight w:val="321"/>
          <w:jc w:val="right"/>
        </w:trPr>
        <w:tc>
          <w:tcPr>
            <w:tcW w:w="0" w:type="auto"/>
            <w:tcBorders>
              <w:top w:val="single" w:sz="8" w:space="0" w:color="A6A6A6"/>
              <w:left w:val="single" w:sz="8" w:space="0" w:color="000000"/>
              <w:bottom w:val="single" w:sz="8" w:space="0" w:color="A6A6A6"/>
              <w:right w:val="single" w:sz="8" w:space="0" w:color="A6A6A6"/>
            </w:tcBorders>
            <w:shd w:val="clear" w:color="auto" w:fill="E7E6E6"/>
            <w:tcMar>
              <w:top w:w="20" w:type="dxa"/>
              <w:left w:w="20" w:type="dxa"/>
              <w:bottom w:w="100" w:type="dxa"/>
              <w:right w:w="20" w:type="dxa"/>
            </w:tcMar>
            <w:vAlign w:val="center"/>
            <w:hideMark/>
          </w:tcPr>
          <w:p w14:paraId="6D8DF13E" w14:textId="77777777" w:rsidR="001823B5" w:rsidRPr="001823B5" w:rsidRDefault="001823B5" w:rsidP="001823B5">
            <w:pPr>
              <w:pStyle w:val="MText"/>
              <w:rPr>
                <w:lang w:val="en-US"/>
              </w:rPr>
            </w:pPr>
            <w:r w:rsidRPr="001823B5">
              <w:rPr>
                <w:b/>
                <w:bCs/>
                <w:lang w:val="en-US"/>
              </w:rPr>
              <w:t>Score</w:t>
            </w:r>
          </w:p>
        </w:tc>
        <w:tc>
          <w:tcPr>
            <w:tcW w:w="0" w:type="auto"/>
            <w:tcBorders>
              <w:top w:val="single" w:sz="8" w:space="0" w:color="A6A6A6"/>
              <w:left w:val="single" w:sz="8" w:space="0" w:color="A6A6A6"/>
              <w:bottom w:val="single" w:sz="8" w:space="0" w:color="A6A6A6"/>
              <w:right w:val="single" w:sz="8" w:space="0" w:color="A6A6A6"/>
            </w:tcBorders>
            <w:shd w:val="clear" w:color="auto" w:fill="E7E6E6"/>
            <w:tcMar>
              <w:top w:w="20" w:type="dxa"/>
              <w:left w:w="20" w:type="dxa"/>
              <w:bottom w:w="100" w:type="dxa"/>
              <w:right w:w="20" w:type="dxa"/>
            </w:tcMar>
            <w:vAlign w:val="center"/>
            <w:hideMark/>
          </w:tcPr>
          <w:p w14:paraId="796CD686" w14:textId="77777777" w:rsidR="001823B5" w:rsidRPr="001823B5" w:rsidRDefault="001823B5" w:rsidP="001823B5">
            <w:pPr>
              <w:pStyle w:val="MText"/>
              <w:rPr>
                <w:lang w:val="en-US"/>
              </w:rPr>
            </w:pPr>
            <w:r w:rsidRPr="001823B5">
              <w:rPr>
                <w:b/>
                <w:bCs/>
                <w:lang w:val="en-US"/>
              </w:rPr>
              <w:t>Minimum Criteria</w:t>
            </w:r>
          </w:p>
        </w:tc>
      </w:tr>
      <w:tr w:rsidR="001823B5" w:rsidRPr="001823B5" w14:paraId="58C187BD" w14:textId="77777777" w:rsidTr="001823B5">
        <w:trPr>
          <w:trHeight w:val="1446"/>
          <w:jc w:val="right"/>
        </w:trPr>
        <w:tc>
          <w:tcPr>
            <w:tcW w:w="0" w:type="auto"/>
            <w:tcBorders>
              <w:top w:val="single" w:sz="8" w:space="0" w:color="A6A6A6"/>
              <w:left w:val="single" w:sz="8" w:space="0" w:color="000000"/>
              <w:bottom w:val="single" w:sz="8" w:space="0" w:color="A6A6A6"/>
              <w:right w:val="single" w:sz="8" w:space="0" w:color="A6A6A6"/>
            </w:tcBorders>
            <w:tcMar>
              <w:top w:w="20" w:type="dxa"/>
              <w:left w:w="20" w:type="dxa"/>
              <w:bottom w:w="100" w:type="dxa"/>
              <w:right w:w="20" w:type="dxa"/>
            </w:tcMar>
            <w:vAlign w:val="center"/>
            <w:hideMark/>
          </w:tcPr>
          <w:p w14:paraId="38F0819C" w14:textId="77777777" w:rsidR="001823B5" w:rsidRPr="001823B5" w:rsidRDefault="001823B5" w:rsidP="001823B5">
            <w:pPr>
              <w:pStyle w:val="MText"/>
              <w:rPr>
                <w:lang w:val="en-US"/>
              </w:rPr>
            </w:pPr>
            <w:r w:rsidRPr="001823B5">
              <w:rPr>
                <w:b/>
                <w:bCs/>
                <w:lang w:val="en-US"/>
              </w:rPr>
              <w:t>1 point</w:t>
            </w:r>
          </w:p>
        </w:tc>
        <w:tc>
          <w:tcPr>
            <w:tcW w:w="0" w:type="auto"/>
            <w:tcBorders>
              <w:top w:val="single" w:sz="8" w:space="0" w:color="A6A6A6"/>
              <w:left w:val="single" w:sz="8" w:space="0" w:color="A6A6A6"/>
              <w:bottom w:val="single" w:sz="8" w:space="0" w:color="A6A6A6"/>
              <w:right w:val="single" w:sz="8" w:space="0" w:color="A6A6A6"/>
            </w:tcBorders>
            <w:tcMar>
              <w:top w:w="20" w:type="dxa"/>
              <w:left w:w="20" w:type="dxa"/>
              <w:bottom w:w="100" w:type="dxa"/>
              <w:right w:w="20" w:type="dxa"/>
            </w:tcMar>
            <w:vAlign w:val="center"/>
            <w:hideMark/>
          </w:tcPr>
          <w:p w14:paraId="7DA908BF" w14:textId="20CF39CC" w:rsidR="001823B5" w:rsidRPr="001823B5" w:rsidRDefault="001823B5" w:rsidP="001823B5">
            <w:pPr>
              <w:pStyle w:val="MText"/>
              <w:rPr>
                <w:lang w:val="en-US"/>
              </w:rPr>
            </w:pPr>
            <w:r w:rsidRPr="001823B5">
              <w:rPr>
                <w:lang w:val="en-US"/>
              </w:rPr>
              <w:t xml:space="preserve">All indicators available in the category must have second administrative level data for all available </w:t>
            </w:r>
            <w:proofErr w:type="spellStart"/>
            <w:r w:rsidRPr="001823B5">
              <w:rPr>
                <w:lang w:val="en-US"/>
              </w:rPr>
              <w:t>disaggregations</w:t>
            </w:r>
            <w:proofErr w:type="spellEnd"/>
            <w:r w:rsidR="003E76C8">
              <w:rPr>
                <w:lang w:val="en-US"/>
              </w:rPr>
              <w:t>.</w:t>
            </w:r>
          </w:p>
        </w:tc>
      </w:tr>
      <w:tr w:rsidR="001823B5" w:rsidRPr="001823B5" w14:paraId="0E36E3D9" w14:textId="77777777" w:rsidTr="001823B5">
        <w:trPr>
          <w:trHeight w:val="975"/>
          <w:jc w:val="right"/>
        </w:trPr>
        <w:tc>
          <w:tcPr>
            <w:tcW w:w="0" w:type="auto"/>
            <w:tcBorders>
              <w:top w:val="single" w:sz="8" w:space="0" w:color="A6A6A6"/>
              <w:left w:val="single" w:sz="8" w:space="0" w:color="000000"/>
              <w:bottom w:val="single" w:sz="8" w:space="0" w:color="A6A6A6"/>
              <w:right w:val="single" w:sz="8" w:space="0" w:color="A6A6A6"/>
            </w:tcBorders>
            <w:tcMar>
              <w:top w:w="20" w:type="dxa"/>
              <w:left w:w="20" w:type="dxa"/>
              <w:bottom w:w="100" w:type="dxa"/>
              <w:right w:w="20" w:type="dxa"/>
            </w:tcMar>
            <w:vAlign w:val="center"/>
            <w:hideMark/>
          </w:tcPr>
          <w:p w14:paraId="13813D59" w14:textId="77777777" w:rsidR="001823B5" w:rsidRPr="001823B5" w:rsidRDefault="001823B5" w:rsidP="001823B5">
            <w:pPr>
              <w:pStyle w:val="MText"/>
              <w:rPr>
                <w:lang w:val="en-US"/>
              </w:rPr>
            </w:pPr>
            <w:r w:rsidRPr="001823B5">
              <w:rPr>
                <w:b/>
                <w:bCs/>
                <w:lang w:val="en-US"/>
              </w:rPr>
              <w:t>.5 point</w:t>
            </w:r>
          </w:p>
        </w:tc>
        <w:tc>
          <w:tcPr>
            <w:tcW w:w="0" w:type="auto"/>
            <w:tcBorders>
              <w:top w:val="single" w:sz="8" w:space="0" w:color="A6A6A6"/>
              <w:left w:val="single" w:sz="8" w:space="0" w:color="A6A6A6"/>
              <w:bottom w:val="single" w:sz="8" w:space="0" w:color="A6A6A6"/>
              <w:right w:val="single" w:sz="8" w:space="0" w:color="A6A6A6"/>
            </w:tcBorders>
            <w:tcMar>
              <w:top w:w="20" w:type="dxa"/>
              <w:left w:w="20" w:type="dxa"/>
              <w:bottom w:w="100" w:type="dxa"/>
              <w:right w:w="20" w:type="dxa"/>
            </w:tcMar>
            <w:vAlign w:val="center"/>
            <w:hideMark/>
          </w:tcPr>
          <w:p w14:paraId="601B3115" w14:textId="45830BB4" w:rsidR="001823B5" w:rsidRPr="001823B5" w:rsidRDefault="001823B5" w:rsidP="001823B5">
            <w:pPr>
              <w:pStyle w:val="MText"/>
              <w:rPr>
                <w:lang w:val="en-US"/>
              </w:rPr>
            </w:pPr>
            <w:r w:rsidRPr="001823B5">
              <w:rPr>
                <w:lang w:val="en-US"/>
              </w:rPr>
              <w:t xml:space="preserve">One indicator in the category has </w:t>
            </w:r>
            <w:r w:rsidR="00C70249" w:rsidRPr="001823B5">
              <w:rPr>
                <w:lang w:val="en-US"/>
              </w:rPr>
              <w:t>second administrative</w:t>
            </w:r>
            <w:r w:rsidRPr="001823B5">
              <w:rPr>
                <w:lang w:val="en-US"/>
              </w:rPr>
              <w:t xml:space="preserve"> data for any number of </w:t>
            </w:r>
            <w:proofErr w:type="spellStart"/>
            <w:r w:rsidRPr="001823B5">
              <w:rPr>
                <w:lang w:val="en-US"/>
              </w:rPr>
              <w:t>disaggregations</w:t>
            </w:r>
            <w:proofErr w:type="spellEnd"/>
            <w:r w:rsidRPr="001823B5">
              <w:rPr>
                <w:lang w:val="en-US"/>
              </w:rPr>
              <w:t xml:space="preserve"> or years.</w:t>
            </w:r>
          </w:p>
        </w:tc>
      </w:tr>
      <w:tr w:rsidR="001823B5" w:rsidRPr="001823B5" w14:paraId="18E6B949" w14:textId="77777777" w:rsidTr="001823B5">
        <w:trPr>
          <w:trHeight w:val="975"/>
          <w:jc w:val="right"/>
        </w:trPr>
        <w:tc>
          <w:tcPr>
            <w:tcW w:w="0" w:type="auto"/>
            <w:tcBorders>
              <w:top w:val="single" w:sz="8" w:space="0" w:color="A6A6A6"/>
              <w:left w:val="single" w:sz="8" w:space="0" w:color="000000"/>
              <w:bottom w:val="single" w:sz="8" w:space="0" w:color="A6A6A6"/>
              <w:right w:val="single" w:sz="8" w:space="0" w:color="A6A6A6"/>
            </w:tcBorders>
            <w:tcMar>
              <w:top w:w="20" w:type="dxa"/>
              <w:left w:w="20" w:type="dxa"/>
              <w:bottom w:w="100" w:type="dxa"/>
              <w:right w:w="20" w:type="dxa"/>
            </w:tcMar>
            <w:vAlign w:val="center"/>
            <w:hideMark/>
          </w:tcPr>
          <w:p w14:paraId="6ACFC0EA" w14:textId="77777777" w:rsidR="001823B5" w:rsidRPr="001823B5" w:rsidRDefault="001823B5" w:rsidP="001823B5">
            <w:pPr>
              <w:pStyle w:val="MText"/>
              <w:rPr>
                <w:lang w:val="en-US"/>
              </w:rPr>
            </w:pPr>
            <w:r w:rsidRPr="001823B5">
              <w:rPr>
                <w:b/>
                <w:bCs/>
                <w:lang w:val="en-US"/>
              </w:rPr>
              <w:t>0 points</w:t>
            </w:r>
          </w:p>
        </w:tc>
        <w:tc>
          <w:tcPr>
            <w:tcW w:w="0" w:type="auto"/>
            <w:tcBorders>
              <w:top w:val="single" w:sz="8" w:space="0" w:color="A6A6A6"/>
              <w:left w:val="single" w:sz="8" w:space="0" w:color="A6A6A6"/>
              <w:bottom w:val="single" w:sz="8" w:space="0" w:color="A6A6A6"/>
              <w:right w:val="single" w:sz="8" w:space="0" w:color="A6A6A6"/>
            </w:tcBorders>
            <w:tcMar>
              <w:top w:w="20" w:type="dxa"/>
              <w:left w:w="20" w:type="dxa"/>
              <w:bottom w:w="100" w:type="dxa"/>
              <w:right w:w="20" w:type="dxa"/>
            </w:tcMar>
            <w:vAlign w:val="center"/>
            <w:hideMark/>
          </w:tcPr>
          <w:p w14:paraId="3F28BCFB" w14:textId="77777777" w:rsidR="001823B5" w:rsidRPr="001823B5" w:rsidRDefault="001823B5" w:rsidP="001823B5">
            <w:pPr>
              <w:pStyle w:val="MText"/>
              <w:rPr>
                <w:lang w:val="en-US"/>
              </w:rPr>
            </w:pPr>
            <w:r w:rsidRPr="001823B5">
              <w:rPr>
                <w:lang w:val="en-US"/>
              </w:rPr>
              <w:t>No indicators in the category have any data available at the second administrative level.</w:t>
            </w:r>
          </w:p>
        </w:tc>
      </w:tr>
      <w:tr w:rsidR="001823B5" w:rsidRPr="001823B5" w14:paraId="60B754CC" w14:textId="77777777" w:rsidTr="001823B5">
        <w:trPr>
          <w:trHeight w:val="465"/>
          <w:jc w:val="right"/>
        </w:trPr>
        <w:tc>
          <w:tcPr>
            <w:tcW w:w="0" w:type="auto"/>
            <w:gridSpan w:val="2"/>
            <w:tcBorders>
              <w:top w:val="single" w:sz="8" w:space="0" w:color="A6A6A6"/>
              <w:left w:val="single" w:sz="8" w:space="0" w:color="000000"/>
              <w:bottom w:val="single" w:sz="8" w:space="0" w:color="A6A6A6"/>
              <w:right w:val="single" w:sz="8" w:space="0" w:color="A6A6A6"/>
            </w:tcBorders>
            <w:tcMar>
              <w:top w:w="20" w:type="dxa"/>
              <w:left w:w="20" w:type="dxa"/>
              <w:bottom w:w="100" w:type="dxa"/>
              <w:right w:w="20" w:type="dxa"/>
            </w:tcMar>
            <w:vAlign w:val="center"/>
            <w:hideMark/>
          </w:tcPr>
          <w:p w14:paraId="665EDFA9" w14:textId="6A7A4C40" w:rsidR="001823B5" w:rsidRPr="001823B5" w:rsidRDefault="001823B5" w:rsidP="001823B5">
            <w:pPr>
              <w:pStyle w:val="MText"/>
              <w:rPr>
                <w:lang w:val="en-US"/>
              </w:rPr>
            </w:pPr>
            <w:r w:rsidRPr="001823B5">
              <w:rPr>
                <w:lang w:val="en-US"/>
              </w:rPr>
              <w:t>Note: Coverage element 5 cannot score higher than coverage element 1. In addition, ODIN designates certain countries as “</w:t>
            </w:r>
            <w:hyperlink r:id="rId17" w:anchor="heading=h.24shir1680ap" w:history="1">
              <w:r w:rsidRPr="001823B5">
                <w:rPr>
                  <w:rStyle w:val="Hyperlink"/>
                  <w:lang w:val="en-US"/>
                </w:rPr>
                <w:t>Small Countries</w:t>
              </w:r>
            </w:hyperlink>
            <w:r w:rsidRPr="001823B5">
              <w:rPr>
                <w:lang w:val="en-US"/>
              </w:rPr>
              <w:t>” which are not scored for publishing data at the second administrative level for any category. </w:t>
            </w:r>
          </w:p>
        </w:tc>
      </w:tr>
    </w:tbl>
    <w:p w14:paraId="409C1A8E" w14:textId="77777777" w:rsidR="00954831" w:rsidRDefault="00954831" w:rsidP="00576CFA">
      <w:pPr>
        <w:pStyle w:val="MText"/>
      </w:pPr>
    </w:p>
    <w:p w14:paraId="5711F251" w14:textId="77777777" w:rsidR="00FE08FB" w:rsidRDefault="00FE08FB" w:rsidP="00FE08FB">
      <w:pPr>
        <w:pStyle w:val="MText"/>
        <w:rPr>
          <w:lang w:val="en-US"/>
        </w:rPr>
      </w:pPr>
      <w:r w:rsidRPr="00FE08FB">
        <w:rPr>
          <w:lang w:val="en-US"/>
        </w:rPr>
        <w:t xml:space="preserve">Coverage scores are the average scores across the five coverage elements. Each element receives a score of 0, .5 or 1. Some category coverage scores will be based on 3 or 4 elements, if first or second administrative level data are not required. You can read more about the coverage elements and how to score them </w:t>
      </w:r>
      <w:hyperlink r:id="rId18" w:anchor="heading=h.jvsdl8vbl84l" w:history="1">
        <w:r w:rsidRPr="00FE08FB">
          <w:rPr>
            <w:rStyle w:val="Hyperlink"/>
            <w:lang w:val="en-US"/>
          </w:rPr>
          <w:t>here</w:t>
        </w:r>
      </w:hyperlink>
      <w:r w:rsidRPr="00FE08FB">
        <w:rPr>
          <w:lang w:val="en-US"/>
        </w:rPr>
        <w:t>. </w:t>
      </w:r>
    </w:p>
    <w:p w14:paraId="71E61166" w14:textId="77777777" w:rsidR="00FE08FB" w:rsidRPr="00FE08FB" w:rsidRDefault="00FE08FB" w:rsidP="00FE08FB">
      <w:pPr>
        <w:pStyle w:val="MText"/>
        <w:rPr>
          <w:lang w:val="en-US"/>
        </w:rPr>
      </w:pPr>
    </w:p>
    <w:p w14:paraId="649E7F88" w14:textId="445EA38A" w:rsidR="00FE08FB" w:rsidRPr="00A96255" w:rsidRDefault="00FE08FB" w:rsidP="00576CFA">
      <w:pPr>
        <w:pStyle w:val="MText"/>
      </w:pPr>
      <w:r w:rsidRPr="00FE08FB">
        <w:rPr>
          <w:lang w:val="en-US"/>
        </w:rPr>
        <w:t xml:space="preserve">Coverage elements 2-5 cannot score higher than coverage element 1 within any given category.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6B95630B" w14:textId="46AC1869" w:rsidR="00AA1068" w:rsidRDefault="00AA1068" w:rsidP="00AA1068">
      <w:pPr>
        <w:pStyle w:val="MText"/>
        <w:rPr>
          <w:lang w:val="en-US"/>
        </w:rPr>
      </w:pPr>
      <w:r>
        <w:rPr>
          <w:lang w:val="en-US"/>
        </w:rPr>
        <w:t>Open Data Watch conducts three rounds of review:</w:t>
      </w:r>
    </w:p>
    <w:p w14:paraId="47BEA264" w14:textId="25C391BF" w:rsidR="00AA1068" w:rsidRDefault="00AA1068" w:rsidP="00AA1068">
      <w:pPr>
        <w:pStyle w:val="MText"/>
        <w:rPr>
          <w:lang w:val="en-US"/>
        </w:rPr>
      </w:pPr>
      <w:r>
        <w:rPr>
          <w:lang w:val="en-US"/>
        </w:rPr>
        <w:t xml:space="preserve">After </w:t>
      </w:r>
      <w:r w:rsidR="00213EA4">
        <w:rPr>
          <w:lang w:val="en-US"/>
        </w:rPr>
        <w:t xml:space="preserve">the </w:t>
      </w:r>
      <w:r>
        <w:rPr>
          <w:lang w:val="en-US"/>
        </w:rPr>
        <w:t xml:space="preserve">initial assessment, </w:t>
      </w:r>
      <w:r w:rsidRPr="005A4E05">
        <w:rPr>
          <w:lang w:val="en-US"/>
        </w:rPr>
        <w:t xml:space="preserve">internal reviewers review all the information provided by assessors. They download and view all recorded datasets to confirm the information provided by the assessor and </w:t>
      </w:r>
      <w:bookmarkStart w:id="6" w:name="_Int_XwVuXLMj"/>
      <w:proofErr w:type="gramStart"/>
      <w:r w:rsidRPr="005A4E05">
        <w:rPr>
          <w:lang w:val="en-US"/>
        </w:rPr>
        <w:t>make adjustments</w:t>
      </w:r>
      <w:bookmarkEnd w:id="6"/>
      <w:proofErr w:type="gramEnd"/>
      <w:r w:rsidRPr="005A4E05">
        <w:rPr>
          <w:lang w:val="en-US"/>
        </w:rPr>
        <w:t>, as necessary.</w:t>
      </w:r>
    </w:p>
    <w:p w14:paraId="7768A958" w14:textId="77777777" w:rsidR="00AA1068" w:rsidRDefault="00AA1068" w:rsidP="00AA1068">
      <w:pPr>
        <w:pStyle w:val="MText"/>
        <w:rPr>
          <w:lang w:val="en-US"/>
        </w:rPr>
      </w:pPr>
    </w:p>
    <w:p w14:paraId="7523F9A8" w14:textId="77777777" w:rsidR="00AA1068" w:rsidRDefault="00AA1068" w:rsidP="00AA1068">
      <w:pPr>
        <w:pStyle w:val="MText"/>
        <w:rPr>
          <w:lang w:val="en-US"/>
        </w:rPr>
      </w:pPr>
      <w:r w:rsidRPr="005A4E05">
        <w:rPr>
          <w:lang w:val="en-US"/>
        </w:rPr>
        <w:t xml:space="preserve">NSOs are contacted at least three times by email inviting them to participate in the NSO Review process. If they accept, they are sent the results from their assessment (excluding scores). NSOs are then given one month to provide feedback on their assessment, including comments on datasets used. They </w:t>
      </w:r>
      <w:proofErr w:type="gramStart"/>
      <w:r w:rsidRPr="005A4E05">
        <w:rPr>
          <w:lang w:val="en-US"/>
        </w:rPr>
        <w:t>are able to</w:t>
      </w:r>
      <w:proofErr w:type="gramEnd"/>
      <w:r w:rsidRPr="005A4E05">
        <w:rPr>
          <w:lang w:val="en-US"/>
        </w:rPr>
        <w:t xml:space="preserve"> suggest new datasets, sources, or provide other information relevant to the assessment. During this stage, any adjustments to the assessment that result from the feedback received are completed.</w:t>
      </w:r>
    </w:p>
    <w:p w14:paraId="002DA1DD" w14:textId="77777777" w:rsidR="00AA1068" w:rsidRPr="005A4E05" w:rsidRDefault="00AA1068" w:rsidP="00AA1068">
      <w:pPr>
        <w:pStyle w:val="MText"/>
        <w:rPr>
          <w:lang w:val="en-US"/>
        </w:rPr>
      </w:pPr>
    </w:p>
    <w:p w14:paraId="39D8E846" w14:textId="1C5D47B2" w:rsidR="00AA1068" w:rsidRDefault="009A7D13" w:rsidP="00AA1068">
      <w:pPr>
        <w:pStyle w:val="MText"/>
        <w:rPr>
          <w:lang w:val="en-US"/>
        </w:rPr>
      </w:pPr>
      <w:r>
        <w:rPr>
          <w:lang w:val="en-US"/>
        </w:rPr>
        <w:t xml:space="preserve">After the previous two rounds of review, </w:t>
      </w:r>
      <w:r w:rsidR="00AA1068" w:rsidRPr="005A4E05">
        <w:rPr>
          <w:lang w:val="en-US"/>
        </w:rPr>
        <w:t>a final review is conducted that primarily focuses on scores. Each country’s scores are reviewed for accuracy and adherence to the ODIN methodology.</w:t>
      </w:r>
    </w:p>
    <w:p w14:paraId="49CB8337" w14:textId="195BDE66" w:rsidR="00EC2915" w:rsidRDefault="00EC2915" w:rsidP="00576CFA">
      <w:pPr>
        <w:pStyle w:val="MText"/>
      </w:pP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7D0B8F1F" w:rsidR="00EC2915" w:rsidRDefault="00614EF8" w:rsidP="00576CFA">
      <w:pPr>
        <w:pStyle w:val="MText"/>
      </w:pPr>
      <w:r>
        <w:t xml:space="preserve">See methodological changes over time in </w:t>
      </w:r>
      <w:hyperlink r:id="rId19" w:anchor="bookmark=id.ntj327l45ozo" w:history="1">
        <w:r w:rsidRPr="00614EF8">
          <w:rPr>
            <w:rStyle w:val="Hyperlink"/>
          </w:rPr>
          <w:t>ODIN’s official methodology</w:t>
        </w:r>
      </w:hyperlink>
      <w:r w:rsidR="004F1797">
        <w:rPr>
          <w:rStyle w:val="Hyperlink"/>
        </w:rPr>
        <w:t>.</w:t>
      </w:r>
    </w:p>
    <w:p w14:paraId="0B323CB3" w14:textId="77777777" w:rsidR="00614EF8" w:rsidRPr="00A96255" w:rsidRDefault="00614EF8"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64E56BC1" w14:textId="5BE25B54" w:rsidR="00D8092C" w:rsidRPr="00A96255" w:rsidRDefault="00D8092C" w:rsidP="00DA615C">
      <w:pPr>
        <w:pStyle w:val="MText"/>
      </w:pPr>
      <w:r>
        <w:t xml:space="preserve">No </w:t>
      </w:r>
      <w:r w:rsidR="3F45109E">
        <w:t>Imputations are made for</w:t>
      </w:r>
      <w:r>
        <w:t xml:space="preserve"> missing values at country level.</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2EA010B7" w14:textId="4C5192BC" w:rsidR="00EC2915" w:rsidRDefault="00D65E2D" w:rsidP="00576CFA">
      <w:pPr>
        <w:pStyle w:val="MText"/>
      </w:pPr>
      <w:r>
        <w:t>ODIN coverage score is assessed at the national level</w:t>
      </w:r>
      <w:r w:rsidR="134FBC77">
        <w:t>.</w:t>
      </w:r>
      <w:r>
        <w:t xml:space="preserve"> </w:t>
      </w:r>
      <w:r w:rsidR="55AB1103">
        <w:t>R</w:t>
      </w:r>
      <w:r>
        <w:t>egional aggregates represent the median values of all countries in a region with values.</w:t>
      </w:r>
    </w:p>
    <w:p w14:paraId="2392068E" w14:textId="77777777" w:rsidR="00D65E2D" w:rsidRPr="00A96255" w:rsidRDefault="00D65E2D"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939895F" w14:textId="0B65C3A6" w:rsidR="00EC2915" w:rsidRPr="00A96255" w:rsidRDefault="008358CC" w:rsidP="00576CFA">
      <w:pPr>
        <w:pStyle w:val="MText"/>
      </w:pPr>
      <w:r>
        <w:t xml:space="preserve">ODIN methodology </w:t>
      </w:r>
      <w:r w:rsidR="00DB27BD">
        <w:t xml:space="preserve">can be used to compile data at national level: </w:t>
      </w:r>
      <w:r w:rsidR="00EA7E8D" w:rsidRPr="00EA7E8D">
        <w:t xml:space="preserve"> </w:t>
      </w:r>
      <w:hyperlink r:id="rId20" w:history="1">
        <w:r w:rsidR="004F1797" w:rsidRPr="002A2B0C">
          <w:rPr>
            <w:rStyle w:val="Hyperlink"/>
          </w:rPr>
          <w:t>https://docs.google.com/document/d/1q1h0_z0TUGayO-qN9o3ablmo_qVdSGgPgU_Ptq5xrdU</w:t>
        </w:r>
      </w:hyperlink>
      <w:r w:rsidR="004F1797">
        <w:t xml:space="preserve"> </w:t>
      </w:r>
    </w:p>
    <w:p w14:paraId="68F9A7A6" w14:textId="77777777" w:rsidR="004F1797" w:rsidRDefault="004F1797" w:rsidP="002376A2"/>
    <w:p w14:paraId="494C36E8" w14:textId="4F9A2E93" w:rsidR="00E1050F" w:rsidRPr="00A96255" w:rsidRDefault="00576CFA" w:rsidP="00F719A8">
      <w:pPr>
        <w:pStyle w:val="MHeader2"/>
      </w:pPr>
      <w:r w:rsidRPr="00A96255">
        <w:t xml:space="preserve">4.i. Quality management </w:t>
      </w:r>
      <w:r>
        <w:rPr>
          <w:color w:val="B4B4B4"/>
          <w:sz w:val="20"/>
        </w:rPr>
        <w:t>(QUALITY_MGMNT)</w:t>
      </w:r>
    </w:p>
    <w:p w14:paraId="3E1BBDBA" w14:textId="4ACA73E3" w:rsidR="00AD70E1" w:rsidRDefault="00AD70E1" w:rsidP="00576CFA">
      <w:pPr>
        <w:pStyle w:val="MText"/>
      </w:pPr>
      <w:r>
        <w:t xml:space="preserve">Rigorous training of assessors through multiple workshops, detailed assessor’s guide and availability of multiple full-time staff dedicated to </w:t>
      </w:r>
      <w:r w:rsidR="00877C76">
        <w:t>answer questions and review issues</w:t>
      </w:r>
      <w:r w:rsidR="00A937E3">
        <w: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3AD7185F" w14:textId="4FCCE170" w:rsidR="00877C76" w:rsidRDefault="00877C76" w:rsidP="00877C76">
      <w:pPr>
        <w:pStyle w:val="MText"/>
      </w:pPr>
      <w:r>
        <w:t>Review with countries of datasets being included in assessments.</w:t>
      </w:r>
    </w:p>
    <w:p w14:paraId="5F4835F4" w14:textId="77777777" w:rsidR="00877C76" w:rsidRPr="00A96255" w:rsidRDefault="00877C76" w:rsidP="00877C76">
      <w:pPr>
        <w:pStyle w:val="MText"/>
      </w:pPr>
      <w:r>
        <w:t>Multiple rounds of internal review on scoring and datasets. Review of reviews.</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135BE9EB" w14:textId="22538C52" w:rsidR="000161E2" w:rsidRPr="00FD34AC" w:rsidRDefault="000161E2" w:rsidP="00E1050F">
      <w:pPr>
        <w:pStyle w:val="MText"/>
        <w:rPr>
          <w:color w:val="2B579A"/>
          <w:shd w:val="clear" w:color="auto" w:fill="E6E6E6"/>
        </w:rPr>
      </w:pPr>
      <w:r w:rsidRPr="00EC2826">
        <w:rPr>
          <w:color w:val="2B579A"/>
          <w:shd w:val="clear" w:color="auto" w:fill="E6E6E6"/>
        </w:rPr>
        <w:t>Data Availability:</w:t>
      </w:r>
    </w:p>
    <w:p w14:paraId="4CD8F3EF" w14:textId="72EE6016" w:rsidR="00F719A8" w:rsidRDefault="003001F2" w:rsidP="00E1050F">
      <w:pPr>
        <w:pStyle w:val="MText"/>
      </w:pPr>
      <w:r w:rsidRPr="00FD34AC">
        <w:t xml:space="preserve">165 countries </w:t>
      </w:r>
      <w:r w:rsidR="00401B2F" w:rsidRPr="00FD34AC">
        <w:t xml:space="preserve">have been included </w:t>
      </w:r>
      <w:r w:rsidR="00EC7EB6">
        <w:t xml:space="preserve">in all six assessments </w:t>
      </w:r>
      <w:r w:rsidR="00401B2F" w:rsidRPr="00FD34AC">
        <w:t>since 2016.</w:t>
      </w:r>
      <w:r w:rsidR="00EC7EB6" w:rsidRPr="00FD34AC">
        <w:t xml:space="preserve"> </w:t>
      </w:r>
      <w:r w:rsidR="00EC7EB6" w:rsidRPr="00EC7EB6">
        <w:t>ODIN 2022/23 assessed 19</w:t>
      </w:r>
      <w:r w:rsidR="00C94026">
        <w:t>5</w:t>
      </w:r>
      <w:r w:rsidR="00EC7EB6" w:rsidRPr="00EC7EB6">
        <w:t xml:space="preserve"> countries</w:t>
      </w:r>
      <w:r w:rsidR="00EC7EB6">
        <w:t>.</w:t>
      </w:r>
    </w:p>
    <w:p w14:paraId="19C1E531" w14:textId="77777777" w:rsidR="00EC7EB6" w:rsidRPr="00EC2826" w:rsidRDefault="00EC7EB6" w:rsidP="00E1050F">
      <w:pPr>
        <w:pStyle w:val="MText"/>
      </w:pPr>
    </w:p>
    <w:p w14:paraId="20EB7EE9" w14:textId="0FED9D34" w:rsidR="00401B2F" w:rsidRPr="00EC2826" w:rsidRDefault="00401B2F" w:rsidP="00E1050F">
      <w:pPr>
        <w:pStyle w:val="MText"/>
      </w:pPr>
      <w:r w:rsidRPr="00EC2826">
        <w:rPr>
          <w:color w:val="2B579A"/>
          <w:shd w:val="clear" w:color="auto" w:fill="E6E6E6"/>
        </w:rPr>
        <w:t>Time series:</w:t>
      </w:r>
    </w:p>
    <w:p w14:paraId="501BD281" w14:textId="5F7DEE1B" w:rsidR="00401B2F" w:rsidRPr="00EC2826" w:rsidRDefault="003C6670" w:rsidP="00E1050F">
      <w:pPr>
        <w:pStyle w:val="MText"/>
      </w:pPr>
      <w:r>
        <w:rPr>
          <w:color w:val="2B579A"/>
          <w:shd w:val="clear" w:color="auto" w:fill="E6E6E6"/>
        </w:rPr>
        <w:t>2016-2018 annually</w:t>
      </w:r>
      <w:r w:rsidR="001D7ED5">
        <w:rPr>
          <w:color w:val="2B579A"/>
          <w:shd w:val="clear" w:color="auto" w:fill="E6E6E6"/>
        </w:rPr>
        <w:t>,</w:t>
      </w:r>
      <w:r w:rsidR="00B11F9F">
        <w:rPr>
          <w:color w:val="2B579A"/>
          <w:shd w:val="clear" w:color="auto" w:fill="E6E6E6"/>
        </w:rPr>
        <w:t xml:space="preserve"> and</w:t>
      </w:r>
      <w:r w:rsidR="00025919">
        <w:rPr>
          <w:color w:val="2B579A"/>
          <w:shd w:val="clear" w:color="auto" w:fill="E6E6E6"/>
        </w:rPr>
        <w:t xml:space="preserve"> </w:t>
      </w:r>
      <w:r w:rsidR="001C660A">
        <w:rPr>
          <w:color w:val="2B579A"/>
          <w:shd w:val="clear" w:color="auto" w:fill="E6E6E6"/>
        </w:rPr>
        <w:t>biennial</w:t>
      </w:r>
      <w:r w:rsidR="00221D43">
        <w:rPr>
          <w:color w:val="2B579A"/>
          <w:shd w:val="clear" w:color="auto" w:fill="E6E6E6"/>
        </w:rPr>
        <w:t>ly</w:t>
      </w:r>
      <w:r w:rsidR="00025919">
        <w:rPr>
          <w:color w:val="2B579A"/>
          <w:shd w:val="clear" w:color="auto" w:fill="E6E6E6"/>
        </w:rPr>
        <w:t xml:space="preserve"> </w:t>
      </w:r>
      <w:r w:rsidR="00221D43">
        <w:rPr>
          <w:color w:val="2B579A"/>
          <w:shd w:val="clear" w:color="auto" w:fill="E6E6E6"/>
        </w:rPr>
        <w:t>thereafter</w:t>
      </w:r>
      <w:r>
        <w:rPr>
          <w:color w:val="2B579A"/>
          <w:shd w:val="clear" w:color="auto" w:fill="E6E6E6"/>
        </w:rPr>
        <w:t xml:space="preserve"> starting with 2020.</w:t>
      </w:r>
    </w:p>
    <w:p w14:paraId="464A8CCF" w14:textId="77777777" w:rsidR="00576CFA" w:rsidRPr="00A96255" w:rsidRDefault="00576CFA" w:rsidP="00576CFA">
      <w:pPr>
        <w:pStyle w:val="MText"/>
      </w:pPr>
    </w:p>
    <w:p w14:paraId="4D0520F7" w14:textId="11F0E737" w:rsidR="00382CF3" w:rsidRPr="00A96255" w:rsidRDefault="00B31E2C" w:rsidP="000412A0">
      <w:pPr>
        <w:pStyle w:val="MHeader"/>
        <w:spacing w:after="100"/>
      </w:pPr>
      <w:r w:rsidRPr="00A96255">
        <w:lastRenderedPageBreak/>
        <w:t xml:space="preserve">6. Comparability / deviation from international standards </w:t>
      </w:r>
      <w:r>
        <w:rPr>
          <w:color w:val="B4B4B4"/>
          <w:sz w:val="20"/>
        </w:rPr>
        <w:t>(COMPARABILITY)</w:t>
      </w:r>
    </w:p>
    <w:p w14:paraId="33CAB7BE" w14:textId="2298CF19" w:rsidR="00EC2915" w:rsidRDefault="004201C2" w:rsidP="00576CFA">
      <w:pPr>
        <w:pStyle w:val="MText"/>
      </w:pPr>
      <w:r>
        <w:t>Not applicable</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384B0992" w14:textId="25C93A28" w:rsidR="00186795" w:rsidRDefault="00F841EF">
      <w:hyperlink r:id="rId21" w:history="1">
        <w:r w:rsidR="003C6A4E" w:rsidRPr="00A958A1">
          <w:rPr>
            <w:rStyle w:val="Hyperlink"/>
          </w:rPr>
          <w:t>ODIN website</w:t>
        </w:r>
      </w:hyperlink>
    </w:p>
    <w:p w14:paraId="3E38EA52" w14:textId="4450FA1A" w:rsidR="00A96255" w:rsidRPr="00F10F38" w:rsidRDefault="00F841EF" w:rsidP="00F10F38">
      <w:hyperlink r:id="rId22" w:history="1">
        <w:r w:rsidR="003C6A4E" w:rsidRPr="003C6A4E">
          <w:rPr>
            <w:rStyle w:val="Hyperlink"/>
          </w:rPr>
          <w:t>ODIN methodology</w:t>
        </w:r>
      </w:hyperlink>
    </w:p>
    <w:sectPr w:rsidR="00A96255" w:rsidRPr="00F10F38">
      <w:headerReference w:type="default" r:id="rId2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1B0E5" w14:textId="77777777" w:rsidR="000D6314" w:rsidRDefault="000D6314" w:rsidP="00573C0B">
      <w:pPr>
        <w:spacing w:after="0" w:line="240" w:lineRule="auto"/>
      </w:pPr>
      <w:r>
        <w:separator/>
      </w:r>
    </w:p>
  </w:endnote>
  <w:endnote w:type="continuationSeparator" w:id="0">
    <w:p w14:paraId="746BA3DF" w14:textId="77777777" w:rsidR="000D6314" w:rsidRDefault="000D6314" w:rsidP="00573C0B">
      <w:pPr>
        <w:spacing w:after="0" w:line="240" w:lineRule="auto"/>
      </w:pPr>
      <w:r>
        <w:continuationSeparator/>
      </w:r>
    </w:p>
  </w:endnote>
  <w:endnote w:type="continuationNotice" w:id="1">
    <w:p w14:paraId="58F08948" w14:textId="77777777" w:rsidR="000D6314" w:rsidRDefault="000D63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CCB42" w14:textId="77777777" w:rsidR="000D6314" w:rsidRDefault="000D6314" w:rsidP="00573C0B">
      <w:pPr>
        <w:spacing w:after="0" w:line="240" w:lineRule="auto"/>
      </w:pPr>
      <w:r>
        <w:separator/>
      </w:r>
    </w:p>
  </w:footnote>
  <w:footnote w:type="continuationSeparator" w:id="0">
    <w:p w14:paraId="13F4FDC5" w14:textId="77777777" w:rsidR="000D6314" w:rsidRDefault="000D6314" w:rsidP="00573C0B">
      <w:pPr>
        <w:spacing w:after="0" w:line="240" w:lineRule="auto"/>
      </w:pPr>
      <w:r>
        <w:continuationSeparator/>
      </w:r>
    </w:p>
  </w:footnote>
  <w:footnote w:type="continuationNotice" w:id="1">
    <w:p w14:paraId="0CF01B4C" w14:textId="77777777" w:rsidR="000D6314" w:rsidRDefault="000D631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2A287FCE" w:rsidR="00077F46" w:rsidRPr="00757E8A" w:rsidRDefault="00077F46"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sidR="00AF5552">
      <w:rPr>
        <w:color w:val="404040" w:themeColor="text1" w:themeTint="BF"/>
        <w:sz w:val="18"/>
        <w:szCs w:val="18"/>
      </w:rPr>
      <w:t xml:space="preserve"> </w:t>
    </w:r>
    <w:r w:rsidR="00E77562">
      <w:rPr>
        <w:color w:val="404040" w:themeColor="text1" w:themeTint="BF"/>
        <w:sz w:val="18"/>
        <w:szCs w:val="18"/>
      </w:rPr>
      <w:t>202</w:t>
    </w:r>
    <w:r w:rsidR="007511F8">
      <w:rPr>
        <w:color w:val="404040" w:themeColor="text1" w:themeTint="BF"/>
        <w:sz w:val="18"/>
        <w:szCs w:val="18"/>
      </w:rPr>
      <w:t>4</w:t>
    </w:r>
    <w:r w:rsidR="00E77562">
      <w:rPr>
        <w:color w:val="404040" w:themeColor="text1" w:themeTint="BF"/>
        <w:sz w:val="18"/>
        <w:szCs w:val="18"/>
      </w:rPr>
      <w:t>-</w:t>
    </w:r>
    <w:r w:rsidR="007511F8">
      <w:rPr>
        <w:color w:val="404040" w:themeColor="text1" w:themeTint="BF"/>
        <w:sz w:val="18"/>
        <w:szCs w:val="18"/>
      </w:rPr>
      <w:t>03</w:t>
    </w:r>
    <w:r w:rsidR="00E77562">
      <w:rPr>
        <w:color w:val="404040" w:themeColor="text1" w:themeTint="BF"/>
        <w:sz w:val="18"/>
        <w:szCs w:val="18"/>
      </w:rPr>
      <w:t>-</w:t>
    </w:r>
    <w:r w:rsidR="007511F8">
      <w:rPr>
        <w:color w:val="404040" w:themeColor="text1" w:themeTint="BF"/>
        <w:sz w:val="18"/>
        <w:szCs w:val="18"/>
      </w:rPr>
      <w:t>28</w:t>
    </w:r>
  </w:p>
</w:hdr>
</file>

<file path=word/intelligence2.xml><?xml version="1.0" encoding="utf-8"?>
<int2:intelligence xmlns:int2="http://schemas.microsoft.com/office/intelligence/2020/intelligence" xmlns:oel="http://schemas.microsoft.com/office/2019/extlst">
  <int2:observations>
    <int2:bookmark int2:bookmarkName="_Int_XwVuXLMj" int2:invalidationBookmarkName="" int2:hashCode="NQNLmsEhOaoIfc" int2:id="JkXTJ0B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3C7EA1"/>
    <w:multiLevelType w:val="hybridMultilevel"/>
    <w:tmpl w:val="53124FA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54403B"/>
    <w:multiLevelType w:val="hybridMultilevel"/>
    <w:tmpl w:val="A2D41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0231715">
    <w:abstractNumId w:val="4"/>
  </w:num>
  <w:num w:numId="2" w16cid:durableId="1536387191">
    <w:abstractNumId w:val="0"/>
  </w:num>
  <w:num w:numId="3" w16cid:durableId="523593282">
    <w:abstractNumId w:val="5"/>
  </w:num>
  <w:num w:numId="4" w16cid:durableId="550695">
    <w:abstractNumId w:val="2"/>
  </w:num>
  <w:num w:numId="5" w16cid:durableId="350760647">
    <w:abstractNumId w:val="3"/>
  </w:num>
  <w:num w:numId="6" w16cid:durableId="795027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61E2"/>
    <w:rsid w:val="000173F9"/>
    <w:rsid w:val="00025919"/>
    <w:rsid w:val="000279FC"/>
    <w:rsid w:val="000412A0"/>
    <w:rsid w:val="00041732"/>
    <w:rsid w:val="00047DDA"/>
    <w:rsid w:val="0005455A"/>
    <w:rsid w:val="00057127"/>
    <w:rsid w:val="00063733"/>
    <w:rsid w:val="00065FFE"/>
    <w:rsid w:val="00066DF1"/>
    <w:rsid w:val="00071F07"/>
    <w:rsid w:val="0007759D"/>
    <w:rsid w:val="000777AB"/>
    <w:rsid w:val="00077F46"/>
    <w:rsid w:val="0008008E"/>
    <w:rsid w:val="000822CF"/>
    <w:rsid w:val="00090FB1"/>
    <w:rsid w:val="00096186"/>
    <w:rsid w:val="000A72E4"/>
    <w:rsid w:val="000B0E2F"/>
    <w:rsid w:val="000B2430"/>
    <w:rsid w:val="000D064F"/>
    <w:rsid w:val="000D0B30"/>
    <w:rsid w:val="000D6314"/>
    <w:rsid w:val="000D77B3"/>
    <w:rsid w:val="000E7280"/>
    <w:rsid w:val="000E78DE"/>
    <w:rsid w:val="000E7CC5"/>
    <w:rsid w:val="000F35A0"/>
    <w:rsid w:val="000F703E"/>
    <w:rsid w:val="00113054"/>
    <w:rsid w:val="00120E86"/>
    <w:rsid w:val="0012386F"/>
    <w:rsid w:val="00125DE9"/>
    <w:rsid w:val="00127CEB"/>
    <w:rsid w:val="001332E0"/>
    <w:rsid w:val="0013372C"/>
    <w:rsid w:val="00134DE7"/>
    <w:rsid w:val="0016267B"/>
    <w:rsid w:val="00165E82"/>
    <w:rsid w:val="0016799F"/>
    <w:rsid w:val="00181BC2"/>
    <w:rsid w:val="001823B5"/>
    <w:rsid w:val="00185354"/>
    <w:rsid w:val="001854DC"/>
    <w:rsid w:val="00186795"/>
    <w:rsid w:val="00186B64"/>
    <w:rsid w:val="00194D09"/>
    <w:rsid w:val="001A7D5C"/>
    <w:rsid w:val="001B60AA"/>
    <w:rsid w:val="001B63C8"/>
    <w:rsid w:val="001C1972"/>
    <w:rsid w:val="001C421F"/>
    <w:rsid w:val="001C660A"/>
    <w:rsid w:val="001C667C"/>
    <w:rsid w:val="001D2607"/>
    <w:rsid w:val="001D360D"/>
    <w:rsid w:val="001D7ED5"/>
    <w:rsid w:val="002058B6"/>
    <w:rsid w:val="00213EA4"/>
    <w:rsid w:val="00214B7F"/>
    <w:rsid w:val="00221D43"/>
    <w:rsid w:val="00223535"/>
    <w:rsid w:val="002376A2"/>
    <w:rsid w:val="00245F2B"/>
    <w:rsid w:val="00257674"/>
    <w:rsid w:val="00261A8D"/>
    <w:rsid w:val="00261AE5"/>
    <w:rsid w:val="00264820"/>
    <w:rsid w:val="002712DD"/>
    <w:rsid w:val="00272EA5"/>
    <w:rsid w:val="002825CA"/>
    <w:rsid w:val="00283C1C"/>
    <w:rsid w:val="00291A00"/>
    <w:rsid w:val="00291A11"/>
    <w:rsid w:val="002A315C"/>
    <w:rsid w:val="002A3342"/>
    <w:rsid w:val="002A42FF"/>
    <w:rsid w:val="002A64BA"/>
    <w:rsid w:val="002B4989"/>
    <w:rsid w:val="002C2510"/>
    <w:rsid w:val="002D3B35"/>
    <w:rsid w:val="002D4F52"/>
    <w:rsid w:val="002D714E"/>
    <w:rsid w:val="002E41B8"/>
    <w:rsid w:val="002E53C3"/>
    <w:rsid w:val="002F1468"/>
    <w:rsid w:val="002F5F0C"/>
    <w:rsid w:val="003001F2"/>
    <w:rsid w:val="00307989"/>
    <w:rsid w:val="00324A01"/>
    <w:rsid w:val="003265EB"/>
    <w:rsid w:val="003267A0"/>
    <w:rsid w:val="0034329E"/>
    <w:rsid w:val="00343FAA"/>
    <w:rsid w:val="003441E4"/>
    <w:rsid w:val="00347F5E"/>
    <w:rsid w:val="00353C98"/>
    <w:rsid w:val="00371A20"/>
    <w:rsid w:val="003821B4"/>
    <w:rsid w:val="00382CF3"/>
    <w:rsid w:val="00387D52"/>
    <w:rsid w:val="003A0C32"/>
    <w:rsid w:val="003A14B4"/>
    <w:rsid w:val="003A7CEA"/>
    <w:rsid w:val="003C6670"/>
    <w:rsid w:val="003C6A4E"/>
    <w:rsid w:val="003D5BF6"/>
    <w:rsid w:val="003E38AB"/>
    <w:rsid w:val="003E76C8"/>
    <w:rsid w:val="003F0BD3"/>
    <w:rsid w:val="003F1188"/>
    <w:rsid w:val="003F2248"/>
    <w:rsid w:val="003F278A"/>
    <w:rsid w:val="003F7A02"/>
    <w:rsid w:val="00401729"/>
    <w:rsid w:val="00401B2F"/>
    <w:rsid w:val="00401F3E"/>
    <w:rsid w:val="00402012"/>
    <w:rsid w:val="0040427A"/>
    <w:rsid w:val="004201C2"/>
    <w:rsid w:val="00422EA5"/>
    <w:rsid w:val="00422EFA"/>
    <w:rsid w:val="00423D55"/>
    <w:rsid w:val="0042791F"/>
    <w:rsid w:val="00436E1B"/>
    <w:rsid w:val="00436F32"/>
    <w:rsid w:val="004456ED"/>
    <w:rsid w:val="00452CDD"/>
    <w:rsid w:val="00472265"/>
    <w:rsid w:val="0048045A"/>
    <w:rsid w:val="00480C0C"/>
    <w:rsid w:val="004841B8"/>
    <w:rsid w:val="004930F2"/>
    <w:rsid w:val="004B0F1C"/>
    <w:rsid w:val="004C1AAE"/>
    <w:rsid w:val="004D2DDF"/>
    <w:rsid w:val="004F1797"/>
    <w:rsid w:val="004F2C9F"/>
    <w:rsid w:val="004F2EE6"/>
    <w:rsid w:val="005002DF"/>
    <w:rsid w:val="0050195F"/>
    <w:rsid w:val="00502DBA"/>
    <w:rsid w:val="005040C4"/>
    <w:rsid w:val="00507637"/>
    <w:rsid w:val="00507852"/>
    <w:rsid w:val="00507C7B"/>
    <w:rsid w:val="00512081"/>
    <w:rsid w:val="00514DBF"/>
    <w:rsid w:val="00514E11"/>
    <w:rsid w:val="00540D65"/>
    <w:rsid w:val="00550921"/>
    <w:rsid w:val="00561249"/>
    <w:rsid w:val="00563712"/>
    <w:rsid w:val="005656AC"/>
    <w:rsid w:val="00573631"/>
    <w:rsid w:val="00573C0B"/>
    <w:rsid w:val="00576CFA"/>
    <w:rsid w:val="00582C33"/>
    <w:rsid w:val="0058556D"/>
    <w:rsid w:val="00592AF2"/>
    <w:rsid w:val="005947AD"/>
    <w:rsid w:val="00597748"/>
    <w:rsid w:val="005979E8"/>
    <w:rsid w:val="005A4E05"/>
    <w:rsid w:val="005D0AF4"/>
    <w:rsid w:val="005E3DFF"/>
    <w:rsid w:val="005E445C"/>
    <w:rsid w:val="005E54BD"/>
    <w:rsid w:val="005E58E7"/>
    <w:rsid w:val="005F3271"/>
    <w:rsid w:val="005F6CCA"/>
    <w:rsid w:val="00607B75"/>
    <w:rsid w:val="006104AF"/>
    <w:rsid w:val="00614EF8"/>
    <w:rsid w:val="00621893"/>
    <w:rsid w:val="006351E1"/>
    <w:rsid w:val="006360B3"/>
    <w:rsid w:val="006447B1"/>
    <w:rsid w:val="00662775"/>
    <w:rsid w:val="00662FAF"/>
    <w:rsid w:val="00670633"/>
    <w:rsid w:val="006804E1"/>
    <w:rsid w:val="00682F5D"/>
    <w:rsid w:val="006852FC"/>
    <w:rsid w:val="00685ED4"/>
    <w:rsid w:val="00697544"/>
    <w:rsid w:val="006B40AB"/>
    <w:rsid w:val="006B5DC5"/>
    <w:rsid w:val="006C4BFD"/>
    <w:rsid w:val="006C7D30"/>
    <w:rsid w:val="006D1313"/>
    <w:rsid w:val="006D76F4"/>
    <w:rsid w:val="006E3C08"/>
    <w:rsid w:val="006F277C"/>
    <w:rsid w:val="006F7EF6"/>
    <w:rsid w:val="00700ACF"/>
    <w:rsid w:val="0071058C"/>
    <w:rsid w:val="00712487"/>
    <w:rsid w:val="0072298D"/>
    <w:rsid w:val="007275D1"/>
    <w:rsid w:val="00743D22"/>
    <w:rsid w:val="0074707B"/>
    <w:rsid w:val="00750ABD"/>
    <w:rsid w:val="007511F8"/>
    <w:rsid w:val="00752A53"/>
    <w:rsid w:val="007530CA"/>
    <w:rsid w:val="00755EBC"/>
    <w:rsid w:val="0075723A"/>
    <w:rsid w:val="007578D9"/>
    <w:rsid w:val="00757E8A"/>
    <w:rsid w:val="0076210E"/>
    <w:rsid w:val="00763E43"/>
    <w:rsid w:val="007641C5"/>
    <w:rsid w:val="00764EB5"/>
    <w:rsid w:val="0076578F"/>
    <w:rsid w:val="00772DF5"/>
    <w:rsid w:val="00777A95"/>
    <w:rsid w:val="00782416"/>
    <w:rsid w:val="007B0364"/>
    <w:rsid w:val="007D0981"/>
    <w:rsid w:val="007D1929"/>
    <w:rsid w:val="007D60AA"/>
    <w:rsid w:val="007D7213"/>
    <w:rsid w:val="007E5E9E"/>
    <w:rsid w:val="007F5895"/>
    <w:rsid w:val="007F72C9"/>
    <w:rsid w:val="00803CF1"/>
    <w:rsid w:val="008104BB"/>
    <w:rsid w:val="008249C5"/>
    <w:rsid w:val="008322E0"/>
    <w:rsid w:val="008358CC"/>
    <w:rsid w:val="008526F9"/>
    <w:rsid w:val="0085285E"/>
    <w:rsid w:val="00853023"/>
    <w:rsid w:val="008534D4"/>
    <w:rsid w:val="00863820"/>
    <w:rsid w:val="00867EC2"/>
    <w:rsid w:val="00877C76"/>
    <w:rsid w:val="00881E28"/>
    <w:rsid w:val="00882DAD"/>
    <w:rsid w:val="00894174"/>
    <w:rsid w:val="00894C4B"/>
    <w:rsid w:val="00896C73"/>
    <w:rsid w:val="008A12E3"/>
    <w:rsid w:val="008A24A9"/>
    <w:rsid w:val="008A42FA"/>
    <w:rsid w:val="008A4687"/>
    <w:rsid w:val="008A54F0"/>
    <w:rsid w:val="008B0AC7"/>
    <w:rsid w:val="008B5056"/>
    <w:rsid w:val="008C2335"/>
    <w:rsid w:val="008C293C"/>
    <w:rsid w:val="008C67C1"/>
    <w:rsid w:val="008D1D39"/>
    <w:rsid w:val="008E074E"/>
    <w:rsid w:val="008F07D2"/>
    <w:rsid w:val="008F455C"/>
    <w:rsid w:val="008F7F62"/>
    <w:rsid w:val="009019A2"/>
    <w:rsid w:val="00905FCA"/>
    <w:rsid w:val="00911157"/>
    <w:rsid w:val="00913BB6"/>
    <w:rsid w:val="0091471E"/>
    <w:rsid w:val="00917851"/>
    <w:rsid w:val="00917F65"/>
    <w:rsid w:val="00924435"/>
    <w:rsid w:val="00925A96"/>
    <w:rsid w:val="009311E7"/>
    <w:rsid w:val="00933833"/>
    <w:rsid w:val="00936609"/>
    <w:rsid w:val="00942694"/>
    <w:rsid w:val="00954831"/>
    <w:rsid w:val="00956936"/>
    <w:rsid w:val="00974C17"/>
    <w:rsid w:val="00993A7B"/>
    <w:rsid w:val="009A3A89"/>
    <w:rsid w:val="009A7D13"/>
    <w:rsid w:val="009A7E3A"/>
    <w:rsid w:val="009B1265"/>
    <w:rsid w:val="009B4A15"/>
    <w:rsid w:val="009B5693"/>
    <w:rsid w:val="009C61A2"/>
    <w:rsid w:val="009C78E4"/>
    <w:rsid w:val="009D22EA"/>
    <w:rsid w:val="009D687E"/>
    <w:rsid w:val="009F6DE7"/>
    <w:rsid w:val="00A02F6A"/>
    <w:rsid w:val="00A10583"/>
    <w:rsid w:val="00A1342F"/>
    <w:rsid w:val="00A36F61"/>
    <w:rsid w:val="00A37FCB"/>
    <w:rsid w:val="00A54863"/>
    <w:rsid w:val="00A61D74"/>
    <w:rsid w:val="00A63CD1"/>
    <w:rsid w:val="00A70DD1"/>
    <w:rsid w:val="00A75EB2"/>
    <w:rsid w:val="00A8688B"/>
    <w:rsid w:val="00A91163"/>
    <w:rsid w:val="00A9286F"/>
    <w:rsid w:val="00A937E3"/>
    <w:rsid w:val="00A958A1"/>
    <w:rsid w:val="00A96255"/>
    <w:rsid w:val="00AA1068"/>
    <w:rsid w:val="00AA6789"/>
    <w:rsid w:val="00AB0822"/>
    <w:rsid w:val="00AB285B"/>
    <w:rsid w:val="00AB296D"/>
    <w:rsid w:val="00AC1318"/>
    <w:rsid w:val="00AD6B19"/>
    <w:rsid w:val="00AD70E1"/>
    <w:rsid w:val="00AE4F20"/>
    <w:rsid w:val="00AF5552"/>
    <w:rsid w:val="00AF5CB4"/>
    <w:rsid w:val="00AF5ED1"/>
    <w:rsid w:val="00AF71D6"/>
    <w:rsid w:val="00B11F9F"/>
    <w:rsid w:val="00B24F0E"/>
    <w:rsid w:val="00B3175F"/>
    <w:rsid w:val="00B31E2C"/>
    <w:rsid w:val="00B329B0"/>
    <w:rsid w:val="00B34167"/>
    <w:rsid w:val="00B402D8"/>
    <w:rsid w:val="00B4237C"/>
    <w:rsid w:val="00B42FE8"/>
    <w:rsid w:val="00B52AFD"/>
    <w:rsid w:val="00B54077"/>
    <w:rsid w:val="00B74575"/>
    <w:rsid w:val="00B8087E"/>
    <w:rsid w:val="00B91D30"/>
    <w:rsid w:val="00B9553B"/>
    <w:rsid w:val="00BA50C7"/>
    <w:rsid w:val="00BB646E"/>
    <w:rsid w:val="00BC0720"/>
    <w:rsid w:val="00BC4B15"/>
    <w:rsid w:val="00BD1BA1"/>
    <w:rsid w:val="00BE19AD"/>
    <w:rsid w:val="00BF0828"/>
    <w:rsid w:val="00BF0EEF"/>
    <w:rsid w:val="00C04739"/>
    <w:rsid w:val="00C163D4"/>
    <w:rsid w:val="00C17A26"/>
    <w:rsid w:val="00C27239"/>
    <w:rsid w:val="00C27EAB"/>
    <w:rsid w:val="00C319CF"/>
    <w:rsid w:val="00C35BC4"/>
    <w:rsid w:val="00C43F5B"/>
    <w:rsid w:val="00C47FC0"/>
    <w:rsid w:val="00C64E79"/>
    <w:rsid w:val="00C65F70"/>
    <w:rsid w:val="00C70249"/>
    <w:rsid w:val="00C75E8F"/>
    <w:rsid w:val="00C841E9"/>
    <w:rsid w:val="00C842F8"/>
    <w:rsid w:val="00C94026"/>
    <w:rsid w:val="00CA6E25"/>
    <w:rsid w:val="00CB4371"/>
    <w:rsid w:val="00CC019C"/>
    <w:rsid w:val="00CC516D"/>
    <w:rsid w:val="00CE7B13"/>
    <w:rsid w:val="00CF0C1E"/>
    <w:rsid w:val="00CF7633"/>
    <w:rsid w:val="00D118B6"/>
    <w:rsid w:val="00D149C4"/>
    <w:rsid w:val="00D24330"/>
    <w:rsid w:val="00D270C3"/>
    <w:rsid w:val="00D30BF3"/>
    <w:rsid w:val="00D327D9"/>
    <w:rsid w:val="00D366A8"/>
    <w:rsid w:val="00D40056"/>
    <w:rsid w:val="00D54F29"/>
    <w:rsid w:val="00D6346C"/>
    <w:rsid w:val="00D65E2D"/>
    <w:rsid w:val="00D70AD9"/>
    <w:rsid w:val="00D72152"/>
    <w:rsid w:val="00D74B0F"/>
    <w:rsid w:val="00D8092C"/>
    <w:rsid w:val="00D90ED8"/>
    <w:rsid w:val="00D94BA5"/>
    <w:rsid w:val="00D9510F"/>
    <w:rsid w:val="00D97A9B"/>
    <w:rsid w:val="00DA615C"/>
    <w:rsid w:val="00DB27BD"/>
    <w:rsid w:val="00DC33CF"/>
    <w:rsid w:val="00DD1BC6"/>
    <w:rsid w:val="00DE0766"/>
    <w:rsid w:val="00DE5DC3"/>
    <w:rsid w:val="00DF138F"/>
    <w:rsid w:val="00DF17BE"/>
    <w:rsid w:val="00E00644"/>
    <w:rsid w:val="00E00D8A"/>
    <w:rsid w:val="00E02BDD"/>
    <w:rsid w:val="00E1050F"/>
    <w:rsid w:val="00E11604"/>
    <w:rsid w:val="00E11D92"/>
    <w:rsid w:val="00E130A0"/>
    <w:rsid w:val="00E210C4"/>
    <w:rsid w:val="00E2302F"/>
    <w:rsid w:val="00E23DB7"/>
    <w:rsid w:val="00E33CEF"/>
    <w:rsid w:val="00E4564E"/>
    <w:rsid w:val="00E45DCA"/>
    <w:rsid w:val="00E46D96"/>
    <w:rsid w:val="00E50550"/>
    <w:rsid w:val="00E52CCA"/>
    <w:rsid w:val="00E5685C"/>
    <w:rsid w:val="00E655A9"/>
    <w:rsid w:val="00E66409"/>
    <w:rsid w:val="00E7336B"/>
    <w:rsid w:val="00E77562"/>
    <w:rsid w:val="00E81D5B"/>
    <w:rsid w:val="00E85AB4"/>
    <w:rsid w:val="00E95D03"/>
    <w:rsid w:val="00E96E21"/>
    <w:rsid w:val="00E976B9"/>
    <w:rsid w:val="00EA05D3"/>
    <w:rsid w:val="00EA7936"/>
    <w:rsid w:val="00EA7E8D"/>
    <w:rsid w:val="00EB1413"/>
    <w:rsid w:val="00EB19AD"/>
    <w:rsid w:val="00EB2F31"/>
    <w:rsid w:val="00EB6493"/>
    <w:rsid w:val="00EC05C5"/>
    <w:rsid w:val="00EC2826"/>
    <w:rsid w:val="00EC2915"/>
    <w:rsid w:val="00EC317C"/>
    <w:rsid w:val="00EC7EB6"/>
    <w:rsid w:val="00ED05A9"/>
    <w:rsid w:val="00ED1BA0"/>
    <w:rsid w:val="00EE2930"/>
    <w:rsid w:val="00EE4642"/>
    <w:rsid w:val="00EE5479"/>
    <w:rsid w:val="00EF2354"/>
    <w:rsid w:val="00EF64EE"/>
    <w:rsid w:val="00F05559"/>
    <w:rsid w:val="00F10F38"/>
    <w:rsid w:val="00F17257"/>
    <w:rsid w:val="00F34D24"/>
    <w:rsid w:val="00F370CF"/>
    <w:rsid w:val="00F4130B"/>
    <w:rsid w:val="00F53009"/>
    <w:rsid w:val="00F556A2"/>
    <w:rsid w:val="00F57AB2"/>
    <w:rsid w:val="00F62B3D"/>
    <w:rsid w:val="00F661BA"/>
    <w:rsid w:val="00F719A8"/>
    <w:rsid w:val="00F841EF"/>
    <w:rsid w:val="00F867F8"/>
    <w:rsid w:val="00F878B9"/>
    <w:rsid w:val="00FA1BFA"/>
    <w:rsid w:val="00FB24E8"/>
    <w:rsid w:val="00FB3B2B"/>
    <w:rsid w:val="00FB476E"/>
    <w:rsid w:val="00FC0FA6"/>
    <w:rsid w:val="00FC18DA"/>
    <w:rsid w:val="00FC3917"/>
    <w:rsid w:val="00FD34AC"/>
    <w:rsid w:val="00FD5F41"/>
    <w:rsid w:val="00FD60DA"/>
    <w:rsid w:val="00FE08FB"/>
    <w:rsid w:val="00FE5000"/>
    <w:rsid w:val="00FF07B4"/>
    <w:rsid w:val="01986CB8"/>
    <w:rsid w:val="01E68BAB"/>
    <w:rsid w:val="031FD07C"/>
    <w:rsid w:val="032A1AE7"/>
    <w:rsid w:val="04C5EB48"/>
    <w:rsid w:val="04F4A0ED"/>
    <w:rsid w:val="053684F5"/>
    <w:rsid w:val="06E2507E"/>
    <w:rsid w:val="071BD8CF"/>
    <w:rsid w:val="09DA3B9B"/>
    <w:rsid w:val="0FE52B27"/>
    <w:rsid w:val="127F6D8D"/>
    <w:rsid w:val="134FBC77"/>
    <w:rsid w:val="1825BF8C"/>
    <w:rsid w:val="1B033279"/>
    <w:rsid w:val="273F6AAC"/>
    <w:rsid w:val="2AB24E4D"/>
    <w:rsid w:val="336BBF9A"/>
    <w:rsid w:val="34E12538"/>
    <w:rsid w:val="351A22A7"/>
    <w:rsid w:val="3E55DFF8"/>
    <w:rsid w:val="3F45109E"/>
    <w:rsid w:val="4177D34A"/>
    <w:rsid w:val="41DB129C"/>
    <w:rsid w:val="4B6E780C"/>
    <w:rsid w:val="4BB51E39"/>
    <w:rsid w:val="4BEF2C88"/>
    <w:rsid w:val="50155CDD"/>
    <w:rsid w:val="522A9D0A"/>
    <w:rsid w:val="5396AD62"/>
    <w:rsid w:val="54383310"/>
    <w:rsid w:val="55AB1103"/>
    <w:rsid w:val="564BE230"/>
    <w:rsid w:val="5A97BB34"/>
    <w:rsid w:val="62239D63"/>
    <w:rsid w:val="68235E7C"/>
    <w:rsid w:val="6EB1B021"/>
    <w:rsid w:val="6F1B2066"/>
    <w:rsid w:val="7621764C"/>
    <w:rsid w:val="7E60CBF5"/>
    <w:rsid w:val="7F40B6A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DC2A258-8B65-4C6C-9FB1-F3820B776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3">
    <w:name w:val="heading 3"/>
    <w:basedOn w:val="Normal"/>
    <w:next w:val="Normal"/>
    <w:link w:val="Heading3Char"/>
    <w:uiPriority w:val="9"/>
    <w:semiHidden/>
    <w:unhideWhenUsed/>
    <w:qFormat/>
    <w:rsid w:val="005A4E0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514E11"/>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Revision">
    <w:name w:val="Revision"/>
    <w:hidden/>
    <w:uiPriority w:val="99"/>
    <w:semiHidden/>
    <w:rsid w:val="000822CF"/>
    <w:pPr>
      <w:spacing w:after="0" w:line="240" w:lineRule="auto"/>
    </w:pPr>
  </w:style>
  <w:style w:type="character" w:customStyle="1" w:styleId="Heading3Char">
    <w:name w:val="Heading 3 Char"/>
    <w:basedOn w:val="DefaultParagraphFont"/>
    <w:link w:val="Heading3"/>
    <w:uiPriority w:val="9"/>
    <w:semiHidden/>
    <w:rsid w:val="005A4E05"/>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514E11"/>
    <w:rPr>
      <w:rFonts w:asciiTheme="majorHAnsi" w:eastAsiaTheme="majorEastAsia" w:hAnsiTheme="majorHAnsi" w:cstheme="majorBidi"/>
      <w:color w:val="365F91" w:themeColor="accent1" w:themeShade="BF"/>
    </w:rPr>
  </w:style>
  <w:style w:type="character" w:styleId="Mention">
    <w:name w:val="Mention"/>
    <w:basedOn w:val="DefaultParagraphFont"/>
    <w:uiPriority w:val="99"/>
    <w:unhideWhenUsed/>
    <w:rsid w:val="000E78DE"/>
    <w:rPr>
      <w:color w:val="2B579A"/>
      <w:shd w:val="clear" w:color="auto" w:fill="E6E6E6"/>
    </w:rPr>
  </w:style>
  <w:style w:type="paragraph" w:styleId="FootnoteText">
    <w:name w:val="footnote text"/>
    <w:basedOn w:val="Normal"/>
    <w:link w:val="FootnoteTextChar"/>
    <w:uiPriority w:val="99"/>
    <w:semiHidden/>
    <w:unhideWhenUsed/>
    <w:rsid w:val="00127C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7CEB"/>
    <w:rPr>
      <w:sz w:val="20"/>
      <w:szCs w:val="20"/>
    </w:rPr>
  </w:style>
  <w:style w:type="character" w:styleId="FootnoteReference">
    <w:name w:val="footnote reference"/>
    <w:basedOn w:val="DefaultParagraphFont"/>
    <w:uiPriority w:val="99"/>
    <w:semiHidden/>
    <w:unhideWhenUsed/>
    <w:rsid w:val="00127C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6253">
      <w:bodyDiv w:val="1"/>
      <w:marLeft w:val="0"/>
      <w:marRight w:val="0"/>
      <w:marTop w:val="0"/>
      <w:marBottom w:val="0"/>
      <w:divBdr>
        <w:top w:val="none" w:sz="0" w:space="0" w:color="auto"/>
        <w:left w:val="none" w:sz="0" w:space="0" w:color="auto"/>
        <w:bottom w:val="none" w:sz="0" w:space="0" w:color="auto"/>
        <w:right w:val="none" w:sz="0" w:space="0" w:color="auto"/>
      </w:divBdr>
    </w:div>
    <w:div w:id="296569569">
      <w:bodyDiv w:val="1"/>
      <w:marLeft w:val="0"/>
      <w:marRight w:val="0"/>
      <w:marTop w:val="0"/>
      <w:marBottom w:val="0"/>
      <w:divBdr>
        <w:top w:val="none" w:sz="0" w:space="0" w:color="auto"/>
        <w:left w:val="none" w:sz="0" w:space="0" w:color="auto"/>
        <w:bottom w:val="none" w:sz="0" w:space="0" w:color="auto"/>
        <w:right w:val="none" w:sz="0" w:space="0" w:color="auto"/>
      </w:divBdr>
    </w:div>
    <w:div w:id="537553211">
      <w:bodyDiv w:val="1"/>
      <w:marLeft w:val="0"/>
      <w:marRight w:val="0"/>
      <w:marTop w:val="0"/>
      <w:marBottom w:val="0"/>
      <w:divBdr>
        <w:top w:val="none" w:sz="0" w:space="0" w:color="auto"/>
        <w:left w:val="none" w:sz="0" w:space="0" w:color="auto"/>
        <w:bottom w:val="none" w:sz="0" w:space="0" w:color="auto"/>
        <w:right w:val="none" w:sz="0" w:space="0" w:color="auto"/>
      </w:divBdr>
    </w:div>
    <w:div w:id="607390810">
      <w:bodyDiv w:val="1"/>
      <w:marLeft w:val="0"/>
      <w:marRight w:val="0"/>
      <w:marTop w:val="0"/>
      <w:marBottom w:val="0"/>
      <w:divBdr>
        <w:top w:val="none" w:sz="0" w:space="0" w:color="auto"/>
        <w:left w:val="none" w:sz="0" w:space="0" w:color="auto"/>
        <w:bottom w:val="none" w:sz="0" w:space="0" w:color="auto"/>
        <w:right w:val="none" w:sz="0" w:space="0" w:color="auto"/>
      </w:divBdr>
    </w:div>
    <w:div w:id="618922145">
      <w:bodyDiv w:val="1"/>
      <w:marLeft w:val="0"/>
      <w:marRight w:val="0"/>
      <w:marTop w:val="0"/>
      <w:marBottom w:val="0"/>
      <w:divBdr>
        <w:top w:val="none" w:sz="0" w:space="0" w:color="auto"/>
        <w:left w:val="none" w:sz="0" w:space="0" w:color="auto"/>
        <w:bottom w:val="none" w:sz="0" w:space="0" w:color="auto"/>
        <w:right w:val="none" w:sz="0" w:space="0" w:color="auto"/>
      </w:divBdr>
    </w:div>
    <w:div w:id="926962413">
      <w:bodyDiv w:val="1"/>
      <w:marLeft w:val="0"/>
      <w:marRight w:val="0"/>
      <w:marTop w:val="0"/>
      <w:marBottom w:val="0"/>
      <w:divBdr>
        <w:top w:val="none" w:sz="0" w:space="0" w:color="auto"/>
        <w:left w:val="none" w:sz="0" w:space="0" w:color="auto"/>
        <w:bottom w:val="none" w:sz="0" w:space="0" w:color="auto"/>
        <w:right w:val="none" w:sz="0" w:space="0" w:color="auto"/>
      </w:divBdr>
    </w:div>
    <w:div w:id="1018504280">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59354435">
      <w:bodyDiv w:val="1"/>
      <w:marLeft w:val="0"/>
      <w:marRight w:val="0"/>
      <w:marTop w:val="0"/>
      <w:marBottom w:val="0"/>
      <w:divBdr>
        <w:top w:val="none" w:sz="0" w:space="0" w:color="auto"/>
        <w:left w:val="none" w:sz="0" w:space="0" w:color="auto"/>
        <w:bottom w:val="none" w:sz="0" w:space="0" w:color="auto"/>
        <w:right w:val="none" w:sz="0" w:space="0" w:color="auto"/>
      </w:divBdr>
    </w:div>
    <w:div w:id="1111705130">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14543412">
      <w:bodyDiv w:val="1"/>
      <w:marLeft w:val="0"/>
      <w:marRight w:val="0"/>
      <w:marTop w:val="0"/>
      <w:marBottom w:val="0"/>
      <w:divBdr>
        <w:top w:val="none" w:sz="0" w:space="0" w:color="auto"/>
        <w:left w:val="none" w:sz="0" w:space="0" w:color="auto"/>
        <w:bottom w:val="none" w:sz="0" w:space="0" w:color="auto"/>
        <w:right w:val="none" w:sz="0" w:space="0" w:color="auto"/>
      </w:divBdr>
    </w:div>
    <w:div w:id="1537622877">
      <w:bodyDiv w:val="1"/>
      <w:marLeft w:val="0"/>
      <w:marRight w:val="0"/>
      <w:marTop w:val="0"/>
      <w:marBottom w:val="0"/>
      <w:divBdr>
        <w:top w:val="none" w:sz="0" w:space="0" w:color="auto"/>
        <w:left w:val="none" w:sz="0" w:space="0" w:color="auto"/>
        <w:bottom w:val="none" w:sz="0" w:space="0" w:color="auto"/>
        <w:right w:val="none" w:sz="0" w:space="0" w:color="auto"/>
      </w:divBdr>
    </w:div>
    <w:div w:id="1674916802">
      <w:bodyDiv w:val="1"/>
      <w:marLeft w:val="0"/>
      <w:marRight w:val="0"/>
      <w:marTop w:val="0"/>
      <w:marBottom w:val="0"/>
      <w:divBdr>
        <w:top w:val="none" w:sz="0" w:space="0" w:color="auto"/>
        <w:left w:val="none" w:sz="0" w:space="0" w:color="auto"/>
        <w:bottom w:val="none" w:sz="0" w:space="0" w:color="auto"/>
        <w:right w:val="none" w:sz="0" w:space="0" w:color="auto"/>
      </w:divBdr>
    </w:div>
    <w:div w:id="1738741698">
      <w:bodyDiv w:val="1"/>
      <w:marLeft w:val="0"/>
      <w:marRight w:val="0"/>
      <w:marTop w:val="0"/>
      <w:marBottom w:val="0"/>
      <w:divBdr>
        <w:top w:val="none" w:sz="0" w:space="0" w:color="auto"/>
        <w:left w:val="none" w:sz="0" w:space="0" w:color="auto"/>
        <w:bottom w:val="none" w:sz="0" w:space="0" w:color="auto"/>
        <w:right w:val="none" w:sz="0" w:space="0" w:color="auto"/>
      </w:divBdr>
    </w:div>
    <w:div w:id="1744796797">
      <w:bodyDiv w:val="1"/>
      <w:marLeft w:val="0"/>
      <w:marRight w:val="0"/>
      <w:marTop w:val="0"/>
      <w:marBottom w:val="0"/>
      <w:divBdr>
        <w:top w:val="none" w:sz="0" w:space="0" w:color="auto"/>
        <w:left w:val="none" w:sz="0" w:space="0" w:color="auto"/>
        <w:bottom w:val="none" w:sz="0" w:space="0" w:color="auto"/>
        <w:right w:val="none" w:sz="0" w:space="0" w:color="auto"/>
      </w:divBdr>
    </w:div>
    <w:div w:id="1762066467">
      <w:bodyDiv w:val="1"/>
      <w:marLeft w:val="0"/>
      <w:marRight w:val="0"/>
      <w:marTop w:val="0"/>
      <w:marBottom w:val="0"/>
      <w:divBdr>
        <w:top w:val="none" w:sz="0" w:space="0" w:color="auto"/>
        <w:left w:val="none" w:sz="0" w:space="0" w:color="auto"/>
        <w:bottom w:val="none" w:sz="0" w:space="0" w:color="auto"/>
        <w:right w:val="none" w:sz="0" w:space="0" w:color="auto"/>
      </w:divBdr>
    </w:div>
    <w:div w:id="1801343568">
      <w:bodyDiv w:val="1"/>
      <w:marLeft w:val="0"/>
      <w:marRight w:val="0"/>
      <w:marTop w:val="0"/>
      <w:marBottom w:val="0"/>
      <w:divBdr>
        <w:top w:val="none" w:sz="0" w:space="0" w:color="auto"/>
        <w:left w:val="none" w:sz="0" w:space="0" w:color="auto"/>
        <w:bottom w:val="none" w:sz="0" w:space="0" w:color="auto"/>
        <w:right w:val="none" w:sz="0" w:space="0" w:color="auto"/>
      </w:divBdr>
    </w:div>
    <w:div w:id="1984843302">
      <w:bodyDiv w:val="1"/>
      <w:marLeft w:val="0"/>
      <w:marRight w:val="0"/>
      <w:marTop w:val="0"/>
      <w:marBottom w:val="0"/>
      <w:divBdr>
        <w:top w:val="none" w:sz="0" w:space="0" w:color="auto"/>
        <w:left w:val="none" w:sz="0" w:space="0" w:color="auto"/>
        <w:bottom w:val="none" w:sz="0" w:space="0" w:color="auto"/>
        <w:right w:val="none" w:sz="0" w:space="0" w:color="auto"/>
      </w:divBdr>
    </w:div>
    <w:div w:id="2106029465">
      <w:bodyDiv w:val="1"/>
      <w:marLeft w:val="0"/>
      <w:marRight w:val="0"/>
      <w:marTop w:val="0"/>
      <w:marBottom w:val="0"/>
      <w:divBdr>
        <w:top w:val="none" w:sz="0" w:space="0" w:color="auto"/>
        <w:left w:val="none" w:sz="0" w:space="0" w:color="auto"/>
        <w:bottom w:val="none" w:sz="0" w:space="0" w:color="auto"/>
        <w:right w:val="none" w:sz="0" w:space="0" w:color="auto"/>
      </w:divBdr>
    </w:div>
    <w:div w:id="211631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document/d/1q1h0_z0TUGayO-qN9o3ablmo_qVdSGgPgU_Ptq5xrdU/edit" TargetMode="External"/><Relationship Id="rId18" Type="http://schemas.openxmlformats.org/officeDocument/2006/relationships/hyperlink" Target="https://docs.google.com/document/d/1q1h0_z0TUGayO-qN9o3ablmo_qVdSGgPgU_Ptq5xrdU/edi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odin.opendatawatch.com/" TargetMode="External"/><Relationship Id="rId7" Type="http://schemas.openxmlformats.org/officeDocument/2006/relationships/settings" Target="settings.xml"/><Relationship Id="rId12" Type="http://schemas.openxmlformats.org/officeDocument/2006/relationships/hyperlink" Target="https://docs.google.com/document/d/1q1h0_z0TUGayO-qN9o3ablmo_qVdSGgPgU_Ptq5xrdU" TargetMode="External"/><Relationship Id="rId17" Type="http://schemas.openxmlformats.org/officeDocument/2006/relationships/hyperlink" Target="https://docs.google.com/document/d/1q1h0_z0TUGayO-qN9o3ablmo_qVdSGgPgU_Ptq5xrdU/edit"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drive.google.com/file/d/1VMvB3yqX8IlHL-7URk2MDIDyu2k8agVf/view?usp=sharing" TargetMode="External"/><Relationship Id="rId20" Type="http://schemas.openxmlformats.org/officeDocument/2006/relationships/hyperlink" Target="https://docs.google.com/document/d/1q1h0_z0TUGayO-qN9o3ablmo_qVdSGgPgU_Ptq5xr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google.com/document/d/1q1h0_z0TUGayO-qN9o3ablmo_qVdSGgPgU_Ptq5xrdU"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ocs.google.com/document/d/1q1h0_z0TUGayO-qN9o3ablmo_qVdSGgPgU_Ptq5xrdU/edit"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docs.google.com/document/d/1q1h0_z0TUGayO-qN9o3ablmo_qVdSGgPgU_Ptq5xrdU/ed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rive.google.com/file/d/1VMvB3yqX8IlHL-7URk2MDIDyu2k8agVf/view?usp=sharing" TargetMode="External"/><Relationship Id="rId22" Type="http://schemas.openxmlformats.org/officeDocument/2006/relationships/hyperlink" Target="https://docs.google.com/document/d/1q1h0_z0TUGayO-qN9o3ablmo_qVdSGgPgU_Ptq5xrdU" TargetMode="External"/><Relationship Id="rId27"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48DC73C0DB3457884344CF9B7BFD986"/>
        <w:category>
          <w:name w:val="General"/>
          <w:gallery w:val="placeholder"/>
        </w:category>
        <w:types>
          <w:type w:val="bbPlcHdr"/>
        </w:types>
        <w:behaviors>
          <w:behavior w:val="content"/>
        </w:behaviors>
        <w:guid w:val="{BA6C4080-E5D0-49A6-B866-7011D31BA298}"/>
      </w:docPartPr>
      <w:docPartBody>
        <w:p w:rsidR="00C75F82" w:rsidRDefault="00DB1E1B" w:rsidP="00DB1E1B">
          <w:pPr>
            <w:pStyle w:val="C48DC73C0DB3457884344CF9B7BFD986"/>
          </w:pPr>
          <w:r w:rsidRPr="00577B9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B0C"/>
    <w:rsid w:val="001632C8"/>
    <w:rsid w:val="002C7814"/>
    <w:rsid w:val="004375E3"/>
    <w:rsid w:val="00461B0C"/>
    <w:rsid w:val="00642BBD"/>
    <w:rsid w:val="006B7E7A"/>
    <w:rsid w:val="006D5E93"/>
    <w:rsid w:val="0087163F"/>
    <w:rsid w:val="009B4E5D"/>
    <w:rsid w:val="00A96A9C"/>
    <w:rsid w:val="00BA55A6"/>
    <w:rsid w:val="00C75F82"/>
    <w:rsid w:val="00DB1E1B"/>
    <w:rsid w:val="00FD078F"/>
    <w:rsid w:val="00FE5C0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8D78536"/>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1E1B"/>
    <w:rPr>
      <w:color w:val="808080"/>
    </w:rPr>
  </w:style>
  <w:style w:type="paragraph" w:customStyle="1" w:styleId="C48DC73C0DB3457884344CF9B7BFD986">
    <w:name w:val="C48DC73C0DB3457884344CF9B7BFD986"/>
    <w:rsid w:val="00DB1E1B"/>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activity xmlns="0f333429-3854-40c9-9f0d-f2506f3ebb9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D1CDC51E80D74D824F695CD98AA8F6" ma:contentTypeVersion="16" ma:contentTypeDescription="Create a new document." ma:contentTypeScope="" ma:versionID="24e1a72794f0c49d370c9995a4824341">
  <xsd:schema xmlns:xsd="http://www.w3.org/2001/XMLSchema" xmlns:xs="http://www.w3.org/2001/XMLSchema" xmlns:p="http://schemas.microsoft.com/office/2006/metadata/properties" xmlns:ns3="e7840089-e630-4626-aecc-b8fede7b3bea" xmlns:ns4="0f333429-3854-40c9-9f0d-f2506f3ebb9f" targetNamespace="http://schemas.microsoft.com/office/2006/metadata/properties" ma:root="true" ma:fieldsID="c2a640af02147471cebb15d236c03cd0" ns3:_="" ns4:_="">
    <xsd:import namespace="e7840089-e630-4626-aecc-b8fede7b3bea"/>
    <xsd:import namespace="0f333429-3854-40c9-9f0d-f2506f3ebb9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MediaServiceSearchPropertie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840089-e630-4626-aecc-b8fede7b3be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333429-3854-40c9-9f0d-f2506f3ebb9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165E2A-07E5-4E07-974B-C3DE70F5F7B5}">
  <ds:schemaRefs>
    <ds:schemaRef ds:uri="http://schemas.openxmlformats.org/officeDocument/2006/bibliography"/>
  </ds:schemaRefs>
</ds:datastoreItem>
</file>

<file path=customXml/itemProps2.xml><?xml version="1.0" encoding="utf-8"?>
<ds:datastoreItem xmlns:ds="http://schemas.openxmlformats.org/officeDocument/2006/customXml" ds:itemID="{296731F6-58AF-4498-9531-C4AA5086806F}">
  <ds:schemaRefs>
    <ds:schemaRef ds:uri="0f333429-3854-40c9-9f0d-f2506f3ebb9f"/>
    <ds:schemaRef ds:uri="http://schemas.microsoft.com/office/2006/documentManagement/types"/>
    <ds:schemaRef ds:uri="http://www.w3.org/XML/1998/namespace"/>
    <ds:schemaRef ds:uri="http://purl.org/dc/elements/1.1/"/>
    <ds:schemaRef ds:uri="http://purl.org/dc/terms/"/>
    <ds:schemaRef ds:uri="e7840089-e630-4626-aecc-b8fede7b3bea"/>
    <ds:schemaRef ds:uri="http://purl.org/dc/dcmityp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40756090-4512-4F14-B2E9-4D3346086F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840089-e630-4626-aecc-b8fede7b3bea"/>
    <ds:schemaRef ds:uri="0f333429-3854-40c9-9f0d-f2506f3ebb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862622-6748-456B-BB6C-73A9E97E6B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2764</Words>
  <Characters>15760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shibata@un.org</dc:creator>
  <cp:keywords/>
  <cp:lastModifiedBy>Harumi Shibata Salazar</cp:lastModifiedBy>
  <cp:revision>9</cp:revision>
  <cp:lastPrinted>2024-03-28T16:04:00Z</cp:lastPrinted>
  <dcterms:created xsi:type="dcterms:W3CDTF">2023-11-29T22:35:00Z</dcterms:created>
  <dcterms:modified xsi:type="dcterms:W3CDTF">2024-03-28T16:04:00Z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0x01010048D1CDC51E80D74D824F695CD98AA8F6</vt:lpwstr>
  </property>
  <property fmtid="{D5CDD505-2E9C-101B-9397-08002B2CF9AE}" pid="3" name="MediaServiceImageTags">
    <vt:lpwstr/>
  </property>
  <property fmtid="{D5CDD505-2E9C-101B-9397-08002B2CF9AE}" pid="4" name="GrammarlyDocumentId">
    <vt:lpwstr>faafce24220a731ef604736852c059c9b0c01fec536ff001af839e2b95220dc8</vt:lpwstr>
  </property>
</Properties>
</file>