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DBB3B" w14:textId="77777777" w:rsidR="00D4349A" w:rsidRPr="004F644D" w:rsidRDefault="00D4349A" w:rsidP="00CC0441">
      <w:pPr>
        <w:ind w:firstLine="720"/>
        <w:rPr>
          <w:rFonts w:ascii="Times New Roman" w:hAnsi="Times New Roman" w:cs="Times New Roman"/>
        </w:rPr>
      </w:pPr>
      <w:r w:rsidRPr="004F644D">
        <w:rPr>
          <w:rFonts w:ascii="Times New Roman" w:hAnsi="Times New Roman" w:cs="Times New Roman"/>
        </w:rPr>
        <w:t>Chapter 5: Findings, Reflection, and Real-World Implications (National Scope)</w:t>
      </w:r>
    </w:p>
    <w:p w14:paraId="4BA4AB49"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Summary of Hypotheses and Results</w:t>
      </w:r>
    </w:p>
    <w:p w14:paraId="074BFC3F"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Hypothesis 1 (H₁): States and metropolitan areas with higher percentages of newly constructed housing exhibit lower rent burden.</w:t>
      </w:r>
      <w:r w:rsidRPr="004F644D">
        <w:rPr>
          <w:rFonts w:ascii="Times New Roman" w:hAnsi="Times New Roman" w:cs="Times New Roman"/>
        </w:rPr>
        <w:br/>
        <w:t xml:space="preserve">Result: </w:t>
      </w:r>
      <w:r w:rsidRPr="004F644D">
        <w:rPr>
          <w:rFonts w:ascii="Times New Roman" w:hAnsi="Times New Roman" w:cs="Times New Roman"/>
          <w:i/>
          <w:iCs/>
        </w:rPr>
        <w:t>Not rejected.</w:t>
      </w:r>
      <w:r w:rsidRPr="004F644D">
        <w:rPr>
          <w:rFonts w:ascii="Times New Roman" w:hAnsi="Times New Roman" w:cs="Times New Roman"/>
        </w:rPr>
        <w:br/>
        <w:t>At the national level, regions with strong construction activity demonstrated noticeably lower percentages of rent-burdened households. Metropolitan areas that have added multifamily units in the last five years, particularly Sun Belt cities, showed weaker affordability strain compared to stagnant markets. This supports research suggesting that additional supply mitigates housing pressure by increasing unit availability.</w:t>
      </w:r>
    </w:p>
    <w:p w14:paraId="09189F82"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Hypothesis 2 (H₂): States and metropolitan areas with lower median household incomes experience higher rent burden.</w:t>
      </w:r>
      <w:r w:rsidRPr="004F644D">
        <w:rPr>
          <w:rFonts w:ascii="Times New Roman" w:hAnsi="Times New Roman" w:cs="Times New Roman"/>
        </w:rPr>
        <w:br/>
        <w:t xml:space="preserve">Result: </w:t>
      </w:r>
      <w:r w:rsidRPr="004F644D">
        <w:rPr>
          <w:rFonts w:ascii="Times New Roman" w:hAnsi="Times New Roman" w:cs="Times New Roman"/>
          <w:i/>
          <w:iCs/>
        </w:rPr>
        <w:t>Not rejected.</w:t>
      </w:r>
      <w:r w:rsidRPr="004F644D">
        <w:rPr>
          <w:rFonts w:ascii="Times New Roman" w:hAnsi="Times New Roman" w:cs="Times New Roman"/>
        </w:rPr>
        <w:br/>
        <w:t xml:space="preserve">When </w:t>
      </w:r>
      <w:proofErr w:type="spellStart"/>
      <w:r w:rsidRPr="004F644D">
        <w:rPr>
          <w:rFonts w:ascii="Times New Roman" w:hAnsi="Times New Roman" w:cs="Times New Roman"/>
        </w:rPr>
        <w:t>Median_Household_Income</w:t>
      </w:r>
      <w:proofErr w:type="spellEnd"/>
      <w:r w:rsidRPr="004F644D">
        <w:rPr>
          <w:rFonts w:ascii="Times New Roman" w:hAnsi="Times New Roman" w:cs="Times New Roman"/>
        </w:rPr>
        <w:t xml:space="preserve"> was compared to </w:t>
      </w:r>
      <w:proofErr w:type="spellStart"/>
      <w:r w:rsidRPr="004F644D">
        <w:rPr>
          <w:rFonts w:ascii="Times New Roman" w:hAnsi="Times New Roman" w:cs="Times New Roman"/>
        </w:rPr>
        <w:t>Pct_Rent_Burden</w:t>
      </w:r>
      <w:proofErr w:type="spellEnd"/>
      <w:r w:rsidRPr="004F644D">
        <w:rPr>
          <w:rFonts w:ascii="Times New Roman" w:hAnsi="Times New Roman" w:cs="Times New Roman"/>
        </w:rPr>
        <w:t>, the relationship was consistently negative. Nationwide, households in the bottom income quartile spend disproportionate shares of earnings on rent, confirming long-standing affordability concerns documented in federal reports and academic literature.</w:t>
      </w:r>
    </w:p>
    <w:p w14:paraId="337C559B"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Hypothesis 3 (H₃): Higher population density correlates with greater rent burden due to concentrated demand.</w:t>
      </w:r>
      <w:r w:rsidRPr="004F644D">
        <w:rPr>
          <w:rFonts w:ascii="Times New Roman" w:hAnsi="Times New Roman" w:cs="Times New Roman"/>
        </w:rPr>
        <w:br/>
        <w:t xml:space="preserve">Result: </w:t>
      </w:r>
      <w:r w:rsidRPr="004F644D">
        <w:rPr>
          <w:rFonts w:ascii="Times New Roman" w:hAnsi="Times New Roman" w:cs="Times New Roman"/>
          <w:i/>
          <w:iCs/>
        </w:rPr>
        <w:t>Partially supported.</w:t>
      </w:r>
      <w:r w:rsidRPr="004F644D">
        <w:rPr>
          <w:rFonts w:ascii="Times New Roman" w:hAnsi="Times New Roman" w:cs="Times New Roman"/>
        </w:rPr>
        <w:br/>
        <w:t>Large coastal metros and urban cores showed significantly higher burden, but some low-density rural regions also displayed affordability stress driven by low wages and limited rental inventory. Density matters, but only in combination with local economic structures and employment geography.</w:t>
      </w:r>
    </w:p>
    <w:p w14:paraId="2005D7CC" w14:textId="7540013C" w:rsidR="00D4349A" w:rsidRPr="004F644D" w:rsidRDefault="00D4349A" w:rsidP="00D4349A">
      <w:pPr>
        <w:rPr>
          <w:rFonts w:ascii="Times New Roman" w:hAnsi="Times New Roman" w:cs="Times New Roman"/>
        </w:rPr>
      </w:pPr>
      <w:r w:rsidRPr="004F644D">
        <w:rPr>
          <w:rFonts w:ascii="Times New Roman" w:hAnsi="Times New Roman" w:cs="Times New Roman"/>
        </w:rPr>
        <w:t xml:space="preserve"> Project Summary and Reflection</w:t>
      </w:r>
    </w:p>
    <w:p w14:paraId="1B346B9A"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This project analyzed nationwide housing affordability by merging multiple datasets containing indicators such as rent burden percentages, owner cost burden, population density, recent housing construction, and median household income. Through visual exploration, several key patterns emerged. Areas with stronger housing development tend to maintain more favorable affordability metrics, whereas economically weaker regions—even when less dense—face high rent burden due to wage stagnation and limited supply.</w:t>
      </w:r>
    </w:p>
    <w:p w14:paraId="4510B927"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 xml:space="preserve">The project encountered several challenges, particularly around data consistency. </w:t>
      </w:r>
      <w:proofErr w:type="spellStart"/>
      <w:r w:rsidRPr="004F644D">
        <w:rPr>
          <w:rFonts w:ascii="Times New Roman" w:hAnsi="Times New Roman" w:cs="Times New Roman"/>
        </w:rPr>
        <w:t>PolicyMap</w:t>
      </w:r>
      <w:proofErr w:type="spellEnd"/>
      <w:r w:rsidRPr="004F644D">
        <w:rPr>
          <w:rFonts w:ascii="Times New Roman" w:hAnsi="Times New Roman" w:cs="Times New Roman"/>
        </w:rPr>
        <w:t xml:space="preserve"> exports include numerous metadata columns and naming conventions that required careful cleaning, merging, and renaming. Ensuring proper alignment of geographic identifiers (such as state FIPS codes and census tract codes) was essential for accuracy. Additionally, designing an intuitive dashboard required careful attention to visual hierarchy so that charts could be interpreted without statistical expertise.</w:t>
      </w:r>
    </w:p>
    <w:p w14:paraId="2D9BEE94"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lastRenderedPageBreak/>
        <w:t>Important lessons were learned about the interconnectedness of housing markets, economic indicators, and demographic pressures. Technically, the project strengthened skills in Python-based ETL workflows, Power BI layout design, and exploratory statistical reasoning. Analytically, it reinforced how national housing problems are structurally tied to geographic supply constraints, wages, and regulatory environments.</w:t>
      </w:r>
    </w:p>
    <w:p w14:paraId="521C5C56"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Professionally, this project demonstrated how data storytelling transforms complex datasets into actionable insight for public stakeholders. In future work, I intend to expand this analysis with eviction trends, mortgage interest rate effects, and zoning classifications to produce predictive modeling around affordability risk.</w:t>
      </w:r>
    </w:p>
    <w:p w14:paraId="5273F31E" w14:textId="0650EC7F" w:rsidR="00D4349A" w:rsidRPr="004F644D" w:rsidRDefault="00D4349A" w:rsidP="00D4349A">
      <w:pPr>
        <w:rPr>
          <w:rFonts w:ascii="Times New Roman" w:hAnsi="Times New Roman" w:cs="Times New Roman"/>
        </w:rPr>
      </w:pPr>
      <w:r w:rsidRPr="004F644D">
        <w:rPr>
          <w:rFonts w:ascii="Times New Roman" w:hAnsi="Times New Roman" w:cs="Times New Roman"/>
        </w:rPr>
        <w:t>Real-World Implications</w:t>
      </w:r>
    </w:p>
    <w:p w14:paraId="4542AD99"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Housing affordability in the United States is not simply a market inconvenience; it is a nationwide socioeconomic stressor influencing public health, education, transportation, and workforce development. The patterns visualized in this project intersect with multiple policy domains and illustrate why housing remains one of the most debated domestic issues.</w:t>
      </w:r>
    </w:p>
    <w:p w14:paraId="2A0AAF69"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National Impact on Household Finances</w:t>
      </w:r>
    </w:p>
    <w:p w14:paraId="76F8070A"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Rent burden reduces disposable income. Households paying more than 30 percent toward housing spend less on food, healthcare, and child development. This leads to poorer economic mobility and contributes to the widening wealth gap. Communities with high rent burden often experience lower consumer spending, which slows local economic growth.</w:t>
      </w:r>
    </w:p>
    <w:p w14:paraId="2432F7CE"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Public Health and Mental Wellness</w:t>
      </w:r>
    </w:p>
    <w:p w14:paraId="52596656"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National public health research links severe rent burden to:</w:t>
      </w:r>
    </w:p>
    <w:p w14:paraId="4AB7DC8A" w14:textId="77777777" w:rsidR="00D4349A" w:rsidRPr="004F644D" w:rsidRDefault="00D4349A" w:rsidP="00D4349A">
      <w:pPr>
        <w:numPr>
          <w:ilvl w:val="0"/>
          <w:numId w:val="4"/>
        </w:numPr>
        <w:rPr>
          <w:rFonts w:ascii="Times New Roman" w:hAnsi="Times New Roman" w:cs="Times New Roman"/>
        </w:rPr>
      </w:pPr>
      <w:r w:rsidRPr="004F644D">
        <w:rPr>
          <w:rFonts w:ascii="Times New Roman" w:hAnsi="Times New Roman" w:cs="Times New Roman"/>
        </w:rPr>
        <w:t>increased anxiety,</w:t>
      </w:r>
    </w:p>
    <w:p w14:paraId="0A94782C" w14:textId="77777777" w:rsidR="00D4349A" w:rsidRPr="004F644D" w:rsidRDefault="00D4349A" w:rsidP="00D4349A">
      <w:pPr>
        <w:numPr>
          <w:ilvl w:val="0"/>
          <w:numId w:val="4"/>
        </w:numPr>
        <w:rPr>
          <w:rFonts w:ascii="Times New Roman" w:hAnsi="Times New Roman" w:cs="Times New Roman"/>
        </w:rPr>
      </w:pPr>
      <w:r w:rsidRPr="004F644D">
        <w:rPr>
          <w:rFonts w:ascii="Times New Roman" w:hAnsi="Times New Roman" w:cs="Times New Roman"/>
        </w:rPr>
        <w:t>higher incidence of depression,</w:t>
      </w:r>
    </w:p>
    <w:p w14:paraId="7CD2E1E2" w14:textId="77777777" w:rsidR="00D4349A" w:rsidRPr="004F644D" w:rsidRDefault="00D4349A" w:rsidP="00D4349A">
      <w:pPr>
        <w:numPr>
          <w:ilvl w:val="0"/>
          <w:numId w:val="4"/>
        </w:numPr>
        <w:rPr>
          <w:rFonts w:ascii="Times New Roman" w:hAnsi="Times New Roman" w:cs="Times New Roman"/>
        </w:rPr>
      </w:pPr>
      <w:r w:rsidRPr="004F644D">
        <w:rPr>
          <w:rFonts w:ascii="Times New Roman" w:hAnsi="Times New Roman" w:cs="Times New Roman"/>
        </w:rPr>
        <w:t>chronic illness management delays,</w:t>
      </w:r>
    </w:p>
    <w:p w14:paraId="41309A41" w14:textId="77777777" w:rsidR="00D4349A" w:rsidRPr="004F644D" w:rsidRDefault="00D4349A" w:rsidP="00D4349A">
      <w:pPr>
        <w:numPr>
          <w:ilvl w:val="0"/>
          <w:numId w:val="4"/>
        </w:numPr>
        <w:rPr>
          <w:rFonts w:ascii="Times New Roman" w:hAnsi="Times New Roman" w:cs="Times New Roman"/>
        </w:rPr>
      </w:pPr>
      <w:r w:rsidRPr="004F644D">
        <w:rPr>
          <w:rFonts w:ascii="Times New Roman" w:hAnsi="Times New Roman" w:cs="Times New Roman"/>
        </w:rPr>
        <w:t>food insecurity.</w:t>
      </w:r>
    </w:p>
    <w:p w14:paraId="009A92E6"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Because healthcare in the U.S. is cost-sensitive, sudden rent increases often force medical trade-offs. Policymakers can use burden visualizations to allocate mental health services or preventative programs to high-risk regions.</w:t>
      </w:r>
    </w:p>
    <w:p w14:paraId="45022884"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Educational Stability</w:t>
      </w:r>
    </w:p>
    <w:p w14:paraId="7ED93B2C"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Housing instability disrupts school attendance and performance. Children experiencing frequent relocation due to rising rents show:</w:t>
      </w:r>
    </w:p>
    <w:p w14:paraId="6EC00FE0" w14:textId="77777777" w:rsidR="00D4349A" w:rsidRPr="004F644D" w:rsidRDefault="00D4349A" w:rsidP="00D4349A">
      <w:pPr>
        <w:numPr>
          <w:ilvl w:val="0"/>
          <w:numId w:val="5"/>
        </w:numPr>
        <w:rPr>
          <w:rFonts w:ascii="Times New Roman" w:hAnsi="Times New Roman" w:cs="Times New Roman"/>
        </w:rPr>
      </w:pPr>
      <w:r w:rsidRPr="004F644D">
        <w:rPr>
          <w:rFonts w:ascii="Times New Roman" w:hAnsi="Times New Roman" w:cs="Times New Roman"/>
        </w:rPr>
        <w:t>reduced literacy growth,</w:t>
      </w:r>
    </w:p>
    <w:p w14:paraId="592DFF2E" w14:textId="77777777" w:rsidR="00D4349A" w:rsidRPr="004F644D" w:rsidRDefault="00D4349A" w:rsidP="00D4349A">
      <w:pPr>
        <w:numPr>
          <w:ilvl w:val="0"/>
          <w:numId w:val="5"/>
        </w:numPr>
        <w:rPr>
          <w:rFonts w:ascii="Times New Roman" w:hAnsi="Times New Roman" w:cs="Times New Roman"/>
        </w:rPr>
      </w:pPr>
      <w:r w:rsidRPr="004F644D">
        <w:rPr>
          <w:rFonts w:ascii="Times New Roman" w:hAnsi="Times New Roman" w:cs="Times New Roman"/>
        </w:rPr>
        <w:lastRenderedPageBreak/>
        <w:t>lower test performance,</w:t>
      </w:r>
    </w:p>
    <w:p w14:paraId="54A37CD3" w14:textId="77777777" w:rsidR="00D4349A" w:rsidRPr="004F644D" w:rsidRDefault="00D4349A" w:rsidP="00D4349A">
      <w:pPr>
        <w:numPr>
          <w:ilvl w:val="0"/>
          <w:numId w:val="5"/>
        </w:numPr>
        <w:rPr>
          <w:rFonts w:ascii="Times New Roman" w:hAnsi="Times New Roman" w:cs="Times New Roman"/>
        </w:rPr>
      </w:pPr>
      <w:r w:rsidRPr="004F644D">
        <w:rPr>
          <w:rFonts w:ascii="Times New Roman" w:hAnsi="Times New Roman" w:cs="Times New Roman"/>
        </w:rPr>
        <w:t>increased absenteeism.</w:t>
      </w:r>
    </w:p>
    <w:p w14:paraId="1EF880D2"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These impacts cascade into national workforce readiness metrics. By identifying rent-burdened clusters, school districts can proactively bolster student support services.</w:t>
      </w:r>
    </w:p>
    <w:p w14:paraId="3E72CDC8"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Transportation and Commuting Stress</w:t>
      </w:r>
    </w:p>
    <w:p w14:paraId="554D5529"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As affordability declines in urban cores, workers relocate farther from job centers. This inflates:</w:t>
      </w:r>
    </w:p>
    <w:p w14:paraId="12C8E821" w14:textId="77777777" w:rsidR="00D4349A" w:rsidRPr="004F644D" w:rsidRDefault="00D4349A" w:rsidP="00D4349A">
      <w:pPr>
        <w:numPr>
          <w:ilvl w:val="0"/>
          <w:numId w:val="6"/>
        </w:numPr>
        <w:rPr>
          <w:rFonts w:ascii="Times New Roman" w:hAnsi="Times New Roman" w:cs="Times New Roman"/>
        </w:rPr>
      </w:pPr>
      <w:r w:rsidRPr="004F644D">
        <w:rPr>
          <w:rFonts w:ascii="Times New Roman" w:hAnsi="Times New Roman" w:cs="Times New Roman"/>
        </w:rPr>
        <w:t>traffic congestion,</w:t>
      </w:r>
    </w:p>
    <w:p w14:paraId="407DF27C" w14:textId="77777777" w:rsidR="00D4349A" w:rsidRPr="004F644D" w:rsidRDefault="00D4349A" w:rsidP="00D4349A">
      <w:pPr>
        <w:numPr>
          <w:ilvl w:val="0"/>
          <w:numId w:val="6"/>
        </w:numPr>
        <w:rPr>
          <w:rFonts w:ascii="Times New Roman" w:hAnsi="Times New Roman" w:cs="Times New Roman"/>
        </w:rPr>
      </w:pPr>
      <w:r w:rsidRPr="004F644D">
        <w:rPr>
          <w:rFonts w:ascii="Times New Roman" w:hAnsi="Times New Roman" w:cs="Times New Roman"/>
        </w:rPr>
        <w:t>average commute lengths,</w:t>
      </w:r>
    </w:p>
    <w:p w14:paraId="3ACC573D" w14:textId="77777777" w:rsidR="00D4349A" w:rsidRPr="004F644D" w:rsidRDefault="00D4349A" w:rsidP="00D4349A">
      <w:pPr>
        <w:numPr>
          <w:ilvl w:val="0"/>
          <w:numId w:val="6"/>
        </w:numPr>
        <w:rPr>
          <w:rFonts w:ascii="Times New Roman" w:hAnsi="Times New Roman" w:cs="Times New Roman"/>
        </w:rPr>
      </w:pPr>
      <w:r w:rsidRPr="004F644D">
        <w:rPr>
          <w:rFonts w:ascii="Times New Roman" w:hAnsi="Times New Roman" w:cs="Times New Roman"/>
        </w:rPr>
        <w:t>carbon emissions,</w:t>
      </w:r>
    </w:p>
    <w:p w14:paraId="4C3B90FB" w14:textId="77777777" w:rsidR="00D4349A" w:rsidRPr="004F644D" w:rsidRDefault="00D4349A" w:rsidP="00D4349A">
      <w:pPr>
        <w:numPr>
          <w:ilvl w:val="0"/>
          <w:numId w:val="6"/>
        </w:numPr>
        <w:rPr>
          <w:rFonts w:ascii="Times New Roman" w:hAnsi="Times New Roman" w:cs="Times New Roman"/>
        </w:rPr>
      </w:pPr>
      <w:r w:rsidRPr="004F644D">
        <w:rPr>
          <w:rFonts w:ascii="Times New Roman" w:hAnsi="Times New Roman" w:cs="Times New Roman"/>
        </w:rPr>
        <w:t>transit costs.</w:t>
      </w:r>
    </w:p>
    <w:p w14:paraId="2435D483"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On a national level, this contributes to infrastructure strain. Dashboards like this can support federal transportation grants and regional transit planning.</w:t>
      </w:r>
    </w:p>
    <w:p w14:paraId="40266B93"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Income Disparities and Equity</w:t>
      </w:r>
    </w:p>
    <w:p w14:paraId="1CF9B2E8"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This project reinforces a key national trend: income growth has failed to keep pace with rental inflation. Lower-income households experience the steepest cost burdens, widening inequality. Federal tax credit programs, housing vouchers, and wage policy reforms become more evidence-based when supported by burden mapping.</w:t>
      </w:r>
    </w:p>
    <w:p w14:paraId="32513337"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Urban Planning and Zoning</w:t>
      </w:r>
    </w:p>
    <w:p w14:paraId="7026A303"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Zoning restrictions play a massive national role in affordability. Cities that permit higher-density construction maintain healthier affordability ratios. Regions with restricted zoning, single-family mandates, or long permit timelines tend to exhibit higher burden percentages. National policymakers can use these insights to:</w:t>
      </w:r>
    </w:p>
    <w:p w14:paraId="1548A8B9" w14:textId="77777777" w:rsidR="00D4349A" w:rsidRPr="004F644D" w:rsidRDefault="00D4349A" w:rsidP="00D4349A">
      <w:pPr>
        <w:numPr>
          <w:ilvl w:val="0"/>
          <w:numId w:val="7"/>
        </w:numPr>
        <w:rPr>
          <w:rFonts w:ascii="Times New Roman" w:hAnsi="Times New Roman" w:cs="Times New Roman"/>
        </w:rPr>
      </w:pPr>
      <w:r w:rsidRPr="004F644D">
        <w:rPr>
          <w:rFonts w:ascii="Times New Roman" w:hAnsi="Times New Roman" w:cs="Times New Roman"/>
        </w:rPr>
        <w:t>incentivize mixed-use zoning,</w:t>
      </w:r>
    </w:p>
    <w:p w14:paraId="1F7D73C9" w14:textId="77777777" w:rsidR="00D4349A" w:rsidRPr="004F644D" w:rsidRDefault="00D4349A" w:rsidP="00D4349A">
      <w:pPr>
        <w:numPr>
          <w:ilvl w:val="0"/>
          <w:numId w:val="7"/>
        </w:numPr>
        <w:rPr>
          <w:rFonts w:ascii="Times New Roman" w:hAnsi="Times New Roman" w:cs="Times New Roman"/>
        </w:rPr>
      </w:pPr>
      <w:r w:rsidRPr="004F644D">
        <w:rPr>
          <w:rFonts w:ascii="Times New Roman" w:hAnsi="Times New Roman" w:cs="Times New Roman"/>
        </w:rPr>
        <w:t>support transit-oriented development,</w:t>
      </w:r>
    </w:p>
    <w:p w14:paraId="2ACFB0CD" w14:textId="77777777" w:rsidR="00D4349A" w:rsidRPr="004F644D" w:rsidRDefault="00D4349A" w:rsidP="00D4349A">
      <w:pPr>
        <w:numPr>
          <w:ilvl w:val="0"/>
          <w:numId w:val="7"/>
        </w:numPr>
        <w:rPr>
          <w:rFonts w:ascii="Times New Roman" w:hAnsi="Times New Roman" w:cs="Times New Roman"/>
        </w:rPr>
      </w:pPr>
      <w:r w:rsidRPr="004F644D">
        <w:rPr>
          <w:rFonts w:ascii="Times New Roman" w:hAnsi="Times New Roman" w:cs="Times New Roman"/>
        </w:rPr>
        <w:t>reduce permit delays.</w:t>
      </w:r>
    </w:p>
    <w:p w14:paraId="7CBE6696"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National Workforce Distribution</w:t>
      </w:r>
    </w:p>
    <w:p w14:paraId="2F727896"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Industries depending on in-person labor (hospitality, retail, emergency services) suffer when workers cannot afford to live near job centers. Affordability dashboards highlight at-risk labor markets where recruitment and retention costs are rising. This has downstream effects on wages, unemployment, and public service access.</w:t>
      </w:r>
    </w:p>
    <w:p w14:paraId="5588E224"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Homelessness Prevention</w:t>
      </w:r>
    </w:p>
    <w:p w14:paraId="7F585C23"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lastRenderedPageBreak/>
        <w:t>Rent burden is one of the strongest predictors of homelessness risk. National homelessness trends correlate sharply with local affordability stress. By identifying high-burden counties, federal agencies can target homelessness prevention programs more efficiently.</w:t>
      </w:r>
    </w:p>
    <w:p w14:paraId="7BD39B7B"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Economic Mobility</w:t>
      </w:r>
    </w:p>
    <w:p w14:paraId="0000A5C3"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Rent burden inhibits savings for down payments, emergency funds, education, and business formation. This undermines national socioeconomic mobility over decades. Identifying regions with persistent burden can inform pilot programs for wealth-building initiatives.</w:t>
      </w:r>
    </w:p>
    <w:p w14:paraId="4968EA2F" w14:textId="60412076" w:rsidR="00D4349A" w:rsidRPr="004F644D" w:rsidRDefault="00D4349A" w:rsidP="00D4349A">
      <w:pPr>
        <w:rPr>
          <w:rFonts w:ascii="Times New Roman" w:hAnsi="Times New Roman" w:cs="Times New Roman"/>
        </w:rPr>
      </w:pPr>
      <w:r w:rsidRPr="004F644D">
        <w:rPr>
          <w:rFonts w:ascii="Times New Roman" w:hAnsi="Times New Roman" w:cs="Times New Roman"/>
        </w:rPr>
        <w:t>Conclusion</w:t>
      </w:r>
    </w:p>
    <w:p w14:paraId="58ECDF6B"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The findings of this project demonstrate that housing affordability issues across the United States are shaped by interrelated socioeconomic factors. Rent burden correlates strongly with income disparities and is mitigated by new construction activity. Population density contributes to affordability pressure but is not the sole driver; regulatory frameworks, local labor markets, and infrastructure access moderate these trends significantly.</w:t>
      </w:r>
    </w:p>
    <w:p w14:paraId="1243FD9E" w14:textId="77777777" w:rsidR="00D4349A" w:rsidRPr="004F644D" w:rsidRDefault="00D4349A" w:rsidP="00D4349A">
      <w:pPr>
        <w:rPr>
          <w:rFonts w:ascii="Times New Roman" w:hAnsi="Times New Roman" w:cs="Times New Roman"/>
        </w:rPr>
      </w:pPr>
      <w:r w:rsidRPr="004F644D">
        <w:rPr>
          <w:rFonts w:ascii="Times New Roman" w:hAnsi="Times New Roman" w:cs="Times New Roman"/>
        </w:rPr>
        <w:t>By translating national housing datasets into interactive Power BI visuals, this project enables stakeholders to explore geographic disparities, identify clusters of vulnerability, and support data-driven policy responses. As the housing market continues to evolve amid inflation, migration shifts, and demographic change, analytical tools like this will become increasingly vital in shaping equitable national housing strategies.</w:t>
      </w:r>
    </w:p>
    <w:p w14:paraId="3C01657D" w14:textId="77777777" w:rsidR="003F79B7" w:rsidRPr="004F644D" w:rsidRDefault="003F79B7">
      <w:pPr>
        <w:rPr>
          <w:rFonts w:ascii="Times New Roman" w:hAnsi="Times New Roman" w:cs="Times New Roman"/>
        </w:rPr>
      </w:pPr>
    </w:p>
    <w:p w14:paraId="467AAAFC" w14:textId="77777777" w:rsidR="00D30E9F" w:rsidRPr="004F644D" w:rsidRDefault="00D30E9F">
      <w:pPr>
        <w:rPr>
          <w:rFonts w:ascii="Times New Roman" w:hAnsi="Times New Roman" w:cs="Times New Roman"/>
        </w:rPr>
      </w:pPr>
    </w:p>
    <w:p w14:paraId="3B2B2FCF" w14:textId="77777777" w:rsidR="00D30E9F" w:rsidRPr="004F644D" w:rsidRDefault="00D30E9F">
      <w:pPr>
        <w:rPr>
          <w:rFonts w:ascii="Times New Roman" w:hAnsi="Times New Roman" w:cs="Times New Roman"/>
        </w:rPr>
      </w:pPr>
    </w:p>
    <w:p w14:paraId="540E7BA2" w14:textId="77777777" w:rsidR="00D4349A" w:rsidRPr="004F644D" w:rsidRDefault="00D4349A" w:rsidP="00D30E9F">
      <w:pPr>
        <w:rPr>
          <w:rFonts w:ascii="Times New Roman" w:hAnsi="Times New Roman" w:cs="Times New Roman"/>
        </w:rPr>
      </w:pPr>
    </w:p>
    <w:p w14:paraId="1429853F" w14:textId="5E17D9E1" w:rsidR="00D30E9F" w:rsidRPr="004F644D" w:rsidRDefault="00D30E9F" w:rsidP="00D30E9F">
      <w:pPr>
        <w:rPr>
          <w:rFonts w:ascii="Times New Roman" w:hAnsi="Times New Roman" w:cs="Times New Roman"/>
        </w:rPr>
      </w:pPr>
      <w:r w:rsidRPr="004F644D">
        <w:rPr>
          <w:rFonts w:ascii="Times New Roman" w:hAnsi="Times New Roman" w:cs="Times New Roman"/>
        </w:rPr>
        <w:t>References</w:t>
      </w:r>
      <w:r w:rsidRPr="004F644D">
        <w:rPr>
          <w:rFonts w:ascii="Times New Roman" w:hAnsi="Times New Roman" w:cs="Times New Roman"/>
        </w:rPr>
        <w:br/>
        <w:t>Been, V., Ellen, I. G., and ORegan, K. (2019). Housing Supply and Affordability. Housing Policy Debate, 29(1), 25 to 40.</w:t>
      </w:r>
      <w:r w:rsidRPr="004F644D">
        <w:rPr>
          <w:rFonts w:ascii="Times New Roman" w:hAnsi="Times New Roman" w:cs="Times New Roman"/>
        </w:rPr>
        <w:br/>
        <w:t>Desmond, M. (2016). Evicted: Poverty and Profit in the American City. Penguin Books.</w:t>
      </w:r>
      <w:r w:rsidRPr="004F644D">
        <w:rPr>
          <w:rFonts w:ascii="Times New Roman" w:hAnsi="Times New Roman" w:cs="Times New Roman"/>
        </w:rPr>
        <w:br/>
        <w:t>Glaeser, E., and Gyorko, J. (2018). The Economic Implications of Housing Supply. Journal of Economic Perspectives, 32(1).</w:t>
      </w:r>
      <w:r w:rsidRPr="004F644D">
        <w:rPr>
          <w:rFonts w:ascii="Times New Roman" w:hAnsi="Times New Roman" w:cs="Times New Roman"/>
        </w:rPr>
        <w:br/>
        <w:t>Harvard Joint Center for Housing Studies. (n.d.). Harvard Joint Center for Housing Studies.</w:t>
      </w:r>
      <w:r w:rsidRPr="004F644D">
        <w:rPr>
          <w:rFonts w:ascii="Times New Roman" w:hAnsi="Times New Roman" w:cs="Times New Roman"/>
        </w:rPr>
        <w:br/>
        <w:t>Malpezzi, S. (1994). Housing Prices, Externalities, and Regulation in U.S. Metropolitan Areas.</w:t>
      </w:r>
      <w:r w:rsidRPr="004F644D">
        <w:rPr>
          <w:rFonts w:ascii="Times New Roman" w:hAnsi="Times New Roman" w:cs="Times New Roman"/>
        </w:rPr>
        <w:br/>
      </w:r>
      <w:proofErr w:type="spellStart"/>
      <w:r w:rsidRPr="004F644D">
        <w:rPr>
          <w:rFonts w:ascii="Times New Roman" w:hAnsi="Times New Roman" w:cs="Times New Roman"/>
        </w:rPr>
        <w:t>PolicyMap</w:t>
      </w:r>
      <w:proofErr w:type="spellEnd"/>
      <w:r w:rsidRPr="004F644D">
        <w:rPr>
          <w:rFonts w:ascii="Times New Roman" w:hAnsi="Times New Roman" w:cs="Times New Roman"/>
        </w:rPr>
        <w:t xml:space="preserve">. (2025). </w:t>
      </w:r>
      <w:proofErr w:type="spellStart"/>
      <w:r w:rsidRPr="004F644D">
        <w:rPr>
          <w:rFonts w:ascii="Times New Roman" w:hAnsi="Times New Roman" w:cs="Times New Roman"/>
        </w:rPr>
        <w:t>PolicyMap</w:t>
      </w:r>
      <w:proofErr w:type="spellEnd"/>
      <w:r w:rsidRPr="004F644D">
        <w:rPr>
          <w:rFonts w:ascii="Times New Roman" w:hAnsi="Times New Roman" w:cs="Times New Roman"/>
        </w:rPr>
        <w:t xml:space="preserve"> Data Platform.</w:t>
      </w:r>
      <w:r w:rsidRPr="004F644D">
        <w:rPr>
          <w:rFonts w:ascii="Times New Roman" w:hAnsi="Times New Roman" w:cs="Times New Roman"/>
        </w:rPr>
        <w:br/>
        <w:t>U.S. Census Bureau. (2023). American Community Survey.</w:t>
      </w:r>
    </w:p>
    <w:p w14:paraId="17F591A7" w14:textId="1D81B5D6" w:rsidR="00D30E9F" w:rsidRPr="004F644D" w:rsidRDefault="00D30E9F" w:rsidP="00D30E9F">
      <w:pPr>
        <w:rPr>
          <w:rFonts w:ascii="Times New Roman" w:hAnsi="Times New Roman" w:cs="Times New Roman"/>
        </w:rPr>
      </w:pPr>
    </w:p>
    <w:sectPr w:rsidR="00D30E9F" w:rsidRPr="004F6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797"/>
    <w:multiLevelType w:val="multilevel"/>
    <w:tmpl w:val="724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77232"/>
    <w:multiLevelType w:val="multilevel"/>
    <w:tmpl w:val="8682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E37EF"/>
    <w:multiLevelType w:val="multilevel"/>
    <w:tmpl w:val="22C2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D7B8A"/>
    <w:multiLevelType w:val="multilevel"/>
    <w:tmpl w:val="7938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B56569"/>
    <w:multiLevelType w:val="multilevel"/>
    <w:tmpl w:val="845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631766"/>
    <w:multiLevelType w:val="multilevel"/>
    <w:tmpl w:val="CE06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223CF8"/>
    <w:multiLevelType w:val="multilevel"/>
    <w:tmpl w:val="891C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274079">
    <w:abstractNumId w:val="4"/>
  </w:num>
  <w:num w:numId="2" w16cid:durableId="1472794057">
    <w:abstractNumId w:val="6"/>
  </w:num>
  <w:num w:numId="3" w16cid:durableId="964695169">
    <w:abstractNumId w:val="2"/>
  </w:num>
  <w:num w:numId="4" w16cid:durableId="1094590260">
    <w:abstractNumId w:val="5"/>
  </w:num>
  <w:num w:numId="5" w16cid:durableId="1310863386">
    <w:abstractNumId w:val="3"/>
  </w:num>
  <w:num w:numId="6" w16cid:durableId="1468087503">
    <w:abstractNumId w:val="1"/>
  </w:num>
  <w:num w:numId="7" w16cid:durableId="1141310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67E"/>
    <w:rsid w:val="000D60FD"/>
    <w:rsid w:val="0039339F"/>
    <w:rsid w:val="003946F1"/>
    <w:rsid w:val="003F79B7"/>
    <w:rsid w:val="0047364F"/>
    <w:rsid w:val="004F644D"/>
    <w:rsid w:val="009F267E"/>
    <w:rsid w:val="00CC0441"/>
    <w:rsid w:val="00D204A7"/>
    <w:rsid w:val="00D30E9F"/>
    <w:rsid w:val="00D43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69759"/>
  <w15:chartTrackingRefBased/>
  <w15:docId w15:val="{3E8F2B55-0A5C-4E83-9792-CCADFA9D5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67E"/>
    <w:rPr>
      <w:rFonts w:eastAsiaTheme="majorEastAsia" w:cstheme="majorBidi"/>
      <w:color w:val="272727" w:themeColor="text1" w:themeTint="D8"/>
    </w:rPr>
  </w:style>
  <w:style w:type="paragraph" w:styleId="Title">
    <w:name w:val="Title"/>
    <w:basedOn w:val="Normal"/>
    <w:next w:val="Normal"/>
    <w:link w:val="TitleChar"/>
    <w:uiPriority w:val="10"/>
    <w:qFormat/>
    <w:rsid w:val="009F2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67E"/>
    <w:pPr>
      <w:spacing w:before="160"/>
      <w:jc w:val="center"/>
    </w:pPr>
    <w:rPr>
      <w:i/>
      <w:iCs/>
      <w:color w:val="404040" w:themeColor="text1" w:themeTint="BF"/>
    </w:rPr>
  </w:style>
  <w:style w:type="character" w:customStyle="1" w:styleId="QuoteChar">
    <w:name w:val="Quote Char"/>
    <w:basedOn w:val="DefaultParagraphFont"/>
    <w:link w:val="Quote"/>
    <w:uiPriority w:val="29"/>
    <w:rsid w:val="009F267E"/>
    <w:rPr>
      <w:i/>
      <w:iCs/>
      <w:color w:val="404040" w:themeColor="text1" w:themeTint="BF"/>
    </w:rPr>
  </w:style>
  <w:style w:type="paragraph" w:styleId="ListParagraph">
    <w:name w:val="List Paragraph"/>
    <w:basedOn w:val="Normal"/>
    <w:uiPriority w:val="34"/>
    <w:qFormat/>
    <w:rsid w:val="009F267E"/>
    <w:pPr>
      <w:ind w:left="720"/>
      <w:contextualSpacing/>
    </w:pPr>
  </w:style>
  <w:style w:type="character" w:styleId="IntenseEmphasis">
    <w:name w:val="Intense Emphasis"/>
    <w:basedOn w:val="DefaultParagraphFont"/>
    <w:uiPriority w:val="21"/>
    <w:qFormat/>
    <w:rsid w:val="009F267E"/>
    <w:rPr>
      <w:i/>
      <w:iCs/>
      <w:color w:val="0F4761" w:themeColor="accent1" w:themeShade="BF"/>
    </w:rPr>
  </w:style>
  <w:style w:type="paragraph" w:styleId="IntenseQuote">
    <w:name w:val="Intense Quote"/>
    <w:basedOn w:val="Normal"/>
    <w:next w:val="Normal"/>
    <w:link w:val="IntenseQuoteChar"/>
    <w:uiPriority w:val="30"/>
    <w:qFormat/>
    <w:rsid w:val="009F2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67E"/>
    <w:rPr>
      <w:i/>
      <w:iCs/>
      <w:color w:val="0F4761" w:themeColor="accent1" w:themeShade="BF"/>
    </w:rPr>
  </w:style>
  <w:style w:type="character" w:styleId="IntenseReference">
    <w:name w:val="Intense Reference"/>
    <w:basedOn w:val="DefaultParagraphFont"/>
    <w:uiPriority w:val="32"/>
    <w:qFormat/>
    <w:rsid w:val="009F26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1278</Words>
  <Characters>7286</Characters>
  <Application>Microsoft Office Word</Application>
  <DocSecurity>0</DocSecurity>
  <Lines>60</Lines>
  <Paragraphs>17</Paragraphs>
  <ScaleCrop>false</ScaleCrop>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Presley</dc:creator>
  <cp:keywords/>
  <dc:description/>
  <cp:lastModifiedBy>Kyle Presley</cp:lastModifiedBy>
  <cp:revision>10</cp:revision>
  <dcterms:created xsi:type="dcterms:W3CDTF">2025-10-31T20:12:00Z</dcterms:created>
  <dcterms:modified xsi:type="dcterms:W3CDTF">2025-11-16T01:14:00Z</dcterms:modified>
</cp:coreProperties>
</file>