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645920" cy="1440180"/>
            <wp:docPr id="1" name="Picture 1"/>
            <wp:cNvGraphicFramePr>
              <a:graphicFrameLocks noChangeAspect="1"/>
            </wp:cNvGraphicFramePr>
            <a:graphic>
              <a:graphicData uri="http://schemas.openxmlformats.org/drawingml/2006/picture">
                <pic:pic>
                  <pic:nvPicPr>
                    <pic:cNvPr id="0" name="Homelyo-logo-header.png"/>
                    <pic:cNvPicPr/>
                  </pic:nvPicPr>
                  <pic:blipFill>
                    <a:blip r:embed="rId9"/>
                    <a:stretch>
                      <a:fillRect/>
                    </a:stretch>
                  </pic:blipFill>
                  <pic:spPr>
                    <a:xfrm>
                      <a:off x="0" y="0"/>
                      <a:ext cx="1645920" cy="1440180"/>
                    </a:xfrm>
                    <a:prstGeom prst="rect"/>
                  </pic:spPr>
                </pic:pic>
              </a:graphicData>
            </a:graphic>
          </wp:inline>
        </w:drawing>
      </w:r>
    </w:p>
    <w:p>
      <w:pPr>
        <w:jc w:val="center"/>
      </w:pPr>
      <w:r>
        <w:rPr>
          <w:b/>
          <w:sz w:val="44"/>
        </w:rPr>
        <w:t>Mietvertrag</w:t>
        <w:br/>
      </w:r>
      <w:r>
        <w:rPr>
          <w:color w:val="475569"/>
          <w:sz w:val="24"/>
        </w:rPr>
        <w:t>Residential Lease Agreement &amp; House Rules (AGB)</w:t>
      </w:r>
    </w:p>
    <w:p>
      <w:pPr>
        <w:spacing w:after="120"/>
      </w:pPr>
    </w:p>
    <w:tbl>
      <w:tblPr>
        <w:tblW w:type="auto" w:w="0"/>
        <w:jc w:val="center"/>
        <w:tblLook w:firstColumn="1" w:firstRow="1" w:lastColumn="0" w:lastRow="0" w:noHBand="0" w:noVBand="1" w:val="04A0"/>
      </w:tblPr>
      <w:tblGrid>
        <w:gridCol w:w="5234"/>
        <w:gridCol w:w="5234"/>
      </w:tblGrid>
      <w:tr>
        <w:tc>
          <w:tcPr>
            <w:tcW w:type="dxa" w:w="5184"/>
          </w:tcPr>
          <w:p>
            <w:r>
              <w:rPr>
                <w:b/>
              </w:rPr>
              <w:t xml:space="preserve">Mieter / Tenant: </w:t>
            </w:r>
            <w:r>
              <w:t>Ajithkumar Velasseril Sreenivasan</w:t>
            </w:r>
          </w:p>
        </w:tc>
        <w:tc>
          <w:tcPr>
            <w:tcW w:type="dxa" w:w="5184"/>
          </w:tcPr>
          <w:p>
            <w:r>
              <w:rPr>
                <w:b/>
              </w:rPr>
              <w:t xml:space="preserve">Mietobjekt / Room: </w:t>
            </w:r>
            <w:r>
              <w:t>Zimmer KE2 (Sonnige Balkon-Suite / Private Balcony Suite)</w:t>
            </w:r>
          </w:p>
        </w:tc>
      </w:tr>
      <w:tr>
        <w:tc>
          <w:tcPr>
            <w:tcW w:type="dxa" w:w="5184"/>
          </w:tcPr>
          <w:p>
            <w:r>
              <w:rPr>
                <w:b/>
              </w:rPr>
              <w:t xml:space="preserve">Liegenschaft / Address: </w:t>
            </w:r>
            <w:r>
              <w:t>Lichtenrader Damm 80, 12305 Berlin (2. OG, WE-11)</w:t>
            </w:r>
          </w:p>
        </w:tc>
        <w:tc>
          <w:tcPr>
            <w:tcW w:type="dxa" w:w="5184"/>
          </w:tcPr>
          <w:p>
            <w:r>
              <w:rPr>
                <w:b/>
              </w:rPr>
              <w:t xml:space="preserve">Mietzeit / Rental Term: </w:t>
            </w:r>
            <w:r>
              <w:t>02.11.2026 bis 30.04.2027</w:t>
            </w:r>
          </w:p>
        </w:tc>
      </w:tr>
      <w:tr>
        <w:tc>
          <w:tcPr>
            <w:tcW w:type="dxa" w:w="5184"/>
          </w:tcPr>
          <w:p>
            <w:r>
              <w:rPr>
                <w:b/>
              </w:rPr>
              <w:t xml:space="preserve">Warmmiete / Warm Rent: </w:t>
            </w:r>
            <w:r>
              <w:t>649 € / Monat (Sechshundertneunundvierzig Euro)</w:t>
            </w:r>
          </w:p>
        </w:tc>
        <w:tc>
          <w:tcPr>
            <w:tcW w:type="dxa" w:w="5184"/>
          </w:tcPr>
          <w:p>
            <w:r>
              <w:rPr>
                <w:b/>
              </w:rPr>
              <w:t xml:space="preserve">Rent &amp; Inclusions: </w:t>
            </w:r>
            <w:r>
              <w:t>€649 / month (incl. utilities &amp; 1000 Mbps Wi-Fi)</w:t>
            </w:r>
          </w:p>
        </w:tc>
      </w:tr>
      <w:tr>
        <w:tc>
          <w:tcPr>
            <w:tcW w:type="dxa" w:w="5184"/>
          </w:tcPr>
          <w:p>
            <w:r>
              <w:rPr>
                <w:b/>
              </w:rPr>
              <w:t xml:space="preserve">Kaution / Security Deposit: </w:t>
            </w:r>
            <w:r>
              <w:t>1.000 € (vor Einzug fällig)</w:t>
            </w:r>
          </w:p>
        </w:tc>
        <w:tc>
          <w:tcPr>
            <w:tcW w:type="dxa" w:w="5184"/>
          </w:tcPr>
          <w:p>
            <w:r>
              <w:rPr>
                <w:b/>
              </w:rPr>
              <w:t xml:space="preserve">Deposit Terms: </w:t>
            </w:r>
            <w:r>
              <w:t>€1.000 (held in escrow, payable prior to move-in)</w:t>
            </w:r>
          </w:p>
        </w:tc>
      </w:tr>
      <w:tr>
        <w:tc>
          <w:tcPr>
            <w:tcW w:type="dxa" w:w="5184"/>
          </w:tcPr>
          <w:p>
            <w:r>
              <w:rPr>
                <w:b/>
              </w:rPr>
              <w:t xml:space="preserve">Endreinigung / Cleaning: </w:t>
            </w:r>
            <w:r>
              <w:t>70,00 € einmalig bei Auszug</w:t>
            </w:r>
          </w:p>
        </w:tc>
        <w:tc>
          <w:tcPr>
            <w:tcW w:type="dxa" w:w="5184"/>
          </w:tcPr>
          <w:p>
            <w:r>
              <w:rPr>
                <w:b/>
              </w:rPr>
              <w:t xml:space="preserve">Final Cleaning Fee: </w:t>
            </w:r>
            <w:r>
              <w:t>€70,00 one-time checkout fee</w:t>
            </w:r>
          </w:p>
        </w:tc>
      </w:tr>
    </w:tbl>
    <w:p>
      <w:r>
        <w:br w:type="page"/>
      </w:r>
    </w:p>
    <w:tbl>
      <w:tblPr>
        <w:tblW w:type="auto" w:w="0"/>
        <w:jc w:val="center"/>
        <w:tblLook w:firstColumn="1" w:firstRow="1" w:lastColumn="0" w:lastRow="0" w:noHBand="0" w:noVBand="1" w:val="04A0"/>
      </w:tblPr>
      <w:tblGrid>
        <w:gridCol w:w="5234"/>
        <w:gridCol w:w="5234"/>
      </w:tblGrid>
      <w:tr>
        <w:tc>
          <w:tcPr>
            <w:tcW w:type="dxa" w:w="5184"/>
          </w:tcPr>
          <w:p>
            <w:r>
              <w:rPr>
                <w:b/>
                <w:sz w:val="18"/>
              </w:rPr>
              <w:t>§ 1 Mietdauer &amp; Befristungszweck (§ 549 Abs. 2 / § 575 BGB)</w:t>
              <w:br/>
            </w:r>
            <w:r>
              <w:rPr>
                <w:sz w:val="16"/>
              </w:rPr>
              <w:t>(1) Mietzeit: Beginn am 02.11.2026, befristetes Ende am 30.04.2027. Mindestmietdauer beträgt sechs (6) Monate.</w:t>
              <w:br/>
              <w:t>(2) Zweck: Vorübergehender Gebrauch gem. § 549 Abs. 2 Nr. 1 BGB (Aufgrund eines Studien-, Praktikums- oder Erwerbsaufenthalts in Berlin).</w:t>
              <w:br/>
              <w:t>(3) Ausschluss: Stillschweigende Verlängerung (§ 545 BGB) ist ausgeschlossen.</w:t>
            </w:r>
          </w:p>
        </w:tc>
        <w:tc>
          <w:tcPr>
            <w:tcW w:type="dxa" w:w="5184"/>
          </w:tcPr>
          <w:p>
            <w:r>
              <w:rPr>
                <w:b/>
                <w:color w:val="475569"/>
                <w:sz w:val="18"/>
              </w:rPr>
              <w:t>§ 1 Lease Term &amp; Temporary Purpose (§ 549 (2) / § 575 BGB)</w:t>
              <w:br/>
            </w:r>
            <w:r>
              <w:rPr>
                <w:sz w:val="16"/>
              </w:rPr>
              <w:t>(1) Term: Commences on 2 Nov, 2026, terminates on 30 Apr, 2027. Minimum lease term is six (6) months.</w:t>
              <w:br/>
              <w:t>(2) Purpose: Temporary living pursuant to Section 549 (2) No. 1 BGB (Due to an academic, internship, or professional stay in Berlin).</w:t>
              <w:br/>
              <w:t>(3) Tacit Renewal: Section 545 BGB is strictly excluded.</w:t>
            </w:r>
          </w:p>
        </w:tc>
      </w:tr>
      <w:tr>
        <w:tc>
          <w:tcPr>
            <w:tcW w:type="dxa" w:w="5184"/>
          </w:tcPr>
          <w:p>
            <w:r>
              <w:rPr>
                <w:b/>
                <w:sz w:val="18"/>
              </w:rPr>
              <w:t>§ 2 Miethöhe, Pauschale &amp; Nebenkosten</w:t>
              <w:br/>
            </w:r>
            <w:r>
              <w:rPr>
                <w:sz w:val="16"/>
              </w:rPr>
              <w:t>(1) Warmmiete: 649 € monatlich (Sechshundertneunundvierzig Euro).</w:t>
              <w:br/>
              <w:t>(2) Inklusivleistungen: Kalte &amp; warme Betriebskosten, Strom, Heizung und Vodafone 1000 Mbit/s WLAN in verbrauchsüblichem Maße (Fair Use).</w:t>
              <w:br/>
              <w:t>(3) ARD-Beitrag &amp; Endreinigung: GEZ ist nicht enthalten (von WG eigenständig getragen). Endreinigungspauschale bei Auszug: 70,00 €.</w:t>
            </w:r>
          </w:p>
        </w:tc>
        <w:tc>
          <w:tcPr>
            <w:tcW w:type="dxa" w:w="5184"/>
          </w:tcPr>
          <w:p>
            <w:r>
              <w:rPr>
                <w:b/>
                <w:color w:val="475569"/>
                <w:sz w:val="18"/>
              </w:rPr>
              <w:t>§ 2 Rent, Utilities &amp; Public License Fee</w:t>
              <w:br/>
            </w:r>
            <w:r>
              <w:rPr>
                <w:sz w:val="16"/>
              </w:rPr>
              <w:t>(1) Rent: Flat monthly rate of €649 (Six hundred forty-nine euros).</w:t>
              <w:br/>
              <w:t>(2) Inclusions: Heating, water, electricity, operating costs and Vodafone 1000 Mbps Wi-Fi based on customary fair use.</w:t>
              <w:br/>
              <w:t>(3) ARD License &amp; Cleaning: Broadcasting fee (GEZ) settled directly by WG. Final cleaning fee upon checkout: €70,00.</w:t>
            </w:r>
          </w:p>
        </w:tc>
      </w:tr>
      <w:tr>
        <w:tc>
          <w:tcPr>
            <w:tcW w:type="dxa" w:w="5184"/>
          </w:tcPr>
          <w:p>
            <w:r>
              <w:rPr>
                <w:b/>
                <w:sz w:val="18"/>
              </w:rPr>
              <w:t>§ 3 Kaution &amp; Mietsicherheit (§ 551 BGB)</w:t>
              <w:br/>
            </w:r>
            <w:r>
              <w:rPr>
                <w:sz w:val="16"/>
              </w:rPr>
              <w:t>(1) Kaution: 1.000 € (Eintausend Euro).</w:t>
              <w:br/>
              <w:t>(2) Fälligkeit: Vor Einzug am 02.11.2026 vollständig auf das Vermieterkonto zu zahlen. Keine Schlüssel ohne Geldeingang.</w:t>
              <w:br/>
              <w:t>(3) Erstattung: Treuhandverwahrung gem. § 551 BGB; Erstattung innerhalb von 30 Tagen nach Auszug abzüglich berechtigter Forderungen. Kein Aufrechnen gegen Miete.</w:t>
            </w:r>
          </w:p>
        </w:tc>
        <w:tc>
          <w:tcPr>
            <w:tcW w:type="dxa" w:w="5184"/>
          </w:tcPr>
          <w:p>
            <w:r>
              <w:rPr>
                <w:b/>
                <w:color w:val="475569"/>
                <w:sz w:val="18"/>
              </w:rPr>
              <w:t>§ 3 Security Deposit &amp; Escrow (§ 551 BGB)</w:t>
              <w:br/>
            </w:r>
            <w:r>
              <w:rPr>
                <w:sz w:val="16"/>
              </w:rPr>
              <w:t>(1) Deposit: €1.000 (One thousand euros).</w:t>
              <w:br/>
              <w:t>(2) Due Date: Payable in full before move-in on 2 Nov, 2026. Key handover denied without receipt.</w:t>
              <w:br/>
              <w:t>(3) Refund: Escrow under § 551 BGB; refunded within 30 days after move-out protocol less proven claims. No set-off against ongoing rent.</w:t>
            </w:r>
          </w:p>
        </w:tc>
      </w:tr>
      <w:tr>
        <w:tc>
          <w:tcPr>
            <w:tcW w:type="dxa" w:w="5184"/>
          </w:tcPr>
          <w:p>
            <w:r>
              <w:rPr>
                <w:b/>
                <w:sz w:val="18"/>
              </w:rPr>
              <w:t>§ 4 Zahlungsbedingungen, Fälligkeit &amp; Verzug</w:t>
              <w:br/>
            </w:r>
            <w:r>
              <w:rPr>
                <w:sz w:val="16"/>
              </w:rPr>
              <w:t>(1) Fälligkeit: Bis spätestens zum 3. Werktag des Monats im Voraus kostenfrei zu überweisen.</w:t>
              <w:br/>
              <w:t>(2) Bank: N26 Bank AG, Berlin | Inhaber: Kylasam Nallagoundanpalayam Arruchamy | IBAN: DE87100110012624542768 | BIC: NTSBDEB1XXX.</w:t>
              <w:br/>
              <w:t>(3) Verzug: Mahngebühr 5,00 € je Mahnung. Kündigung gem. § 543 Abs. 2 BGB bei Verzug von 2 Monatsmieten.</w:t>
            </w:r>
          </w:p>
        </w:tc>
        <w:tc>
          <w:tcPr>
            <w:tcW w:type="dxa" w:w="5184"/>
          </w:tcPr>
          <w:p>
            <w:r>
              <w:rPr>
                <w:b/>
                <w:color w:val="475569"/>
                <w:sz w:val="18"/>
              </w:rPr>
              <w:t>§ 4 Payment Terms, Due Dates &amp; Late Fees</w:t>
              <w:br/>
            </w:r>
            <w:r>
              <w:rPr>
                <w:sz w:val="16"/>
              </w:rPr>
              <w:t>(1) Due Date: Payable in advance on or before the 3rd business day of each month via wire transfer.</w:t>
              <w:br/>
              <w:t>(2) Account: N26 Bank AG, Berlin | Holder: Kylasam Nallagoundanpalayam Arruchamy | IBAN: DE87100110012624542768 | BIC: NTSBDEB1XXX.</w:t>
              <w:br/>
              <w:t>(3) Default: Reminder charge of €5,00 per notice. Cancellation under § 543 (2) BGB for 2 months arrears.</w:t>
            </w:r>
          </w:p>
        </w:tc>
      </w:tr>
      <w:tr>
        <w:tc>
          <w:tcPr>
            <w:tcW w:type="dxa" w:w="5184"/>
          </w:tcPr>
          <w:p>
            <w:r>
              <w:rPr>
                <w:b/>
                <w:sz w:val="18"/>
              </w:rPr>
              <w:t>§ 5 Kündigung &amp; Nachmieterstellung</w:t>
              <w:br/>
            </w:r>
            <w:r>
              <w:rPr>
                <w:sz w:val="16"/>
              </w:rPr>
              <w:t>(1) Ordentliche Kündigung: Während der festen Mietdauer ausgeschlossen.</w:t>
              <w:br/>
              <w:t>(2) Nachmieter: Vorzeitige Entlassung mit 3 Monaten Frist zum Monatsende bei Gestellung eines solventen, für die WG zumutbaren Nachmieters.</w:t>
              <w:br/>
              <w:t>(3) Außerordentliche Kündigung: Gesetzliche Kündigung aus wichtigem Grund (§§ 543, 569 BGB) bleibt unberührt.</w:t>
            </w:r>
          </w:p>
        </w:tc>
        <w:tc>
          <w:tcPr>
            <w:tcW w:type="dxa" w:w="5184"/>
          </w:tcPr>
          <w:p>
            <w:r>
              <w:rPr>
                <w:b/>
                <w:color w:val="475569"/>
                <w:sz w:val="18"/>
              </w:rPr>
              <w:t>§ 5 Termination &amp; Replacement Tenant Release</w:t>
              <w:br/>
            </w:r>
            <w:r>
              <w:rPr>
                <w:sz w:val="16"/>
              </w:rPr>
              <w:t>(1) Ordinary Notice: Excluded during the fixed lease term.</w:t>
              <w:br/>
              <w:t>(2) Replacement Tenant: Early release with 3 months' notice to month-end upon presenting an accepted solvent replacement tenant who executes a contract.</w:t>
              <w:br/>
              <w:t>(3) Cause: Extraordinary termination for good cause (§§ 543, 569 BGB) unaffected.</w:t>
            </w:r>
          </w:p>
        </w:tc>
      </w:tr>
      <w:tr>
        <w:tc>
          <w:tcPr>
            <w:tcW w:type="dxa" w:w="5184"/>
          </w:tcPr>
          <w:p>
            <w:r>
              <w:rPr>
                <w:b/>
                <w:sz w:val="18"/>
              </w:rPr>
              <w:t>§ 6 AGB &amp; Anlagen als Vertragsbestandteil</w:t>
              <w:br/>
            </w:r>
            <w:r>
              <w:rPr>
                <w:sz w:val="16"/>
              </w:rPr>
              <w:t>Anlage 1 (Inventar) und Anlage 2 (AGB § 1 bis § 8) werden mit Unterschrift anerkannt. Übergabeprotokoll, Schlüsselquittung und Wohnungsgeberbestätigung (§ 19 BMG) werden bei Einzug ausgehändigt.</w:t>
            </w:r>
          </w:p>
        </w:tc>
        <w:tc>
          <w:tcPr>
            <w:tcW w:type="dxa" w:w="5184"/>
          </w:tcPr>
          <w:p>
            <w:r>
              <w:rPr>
                <w:b/>
                <w:color w:val="475569"/>
                <w:sz w:val="18"/>
              </w:rPr>
              <w:t>§ 6 Terms &amp; Attachments</w:t>
              <w:br/>
            </w:r>
            <w:r>
              <w:rPr>
                <w:sz w:val="16"/>
              </w:rPr>
              <w:t>Attachment 1 (Inventory) and Attachment 2 (GTC § 1 to § 8) are integral binding parts. Handover protocol, keys acknowledgement, and landlord confirmation (§ 19 BMG) provided upon move-in.</w:t>
            </w:r>
          </w:p>
        </w:tc>
      </w:tr>
      <w:tr>
        <w:tc>
          <w:tcPr>
            <w:tcW w:type="dxa" w:w="5184"/>
          </w:tcPr>
          <w:p>
            <w:r>
              <w:rPr>
                <w:b/>
                <w:sz w:val="18"/>
              </w:rPr>
              <w:t>AGB § 1 Zusammenleben in der WG / mit den Nachbarn</w:t>
              <w:br/>
            </w:r>
            <w:r>
              <w:rPr>
                <w:sz w:val="16"/>
              </w:rPr>
              <w:t>Rücksichtnahme in der WG. Ruhezeiten: 13:00–15:00 Uhr sowie 22:00–08:00 Uhr (Sonn-/Feiertage ganztägig). TV/Audio auf Zimmerlautstärke. Störende Partys verboten. Reinigung eigenverantwortlich nach Putzplan; bei Säumnis Vergabe an Fremdfirma auf WG-Kosten. Striktes Rauch- und Drogenverbot (Strafanzeige). Keine Haustiere. Gäste max. 5 Tage/Monat.</w:t>
            </w:r>
          </w:p>
        </w:tc>
        <w:tc>
          <w:tcPr>
            <w:tcW w:type="dxa" w:w="5184"/>
          </w:tcPr>
          <w:p>
            <w:r>
              <w:rPr>
                <w:b/>
                <w:color w:val="475569"/>
                <w:sz w:val="18"/>
              </w:rPr>
              <w:t>GTC § 1 Cohabitation in Flat Share / Neighbours</w:t>
              <w:br/>
            </w:r>
            <w:r>
              <w:rPr>
                <w:sz w:val="16"/>
              </w:rPr>
              <w:t>Mutual courtesy. Quiet hours: 1:00pm–3:00pm and 10:00pm–8:00am (Sundays/holidays full quiet). Media at room volume. Disruptive parties prohibited. Shared cleaning rota; default results in professional cleaning at tenants' equal cost. Strict non-smoking and drug ban (police report). No pets. Overnight guests max 5 days/month.</w:t>
            </w:r>
          </w:p>
        </w:tc>
      </w:tr>
      <w:tr>
        <w:tc>
          <w:tcPr>
            <w:tcW w:type="dxa" w:w="5184"/>
          </w:tcPr>
          <w:p>
            <w:r>
              <w:rPr>
                <w:b/>
                <w:sz w:val="18"/>
              </w:rPr>
              <w:t>AGB § 2 Regelungen zur Wohnung</w:t>
              <w:br/>
            </w:r>
            <w:r>
              <w:rPr>
                <w:sz w:val="16"/>
              </w:rPr>
              <w:t>Ausschließlich Wohnzwecke. Stoßlüften mind. 2x täglich für 5–10 Min. (kein Dauerkippen im Winter). WLAN bereitgestellt; P2P/Torrents verboten; Mieter haftet und stellt Vermieter frei. Wandbohrungen, Nägel, Dübel und klebende Folien untersagt. Abflüsse vor Fett/Abfall schützen. Mülltrennung nach BSR (Gelb, Papier, Bio, Rest). Türen 22:00–06:00 Uhr geschlossen. Zutrittsrecht des Vermieters werktags 09–12 &amp; 15–20h nach Vorankündigung (letzte 4 Wochen mind. 5 Termine) und bei Gefahr im Verzug.</w:t>
            </w:r>
          </w:p>
        </w:tc>
        <w:tc>
          <w:tcPr>
            <w:tcW w:type="dxa" w:w="5184"/>
          </w:tcPr>
          <w:p>
            <w:r>
              <w:rPr>
                <w:b/>
                <w:color w:val="475569"/>
                <w:sz w:val="18"/>
              </w:rPr>
              <w:t>GTC § 2 Apartment Regulations</w:t>
              <w:br/>
            </w:r>
            <w:r>
              <w:rPr>
                <w:sz w:val="16"/>
              </w:rPr>
              <w:t>Residential use only. Air out 2x daily 5–10 min (no tilting in winter). Wi-Fi provided; P2P/torrents prohibited; tenant fully indemnifies landlord. No drilling, nails, screws or wall plugs. Drains kept free of grease/solids. Waste sorting per Berlin BSR. Doors closed 10:00pm–6:00am. Landlord access workdays 9am–12pm &amp; 3pm–8pm upon notice (at least 5 viewings in last 4 weeks) and anytime during emergencies.</w:t>
            </w:r>
          </w:p>
        </w:tc>
      </w:tr>
      <w:tr>
        <w:tc>
          <w:tcPr>
            <w:tcW w:type="dxa" w:w="5184"/>
          </w:tcPr>
          <w:p>
            <w:r>
              <w:rPr>
                <w:b/>
                <w:sz w:val="18"/>
              </w:rPr>
              <w:t>AGB § 3 Zahlungsvereinbarungen</w:t>
              <w:br/>
            </w:r>
            <w:r>
              <w:rPr>
                <w:sz w:val="16"/>
              </w:rPr>
              <w:t>Rechtzeitigkeit nach Geldeingang. Kaution sichert alle Ansprüche; kein Aufrechnen vor Mietende. Miete im Voraus bis 3. Werktag. Kautionsabrechnung binnen 30 Tagen nach Auszug. Fair Usage der Nebenkosten (&gt; 25% Mehraufwand wird umgelegt). Mahngebühr 5,00 € je Mahnung. Mieterhöhung nach BGB. Aufrechnung nur mit 1 Monat Vorankündigung.</w:t>
            </w:r>
          </w:p>
        </w:tc>
        <w:tc>
          <w:tcPr>
            <w:tcW w:type="dxa" w:w="5184"/>
          </w:tcPr>
          <w:p>
            <w:r>
              <w:rPr>
                <w:b/>
                <w:color w:val="475569"/>
                <w:sz w:val="18"/>
              </w:rPr>
              <w:t>GTC § 3 Payment Agreements</w:t>
              <w:br/>
            </w:r>
            <w:r>
              <w:rPr>
                <w:sz w:val="16"/>
              </w:rPr>
              <w:t>Punctuality determined by account credit date. Deposit secures all claims; no set-off against ongoing rent. Rent in advance by 3rd business day. Deposit refund within 30 days after move-out. Fair usage (&gt; 25% excess billed). Overdue fine €5.00 per notice. Rent adjustments per statutory law. Set-off requires 1 month notice.</w:t>
            </w:r>
          </w:p>
        </w:tc>
      </w:tr>
      <w:tr>
        <w:tc>
          <w:tcPr>
            <w:tcW w:type="dxa" w:w="5184"/>
          </w:tcPr>
          <w:p>
            <w:r>
              <w:rPr>
                <w:b/>
                <w:sz w:val="18"/>
              </w:rPr>
              <w:t>AGB § 4 Übergabe und Rückgabe &amp; Schlüsselgebühren</w:t>
              <w:br/>
            </w:r>
            <w:r>
              <w:rPr>
                <w:sz w:val="16"/>
              </w:rPr>
              <w:t>Übergabe nach Zahlungseingang per Protokoll. Bei Auszug geräumt und besenrein bis 11:00 Uhr mit allen Schlüsseln. Schlüsselersatzpauschalen:</w:t>
              <w:br/>
              <w:t>• Haustür (Schließanlage): 680,00 € | Wohnung: 120,00 €</w:t>
              <w:br/>
              <w:t>• Zimmer: 90,00 € | Briefkasten: 70,00 €</w:t>
              <w:br/>
              <w:t>Zusätzliche Haftung für Schlossaustausch der Schließanlage.</w:t>
            </w:r>
          </w:p>
        </w:tc>
        <w:tc>
          <w:tcPr>
            <w:tcW w:type="dxa" w:w="5184"/>
          </w:tcPr>
          <w:p>
            <w:r>
              <w:rPr>
                <w:b/>
                <w:color w:val="475569"/>
                <w:sz w:val="18"/>
              </w:rPr>
              <w:t>GTC § 4 Handover, Departure &amp; Key Replacement Schedule</w:t>
              <w:br/>
            </w:r>
            <w:r>
              <w:rPr>
                <w:sz w:val="16"/>
              </w:rPr>
              <w:t>Handover after payment receipt with protocol. Departure by 11:00am cleared, swept-clean with all keys. Key replacement schedule:</w:t>
              <w:br/>
              <w:t>• Building entrance (master system): €680.00 | Flat: €120.00</w:t>
              <w:br/>
              <w:t>• Room: €90.00 | Mailbox: €70.00</w:t>
              <w:br/>
              <w:t>Tenant additionally liable for lock cylinder replacement.</w:t>
            </w:r>
          </w:p>
        </w:tc>
      </w:tr>
      <w:tr>
        <w:tc>
          <w:tcPr>
            <w:tcW w:type="dxa" w:w="5184"/>
          </w:tcPr>
          <w:p>
            <w:r>
              <w:rPr>
                <w:b/>
                <w:sz w:val="18"/>
              </w:rPr>
              <w:t>AGB § 5 Schäden an der Wohnung &amp; Kleinreparaturen</w:t>
              <w:br/>
            </w:r>
            <w:r>
              <w:rPr>
                <w:sz w:val="16"/>
              </w:rPr>
              <w:t>Schäden unverzüglich melden (4 Wochen Abhilfefrist). Mieter haftet für Sorgfaltspflichtverletzung und Besucher; Beweislast beim Mieter. Keine Schönheitsreparaturen geschuldet. Kleinreparaturen bis 100,00 € je Einzelfall (max. 8% der Jahresmiete bzw. 350,00 € jährlich) trägt der Mieter.</w:t>
            </w:r>
          </w:p>
        </w:tc>
        <w:tc>
          <w:tcPr>
            <w:tcW w:type="dxa" w:w="5184"/>
          </w:tcPr>
          <w:p>
            <w:r>
              <w:rPr>
                <w:b/>
                <w:color w:val="475569"/>
                <w:sz w:val="18"/>
              </w:rPr>
              <w:t>GTC § 5 Damages to Property &amp; Minor Repairs</w:t>
              <w:br/>
            </w:r>
            <w:r>
              <w:rPr>
                <w:sz w:val="16"/>
              </w:rPr>
              <w:t>Report defects immediately (4 weeks remedy period). Tenant liable for neglect and visitors; burden of proof rests with tenant. No general cosmetic repairs. Minor repairs up to €100.00 per instance (annual cap: 8% of rent or €350.00) borne by tenant.</w:t>
            </w:r>
          </w:p>
        </w:tc>
      </w:tr>
      <w:tr>
        <w:tc>
          <w:tcPr>
            <w:tcW w:type="dxa" w:w="5184"/>
          </w:tcPr>
          <w:p>
            <w:r>
              <w:rPr>
                <w:b/>
                <w:sz w:val="18"/>
              </w:rPr>
              <w:t>AGB § 6 Kündigungsbedingungen</w:t>
              <w:br/>
            </w:r>
            <w:r>
              <w:rPr>
                <w:sz w:val="16"/>
              </w:rPr>
              <w:t>Kündigungsfrist 3 Monate zum Monatsende. Vorzeitiges Ausscheiden bei akzeptiertem Nachmieter ab Übergabe. Stillschweigende Verlängerung gem. § 545 BGB ausgeschlossen. Fristlose Kündigung gem. § 543 BGB zulässig bei: Verzug von 2 Monatsmieten, AGB-Verstoß nach Abmahnung, Schäden &gt; 50,00 € unbeglichen, unerlaubter Dritter, Drogen oder Reinigungsverweigerung.</w:t>
            </w:r>
          </w:p>
        </w:tc>
        <w:tc>
          <w:tcPr>
            <w:tcW w:type="dxa" w:w="5184"/>
          </w:tcPr>
          <w:p>
            <w:r>
              <w:rPr>
                <w:b/>
                <w:color w:val="475569"/>
                <w:sz w:val="18"/>
              </w:rPr>
              <w:t>GTC § 6 Conditions of Termination</w:t>
              <w:br/>
            </w:r>
            <w:r>
              <w:rPr>
                <w:sz w:val="16"/>
              </w:rPr>
              <w:t>Notice period 3 months to month-end. Early release upon accepted replacement tenant. Tacit renewal excluded under § 545 BGB. Termination without notice under § 543 BGB for: 2 months rent arrears, GTC breach after warning, damages &gt; €50.00 unpaid, unauthorized guests, drugs, or persistent cleaning refusal.</w:t>
            </w:r>
          </w:p>
        </w:tc>
      </w:tr>
      <w:tr>
        <w:tc>
          <w:tcPr>
            <w:tcW w:type="dxa" w:w="5184"/>
          </w:tcPr>
          <w:p>
            <w:r>
              <w:rPr>
                <w:b/>
                <w:sz w:val="18"/>
              </w:rPr>
              <w:t>AGB § 7 Schriftform</w:t>
              <w:br/>
            </w:r>
            <w:r>
              <w:rPr>
                <w:sz w:val="16"/>
              </w:rPr>
              <w:t>Mündliche Nebenabreden bestehen nicht. Änderungen und Ergänzungen bedürfen der Schriftform; dies gilt auch für die Aufhebung dieses Schriftformerfordernisses.</w:t>
            </w:r>
          </w:p>
        </w:tc>
        <w:tc>
          <w:tcPr>
            <w:tcW w:type="dxa" w:w="5184"/>
          </w:tcPr>
          <w:p>
            <w:r>
              <w:rPr>
                <w:b/>
                <w:color w:val="475569"/>
                <w:sz w:val="18"/>
              </w:rPr>
              <w:t>GTC § 7 Written Form</w:t>
              <w:br/>
            </w:r>
            <w:r>
              <w:rPr>
                <w:sz w:val="16"/>
              </w:rPr>
              <w:t>No oral side agreements exist. Modifications and amendments must be executed in writing; this also applies to waiving this written-form requirement.</w:t>
            </w:r>
          </w:p>
        </w:tc>
      </w:tr>
      <w:tr>
        <w:tc>
          <w:tcPr>
            <w:tcW w:type="dxa" w:w="5184"/>
          </w:tcPr>
          <w:p>
            <w:r>
              <w:rPr>
                <w:b/>
                <w:sz w:val="18"/>
              </w:rPr>
              <w:t>AGB § 8 Salvatorische Klausel &amp; Gerichtsstand</w:t>
              <w:br/>
            </w:r>
            <w:r>
              <w:rPr>
                <w:sz w:val="16"/>
              </w:rPr>
              <w:t>Unwirksamkeit einzelner Bestimmungen berührt die übrigen Klauseln nicht. Es gilt das Recht der Bundesrepublik Deutschland (BGB). Erfüllungsort und ausschließlicher Gerichtsstand ist Berlin. Die deutsche Fassung ist rechtlich allein verbindlich.</w:t>
            </w:r>
          </w:p>
        </w:tc>
        <w:tc>
          <w:tcPr>
            <w:tcW w:type="dxa" w:w="5184"/>
          </w:tcPr>
          <w:p>
            <w:r>
              <w:rPr>
                <w:b/>
                <w:color w:val="475569"/>
                <w:sz w:val="18"/>
              </w:rPr>
              <w:t>GTC § 8 Severability &amp; Jurisdiction</w:t>
              <w:br/>
            </w:r>
            <w:r>
              <w:rPr>
                <w:sz w:val="16"/>
              </w:rPr>
              <w:t>Invalidity of individual clauses does not affect remaining provisions. German Civil Code (BGB) governs. Place of performance and sole legal jurisdiction is Berlin. Only the German language version is legally binding.</w:t>
            </w:r>
          </w:p>
        </w:tc>
      </w:tr>
    </w:tbl>
    <w:p>
      <w:pPr>
        <w:spacing w:after="400"/>
      </w:pPr>
    </w:p>
    <w:tbl>
      <w:tblPr>
        <w:tblW w:type="auto" w:w="0"/>
        <w:jc w:val="center"/>
        <w:tblLook w:firstColumn="1" w:firstRow="1" w:lastColumn="0" w:lastRow="0" w:noHBand="0" w:noVBand="1" w:val="04A0"/>
      </w:tblPr>
      <w:tblGrid>
        <w:gridCol w:w="5234"/>
        <w:gridCol w:w="5234"/>
      </w:tblGrid>
      <w:tr>
        <w:tc>
          <w:tcPr>
            <w:tcW w:type="dxa" w:w="5184"/>
          </w:tcPr>
          <w:p>
            <w:r>
              <w:t>Ort, Datum: Berlin, 27.10.2026</w:t>
              <w:br/>
              <w:br/>
              <w:br/>
              <w:t>_____________________________________</w:t>
              <w:br/>
              <w:t>Kylasam Nallagoundanpalayam Arruchamy</w:t>
              <w:br/>
              <w:t>Vermieter / Landlord</w:t>
            </w:r>
          </w:p>
        </w:tc>
        <w:tc>
          <w:tcPr>
            <w:tcW w:type="dxa" w:w="5184"/>
          </w:tcPr>
          <w:p>
            <w:r>
              <w:t>Ort, Datum: 27 Oct, 2026</w:t>
              <w:br/>
              <w:br/>
              <w:br/>
              <w:t>_____________________________________</w:t>
              <w:br/>
              <w:t>Ajithkumar Velasseril Sreenivasan</w:t>
              <w:br/>
              <w:t>Mieter / Tenant</w:t>
            </w:r>
          </w:p>
        </w:tc>
      </w:tr>
    </w:tbl>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