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ARCHITECTURE</w:t>
      </w:r>
    </w:p>
    <w:p>
      <w:pPr>
        <w:pStyle w:val="Title"/>
        <w:spacing w:after="120"/>
      </w:pPr>
      <w:r>
        <w:t xml:space="preserve">TrustQuery AI — Architecture</w:t>
      </w:r>
    </w:p>
    <w:p>
      <w:pPr>
        <w:spacing w:after="320"/>
      </w:pPr>
      <w:r>
        <w:rPr>
          <w:i/>
          <w:iCs/>
          <w:color w:val="444444"/>
          <w:sz w:val="22"/>
          <w:szCs w:val="22"/>
        </w:rPr>
        <w:t xml:space="preserve">A four-layer model — ingestion &amp; parsing, knowledge &amp; RAG, multi-agent generation, and validation &amp; evaluation — with four concerns cutting across every layer.</w:t>
      </w:r>
    </w:p>
    <w:p>
      <w:pPr>
        <w:spacing w:after="240"/>
        <w:jc w:val="center"/>
      </w:pPr>
      <w:r>
        <w:drawing>
          <wp:inline distT="0" distB="0" distL="0" distR="0">
            <wp:extent cx="47625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t xml:space="preserve">The four layers</w:t>
      </w:r>
    </w:p>
    <w:p>
      <w:pPr>
        <w:pStyle w:val="Heading2"/>
        <w:spacing w:after="140" w:before="280"/>
      </w:pPr>
      <w:r>
        <w:t xml:space="preserve">1. Ingestion &amp; parsing</w:t>
      </w:r>
    </w:p>
    <w:p>
      <w:pPr>
        <w:spacing w:after="200" w:line="300"/>
        <w:jc w:val="both"/>
      </w:pPr>
      <w:r>
        <w:t xml:space="preserve">Connects to source systems, crawls schema and table/column metadata, and applies sensitivity tags (PII, confidential, public) that every downstream layer relies on. Runs on a recurring cadence (e.g., nightly) so the system stays current as schemas evolve, rather than being a one-time setup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connectors — pull schema and sample data from source systems (Turso for this prototype)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crawler — keeps table/column metadata current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Sensitivity tagging — flags PII and confidential columns at the source, before anything is retrieved or generated against them</w:t>
      </w:r>
    </w:p>
    <w:p>
      <w:pPr>
        <w:pStyle w:val="Heading2"/>
        <w:spacing w:after="140" w:before="280"/>
      </w:pPr>
      <w:r>
        <w:t xml:space="preserve">2. Knowledge &amp; RAG</w:t>
      </w:r>
    </w:p>
    <w:p>
      <w:pPr>
        <w:spacing w:after="200" w:line="300"/>
        <w:jc w:val="both"/>
      </w:pPr>
      <w:r>
        <w:t xml:space="preserve">Holds the grounding material the generation layer retrieves from: embedded schema descriptions, few-shot query exemplars, and business glossary terms. This is what keeps SQL generation accurate without needing the full schema stuffed into every prompt.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Vector store — ChromaDB, embedding schema and exemplar text for retrieval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search — retrieves only the relevant tables/columns for a given question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glossary — maps business terminology to underlying schema (e.g., "churned customer" to the relevant status columns)</w:t>
      </w:r>
    </w:p>
    <w:p>
      <w:pPr>
        <w:pStyle w:val="Heading2"/>
        <w:spacing w:after="140" w:before="280"/>
      </w:pPr>
      <w:r>
        <w:t xml:space="preserve">3. Multi-agent generation</w:t>
      </w:r>
    </w:p>
    <w:p>
      <w:pPr>
        <w:spacing w:after="200" w:line="300"/>
        <w:jc w:val="both"/>
      </w:pPr>
      <w:r>
        <w:t xml:space="preserve">The live, conversational path: a Planner agent routes the question, a SQL Generation agent writes the query grounded in what Layer 2 retrieved, and an Execution agent runs it with a bounded self-healing retry loop on failure. The HITL gate (a cross-cutting concern, detailed below) sits structurally between generation and execution for queries that need a human check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Planner — interprets the question and decides the routing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generation agent — writes the query from retrieved schema and exemplars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Execution agent — runs the query and self-corrects on error before returning a result</w:t>
      </w:r>
    </w:p>
    <w:p>
      <w:pPr>
        <w:pStyle w:val="Heading2"/>
        <w:spacing w:after="140" w:before="280"/>
      </w:pPr>
      <w:r>
        <w:t xml:space="preserve">4. Validation &amp; evaluation</w:t>
      </w:r>
    </w:p>
    <w:p>
      <w:pPr>
        <w:spacing w:after="200" w:line="300"/>
        <w:jc w:val="both"/>
      </w:pPr>
      <w:r>
        <w:t xml:space="preserve">Runs continuously alongside live traffic rather than only at release time: scoring accuracy, enforcing data masking independent of the HITL gate, and deciding when prompt tuning or fine-tuning is warranted. This is what keeps quality from silently drifting after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Evaluation — DeepEval scores query correctness against a golden test set, natively traced through LangGraph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Governance — independently masks sensitive columns in every result set, whether or not a query was HITL-approved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Optimization — decides between adding few-shot exemplars, prompt tuning via DSPy, or fine-tuning via PEFT/LoRA</w:t>
      </w:r>
    </w:p>
    <w:p>
      <w:pPr>
        <w:pStyle w:val="Heading1"/>
        <w:spacing w:after="200" w:before="360"/>
      </w:pPr>
      <w:r>
        <w:t xml:space="preserve">Cross-cutting concerns</w:t>
      </w:r>
    </w:p>
    <w:p>
      <w:pPr>
        <w:spacing w:after="200" w:line="300"/>
        <w:jc w:val="both"/>
      </w:pPr>
      <w:r>
        <w:t xml:space="preserve">These four capabilities aren't separate agents confined to one layer — they're threaded through all four, and that's deliberate: bolting governance or observability on after the fact tends to leave gaps at the layer boundaries.</w:t>
      </w:r>
    </w:p>
    <w:p>
      <w:pPr>
        <w:pStyle w:val="Heading2"/>
        <w:spacing w:after="140" w:before="280"/>
      </w:pPr>
      <w:r>
        <w:t xml:space="preserve">Orchestration (LangGraph)</w:t>
      </w:r>
    </w:p>
    <w:p>
      <w:pPr>
        <w:spacing w:after="200" w:line="300"/>
        <w:jc w:val="both"/>
      </w:pPr>
      <w:r>
        <w:t xml:space="preserve">A single graph-based orchestration framework coordinates state and hand-offs from ingestion through validation. Its explicit state model and interrupt/checkpoint support are what make the asynchronous HITL pause-and-resume possible without bespoke plumbing.</w:t>
      </w:r>
    </w:p>
    <w:p>
      <w:pPr>
        <w:pStyle w:val="Heading2"/>
        <w:spacing w:after="140" w:before="280"/>
      </w:pPr>
      <w:r>
        <w:t xml:space="preserve">Guardrails &amp; safety</w:t>
      </w:r>
    </w:p>
    <w:p>
      <w:pPr>
        <w:spacing w:after="200" w:line="300"/>
        <w:jc w:val="both"/>
      </w:pPr>
      <w:r>
        <w:t xml:space="preserve">Sensitivity tagging at ingestion, schema-scoped retrieval at the RAG layer, query-safety checks before execution, and automatic masking at validation — safety isn't one checkpoint, it's reinforced at each layer so a gap in one doesn't become a leak.</w:t>
      </w:r>
    </w:p>
    <w:p>
      <w:pPr>
        <w:pStyle w:val="Heading2"/>
        <w:spacing w:after="140" w:before="280"/>
      </w:pPr>
      <w:r>
        <w:t xml:space="preserve">Observability &amp; cost (Langfuse)</w:t>
      </w:r>
    </w:p>
    <w:p>
      <w:pPr>
        <w:spacing w:after="200" w:line="300"/>
        <w:jc w:val="both"/>
      </w:pPr>
      <w:r>
        <w:t xml:space="preserve">Self-hosted Langfuse traces every layer's activity — ingestion runs, retrieval latency, generation and execution spans, and validation scores — giving one unified view rather than per-layer logging silos. DeepEval's scores are pushed into Langfuse and attached to the originating trace rather than living in a separate dashboard.</w:t>
      </w:r>
    </w:p>
    <w:p>
      <w:pPr>
        <w:pStyle w:val="Heading2"/>
        <w:spacing w:after="140" w:before="280"/>
      </w:pPr>
      <w:r>
        <w:t xml:space="preserve">Human-in-the-loop</w:t>
      </w:r>
    </w:p>
    <w:p>
      <w:pPr>
        <w:spacing w:after="200" w:line="300"/>
        <w:jc w:val="both"/>
      </w:pPr>
      <w:r>
        <w:t xml:space="preserve">The HITL gate in Layer 3 is the most visible instance, but human review touches every layer: business SMEs curate the golden dataset and glossary terms at ingestion, reviewers approve flagged queries at generation, and a human signs off before the Optimization agent's fine-tuned models get promoted to production at validation.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ed3d764684e0c7363f1db92ba277c9a4c96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2026-09-08T06:13:13.570Z</dcterms:created>
  <dcterms:modified xsi:type="dcterms:W3CDTF">2026-09-08T06:13:13.570Z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