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PROJECT PLAN</w:t>
      </w:r>
    </w:p>
    <w:p>
      <w:pPr>
        <w:pStyle w:val="Title"/>
        <w:spacing w:after="120"/>
      </w:pPr>
      <w:r>
        <w:t xml:space="preserve">TrustQuery AI — Engineering Project Plan</w:t>
      </w:r>
    </w:p>
    <w:p>
      <w:pPr>
        <w:spacing w:after="320"/>
      </w:pPr>
      <w:r>
        <w:rPr>
          <w:i/>
          <w:iCs/>
          <w:color w:val="444444"/>
          <w:sz w:val="22"/>
          <w:szCs w:val="22"/>
        </w:rPr>
        <w:t xml:space="preserve">A forward-looking execution plan from prototype to pilot, with milestones, goals, and success criteria for the agentic NL2SQL platform.</w:t>
      </w:r>
    </w:p>
    <w:p>
      <w:pPr>
        <w:pStyle w:val="Heading1"/>
        <w:spacing w:after="200" w:before="360"/>
      </w:pPr>
      <w:r>
        <w:t xml:space="preserve">Vision &amp; objective</w:t>
      </w:r>
    </w:p>
    <w:p>
      <w:pPr>
        <w:spacing w:after="200" w:line="300"/>
        <w:jc w:val="both"/>
      </w:pPr>
      <w:r>
        <w:t xml:space="preserve">Build a multi-agent system that lets business users ask questions about enterprise data in plain English and receive accurate, governed answers — without waiting on a data team, and without compromising on data security or human oversight where it matters. This plan covers the path from the current architecture and design (established in the accompanying PR/FAQ and architecture documents) to a validated pilot with a real business unit. The MVP prototype is deliberately scoped to a 2-week sprint that builds all four architecture layers end-to-end on sample data; hardening, production deployment decisions, and broader business-stakeholder integration are sequenced into the phases that follow it, not folded into the MVP itself.</w:t>
      </w:r>
    </w:p>
    <w:p>
      <w:pPr>
        <w:pStyle w:val="Heading2"/>
        <w:spacing w:after="140" w:before="280"/>
      </w:pPr>
      <w:r>
        <w:t xml:space="preserve">Guiding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source and low-cost first: every component is free or self-hosted except the generation model itself, keeping the project cheap to run and easy to justify at each stage.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Safety and governance are first-class, not bolted on: the HITL gate and PII masking ship in the same phase as core functionality, not as a later hardening pass.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Iterate on real feedback: a real (or realistically masked) pilot with actual business users happens before any production hardening investment.</w:t>
      </w:r>
    </w:p>
    <w:p>
      <w:pPr>
        <w:pStyle w:val="Heading1"/>
        <w:spacing w:after="200" w:before="360"/>
      </w:pPr>
      <w:r>
        <w:t xml:space="preserve">Phased milestones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The MVP prototype is compressed to a 2-week sprint covering discovery and a full end-to-end build of all four architecture layers — not a partial slice. Hardening, production deployment options, and broader business-stakeholder integration are explicitly sequenced after it.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2C2C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shd w:fill="2C2C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100"/>
            <w:shd w:fill="2C2C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2500"/>
            <w:shd w:fill="2C2C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920"/>
            <w:shd w:fill="2C2C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0 — Discovery &amp; MVP prototype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a single 2-week sprint: finalize architecture decisions and stand up a working end-to-end prototype of all four layers on sample data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Turso schema + sample data (Layer 1); ChromaDB schema/exemplar index (Layer 2); Planner, Schema-Linking, SQL Generation, HITL Gate, Execution, and Response agents wired via LangGraph (Layer 3); DeepEval + self-hosted Langfuse + PII Governance agent wired for scoring and tracing (Layer 4); Chainlit UI for prototype demo only</w:t>
            </w:r>
          </w:p>
        </w:tc>
        <w:tc>
          <w:tcPr>
            <w:tcW w:type="dxa" w:w="29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End-to-end demo correctly answers ≥10–15 predefined questions against the Turso sample database, touching all four layers; HITL gate triggers in basic rule-based form on at least one seeded high-risk query; DeepEval scores are visible in Langfuse for every run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— Validation, governance &amp; HITL hardening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3–6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Mature the prototype's validation and oversight layer beyond the 2-week baseline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HITL Gate thresholds tuned on real signal; PII Governance rules expanded and tested; golden dataset expanded to 100+ questions</w:t>
            </w:r>
          </w:p>
        </w:tc>
        <w:tc>
          <w:tcPr>
            <w:tcW w:type="dxa" w:w="29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DeepEval composite accuracy ≥85% on the golden set; 100% of tagged sensitive columns auto-masked in testing; HITL gate false-positive rate &lt;5% on routine queries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 — Pilot with real users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7–10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with one real business unit on real or realistically masked data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Pilot rollout to one business unit; feedback loop instrumented; first DSPy/fine-tuning optimization cycle run and deployed via MLflow</w:t>
            </w:r>
          </w:p>
        </w:tc>
        <w:tc>
          <w:tcPr>
            <w:tcW w:type="dxa" w:w="29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Pilot user satisfaction ≥4/5; median end-to-end latency &lt;10s (excluding HITL wait); HITL false-positive rate &lt;10%; at least one optimization cycle completed and deployed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 — Production hardening &amp; scale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11–16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Prepare for general availability, including production deployment and UI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Multi-source connector support; cost monitoring dashboards; security/compliance review; runbooks &amp; on-call documentation; UI refactored off the Chainlit prototype to a production chat interface (native Bedrock Agents chat UI, or a custom UI backed by API Gateway); directional evaluation of Amazon Bedrock AgentCore as a production hosting option for the agents (not committed in this plan)</w:t>
            </w:r>
          </w:p>
        </w:tc>
        <w:tc>
          <w:tcPr>
            <w:tcW w:type="dxa" w:w="29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Passes security/compliance review; cost per query within approved budget; runbooks accepted by platform operations; production UI live and no longer dependent on the prototype's Chainlit interface</w:t>
            </w:r>
          </w:p>
        </w:tc>
      </w:tr>
    </w:tbl>
    <w:p>
      <w:pPr>
        <w:pStyle w:val="Heading1"/>
        <w:spacing w:after="200" w:before="360"/>
      </w:pPr>
      <w:r>
        <w:t xml:space="preserve">Overall success metrics (north star)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accuracy (DeepEval composite score): ≥90% at general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Data-team ticket backlog reduction: 30–50% for onboarded domains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HITL escalation rate: stabilizes below 15% of total queries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PII leakage incidents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Median query latency: under 10 seconds for auto-approved queries</w:t>
      </w:r>
    </w:p>
    <w:p>
      <w:pPr>
        <w:pStyle w:val="Heading1"/>
        <w:spacing w:after="200" w:before="360"/>
      </w:pPr>
      <w:r>
        <w:t xml:space="preserve">Risks &amp; mitigations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2C2C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900"/>
            <w:shd w:fill="2C2C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420"/>
            <w:shd w:fill="2C2C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2-week MVP timeline is tight for a full 4-layer scope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Prototype ships with rough edges or incomplete edge-case handling</w:t>
            </w:r>
          </w:p>
        </w:tc>
        <w:tc>
          <w:tcPr>
            <w:tcW w:type="dxa" w:w="5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Scope the prototype narrowly — one data domain, a small golden set, minimal UI polish — and explicitly defer performance/scale hardening to Phase 3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drift or stale metadata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Generated queries reference outdated or renamed columns</w:t>
            </w:r>
          </w:p>
        </w:tc>
        <w:tc>
          <w:tcPr>
            <w:tcW w:type="dxa" w:w="5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nightly schema crawl (Layer 1) with change alerts feeding the schema-linking index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cost overrun at scale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Per-query API cost grows faster than adoption</w:t>
            </w:r>
          </w:p>
        </w:tc>
        <w:tc>
          <w:tcPr>
            <w:tcW w:type="dxa" w:w="5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GPT-4.1 mini at temperature 0, cached embeddings, per-query cost tracked in Langfuse with budget alerts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Hallucinated or incorrect SQL reaching users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answers erode trust</w:t>
            </w:r>
          </w:p>
        </w:tc>
        <w:tc>
          <w:tcPr>
            <w:tcW w:type="dxa" w:w="5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Self-healing execution loop, DeepEval regression gate in CI, and the HITL gate for high-risk queries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Reviewer fatigue / HITL bottleneck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Over-triggering slows down legitimate users</w:t>
            </w:r>
          </w:p>
        </w:tc>
        <w:tc>
          <w:tcPr>
            <w:tcW w:type="dxa" w:w="5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Tunable thresholds; escalation-rate monitoring feeds back into the Optimization agent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access delays from source system owners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 a domain stalls the timeline</w:t>
            </w:r>
          </w:p>
        </w:tc>
        <w:tc>
          <w:tcPr>
            <w:tcW w:type="dxa" w:w="5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data access conversations in Phase 0; pilot on a single domain first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Turso free-tier limits exceeded as pilot scales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usage caps are hit mid-pilot</w:t>
            </w:r>
          </w:p>
        </w:tc>
        <w:tc>
          <w:tcPr>
            <w:tcW w:type="dxa" w:w="5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 usage against the 5GB/500M-read/10M-write cap; budget for the $4.99/month Developer tier as a low-cost upgrade path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Chainlit prototype UI is a dead end for production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Rework needed before broader rollout</w:t>
            </w:r>
          </w:p>
        </w:tc>
        <w:tc>
          <w:tcPr>
            <w:tcW w:type="dxa" w:w="5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 Chainlit as prototype-only from day one; UI refactor to a Bedrock-provided chat interface or a custom UI on API Gateway is scoped into Phase 3, not left as a surprise</w:t>
            </w:r>
          </w:p>
        </w:tc>
      </w:tr>
    </w:tbl>
    <w:p>
      <w:pPr>
        <w:pStyle w:val="Heading1"/>
        <w:spacing w:after="200" w:before="360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source and catalog access from source system owners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SME time for golden dataset curation and 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Security/compliance review bandwidth ahead of Phase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Messaging/ticketing platform access (e.g., Slack or ServiceNow) for HITL reviewer routing</w:t>
      </w:r>
    </w:p>
    <w:p>
      <w:pPr>
        <w:pStyle w:val="Heading1"/>
        <w:spacing w:after="200" w:before="360"/>
      </w:pPr>
      <w:r>
        <w:t xml:space="preserve">Directional note: production deployment &amp; UI</w:t>
      </w:r>
    </w:p>
    <w:p>
      <w:pPr>
        <w:spacing w:after="200" w:line="300"/>
        <w:jc w:val="both"/>
      </w:pPr>
      <w:r>
        <w:t xml:space="preserve">Two decisions are explicitly out of scope for this plan but worth flagging now so Phase 3 isn't a surprise. First, the UI: the Chainlit interface used for the MVP prototype is a development convenience, not a production plan — it will be refactored in Phase 3 to either the native chat interface provided within Amazon Bedrock Agents, or a custom UI backed by an API Gateway front end. Second, hosting: Amazon Bedrock AgentCore is a candidate option for running the agents in production, evaluated directionally as part of Phase 3 hardening. Neither decision needs to be made now — the architecture's agent and orchestration design (LangGraph-based, framework-agnostic at the hosting layer) doesn't lock in a specific production runtime, so this stays a Phase 3 decision informed by pilot learnings rather than a Phase 0 commitment.</w:t>
      </w:r>
    </w:p>
    <w:p>
      <w:pPr>
        <w:pStyle w:val="Heading1"/>
        <w:spacing w:after="200" w:before="360"/>
      </w:pPr>
      <w:r>
        <w:t xml:space="preserve">Team &amp; ownership</w:t>
      </w:r>
    </w:p>
    <w:p>
      <w:pPr>
        <w:spacing w:after="200" w:line="300"/>
        <w:jc w:val="both"/>
      </w:pPr>
      <w:r>
        <w:t xml:space="preserve">Headcount and budget requirements to execute this plan are detailed separately in the companion Leadership Ask document, scoped to stakeholders and investors evaluating the resourcing decision.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2026-09-08T06:21:39.144Z</dcterms:created>
  <dcterms:modified xsi:type="dcterms:W3CDTF">2026-09-08T06:21:39.158Z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