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87697" w14:textId="3EF3CF9E" w:rsidR="006F2F86" w:rsidRPr="00BD12FB" w:rsidRDefault="006F2F86" w:rsidP="00F276DA">
      <w:pPr>
        <w:rPr>
          <w:b/>
          <w:sz w:val="24"/>
          <w:szCs w:val="24"/>
          <w:u w:val="single"/>
        </w:rPr>
      </w:pPr>
      <w:r w:rsidRPr="00BD12FB">
        <w:rPr>
          <w:b/>
          <w:sz w:val="24"/>
          <w:szCs w:val="24"/>
          <w:u w:val="single"/>
        </w:rPr>
        <w:t>Abstract:</w:t>
      </w:r>
    </w:p>
    <w:p w14:paraId="0DFAB731" w14:textId="587B0BB0" w:rsidR="006F2F86" w:rsidRPr="00BD12FB" w:rsidRDefault="006F2F86" w:rsidP="00F276DA">
      <w:pPr>
        <w:rPr>
          <w:sz w:val="24"/>
          <w:szCs w:val="24"/>
        </w:rPr>
      </w:pPr>
      <w:r w:rsidRPr="00BD12FB">
        <w:rPr>
          <w:sz w:val="24"/>
          <w:szCs w:val="24"/>
        </w:rPr>
        <w:t>Goes here…</w:t>
      </w:r>
    </w:p>
    <w:p w14:paraId="6D7A649B" w14:textId="77777777" w:rsidR="006F2F86" w:rsidRPr="00BD12FB" w:rsidRDefault="006F2F86" w:rsidP="00F276DA">
      <w:pPr>
        <w:rPr>
          <w:b/>
          <w:sz w:val="24"/>
          <w:szCs w:val="24"/>
          <w:u w:val="single"/>
        </w:rPr>
      </w:pPr>
    </w:p>
    <w:p w14:paraId="0B7281C7" w14:textId="77777777" w:rsidR="006F2F86" w:rsidRPr="00BD12FB" w:rsidRDefault="006F2F86" w:rsidP="00F276DA">
      <w:pPr>
        <w:rPr>
          <w:b/>
          <w:sz w:val="24"/>
          <w:szCs w:val="24"/>
          <w:u w:val="single"/>
        </w:rPr>
      </w:pPr>
    </w:p>
    <w:p w14:paraId="42E95F52" w14:textId="77777777" w:rsidR="006F2F86" w:rsidRPr="00BD12FB" w:rsidRDefault="006F2F86" w:rsidP="00F276DA">
      <w:pPr>
        <w:rPr>
          <w:b/>
          <w:sz w:val="24"/>
          <w:szCs w:val="24"/>
          <w:u w:val="single"/>
        </w:rPr>
      </w:pPr>
    </w:p>
    <w:p w14:paraId="04954D49" w14:textId="77777777" w:rsidR="003B4633" w:rsidRPr="00BD12FB" w:rsidRDefault="003B4633" w:rsidP="00F276DA">
      <w:pPr>
        <w:rPr>
          <w:b/>
          <w:sz w:val="24"/>
          <w:szCs w:val="24"/>
          <w:u w:val="single"/>
        </w:rPr>
      </w:pPr>
      <w:r w:rsidRPr="00BD12FB">
        <w:rPr>
          <w:b/>
          <w:sz w:val="24"/>
          <w:szCs w:val="24"/>
          <w:u w:val="single"/>
        </w:rPr>
        <w:t>Introduction:</w:t>
      </w:r>
    </w:p>
    <w:p w14:paraId="6EC29487" w14:textId="2CEDDBF6" w:rsidR="00FA2113" w:rsidRPr="00BD12FB" w:rsidRDefault="00D91420" w:rsidP="004A6108">
      <w:pPr>
        <w:spacing w:after="0" w:line="480" w:lineRule="auto"/>
        <w:rPr>
          <w:sz w:val="24"/>
          <w:szCs w:val="24"/>
        </w:rPr>
      </w:pPr>
      <w:r w:rsidRPr="00BD12FB">
        <w:rPr>
          <w:sz w:val="24"/>
          <w:szCs w:val="24"/>
        </w:rPr>
        <w:t xml:space="preserve">It </w:t>
      </w:r>
      <w:proofErr w:type="gramStart"/>
      <w:r w:rsidRPr="00BD12FB">
        <w:rPr>
          <w:sz w:val="24"/>
          <w:szCs w:val="24"/>
        </w:rPr>
        <w:t>is</w:t>
      </w:r>
      <w:r w:rsidR="00652D48" w:rsidRPr="00BD12FB">
        <w:rPr>
          <w:sz w:val="24"/>
          <w:szCs w:val="24"/>
        </w:rPr>
        <w:t xml:space="preserve"> well</w:t>
      </w:r>
      <w:r w:rsidRPr="00BD12FB">
        <w:rPr>
          <w:sz w:val="24"/>
          <w:szCs w:val="24"/>
        </w:rPr>
        <w:t xml:space="preserve"> known</w:t>
      </w:r>
      <w:proofErr w:type="gramEnd"/>
      <w:r w:rsidRPr="00BD12FB">
        <w:rPr>
          <w:sz w:val="24"/>
          <w:szCs w:val="24"/>
        </w:rPr>
        <w:t xml:space="preserve"> that the great recession was heavily induced by the mortgage market.  Relaxed lending standards in the early 2000’s was </w:t>
      </w:r>
      <w:r w:rsidR="00652D48" w:rsidRPr="00BD12FB">
        <w:rPr>
          <w:sz w:val="24"/>
          <w:szCs w:val="24"/>
        </w:rPr>
        <w:t xml:space="preserve">a primary </w:t>
      </w:r>
      <w:r w:rsidR="00C93E30" w:rsidRPr="00BD12FB">
        <w:rPr>
          <w:sz w:val="24"/>
          <w:szCs w:val="24"/>
        </w:rPr>
        <w:t xml:space="preserve">source </w:t>
      </w:r>
      <w:r w:rsidR="00652D48" w:rsidRPr="00BD12FB">
        <w:rPr>
          <w:sz w:val="24"/>
          <w:szCs w:val="24"/>
        </w:rPr>
        <w:t xml:space="preserve">of the mortgage </w:t>
      </w:r>
      <w:r w:rsidR="00C93E30" w:rsidRPr="00BD12FB">
        <w:rPr>
          <w:sz w:val="24"/>
          <w:szCs w:val="24"/>
        </w:rPr>
        <w:t>collapse.  R</w:t>
      </w:r>
      <w:r w:rsidR="007C3865" w:rsidRPr="00BD12FB">
        <w:rPr>
          <w:sz w:val="24"/>
          <w:szCs w:val="24"/>
        </w:rPr>
        <w:t xml:space="preserve">elaxed lending standards comes in two forms, borrowers </w:t>
      </w:r>
      <w:r w:rsidR="00C93E30" w:rsidRPr="00BD12FB">
        <w:rPr>
          <w:sz w:val="24"/>
          <w:szCs w:val="24"/>
        </w:rPr>
        <w:t xml:space="preserve">risk </w:t>
      </w:r>
      <w:r w:rsidR="007C3865" w:rsidRPr="00BD12FB">
        <w:rPr>
          <w:sz w:val="24"/>
          <w:szCs w:val="24"/>
        </w:rPr>
        <w:t>and product risk.</w:t>
      </w:r>
      <w:r w:rsidR="00B10DAD" w:rsidRPr="00BD12FB">
        <w:rPr>
          <w:sz w:val="24"/>
          <w:szCs w:val="24"/>
        </w:rPr>
        <w:t xml:space="preserve">  </w:t>
      </w:r>
    </w:p>
    <w:p w14:paraId="6A711127" w14:textId="77777777" w:rsidR="00BD348E" w:rsidRPr="00BD12FB" w:rsidRDefault="00B10DAD" w:rsidP="004A6108">
      <w:pPr>
        <w:spacing w:after="0" w:line="480" w:lineRule="auto"/>
        <w:rPr>
          <w:sz w:val="24"/>
          <w:szCs w:val="24"/>
        </w:rPr>
      </w:pPr>
      <w:r w:rsidRPr="00BD12FB">
        <w:rPr>
          <w:sz w:val="24"/>
          <w:szCs w:val="24"/>
        </w:rPr>
        <w:t>E</w:t>
      </w:r>
      <w:r w:rsidR="00126837" w:rsidRPr="00BD12FB">
        <w:rPr>
          <w:sz w:val="24"/>
          <w:szCs w:val="24"/>
        </w:rPr>
        <w:t xml:space="preserve">xamples of both are as follows: </w:t>
      </w:r>
      <w:r w:rsidRPr="00BD12FB">
        <w:rPr>
          <w:sz w:val="24"/>
          <w:szCs w:val="24"/>
        </w:rPr>
        <w:t xml:space="preserve">Product Risk, Adjustable Rate Mortgages (ARM), offers an upfront “teaser” rate which is lower than fixed traditional.  The idea behind these is that for the first </w:t>
      </w:r>
      <w:r w:rsidR="00126837" w:rsidRPr="00BD12FB">
        <w:rPr>
          <w:sz w:val="24"/>
          <w:szCs w:val="24"/>
        </w:rPr>
        <w:t>few</w:t>
      </w:r>
      <w:r w:rsidRPr="00BD12FB">
        <w:rPr>
          <w:sz w:val="24"/>
          <w:szCs w:val="24"/>
        </w:rPr>
        <w:t xml:space="preserve"> the monthly payments are lower due to the interest rate, however it </w:t>
      </w:r>
      <w:r w:rsidR="00126837" w:rsidRPr="00BD12FB">
        <w:rPr>
          <w:sz w:val="24"/>
          <w:szCs w:val="24"/>
        </w:rPr>
        <w:t>increases</w:t>
      </w:r>
      <w:r w:rsidRPr="00BD12FB">
        <w:rPr>
          <w:sz w:val="24"/>
          <w:szCs w:val="24"/>
        </w:rPr>
        <w:t xml:space="preserve"> after the five or seven year mark which makes the monthly payment higher.  Higher monthly payments can potentially introduce financial difficulties for the borrower.  </w:t>
      </w:r>
      <w:r w:rsidR="00126837" w:rsidRPr="00BD12FB">
        <w:rPr>
          <w:sz w:val="24"/>
          <w:szCs w:val="24"/>
        </w:rPr>
        <w:t>Second l</w:t>
      </w:r>
      <w:r w:rsidR="00FA2113" w:rsidRPr="00BD12FB">
        <w:rPr>
          <w:sz w:val="24"/>
          <w:szCs w:val="24"/>
        </w:rPr>
        <w:t xml:space="preserve">iens, when a borrower purchases a home generally they will take out a first lien mortgage.  A first lien mortgage </w:t>
      </w:r>
      <w:proofErr w:type="gramStart"/>
      <w:r w:rsidR="00FA2113" w:rsidRPr="00BD12FB">
        <w:rPr>
          <w:sz w:val="24"/>
          <w:szCs w:val="24"/>
        </w:rPr>
        <w:t>is secured</w:t>
      </w:r>
      <w:proofErr w:type="gramEnd"/>
      <w:r w:rsidR="00FA2113" w:rsidRPr="00BD12FB">
        <w:rPr>
          <w:sz w:val="24"/>
          <w:szCs w:val="24"/>
        </w:rPr>
        <w:t xml:space="preserve"> by the actual home, that is, if the borrower defaults the owner of the first lien mortgage would be able to recoup the loan amount by repossessing the home.  A second lien is an additional lien taken out on a home, normally these </w:t>
      </w:r>
      <w:proofErr w:type="gramStart"/>
      <w:r w:rsidR="00FA2113" w:rsidRPr="00BD12FB">
        <w:rPr>
          <w:sz w:val="24"/>
          <w:szCs w:val="24"/>
        </w:rPr>
        <w:t>are taken out</w:t>
      </w:r>
      <w:proofErr w:type="gramEnd"/>
      <w:r w:rsidR="00FA2113" w:rsidRPr="00BD12FB">
        <w:rPr>
          <w:sz w:val="24"/>
          <w:szCs w:val="24"/>
        </w:rPr>
        <w:t xml:space="preserve"> for </w:t>
      </w:r>
      <w:r w:rsidR="00B72421" w:rsidRPr="00BD12FB">
        <w:rPr>
          <w:sz w:val="24"/>
          <w:szCs w:val="24"/>
        </w:rPr>
        <w:t>home improvements and can be in the form of a Home Equity Line of Credit (HELOC) which acts like a credit card that you borrower against your home.</w:t>
      </w:r>
      <w:r w:rsidR="00E77B63" w:rsidRPr="00BD12FB">
        <w:rPr>
          <w:sz w:val="24"/>
          <w:szCs w:val="24"/>
        </w:rPr>
        <w:t xml:space="preserve">  Furthermore, some of the products required “Low” to “No” documented financials from the borrow</w:t>
      </w:r>
      <w:r w:rsidR="005B7288" w:rsidRPr="00BD12FB">
        <w:rPr>
          <w:sz w:val="24"/>
          <w:szCs w:val="24"/>
        </w:rPr>
        <w:t>er.  Borrower Risk, examples, lending to a borrower with a poor credit history or with no income history.</w:t>
      </w:r>
      <w:r w:rsidR="00E77B63" w:rsidRPr="00BD12FB">
        <w:rPr>
          <w:sz w:val="24"/>
          <w:szCs w:val="24"/>
        </w:rPr>
        <w:t xml:space="preserve"> </w:t>
      </w:r>
    </w:p>
    <w:p w14:paraId="73AB14FB" w14:textId="77777777" w:rsidR="00BD348E" w:rsidRDefault="00BD348E" w:rsidP="004A6108">
      <w:pPr>
        <w:spacing w:after="0" w:line="480" w:lineRule="auto"/>
      </w:pPr>
    </w:p>
    <w:p w14:paraId="0550D4F4" w14:textId="77777777" w:rsidR="00BD348E" w:rsidRDefault="00BD348E" w:rsidP="004A6108">
      <w:pPr>
        <w:spacing w:after="0" w:line="480" w:lineRule="auto"/>
      </w:pPr>
    </w:p>
    <w:p w14:paraId="09063A2F" w14:textId="77777777" w:rsidR="00BD348E" w:rsidRDefault="00BD348E" w:rsidP="004A6108">
      <w:pPr>
        <w:spacing w:after="0" w:line="480" w:lineRule="auto"/>
      </w:pPr>
    </w:p>
    <w:p w14:paraId="6AB65684" w14:textId="0EABE634" w:rsidR="007D7C38" w:rsidRPr="004A6108" w:rsidRDefault="00A7093B" w:rsidP="00BD348E">
      <w:pPr>
        <w:spacing w:after="0" w:line="240" w:lineRule="auto"/>
      </w:pPr>
      <w:r w:rsidRPr="005B7288">
        <w:rPr>
          <w:b/>
          <w:i/>
        </w:rPr>
        <w:lastRenderedPageBreak/>
        <w:t>Graph</w:t>
      </w:r>
      <w:r w:rsidR="007D7C38" w:rsidRPr="005B7288">
        <w:rPr>
          <w:b/>
          <w:i/>
        </w:rPr>
        <w:t xml:space="preserve"> 1 Housing Credit Availability Index</w:t>
      </w:r>
    </w:p>
    <w:p w14:paraId="7021FD89" w14:textId="77777777" w:rsidR="00E77B63" w:rsidRPr="00C95E8F" w:rsidRDefault="007D7C38" w:rsidP="00F276DA">
      <w:pPr>
        <w:rPr>
          <w:i/>
          <w:sz w:val="16"/>
        </w:rPr>
      </w:pPr>
      <w:r>
        <w:rPr>
          <w:noProof/>
        </w:rPr>
        <w:drawing>
          <wp:inline distT="0" distB="0" distL="0" distR="0" wp14:anchorId="530B3CE7" wp14:editId="7CDD300E">
            <wp:extent cx="6854190" cy="423009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43618" cy="4285285"/>
                    </a:xfrm>
                    <a:prstGeom prst="rect">
                      <a:avLst/>
                    </a:prstGeom>
                  </pic:spPr>
                </pic:pic>
              </a:graphicData>
            </a:graphic>
          </wp:inline>
        </w:drawing>
      </w:r>
      <w:r w:rsidR="00C95E8F" w:rsidRPr="00C95E8F">
        <w:t xml:space="preserve"> </w:t>
      </w:r>
      <w:hyperlink r:id="rId10" w:history="1">
        <w:r w:rsidR="00C95E8F" w:rsidRPr="00C95E8F">
          <w:rPr>
            <w:rStyle w:val="Hyperlink"/>
            <w:i/>
            <w:sz w:val="16"/>
          </w:rPr>
          <w:t>https://www.urban.org/policy-centers/housing-finance-policy-center/projects/housing-credit-availability-index</w:t>
        </w:r>
      </w:hyperlink>
    </w:p>
    <w:p w14:paraId="63086D13" w14:textId="269B0592" w:rsidR="00E77B63" w:rsidRPr="00BD12FB" w:rsidRDefault="00A7093B" w:rsidP="00126837">
      <w:pPr>
        <w:spacing w:line="480" w:lineRule="auto"/>
        <w:rPr>
          <w:sz w:val="24"/>
          <w:szCs w:val="24"/>
        </w:rPr>
      </w:pPr>
      <w:r w:rsidRPr="00BD12FB">
        <w:rPr>
          <w:sz w:val="24"/>
          <w:szCs w:val="24"/>
        </w:rPr>
        <w:t>Graph</w:t>
      </w:r>
      <w:r w:rsidR="00C95E8F" w:rsidRPr="00BD12FB">
        <w:rPr>
          <w:sz w:val="24"/>
          <w:szCs w:val="24"/>
        </w:rPr>
        <w:t xml:space="preserve"> 1</w:t>
      </w:r>
      <w:r w:rsidR="00BC269B" w:rsidRPr="00BD12FB">
        <w:rPr>
          <w:sz w:val="24"/>
          <w:szCs w:val="24"/>
        </w:rPr>
        <w:t xml:space="preserve"> is a depiction of lender</w:t>
      </w:r>
      <w:r w:rsidR="00126837" w:rsidRPr="00BD12FB">
        <w:rPr>
          <w:sz w:val="24"/>
          <w:szCs w:val="24"/>
        </w:rPr>
        <w:t>’</w:t>
      </w:r>
      <w:r w:rsidR="00BC269B" w:rsidRPr="00BD12FB">
        <w:rPr>
          <w:sz w:val="24"/>
          <w:szCs w:val="24"/>
        </w:rPr>
        <w:t>s appetite for risk.  A higher rate for the Housing Credit Availability Index (HCAI) means that a bank or lending institution is more willing to lend to borrowers with lower income or poor credit history.  Additionally, this index al</w:t>
      </w:r>
      <w:r w:rsidR="00126837" w:rsidRPr="00BD12FB">
        <w:rPr>
          <w:sz w:val="24"/>
          <w:szCs w:val="24"/>
        </w:rPr>
        <w:t>so includes the product risk, w</w:t>
      </w:r>
      <w:r w:rsidR="00BC269B" w:rsidRPr="00BD12FB">
        <w:rPr>
          <w:sz w:val="24"/>
          <w:szCs w:val="24"/>
        </w:rPr>
        <w:t>hich r</w:t>
      </w:r>
      <w:r w:rsidR="00126837" w:rsidRPr="00BD12FB">
        <w:rPr>
          <w:sz w:val="24"/>
          <w:szCs w:val="24"/>
        </w:rPr>
        <w:t>epresents a lending institution’s</w:t>
      </w:r>
      <w:r w:rsidR="00BC269B" w:rsidRPr="00BD12FB">
        <w:rPr>
          <w:sz w:val="24"/>
          <w:szCs w:val="24"/>
        </w:rPr>
        <w:t xml:space="preserve"> appetite for products that have a higher default rate (HELOC’s and ARM’s).</w:t>
      </w:r>
      <w:r w:rsidR="00A92608" w:rsidRPr="00BD12FB">
        <w:rPr>
          <w:sz w:val="24"/>
          <w:szCs w:val="24"/>
        </w:rPr>
        <w:t xml:space="preserve">  Clearly, after the great recession lending institutions tightened their origination requirements.</w:t>
      </w:r>
    </w:p>
    <w:p w14:paraId="554D58EE" w14:textId="121355C1" w:rsidR="00E77B63" w:rsidRPr="00BD12FB" w:rsidRDefault="00C83644" w:rsidP="00C83644">
      <w:pPr>
        <w:spacing w:line="480" w:lineRule="auto"/>
        <w:rPr>
          <w:sz w:val="24"/>
          <w:szCs w:val="24"/>
        </w:rPr>
      </w:pPr>
      <w:r w:rsidRPr="00BD12FB">
        <w:rPr>
          <w:sz w:val="24"/>
          <w:szCs w:val="24"/>
        </w:rPr>
        <w:t>Prior to the financial crisis s</w:t>
      </w:r>
      <w:r w:rsidR="00790E96" w:rsidRPr="00BD12FB">
        <w:rPr>
          <w:sz w:val="24"/>
          <w:szCs w:val="24"/>
        </w:rPr>
        <w:t xml:space="preserve">ubprime lending </w:t>
      </w:r>
      <w:r w:rsidRPr="00BD12FB">
        <w:rPr>
          <w:sz w:val="24"/>
          <w:szCs w:val="24"/>
        </w:rPr>
        <w:t>had both, higher borrowers risk and product risk versus afterwards, which had lower product risk and borrower risk.</w:t>
      </w:r>
      <w:r w:rsidR="00790E96" w:rsidRPr="00BD12FB">
        <w:rPr>
          <w:sz w:val="24"/>
          <w:szCs w:val="24"/>
        </w:rPr>
        <w:t xml:space="preserve">  Case in point, a lending institution lends to a borrower with a lower FICO score, say below 640.</w:t>
      </w:r>
      <w:r w:rsidR="004228B1" w:rsidRPr="00BD12FB">
        <w:rPr>
          <w:sz w:val="24"/>
          <w:szCs w:val="24"/>
        </w:rPr>
        <w:t xml:space="preserve">  Subprime lending can also be called “non-conforming” where “conforming” is defined by the Federal Housing and Finance Agency (FHFA</w:t>
      </w:r>
      <w:proofErr w:type="gramStart"/>
      <w:r w:rsidR="004228B1" w:rsidRPr="00BD12FB">
        <w:rPr>
          <w:sz w:val="24"/>
          <w:szCs w:val="24"/>
        </w:rPr>
        <w:t>)</w:t>
      </w:r>
      <w:r w:rsidR="0037239F" w:rsidRPr="00BD12FB">
        <w:rPr>
          <w:b/>
          <w:color w:val="FF0000"/>
          <w:sz w:val="24"/>
          <w:szCs w:val="24"/>
          <w:vertAlign w:val="superscript"/>
        </w:rPr>
        <w:t>1</w:t>
      </w:r>
      <w:proofErr w:type="gramEnd"/>
      <w:r w:rsidR="004228B1" w:rsidRPr="00BD12FB">
        <w:rPr>
          <w:sz w:val="24"/>
          <w:szCs w:val="24"/>
        </w:rPr>
        <w:t>.</w:t>
      </w:r>
      <w:r w:rsidR="00D264B7" w:rsidRPr="00BD12FB">
        <w:rPr>
          <w:sz w:val="24"/>
          <w:szCs w:val="24"/>
        </w:rPr>
        <w:t xml:space="preserve">  </w:t>
      </w:r>
      <w:r w:rsidR="00ED5F26" w:rsidRPr="00BD12FB">
        <w:rPr>
          <w:sz w:val="24"/>
          <w:szCs w:val="24"/>
        </w:rPr>
        <w:t xml:space="preserve">In 2005, a conforming </w:t>
      </w:r>
      <w:r w:rsidR="00ED5F26" w:rsidRPr="00BD12FB">
        <w:rPr>
          <w:sz w:val="24"/>
          <w:szCs w:val="24"/>
        </w:rPr>
        <w:lastRenderedPageBreak/>
        <w:t xml:space="preserve">loan had to be less than $359,650.  Loans over this amount </w:t>
      </w:r>
      <w:proofErr w:type="gramStart"/>
      <w:r w:rsidR="00ED5F26" w:rsidRPr="00BD12FB">
        <w:rPr>
          <w:sz w:val="24"/>
          <w:szCs w:val="24"/>
        </w:rPr>
        <w:t>would be considered</w:t>
      </w:r>
      <w:proofErr w:type="gramEnd"/>
      <w:r w:rsidR="00ED5F26" w:rsidRPr="00BD12FB">
        <w:rPr>
          <w:sz w:val="24"/>
          <w:szCs w:val="24"/>
        </w:rPr>
        <w:t xml:space="preserve"> non-conforming.  Risk</w:t>
      </w:r>
      <w:r w:rsidRPr="00BD12FB">
        <w:rPr>
          <w:sz w:val="24"/>
          <w:szCs w:val="24"/>
        </w:rPr>
        <w:t>i</w:t>
      </w:r>
      <w:r w:rsidR="00ED5F26" w:rsidRPr="00BD12FB">
        <w:rPr>
          <w:sz w:val="24"/>
          <w:szCs w:val="24"/>
        </w:rPr>
        <w:t>er borrowers or non-conforming loans have a higher probability to</w:t>
      </w:r>
      <w:r w:rsidR="00ED5F26" w:rsidRPr="00C83644">
        <w:t xml:space="preserve"> default or not be able to pay their mortgage.  Due </w:t>
      </w:r>
      <w:r w:rsidR="00ED5F26" w:rsidRPr="00BD12FB">
        <w:rPr>
          <w:sz w:val="24"/>
          <w:szCs w:val="24"/>
        </w:rPr>
        <w:t>to this, lending institutions will charge the borrower a higher interest rate for their loan.</w:t>
      </w:r>
    </w:p>
    <w:p w14:paraId="67029253" w14:textId="0BED4449" w:rsidR="0011778C" w:rsidRPr="00BD12FB" w:rsidRDefault="0011778C" w:rsidP="0011778C">
      <w:pPr>
        <w:spacing w:line="480" w:lineRule="auto"/>
        <w:rPr>
          <w:sz w:val="24"/>
          <w:szCs w:val="24"/>
        </w:rPr>
      </w:pPr>
      <w:r w:rsidRPr="00BD12FB">
        <w:rPr>
          <w:sz w:val="24"/>
          <w:szCs w:val="24"/>
        </w:rPr>
        <w:t xml:space="preserve">The focal point of this work is to compare two of the traditional subprime loan definitions, Housing and Urban Development (HUD) Subprime and Home Mortgage Disclosure Act (HMDA) Higher Priced Subprime to a derived subprime definition.  HUD Subprime loans were associated to specific lending institutions.  Mainly, HUD would call a lending institution and ask what percentage of loans are you originating which were deemed subprime.  If the institution responded with 50% or more of the originations as subprime, they </w:t>
      </w:r>
      <w:proofErr w:type="gramStart"/>
      <w:r w:rsidRPr="00BD12FB">
        <w:rPr>
          <w:sz w:val="24"/>
          <w:szCs w:val="24"/>
        </w:rPr>
        <w:t>would be considered</w:t>
      </w:r>
      <w:proofErr w:type="gramEnd"/>
      <w:r w:rsidRPr="00BD12FB">
        <w:rPr>
          <w:sz w:val="24"/>
          <w:szCs w:val="24"/>
        </w:rPr>
        <w:t xml:space="preserve"> a HUD subprime institution.  HMDA Higher Priced </w:t>
      </w:r>
      <w:proofErr w:type="gramStart"/>
      <w:r w:rsidRPr="00BD12FB">
        <w:rPr>
          <w:sz w:val="24"/>
          <w:szCs w:val="24"/>
        </w:rPr>
        <w:t>was classified</w:t>
      </w:r>
      <w:proofErr w:type="gramEnd"/>
      <w:r w:rsidRPr="00BD12FB">
        <w:rPr>
          <w:sz w:val="24"/>
          <w:szCs w:val="24"/>
        </w:rPr>
        <w:t xml:space="preserve"> at the individual loan.  </w:t>
      </w:r>
      <w:r w:rsidRPr="00BD12FB">
        <w:rPr>
          <w:sz w:val="24"/>
          <w:szCs w:val="24"/>
        </w:rPr>
        <w:t xml:space="preserve">).  In general, lending institutions utilize a prime rate2 which is a benchmark for interest rates for mortgages.  For loans that are in the first lien position and the interest rate is three percentage points above the prime rate the loan </w:t>
      </w:r>
      <w:proofErr w:type="gramStart"/>
      <w:r w:rsidRPr="00BD12FB">
        <w:rPr>
          <w:sz w:val="24"/>
          <w:szCs w:val="24"/>
        </w:rPr>
        <w:t>is classified</w:t>
      </w:r>
      <w:proofErr w:type="gramEnd"/>
      <w:r w:rsidRPr="00BD12FB">
        <w:rPr>
          <w:sz w:val="24"/>
          <w:szCs w:val="24"/>
        </w:rPr>
        <w:t xml:space="preserve"> as a subprime higher priced loan.  For second liens, if the interest rate charged is five percentage points above the prime rate the loan </w:t>
      </w:r>
      <w:proofErr w:type="gramStart"/>
      <w:r w:rsidRPr="00BD12FB">
        <w:rPr>
          <w:sz w:val="24"/>
          <w:szCs w:val="24"/>
        </w:rPr>
        <w:t>is classified</w:t>
      </w:r>
      <w:proofErr w:type="gramEnd"/>
      <w:r w:rsidRPr="00BD12FB">
        <w:rPr>
          <w:sz w:val="24"/>
          <w:szCs w:val="24"/>
        </w:rPr>
        <w:t xml:space="preserve"> as a subprime higher priced loan.</w:t>
      </w:r>
      <w:r w:rsidRPr="00BD12FB">
        <w:rPr>
          <w:sz w:val="24"/>
          <w:szCs w:val="24"/>
        </w:rPr>
        <w:t xml:space="preserve">  Lastly, the derived subprime definition utilizes a list of lending institutions which went bankrupt or failed during the financial crisis.  Loans originated by these failed investors are marked as subprime.</w:t>
      </w:r>
    </w:p>
    <w:p w14:paraId="3BCB8DF5" w14:textId="3E181FF8" w:rsidR="0035180C" w:rsidRDefault="0035180C" w:rsidP="0011778C">
      <w:pPr>
        <w:spacing w:line="480" w:lineRule="auto"/>
        <w:rPr>
          <w:sz w:val="24"/>
          <w:szCs w:val="24"/>
        </w:rPr>
      </w:pPr>
      <w:r w:rsidRPr="00BD12FB">
        <w:rPr>
          <w:sz w:val="24"/>
          <w:szCs w:val="24"/>
        </w:rPr>
        <w:t xml:space="preserve">Utilizing these three </w:t>
      </w:r>
      <w:proofErr w:type="spellStart"/>
      <w:r w:rsidRPr="00BD12FB">
        <w:rPr>
          <w:sz w:val="24"/>
          <w:szCs w:val="24"/>
        </w:rPr>
        <w:t>defintions</w:t>
      </w:r>
      <w:proofErr w:type="spellEnd"/>
      <w:r w:rsidRPr="00BD12FB">
        <w:rPr>
          <w:sz w:val="24"/>
          <w:szCs w:val="24"/>
        </w:rPr>
        <w:t xml:space="preserve">, I will compare the 2004 through 2007 originations at the loan level to understand how the definitions overlap.  After, I will compare loans originated from 2008 through 2016 to see the amount of subprime loans </w:t>
      </w:r>
      <w:proofErr w:type="gramStart"/>
      <w:r w:rsidRPr="00BD12FB">
        <w:rPr>
          <w:sz w:val="24"/>
          <w:szCs w:val="24"/>
        </w:rPr>
        <w:t>being originated</w:t>
      </w:r>
      <w:proofErr w:type="gramEnd"/>
      <w:r w:rsidRPr="00BD12FB">
        <w:rPr>
          <w:sz w:val="24"/>
          <w:szCs w:val="24"/>
        </w:rPr>
        <w:t>.</w:t>
      </w:r>
    </w:p>
    <w:p w14:paraId="1BE7F5B4" w14:textId="7F9C9DA8" w:rsidR="00881A2E" w:rsidRPr="00BD12FB" w:rsidRDefault="00881A2E" w:rsidP="0011778C">
      <w:pPr>
        <w:spacing w:line="480" w:lineRule="auto"/>
        <w:rPr>
          <w:sz w:val="24"/>
          <w:szCs w:val="24"/>
        </w:rPr>
      </w:pPr>
      <w:r>
        <w:rPr>
          <w:sz w:val="24"/>
          <w:szCs w:val="24"/>
        </w:rPr>
        <w:t xml:space="preserve">The ability to understand the housing market from a lending perspective is a powerful tool.  Given the financial crisis, it is imperative to ensure that lending standards for home loans is healthy and the borrowers can afford the homes they are purchasing.  If subprime mortgages are on the rise, as they were in the early </w:t>
      </w:r>
      <w:r>
        <w:rPr>
          <w:sz w:val="24"/>
          <w:szCs w:val="24"/>
        </w:rPr>
        <w:lastRenderedPageBreak/>
        <w:t>2000’</w:t>
      </w:r>
      <w:r w:rsidR="002324F4">
        <w:rPr>
          <w:sz w:val="24"/>
          <w:szCs w:val="24"/>
        </w:rPr>
        <w:t xml:space="preserve">s stricter government oversight would likely be beneficial to ensure the health of the home mortgage market. </w:t>
      </w:r>
    </w:p>
    <w:p w14:paraId="039CE2DD" w14:textId="77777777" w:rsidR="005A2A1B" w:rsidRDefault="005A2A1B" w:rsidP="005A2A1B">
      <w:pPr>
        <w:rPr>
          <w:b/>
          <w:u w:val="single"/>
        </w:rPr>
      </w:pPr>
      <w:r>
        <w:rPr>
          <w:b/>
          <w:u w:val="single"/>
        </w:rPr>
        <w:t>Literature Review:</w:t>
      </w:r>
    </w:p>
    <w:p w14:paraId="34B7FC9F" w14:textId="77777777" w:rsidR="005A2A1B" w:rsidRPr="00C56D12" w:rsidRDefault="005A2A1B" w:rsidP="005A2A1B">
      <w:pPr>
        <w:rPr>
          <w:color w:val="FF0000"/>
        </w:rPr>
      </w:pPr>
      <w:r w:rsidRPr="00C56D12">
        <w:rPr>
          <w:color w:val="FF0000"/>
        </w:rPr>
        <w:t>During a ten year stretch, from 1994 to 2004 home ownership rose from 63.8% to 69.2%.  Mainly the increase was due to relaxed lending guidelines by financial institutions, as well as more diversified products, like Adjustable Rate Mortgages (ARMs) and Piggy Back loans (</w:t>
      </w:r>
      <w:proofErr w:type="spellStart"/>
      <w:r w:rsidRPr="00C56D12">
        <w:rPr>
          <w:color w:val="FF0000"/>
        </w:rPr>
        <w:t>Dimartino</w:t>
      </w:r>
      <w:proofErr w:type="spellEnd"/>
      <w:r w:rsidRPr="00C56D12">
        <w:rPr>
          <w:color w:val="FF0000"/>
        </w:rPr>
        <w:t xml:space="preserve"> and </w:t>
      </w:r>
      <w:proofErr w:type="spellStart"/>
      <w:r w:rsidRPr="00C56D12">
        <w:rPr>
          <w:color w:val="FF0000"/>
        </w:rPr>
        <w:t>Duca</w:t>
      </w:r>
      <w:proofErr w:type="spellEnd"/>
      <w:r w:rsidRPr="00C56D12">
        <w:rPr>
          <w:color w:val="FF0000"/>
        </w:rPr>
        <w:t>).  The relaxation of lending led many borrowers to deviate from traditional mortgages and be able to obtain loans with little or no financials and purchase outside of conforming loan limits.</w:t>
      </w:r>
    </w:p>
    <w:p w14:paraId="0C18E080" w14:textId="7200949A" w:rsidR="00954613" w:rsidRPr="00C56D12" w:rsidRDefault="005A2A1B" w:rsidP="005A2A1B">
      <w:pPr>
        <w:rPr>
          <w:color w:val="FF0000"/>
        </w:rPr>
      </w:pPr>
      <w:r w:rsidRPr="00C56D12">
        <w:rPr>
          <w:color w:val="FF0000"/>
        </w:rPr>
        <w:t xml:space="preserve">Freddie Mac (FHLMC) and Fannie Mae (FNMA) are Government Sponsored Enterprise (GSE) which historically had stricter standards for loan originations than private institutes.  GSE’s focused on traditional mortgage originations, which required loans to be within a conforming limit ($359,650 at the national level in 2005) and was created to make housing </w:t>
      </w:r>
      <w:r w:rsidR="001461FB" w:rsidRPr="00C56D12">
        <w:rPr>
          <w:color w:val="FF0000"/>
        </w:rPr>
        <w:t>affordable to underserved areas, m</w:t>
      </w:r>
      <w:r w:rsidRPr="00C56D12">
        <w:rPr>
          <w:color w:val="FF0000"/>
        </w:rPr>
        <w:t xml:space="preserve">ainly </w:t>
      </w:r>
      <w:r w:rsidR="001461FB" w:rsidRPr="00C56D12">
        <w:rPr>
          <w:color w:val="FF0000"/>
        </w:rPr>
        <w:t>in inner cities</w:t>
      </w:r>
      <w:r w:rsidRPr="00C56D12">
        <w:rPr>
          <w:color w:val="FF0000"/>
        </w:rPr>
        <w:t xml:space="preserve"> (Wallison).  The Government requires GSE’s to hold a certain percentage of loans be originated to the underserved community, in 2007 38% of originations needed to be granted to the underserved community and 25% to low-income or very low income borrowers (Wallison).</w:t>
      </w:r>
    </w:p>
    <w:p w14:paraId="69C0AC07" w14:textId="1B51C0C6" w:rsidR="005A2A1B" w:rsidRPr="00C56D12" w:rsidRDefault="005A2A1B" w:rsidP="005A2A1B">
      <w:pPr>
        <w:pBdr>
          <w:bottom w:val="single" w:sz="6" w:space="1" w:color="auto"/>
        </w:pBdr>
        <w:rPr>
          <w:color w:val="FF0000"/>
        </w:rPr>
      </w:pPr>
      <w:r w:rsidRPr="00C56D12">
        <w:rPr>
          <w:color w:val="FF0000"/>
        </w:rPr>
        <w:t xml:space="preserve">Second, the literature shows conflicting theories concerning GSE’s and the financial crisis, for example, Passmore and </w:t>
      </w:r>
      <w:proofErr w:type="spellStart"/>
      <w:r w:rsidRPr="00C56D12">
        <w:rPr>
          <w:color w:val="FF0000"/>
        </w:rPr>
        <w:t>Shrelund</w:t>
      </w:r>
      <w:proofErr w:type="spellEnd"/>
      <w:r w:rsidRPr="00C56D12">
        <w:rPr>
          <w:color w:val="FF0000"/>
        </w:rPr>
        <w:t xml:space="preserve"> state GSE loans were less likely to be affiliated with subprime.  Whereas Wallison states that due to government requirements during the 2005 through 2007 period forced the GSE’s into subprime territory.  </w:t>
      </w:r>
    </w:p>
    <w:p w14:paraId="71919779" w14:textId="77777777" w:rsidR="00B55D71" w:rsidRDefault="00B55D71" w:rsidP="005A2A1B">
      <w:pPr>
        <w:pBdr>
          <w:bottom w:val="single" w:sz="6" w:space="1" w:color="auto"/>
        </w:pBdr>
      </w:pPr>
    </w:p>
    <w:p w14:paraId="796CF956" w14:textId="77777777" w:rsidR="00B55D71" w:rsidRDefault="00B55D71" w:rsidP="005A2A1B">
      <w:pPr>
        <w:pBdr>
          <w:bottom w:val="single" w:sz="6" w:space="1" w:color="auto"/>
        </w:pBdr>
      </w:pPr>
    </w:p>
    <w:p w14:paraId="220F558C" w14:textId="77777777" w:rsidR="00696241" w:rsidRDefault="00696241" w:rsidP="00696241">
      <w:pPr>
        <w:spacing w:after="0" w:line="240" w:lineRule="auto"/>
        <w:rPr>
          <w:vertAlign w:val="superscript"/>
        </w:rPr>
      </w:pPr>
      <w:r>
        <w:rPr>
          <w:vertAlign w:val="superscript"/>
        </w:rPr>
        <w:t xml:space="preserve">1 </w:t>
      </w:r>
      <w:hyperlink r:id="rId11" w:history="1">
        <w:r w:rsidRPr="006E66AC">
          <w:rPr>
            <w:rStyle w:val="Hyperlink"/>
            <w:vertAlign w:val="superscript"/>
          </w:rPr>
          <w:t>https://www.fanniemae.com/content/fact_sheet/historical-loan-limits.pdf</w:t>
        </w:r>
      </w:hyperlink>
    </w:p>
    <w:p w14:paraId="030D8B0C" w14:textId="2E5901A1" w:rsidR="00751CFB" w:rsidRPr="00934699" w:rsidRDefault="00964215">
      <w:pPr>
        <w:rPr>
          <w:vertAlign w:val="superscript"/>
        </w:rPr>
      </w:pPr>
      <w:r>
        <w:rPr>
          <w:vertAlign w:val="superscript"/>
        </w:rPr>
        <w:t xml:space="preserve">2 </w:t>
      </w:r>
      <w:hyperlink r:id="rId12" w:history="1">
        <w:r w:rsidRPr="006E66AC">
          <w:rPr>
            <w:rStyle w:val="Hyperlink"/>
            <w:vertAlign w:val="superscript"/>
          </w:rPr>
          <w:t>https://fred.stlouisfed.org/series/MPRIME</w:t>
        </w:r>
      </w:hyperlink>
    </w:p>
    <w:p w14:paraId="399C09DA" w14:textId="77777777" w:rsidR="00843A6B" w:rsidRPr="007F032F" w:rsidRDefault="0084185F" w:rsidP="00F276DA">
      <w:pPr>
        <w:rPr>
          <w:b/>
          <w:sz w:val="24"/>
          <w:szCs w:val="24"/>
          <w:u w:val="single"/>
        </w:rPr>
      </w:pPr>
      <w:r w:rsidRPr="007F032F">
        <w:rPr>
          <w:b/>
          <w:sz w:val="24"/>
          <w:szCs w:val="24"/>
          <w:u w:val="single"/>
        </w:rPr>
        <w:t>Data:</w:t>
      </w:r>
    </w:p>
    <w:p w14:paraId="3232B668" w14:textId="1BA53C50" w:rsidR="0084185F" w:rsidRPr="007F032F" w:rsidRDefault="0084185F" w:rsidP="00CC7CE6">
      <w:pPr>
        <w:spacing w:line="480" w:lineRule="auto"/>
        <w:rPr>
          <w:sz w:val="24"/>
          <w:szCs w:val="24"/>
        </w:rPr>
      </w:pPr>
      <w:r w:rsidRPr="007F032F">
        <w:rPr>
          <w:sz w:val="24"/>
          <w:szCs w:val="24"/>
        </w:rPr>
        <w:t xml:space="preserve">The primary source of the data comes from the Home Mortgage Disclosure Act (HMDA).  The HMDA </w:t>
      </w:r>
      <w:proofErr w:type="gramStart"/>
      <w:r w:rsidRPr="007F032F">
        <w:rPr>
          <w:sz w:val="24"/>
          <w:szCs w:val="24"/>
        </w:rPr>
        <w:t>was enacted by Congress in 1975 and implemented by the Federal Reserve Board’s Regulation C.</w:t>
      </w:r>
      <w:proofErr w:type="gramEnd"/>
      <w:r w:rsidRPr="007F032F">
        <w:rPr>
          <w:sz w:val="24"/>
          <w:szCs w:val="24"/>
        </w:rPr>
        <w:t xml:space="preserve"> On July 21, 2011 the HMDA was transferred to the Consumer Financial Protection Bureau (CFPB</w:t>
      </w:r>
      <w:proofErr w:type="gramStart"/>
      <w:r w:rsidRPr="007F032F">
        <w:rPr>
          <w:sz w:val="24"/>
          <w:szCs w:val="24"/>
        </w:rPr>
        <w:t>)</w:t>
      </w:r>
      <w:r w:rsidR="00307E28" w:rsidRPr="007F032F">
        <w:rPr>
          <w:sz w:val="24"/>
          <w:szCs w:val="24"/>
          <w:vertAlign w:val="superscript"/>
        </w:rPr>
        <w:t>3</w:t>
      </w:r>
      <w:proofErr w:type="gramEnd"/>
      <w:r w:rsidRPr="007F032F">
        <w:rPr>
          <w:sz w:val="24"/>
          <w:szCs w:val="24"/>
        </w:rPr>
        <w:t xml:space="preserve">.  HMDA’s primary purpose is to ensure fair lending practices are occurring within the mortgage origination realm.  It is required for lending institutions to submit various data characteristics </w:t>
      </w:r>
      <w:r w:rsidR="00977D77" w:rsidRPr="007F032F">
        <w:rPr>
          <w:sz w:val="24"/>
          <w:szCs w:val="24"/>
        </w:rPr>
        <w:t>when a borrower requests a loan application</w:t>
      </w:r>
      <w:r w:rsidR="00CC7CE6" w:rsidRPr="007F032F">
        <w:rPr>
          <w:sz w:val="24"/>
          <w:szCs w:val="24"/>
        </w:rPr>
        <w:t>.</w:t>
      </w:r>
      <w:r w:rsidR="00977D77" w:rsidRPr="007F032F">
        <w:rPr>
          <w:sz w:val="24"/>
          <w:szCs w:val="24"/>
        </w:rPr>
        <w:t xml:space="preserve"> </w:t>
      </w:r>
      <w:r w:rsidR="00CC7CE6" w:rsidRPr="007F032F">
        <w:rPr>
          <w:sz w:val="24"/>
          <w:szCs w:val="24"/>
        </w:rPr>
        <w:t xml:space="preserve"> A</w:t>
      </w:r>
      <w:r w:rsidR="00977D77" w:rsidRPr="007F032F">
        <w:rPr>
          <w:sz w:val="24"/>
          <w:szCs w:val="24"/>
        </w:rPr>
        <w:t xml:space="preserve">ll loan </w:t>
      </w:r>
      <w:r w:rsidR="00977D77" w:rsidRPr="007F032F">
        <w:rPr>
          <w:sz w:val="24"/>
          <w:szCs w:val="24"/>
        </w:rPr>
        <w:lastRenderedPageBreak/>
        <w:t xml:space="preserve">applications from these institutions </w:t>
      </w:r>
      <w:proofErr w:type="gramStart"/>
      <w:r w:rsidR="00977D77" w:rsidRPr="007F032F">
        <w:rPr>
          <w:sz w:val="24"/>
          <w:szCs w:val="24"/>
        </w:rPr>
        <w:t>are submitted</w:t>
      </w:r>
      <w:proofErr w:type="gramEnd"/>
      <w:r w:rsidR="00977D77" w:rsidRPr="007F032F">
        <w:rPr>
          <w:sz w:val="24"/>
          <w:szCs w:val="24"/>
        </w:rPr>
        <w:t xml:space="preserve"> to the Loan Application Registrars (LAR).</w:t>
      </w:r>
      <w:r w:rsidR="00A821E2" w:rsidRPr="007F032F">
        <w:rPr>
          <w:sz w:val="24"/>
          <w:szCs w:val="24"/>
        </w:rPr>
        <w:t xml:space="preserve">  LAR files cover approximately 80% of all mortgage originations (Avery, Brevoort and Canner, 2007).</w:t>
      </w:r>
    </w:p>
    <w:p w14:paraId="3E0345DD" w14:textId="1C6CF41F" w:rsidR="00DD49B5" w:rsidRPr="007F032F" w:rsidRDefault="00977D77" w:rsidP="00CC7CE6">
      <w:pPr>
        <w:spacing w:after="0" w:line="480" w:lineRule="auto"/>
        <w:rPr>
          <w:sz w:val="24"/>
          <w:szCs w:val="24"/>
        </w:rPr>
      </w:pPr>
      <w:r w:rsidRPr="007F032F">
        <w:rPr>
          <w:color w:val="000000" w:themeColor="text1"/>
          <w:sz w:val="24"/>
          <w:szCs w:val="24"/>
        </w:rPr>
        <w:t xml:space="preserve">The LAR files contain characteristics concerning a loan application for a borrower.  For this analysis the data is subset to </w:t>
      </w:r>
      <w:r w:rsidR="00C61977" w:rsidRPr="007F032F">
        <w:rPr>
          <w:color w:val="000000" w:themeColor="text1"/>
          <w:sz w:val="24"/>
          <w:szCs w:val="24"/>
        </w:rPr>
        <w:t>applications</w:t>
      </w:r>
      <w:r w:rsidRPr="007F032F">
        <w:rPr>
          <w:color w:val="000000" w:themeColor="text1"/>
          <w:sz w:val="24"/>
          <w:szCs w:val="24"/>
        </w:rPr>
        <w:t xml:space="preserve"> that </w:t>
      </w:r>
      <w:proofErr w:type="gramStart"/>
      <w:r w:rsidRPr="007F032F">
        <w:rPr>
          <w:color w:val="000000" w:themeColor="text1"/>
          <w:sz w:val="24"/>
          <w:szCs w:val="24"/>
        </w:rPr>
        <w:t>were originated</w:t>
      </w:r>
      <w:proofErr w:type="gramEnd"/>
      <w:r w:rsidR="00CC7CE6" w:rsidRPr="007F032F">
        <w:rPr>
          <w:color w:val="000000" w:themeColor="text1"/>
          <w:sz w:val="24"/>
          <w:szCs w:val="24"/>
        </w:rPr>
        <w:t xml:space="preserve"> between 2004 and 2016</w:t>
      </w:r>
      <w:r w:rsidRPr="007F032F">
        <w:rPr>
          <w:color w:val="000000" w:themeColor="text1"/>
          <w:sz w:val="24"/>
          <w:szCs w:val="24"/>
        </w:rPr>
        <w:t>.</w:t>
      </w:r>
      <w:r w:rsidR="00295562" w:rsidRPr="007F032F">
        <w:rPr>
          <w:color w:val="000000" w:themeColor="text1"/>
          <w:sz w:val="24"/>
          <w:szCs w:val="24"/>
        </w:rPr>
        <w:t xml:space="preserve">  Using this population a subprime instituti</w:t>
      </w:r>
      <w:r w:rsidR="0032233D" w:rsidRPr="007F032F">
        <w:rPr>
          <w:color w:val="000000" w:themeColor="text1"/>
          <w:sz w:val="24"/>
          <w:szCs w:val="24"/>
        </w:rPr>
        <w:t>on definition was constructed using a list from Wikipedia</w:t>
      </w:r>
      <w:r w:rsidR="0032233D" w:rsidRPr="007F032F">
        <w:rPr>
          <w:color w:val="FF0000"/>
          <w:sz w:val="24"/>
          <w:szCs w:val="24"/>
          <w:vertAlign w:val="superscript"/>
        </w:rPr>
        <w:t>##</w:t>
      </w:r>
      <w:r w:rsidR="0032233D" w:rsidRPr="007F032F">
        <w:rPr>
          <w:sz w:val="24"/>
          <w:szCs w:val="24"/>
        </w:rPr>
        <w:t>.</w:t>
      </w:r>
      <w:r w:rsidR="0065764F" w:rsidRPr="007F032F">
        <w:rPr>
          <w:sz w:val="24"/>
          <w:szCs w:val="24"/>
        </w:rPr>
        <w:t xml:space="preserve">  The institution name was associated to the LAR data using the key identifiers and data from the FFIEC</w:t>
      </w:r>
      <w:r w:rsidR="0065764F" w:rsidRPr="007F032F">
        <w:rPr>
          <w:color w:val="FF0000"/>
          <w:sz w:val="24"/>
          <w:szCs w:val="24"/>
          <w:vertAlign w:val="superscript"/>
        </w:rPr>
        <w:t>##</w:t>
      </w:r>
      <w:r w:rsidR="0065764F" w:rsidRPr="007F032F">
        <w:rPr>
          <w:sz w:val="24"/>
          <w:szCs w:val="24"/>
        </w:rPr>
        <w:t>.</w:t>
      </w:r>
      <w:r w:rsidR="00BF7180" w:rsidRPr="007F032F">
        <w:rPr>
          <w:sz w:val="24"/>
          <w:szCs w:val="24"/>
        </w:rPr>
        <w:t xml:space="preserve">  The literature surrounding subprime definitions is extensive</w:t>
      </w:r>
      <w:r w:rsidR="000E7FE6" w:rsidRPr="007F032F">
        <w:rPr>
          <w:sz w:val="24"/>
          <w:szCs w:val="24"/>
        </w:rPr>
        <w:t>, two other methods are compared, “</w:t>
      </w:r>
      <w:r w:rsidR="005B0FDF" w:rsidRPr="007F032F">
        <w:rPr>
          <w:sz w:val="24"/>
          <w:szCs w:val="24"/>
        </w:rPr>
        <w:t>High</w:t>
      </w:r>
      <w:r w:rsidR="000E7FE6" w:rsidRPr="007F032F">
        <w:rPr>
          <w:sz w:val="24"/>
          <w:szCs w:val="24"/>
        </w:rPr>
        <w:t xml:space="preserve"> Priced” and “HUD Subprime.”</w:t>
      </w:r>
      <w:r w:rsidR="00DD49B5" w:rsidRPr="007F032F">
        <w:rPr>
          <w:sz w:val="24"/>
          <w:szCs w:val="24"/>
        </w:rPr>
        <w:t xml:space="preserve">  High Priced l</w:t>
      </w:r>
      <w:r w:rsidR="00C61977" w:rsidRPr="007F032F">
        <w:rPr>
          <w:color w:val="000000" w:themeColor="text1"/>
          <w:sz w:val="24"/>
          <w:szCs w:val="24"/>
        </w:rPr>
        <w:t xml:space="preserve">oans </w:t>
      </w:r>
      <w:proofErr w:type="gramStart"/>
      <w:r w:rsidR="00C61977" w:rsidRPr="007F032F">
        <w:rPr>
          <w:color w:val="000000" w:themeColor="text1"/>
          <w:sz w:val="24"/>
          <w:szCs w:val="24"/>
        </w:rPr>
        <w:t>were originated</w:t>
      </w:r>
      <w:proofErr w:type="gramEnd"/>
      <w:r w:rsidR="00C61977" w:rsidRPr="007F032F">
        <w:rPr>
          <w:color w:val="000000" w:themeColor="text1"/>
          <w:sz w:val="24"/>
          <w:szCs w:val="24"/>
        </w:rPr>
        <w:t xml:space="preserve"> with an interest rate that was 3% </w:t>
      </w:r>
      <w:r w:rsidR="00BF7180" w:rsidRPr="007F032F">
        <w:rPr>
          <w:color w:val="000000" w:themeColor="text1"/>
          <w:sz w:val="24"/>
          <w:szCs w:val="24"/>
        </w:rPr>
        <w:t xml:space="preserve">points </w:t>
      </w:r>
      <w:r w:rsidR="00C61977" w:rsidRPr="007F032F">
        <w:rPr>
          <w:color w:val="000000" w:themeColor="text1"/>
          <w:sz w:val="24"/>
          <w:szCs w:val="24"/>
        </w:rPr>
        <w:t>over the industry standard</w:t>
      </w:r>
      <w:r w:rsidR="00F56BB7" w:rsidRPr="007F032F">
        <w:rPr>
          <w:color w:val="000000" w:themeColor="text1"/>
          <w:sz w:val="24"/>
          <w:szCs w:val="24"/>
        </w:rPr>
        <w:t xml:space="preserve"> (5% points for lines of credit)</w:t>
      </w:r>
      <w:r w:rsidR="00C61977" w:rsidRPr="007F032F">
        <w:rPr>
          <w:color w:val="000000" w:themeColor="text1"/>
          <w:sz w:val="24"/>
          <w:szCs w:val="24"/>
        </w:rPr>
        <w:t>.</w:t>
      </w:r>
      <w:r w:rsidR="009E3C2B" w:rsidRPr="007F032F">
        <w:rPr>
          <w:color w:val="000000" w:themeColor="text1"/>
          <w:sz w:val="24"/>
          <w:szCs w:val="24"/>
        </w:rPr>
        <w:t xml:space="preserve">  The </w:t>
      </w:r>
      <w:proofErr w:type="gramStart"/>
      <w:r w:rsidR="009E3C2B" w:rsidRPr="007F032F">
        <w:rPr>
          <w:color w:val="000000" w:themeColor="text1"/>
          <w:sz w:val="24"/>
          <w:szCs w:val="24"/>
        </w:rPr>
        <w:t>definition of “industry standard” is set by the Federal Financial Instructions Examination Council (FFIEC) which uses a national average for 30</w:t>
      </w:r>
      <w:proofErr w:type="gramEnd"/>
      <w:r w:rsidR="009E3C2B" w:rsidRPr="007F032F">
        <w:rPr>
          <w:color w:val="000000" w:themeColor="text1"/>
          <w:sz w:val="24"/>
          <w:szCs w:val="24"/>
        </w:rPr>
        <w:t xml:space="preserve"> and 15 year fixed interest rate loans and adds the Treasury yield</w:t>
      </w:r>
      <w:r w:rsidR="00307E28" w:rsidRPr="007F032F">
        <w:rPr>
          <w:color w:val="000000" w:themeColor="text1"/>
          <w:sz w:val="24"/>
          <w:szCs w:val="24"/>
          <w:vertAlign w:val="superscript"/>
        </w:rPr>
        <w:t>4</w:t>
      </w:r>
      <w:r w:rsidR="009E3C2B" w:rsidRPr="007F032F">
        <w:rPr>
          <w:color w:val="000000" w:themeColor="text1"/>
          <w:sz w:val="24"/>
          <w:szCs w:val="24"/>
        </w:rPr>
        <w:t xml:space="preserve">.  </w:t>
      </w:r>
      <w:r w:rsidR="00DD49B5" w:rsidRPr="007F032F">
        <w:rPr>
          <w:color w:val="000000" w:themeColor="text1"/>
          <w:sz w:val="24"/>
          <w:szCs w:val="24"/>
        </w:rPr>
        <w:t>HUD Subprime</w:t>
      </w:r>
      <w:r w:rsidR="00DD49B5" w:rsidRPr="007F032F">
        <w:rPr>
          <w:color w:val="FF0000"/>
          <w:sz w:val="24"/>
          <w:szCs w:val="24"/>
          <w:vertAlign w:val="superscript"/>
        </w:rPr>
        <w:t>##</w:t>
      </w:r>
      <w:r w:rsidR="00DD49B5" w:rsidRPr="007F032F">
        <w:rPr>
          <w:sz w:val="24"/>
          <w:szCs w:val="24"/>
        </w:rPr>
        <w:t xml:space="preserve"> definition used the High Priced methodology as well as called lenders which that specialized in subprime lending.  If </w:t>
      </w:r>
      <w:r w:rsidR="00BE2859" w:rsidRPr="007F032F">
        <w:rPr>
          <w:sz w:val="24"/>
          <w:szCs w:val="24"/>
        </w:rPr>
        <w:t>an</w:t>
      </w:r>
      <w:r w:rsidR="00DD49B5" w:rsidRPr="007F032F">
        <w:rPr>
          <w:sz w:val="24"/>
          <w:szCs w:val="24"/>
        </w:rPr>
        <w:t xml:space="preserve"> institut</w:t>
      </w:r>
      <w:r w:rsidR="00BE2859" w:rsidRPr="007F032F">
        <w:rPr>
          <w:sz w:val="24"/>
          <w:szCs w:val="24"/>
        </w:rPr>
        <w:t>ion classified itself</w:t>
      </w:r>
      <w:r w:rsidR="00DD49B5" w:rsidRPr="007F032F">
        <w:rPr>
          <w:sz w:val="24"/>
          <w:szCs w:val="24"/>
        </w:rPr>
        <w:t xml:space="preserve"> as originating </w:t>
      </w:r>
      <w:r w:rsidR="00BE2859" w:rsidRPr="007F032F">
        <w:rPr>
          <w:sz w:val="24"/>
          <w:szCs w:val="24"/>
        </w:rPr>
        <w:t xml:space="preserve">50% or more </w:t>
      </w:r>
      <w:r w:rsidR="00DD49B5" w:rsidRPr="007F032F">
        <w:rPr>
          <w:sz w:val="24"/>
          <w:szCs w:val="24"/>
        </w:rPr>
        <w:t>subprime loans</w:t>
      </w:r>
      <w:r w:rsidR="00BE2859" w:rsidRPr="007F032F">
        <w:rPr>
          <w:sz w:val="24"/>
          <w:szCs w:val="24"/>
        </w:rPr>
        <w:t xml:space="preserve"> it was marked as a HUD Subprime institution.</w:t>
      </w:r>
      <w:r w:rsidR="000A6A37" w:rsidRPr="007F032F">
        <w:rPr>
          <w:sz w:val="24"/>
          <w:szCs w:val="24"/>
        </w:rPr>
        <w:t xml:space="preserve">  The HUD stopped producing their definition of subprime investors in 2006.</w:t>
      </w:r>
    </w:p>
    <w:p w14:paraId="4EABE570" w14:textId="77777777" w:rsidR="00682F73" w:rsidRPr="007F032F" w:rsidRDefault="009E3C2B" w:rsidP="00682F73">
      <w:pPr>
        <w:spacing w:line="480" w:lineRule="auto"/>
        <w:rPr>
          <w:sz w:val="24"/>
          <w:szCs w:val="24"/>
        </w:rPr>
      </w:pPr>
      <w:r w:rsidRPr="007F032F">
        <w:rPr>
          <w:color w:val="000000" w:themeColor="text1"/>
          <w:sz w:val="24"/>
          <w:szCs w:val="24"/>
        </w:rPr>
        <w:t xml:space="preserve">Table 1 represents the frequency of total mortgages </w:t>
      </w:r>
      <w:r w:rsidR="002F7E67" w:rsidRPr="007F032F">
        <w:rPr>
          <w:color w:val="000000" w:themeColor="text1"/>
          <w:sz w:val="24"/>
          <w:szCs w:val="24"/>
        </w:rPr>
        <w:t>and the three subprime definitions of</w:t>
      </w:r>
      <w:r w:rsidRPr="007F032F">
        <w:rPr>
          <w:color w:val="000000" w:themeColor="text1"/>
          <w:sz w:val="24"/>
          <w:szCs w:val="24"/>
        </w:rPr>
        <w:t xml:space="preserve"> loans between 2004 and 20</w:t>
      </w:r>
      <w:r w:rsidR="00682F73" w:rsidRPr="007F032F">
        <w:rPr>
          <w:color w:val="000000" w:themeColor="text1"/>
          <w:sz w:val="24"/>
          <w:szCs w:val="24"/>
        </w:rPr>
        <w:t>0</w:t>
      </w:r>
      <w:r w:rsidR="002F7E67" w:rsidRPr="007F032F">
        <w:rPr>
          <w:color w:val="000000" w:themeColor="text1"/>
          <w:sz w:val="24"/>
          <w:szCs w:val="24"/>
        </w:rPr>
        <w:t>7</w:t>
      </w:r>
      <w:r w:rsidRPr="007F032F">
        <w:rPr>
          <w:color w:val="000000" w:themeColor="text1"/>
          <w:sz w:val="24"/>
          <w:szCs w:val="24"/>
        </w:rPr>
        <w:t xml:space="preserve"> reported in the HMDA LAR data.</w:t>
      </w:r>
      <w:r w:rsidR="00AE5D0C" w:rsidRPr="007F032F">
        <w:rPr>
          <w:color w:val="000000" w:themeColor="text1"/>
          <w:sz w:val="24"/>
          <w:szCs w:val="24"/>
        </w:rPr>
        <w:t xml:space="preserve">  </w:t>
      </w:r>
      <w:r w:rsidR="00682F73" w:rsidRPr="007F032F">
        <w:rPr>
          <w:sz w:val="24"/>
          <w:szCs w:val="24"/>
        </w:rPr>
        <w:t>After 2005, the HUD stopped producing their version of the subprime definition.  The failed institution (Subprime Institution) is classifies a considerably lower number of units in 2004 and 2005 than both the HUD Subprime and the HMDA higher priced loans.  In 2007, the HMDA higher priced definition decreased by 50% from the preceding year.  This is likely due to the classification of these loans and their susceptibility to the rate environment.  As Mayer and Pence</w:t>
      </w:r>
      <w:r w:rsidR="00682F73" w:rsidRPr="007F032F">
        <w:rPr>
          <w:color w:val="FF0000"/>
          <w:sz w:val="24"/>
          <w:szCs w:val="24"/>
          <w:vertAlign w:val="superscript"/>
        </w:rPr>
        <w:t>#</w:t>
      </w:r>
      <w:r w:rsidR="00682F73" w:rsidRPr="007F032F">
        <w:rPr>
          <w:sz w:val="24"/>
          <w:szCs w:val="24"/>
        </w:rPr>
        <w:t xml:space="preserve"> </w:t>
      </w:r>
      <w:r w:rsidR="00682F73" w:rsidRPr="007F032F">
        <w:rPr>
          <w:i/>
          <w:strike/>
          <w:sz w:val="24"/>
          <w:szCs w:val="24"/>
        </w:rPr>
        <w:t xml:space="preserve">(for footnote, </w:t>
      </w:r>
      <w:hyperlink r:id="rId13" w:history="1">
        <w:r w:rsidR="00682F73" w:rsidRPr="007F032F">
          <w:rPr>
            <w:rStyle w:val="Hyperlink"/>
            <w:i/>
            <w:strike/>
            <w:sz w:val="24"/>
            <w:szCs w:val="24"/>
          </w:rPr>
          <w:t>https://www.federalreserve.gov/pubs/f</w:t>
        </w:r>
        <w:r w:rsidR="00682F73" w:rsidRPr="007F032F">
          <w:rPr>
            <w:rStyle w:val="Hyperlink"/>
            <w:i/>
            <w:strike/>
            <w:sz w:val="24"/>
            <w:szCs w:val="24"/>
          </w:rPr>
          <w:t>e</w:t>
        </w:r>
        <w:r w:rsidR="00682F73" w:rsidRPr="007F032F">
          <w:rPr>
            <w:rStyle w:val="Hyperlink"/>
            <w:i/>
            <w:strike/>
            <w:sz w:val="24"/>
            <w:szCs w:val="24"/>
          </w:rPr>
          <w:t>ds/2008/200829/200829pap.pdf</w:t>
        </w:r>
      </w:hyperlink>
      <w:r w:rsidR="00682F73" w:rsidRPr="007F032F">
        <w:rPr>
          <w:i/>
          <w:strike/>
          <w:sz w:val="24"/>
          <w:szCs w:val="24"/>
        </w:rPr>
        <w:t xml:space="preserve">) </w:t>
      </w:r>
      <w:r w:rsidR="00682F73" w:rsidRPr="007F032F">
        <w:rPr>
          <w:sz w:val="24"/>
          <w:szCs w:val="24"/>
        </w:rPr>
        <w:t xml:space="preserve">found that the flattening of the yield curve will cause shifts in the rate spreads.  In general if the rate spread between the long term and short </w:t>
      </w:r>
      <w:r w:rsidR="00682F73" w:rsidRPr="007F032F">
        <w:rPr>
          <w:sz w:val="24"/>
          <w:szCs w:val="24"/>
        </w:rPr>
        <w:lastRenderedPageBreak/>
        <w:t xml:space="preserve">term maturities converges loans will not be able to </w:t>
      </w:r>
      <w:proofErr w:type="gramStart"/>
      <w:r w:rsidR="00682F73" w:rsidRPr="007F032F">
        <w:rPr>
          <w:sz w:val="24"/>
          <w:szCs w:val="24"/>
        </w:rPr>
        <w:t>be classified</w:t>
      </w:r>
      <w:proofErr w:type="gramEnd"/>
      <w:r w:rsidR="00682F73" w:rsidRPr="007F032F">
        <w:rPr>
          <w:sz w:val="24"/>
          <w:szCs w:val="24"/>
        </w:rPr>
        <w:t xml:space="preserve"> as HMDA higher priced.  The rational for this being it makes the 3 percentage points (5 percentage points for Lines of Credit) for first lien loans almost non-existent.  This </w:t>
      </w:r>
      <w:proofErr w:type="gramStart"/>
      <w:r w:rsidR="00682F73" w:rsidRPr="007F032F">
        <w:rPr>
          <w:sz w:val="24"/>
          <w:szCs w:val="24"/>
        </w:rPr>
        <w:t>can be seen</w:t>
      </w:r>
      <w:proofErr w:type="gramEnd"/>
      <w:r w:rsidR="00682F73" w:rsidRPr="007F032F">
        <w:rPr>
          <w:sz w:val="24"/>
          <w:szCs w:val="24"/>
        </w:rPr>
        <w:t xml:space="preserve"> by comparing the bank prime loan rate to the federal funds rate.  The bank prime loan rate is the rate in which a bank prices loans for customers.  The federal funds rate is the rate in which banks price loans to other banks or lending institutions and the yield curve (here represented as the 10 year treasury less the 2 year) shows the flattening environment.  </w:t>
      </w:r>
    </w:p>
    <w:p w14:paraId="4FF6EBE2" w14:textId="699BAC4B" w:rsidR="009E3C2B" w:rsidRDefault="00D73F7C" w:rsidP="00C62607">
      <w:pPr>
        <w:spacing w:after="0"/>
        <w:ind w:firstLine="2070"/>
      </w:pPr>
      <w:r w:rsidRPr="00D73F7C">
        <w:drawing>
          <wp:inline distT="0" distB="0" distL="0" distR="0" wp14:anchorId="7683A021" wp14:editId="0B0F6B7F">
            <wp:extent cx="4007485" cy="1749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7485" cy="1749425"/>
                    </a:xfrm>
                    <a:prstGeom prst="rect">
                      <a:avLst/>
                    </a:prstGeom>
                    <a:noFill/>
                    <a:ln>
                      <a:noFill/>
                    </a:ln>
                  </pic:spPr>
                </pic:pic>
              </a:graphicData>
            </a:graphic>
          </wp:inline>
        </w:drawing>
      </w:r>
    </w:p>
    <w:p w14:paraId="4EC41D16" w14:textId="77777777" w:rsidR="000E7D66" w:rsidRPr="000A6A37" w:rsidRDefault="00E13230" w:rsidP="00E13230">
      <w:pPr>
        <w:spacing w:after="0" w:line="240" w:lineRule="auto"/>
        <w:rPr>
          <w:color w:val="FF0000"/>
          <w:sz w:val="18"/>
        </w:rPr>
      </w:pPr>
      <w:r w:rsidRPr="000A6A37">
        <w:rPr>
          <w:color w:val="FF0000"/>
          <w:sz w:val="18"/>
        </w:rPr>
        <w:t>Notes: Subset to First Lien Mortgages originated loans, excludes Puerto Rico, Hawaii, Alaska.  Excludes loans not identified as high priced which were originated by the Federal Housing Administration (FHA) or Veterans Administration (VA).</w:t>
      </w:r>
    </w:p>
    <w:p w14:paraId="549CA29E" w14:textId="77777777" w:rsidR="00E13230" w:rsidRDefault="00E13230" w:rsidP="00E13230">
      <w:pPr>
        <w:spacing w:after="0" w:line="240" w:lineRule="auto"/>
        <w:rPr>
          <w:sz w:val="18"/>
        </w:rPr>
      </w:pPr>
    </w:p>
    <w:p w14:paraId="2AF299CF" w14:textId="77777777" w:rsidR="005B79B2" w:rsidRDefault="005B79B2" w:rsidP="005B79B2">
      <w:pPr>
        <w:spacing w:line="480" w:lineRule="auto"/>
      </w:pPr>
      <w:r w:rsidRPr="00B775BC">
        <w:drawing>
          <wp:inline distT="0" distB="0" distL="0" distR="0" wp14:anchorId="74909772" wp14:editId="6A0ED797">
            <wp:extent cx="6858000" cy="3275965"/>
            <wp:effectExtent l="0" t="0" r="0" b="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6858000" cy="3275965"/>
                    </a:xfrm>
                    <a:prstGeom prst="rect">
                      <a:avLst/>
                    </a:prstGeom>
                  </pic:spPr>
                </pic:pic>
              </a:graphicData>
            </a:graphic>
          </wp:inline>
        </w:drawing>
      </w:r>
    </w:p>
    <w:p w14:paraId="38036042" w14:textId="77777777" w:rsidR="005B79B2" w:rsidRPr="007F032F" w:rsidRDefault="005B79B2" w:rsidP="005B79B2">
      <w:pPr>
        <w:spacing w:line="480" w:lineRule="auto"/>
        <w:rPr>
          <w:sz w:val="24"/>
          <w:szCs w:val="24"/>
        </w:rPr>
      </w:pPr>
      <w:r w:rsidRPr="007F032F">
        <w:rPr>
          <w:sz w:val="24"/>
          <w:szCs w:val="24"/>
        </w:rPr>
        <w:lastRenderedPageBreak/>
        <w:t xml:space="preserve">As the yield curve flattens in 2007 it causes the spread between the 10 year and 2 year to be close to zero or negative which dramatically reduces the number of loan originations that </w:t>
      </w:r>
      <w:proofErr w:type="gramStart"/>
      <w:r w:rsidRPr="007F032F">
        <w:rPr>
          <w:sz w:val="24"/>
          <w:szCs w:val="24"/>
        </w:rPr>
        <w:t>can be priced</w:t>
      </w:r>
      <w:proofErr w:type="gramEnd"/>
      <w:r w:rsidRPr="007F032F">
        <w:rPr>
          <w:sz w:val="24"/>
          <w:szCs w:val="24"/>
        </w:rPr>
        <w:t xml:space="preserve"> 3 percentage points above this rate.</w:t>
      </w:r>
    </w:p>
    <w:p w14:paraId="7887A820" w14:textId="0632C572" w:rsidR="008C02DD" w:rsidRPr="007F032F" w:rsidRDefault="00D73F7C" w:rsidP="00285972">
      <w:pPr>
        <w:spacing w:line="480" w:lineRule="auto"/>
        <w:rPr>
          <w:sz w:val="24"/>
          <w:szCs w:val="24"/>
        </w:rPr>
      </w:pPr>
      <w:r w:rsidRPr="007F032F">
        <w:rPr>
          <w:sz w:val="24"/>
          <w:szCs w:val="24"/>
        </w:rPr>
        <w:t xml:space="preserve">Table 1a depicts a cross tab of the Subprime definitions.  </w:t>
      </w:r>
      <w:r w:rsidR="00E3279F" w:rsidRPr="007F032F">
        <w:rPr>
          <w:sz w:val="24"/>
          <w:szCs w:val="24"/>
        </w:rPr>
        <w:t xml:space="preserve">The </w:t>
      </w:r>
      <w:r w:rsidR="006F59F5" w:rsidRPr="007F032F">
        <w:rPr>
          <w:sz w:val="24"/>
          <w:szCs w:val="24"/>
        </w:rPr>
        <w:t>discrepancies</w:t>
      </w:r>
      <w:r w:rsidR="00E3279F" w:rsidRPr="007F032F">
        <w:rPr>
          <w:sz w:val="24"/>
          <w:szCs w:val="24"/>
        </w:rPr>
        <w:t xml:space="preserve"> between the definitions are vast, in general </w:t>
      </w:r>
      <w:proofErr w:type="gramStart"/>
      <w:r w:rsidR="00E3279F" w:rsidRPr="007F032F">
        <w:rPr>
          <w:sz w:val="24"/>
          <w:szCs w:val="24"/>
        </w:rPr>
        <w:t>approximately 84% of the Subprime Institution definition is not covered by either High Priced or HUD Subprime</w:t>
      </w:r>
      <w:proofErr w:type="gramEnd"/>
      <w:r w:rsidR="00E3279F" w:rsidRPr="007F032F">
        <w:rPr>
          <w:sz w:val="24"/>
          <w:szCs w:val="24"/>
        </w:rPr>
        <w:t>.  There is a 68% match rate between HUD Subprime and High Priced, however High Priced defines 70% more Subprime loans than the HUD.</w:t>
      </w:r>
    </w:p>
    <w:p w14:paraId="5322EAA3" w14:textId="410A7D75" w:rsidR="00682F73" w:rsidRDefault="00682F73" w:rsidP="007F032F">
      <w:pPr>
        <w:ind w:firstLine="1530"/>
      </w:pPr>
      <w:r w:rsidRPr="00682F73">
        <w:drawing>
          <wp:inline distT="0" distB="0" distL="0" distR="0" wp14:anchorId="64FF5D26" wp14:editId="5F1C68BD">
            <wp:extent cx="4730750" cy="1955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0750" cy="1955800"/>
                    </a:xfrm>
                    <a:prstGeom prst="rect">
                      <a:avLst/>
                    </a:prstGeom>
                    <a:noFill/>
                    <a:ln>
                      <a:noFill/>
                    </a:ln>
                  </pic:spPr>
                </pic:pic>
              </a:graphicData>
            </a:graphic>
          </wp:inline>
        </w:drawing>
      </w:r>
    </w:p>
    <w:p w14:paraId="1DD09CE3" w14:textId="4604D880" w:rsidR="00D115A5" w:rsidRPr="007F032F" w:rsidRDefault="00D115A5" w:rsidP="007406C7">
      <w:pPr>
        <w:rPr>
          <w:sz w:val="24"/>
          <w:szCs w:val="24"/>
        </w:rPr>
      </w:pPr>
      <w:r w:rsidRPr="007F032F">
        <w:rPr>
          <w:sz w:val="24"/>
          <w:szCs w:val="24"/>
        </w:rPr>
        <w:t xml:space="preserve">The majority of the predictor variables for this analysis </w:t>
      </w:r>
      <w:proofErr w:type="gramStart"/>
      <w:r w:rsidRPr="007F032F">
        <w:rPr>
          <w:sz w:val="24"/>
          <w:szCs w:val="24"/>
        </w:rPr>
        <w:t>were sourced</w:t>
      </w:r>
      <w:proofErr w:type="gramEnd"/>
      <w:r w:rsidRPr="007F032F">
        <w:rPr>
          <w:sz w:val="24"/>
          <w:szCs w:val="24"/>
        </w:rPr>
        <w:t xml:space="preserve"> from the LAR data files.  </w:t>
      </w:r>
    </w:p>
    <w:p w14:paraId="42F292D9" w14:textId="7D4B6729" w:rsidR="00D115A5" w:rsidRPr="007F032F" w:rsidRDefault="00D115A5" w:rsidP="00687538">
      <w:pPr>
        <w:pStyle w:val="ListParagraph"/>
        <w:numPr>
          <w:ilvl w:val="0"/>
          <w:numId w:val="7"/>
        </w:numPr>
        <w:spacing w:line="480" w:lineRule="auto"/>
        <w:rPr>
          <w:sz w:val="24"/>
          <w:szCs w:val="24"/>
          <w:u w:val="single"/>
        </w:rPr>
      </w:pPr>
      <w:r w:rsidRPr="007F032F">
        <w:rPr>
          <w:sz w:val="24"/>
          <w:szCs w:val="24"/>
        </w:rPr>
        <w:t>Sold To:</w:t>
      </w:r>
      <w:r w:rsidR="00271686" w:rsidRPr="007F032F">
        <w:rPr>
          <w:sz w:val="24"/>
          <w:szCs w:val="24"/>
        </w:rPr>
        <w:t xml:space="preserve">  </w:t>
      </w:r>
      <w:r w:rsidRPr="007F032F">
        <w:rPr>
          <w:sz w:val="24"/>
          <w:szCs w:val="24"/>
        </w:rPr>
        <w:t xml:space="preserve">Many loan originating institutions originate, then sell to larger investors.  If a loan </w:t>
      </w:r>
      <w:proofErr w:type="gramStart"/>
      <w:r w:rsidRPr="007F032F">
        <w:rPr>
          <w:sz w:val="24"/>
          <w:szCs w:val="24"/>
        </w:rPr>
        <w:t>was sold</w:t>
      </w:r>
      <w:proofErr w:type="gramEnd"/>
      <w:r w:rsidRPr="007F032F">
        <w:rPr>
          <w:sz w:val="24"/>
          <w:szCs w:val="24"/>
        </w:rPr>
        <w:t xml:space="preserve"> in a given year to Fannie Mae, </w:t>
      </w:r>
      <w:proofErr w:type="spellStart"/>
      <w:r w:rsidRPr="007F032F">
        <w:rPr>
          <w:sz w:val="24"/>
          <w:szCs w:val="24"/>
        </w:rPr>
        <w:t>Ginnie</w:t>
      </w:r>
      <w:proofErr w:type="spellEnd"/>
      <w:r w:rsidRPr="007F032F">
        <w:rPr>
          <w:sz w:val="24"/>
          <w:szCs w:val="24"/>
        </w:rPr>
        <w:t xml:space="preserve"> Mae, Freddie Mac or Farmer Mac, these were combined and marked as GSE (Government Sponsored Entities).  Commercial Bank, such as Bank of America, Wells Fargo.  Held </w:t>
      </w:r>
      <w:proofErr w:type="gramStart"/>
      <w:r w:rsidRPr="007F032F">
        <w:rPr>
          <w:sz w:val="24"/>
          <w:szCs w:val="24"/>
        </w:rPr>
        <w:t>For</w:t>
      </w:r>
      <w:proofErr w:type="gramEnd"/>
      <w:r w:rsidRPr="007F032F">
        <w:rPr>
          <w:sz w:val="24"/>
          <w:szCs w:val="24"/>
        </w:rPr>
        <w:t xml:space="preserve"> Investment, the originating institution holds the loan on their book.  </w:t>
      </w:r>
      <w:r w:rsidR="00687538" w:rsidRPr="007F032F">
        <w:rPr>
          <w:sz w:val="24"/>
          <w:szCs w:val="24"/>
        </w:rPr>
        <w:t xml:space="preserve">Mortgage Bank or Insurance </w:t>
      </w:r>
      <w:proofErr w:type="gramStart"/>
      <w:r w:rsidR="00687538" w:rsidRPr="007F032F">
        <w:rPr>
          <w:sz w:val="24"/>
          <w:szCs w:val="24"/>
        </w:rPr>
        <w:t>company</w:t>
      </w:r>
      <w:proofErr w:type="gramEnd"/>
      <w:r w:rsidR="00687538" w:rsidRPr="007F032F">
        <w:rPr>
          <w:sz w:val="24"/>
          <w:szCs w:val="24"/>
        </w:rPr>
        <w:t xml:space="preserve">, such as AIG.  All other types of sales are classified as </w:t>
      </w:r>
      <w:proofErr w:type="gramStart"/>
      <w:r w:rsidR="00687538" w:rsidRPr="007F032F">
        <w:rPr>
          <w:sz w:val="24"/>
          <w:szCs w:val="24"/>
        </w:rPr>
        <w:t>Other</w:t>
      </w:r>
      <w:proofErr w:type="gramEnd"/>
      <w:r w:rsidR="00687538" w:rsidRPr="007F032F">
        <w:rPr>
          <w:sz w:val="24"/>
          <w:szCs w:val="24"/>
        </w:rPr>
        <w:t>.</w:t>
      </w:r>
    </w:p>
    <w:p w14:paraId="558399EA" w14:textId="706C55A9" w:rsidR="00687538" w:rsidRPr="007F032F" w:rsidRDefault="00271686" w:rsidP="00687538">
      <w:pPr>
        <w:pStyle w:val="ListParagraph"/>
        <w:numPr>
          <w:ilvl w:val="0"/>
          <w:numId w:val="7"/>
        </w:numPr>
        <w:spacing w:line="480" w:lineRule="auto"/>
        <w:rPr>
          <w:sz w:val="24"/>
          <w:szCs w:val="24"/>
        </w:rPr>
      </w:pPr>
      <w:r w:rsidRPr="007F032F">
        <w:rPr>
          <w:sz w:val="24"/>
          <w:szCs w:val="24"/>
        </w:rPr>
        <w:t xml:space="preserve">Purpose of loan, </w:t>
      </w:r>
      <w:r w:rsidR="001F072D" w:rsidRPr="007F032F">
        <w:rPr>
          <w:sz w:val="24"/>
          <w:szCs w:val="24"/>
        </w:rPr>
        <w:t>Refinance versus Purchase.</w:t>
      </w:r>
    </w:p>
    <w:p w14:paraId="6A258CE5" w14:textId="47D38177" w:rsidR="00687538" w:rsidRPr="007F032F" w:rsidRDefault="00687538" w:rsidP="00687538">
      <w:pPr>
        <w:pStyle w:val="ListParagraph"/>
        <w:numPr>
          <w:ilvl w:val="0"/>
          <w:numId w:val="7"/>
        </w:numPr>
        <w:spacing w:line="480" w:lineRule="auto"/>
        <w:rPr>
          <w:sz w:val="24"/>
          <w:szCs w:val="24"/>
        </w:rPr>
      </w:pPr>
      <w:r w:rsidRPr="007F032F">
        <w:rPr>
          <w:sz w:val="24"/>
          <w:szCs w:val="24"/>
        </w:rPr>
        <w:t>Race of the Purchaser</w:t>
      </w:r>
      <w:r w:rsidR="001F072D" w:rsidRPr="007F032F">
        <w:rPr>
          <w:sz w:val="24"/>
          <w:szCs w:val="24"/>
        </w:rPr>
        <w:t xml:space="preserve">, </w:t>
      </w:r>
      <w:r w:rsidR="001F072D" w:rsidRPr="007F032F">
        <w:rPr>
          <w:sz w:val="24"/>
          <w:szCs w:val="24"/>
        </w:rPr>
        <w:t xml:space="preserve">Not reported was marked as </w:t>
      </w:r>
      <w:proofErr w:type="gramStart"/>
      <w:r w:rsidR="001F072D" w:rsidRPr="007F032F">
        <w:rPr>
          <w:sz w:val="24"/>
          <w:szCs w:val="24"/>
        </w:rPr>
        <w:t>Other</w:t>
      </w:r>
      <w:proofErr w:type="gramEnd"/>
      <w:r w:rsidR="001F072D" w:rsidRPr="007F032F">
        <w:rPr>
          <w:sz w:val="24"/>
          <w:szCs w:val="24"/>
        </w:rPr>
        <w:t>.</w:t>
      </w:r>
    </w:p>
    <w:p w14:paraId="607F609F" w14:textId="193D09FE" w:rsidR="009F0C2A" w:rsidRPr="007F032F" w:rsidRDefault="00271686" w:rsidP="005838D6">
      <w:pPr>
        <w:pStyle w:val="ListParagraph"/>
        <w:numPr>
          <w:ilvl w:val="0"/>
          <w:numId w:val="7"/>
        </w:numPr>
        <w:spacing w:line="480" w:lineRule="auto"/>
        <w:rPr>
          <w:sz w:val="24"/>
          <w:szCs w:val="24"/>
        </w:rPr>
      </w:pPr>
      <w:r w:rsidRPr="007F032F">
        <w:rPr>
          <w:sz w:val="24"/>
          <w:szCs w:val="24"/>
        </w:rPr>
        <w:t xml:space="preserve">Sex of the purchaser, not reported was marked as </w:t>
      </w:r>
      <w:proofErr w:type="gramStart"/>
      <w:r w:rsidRPr="007F032F">
        <w:rPr>
          <w:sz w:val="24"/>
          <w:szCs w:val="24"/>
        </w:rPr>
        <w:t>Other</w:t>
      </w:r>
      <w:proofErr w:type="gramEnd"/>
      <w:r w:rsidRPr="007F032F">
        <w:rPr>
          <w:sz w:val="24"/>
          <w:szCs w:val="24"/>
        </w:rPr>
        <w:t>.</w:t>
      </w:r>
    </w:p>
    <w:p w14:paraId="071F1CB3" w14:textId="4170A37F" w:rsidR="00271686" w:rsidRPr="007F032F" w:rsidRDefault="00271686" w:rsidP="005838D6">
      <w:pPr>
        <w:pStyle w:val="ListParagraph"/>
        <w:numPr>
          <w:ilvl w:val="0"/>
          <w:numId w:val="7"/>
        </w:numPr>
        <w:spacing w:line="480" w:lineRule="auto"/>
        <w:rPr>
          <w:sz w:val="24"/>
          <w:szCs w:val="24"/>
        </w:rPr>
      </w:pPr>
      <w:r w:rsidRPr="007F032F">
        <w:rPr>
          <w:sz w:val="24"/>
          <w:szCs w:val="24"/>
        </w:rPr>
        <w:lastRenderedPageBreak/>
        <w:t xml:space="preserve">Preapproval, if preapproval of financing was requested, not reported was marked as </w:t>
      </w:r>
      <w:proofErr w:type="gramStart"/>
      <w:r w:rsidRPr="007F032F">
        <w:rPr>
          <w:sz w:val="24"/>
          <w:szCs w:val="24"/>
        </w:rPr>
        <w:t>Other</w:t>
      </w:r>
      <w:proofErr w:type="gramEnd"/>
      <w:r w:rsidRPr="007F032F">
        <w:rPr>
          <w:sz w:val="24"/>
          <w:szCs w:val="24"/>
        </w:rPr>
        <w:t>.</w:t>
      </w:r>
    </w:p>
    <w:p w14:paraId="55B51A5B" w14:textId="1FC10108" w:rsidR="00271686" w:rsidRPr="007F032F" w:rsidRDefault="00271686" w:rsidP="005838D6">
      <w:pPr>
        <w:pStyle w:val="ListParagraph"/>
        <w:numPr>
          <w:ilvl w:val="0"/>
          <w:numId w:val="7"/>
        </w:numPr>
        <w:spacing w:line="480" w:lineRule="auto"/>
        <w:rPr>
          <w:sz w:val="24"/>
          <w:szCs w:val="24"/>
        </w:rPr>
      </w:pPr>
      <w:r w:rsidRPr="007F032F">
        <w:rPr>
          <w:sz w:val="24"/>
          <w:szCs w:val="24"/>
        </w:rPr>
        <w:t>Lien position for the loan</w:t>
      </w:r>
    </w:p>
    <w:p w14:paraId="50C179C4" w14:textId="1CA7CB8A" w:rsidR="00271686" w:rsidRPr="007F032F" w:rsidRDefault="00271686" w:rsidP="005838D6">
      <w:pPr>
        <w:pStyle w:val="ListParagraph"/>
        <w:numPr>
          <w:ilvl w:val="0"/>
          <w:numId w:val="7"/>
        </w:numPr>
        <w:spacing w:line="480" w:lineRule="auto"/>
        <w:rPr>
          <w:sz w:val="24"/>
          <w:szCs w:val="24"/>
        </w:rPr>
      </w:pPr>
      <w:r w:rsidRPr="007F032F">
        <w:rPr>
          <w:sz w:val="24"/>
          <w:szCs w:val="24"/>
        </w:rPr>
        <w:t xml:space="preserve">Income Spread, which is the stated income of the borrower differenced from the median income of all reported originations in the LARS files for the state.  This difference </w:t>
      </w:r>
      <w:proofErr w:type="gramStart"/>
      <w:r w:rsidRPr="007F032F">
        <w:rPr>
          <w:sz w:val="24"/>
          <w:szCs w:val="24"/>
        </w:rPr>
        <w:t>is then put</w:t>
      </w:r>
      <w:proofErr w:type="gramEnd"/>
      <w:r w:rsidRPr="007F032F">
        <w:rPr>
          <w:sz w:val="24"/>
          <w:szCs w:val="24"/>
        </w:rPr>
        <w:t xml:space="preserve"> into quintiles.</w:t>
      </w:r>
      <w:r w:rsidR="004312F2" w:rsidRPr="007F032F">
        <w:rPr>
          <w:sz w:val="24"/>
          <w:szCs w:val="24"/>
        </w:rPr>
        <w:t xml:space="preserve">  Dollars used </w:t>
      </w:r>
      <w:proofErr w:type="gramStart"/>
      <w:r w:rsidR="004312F2" w:rsidRPr="007F032F">
        <w:rPr>
          <w:sz w:val="24"/>
          <w:szCs w:val="24"/>
        </w:rPr>
        <w:t>were adjusted</w:t>
      </w:r>
      <w:proofErr w:type="gramEnd"/>
      <w:r w:rsidR="004312F2" w:rsidRPr="007F032F">
        <w:rPr>
          <w:sz w:val="24"/>
          <w:szCs w:val="24"/>
        </w:rPr>
        <w:t xml:space="preserve"> to 2001 dollars.</w:t>
      </w:r>
    </w:p>
    <w:p w14:paraId="6AE86390" w14:textId="149737C5" w:rsidR="00375610" w:rsidRPr="007F032F" w:rsidRDefault="0024716F" w:rsidP="00185086">
      <w:pPr>
        <w:spacing w:line="480" w:lineRule="auto"/>
        <w:rPr>
          <w:sz w:val="24"/>
          <w:szCs w:val="24"/>
        </w:rPr>
      </w:pPr>
      <w:r w:rsidRPr="007F032F">
        <w:rPr>
          <w:sz w:val="24"/>
          <w:szCs w:val="24"/>
        </w:rPr>
        <w:t xml:space="preserve">The predictor variables attributes </w:t>
      </w:r>
      <w:proofErr w:type="gramStart"/>
      <w:r w:rsidRPr="007F032F">
        <w:rPr>
          <w:sz w:val="24"/>
          <w:szCs w:val="24"/>
        </w:rPr>
        <w:t>are depicted</w:t>
      </w:r>
      <w:proofErr w:type="gramEnd"/>
      <w:r w:rsidRPr="007F032F">
        <w:rPr>
          <w:sz w:val="24"/>
          <w:szCs w:val="24"/>
        </w:rPr>
        <w:t xml:space="preserve"> in table 2.  </w:t>
      </w:r>
      <w:r w:rsidR="002461AE" w:rsidRPr="007F032F">
        <w:rPr>
          <w:sz w:val="24"/>
          <w:szCs w:val="24"/>
        </w:rPr>
        <w:t xml:space="preserve">Reported by time dimension 2004-2007 and 2008 through 2016 between the categorical identifiers which </w:t>
      </w:r>
      <w:proofErr w:type="gramStart"/>
      <w:r w:rsidR="002461AE" w:rsidRPr="007F032F">
        <w:rPr>
          <w:sz w:val="24"/>
          <w:szCs w:val="24"/>
        </w:rPr>
        <w:t>will be used</w:t>
      </w:r>
      <w:proofErr w:type="gramEnd"/>
      <w:r w:rsidR="002461AE" w:rsidRPr="007F032F">
        <w:rPr>
          <w:sz w:val="24"/>
          <w:szCs w:val="24"/>
        </w:rPr>
        <w:t xml:space="preserve"> in the model.  Post 2008 loans sold to Private Securities consumed 1.1% of the originations, before 2008 was 4.4%.  Another considerable shift was to GSE, from a percentage standpoint, loans sold to the GSE investors increased over 100%.  As the FRED graph shows, the Prime rate decreased substantially 2008 onward causing a considerable shift in the originations versus refinance between the two periods as home owners would be able to benefit by refinancing for lower monthly payments.</w:t>
      </w:r>
      <w:r w:rsidR="009E41CC" w:rsidRPr="007F032F">
        <w:rPr>
          <w:sz w:val="24"/>
          <w:szCs w:val="24"/>
        </w:rPr>
        <w:t xml:space="preserve">  Second lien loans pre and post shows another considerable shift, 18% of originations were second lien between 2004 through 2007 versus 5% 2008 onward.  Likely, this is due to tightening of lending standards post the great recession.</w:t>
      </w:r>
    </w:p>
    <w:p w14:paraId="4E2FC8BD" w14:textId="15B1748C" w:rsidR="00C07B2F" w:rsidRPr="00A534F3" w:rsidRDefault="003F468F" w:rsidP="003F468F">
      <w:pPr>
        <w:spacing w:after="0" w:line="240" w:lineRule="auto"/>
      </w:pPr>
      <w:r w:rsidRPr="003F468F">
        <w:lastRenderedPageBreak/>
        <w:drawing>
          <wp:inline distT="0" distB="0" distL="0" distR="0" wp14:anchorId="3E39C85D" wp14:editId="4F66F318">
            <wp:extent cx="6858000" cy="69402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6940246"/>
                    </a:xfrm>
                    <a:prstGeom prst="rect">
                      <a:avLst/>
                    </a:prstGeom>
                    <a:noFill/>
                    <a:ln>
                      <a:noFill/>
                    </a:ln>
                  </pic:spPr>
                </pic:pic>
              </a:graphicData>
            </a:graphic>
          </wp:inline>
        </w:drawing>
      </w:r>
    </w:p>
    <w:p w14:paraId="45797E9D" w14:textId="77777777" w:rsidR="00DB56B0" w:rsidRDefault="00DB56B0" w:rsidP="00AE4F5B">
      <w:pPr>
        <w:spacing w:line="480" w:lineRule="auto"/>
        <w:rPr>
          <w:b/>
          <w:u w:val="single"/>
        </w:rPr>
      </w:pPr>
    </w:p>
    <w:p w14:paraId="2EF0E828" w14:textId="77777777" w:rsidR="00AE4F5B" w:rsidRDefault="00AE4F5B" w:rsidP="00AE4F5B">
      <w:pPr>
        <w:spacing w:line="480" w:lineRule="auto"/>
        <w:rPr>
          <w:b/>
          <w:u w:val="single"/>
        </w:rPr>
      </w:pPr>
    </w:p>
    <w:p w14:paraId="60FB2EF7" w14:textId="77777777" w:rsidR="00DB56B0" w:rsidRDefault="00DB56B0">
      <w:pPr>
        <w:rPr>
          <w:b/>
          <w:u w:val="single"/>
        </w:rPr>
      </w:pPr>
    </w:p>
    <w:p w14:paraId="5B17AFCD" w14:textId="77777777" w:rsidR="00B927EF" w:rsidRPr="00E27601" w:rsidRDefault="00B927EF">
      <w:pPr>
        <w:rPr>
          <w:b/>
          <w:sz w:val="24"/>
          <w:szCs w:val="24"/>
          <w:u w:val="single"/>
        </w:rPr>
      </w:pPr>
      <w:r w:rsidRPr="00E27601">
        <w:rPr>
          <w:b/>
          <w:sz w:val="24"/>
          <w:szCs w:val="24"/>
          <w:u w:val="single"/>
        </w:rPr>
        <w:lastRenderedPageBreak/>
        <w:t>Regression Analysis:</w:t>
      </w:r>
    </w:p>
    <w:p w14:paraId="35B34676" w14:textId="60B03081" w:rsidR="00FB091C" w:rsidRPr="00E27601" w:rsidRDefault="002D0945" w:rsidP="00D73D43">
      <w:pPr>
        <w:spacing w:after="0" w:line="480" w:lineRule="auto"/>
        <w:rPr>
          <w:noProof/>
          <w:sz w:val="24"/>
          <w:szCs w:val="24"/>
        </w:rPr>
      </w:pPr>
      <w:r w:rsidRPr="00E27601">
        <w:rPr>
          <w:noProof/>
          <w:sz w:val="24"/>
          <w:szCs w:val="24"/>
        </w:rPr>
        <w:t>Given the categorical attributes of the data, a</w:t>
      </w:r>
      <w:r w:rsidR="00CE6FF3" w:rsidRPr="00E27601">
        <w:rPr>
          <w:noProof/>
          <w:sz w:val="24"/>
          <w:szCs w:val="24"/>
        </w:rPr>
        <w:t xml:space="preserve"> simple logit model was used to generate inferences on the data</w:t>
      </w:r>
      <w:r w:rsidR="008B6C6B" w:rsidRPr="00E27601">
        <w:rPr>
          <w:noProof/>
          <w:sz w:val="24"/>
          <w:szCs w:val="24"/>
        </w:rPr>
        <w:t xml:space="preserve"> and to give the probability of a Subprime Instution</w:t>
      </w:r>
      <w:r w:rsidR="00CE6FF3" w:rsidRPr="00E27601">
        <w:rPr>
          <w:noProof/>
          <w:sz w:val="24"/>
          <w:szCs w:val="24"/>
        </w:rPr>
        <w:t xml:space="preserve">.  </w:t>
      </w:r>
      <w:r w:rsidR="00AE5D0C" w:rsidRPr="00E27601">
        <w:rPr>
          <w:noProof/>
          <w:sz w:val="24"/>
          <w:szCs w:val="24"/>
        </w:rPr>
        <w:t xml:space="preserve">The data used to fit the model was  </w:t>
      </w:r>
      <w:r w:rsidR="00D73D43" w:rsidRPr="00E27601">
        <w:rPr>
          <w:noProof/>
          <w:sz w:val="24"/>
          <w:szCs w:val="24"/>
        </w:rPr>
        <w:t xml:space="preserve">between 2004 and 2007.  As mentioned, this was a heavy period for subprime mortgage origination.  </w:t>
      </w:r>
      <w:r w:rsidR="002B58F9" w:rsidRPr="00E27601">
        <w:rPr>
          <w:noProof/>
          <w:sz w:val="24"/>
          <w:szCs w:val="24"/>
        </w:rPr>
        <w:t xml:space="preserve">The model was built using consisting of approximately a 50/50 split between the defined Subprime Institution estimates and Non Subprime Institution.   </w:t>
      </w:r>
    </w:p>
    <w:p w14:paraId="36D7FC73" w14:textId="180A8368" w:rsidR="003B3F4A" w:rsidRDefault="00AF193C" w:rsidP="00165A2A">
      <w:pPr>
        <w:spacing w:after="0" w:line="480" w:lineRule="auto"/>
        <w:ind w:firstLine="540"/>
        <w:rPr>
          <w:noProof/>
        </w:rPr>
      </w:pPr>
      <w:r w:rsidRPr="00AF193C">
        <w:drawing>
          <wp:inline distT="0" distB="0" distL="0" distR="0" wp14:anchorId="6D1A622A" wp14:editId="343C327D">
            <wp:extent cx="6129132" cy="583625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3179" cy="5849632"/>
                    </a:xfrm>
                    <a:prstGeom prst="rect">
                      <a:avLst/>
                    </a:prstGeom>
                    <a:noFill/>
                    <a:ln>
                      <a:noFill/>
                    </a:ln>
                  </pic:spPr>
                </pic:pic>
              </a:graphicData>
            </a:graphic>
          </wp:inline>
        </w:drawing>
      </w:r>
    </w:p>
    <w:p w14:paraId="6FB9E984" w14:textId="724CE47B" w:rsidR="00E409A9" w:rsidRDefault="00E409A9" w:rsidP="00E409A9">
      <w:pPr>
        <w:spacing w:after="0" w:line="480" w:lineRule="auto"/>
        <w:ind w:firstLine="2970"/>
        <w:rPr>
          <w:noProof/>
        </w:rPr>
      </w:pPr>
      <w:r w:rsidRPr="00E409A9">
        <w:lastRenderedPageBreak/>
        <w:drawing>
          <wp:inline distT="0" distB="0" distL="0" distR="0" wp14:anchorId="4B561BCC" wp14:editId="6DE4819A">
            <wp:extent cx="2854325" cy="1558290"/>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4325" cy="1558290"/>
                    </a:xfrm>
                    <a:prstGeom prst="rect">
                      <a:avLst/>
                    </a:prstGeom>
                    <a:noFill/>
                    <a:ln>
                      <a:noFill/>
                    </a:ln>
                  </pic:spPr>
                </pic:pic>
              </a:graphicData>
            </a:graphic>
          </wp:inline>
        </w:drawing>
      </w:r>
    </w:p>
    <w:p w14:paraId="03228C5C" w14:textId="7A9F75EA" w:rsidR="008B6C6B" w:rsidRPr="00D05BE2" w:rsidRDefault="008B6C6B" w:rsidP="008B6C6B">
      <w:pPr>
        <w:spacing w:after="0" w:line="480" w:lineRule="auto"/>
        <w:rPr>
          <w:noProof/>
          <w:sz w:val="24"/>
          <w:szCs w:val="24"/>
        </w:rPr>
      </w:pPr>
      <w:r w:rsidRPr="00D05BE2">
        <w:rPr>
          <w:noProof/>
          <w:sz w:val="24"/>
          <w:szCs w:val="24"/>
        </w:rPr>
        <w:t xml:space="preserve">The above regression show interesting characteristics.  First off, its rather odd that a first lien loan would have roughly be 2.5 times more likely than to be classified as a subprime than a second lien loan.  </w:t>
      </w:r>
      <w:r w:rsidR="006C5096" w:rsidRPr="00D05BE2">
        <w:rPr>
          <w:noProof/>
          <w:sz w:val="24"/>
          <w:szCs w:val="24"/>
        </w:rPr>
        <w:t xml:space="preserve">This is likely due to the overwhelming majority of loans are first lien in the data, further the subprime institutions defined in this work must have been more prodominent in first liens.  Table 2 simple statistics show only 366 thousand were classifed as second lien subprime institution.  Loans sold to a Private Security was heavily related to a subprime institution.  From table 2, we note that this population roughly disapears in after 2008 which would make the ability to use the fit model questionable at future predictions.  </w:t>
      </w:r>
    </w:p>
    <w:p w14:paraId="4CEB24E6" w14:textId="387DF2FA" w:rsidR="00DF7C67" w:rsidRPr="00D05BE2" w:rsidRDefault="00DF7C67" w:rsidP="008B6C6B">
      <w:pPr>
        <w:spacing w:after="0" w:line="480" w:lineRule="auto"/>
        <w:rPr>
          <w:noProof/>
          <w:sz w:val="24"/>
          <w:szCs w:val="24"/>
        </w:rPr>
      </w:pPr>
      <w:r w:rsidRPr="00D05BE2">
        <w:rPr>
          <w:noProof/>
          <w:sz w:val="24"/>
          <w:szCs w:val="24"/>
        </w:rPr>
        <w:t>In hind sight, and interaction term would likely assist in the model, being loan purpose by lien position.  The rational being its rather odd to see the loan purpose of Purchase being less likely to be subprime than refinance and a first lien loan being 2.5 times more likely to be a subprime institution.  Here, the rational is that purchased loans are more likely to be a first lien and the modeled results show a contradiction from this when the two variables are modeled individually.</w:t>
      </w:r>
    </w:p>
    <w:p w14:paraId="4E8A39C1" w14:textId="371EBE54" w:rsidR="004F40F9" w:rsidRPr="00D05BE2" w:rsidRDefault="004F40F9" w:rsidP="008B6C6B">
      <w:pPr>
        <w:spacing w:after="0" w:line="480" w:lineRule="auto"/>
        <w:rPr>
          <w:noProof/>
          <w:sz w:val="24"/>
          <w:szCs w:val="24"/>
        </w:rPr>
      </w:pPr>
      <w:r w:rsidRPr="00D05BE2">
        <w:rPr>
          <w:noProof/>
          <w:sz w:val="24"/>
          <w:szCs w:val="24"/>
        </w:rPr>
        <w:t>Lastly, preapproval seems to be standard when purchasing a home.  As the data shows from the simple statistics one would expect preapproval to be a majority, however its rare and seems to be trending downward post 2007 in the data.  Only 2.8% of the originations post 2008 were classifed as having preapproval requested.</w:t>
      </w:r>
    </w:p>
    <w:p w14:paraId="39BC90B6" w14:textId="4C6E1ABD" w:rsidR="0051130B" w:rsidRPr="00E76ABE" w:rsidRDefault="00FC6B64" w:rsidP="00D73D43">
      <w:pPr>
        <w:spacing w:after="0" w:line="480" w:lineRule="auto"/>
        <w:rPr>
          <w:noProof/>
          <w:sz w:val="24"/>
          <w:szCs w:val="24"/>
        </w:rPr>
      </w:pPr>
      <w:r w:rsidRPr="00D05BE2">
        <w:rPr>
          <w:noProof/>
          <w:sz w:val="24"/>
          <w:szCs w:val="24"/>
        </w:rPr>
        <w:lastRenderedPageBreak/>
        <w:t>Using the fitted model built using data from 2004 to 2007, new data was scored, 2008 through 2016</w:t>
      </w:r>
      <w:r w:rsidR="00613A5A" w:rsidRPr="00D05BE2">
        <w:rPr>
          <w:noProof/>
          <w:sz w:val="24"/>
          <w:szCs w:val="24"/>
        </w:rPr>
        <w:t xml:space="preserve"> with the prior probabilities adjusted</w:t>
      </w:r>
      <w:r w:rsidRPr="00D05BE2">
        <w:rPr>
          <w:noProof/>
          <w:sz w:val="24"/>
          <w:szCs w:val="24"/>
        </w:rPr>
        <w:t xml:space="preserve">.  </w:t>
      </w:r>
      <w:r w:rsidR="00613A5A" w:rsidRPr="00D05BE2">
        <w:rPr>
          <w:noProof/>
          <w:sz w:val="24"/>
          <w:szCs w:val="24"/>
        </w:rPr>
        <w:t xml:space="preserve">Scoring the data gives us the probability of a loan being classified as Subprime Institution.  </w:t>
      </w:r>
      <w:r w:rsidR="00841168" w:rsidRPr="00D05BE2">
        <w:rPr>
          <w:noProof/>
          <w:sz w:val="24"/>
          <w:szCs w:val="24"/>
        </w:rPr>
        <w:t xml:space="preserve">With this, we can evaulate the models ability to predict the subprime institution between 2008 and 2016.  </w:t>
      </w:r>
    </w:p>
    <w:p w14:paraId="1208749B" w14:textId="41E55B8A" w:rsidR="0051130B" w:rsidRPr="006359E6" w:rsidRDefault="006359E6" w:rsidP="00F514AB">
      <w:pPr>
        <w:spacing w:after="0" w:line="240" w:lineRule="auto"/>
        <w:ind w:firstLine="720"/>
        <w:rPr>
          <w:i/>
          <w:noProof/>
          <w:u w:val="double"/>
        </w:rPr>
      </w:pPr>
      <w:r w:rsidRPr="006359E6">
        <w:rPr>
          <w:i/>
          <w:noProof/>
          <w:u w:val="double"/>
        </w:rPr>
        <w:t>Plot 2: Subprime Instution Predictions</w:t>
      </w:r>
    </w:p>
    <w:p w14:paraId="6FC00CF4" w14:textId="2D6138F8" w:rsidR="00841168" w:rsidRDefault="00841168" w:rsidP="00841168">
      <w:pPr>
        <w:spacing w:after="0" w:line="480" w:lineRule="auto"/>
        <w:ind w:firstLine="540"/>
        <w:rPr>
          <w:noProof/>
        </w:rPr>
      </w:pPr>
      <w:r>
        <w:rPr>
          <w:noProof/>
        </w:rPr>
        <w:drawing>
          <wp:inline distT="0" distB="0" distL="0" distR="0" wp14:anchorId="05D357D1" wp14:editId="17DC989D">
            <wp:extent cx="5991225" cy="445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1225" cy="4457700"/>
                    </a:xfrm>
                    <a:prstGeom prst="rect">
                      <a:avLst/>
                    </a:prstGeom>
                  </pic:spPr>
                </pic:pic>
              </a:graphicData>
            </a:graphic>
          </wp:inline>
        </w:drawing>
      </w:r>
    </w:p>
    <w:p w14:paraId="504C66F2" w14:textId="77777777" w:rsidR="00D05BE2" w:rsidRDefault="00E409A9" w:rsidP="00E409A9">
      <w:pPr>
        <w:spacing w:after="0" w:line="480" w:lineRule="auto"/>
        <w:rPr>
          <w:noProof/>
          <w:sz w:val="24"/>
          <w:szCs w:val="24"/>
        </w:rPr>
      </w:pPr>
      <w:r w:rsidRPr="00D05BE2">
        <w:rPr>
          <w:noProof/>
          <w:sz w:val="24"/>
          <w:szCs w:val="24"/>
        </w:rPr>
        <w:t>The model fit</w:t>
      </w:r>
      <w:r w:rsidR="00C32328" w:rsidRPr="00D05BE2">
        <w:rPr>
          <w:noProof/>
          <w:sz w:val="24"/>
          <w:szCs w:val="24"/>
        </w:rPr>
        <w:t xml:space="preserve"> is lower than the actual Subprime Instituion events marked in the data.  Between 2004 and 2007 we see that 2005 and 2006 had higher events than 2004 and 2007 which is consistent with the HMDA higher priced.  In 2008, the steep decline is also present, again inline with the HMDA higher priced defintition.</w:t>
      </w:r>
    </w:p>
    <w:p w14:paraId="5607EC15" w14:textId="1E1630B3" w:rsidR="00665186" w:rsidRPr="00D05BE2" w:rsidRDefault="00665186" w:rsidP="00E409A9">
      <w:pPr>
        <w:spacing w:after="0" w:line="480" w:lineRule="auto"/>
        <w:rPr>
          <w:noProof/>
          <w:sz w:val="24"/>
          <w:szCs w:val="24"/>
        </w:rPr>
      </w:pPr>
      <w:r w:rsidRPr="00D05BE2">
        <w:rPr>
          <w:noProof/>
          <w:sz w:val="24"/>
          <w:szCs w:val="24"/>
        </w:rPr>
        <w:lastRenderedPageBreak/>
        <w:t>More than likely the drop off in the subprime institution predictions is due to a substantial shift in the data represetend in the LAR’s files.  From table 2, 46% of the defined subprime instution loans were marked in the Private Security which after 2008 loans, for the most part were no longer being sold to this category.</w:t>
      </w:r>
    </w:p>
    <w:p w14:paraId="3448D6ED" w14:textId="696A0A40" w:rsidR="00AA651F" w:rsidRPr="00D05BE2" w:rsidRDefault="00AA651F" w:rsidP="00E409A9">
      <w:pPr>
        <w:spacing w:after="0" w:line="480" w:lineRule="auto"/>
        <w:rPr>
          <w:noProof/>
          <w:sz w:val="24"/>
          <w:szCs w:val="24"/>
        </w:rPr>
      </w:pPr>
      <w:r w:rsidRPr="00D05BE2">
        <w:rPr>
          <w:noProof/>
          <w:sz w:val="24"/>
          <w:szCs w:val="24"/>
        </w:rPr>
        <w:t>As mentioned, the HMDA higher priced loans are directionally consistent with the subprime instution definition throughout the time frame of 2004-2016.</w:t>
      </w:r>
    </w:p>
    <w:p w14:paraId="7D2CFAF7" w14:textId="41A4D82E" w:rsidR="00F514AB" w:rsidRPr="00F514AB" w:rsidRDefault="00F514AB" w:rsidP="00702F10">
      <w:pPr>
        <w:spacing w:after="0" w:line="240" w:lineRule="auto"/>
        <w:ind w:firstLine="720"/>
        <w:rPr>
          <w:i/>
          <w:noProof/>
          <w:u w:val="double"/>
        </w:rPr>
      </w:pPr>
      <w:r w:rsidRPr="00F514AB">
        <w:rPr>
          <w:i/>
          <w:noProof/>
          <w:u w:val="double"/>
        </w:rPr>
        <w:t>Plot 3: HMDA Higher Priced Loans</w:t>
      </w:r>
    </w:p>
    <w:p w14:paraId="2356D55A" w14:textId="73E1C82A" w:rsidR="00CE6FF3" w:rsidRDefault="00702F10" w:rsidP="00702F10">
      <w:pPr>
        <w:spacing w:after="0" w:line="240" w:lineRule="auto"/>
        <w:ind w:firstLine="540"/>
        <w:rPr>
          <w:noProof/>
        </w:rPr>
      </w:pPr>
      <w:r>
        <w:rPr>
          <w:noProof/>
        </w:rPr>
        <w:drawing>
          <wp:inline distT="0" distB="0" distL="0" distR="0" wp14:anchorId="37C8F7E2" wp14:editId="33DA600F">
            <wp:extent cx="6019800" cy="4486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9800" cy="4486275"/>
                    </a:xfrm>
                    <a:prstGeom prst="rect">
                      <a:avLst/>
                    </a:prstGeom>
                  </pic:spPr>
                </pic:pic>
              </a:graphicData>
            </a:graphic>
          </wp:inline>
        </w:drawing>
      </w:r>
    </w:p>
    <w:p w14:paraId="18186A38" w14:textId="77777777" w:rsidR="00CE6FF3" w:rsidRDefault="00CE6FF3" w:rsidP="00896922">
      <w:pPr>
        <w:spacing w:after="0" w:line="240" w:lineRule="auto"/>
      </w:pPr>
    </w:p>
    <w:p w14:paraId="04F9B903" w14:textId="552EE294" w:rsidR="00896922" w:rsidRPr="00BB4B62" w:rsidRDefault="00C5150B" w:rsidP="00896922">
      <w:pPr>
        <w:spacing w:after="0" w:line="240" w:lineRule="auto"/>
        <w:rPr>
          <w:color w:val="FF0000"/>
          <w:sz w:val="16"/>
        </w:rPr>
      </w:pPr>
      <w:r w:rsidRPr="00BB4B62">
        <w:rPr>
          <w:color w:val="FF0000"/>
          <w:sz w:val="16"/>
        </w:rPr>
        <w:t xml:space="preserve">Notes: </w:t>
      </w:r>
      <w:r w:rsidR="00896922" w:rsidRPr="00BB4B62">
        <w:rPr>
          <w:color w:val="FF0000"/>
          <w:sz w:val="16"/>
        </w:rPr>
        <w:t>Italics are reported p-values</w:t>
      </w:r>
    </w:p>
    <w:p w14:paraId="7B3B6AFF" w14:textId="77777777" w:rsidR="00045D0D" w:rsidRPr="00BB4B62" w:rsidRDefault="00045D0D" w:rsidP="00896922">
      <w:pPr>
        <w:pBdr>
          <w:bottom w:val="single" w:sz="6" w:space="1" w:color="auto"/>
        </w:pBdr>
        <w:spacing w:after="0" w:line="240" w:lineRule="auto"/>
        <w:rPr>
          <w:color w:val="FF0000"/>
          <w:sz w:val="16"/>
        </w:rPr>
      </w:pPr>
    </w:p>
    <w:p w14:paraId="5F52B868" w14:textId="5866E1FF" w:rsidR="005B49A7" w:rsidRPr="00BB4B62" w:rsidRDefault="005B49A7" w:rsidP="00AA30A5">
      <w:pPr>
        <w:spacing w:before="120"/>
        <w:rPr>
          <w:color w:val="FF0000"/>
          <w:vertAlign w:val="superscript"/>
        </w:rPr>
      </w:pPr>
      <w:r w:rsidRPr="00BB4B62">
        <w:rPr>
          <w:color w:val="FF0000"/>
          <w:vertAlign w:val="superscript"/>
        </w:rPr>
        <w:t xml:space="preserve">5 </w:t>
      </w:r>
      <w:hyperlink r:id="rId22" w:history="1">
        <w:r w:rsidRPr="00BB4B62">
          <w:rPr>
            <w:rStyle w:val="Hyperlink"/>
            <w:color w:val="FF0000"/>
            <w:vertAlign w:val="superscript"/>
          </w:rPr>
          <w:t>https://www.moneyunder30.com/fico-9</w:t>
        </w:r>
      </w:hyperlink>
    </w:p>
    <w:p w14:paraId="4550613F" w14:textId="77777777" w:rsidR="001E4E5D" w:rsidRPr="001E4E5D" w:rsidRDefault="001E4E5D">
      <w:pPr>
        <w:rPr>
          <w:b/>
          <w:u w:val="single"/>
        </w:rPr>
      </w:pPr>
      <w:r w:rsidRPr="001E4E5D">
        <w:rPr>
          <w:b/>
          <w:u w:val="single"/>
        </w:rPr>
        <w:t>Conclusion:</w:t>
      </w:r>
    </w:p>
    <w:p w14:paraId="0B709F9F" w14:textId="55055383" w:rsidR="00562B91" w:rsidRDefault="00562B91" w:rsidP="004004E2">
      <w:pPr>
        <w:spacing w:after="0" w:line="480" w:lineRule="auto"/>
        <w:rPr>
          <w:sz w:val="24"/>
          <w:szCs w:val="24"/>
        </w:rPr>
      </w:pPr>
      <w:r>
        <w:rPr>
          <w:sz w:val="24"/>
          <w:szCs w:val="24"/>
        </w:rPr>
        <w:lastRenderedPageBreak/>
        <w:t xml:space="preserve">Overall, the HMDA high priced and subprime </w:t>
      </w:r>
      <w:r w:rsidR="009B0DD5">
        <w:rPr>
          <w:sz w:val="24"/>
          <w:szCs w:val="24"/>
        </w:rPr>
        <w:t xml:space="preserve">failed </w:t>
      </w:r>
      <w:r>
        <w:rPr>
          <w:sz w:val="24"/>
          <w:szCs w:val="24"/>
        </w:rPr>
        <w:t xml:space="preserve">institution definitions resulted in similar responses.  Being pre 2007 there was a substantial increase in the amount of subprime lending and post 2008 subprime lending roughly disappeared.  </w:t>
      </w:r>
      <w:r w:rsidR="00755236">
        <w:rPr>
          <w:sz w:val="24"/>
          <w:szCs w:val="24"/>
        </w:rPr>
        <w:t xml:space="preserve">Primarily the disappearance is due to the tightening of lending standards and removal of riskier products after the financial recession.  </w:t>
      </w:r>
    </w:p>
    <w:p w14:paraId="4E7BC53A" w14:textId="3607A866" w:rsidR="004A0D53" w:rsidRDefault="004A0D53" w:rsidP="004004E2">
      <w:pPr>
        <w:spacing w:after="0" w:line="480" w:lineRule="auto"/>
        <w:rPr>
          <w:strike/>
          <w:color w:val="FF0000"/>
          <w:sz w:val="24"/>
          <w:szCs w:val="24"/>
        </w:rPr>
      </w:pPr>
      <w:r>
        <w:rPr>
          <w:sz w:val="24"/>
          <w:szCs w:val="24"/>
        </w:rPr>
        <w:t xml:space="preserve">However, it </w:t>
      </w:r>
      <w:proofErr w:type="gramStart"/>
      <w:r>
        <w:rPr>
          <w:sz w:val="24"/>
          <w:szCs w:val="24"/>
        </w:rPr>
        <w:t>should be noted</w:t>
      </w:r>
      <w:proofErr w:type="gramEnd"/>
      <w:r>
        <w:rPr>
          <w:sz w:val="24"/>
          <w:szCs w:val="24"/>
        </w:rPr>
        <w:t xml:space="preserve"> that the data in the LAR’s files is sporadic during the time window of this analysis.  Concerning the HMDA high price definition, there were changes to the methodology for classifying higher priced loans.  This work used 3 percentage point spread for first lien loans and 5 percentage point spread for second lien loans.  Generally speaking, the spread </w:t>
      </w:r>
      <w:proofErr w:type="gramStart"/>
      <w:r>
        <w:rPr>
          <w:sz w:val="24"/>
          <w:szCs w:val="24"/>
        </w:rPr>
        <w:t>is calculated</w:t>
      </w:r>
      <w:proofErr w:type="gramEnd"/>
      <w:r>
        <w:rPr>
          <w:sz w:val="24"/>
          <w:szCs w:val="24"/>
        </w:rPr>
        <w:t xml:space="preserve"> using the Consumer Financial Protection Bureau (CFPB) Average Prime Offer Rate (APOR).  The APOR </w:t>
      </w:r>
      <w:proofErr w:type="gramStart"/>
      <w:r>
        <w:rPr>
          <w:sz w:val="24"/>
          <w:szCs w:val="24"/>
        </w:rPr>
        <w:t>is calculated</w:t>
      </w:r>
      <w:proofErr w:type="gramEnd"/>
      <w:r>
        <w:rPr>
          <w:sz w:val="24"/>
          <w:szCs w:val="24"/>
        </w:rPr>
        <w:t xml:space="preserve"> as the term, example a 30 year fixed mortgage rate and the additional points associated to the loan.  Additional points are fees associated to origination reflected as a percentage of the price (interest rate) of the loan.    </w:t>
      </w:r>
      <w:r w:rsidR="00F251A7">
        <w:rPr>
          <w:sz w:val="24"/>
          <w:szCs w:val="24"/>
        </w:rPr>
        <w:t xml:space="preserve">The CFPB’s definition at the time of this writing utilized an APOR derived from Freddie Mac (FHLMC), however the analysis in this work used the 30 year commitment rate.  Additionally, the HMDA high priced thresholds are stricter with FHLMC’s definition, being 1.5 percentage points over the APOR </w:t>
      </w:r>
      <w:proofErr w:type="gramStart"/>
      <w:r w:rsidR="00F251A7">
        <w:rPr>
          <w:sz w:val="24"/>
          <w:szCs w:val="24"/>
        </w:rPr>
        <w:t>would be classified</w:t>
      </w:r>
      <w:proofErr w:type="gramEnd"/>
      <w:r w:rsidR="00F251A7">
        <w:rPr>
          <w:sz w:val="24"/>
          <w:szCs w:val="24"/>
        </w:rPr>
        <w:t xml:space="preserve"> as a HMDA high price for first lien loans, second lien are 3.5 percentage points over APOR</w:t>
      </w:r>
      <w:r w:rsidR="00E42A50">
        <w:rPr>
          <w:sz w:val="24"/>
          <w:szCs w:val="24"/>
        </w:rPr>
        <w:t xml:space="preserve"> </w:t>
      </w:r>
      <w:r w:rsidR="00E42A50" w:rsidRPr="00E42A50">
        <w:rPr>
          <w:strike/>
          <w:color w:val="FF0000"/>
          <w:sz w:val="24"/>
          <w:szCs w:val="24"/>
        </w:rPr>
        <w:t>(</w:t>
      </w:r>
      <w:hyperlink r:id="rId23" w:history="1">
        <w:r w:rsidR="00E42A50" w:rsidRPr="00CB7264">
          <w:rPr>
            <w:rStyle w:val="Hyperlink"/>
            <w:strike/>
            <w:sz w:val="24"/>
            <w:szCs w:val="24"/>
          </w:rPr>
          <w:t>https://www.consumerfinance.gov/policy-compliance/rulemaking/regulations/1026/35/#a</w:t>
        </w:r>
      </w:hyperlink>
      <w:r w:rsidR="00E42A50" w:rsidRPr="00E42A50">
        <w:rPr>
          <w:strike/>
          <w:color w:val="FF0000"/>
          <w:sz w:val="24"/>
          <w:szCs w:val="24"/>
        </w:rPr>
        <w:t>)</w:t>
      </w:r>
      <w:r w:rsidR="00F251A7" w:rsidRPr="00E42A50">
        <w:rPr>
          <w:strike/>
          <w:color w:val="FF0000"/>
          <w:sz w:val="24"/>
          <w:szCs w:val="24"/>
        </w:rPr>
        <w:t>.</w:t>
      </w:r>
      <w:r w:rsidR="00E42A50">
        <w:rPr>
          <w:strike/>
          <w:color w:val="FF0000"/>
          <w:sz w:val="24"/>
          <w:szCs w:val="24"/>
        </w:rPr>
        <w:t xml:space="preserve">  </w:t>
      </w:r>
    </w:p>
    <w:p w14:paraId="11B41E25" w14:textId="702FD1C5" w:rsidR="004D72B0" w:rsidRDefault="004D72B0" w:rsidP="004004E2">
      <w:pPr>
        <w:spacing w:after="0" w:line="480" w:lineRule="auto"/>
        <w:rPr>
          <w:sz w:val="24"/>
          <w:szCs w:val="24"/>
        </w:rPr>
      </w:pPr>
      <w:r>
        <w:rPr>
          <w:sz w:val="24"/>
          <w:szCs w:val="24"/>
        </w:rPr>
        <w:t xml:space="preserve">The rapid reduction of the HMDA high price population after 2008 is likely due to the lower rate </w:t>
      </w:r>
      <w:proofErr w:type="spellStart"/>
      <w:r>
        <w:rPr>
          <w:sz w:val="24"/>
          <w:szCs w:val="24"/>
        </w:rPr>
        <w:t>enviorment</w:t>
      </w:r>
      <w:proofErr w:type="spellEnd"/>
      <w:r>
        <w:rPr>
          <w:sz w:val="24"/>
          <w:szCs w:val="24"/>
        </w:rPr>
        <w:t>, as Mayer and Pence described.  One can make inferences on this by reviewing the CFPB’s APOR rate during the time window and comparing this to the 30 year commitment rate.  Plot 4 depicts the APOR and 30 year commitment rate over a partial time window for this analysis.</w:t>
      </w:r>
    </w:p>
    <w:p w14:paraId="6D7D04D8" w14:textId="77777777" w:rsidR="004D72B0" w:rsidRDefault="004D72B0" w:rsidP="004004E2">
      <w:pPr>
        <w:spacing w:after="0" w:line="480" w:lineRule="auto"/>
        <w:rPr>
          <w:sz w:val="24"/>
          <w:szCs w:val="24"/>
        </w:rPr>
      </w:pPr>
    </w:p>
    <w:p w14:paraId="758F722B" w14:textId="77777777" w:rsidR="004D72B0" w:rsidRDefault="004D72B0" w:rsidP="004004E2">
      <w:pPr>
        <w:spacing w:after="0" w:line="480" w:lineRule="auto"/>
        <w:rPr>
          <w:sz w:val="24"/>
          <w:szCs w:val="24"/>
        </w:rPr>
      </w:pPr>
    </w:p>
    <w:p w14:paraId="1B1BC25A" w14:textId="5912F1B4" w:rsidR="004D72B0" w:rsidRPr="004D72B0" w:rsidRDefault="004D72B0" w:rsidP="004D72B0">
      <w:pPr>
        <w:spacing w:after="0" w:line="240" w:lineRule="auto"/>
        <w:ind w:firstLine="720"/>
        <w:rPr>
          <w:i/>
          <w:noProof/>
          <w:u w:val="double"/>
        </w:rPr>
      </w:pPr>
      <w:r w:rsidRPr="00F514AB">
        <w:rPr>
          <w:i/>
          <w:noProof/>
          <w:u w:val="double"/>
        </w:rPr>
        <w:lastRenderedPageBreak/>
        <w:t>Plot 3: HMDA Higher Priced Loans</w:t>
      </w:r>
    </w:p>
    <w:p w14:paraId="70062007" w14:textId="2952F4BF" w:rsidR="00E42A50" w:rsidRPr="004D72B0" w:rsidRDefault="004D72B0" w:rsidP="004D72B0">
      <w:pPr>
        <w:spacing w:after="0" w:line="480" w:lineRule="auto"/>
        <w:ind w:firstLine="720"/>
        <w:rPr>
          <w:sz w:val="24"/>
          <w:szCs w:val="24"/>
        </w:rPr>
      </w:pPr>
      <w:r>
        <w:rPr>
          <w:noProof/>
        </w:rPr>
        <w:drawing>
          <wp:inline distT="0" distB="0" distL="0" distR="0" wp14:anchorId="6E840E2A" wp14:editId="5B2045BC">
            <wp:extent cx="5972175" cy="4486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4486275"/>
                    </a:xfrm>
                    <a:prstGeom prst="rect">
                      <a:avLst/>
                    </a:prstGeom>
                  </pic:spPr>
                </pic:pic>
              </a:graphicData>
            </a:graphic>
          </wp:inline>
        </w:drawing>
      </w:r>
      <w:r>
        <w:rPr>
          <w:sz w:val="24"/>
          <w:szCs w:val="24"/>
        </w:rPr>
        <w:t xml:space="preserve"> </w:t>
      </w:r>
    </w:p>
    <w:p w14:paraId="7B62F1A0" w14:textId="6838CD9E" w:rsidR="004D72B0" w:rsidRPr="0056774A" w:rsidRDefault="0056774A" w:rsidP="004004E2">
      <w:pPr>
        <w:spacing w:after="0" w:line="480" w:lineRule="auto"/>
        <w:rPr>
          <w:sz w:val="24"/>
          <w:szCs w:val="24"/>
        </w:rPr>
      </w:pPr>
      <w:r w:rsidRPr="0056774A">
        <w:rPr>
          <w:sz w:val="24"/>
          <w:szCs w:val="24"/>
        </w:rPr>
        <w:t>The spread between the APOR and the 30 year commitment rate (includes the additional loan points</w:t>
      </w:r>
      <w:proofErr w:type="gramStart"/>
      <w:r w:rsidRPr="0056774A">
        <w:rPr>
          <w:sz w:val="24"/>
          <w:szCs w:val="24"/>
        </w:rPr>
        <w:t>)  decreased</w:t>
      </w:r>
      <w:proofErr w:type="gramEnd"/>
      <w:r w:rsidRPr="0056774A">
        <w:rPr>
          <w:sz w:val="24"/>
          <w:szCs w:val="24"/>
        </w:rPr>
        <w:t xml:space="preserve"> by half after 2009.  The decrease, on average would limits the amount of HMDA high priced loans in the housing market.</w:t>
      </w:r>
    </w:p>
    <w:p w14:paraId="1DDC7E7D" w14:textId="68B12E9B" w:rsidR="004D72B0" w:rsidRDefault="0076481F" w:rsidP="004004E2">
      <w:pPr>
        <w:spacing w:after="0" w:line="480" w:lineRule="auto"/>
        <w:rPr>
          <w:sz w:val="24"/>
          <w:szCs w:val="24"/>
        </w:rPr>
      </w:pPr>
      <w:r w:rsidRPr="0076481F">
        <w:rPr>
          <w:sz w:val="24"/>
          <w:szCs w:val="24"/>
        </w:rPr>
        <w:t xml:space="preserve">Given the definition change in the HMDA high priced loans (3 </w:t>
      </w:r>
      <w:r w:rsidRPr="0076481F">
        <w:rPr>
          <w:sz w:val="24"/>
          <w:szCs w:val="24"/>
        </w:rPr>
        <w:sym w:font="Wingdings" w:char="F0E0"/>
      </w:r>
      <w:r w:rsidRPr="0076481F">
        <w:rPr>
          <w:sz w:val="24"/>
          <w:szCs w:val="24"/>
        </w:rPr>
        <w:t xml:space="preserve"> 1.5percentage points) it would be beneficial to recalculate the definition.  However, the LAR’s data does not provide the origination interest rate provided to the borrower</w:t>
      </w:r>
      <w:r w:rsidR="00564C98">
        <w:rPr>
          <w:sz w:val="24"/>
          <w:szCs w:val="24"/>
        </w:rPr>
        <w:t>.</w:t>
      </w:r>
      <w:r w:rsidR="006835C0">
        <w:rPr>
          <w:sz w:val="24"/>
          <w:szCs w:val="24"/>
        </w:rPr>
        <w:t xml:space="preserve">  Table 4 is a depiction of populated and missing rate spreads in the LARs data from 2004 to 2017.  It is good to note here that if the rate spread is over the HMDA high priced definition it </w:t>
      </w:r>
      <w:proofErr w:type="gramStart"/>
      <w:r w:rsidR="006835C0">
        <w:rPr>
          <w:sz w:val="24"/>
          <w:szCs w:val="24"/>
        </w:rPr>
        <w:t>will be populated</w:t>
      </w:r>
      <w:proofErr w:type="gramEnd"/>
      <w:r w:rsidR="006835C0">
        <w:rPr>
          <w:sz w:val="24"/>
          <w:szCs w:val="24"/>
        </w:rPr>
        <w:t xml:space="preserve">.  Table 4 shows the changes in the HMDA high price definition over time.  In 2009 onward the </w:t>
      </w:r>
      <w:r w:rsidR="006835C0">
        <w:rPr>
          <w:sz w:val="24"/>
          <w:szCs w:val="24"/>
        </w:rPr>
        <w:lastRenderedPageBreak/>
        <w:t xml:space="preserve">spread </w:t>
      </w:r>
      <w:proofErr w:type="gramStart"/>
      <w:r w:rsidR="006835C0">
        <w:rPr>
          <w:sz w:val="24"/>
          <w:szCs w:val="24"/>
        </w:rPr>
        <w:t>was reduced</w:t>
      </w:r>
      <w:proofErr w:type="gramEnd"/>
      <w:r w:rsidR="006835C0">
        <w:rPr>
          <w:sz w:val="24"/>
          <w:szCs w:val="24"/>
        </w:rPr>
        <w:t xml:space="preserve"> to below 3 percentage points, however for the purpose of this paper HMDA high priced loans were forced to be 3 or 5 percentage points over the APOR.</w:t>
      </w:r>
    </w:p>
    <w:p w14:paraId="38852C5F" w14:textId="08007960" w:rsidR="0076481F" w:rsidRDefault="00B936F8" w:rsidP="00B936F8">
      <w:pPr>
        <w:spacing w:after="0" w:line="480" w:lineRule="auto"/>
        <w:ind w:firstLine="2160"/>
        <w:rPr>
          <w:sz w:val="24"/>
          <w:szCs w:val="24"/>
        </w:rPr>
      </w:pPr>
      <w:r w:rsidRPr="00B936F8">
        <w:drawing>
          <wp:inline distT="0" distB="0" distL="0" distR="0" wp14:anchorId="43A868D6" wp14:editId="16C112F2">
            <wp:extent cx="3721100" cy="30848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1100" cy="3084830"/>
                    </a:xfrm>
                    <a:prstGeom prst="rect">
                      <a:avLst/>
                    </a:prstGeom>
                    <a:noFill/>
                    <a:ln>
                      <a:noFill/>
                    </a:ln>
                  </pic:spPr>
                </pic:pic>
              </a:graphicData>
            </a:graphic>
          </wp:inline>
        </w:drawing>
      </w:r>
    </w:p>
    <w:p w14:paraId="714B2694" w14:textId="77777777" w:rsidR="00B936F8" w:rsidRPr="0076481F" w:rsidRDefault="00B936F8" w:rsidP="00B936F8">
      <w:pPr>
        <w:spacing w:after="0" w:line="480" w:lineRule="auto"/>
        <w:rPr>
          <w:sz w:val="24"/>
          <w:szCs w:val="24"/>
        </w:rPr>
      </w:pPr>
    </w:p>
    <w:p w14:paraId="368752F2" w14:textId="77777777" w:rsidR="004A6108" w:rsidRDefault="004A6108">
      <w:pPr>
        <w:rPr>
          <w:b/>
          <w:u w:val="single"/>
        </w:rPr>
      </w:pPr>
      <w:bookmarkStart w:id="0" w:name="_GoBack"/>
      <w:bookmarkEnd w:id="0"/>
      <w:r>
        <w:rPr>
          <w:b/>
          <w:u w:val="single"/>
        </w:rPr>
        <w:br w:type="page"/>
      </w:r>
    </w:p>
    <w:p w14:paraId="3A285615" w14:textId="77777777" w:rsidR="004D1928" w:rsidRPr="004D1928" w:rsidRDefault="004D1928">
      <w:pPr>
        <w:rPr>
          <w:b/>
          <w:u w:val="single"/>
        </w:rPr>
      </w:pPr>
      <w:r w:rsidRPr="004D1928">
        <w:rPr>
          <w:b/>
          <w:u w:val="single"/>
        </w:rPr>
        <w:lastRenderedPageBreak/>
        <w:t>References:</w:t>
      </w:r>
    </w:p>
    <w:p w14:paraId="5FEFBDBF" w14:textId="7822F38A" w:rsidR="00027425" w:rsidRDefault="004D1928">
      <w:r>
        <w:t xml:space="preserve">Avery, Robert, Kenneth Brevoort, and Glenn </w:t>
      </w:r>
      <w:proofErr w:type="spellStart"/>
      <w:r>
        <w:t>Cannter</w:t>
      </w:r>
      <w:proofErr w:type="spellEnd"/>
      <w:r>
        <w:t xml:space="preserve">.  2007. “Opportunities and Issues </w:t>
      </w:r>
      <w:proofErr w:type="gramStart"/>
      <w:r>
        <w:t>In</w:t>
      </w:r>
      <w:proofErr w:type="gramEnd"/>
      <w:r>
        <w:t xml:space="preserve"> Using HMDA Data.” Journal of Real Estate research, 29(4):351-79.</w:t>
      </w:r>
    </w:p>
    <w:p w14:paraId="1DDE9061" w14:textId="7D274F2F" w:rsidR="0067413D" w:rsidRDefault="0067413D" w:rsidP="0067413D">
      <w:proofErr w:type="spellStart"/>
      <w:r w:rsidRPr="00B37AA7">
        <w:t>DiMartino</w:t>
      </w:r>
      <w:proofErr w:type="spellEnd"/>
      <w:r w:rsidRPr="00B37AA7">
        <w:t xml:space="preserve">, Danielle, and John V. </w:t>
      </w:r>
      <w:proofErr w:type="spellStart"/>
      <w:r w:rsidRPr="00B37AA7">
        <w:t>Duca</w:t>
      </w:r>
      <w:proofErr w:type="spellEnd"/>
      <w:r w:rsidRPr="00B37AA7">
        <w:t xml:space="preserve">.  </w:t>
      </w:r>
      <w:r>
        <w:t xml:space="preserve">“The Rise and </w:t>
      </w:r>
      <w:proofErr w:type="gramStart"/>
      <w:r>
        <w:t>Fall</w:t>
      </w:r>
      <w:proofErr w:type="gramEnd"/>
      <w:r>
        <w:t xml:space="preserve"> of Subprime Mortgages,” </w:t>
      </w:r>
      <w:r w:rsidRPr="00B37AA7">
        <w:t>Federal Reserve Bank of Dallas </w:t>
      </w:r>
      <w:r w:rsidRPr="00B37AA7">
        <w:rPr>
          <w:i/>
          <w:iCs/>
        </w:rPr>
        <w:t>Economic Letter</w:t>
      </w:r>
      <w:r w:rsidRPr="00B37AA7">
        <w:t> 2, no. 11 (November 2007): 1-8.</w:t>
      </w:r>
    </w:p>
    <w:p w14:paraId="7CAC2443" w14:textId="599809E7" w:rsidR="00C82D3F" w:rsidRDefault="00C82D3F" w:rsidP="0067413D">
      <w:r>
        <w:t>Passmore, Wayne and Shane Sherlund.  “FHA, Fannie Mae, Freddie Mac, and the Great Recession,</w:t>
      </w:r>
      <w:proofErr w:type="gramStart"/>
      <w:r>
        <w:t>”  Finance</w:t>
      </w:r>
      <w:proofErr w:type="gramEnd"/>
      <w:r>
        <w:t xml:space="preserve"> and Economic Discussion Series, Division of Research &amp; Statistics and Monetary Affairs.  Federal Reserve Board, Washington, D.C</w:t>
      </w:r>
    </w:p>
    <w:p w14:paraId="40D78120" w14:textId="77777777" w:rsidR="003055E0" w:rsidRDefault="003055E0" w:rsidP="003055E0">
      <w:r>
        <w:rPr>
          <w:rStyle w:val="authors"/>
        </w:rPr>
        <w:t>Peter J. Wallison</w:t>
      </w:r>
      <w:r>
        <w:t xml:space="preserve"> </w:t>
      </w:r>
      <w:r>
        <w:rPr>
          <w:rStyle w:val="Date1"/>
        </w:rPr>
        <w:t>(2009)</w:t>
      </w:r>
      <w:r>
        <w:t xml:space="preserve"> </w:t>
      </w:r>
      <w:r>
        <w:rPr>
          <w:rStyle w:val="arttitle"/>
        </w:rPr>
        <w:t>CAUSE AND EFFECT: GOVERNMENT POLICIES AND THE FINANCIAL CRISIS,</w:t>
      </w:r>
      <w:r>
        <w:t xml:space="preserve"> </w:t>
      </w:r>
      <w:r>
        <w:rPr>
          <w:rStyle w:val="serialtitle"/>
        </w:rPr>
        <w:t>Critical Review,</w:t>
      </w:r>
      <w:r>
        <w:t xml:space="preserve"> </w:t>
      </w:r>
      <w:r>
        <w:rPr>
          <w:rStyle w:val="volumeissue"/>
        </w:rPr>
        <w:t>21:2-3,</w:t>
      </w:r>
      <w:r>
        <w:t xml:space="preserve"> </w:t>
      </w:r>
      <w:r>
        <w:rPr>
          <w:rStyle w:val="pagerange"/>
        </w:rPr>
        <w:t>365-376,</w:t>
      </w:r>
      <w:r>
        <w:t xml:space="preserve"> </w:t>
      </w:r>
      <w:r>
        <w:rPr>
          <w:rStyle w:val="doilink"/>
        </w:rPr>
        <w:t xml:space="preserve">DOI: </w:t>
      </w:r>
      <w:hyperlink r:id="rId26" w:history="1">
        <w:r>
          <w:rPr>
            <w:rStyle w:val="Hyperlink"/>
          </w:rPr>
          <w:t>10.1080/08913810902934158</w:t>
        </w:r>
      </w:hyperlink>
      <w:r>
        <w:t xml:space="preserve"> </w:t>
      </w:r>
    </w:p>
    <w:p w14:paraId="2B617A9A" w14:textId="4D98B226" w:rsidR="003055E0" w:rsidRDefault="002B651E" w:rsidP="0067413D">
      <w:r>
        <w:t>For the APOR Spread Chart:</w:t>
      </w:r>
    </w:p>
    <w:p w14:paraId="2759120C" w14:textId="77777777" w:rsidR="002B651E" w:rsidRDefault="002B651E" w:rsidP="00730040">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https://www.ffiec.gov/ratespread/newcalchelp.aspx#4 */</w:t>
      </w:r>
    </w:p>
    <w:p w14:paraId="07FB4528" w14:textId="2158ABD8" w:rsidR="002B651E" w:rsidRDefault="002B651E" w:rsidP="00730040">
      <w:pPr>
        <w:ind w:left="720"/>
      </w:pPr>
      <w:hyperlink r:id="rId27" w:history="1">
        <w:r w:rsidRPr="00CB7264">
          <w:rPr>
            <w:rStyle w:val="Hyperlink"/>
          </w:rPr>
          <w:t>https://fred.stlouisfed.org/series/MORTPTS30US</w:t>
        </w:r>
      </w:hyperlink>
    </w:p>
    <w:p w14:paraId="18FCD0B1" w14:textId="70027E9F" w:rsidR="002B651E" w:rsidRDefault="002B651E" w:rsidP="00730040">
      <w:pPr>
        <w:ind w:left="720"/>
      </w:pPr>
      <w:hyperlink r:id="rId28" w:history="1">
        <w:r w:rsidRPr="00CB7264">
          <w:rPr>
            <w:rStyle w:val="Hyperlink"/>
          </w:rPr>
          <w:t>https://fred.stlouisfed.org/series/MORTGAGE30US</w:t>
        </w:r>
      </w:hyperlink>
    </w:p>
    <w:p w14:paraId="1CE9F1C9" w14:textId="77777777" w:rsidR="002B651E" w:rsidRDefault="002B651E" w:rsidP="0067413D"/>
    <w:p w14:paraId="1F161D05" w14:textId="77777777" w:rsidR="002B651E" w:rsidRDefault="002B651E" w:rsidP="0067413D"/>
    <w:p w14:paraId="702D889B" w14:textId="77777777" w:rsidR="0067413D" w:rsidRDefault="0067413D"/>
    <w:p w14:paraId="5AFDBB67" w14:textId="2A47A450" w:rsidR="00CF2C9A" w:rsidRPr="00DA58A9" w:rsidRDefault="00CF2C9A"/>
    <w:sectPr w:rsidR="00CF2C9A" w:rsidRPr="00DA58A9" w:rsidSect="00F44148">
      <w:headerReference w:type="default" r:id="rId29"/>
      <w:foot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63EF8" w14:textId="77777777" w:rsidR="009A274B" w:rsidRDefault="009A274B" w:rsidP="00F44148">
      <w:pPr>
        <w:spacing w:after="0" w:line="240" w:lineRule="auto"/>
      </w:pPr>
      <w:r>
        <w:separator/>
      </w:r>
    </w:p>
  </w:endnote>
  <w:endnote w:type="continuationSeparator" w:id="0">
    <w:p w14:paraId="29FA35D6" w14:textId="77777777" w:rsidR="009A274B" w:rsidRDefault="009A274B" w:rsidP="00F4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20"/>
      <w:gridCol w:w="9680"/>
    </w:tblGrid>
    <w:tr w:rsidR="00CF2155" w14:paraId="09A321F5" w14:textId="77777777">
      <w:tc>
        <w:tcPr>
          <w:tcW w:w="918" w:type="dxa"/>
        </w:tcPr>
        <w:p w14:paraId="1936E4A8" w14:textId="5118B03C" w:rsidR="00CF2155" w:rsidRDefault="00CF2155">
          <w:pPr>
            <w:pStyle w:val="Footer"/>
            <w:jc w:val="right"/>
            <w:rPr>
              <w:b/>
              <w:color w:val="4F81BD" w:themeColor="accent1"/>
              <w:sz w:val="32"/>
              <w:szCs w:val="32"/>
            </w:rPr>
          </w:pPr>
          <w:r>
            <w:rPr>
              <w:b/>
              <w:noProof/>
              <w:color w:val="4F81BD" w:themeColor="accent1"/>
              <w:sz w:val="32"/>
              <w:szCs w:val="32"/>
            </w:rPr>
            <w:fldChar w:fldCharType="begin"/>
          </w:r>
          <w:r>
            <w:rPr>
              <w:b/>
              <w:noProof/>
              <w:color w:val="4F81BD" w:themeColor="accent1"/>
              <w:sz w:val="32"/>
              <w:szCs w:val="32"/>
            </w:rPr>
            <w:instrText xml:space="preserve"> PAGE   \* MERGEFORMAT </w:instrText>
          </w:r>
          <w:r>
            <w:rPr>
              <w:b/>
              <w:noProof/>
              <w:color w:val="4F81BD" w:themeColor="accent1"/>
              <w:sz w:val="32"/>
              <w:szCs w:val="32"/>
            </w:rPr>
            <w:fldChar w:fldCharType="separate"/>
          </w:r>
          <w:r w:rsidR="00053C45">
            <w:rPr>
              <w:b/>
              <w:noProof/>
              <w:color w:val="4F81BD" w:themeColor="accent1"/>
              <w:sz w:val="32"/>
              <w:szCs w:val="32"/>
            </w:rPr>
            <w:t>16</w:t>
          </w:r>
          <w:r>
            <w:rPr>
              <w:b/>
              <w:noProof/>
              <w:color w:val="4F81BD" w:themeColor="accent1"/>
              <w:sz w:val="32"/>
              <w:szCs w:val="32"/>
            </w:rPr>
            <w:fldChar w:fldCharType="end"/>
          </w:r>
        </w:p>
      </w:tc>
      <w:tc>
        <w:tcPr>
          <w:tcW w:w="7938" w:type="dxa"/>
        </w:tcPr>
        <w:p w14:paraId="69EECFB4" w14:textId="77777777" w:rsidR="00CF2155" w:rsidRDefault="00CF2155">
          <w:pPr>
            <w:pStyle w:val="Footer"/>
          </w:pPr>
        </w:p>
      </w:tc>
    </w:tr>
  </w:tbl>
  <w:p w14:paraId="525A6741" w14:textId="77777777" w:rsidR="00CF2155" w:rsidRDefault="00CF2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401F1" w14:textId="77777777" w:rsidR="009A274B" w:rsidRDefault="009A274B" w:rsidP="00F44148">
      <w:pPr>
        <w:spacing w:after="0" w:line="240" w:lineRule="auto"/>
      </w:pPr>
      <w:r>
        <w:separator/>
      </w:r>
    </w:p>
  </w:footnote>
  <w:footnote w:type="continuationSeparator" w:id="0">
    <w:p w14:paraId="4CE62549" w14:textId="77777777" w:rsidR="009A274B" w:rsidRDefault="009A274B" w:rsidP="00F44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455"/>
      <w:gridCol w:w="1345"/>
    </w:tblGrid>
    <w:tr w:rsidR="00CF2155" w14:paraId="38001AB4" w14:textId="77777777">
      <w:trPr>
        <w:trHeight w:val="288"/>
      </w:trPr>
      <w:sdt>
        <w:sdtPr>
          <w:rPr>
            <w:rFonts w:asciiTheme="majorHAnsi" w:eastAsiaTheme="majorEastAsia" w:hAnsiTheme="majorHAnsi" w:cstheme="majorBidi"/>
            <w:sz w:val="36"/>
            <w:szCs w:val="36"/>
          </w:rPr>
          <w:alias w:val="Title"/>
          <w:id w:val="77761602"/>
          <w:placeholder>
            <w:docPart w:val="C783A64F27234EC2828442F8574D6930"/>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5E250876" w14:textId="6EFD6C61" w:rsidR="00CF2155" w:rsidRDefault="0062216B" w:rsidP="0062216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High Priced Subprime Mortgages</w:t>
              </w:r>
              <w:r w:rsidR="00CF2155">
                <w:rPr>
                  <w:rFonts w:asciiTheme="majorHAnsi" w:eastAsiaTheme="majorEastAsia" w:hAnsiTheme="majorHAnsi" w:cstheme="majorBidi"/>
                  <w:sz w:val="36"/>
                  <w:szCs w:val="36"/>
                </w:rPr>
                <w:t xml:space="preserve">  Bowman</w:t>
              </w:r>
            </w:p>
          </w:tc>
        </w:sdtContent>
      </w:sdt>
      <w:sdt>
        <w:sdtPr>
          <w:rPr>
            <w:rFonts w:asciiTheme="majorHAnsi" w:eastAsiaTheme="majorEastAsia" w:hAnsiTheme="majorHAnsi" w:cstheme="majorBidi"/>
            <w:b/>
            <w:bCs/>
            <w:color w:val="4F81BD" w:themeColor="accent1"/>
            <w:sz w:val="36"/>
            <w:szCs w:val="36"/>
          </w:rPr>
          <w:alias w:val="Year"/>
          <w:id w:val="77761609"/>
          <w:placeholder>
            <w:docPart w:val="050C6A96164D4E9293506A17E82EB520"/>
          </w:placeholder>
          <w:dataBinding w:prefixMappings="xmlns:ns0='http://schemas.microsoft.com/office/2006/coverPageProps'" w:xpath="/ns0:CoverPageProperties[1]/ns0:PublishDate[1]" w:storeItemID="{55AF091B-3C7A-41E3-B477-F2FDAA23CFDA}"/>
          <w:date w:fullDate="2019-02-13T00:00:00Z">
            <w:dateFormat w:val="yyyy"/>
            <w:lid w:val="en-US"/>
            <w:storeMappedDataAs w:val="dateTime"/>
            <w:calendar w:val="gregorian"/>
          </w:date>
        </w:sdtPr>
        <w:sdtEndPr/>
        <w:sdtContent>
          <w:tc>
            <w:tcPr>
              <w:tcW w:w="1105" w:type="dxa"/>
            </w:tcPr>
            <w:p w14:paraId="4DC2749A" w14:textId="77777777" w:rsidR="00CF2155" w:rsidRDefault="00CF215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bl>
  <w:p w14:paraId="770D2E4C" w14:textId="77777777" w:rsidR="00CF2155" w:rsidRDefault="00CF21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A60"/>
    <w:multiLevelType w:val="hybridMultilevel"/>
    <w:tmpl w:val="88F470A8"/>
    <w:lvl w:ilvl="0" w:tplc="0A18AC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4722B3"/>
    <w:multiLevelType w:val="hybridMultilevel"/>
    <w:tmpl w:val="BA8A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31D81"/>
    <w:multiLevelType w:val="hybridMultilevel"/>
    <w:tmpl w:val="681C9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13151"/>
    <w:multiLevelType w:val="hybridMultilevel"/>
    <w:tmpl w:val="20F8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6157E"/>
    <w:multiLevelType w:val="hybridMultilevel"/>
    <w:tmpl w:val="E9FC3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46E7C"/>
    <w:multiLevelType w:val="hybridMultilevel"/>
    <w:tmpl w:val="86B68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82752"/>
    <w:multiLevelType w:val="hybridMultilevel"/>
    <w:tmpl w:val="B5308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48"/>
    <w:rsid w:val="00002E13"/>
    <w:rsid w:val="00004800"/>
    <w:rsid w:val="00006103"/>
    <w:rsid w:val="00016275"/>
    <w:rsid w:val="00021ED7"/>
    <w:rsid w:val="0002593C"/>
    <w:rsid w:val="00027425"/>
    <w:rsid w:val="00043588"/>
    <w:rsid w:val="00045D0D"/>
    <w:rsid w:val="0004646B"/>
    <w:rsid w:val="000532BC"/>
    <w:rsid w:val="00053C45"/>
    <w:rsid w:val="000573E2"/>
    <w:rsid w:val="00064CB2"/>
    <w:rsid w:val="0007415E"/>
    <w:rsid w:val="000876A6"/>
    <w:rsid w:val="00091031"/>
    <w:rsid w:val="000942A8"/>
    <w:rsid w:val="000A6A37"/>
    <w:rsid w:val="000A74CE"/>
    <w:rsid w:val="000B01D1"/>
    <w:rsid w:val="000B17FE"/>
    <w:rsid w:val="000B5DA0"/>
    <w:rsid w:val="000C16AF"/>
    <w:rsid w:val="000C5607"/>
    <w:rsid w:val="000C6C84"/>
    <w:rsid w:val="000C7D92"/>
    <w:rsid w:val="000D2F02"/>
    <w:rsid w:val="000D3AB8"/>
    <w:rsid w:val="000D5893"/>
    <w:rsid w:val="000E246D"/>
    <w:rsid w:val="000E7D66"/>
    <w:rsid w:val="000E7FE6"/>
    <w:rsid w:val="000F15FF"/>
    <w:rsid w:val="000F78CB"/>
    <w:rsid w:val="000F7DF1"/>
    <w:rsid w:val="00105A52"/>
    <w:rsid w:val="001075E8"/>
    <w:rsid w:val="001077AD"/>
    <w:rsid w:val="00107B09"/>
    <w:rsid w:val="0011428D"/>
    <w:rsid w:val="0011778C"/>
    <w:rsid w:val="001224CF"/>
    <w:rsid w:val="0012332D"/>
    <w:rsid w:val="00126837"/>
    <w:rsid w:val="0013065F"/>
    <w:rsid w:val="0013589F"/>
    <w:rsid w:val="001461FB"/>
    <w:rsid w:val="00151A18"/>
    <w:rsid w:val="00152D1B"/>
    <w:rsid w:val="00154326"/>
    <w:rsid w:val="00154CF1"/>
    <w:rsid w:val="001572DD"/>
    <w:rsid w:val="00161B6A"/>
    <w:rsid w:val="00164E8E"/>
    <w:rsid w:val="00165A2A"/>
    <w:rsid w:val="00170868"/>
    <w:rsid w:val="00175468"/>
    <w:rsid w:val="00176AA5"/>
    <w:rsid w:val="0017793D"/>
    <w:rsid w:val="001800E0"/>
    <w:rsid w:val="00185086"/>
    <w:rsid w:val="00187FE5"/>
    <w:rsid w:val="00193BE1"/>
    <w:rsid w:val="001A0B3F"/>
    <w:rsid w:val="001A1199"/>
    <w:rsid w:val="001A1B69"/>
    <w:rsid w:val="001A6C0A"/>
    <w:rsid w:val="001C7A3A"/>
    <w:rsid w:val="001D1B27"/>
    <w:rsid w:val="001D2078"/>
    <w:rsid w:val="001D4AF1"/>
    <w:rsid w:val="001D719F"/>
    <w:rsid w:val="001E4E5D"/>
    <w:rsid w:val="001F072D"/>
    <w:rsid w:val="001F3924"/>
    <w:rsid w:val="001F3C85"/>
    <w:rsid w:val="0020279D"/>
    <w:rsid w:val="002074EF"/>
    <w:rsid w:val="00212380"/>
    <w:rsid w:val="002146DE"/>
    <w:rsid w:val="00214CE7"/>
    <w:rsid w:val="00222FCA"/>
    <w:rsid w:val="002324F4"/>
    <w:rsid w:val="002337ED"/>
    <w:rsid w:val="00233831"/>
    <w:rsid w:val="002372D7"/>
    <w:rsid w:val="002461AE"/>
    <w:rsid w:val="0024716F"/>
    <w:rsid w:val="002540CA"/>
    <w:rsid w:val="002562BE"/>
    <w:rsid w:val="0025677E"/>
    <w:rsid w:val="002601D9"/>
    <w:rsid w:val="00265E7F"/>
    <w:rsid w:val="00271686"/>
    <w:rsid w:val="00273508"/>
    <w:rsid w:val="002752CA"/>
    <w:rsid w:val="00275F0C"/>
    <w:rsid w:val="0027748A"/>
    <w:rsid w:val="00284ED0"/>
    <w:rsid w:val="00285972"/>
    <w:rsid w:val="0028771E"/>
    <w:rsid w:val="0029478E"/>
    <w:rsid w:val="00295562"/>
    <w:rsid w:val="00295B69"/>
    <w:rsid w:val="00297C79"/>
    <w:rsid w:val="002A782C"/>
    <w:rsid w:val="002B58F9"/>
    <w:rsid w:val="002B651E"/>
    <w:rsid w:val="002C7B61"/>
    <w:rsid w:val="002D0945"/>
    <w:rsid w:val="002D0C70"/>
    <w:rsid w:val="002E43E8"/>
    <w:rsid w:val="002F0556"/>
    <w:rsid w:val="002F7E67"/>
    <w:rsid w:val="00304928"/>
    <w:rsid w:val="00304FE3"/>
    <w:rsid w:val="003055E0"/>
    <w:rsid w:val="00307E28"/>
    <w:rsid w:val="00310BD4"/>
    <w:rsid w:val="0032233D"/>
    <w:rsid w:val="00336CA9"/>
    <w:rsid w:val="0035180C"/>
    <w:rsid w:val="00353B44"/>
    <w:rsid w:val="003541F4"/>
    <w:rsid w:val="0037239F"/>
    <w:rsid w:val="00375610"/>
    <w:rsid w:val="0038110D"/>
    <w:rsid w:val="00386270"/>
    <w:rsid w:val="00390620"/>
    <w:rsid w:val="00393AF5"/>
    <w:rsid w:val="0039497B"/>
    <w:rsid w:val="003A0EE0"/>
    <w:rsid w:val="003A7557"/>
    <w:rsid w:val="003B3F4A"/>
    <w:rsid w:val="003B4633"/>
    <w:rsid w:val="003B528C"/>
    <w:rsid w:val="003B6CA9"/>
    <w:rsid w:val="003B782F"/>
    <w:rsid w:val="003D0AFA"/>
    <w:rsid w:val="003D0E69"/>
    <w:rsid w:val="003D1A5C"/>
    <w:rsid w:val="003D619D"/>
    <w:rsid w:val="003E47B1"/>
    <w:rsid w:val="003F468F"/>
    <w:rsid w:val="003F7EA0"/>
    <w:rsid w:val="004004E2"/>
    <w:rsid w:val="00405FC6"/>
    <w:rsid w:val="004103A6"/>
    <w:rsid w:val="004162EB"/>
    <w:rsid w:val="004228B1"/>
    <w:rsid w:val="00422AA5"/>
    <w:rsid w:val="00430B3C"/>
    <w:rsid w:val="004312F2"/>
    <w:rsid w:val="00431411"/>
    <w:rsid w:val="00435C3A"/>
    <w:rsid w:val="00440D7E"/>
    <w:rsid w:val="004429F1"/>
    <w:rsid w:val="00447657"/>
    <w:rsid w:val="004504F4"/>
    <w:rsid w:val="00450E9D"/>
    <w:rsid w:val="00455ED5"/>
    <w:rsid w:val="00456AD3"/>
    <w:rsid w:val="00464201"/>
    <w:rsid w:val="004741AA"/>
    <w:rsid w:val="004839DF"/>
    <w:rsid w:val="00491FC0"/>
    <w:rsid w:val="004A0D53"/>
    <w:rsid w:val="004A5ED6"/>
    <w:rsid w:val="004A6108"/>
    <w:rsid w:val="004A6166"/>
    <w:rsid w:val="004B04B2"/>
    <w:rsid w:val="004B1F10"/>
    <w:rsid w:val="004B5A1C"/>
    <w:rsid w:val="004B6786"/>
    <w:rsid w:val="004C3560"/>
    <w:rsid w:val="004D1928"/>
    <w:rsid w:val="004D5A1A"/>
    <w:rsid w:val="004D72B0"/>
    <w:rsid w:val="004D7CDE"/>
    <w:rsid w:val="004E2DE2"/>
    <w:rsid w:val="004F0803"/>
    <w:rsid w:val="004F40F9"/>
    <w:rsid w:val="005001F8"/>
    <w:rsid w:val="005067DA"/>
    <w:rsid w:val="0051130B"/>
    <w:rsid w:val="00512FB6"/>
    <w:rsid w:val="00513E7F"/>
    <w:rsid w:val="005178B6"/>
    <w:rsid w:val="00531257"/>
    <w:rsid w:val="00532FC8"/>
    <w:rsid w:val="00534BDA"/>
    <w:rsid w:val="00537A60"/>
    <w:rsid w:val="00544ACC"/>
    <w:rsid w:val="005621B5"/>
    <w:rsid w:val="00562B91"/>
    <w:rsid w:val="00564C98"/>
    <w:rsid w:val="0056774A"/>
    <w:rsid w:val="00577323"/>
    <w:rsid w:val="00577FA3"/>
    <w:rsid w:val="005838D6"/>
    <w:rsid w:val="00587042"/>
    <w:rsid w:val="005A2A1B"/>
    <w:rsid w:val="005A5162"/>
    <w:rsid w:val="005A52DB"/>
    <w:rsid w:val="005B0FDF"/>
    <w:rsid w:val="005B49A7"/>
    <w:rsid w:val="005B7288"/>
    <w:rsid w:val="005B788C"/>
    <w:rsid w:val="005B79B2"/>
    <w:rsid w:val="005E41AE"/>
    <w:rsid w:val="005F220D"/>
    <w:rsid w:val="005F57E7"/>
    <w:rsid w:val="005F6AD1"/>
    <w:rsid w:val="00604812"/>
    <w:rsid w:val="00613A5A"/>
    <w:rsid w:val="0061460E"/>
    <w:rsid w:val="00615835"/>
    <w:rsid w:val="0062216B"/>
    <w:rsid w:val="006267C4"/>
    <w:rsid w:val="006359E6"/>
    <w:rsid w:val="00644A7A"/>
    <w:rsid w:val="0064629F"/>
    <w:rsid w:val="00650518"/>
    <w:rsid w:val="0065263B"/>
    <w:rsid w:val="00652D48"/>
    <w:rsid w:val="0065764F"/>
    <w:rsid w:val="00657E86"/>
    <w:rsid w:val="00662ECE"/>
    <w:rsid w:val="00663F74"/>
    <w:rsid w:val="00665186"/>
    <w:rsid w:val="006705DB"/>
    <w:rsid w:val="0067413D"/>
    <w:rsid w:val="00677A92"/>
    <w:rsid w:val="006825AB"/>
    <w:rsid w:val="0068261E"/>
    <w:rsid w:val="00682F73"/>
    <w:rsid w:val="006835C0"/>
    <w:rsid w:val="00684354"/>
    <w:rsid w:val="00687538"/>
    <w:rsid w:val="0069114B"/>
    <w:rsid w:val="006934BD"/>
    <w:rsid w:val="00696241"/>
    <w:rsid w:val="006A38EA"/>
    <w:rsid w:val="006A53C4"/>
    <w:rsid w:val="006A78EC"/>
    <w:rsid w:val="006B06D9"/>
    <w:rsid w:val="006B09C7"/>
    <w:rsid w:val="006C5096"/>
    <w:rsid w:val="006C72D3"/>
    <w:rsid w:val="006D034A"/>
    <w:rsid w:val="006E5867"/>
    <w:rsid w:val="006F241F"/>
    <w:rsid w:val="006F2AEA"/>
    <w:rsid w:val="006F2F86"/>
    <w:rsid w:val="006F59F5"/>
    <w:rsid w:val="006F6DBD"/>
    <w:rsid w:val="0070087C"/>
    <w:rsid w:val="007013A7"/>
    <w:rsid w:val="00702F10"/>
    <w:rsid w:val="007040BB"/>
    <w:rsid w:val="00706140"/>
    <w:rsid w:val="007156C0"/>
    <w:rsid w:val="0072184B"/>
    <w:rsid w:val="00730040"/>
    <w:rsid w:val="00730C39"/>
    <w:rsid w:val="00730FCF"/>
    <w:rsid w:val="0074060B"/>
    <w:rsid w:val="007406C7"/>
    <w:rsid w:val="00742262"/>
    <w:rsid w:val="007469B2"/>
    <w:rsid w:val="00751CFB"/>
    <w:rsid w:val="00755236"/>
    <w:rsid w:val="007555A8"/>
    <w:rsid w:val="00757B5C"/>
    <w:rsid w:val="00761D49"/>
    <w:rsid w:val="00764612"/>
    <w:rsid w:val="0076481F"/>
    <w:rsid w:val="00790E96"/>
    <w:rsid w:val="007A5091"/>
    <w:rsid w:val="007A776D"/>
    <w:rsid w:val="007B5C53"/>
    <w:rsid w:val="007B7B7F"/>
    <w:rsid w:val="007B7CA2"/>
    <w:rsid w:val="007C3072"/>
    <w:rsid w:val="007C3865"/>
    <w:rsid w:val="007C6AC9"/>
    <w:rsid w:val="007C79B8"/>
    <w:rsid w:val="007D28D4"/>
    <w:rsid w:val="007D395F"/>
    <w:rsid w:val="007D482E"/>
    <w:rsid w:val="007D5084"/>
    <w:rsid w:val="007D6D62"/>
    <w:rsid w:val="007D7C38"/>
    <w:rsid w:val="007F032F"/>
    <w:rsid w:val="007F6201"/>
    <w:rsid w:val="008044A8"/>
    <w:rsid w:val="00813A19"/>
    <w:rsid w:val="00815E53"/>
    <w:rsid w:val="008161B8"/>
    <w:rsid w:val="00830D81"/>
    <w:rsid w:val="00834321"/>
    <w:rsid w:val="00837667"/>
    <w:rsid w:val="00841168"/>
    <w:rsid w:val="0084185F"/>
    <w:rsid w:val="00843A6B"/>
    <w:rsid w:val="008454AD"/>
    <w:rsid w:val="00850B73"/>
    <w:rsid w:val="00850FE2"/>
    <w:rsid w:val="008571B0"/>
    <w:rsid w:val="008577CE"/>
    <w:rsid w:val="00860686"/>
    <w:rsid w:val="00860BB1"/>
    <w:rsid w:val="00863E0D"/>
    <w:rsid w:val="008706C7"/>
    <w:rsid w:val="00871115"/>
    <w:rsid w:val="008808A1"/>
    <w:rsid w:val="00881A2E"/>
    <w:rsid w:val="00891DD6"/>
    <w:rsid w:val="00892693"/>
    <w:rsid w:val="00895524"/>
    <w:rsid w:val="0089578B"/>
    <w:rsid w:val="00896922"/>
    <w:rsid w:val="008B6C6B"/>
    <w:rsid w:val="008C02DD"/>
    <w:rsid w:val="008C5990"/>
    <w:rsid w:val="008C5F1C"/>
    <w:rsid w:val="008D09C7"/>
    <w:rsid w:val="008D0F58"/>
    <w:rsid w:val="008D4CA8"/>
    <w:rsid w:val="008D56B3"/>
    <w:rsid w:val="008E02FB"/>
    <w:rsid w:val="008E1A58"/>
    <w:rsid w:val="008E421B"/>
    <w:rsid w:val="008F2453"/>
    <w:rsid w:val="008F2F29"/>
    <w:rsid w:val="0091720D"/>
    <w:rsid w:val="0093316B"/>
    <w:rsid w:val="00934699"/>
    <w:rsid w:val="00954613"/>
    <w:rsid w:val="00956A5E"/>
    <w:rsid w:val="00956EB9"/>
    <w:rsid w:val="00963006"/>
    <w:rsid w:val="00964215"/>
    <w:rsid w:val="009721A0"/>
    <w:rsid w:val="00977D77"/>
    <w:rsid w:val="00981C0D"/>
    <w:rsid w:val="009832DC"/>
    <w:rsid w:val="0098362E"/>
    <w:rsid w:val="0099546B"/>
    <w:rsid w:val="00996AAF"/>
    <w:rsid w:val="009A05BB"/>
    <w:rsid w:val="009A274B"/>
    <w:rsid w:val="009A7FF2"/>
    <w:rsid w:val="009B0DD5"/>
    <w:rsid w:val="009B41C3"/>
    <w:rsid w:val="009B7F60"/>
    <w:rsid w:val="009D204C"/>
    <w:rsid w:val="009D2AE4"/>
    <w:rsid w:val="009D57BC"/>
    <w:rsid w:val="009E1139"/>
    <w:rsid w:val="009E3C2B"/>
    <w:rsid w:val="009E41CC"/>
    <w:rsid w:val="009E4DF2"/>
    <w:rsid w:val="009E6F50"/>
    <w:rsid w:val="009F0C2A"/>
    <w:rsid w:val="00A016CB"/>
    <w:rsid w:val="00A01D98"/>
    <w:rsid w:val="00A07DE4"/>
    <w:rsid w:val="00A2147B"/>
    <w:rsid w:val="00A2340C"/>
    <w:rsid w:val="00A2407E"/>
    <w:rsid w:val="00A376A1"/>
    <w:rsid w:val="00A37E55"/>
    <w:rsid w:val="00A4360B"/>
    <w:rsid w:val="00A456FD"/>
    <w:rsid w:val="00A47265"/>
    <w:rsid w:val="00A534F3"/>
    <w:rsid w:val="00A57C34"/>
    <w:rsid w:val="00A64807"/>
    <w:rsid w:val="00A6577E"/>
    <w:rsid w:val="00A7093B"/>
    <w:rsid w:val="00A74F8E"/>
    <w:rsid w:val="00A821E2"/>
    <w:rsid w:val="00A86520"/>
    <w:rsid w:val="00A92608"/>
    <w:rsid w:val="00A96CD5"/>
    <w:rsid w:val="00AA0764"/>
    <w:rsid w:val="00AA30A5"/>
    <w:rsid w:val="00AA651F"/>
    <w:rsid w:val="00AB0334"/>
    <w:rsid w:val="00AC06A7"/>
    <w:rsid w:val="00AC0F9E"/>
    <w:rsid w:val="00AC4E5F"/>
    <w:rsid w:val="00AC75A6"/>
    <w:rsid w:val="00AD04FB"/>
    <w:rsid w:val="00AD20CD"/>
    <w:rsid w:val="00AD483D"/>
    <w:rsid w:val="00AD5A96"/>
    <w:rsid w:val="00AD7EBD"/>
    <w:rsid w:val="00AE4F5B"/>
    <w:rsid w:val="00AE5D0C"/>
    <w:rsid w:val="00AE71E0"/>
    <w:rsid w:val="00AE76F5"/>
    <w:rsid w:val="00AF0272"/>
    <w:rsid w:val="00AF193C"/>
    <w:rsid w:val="00AF62EF"/>
    <w:rsid w:val="00AF6E81"/>
    <w:rsid w:val="00B05911"/>
    <w:rsid w:val="00B10DAD"/>
    <w:rsid w:val="00B145FE"/>
    <w:rsid w:val="00B15F01"/>
    <w:rsid w:val="00B167B0"/>
    <w:rsid w:val="00B32443"/>
    <w:rsid w:val="00B346E4"/>
    <w:rsid w:val="00B35CBC"/>
    <w:rsid w:val="00B37AA7"/>
    <w:rsid w:val="00B45BF6"/>
    <w:rsid w:val="00B46515"/>
    <w:rsid w:val="00B47451"/>
    <w:rsid w:val="00B55ABE"/>
    <w:rsid w:val="00B55D71"/>
    <w:rsid w:val="00B72421"/>
    <w:rsid w:val="00B74B73"/>
    <w:rsid w:val="00B77073"/>
    <w:rsid w:val="00B775BC"/>
    <w:rsid w:val="00B84435"/>
    <w:rsid w:val="00B865A8"/>
    <w:rsid w:val="00B8768D"/>
    <w:rsid w:val="00B927EF"/>
    <w:rsid w:val="00B936F8"/>
    <w:rsid w:val="00BA3F5A"/>
    <w:rsid w:val="00BB4B62"/>
    <w:rsid w:val="00BB57E5"/>
    <w:rsid w:val="00BB5B24"/>
    <w:rsid w:val="00BC047C"/>
    <w:rsid w:val="00BC269B"/>
    <w:rsid w:val="00BD12FB"/>
    <w:rsid w:val="00BD1FB2"/>
    <w:rsid w:val="00BD348E"/>
    <w:rsid w:val="00BD6AF6"/>
    <w:rsid w:val="00BE0E69"/>
    <w:rsid w:val="00BE2859"/>
    <w:rsid w:val="00BE40F1"/>
    <w:rsid w:val="00BF17B2"/>
    <w:rsid w:val="00BF2241"/>
    <w:rsid w:val="00BF6E2D"/>
    <w:rsid w:val="00BF7180"/>
    <w:rsid w:val="00C01B0F"/>
    <w:rsid w:val="00C07B2F"/>
    <w:rsid w:val="00C16CD1"/>
    <w:rsid w:val="00C16D94"/>
    <w:rsid w:val="00C22A4B"/>
    <w:rsid w:val="00C32328"/>
    <w:rsid w:val="00C50C49"/>
    <w:rsid w:val="00C5150B"/>
    <w:rsid w:val="00C56D12"/>
    <w:rsid w:val="00C570E4"/>
    <w:rsid w:val="00C571C0"/>
    <w:rsid w:val="00C61977"/>
    <w:rsid w:val="00C62607"/>
    <w:rsid w:val="00C66699"/>
    <w:rsid w:val="00C66FFE"/>
    <w:rsid w:val="00C82A8E"/>
    <w:rsid w:val="00C82D3F"/>
    <w:rsid w:val="00C83644"/>
    <w:rsid w:val="00C83B22"/>
    <w:rsid w:val="00C85D2C"/>
    <w:rsid w:val="00C85FC2"/>
    <w:rsid w:val="00C90062"/>
    <w:rsid w:val="00C91002"/>
    <w:rsid w:val="00C93E30"/>
    <w:rsid w:val="00C9474E"/>
    <w:rsid w:val="00C95E8F"/>
    <w:rsid w:val="00C97A6F"/>
    <w:rsid w:val="00CA1CB9"/>
    <w:rsid w:val="00CB3133"/>
    <w:rsid w:val="00CB672A"/>
    <w:rsid w:val="00CC2647"/>
    <w:rsid w:val="00CC3C01"/>
    <w:rsid w:val="00CC6E86"/>
    <w:rsid w:val="00CC7CE6"/>
    <w:rsid w:val="00CD4B08"/>
    <w:rsid w:val="00CE17CA"/>
    <w:rsid w:val="00CE6FF3"/>
    <w:rsid w:val="00CE722D"/>
    <w:rsid w:val="00CF19C9"/>
    <w:rsid w:val="00CF2155"/>
    <w:rsid w:val="00CF2C9A"/>
    <w:rsid w:val="00CF3EA5"/>
    <w:rsid w:val="00CF6A01"/>
    <w:rsid w:val="00CF6F4D"/>
    <w:rsid w:val="00D05BE2"/>
    <w:rsid w:val="00D10F8A"/>
    <w:rsid w:val="00D115A5"/>
    <w:rsid w:val="00D12D97"/>
    <w:rsid w:val="00D232A3"/>
    <w:rsid w:val="00D23B9C"/>
    <w:rsid w:val="00D25291"/>
    <w:rsid w:val="00D264B7"/>
    <w:rsid w:val="00D33DF3"/>
    <w:rsid w:val="00D415BC"/>
    <w:rsid w:val="00D518FA"/>
    <w:rsid w:val="00D626E4"/>
    <w:rsid w:val="00D66F8C"/>
    <w:rsid w:val="00D73D43"/>
    <w:rsid w:val="00D73F7C"/>
    <w:rsid w:val="00D74697"/>
    <w:rsid w:val="00D778B3"/>
    <w:rsid w:val="00D91420"/>
    <w:rsid w:val="00D94495"/>
    <w:rsid w:val="00D95A63"/>
    <w:rsid w:val="00D972E4"/>
    <w:rsid w:val="00DA1F0B"/>
    <w:rsid w:val="00DA3277"/>
    <w:rsid w:val="00DA4A59"/>
    <w:rsid w:val="00DA58A9"/>
    <w:rsid w:val="00DA65A9"/>
    <w:rsid w:val="00DA6905"/>
    <w:rsid w:val="00DA7440"/>
    <w:rsid w:val="00DB56B0"/>
    <w:rsid w:val="00DC4F78"/>
    <w:rsid w:val="00DC6C8C"/>
    <w:rsid w:val="00DD01F6"/>
    <w:rsid w:val="00DD4776"/>
    <w:rsid w:val="00DD49B5"/>
    <w:rsid w:val="00DD5562"/>
    <w:rsid w:val="00DD7392"/>
    <w:rsid w:val="00DE2FB3"/>
    <w:rsid w:val="00DE4449"/>
    <w:rsid w:val="00DE5120"/>
    <w:rsid w:val="00DF119E"/>
    <w:rsid w:val="00DF3F2F"/>
    <w:rsid w:val="00DF3FE1"/>
    <w:rsid w:val="00DF6475"/>
    <w:rsid w:val="00DF7C67"/>
    <w:rsid w:val="00E07EBE"/>
    <w:rsid w:val="00E10505"/>
    <w:rsid w:val="00E13230"/>
    <w:rsid w:val="00E156F6"/>
    <w:rsid w:val="00E27601"/>
    <w:rsid w:val="00E3075B"/>
    <w:rsid w:val="00E3279F"/>
    <w:rsid w:val="00E32989"/>
    <w:rsid w:val="00E409A9"/>
    <w:rsid w:val="00E42A50"/>
    <w:rsid w:val="00E4301D"/>
    <w:rsid w:val="00E43A51"/>
    <w:rsid w:val="00E44613"/>
    <w:rsid w:val="00E4544D"/>
    <w:rsid w:val="00E45A3F"/>
    <w:rsid w:val="00E57F03"/>
    <w:rsid w:val="00E617E5"/>
    <w:rsid w:val="00E61D91"/>
    <w:rsid w:val="00E65F11"/>
    <w:rsid w:val="00E71570"/>
    <w:rsid w:val="00E73BCF"/>
    <w:rsid w:val="00E76ABE"/>
    <w:rsid w:val="00E7745B"/>
    <w:rsid w:val="00E77B63"/>
    <w:rsid w:val="00E80184"/>
    <w:rsid w:val="00E80E99"/>
    <w:rsid w:val="00E86933"/>
    <w:rsid w:val="00E87D5C"/>
    <w:rsid w:val="00E91CCE"/>
    <w:rsid w:val="00E967B3"/>
    <w:rsid w:val="00E97D66"/>
    <w:rsid w:val="00EB414D"/>
    <w:rsid w:val="00EB4B0F"/>
    <w:rsid w:val="00EB54AF"/>
    <w:rsid w:val="00EC4A1A"/>
    <w:rsid w:val="00EC65F4"/>
    <w:rsid w:val="00ED5F26"/>
    <w:rsid w:val="00EF3920"/>
    <w:rsid w:val="00F02303"/>
    <w:rsid w:val="00F0525C"/>
    <w:rsid w:val="00F16651"/>
    <w:rsid w:val="00F2094B"/>
    <w:rsid w:val="00F251A7"/>
    <w:rsid w:val="00F276DA"/>
    <w:rsid w:val="00F315E4"/>
    <w:rsid w:val="00F4246B"/>
    <w:rsid w:val="00F44148"/>
    <w:rsid w:val="00F5104E"/>
    <w:rsid w:val="00F51420"/>
    <w:rsid w:val="00F514AB"/>
    <w:rsid w:val="00F5154D"/>
    <w:rsid w:val="00F56BB7"/>
    <w:rsid w:val="00F6109D"/>
    <w:rsid w:val="00F61253"/>
    <w:rsid w:val="00F74ABB"/>
    <w:rsid w:val="00F74E32"/>
    <w:rsid w:val="00F83D70"/>
    <w:rsid w:val="00F85A3D"/>
    <w:rsid w:val="00F862C9"/>
    <w:rsid w:val="00FA2113"/>
    <w:rsid w:val="00FA49C7"/>
    <w:rsid w:val="00FB091C"/>
    <w:rsid w:val="00FC0142"/>
    <w:rsid w:val="00FC3D99"/>
    <w:rsid w:val="00FC6B64"/>
    <w:rsid w:val="00FD6A2B"/>
    <w:rsid w:val="00FE5092"/>
    <w:rsid w:val="00FE5FA4"/>
    <w:rsid w:val="00FF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880C0"/>
  <w15:chartTrackingRefBased/>
  <w15:docId w15:val="{D46555CB-BB9F-4517-883C-91DEB4C6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148"/>
  </w:style>
  <w:style w:type="paragraph" w:styleId="Footer">
    <w:name w:val="footer"/>
    <w:basedOn w:val="Normal"/>
    <w:link w:val="FooterChar"/>
    <w:uiPriority w:val="99"/>
    <w:unhideWhenUsed/>
    <w:rsid w:val="00F44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148"/>
  </w:style>
  <w:style w:type="paragraph" w:styleId="ListParagraph">
    <w:name w:val="List Paragraph"/>
    <w:basedOn w:val="Normal"/>
    <w:uiPriority w:val="34"/>
    <w:qFormat/>
    <w:rsid w:val="00F44148"/>
    <w:pPr>
      <w:ind w:left="720"/>
      <w:contextualSpacing/>
    </w:pPr>
  </w:style>
  <w:style w:type="character" w:styleId="Hyperlink">
    <w:name w:val="Hyperlink"/>
    <w:basedOn w:val="DefaultParagraphFont"/>
    <w:uiPriority w:val="99"/>
    <w:unhideWhenUsed/>
    <w:rsid w:val="006825AB"/>
    <w:rPr>
      <w:color w:val="0000FF" w:themeColor="hyperlink"/>
      <w:u w:val="single"/>
    </w:rPr>
  </w:style>
  <w:style w:type="character" w:styleId="FollowedHyperlink">
    <w:name w:val="FollowedHyperlink"/>
    <w:basedOn w:val="DefaultParagraphFont"/>
    <w:uiPriority w:val="99"/>
    <w:semiHidden/>
    <w:unhideWhenUsed/>
    <w:rsid w:val="0093316B"/>
    <w:rPr>
      <w:color w:val="800080" w:themeColor="followedHyperlink"/>
      <w:u w:val="single"/>
    </w:rPr>
  </w:style>
  <w:style w:type="paragraph" w:styleId="BalloonText">
    <w:name w:val="Balloon Text"/>
    <w:basedOn w:val="Normal"/>
    <w:link w:val="BalloonTextChar"/>
    <w:uiPriority w:val="99"/>
    <w:semiHidden/>
    <w:unhideWhenUsed/>
    <w:rsid w:val="002947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78E"/>
    <w:rPr>
      <w:rFonts w:ascii="Segoe UI" w:hAnsi="Segoe UI" w:cs="Segoe UI"/>
      <w:sz w:val="18"/>
      <w:szCs w:val="18"/>
    </w:rPr>
  </w:style>
  <w:style w:type="character" w:styleId="CommentReference">
    <w:name w:val="annotation reference"/>
    <w:basedOn w:val="DefaultParagraphFont"/>
    <w:uiPriority w:val="99"/>
    <w:semiHidden/>
    <w:unhideWhenUsed/>
    <w:rsid w:val="005F57E7"/>
    <w:rPr>
      <w:sz w:val="16"/>
      <w:szCs w:val="16"/>
    </w:rPr>
  </w:style>
  <w:style w:type="paragraph" w:styleId="CommentText">
    <w:name w:val="annotation text"/>
    <w:basedOn w:val="Normal"/>
    <w:link w:val="CommentTextChar"/>
    <w:uiPriority w:val="99"/>
    <w:semiHidden/>
    <w:unhideWhenUsed/>
    <w:rsid w:val="005F57E7"/>
    <w:pPr>
      <w:spacing w:line="240" w:lineRule="auto"/>
    </w:pPr>
    <w:rPr>
      <w:sz w:val="20"/>
      <w:szCs w:val="20"/>
    </w:rPr>
  </w:style>
  <w:style w:type="character" w:customStyle="1" w:styleId="CommentTextChar">
    <w:name w:val="Comment Text Char"/>
    <w:basedOn w:val="DefaultParagraphFont"/>
    <w:link w:val="CommentText"/>
    <w:uiPriority w:val="99"/>
    <w:semiHidden/>
    <w:rsid w:val="005F57E7"/>
    <w:rPr>
      <w:sz w:val="20"/>
      <w:szCs w:val="20"/>
    </w:rPr>
  </w:style>
  <w:style w:type="paragraph" w:styleId="CommentSubject">
    <w:name w:val="annotation subject"/>
    <w:basedOn w:val="CommentText"/>
    <w:next w:val="CommentText"/>
    <w:link w:val="CommentSubjectChar"/>
    <w:uiPriority w:val="99"/>
    <w:semiHidden/>
    <w:unhideWhenUsed/>
    <w:rsid w:val="005F57E7"/>
    <w:rPr>
      <w:b/>
      <w:bCs/>
    </w:rPr>
  </w:style>
  <w:style w:type="character" w:customStyle="1" w:styleId="CommentSubjectChar">
    <w:name w:val="Comment Subject Char"/>
    <w:basedOn w:val="CommentTextChar"/>
    <w:link w:val="CommentSubject"/>
    <w:uiPriority w:val="99"/>
    <w:semiHidden/>
    <w:rsid w:val="005F57E7"/>
    <w:rPr>
      <w:b/>
      <w:bCs/>
      <w:sz w:val="20"/>
      <w:szCs w:val="20"/>
    </w:rPr>
  </w:style>
  <w:style w:type="character" w:customStyle="1" w:styleId="authors">
    <w:name w:val="authors"/>
    <w:basedOn w:val="DefaultParagraphFont"/>
    <w:rsid w:val="003055E0"/>
  </w:style>
  <w:style w:type="character" w:customStyle="1" w:styleId="Date1">
    <w:name w:val="Date1"/>
    <w:basedOn w:val="DefaultParagraphFont"/>
    <w:rsid w:val="003055E0"/>
  </w:style>
  <w:style w:type="character" w:customStyle="1" w:styleId="arttitle">
    <w:name w:val="art_title"/>
    <w:basedOn w:val="DefaultParagraphFont"/>
    <w:rsid w:val="003055E0"/>
  </w:style>
  <w:style w:type="character" w:customStyle="1" w:styleId="serialtitle">
    <w:name w:val="serial_title"/>
    <w:basedOn w:val="DefaultParagraphFont"/>
    <w:rsid w:val="003055E0"/>
  </w:style>
  <w:style w:type="character" w:customStyle="1" w:styleId="volumeissue">
    <w:name w:val="volume_issue"/>
    <w:basedOn w:val="DefaultParagraphFont"/>
    <w:rsid w:val="003055E0"/>
  </w:style>
  <w:style w:type="character" w:customStyle="1" w:styleId="pagerange">
    <w:name w:val="page_range"/>
    <w:basedOn w:val="DefaultParagraphFont"/>
    <w:rsid w:val="003055E0"/>
  </w:style>
  <w:style w:type="character" w:customStyle="1" w:styleId="doilink">
    <w:name w:val="doi_link"/>
    <w:basedOn w:val="DefaultParagraphFont"/>
    <w:rsid w:val="00305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0408">
      <w:bodyDiv w:val="1"/>
      <w:marLeft w:val="0"/>
      <w:marRight w:val="0"/>
      <w:marTop w:val="0"/>
      <w:marBottom w:val="0"/>
      <w:divBdr>
        <w:top w:val="none" w:sz="0" w:space="0" w:color="auto"/>
        <w:left w:val="none" w:sz="0" w:space="0" w:color="auto"/>
        <w:bottom w:val="none" w:sz="0" w:space="0" w:color="auto"/>
        <w:right w:val="none" w:sz="0" w:space="0" w:color="auto"/>
      </w:divBdr>
    </w:div>
    <w:div w:id="127557181">
      <w:bodyDiv w:val="1"/>
      <w:marLeft w:val="0"/>
      <w:marRight w:val="0"/>
      <w:marTop w:val="0"/>
      <w:marBottom w:val="0"/>
      <w:divBdr>
        <w:top w:val="none" w:sz="0" w:space="0" w:color="auto"/>
        <w:left w:val="none" w:sz="0" w:space="0" w:color="auto"/>
        <w:bottom w:val="none" w:sz="0" w:space="0" w:color="auto"/>
        <w:right w:val="none" w:sz="0" w:space="0" w:color="auto"/>
      </w:divBdr>
    </w:div>
    <w:div w:id="237904605">
      <w:bodyDiv w:val="1"/>
      <w:marLeft w:val="0"/>
      <w:marRight w:val="0"/>
      <w:marTop w:val="0"/>
      <w:marBottom w:val="0"/>
      <w:divBdr>
        <w:top w:val="none" w:sz="0" w:space="0" w:color="auto"/>
        <w:left w:val="none" w:sz="0" w:space="0" w:color="auto"/>
        <w:bottom w:val="none" w:sz="0" w:space="0" w:color="auto"/>
        <w:right w:val="none" w:sz="0" w:space="0" w:color="auto"/>
      </w:divBdr>
    </w:div>
    <w:div w:id="258635787">
      <w:bodyDiv w:val="1"/>
      <w:marLeft w:val="0"/>
      <w:marRight w:val="0"/>
      <w:marTop w:val="0"/>
      <w:marBottom w:val="0"/>
      <w:divBdr>
        <w:top w:val="none" w:sz="0" w:space="0" w:color="auto"/>
        <w:left w:val="none" w:sz="0" w:space="0" w:color="auto"/>
        <w:bottom w:val="none" w:sz="0" w:space="0" w:color="auto"/>
        <w:right w:val="none" w:sz="0" w:space="0" w:color="auto"/>
      </w:divBdr>
    </w:div>
    <w:div w:id="310866934">
      <w:bodyDiv w:val="1"/>
      <w:marLeft w:val="0"/>
      <w:marRight w:val="0"/>
      <w:marTop w:val="0"/>
      <w:marBottom w:val="0"/>
      <w:divBdr>
        <w:top w:val="none" w:sz="0" w:space="0" w:color="auto"/>
        <w:left w:val="none" w:sz="0" w:space="0" w:color="auto"/>
        <w:bottom w:val="none" w:sz="0" w:space="0" w:color="auto"/>
        <w:right w:val="none" w:sz="0" w:space="0" w:color="auto"/>
      </w:divBdr>
    </w:div>
    <w:div w:id="354499241">
      <w:bodyDiv w:val="1"/>
      <w:marLeft w:val="0"/>
      <w:marRight w:val="0"/>
      <w:marTop w:val="0"/>
      <w:marBottom w:val="0"/>
      <w:divBdr>
        <w:top w:val="none" w:sz="0" w:space="0" w:color="auto"/>
        <w:left w:val="none" w:sz="0" w:space="0" w:color="auto"/>
        <w:bottom w:val="none" w:sz="0" w:space="0" w:color="auto"/>
        <w:right w:val="none" w:sz="0" w:space="0" w:color="auto"/>
      </w:divBdr>
    </w:div>
    <w:div w:id="454106712">
      <w:bodyDiv w:val="1"/>
      <w:marLeft w:val="0"/>
      <w:marRight w:val="0"/>
      <w:marTop w:val="0"/>
      <w:marBottom w:val="0"/>
      <w:divBdr>
        <w:top w:val="none" w:sz="0" w:space="0" w:color="auto"/>
        <w:left w:val="none" w:sz="0" w:space="0" w:color="auto"/>
        <w:bottom w:val="none" w:sz="0" w:space="0" w:color="auto"/>
        <w:right w:val="none" w:sz="0" w:space="0" w:color="auto"/>
      </w:divBdr>
      <w:divsChild>
        <w:div w:id="1158765238">
          <w:marLeft w:val="0"/>
          <w:marRight w:val="0"/>
          <w:marTop w:val="0"/>
          <w:marBottom w:val="0"/>
          <w:divBdr>
            <w:top w:val="none" w:sz="0" w:space="0" w:color="auto"/>
            <w:left w:val="none" w:sz="0" w:space="0" w:color="auto"/>
            <w:bottom w:val="none" w:sz="0" w:space="0" w:color="auto"/>
            <w:right w:val="none" w:sz="0" w:space="0" w:color="auto"/>
          </w:divBdr>
        </w:div>
      </w:divsChild>
    </w:div>
    <w:div w:id="624047705">
      <w:bodyDiv w:val="1"/>
      <w:marLeft w:val="0"/>
      <w:marRight w:val="0"/>
      <w:marTop w:val="0"/>
      <w:marBottom w:val="0"/>
      <w:divBdr>
        <w:top w:val="none" w:sz="0" w:space="0" w:color="auto"/>
        <w:left w:val="none" w:sz="0" w:space="0" w:color="auto"/>
        <w:bottom w:val="none" w:sz="0" w:space="0" w:color="auto"/>
        <w:right w:val="none" w:sz="0" w:space="0" w:color="auto"/>
      </w:divBdr>
    </w:div>
    <w:div w:id="667247673">
      <w:bodyDiv w:val="1"/>
      <w:marLeft w:val="0"/>
      <w:marRight w:val="0"/>
      <w:marTop w:val="0"/>
      <w:marBottom w:val="0"/>
      <w:divBdr>
        <w:top w:val="none" w:sz="0" w:space="0" w:color="auto"/>
        <w:left w:val="none" w:sz="0" w:space="0" w:color="auto"/>
        <w:bottom w:val="none" w:sz="0" w:space="0" w:color="auto"/>
        <w:right w:val="none" w:sz="0" w:space="0" w:color="auto"/>
      </w:divBdr>
    </w:div>
    <w:div w:id="690377228">
      <w:bodyDiv w:val="1"/>
      <w:marLeft w:val="0"/>
      <w:marRight w:val="0"/>
      <w:marTop w:val="0"/>
      <w:marBottom w:val="0"/>
      <w:divBdr>
        <w:top w:val="none" w:sz="0" w:space="0" w:color="auto"/>
        <w:left w:val="none" w:sz="0" w:space="0" w:color="auto"/>
        <w:bottom w:val="none" w:sz="0" w:space="0" w:color="auto"/>
        <w:right w:val="none" w:sz="0" w:space="0" w:color="auto"/>
      </w:divBdr>
    </w:div>
    <w:div w:id="718820994">
      <w:bodyDiv w:val="1"/>
      <w:marLeft w:val="0"/>
      <w:marRight w:val="0"/>
      <w:marTop w:val="0"/>
      <w:marBottom w:val="0"/>
      <w:divBdr>
        <w:top w:val="none" w:sz="0" w:space="0" w:color="auto"/>
        <w:left w:val="none" w:sz="0" w:space="0" w:color="auto"/>
        <w:bottom w:val="none" w:sz="0" w:space="0" w:color="auto"/>
        <w:right w:val="none" w:sz="0" w:space="0" w:color="auto"/>
      </w:divBdr>
    </w:div>
    <w:div w:id="742026303">
      <w:bodyDiv w:val="1"/>
      <w:marLeft w:val="0"/>
      <w:marRight w:val="0"/>
      <w:marTop w:val="0"/>
      <w:marBottom w:val="0"/>
      <w:divBdr>
        <w:top w:val="none" w:sz="0" w:space="0" w:color="auto"/>
        <w:left w:val="none" w:sz="0" w:space="0" w:color="auto"/>
        <w:bottom w:val="none" w:sz="0" w:space="0" w:color="auto"/>
        <w:right w:val="none" w:sz="0" w:space="0" w:color="auto"/>
      </w:divBdr>
    </w:div>
    <w:div w:id="760686092">
      <w:bodyDiv w:val="1"/>
      <w:marLeft w:val="0"/>
      <w:marRight w:val="0"/>
      <w:marTop w:val="0"/>
      <w:marBottom w:val="0"/>
      <w:divBdr>
        <w:top w:val="none" w:sz="0" w:space="0" w:color="auto"/>
        <w:left w:val="none" w:sz="0" w:space="0" w:color="auto"/>
        <w:bottom w:val="none" w:sz="0" w:space="0" w:color="auto"/>
        <w:right w:val="none" w:sz="0" w:space="0" w:color="auto"/>
      </w:divBdr>
    </w:div>
    <w:div w:id="763376268">
      <w:bodyDiv w:val="1"/>
      <w:marLeft w:val="0"/>
      <w:marRight w:val="0"/>
      <w:marTop w:val="0"/>
      <w:marBottom w:val="0"/>
      <w:divBdr>
        <w:top w:val="none" w:sz="0" w:space="0" w:color="auto"/>
        <w:left w:val="none" w:sz="0" w:space="0" w:color="auto"/>
        <w:bottom w:val="none" w:sz="0" w:space="0" w:color="auto"/>
        <w:right w:val="none" w:sz="0" w:space="0" w:color="auto"/>
      </w:divBdr>
    </w:div>
    <w:div w:id="855270860">
      <w:bodyDiv w:val="1"/>
      <w:marLeft w:val="0"/>
      <w:marRight w:val="0"/>
      <w:marTop w:val="0"/>
      <w:marBottom w:val="0"/>
      <w:divBdr>
        <w:top w:val="none" w:sz="0" w:space="0" w:color="auto"/>
        <w:left w:val="none" w:sz="0" w:space="0" w:color="auto"/>
        <w:bottom w:val="none" w:sz="0" w:space="0" w:color="auto"/>
        <w:right w:val="none" w:sz="0" w:space="0" w:color="auto"/>
      </w:divBdr>
    </w:div>
    <w:div w:id="984941761">
      <w:bodyDiv w:val="1"/>
      <w:marLeft w:val="0"/>
      <w:marRight w:val="0"/>
      <w:marTop w:val="0"/>
      <w:marBottom w:val="0"/>
      <w:divBdr>
        <w:top w:val="none" w:sz="0" w:space="0" w:color="auto"/>
        <w:left w:val="none" w:sz="0" w:space="0" w:color="auto"/>
        <w:bottom w:val="none" w:sz="0" w:space="0" w:color="auto"/>
        <w:right w:val="none" w:sz="0" w:space="0" w:color="auto"/>
      </w:divBdr>
    </w:div>
    <w:div w:id="1100830328">
      <w:bodyDiv w:val="1"/>
      <w:marLeft w:val="0"/>
      <w:marRight w:val="0"/>
      <w:marTop w:val="0"/>
      <w:marBottom w:val="0"/>
      <w:divBdr>
        <w:top w:val="none" w:sz="0" w:space="0" w:color="auto"/>
        <w:left w:val="none" w:sz="0" w:space="0" w:color="auto"/>
        <w:bottom w:val="none" w:sz="0" w:space="0" w:color="auto"/>
        <w:right w:val="none" w:sz="0" w:space="0" w:color="auto"/>
      </w:divBdr>
    </w:div>
    <w:div w:id="1165782311">
      <w:bodyDiv w:val="1"/>
      <w:marLeft w:val="0"/>
      <w:marRight w:val="0"/>
      <w:marTop w:val="0"/>
      <w:marBottom w:val="0"/>
      <w:divBdr>
        <w:top w:val="none" w:sz="0" w:space="0" w:color="auto"/>
        <w:left w:val="none" w:sz="0" w:space="0" w:color="auto"/>
        <w:bottom w:val="none" w:sz="0" w:space="0" w:color="auto"/>
        <w:right w:val="none" w:sz="0" w:space="0" w:color="auto"/>
      </w:divBdr>
    </w:div>
    <w:div w:id="1181122204">
      <w:bodyDiv w:val="1"/>
      <w:marLeft w:val="0"/>
      <w:marRight w:val="0"/>
      <w:marTop w:val="0"/>
      <w:marBottom w:val="0"/>
      <w:divBdr>
        <w:top w:val="none" w:sz="0" w:space="0" w:color="auto"/>
        <w:left w:val="none" w:sz="0" w:space="0" w:color="auto"/>
        <w:bottom w:val="none" w:sz="0" w:space="0" w:color="auto"/>
        <w:right w:val="none" w:sz="0" w:space="0" w:color="auto"/>
      </w:divBdr>
    </w:div>
    <w:div w:id="1278951941">
      <w:bodyDiv w:val="1"/>
      <w:marLeft w:val="0"/>
      <w:marRight w:val="0"/>
      <w:marTop w:val="0"/>
      <w:marBottom w:val="0"/>
      <w:divBdr>
        <w:top w:val="none" w:sz="0" w:space="0" w:color="auto"/>
        <w:left w:val="none" w:sz="0" w:space="0" w:color="auto"/>
        <w:bottom w:val="none" w:sz="0" w:space="0" w:color="auto"/>
        <w:right w:val="none" w:sz="0" w:space="0" w:color="auto"/>
      </w:divBdr>
    </w:div>
    <w:div w:id="1280137753">
      <w:bodyDiv w:val="1"/>
      <w:marLeft w:val="0"/>
      <w:marRight w:val="0"/>
      <w:marTop w:val="0"/>
      <w:marBottom w:val="0"/>
      <w:divBdr>
        <w:top w:val="none" w:sz="0" w:space="0" w:color="auto"/>
        <w:left w:val="none" w:sz="0" w:space="0" w:color="auto"/>
        <w:bottom w:val="none" w:sz="0" w:space="0" w:color="auto"/>
        <w:right w:val="none" w:sz="0" w:space="0" w:color="auto"/>
      </w:divBdr>
    </w:div>
    <w:div w:id="1312441754">
      <w:bodyDiv w:val="1"/>
      <w:marLeft w:val="0"/>
      <w:marRight w:val="0"/>
      <w:marTop w:val="0"/>
      <w:marBottom w:val="0"/>
      <w:divBdr>
        <w:top w:val="none" w:sz="0" w:space="0" w:color="auto"/>
        <w:left w:val="none" w:sz="0" w:space="0" w:color="auto"/>
        <w:bottom w:val="none" w:sz="0" w:space="0" w:color="auto"/>
        <w:right w:val="none" w:sz="0" w:space="0" w:color="auto"/>
      </w:divBdr>
    </w:div>
    <w:div w:id="1434786821">
      <w:bodyDiv w:val="1"/>
      <w:marLeft w:val="0"/>
      <w:marRight w:val="0"/>
      <w:marTop w:val="0"/>
      <w:marBottom w:val="0"/>
      <w:divBdr>
        <w:top w:val="none" w:sz="0" w:space="0" w:color="auto"/>
        <w:left w:val="none" w:sz="0" w:space="0" w:color="auto"/>
        <w:bottom w:val="none" w:sz="0" w:space="0" w:color="auto"/>
        <w:right w:val="none" w:sz="0" w:space="0" w:color="auto"/>
      </w:divBdr>
    </w:div>
    <w:div w:id="1435327685">
      <w:bodyDiv w:val="1"/>
      <w:marLeft w:val="0"/>
      <w:marRight w:val="0"/>
      <w:marTop w:val="0"/>
      <w:marBottom w:val="0"/>
      <w:divBdr>
        <w:top w:val="none" w:sz="0" w:space="0" w:color="auto"/>
        <w:left w:val="none" w:sz="0" w:space="0" w:color="auto"/>
        <w:bottom w:val="none" w:sz="0" w:space="0" w:color="auto"/>
        <w:right w:val="none" w:sz="0" w:space="0" w:color="auto"/>
      </w:divBdr>
    </w:div>
    <w:div w:id="1485779573">
      <w:bodyDiv w:val="1"/>
      <w:marLeft w:val="0"/>
      <w:marRight w:val="0"/>
      <w:marTop w:val="0"/>
      <w:marBottom w:val="0"/>
      <w:divBdr>
        <w:top w:val="none" w:sz="0" w:space="0" w:color="auto"/>
        <w:left w:val="none" w:sz="0" w:space="0" w:color="auto"/>
        <w:bottom w:val="none" w:sz="0" w:space="0" w:color="auto"/>
        <w:right w:val="none" w:sz="0" w:space="0" w:color="auto"/>
      </w:divBdr>
    </w:div>
    <w:div w:id="1486124292">
      <w:bodyDiv w:val="1"/>
      <w:marLeft w:val="0"/>
      <w:marRight w:val="0"/>
      <w:marTop w:val="0"/>
      <w:marBottom w:val="0"/>
      <w:divBdr>
        <w:top w:val="none" w:sz="0" w:space="0" w:color="auto"/>
        <w:left w:val="none" w:sz="0" w:space="0" w:color="auto"/>
        <w:bottom w:val="none" w:sz="0" w:space="0" w:color="auto"/>
        <w:right w:val="none" w:sz="0" w:space="0" w:color="auto"/>
      </w:divBdr>
    </w:div>
    <w:div w:id="1514300385">
      <w:bodyDiv w:val="1"/>
      <w:marLeft w:val="0"/>
      <w:marRight w:val="0"/>
      <w:marTop w:val="0"/>
      <w:marBottom w:val="0"/>
      <w:divBdr>
        <w:top w:val="none" w:sz="0" w:space="0" w:color="auto"/>
        <w:left w:val="none" w:sz="0" w:space="0" w:color="auto"/>
        <w:bottom w:val="none" w:sz="0" w:space="0" w:color="auto"/>
        <w:right w:val="none" w:sz="0" w:space="0" w:color="auto"/>
      </w:divBdr>
    </w:div>
    <w:div w:id="1593472209">
      <w:bodyDiv w:val="1"/>
      <w:marLeft w:val="0"/>
      <w:marRight w:val="0"/>
      <w:marTop w:val="0"/>
      <w:marBottom w:val="0"/>
      <w:divBdr>
        <w:top w:val="none" w:sz="0" w:space="0" w:color="auto"/>
        <w:left w:val="none" w:sz="0" w:space="0" w:color="auto"/>
        <w:bottom w:val="none" w:sz="0" w:space="0" w:color="auto"/>
        <w:right w:val="none" w:sz="0" w:space="0" w:color="auto"/>
      </w:divBdr>
    </w:div>
    <w:div w:id="1607541220">
      <w:bodyDiv w:val="1"/>
      <w:marLeft w:val="0"/>
      <w:marRight w:val="0"/>
      <w:marTop w:val="0"/>
      <w:marBottom w:val="0"/>
      <w:divBdr>
        <w:top w:val="none" w:sz="0" w:space="0" w:color="auto"/>
        <w:left w:val="none" w:sz="0" w:space="0" w:color="auto"/>
        <w:bottom w:val="none" w:sz="0" w:space="0" w:color="auto"/>
        <w:right w:val="none" w:sz="0" w:space="0" w:color="auto"/>
      </w:divBdr>
    </w:div>
    <w:div w:id="1620409624">
      <w:bodyDiv w:val="1"/>
      <w:marLeft w:val="0"/>
      <w:marRight w:val="0"/>
      <w:marTop w:val="0"/>
      <w:marBottom w:val="0"/>
      <w:divBdr>
        <w:top w:val="none" w:sz="0" w:space="0" w:color="auto"/>
        <w:left w:val="none" w:sz="0" w:space="0" w:color="auto"/>
        <w:bottom w:val="none" w:sz="0" w:space="0" w:color="auto"/>
        <w:right w:val="none" w:sz="0" w:space="0" w:color="auto"/>
      </w:divBdr>
    </w:div>
    <w:div w:id="1626498563">
      <w:bodyDiv w:val="1"/>
      <w:marLeft w:val="0"/>
      <w:marRight w:val="0"/>
      <w:marTop w:val="0"/>
      <w:marBottom w:val="0"/>
      <w:divBdr>
        <w:top w:val="none" w:sz="0" w:space="0" w:color="auto"/>
        <w:left w:val="none" w:sz="0" w:space="0" w:color="auto"/>
        <w:bottom w:val="none" w:sz="0" w:space="0" w:color="auto"/>
        <w:right w:val="none" w:sz="0" w:space="0" w:color="auto"/>
      </w:divBdr>
    </w:div>
    <w:div w:id="1639066622">
      <w:bodyDiv w:val="1"/>
      <w:marLeft w:val="0"/>
      <w:marRight w:val="0"/>
      <w:marTop w:val="0"/>
      <w:marBottom w:val="0"/>
      <w:divBdr>
        <w:top w:val="none" w:sz="0" w:space="0" w:color="auto"/>
        <w:left w:val="none" w:sz="0" w:space="0" w:color="auto"/>
        <w:bottom w:val="none" w:sz="0" w:space="0" w:color="auto"/>
        <w:right w:val="none" w:sz="0" w:space="0" w:color="auto"/>
      </w:divBdr>
    </w:div>
    <w:div w:id="1655450912">
      <w:bodyDiv w:val="1"/>
      <w:marLeft w:val="0"/>
      <w:marRight w:val="0"/>
      <w:marTop w:val="0"/>
      <w:marBottom w:val="0"/>
      <w:divBdr>
        <w:top w:val="none" w:sz="0" w:space="0" w:color="auto"/>
        <w:left w:val="none" w:sz="0" w:space="0" w:color="auto"/>
        <w:bottom w:val="none" w:sz="0" w:space="0" w:color="auto"/>
        <w:right w:val="none" w:sz="0" w:space="0" w:color="auto"/>
      </w:divBdr>
    </w:div>
    <w:div w:id="1711954400">
      <w:bodyDiv w:val="1"/>
      <w:marLeft w:val="0"/>
      <w:marRight w:val="0"/>
      <w:marTop w:val="0"/>
      <w:marBottom w:val="0"/>
      <w:divBdr>
        <w:top w:val="none" w:sz="0" w:space="0" w:color="auto"/>
        <w:left w:val="none" w:sz="0" w:space="0" w:color="auto"/>
        <w:bottom w:val="none" w:sz="0" w:space="0" w:color="auto"/>
        <w:right w:val="none" w:sz="0" w:space="0" w:color="auto"/>
      </w:divBdr>
    </w:div>
    <w:div w:id="1729838233">
      <w:bodyDiv w:val="1"/>
      <w:marLeft w:val="0"/>
      <w:marRight w:val="0"/>
      <w:marTop w:val="0"/>
      <w:marBottom w:val="0"/>
      <w:divBdr>
        <w:top w:val="none" w:sz="0" w:space="0" w:color="auto"/>
        <w:left w:val="none" w:sz="0" w:space="0" w:color="auto"/>
        <w:bottom w:val="none" w:sz="0" w:space="0" w:color="auto"/>
        <w:right w:val="none" w:sz="0" w:space="0" w:color="auto"/>
      </w:divBdr>
    </w:div>
    <w:div w:id="1804344932">
      <w:bodyDiv w:val="1"/>
      <w:marLeft w:val="0"/>
      <w:marRight w:val="0"/>
      <w:marTop w:val="0"/>
      <w:marBottom w:val="0"/>
      <w:divBdr>
        <w:top w:val="none" w:sz="0" w:space="0" w:color="auto"/>
        <w:left w:val="none" w:sz="0" w:space="0" w:color="auto"/>
        <w:bottom w:val="none" w:sz="0" w:space="0" w:color="auto"/>
        <w:right w:val="none" w:sz="0" w:space="0" w:color="auto"/>
      </w:divBdr>
    </w:div>
    <w:div w:id="1818066464">
      <w:bodyDiv w:val="1"/>
      <w:marLeft w:val="0"/>
      <w:marRight w:val="0"/>
      <w:marTop w:val="0"/>
      <w:marBottom w:val="0"/>
      <w:divBdr>
        <w:top w:val="none" w:sz="0" w:space="0" w:color="auto"/>
        <w:left w:val="none" w:sz="0" w:space="0" w:color="auto"/>
        <w:bottom w:val="none" w:sz="0" w:space="0" w:color="auto"/>
        <w:right w:val="none" w:sz="0" w:space="0" w:color="auto"/>
      </w:divBdr>
    </w:div>
    <w:div w:id="1827824031">
      <w:bodyDiv w:val="1"/>
      <w:marLeft w:val="0"/>
      <w:marRight w:val="0"/>
      <w:marTop w:val="0"/>
      <w:marBottom w:val="0"/>
      <w:divBdr>
        <w:top w:val="none" w:sz="0" w:space="0" w:color="auto"/>
        <w:left w:val="none" w:sz="0" w:space="0" w:color="auto"/>
        <w:bottom w:val="none" w:sz="0" w:space="0" w:color="auto"/>
        <w:right w:val="none" w:sz="0" w:space="0" w:color="auto"/>
      </w:divBdr>
    </w:div>
    <w:div w:id="1858881674">
      <w:bodyDiv w:val="1"/>
      <w:marLeft w:val="0"/>
      <w:marRight w:val="0"/>
      <w:marTop w:val="0"/>
      <w:marBottom w:val="0"/>
      <w:divBdr>
        <w:top w:val="none" w:sz="0" w:space="0" w:color="auto"/>
        <w:left w:val="none" w:sz="0" w:space="0" w:color="auto"/>
        <w:bottom w:val="none" w:sz="0" w:space="0" w:color="auto"/>
        <w:right w:val="none" w:sz="0" w:space="0" w:color="auto"/>
      </w:divBdr>
    </w:div>
    <w:div w:id="1869366763">
      <w:bodyDiv w:val="1"/>
      <w:marLeft w:val="0"/>
      <w:marRight w:val="0"/>
      <w:marTop w:val="0"/>
      <w:marBottom w:val="0"/>
      <w:divBdr>
        <w:top w:val="none" w:sz="0" w:space="0" w:color="auto"/>
        <w:left w:val="none" w:sz="0" w:space="0" w:color="auto"/>
        <w:bottom w:val="none" w:sz="0" w:space="0" w:color="auto"/>
        <w:right w:val="none" w:sz="0" w:space="0" w:color="auto"/>
      </w:divBdr>
    </w:div>
    <w:div w:id="1880162399">
      <w:bodyDiv w:val="1"/>
      <w:marLeft w:val="0"/>
      <w:marRight w:val="0"/>
      <w:marTop w:val="0"/>
      <w:marBottom w:val="0"/>
      <w:divBdr>
        <w:top w:val="none" w:sz="0" w:space="0" w:color="auto"/>
        <w:left w:val="none" w:sz="0" w:space="0" w:color="auto"/>
        <w:bottom w:val="none" w:sz="0" w:space="0" w:color="auto"/>
        <w:right w:val="none" w:sz="0" w:space="0" w:color="auto"/>
      </w:divBdr>
    </w:div>
    <w:div w:id="1896576453">
      <w:bodyDiv w:val="1"/>
      <w:marLeft w:val="0"/>
      <w:marRight w:val="0"/>
      <w:marTop w:val="0"/>
      <w:marBottom w:val="0"/>
      <w:divBdr>
        <w:top w:val="none" w:sz="0" w:space="0" w:color="auto"/>
        <w:left w:val="none" w:sz="0" w:space="0" w:color="auto"/>
        <w:bottom w:val="none" w:sz="0" w:space="0" w:color="auto"/>
        <w:right w:val="none" w:sz="0" w:space="0" w:color="auto"/>
      </w:divBdr>
    </w:div>
    <w:div w:id="1923100650">
      <w:bodyDiv w:val="1"/>
      <w:marLeft w:val="0"/>
      <w:marRight w:val="0"/>
      <w:marTop w:val="0"/>
      <w:marBottom w:val="0"/>
      <w:divBdr>
        <w:top w:val="none" w:sz="0" w:space="0" w:color="auto"/>
        <w:left w:val="none" w:sz="0" w:space="0" w:color="auto"/>
        <w:bottom w:val="none" w:sz="0" w:space="0" w:color="auto"/>
        <w:right w:val="none" w:sz="0" w:space="0" w:color="auto"/>
      </w:divBdr>
    </w:div>
    <w:div w:id="1961496474">
      <w:bodyDiv w:val="1"/>
      <w:marLeft w:val="0"/>
      <w:marRight w:val="0"/>
      <w:marTop w:val="0"/>
      <w:marBottom w:val="0"/>
      <w:divBdr>
        <w:top w:val="none" w:sz="0" w:space="0" w:color="auto"/>
        <w:left w:val="none" w:sz="0" w:space="0" w:color="auto"/>
        <w:bottom w:val="none" w:sz="0" w:space="0" w:color="auto"/>
        <w:right w:val="none" w:sz="0" w:space="0" w:color="auto"/>
      </w:divBdr>
    </w:div>
    <w:div w:id="2012485907">
      <w:bodyDiv w:val="1"/>
      <w:marLeft w:val="0"/>
      <w:marRight w:val="0"/>
      <w:marTop w:val="0"/>
      <w:marBottom w:val="0"/>
      <w:divBdr>
        <w:top w:val="none" w:sz="0" w:space="0" w:color="auto"/>
        <w:left w:val="none" w:sz="0" w:space="0" w:color="auto"/>
        <w:bottom w:val="none" w:sz="0" w:space="0" w:color="auto"/>
        <w:right w:val="none" w:sz="0" w:space="0" w:color="auto"/>
      </w:divBdr>
    </w:div>
    <w:div w:id="2024091096">
      <w:bodyDiv w:val="1"/>
      <w:marLeft w:val="0"/>
      <w:marRight w:val="0"/>
      <w:marTop w:val="0"/>
      <w:marBottom w:val="0"/>
      <w:divBdr>
        <w:top w:val="none" w:sz="0" w:space="0" w:color="auto"/>
        <w:left w:val="none" w:sz="0" w:space="0" w:color="auto"/>
        <w:bottom w:val="none" w:sz="0" w:space="0" w:color="auto"/>
        <w:right w:val="none" w:sz="0" w:space="0" w:color="auto"/>
      </w:divBdr>
    </w:div>
    <w:div w:id="2033257916">
      <w:bodyDiv w:val="1"/>
      <w:marLeft w:val="0"/>
      <w:marRight w:val="0"/>
      <w:marTop w:val="0"/>
      <w:marBottom w:val="0"/>
      <w:divBdr>
        <w:top w:val="none" w:sz="0" w:space="0" w:color="auto"/>
        <w:left w:val="none" w:sz="0" w:space="0" w:color="auto"/>
        <w:bottom w:val="none" w:sz="0" w:space="0" w:color="auto"/>
        <w:right w:val="none" w:sz="0" w:space="0" w:color="auto"/>
      </w:divBdr>
    </w:div>
    <w:div w:id="2058581269">
      <w:bodyDiv w:val="1"/>
      <w:marLeft w:val="0"/>
      <w:marRight w:val="0"/>
      <w:marTop w:val="0"/>
      <w:marBottom w:val="0"/>
      <w:divBdr>
        <w:top w:val="none" w:sz="0" w:space="0" w:color="auto"/>
        <w:left w:val="none" w:sz="0" w:space="0" w:color="auto"/>
        <w:bottom w:val="none" w:sz="0" w:space="0" w:color="auto"/>
        <w:right w:val="none" w:sz="0" w:space="0" w:color="auto"/>
      </w:divBdr>
    </w:div>
    <w:div w:id="2109619474">
      <w:bodyDiv w:val="1"/>
      <w:marLeft w:val="0"/>
      <w:marRight w:val="0"/>
      <w:marTop w:val="0"/>
      <w:marBottom w:val="0"/>
      <w:divBdr>
        <w:top w:val="none" w:sz="0" w:space="0" w:color="auto"/>
        <w:left w:val="none" w:sz="0" w:space="0" w:color="auto"/>
        <w:bottom w:val="none" w:sz="0" w:space="0" w:color="auto"/>
        <w:right w:val="none" w:sz="0" w:space="0" w:color="auto"/>
      </w:divBdr>
    </w:div>
    <w:div w:id="213517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ederalreserve.gov/pubs/feds/2008/200829/200829pap.pdf" TargetMode="External"/><Relationship Id="rId18" Type="http://schemas.openxmlformats.org/officeDocument/2006/relationships/image" Target="media/image6.emf"/><Relationship Id="rId26" Type="http://schemas.openxmlformats.org/officeDocument/2006/relationships/hyperlink" Target="https://doi.org/10.1080/08913810902934158"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fred.stlouisfed.org/series/MPRIME" TargetMode="External"/><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nniemae.com/content/fact_sheet/historical-loan-limits.pdf" TargetMode="External"/><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consumerfinance.gov/policy-compliance/rulemaking/regulations/1026/35/#a" TargetMode="External"/><Relationship Id="rId28" Type="http://schemas.openxmlformats.org/officeDocument/2006/relationships/hyperlink" Target="https://fred.stlouisfed.org/series/MORTGAGE30US" TargetMode="External"/><Relationship Id="rId10" Type="http://schemas.openxmlformats.org/officeDocument/2006/relationships/hyperlink" Target="https://www.urban.org/policy-centers/housing-finance-policy-center/projects/housing-credit-availability-index" TargetMode="External"/><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hyperlink" Target="https://www.moneyunder30.com/fico-9" TargetMode="External"/><Relationship Id="rId27" Type="http://schemas.openxmlformats.org/officeDocument/2006/relationships/hyperlink" Target="https://fred.stlouisfed.org/series/MORTPTS30US"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83A64F27234EC2828442F8574D6930"/>
        <w:category>
          <w:name w:val="General"/>
          <w:gallery w:val="placeholder"/>
        </w:category>
        <w:types>
          <w:type w:val="bbPlcHdr"/>
        </w:types>
        <w:behaviors>
          <w:behavior w:val="content"/>
        </w:behaviors>
        <w:guid w:val="{02AFAF05-74EF-42B1-B0B2-126690A245AC}"/>
      </w:docPartPr>
      <w:docPartBody>
        <w:p w:rsidR="00E33134" w:rsidRDefault="00C327EE" w:rsidP="00C327EE">
          <w:pPr>
            <w:pStyle w:val="C783A64F27234EC2828442F8574D6930"/>
          </w:pPr>
          <w:r>
            <w:rPr>
              <w:rFonts w:asciiTheme="majorHAnsi" w:eastAsiaTheme="majorEastAsia" w:hAnsiTheme="majorHAnsi" w:cstheme="majorBidi"/>
              <w:sz w:val="36"/>
              <w:szCs w:val="36"/>
            </w:rPr>
            <w:t>[Type the document title]</w:t>
          </w:r>
        </w:p>
      </w:docPartBody>
    </w:docPart>
    <w:docPart>
      <w:docPartPr>
        <w:name w:val="050C6A96164D4E9293506A17E82EB520"/>
        <w:category>
          <w:name w:val="General"/>
          <w:gallery w:val="placeholder"/>
        </w:category>
        <w:types>
          <w:type w:val="bbPlcHdr"/>
        </w:types>
        <w:behaviors>
          <w:behavior w:val="content"/>
        </w:behaviors>
        <w:guid w:val="{0554A95E-1337-43A3-B8A1-6561203BF8A9}"/>
      </w:docPartPr>
      <w:docPartBody>
        <w:p w:rsidR="00E33134" w:rsidRDefault="00C327EE" w:rsidP="00C327EE">
          <w:pPr>
            <w:pStyle w:val="050C6A96164D4E9293506A17E82EB520"/>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7EE"/>
    <w:rsid w:val="00026AEF"/>
    <w:rsid w:val="0011708F"/>
    <w:rsid w:val="001A712F"/>
    <w:rsid w:val="001D588D"/>
    <w:rsid w:val="001E2948"/>
    <w:rsid w:val="002257B0"/>
    <w:rsid w:val="003923A6"/>
    <w:rsid w:val="00431A5F"/>
    <w:rsid w:val="00526687"/>
    <w:rsid w:val="00571360"/>
    <w:rsid w:val="00690B54"/>
    <w:rsid w:val="007F005A"/>
    <w:rsid w:val="008349D4"/>
    <w:rsid w:val="008C3915"/>
    <w:rsid w:val="00A94ED8"/>
    <w:rsid w:val="00BB12A8"/>
    <w:rsid w:val="00C327EE"/>
    <w:rsid w:val="00D5060B"/>
    <w:rsid w:val="00DB6E01"/>
    <w:rsid w:val="00E33134"/>
    <w:rsid w:val="00ED6733"/>
    <w:rsid w:val="00EF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83A64F27234EC2828442F8574D6930">
    <w:name w:val="C783A64F27234EC2828442F8574D6930"/>
    <w:rsid w:val="00C327EE"/>
  </w:style>
  <w:style w:type="paragraph" w:customStyle="1" w:styleId="050C6A96164D4E9293506A17E82EB520">
    <w:name w:val="050C6A96164D4E9293506A17E82EB520"/>
    <w:rsid w:val="00C327EE"/>
  </w:style>
  <w:style w:type="paragraph" w:customStyle="1" w:styleId="07873E07677C43168DEC9CE8E845F130">
    <w:name w:val="07873E07677C43168DEC9CE8E845F130"/>
    <w:rsid w:val="003923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8D7A81-34F1-4BC6-9428-38CAE6ECB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37817</TotalTime>
  <Pages>17</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High Priced Subprime Mortgages  Bowman</vt:lpstr>
    </vt:vector>
  </TitlesOfParts>
  <Company>Wells Fargo N.A.</Company>
  <LinksUpToDate>false</LinksUpToDate>
  <CharactersWithSpaces>20567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Priced Subprime Mortgages  Bowman</dc:title>
  <dc:subject/>
  <dc:creator>Kyle Bowman</dc:creator>
  <cp:keywords/>
  <dc:description/>
  <cp:lastModifiedBy>Owner</cp:lastModifiedBy>
  <cp:revision>151</cp:revision>
  <cp:lastPrinted>2019-04-28T09:46:00Z</cp:lastPrinted>
  <dcterms:created xsi:type="dcterms:W3CDTF">2019-04-28T09:30:00Z</dcterms:created>
  <dcterms:modified xsi:type="dcterms:W3CDTF">2019-10-06T09:55:00Z</dcterms:modified>
</cp:coreProperties>
</file>