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ROC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0.487 (0.421–0.554)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Two post hoc results survive, neither adjusted for multiplicity: burial has an interval above 0.5 in the fitness screen, and sequence separation has a paired difference above distance of +0.071 (+0.005 to +0.137) in the reporter screen though its own interval contains 0.5.</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[22] measure distance from a phosphosite to the nearest functional site directly, in paired phosphorylated and unphosphorylated structures, and relate it to mechanical strain; they report co-straining for about 5% of phosphosite–functional-site pairs. That is the same distance this paper measures, evaluated against structural response rather than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[22] measures the same distance against a structural rather than a phenotypic outcome. The nearest published work otherwise measures a different relation between residues. Huang et al. [11] found structural distance to be the single most discriminating feature for cross-talk between two modifications on the same protein, at an AUC of 0.815; that figure rests on 50 positive cross-talk pairs against 1,821 controls, and structural distance had the highest missing rate of the features they compared.</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Supplementary Note S1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Supplementary Table S2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[21]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released value is doubled before use. That doubling has the meaning of a directional correction only where the column is in fact that minimum, which is not established on the 47 and 103 rows above; elsewhere in this paper the resulting endpoint is called a doubled released-column threshold for that reason.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3.</w:t>
      </w:r>
    </w:p>
    <w:p>
      <w:pPr>
        <w:spacing w:before="0" w:after="200" w:line="284" w:lineRule="exact"/>
        <w:jc w:val="left"/>
      </w:pPr>
      <w:r>
        <w:rPr>
          <w:rFonts w:ascii="Charis SIL" w:hAnsi="Charis SIL" w:cs="Charis SIL" w:eastAsia="Charis SIL"/>
          <w:b/>
          <w:i w:val="0"/>
          <w:color w:val="000000"/>
          <w:sz w:val="20"/>
        </w:rPr>
        <w:t>Table 3.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a feature that uses no structure at all outranks the declared predictor, on the paired comparison rather than on its own. The smallest gap in sequence position to an eligible annotated residue gives 0.558 (0.492–0.624), an interval that contains 0.5, so it does not separate the classes on its own account.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which excludes zero and is the only paired difference in either cohort that does. Every other comparison in both screens contains zero. Both this and the burial result above are post hoc, and neither is adjusted for the number of features and endpoints examined; they are the strongest leads here, not findings.</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 against 754 and 745 that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and the answer is Table 4. No aggregation in either cohort puts the declared predictor above chance within a protein.</w:t>
      </w:r>
    </w:p>
    <w:p>
      <w:pPr>
        <w:spacing w:before="0" w:after="200" w:line="284" w:lineRule="exact"/>
        <w:jc w:val="left"/>
      </w:pPr>
      <w:r>
        <w:rPr>
          <w:rFonts w:ascii="Charis SIL" w:hAnsi="Charis SIL" w:cs="Charis SIL" w:eastAsia="Charis SIL"/>
          <w:b/>
          <w:i w:val="0"/>
          <w:color w:val="000000"/>
          <w:sz w:val="20"/>
        </w:rPr>
        <w:t>Table 4.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180</w:t>
            </w:r>
          </w:p>
        </w:tc>
        <w:tc>
          <w:tcPr>
            <w:tcW w:type="dxa" w:w="1936"/>
          </w:tcPr>
          <w:p>
            <w:pPr>
              <w:spacing w:before="0" w:after="40" w:line="208" w:lineRule="exact"/>
              <w:jc w:val="left"/>
            </w:pPr>
            <w:r>
              <w:rPr>
                <w:rFonts w:ascii="Charis SIL" w:hAnsi="Charis SIL" w:cs="Charis SIL" w:eastAsia="Charis SIL"/>
                <w:b w:val="0"/>
                <w:i w:val="0"/>
                <w:color w:val="000000"/>
                <w:sz w:val="16"/>
              </w:rPr>
              <w:t>0.422 (0.322–0.521)</w:t>
            </w:r>
          </w:p>
        </w:tc>
        <w:tc>
          <w:tcPr>
            <w:tcW w:type="dxa" w:w="1936"/>
          </w:tcPr>
          <w:p>
            <w:pPr>
              <w:spacing w:before="0" w:after="40" w:line="208" w:lineRule="exact"/>
              <w:jc w:val="left"/>
            </w:pPr>
            <w:r>
              <w:rPr>
                <w:rFonts w:ascii="Charis SIL" w:hAnsi="Charis SIL" w:cs="Charis SIL" w:eastAsia="Charis SIL"/>
                <w:b w:val="0"/>
                <w:i w:val="0"/>
                <w:color w:val="000000"/>
                <w:sz w:val="16"/>
              </w:rPr>
              <w:t>0.384 (0.272–0.498)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Five of the six intervals contain 0.5. The exception is the reporter screen's equal-protein-weight estimate, whose upper endpoint is 0.498; it points the opposite way to the hypothesis, meaning greater distance associated with being called. It rests on 48 proteins, the pair-weighted aggregation of the same data includes 0.5, the fitness screen's two aggregations point the other way, and it is one estimate in a post hoc family that carries no multiplicity adjustment. It is reported because it is the estimate the design produces, not as evidence of an inverse relationship.</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0.527 (0.415–0.639) on the reporter screen. Li et al. [23],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Supplementary Note S3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p>
      <w:pPr>
        <w:pStyle w:val="ListNumber"/>
        <w:spacing w:before="0" w:after="60" w:line="284" w:lineRule="exact"/>
        <w:jc w:val="left"/>
      </w:pPr>
      <w:r>
        <w:rPr>
          <w:rFonts w:ascii="Charis SIL" w:hAnsi="Charis SIL" w:cs="Charis SIL" w:eastAsia="Charis SIL"/>
          <w:b w:val="0"/>
          <w:i w:val="0"/>
          <w:color w:val="000000"/>
          <w:sz w:val="20"/>
        </w:rPr>
        <w:t xml:space="preserve">Correa Marrero M, Mello VH, Sartori P, Beltrao P. Global comparative structural analysis of responses to protein phosphorylation.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2025;16:9407. doi:10.1038/s41467-025-64116-4.</w:t>
      </w:r>
    </w:p>
    <w:p>
      <w:pPr>
        <w:pStyle w:val="ListNumber"/>
        <w:spacing w:before="0" w:after="60" w:line="284" w:lineRule="exact"/>
        <w:jc w:val="left"/>
      </w:pPr>
      <w:r>
        <w:rPr>
          <w:rFonts w:ascii="Charis SIL" w:hAnsi="Charis SIL" w:cs="Charis SIL" w:eastAsia="Charis SIL"/>
          <w:b w:val="0"/>
          <w:i w:val="0"/>
          <w:color w:val="000000"/>
          <w:sz w:val="20"/>
        </w:rPr>
        <w:t xml:space="preserve">Li Y, Xu T, Ma H, et al. Functional profiling of serine, threonine and tyrosine sites. </w:t>
      </w:r>
      <w:r>
        <w:rPr>
          <w:rFonts w:ascii="Charis SIL" w:hAnsi="Charis SIL" w:cs="Charis SIL" w:eastAsia="Charis SIL"/>
          <w:b w:val="0"/>
          <w:i/>
          <w:color w:val="000000"/>
          <w:sz w:val="20"/>
        </w:rPr>
        <w:t>Nature Chemical Biology</w:t>
      </w:r>
      <w:r>
        <w:rPr>
          <w:rFonts w:ascii="Charis SIL" w:hAnsi="Charis SIL" w:cs="Charis SIL" w:eastAsia="Charis SIL"/>
          <w:b w:val="0"/>
          <w:i w:val="0"/>
          <w:color w:val="000000"/>
          <w:sz w:val="20"/>
        </w:rPr>
        <w:t>. 2025;21:532–543. doi:10.1038/s41589-024-01731-0.</w:t>
      </w:r>
    </w:p>
    <w:p>
      <w:pPr>
        <w:spacing w:before="240" w:after="120" w:line="284" w:lineRule="exact"/>
        <w:jc w:val="left"/>
      </w:pPr>
      <w:r>
        <w:rPr>
          <w:rFonts w:ascii="Charis SIL" w:hAnsi="Charis SIL" w:cs="Charis SIL" w:eastAsia="Charis SIL"/>
          <w:b/>
          <w:i w:val="0"/>
          <w:color w:val="000000"/>
          <w:sz w:val="25"/>
        </w:rPr>
        <w:t>Supplementary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Supplementary Note S1.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Supplementary Table S2.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Supplementary Note S3.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Supplementary Table S4.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