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480" w:lineRule="auto"/>
        <w:jc w:val="left"/>
      </w:pPr>
      <w:r>
        <w:rPr>
          <w:rFonts w:ascii="Charis SIL" w:hAnsi="Charis SIL" w:cs="Charis SIL" w:eastAsia="Charis SIL"/>
          <w:b w:val="0"/>
          <w:i w:val="0"/>
          <w:color w:val="000000"/>
          <w:sz w:val="20"/>
        </w:rPr>
        <w:t>In yeast, distance ranked sites at an area under the receiver-operating-characteristic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0.487 (0.421–0.554) on an NFAT reporter screen. Six further endpoint definitions, three using no p-value, all give intervals containing 0.5.</w:t>
      </w:r>
    </w:p>
    <w:p>
      <w:pPr>
        <w:spacing w:before="0" w:after="200" w:line="480" w:lineRule="auto"/>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Two post hoc results survive, neither adjusted for multiplicity: burial has an interval above 0.5 in the fitness screen, and sequence separation has a paired difference above distance of +0.071 (+0.005 to +0.137) in the reporter screen though its own interval contains 0.5.</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[21]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[21] measures the same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2.4.1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[11]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2.4.2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[20]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released value is doubled before use. That doubling has the meaning of a directional correction only where the column is in fact that minimum, which is not established on the 47 and 103 rows above; elsewhere in this paper the resulting endpoint is called a doubled released-column threshold for that reason.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a feature that uses no structure at all outranks the declared predictor, on the paired comparison rather than on its own. The smallest gap in sequence position to an eligible annotated residue gives 0.558 (0.492–0.624), an interval that contains 0.5, so it does not separate the classes on its own account.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which excludes zero and is the only paired difference in either cohort that does. Every other comparison in both screens contains zero. Both this and the burial result above are post hoc, and neither is adjusted for the number of features and endpoints examined; they are the strongest leads here, not findings.</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 against 754 and 745 that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and the answer is Table 3. No aggregation in either cohort puts the declared predictor above chance within a protein.</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180</w:t>
            </w:r>
          </w:p>
        </w:tc>
        <w:tc>
          <w:tcPr>
            <w:tcW w:type="dxa" w:w="1936"/>
          </w:tcPr>
          <w:p>
            <w:pPr>
              <w:spacing w:before="0" w:after="40" w:line="208" w:lineRule="exact"/>
              <w:jc w:val="left"/>
            </w:pPr>
            <w:r>
              <w:rPr>
                <w:rFonts w:ascii="Charis SIL" w:hAnsi="Charis SIL" w:cs="Charis SIL" w:eastAsia="Charis SIL"/>
                <w:b w:val="0"/>
                <w:i w:val="0"/>
                <w:color w:val="000000"/>
                <w:sz w:val="16"/>
              </w:rPr>
              <w:t>0.422 (0.322–0.521)</w:t>
            </w:r>
          </w:p>
        </w:tc>
        <w:tc>
          <w:tcPr>
            <w:tcW w:type="dxa" w:w="1936"/>
          </w:tcPr>
          <w:p>
            <w:pPr>
              <w:spacing w:before="0" w:after="40" w:line="208" w:lineRule="exact"/>
              <w:jc w:val="left"/>
            </w:pPr>
            <w:r>
              <w:rPr>
                <w:rFonts w:ascii="Charis SIL" w:hAnsi="Charis SIL" w:cs="Charis SIL" w:eastAsia="Charis SIL"/>
                <w:b w:val="0"/>
                <w:i w:val="0"/>
                <w:color w:val="000000"/>
                <w:sz w:val="16"/>
              </w:rPr>
              <w:t>0.384 (0.272–0.498)</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Five of the six intervals contain 0.5. The exception is the reporter screen's equal-protein-weight estimate, whose upper endpoint is 0.498; it points the opposite way to the hypothesis, meaning greater distance associated with being called. It rests on 48 proteins, the pair-weighted aggregation of the same data includes 0.5, the fitness screen's two aggregations point the other way, and it is one estimate in a post hoc family that carries no multiplicity adjustment. It is reported because it is the estimate the design produces, not as evidence of an inverse relationship.</w:t>
      </w:r>
    </w:p>
    <w:p>
      <w:pPr>
        <w:spacing w:before="0" w:after="200" w:line="480" w:lineRule="auto"/>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0.527 (0.415–0.639) on the reporter screen. Li et al. [22],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S2 Appendix records what was run and when.</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 sites, 793 proteins; 71 affected</w:t>
            </w:r>
          </w:p>
        </w:tc>
        <w:tc>
          <w:tcPr>
            <w:tcW w:type="dxa" w:w="1613"/>
          </w:tcPr>
          <w:p>
            <w:pPr>
              <w:spacing w:before="0" w:after="40" w:line="208" w:lineRule="exact"/>
              <w:jc w:val="left"/>
            </w:pPr>
            <w:r>
              <w:rPr>
                <w:rFonts w:ascii="Charis SIL" w:hAnsi="Charis SIL" w:cs="Charis SIL" w:eastAsia="Charis SIL"/>
                <w:b w:val="0"/>
                <w:i w:val="0"/>
                <w:color w:val="000000"/>
                <w:sz w:val="16"/>
              </w:rPr>
              <w:t>0.559</w:t>
            </w:r>
          </w:p>
        </w:tc>
        <w:tc>
          <w:tcPr>
            <w:tcW w:type="dxa" w:w="1613"/>
          </w:tcPr>
          <w:p>
            <w:pPr>
              <w:spacing w:before="0" w:after="40" w:line="208" w:lineRule="exact"/>
              <w:jc w:val="left"/>
            </w:pPr>
            <w:r>
              <w:rPr>
                <w:rFonts w:ascii="Charis SIL" w:hAnsi="Charis SIL" w:cs="Charis SIL" w:eastAsia="Charis SIL"/>
                <w:b w:val="0"/>
                <w:i w:val="0"/>
                <w:color w:val="000000"/>
                <w:sz w:val="16"/>
              </w:rPr>
              <w:t>0.476–0.641</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 793; 80 affected</w:t>
            </w:r>
          </w:p>
        </w:tc>
        <w:tc>
          <w:tcPr>
            <w:tcW w:type="dxa" w:w="1613"/>
          </w:tcPr>
          <w:p>
            <w:pPr>
              <w:spacing w:before="0" w:after="40" w:line="208" w:lineRule="exact"/>
              <w:jc w:val="left"/>
            </w:pPr>
            <w:r>
              <w:rPr>
                <w:rFonts w:ascii="Charis SIL" w:hAnsi="Charis SIL" w:cs="Charis SIL" w:eastAsia="Charis SIL"/>
                <w:b w:val="0"/>
                <w:i w:val="0"/>
                <w:color w:val="000000"/>
                <w:sz w:val="16"/>
              </w:rPr>
              <w:t>0.487</w:t>
            </w:r>
          </w:p>
        </w:tc>
        <w:tc>
          <w:tcPr>
            <w:tcW w:type="dxa" w:w="1613"/>
          </w:tcPr>
          <w:p>
            <w:pPr>
              <w:spacing w:before="0" w:after="40" w:line="208" w:lineRule="exact"/>
              <w:jc w:val="left"/>
            </w:pPr>
            <w:r>
              <w:rPr>
                <w:rFonts w:ascii="Charis SIL" w:hAnsi="Charis SIL" w:cs="Charis SIL" w:eastAsia="Charis SIL"/>
                <w:b w:val="0"/>
                <w:i w:val="0"/>
                <w:color w:val="000000"/>
                <w:sz w:val="16"/>
              </w:rPr>
              <w:t>0.421–0.554</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Declared within-protein estimand</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210 sites, 48 proteins, 180 pairs</w:t>
            </w:r>
          </w:p>
        </w:tc>
        <w:tc>
          <w:tcPr>
            <w:tcW w:type="dxa" w:w="1613"/>
          </w:tcPr>
          <w:p>
            <w:pPr>
              <w:spacing w:before="0" w:after="40" w:line="208" w:lineRule="exact"/>
              <w:jc w:val="left"/>
            </w:pPr>
            <w:r>
              <w:rPr>
                <w:rFonts w:ascii="Charis SIL" w:hAnsi="Charis SIL" w:cs="Charis SIL" w:eastAsia="Charis SIL"/>
                <w:b w:val="0"/>
                <w:i w:val="0"/>
                <w:color w:val="000000"/>
                <w:sz w:val="16"/>
              </w:rPr>
              <w:t>0.422</w:t>
            </w:r>
          </w:p>
        </w:tc>
        <w:tc>
          <w:tcPr>
            <w:tcW w:type="dxa" w:w="1613"/>
          </w:tcPr>
          <w:p>
            <w:pPr>
              <w:spacing w:before="0" w:after="40" w:line="208" w:lineRule="exact"/>
              <w:jc w:val="left"/>
            </w:pPr>
            <w:r>
              <w:rPr>
                <w:rFonts w:ascii="Charis SIL" w:hAnsi="Charis SIL" w:cs="Charis SIL" w:eastAsia="Charis SIL"/>
                <w:b w:val="0"/>
                <w:i w:val="0"/>
                <w:color w:val="000000"/>
                <w:sz w:val="16"/>
              </w:rPr>
              <w:t>0.322–0.521</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48 proteins</w:t>
            </w:r>
          </w:p>
        </w:tc>
        <w:tc>
          <w:tcPr>
            <w:tcW w:type="dxa" w:w="1613"/>
          </w:tcPr>
          <w:p>
            <w:pPr>
              <w:spacing w:before="0" w:after="40" w:line="208" w:lineRule="exact"/>
              <w:jc w:val="left"/>
            </w:pPr>
            <w:r>
              <w:rPr>
                <w:rFonts w:ascii="Charis SIL" w:hAnsi="Charis SIL" w:cs="Charis SIL" w:eastAsia="Charis SIL"/>
                <w:b w:val="0"/>
                <w:i w:val="0"/>
                <w:color w:val="000000"/>
                <w:sz w:val="16"/>
              </w:rPr>
              <w:t>0.384</w:t>
            </w:r>
          </w:p>
        </w:tc>
        <w:tc>
          <w:tcPr>
            <w:tcW w:type="dxa" w:w="1613"/>
          </w:tcPr>
          <w:p>
            <w:pPr>
              <w:spacing w:before="0" w:after="40" w:line="208" w:lineRule="exact"/>
              <w:jc w:val="left"/>
            </w:pPr>
            <w:r>
              <w:rPr>
                <w:rFonts w:ascii="Charis SIL" w:hAnsi="Charis SIL" w:cs="Charis SIL" w:eastAsia="Charis SIL"/>
                <w:b w:val="0"/>
                <w:i w:val="0"/>
                <w:color w:val="000000"/>
                <w:sz w:val="16"/>
              </w:rPr>
              <w:t>0.272–0.498</w:t>
            </w:r>
          </w:p>
        </w:tc>
        <w:tc>
          <w:tcPr>
            <w:tcW w:type="dxa" w:w="1613"/>
          </w:tcPr>
          <w:p>
            <w:pPr>
              <w:spacing w:before="0" w:after="40" w:line="208" w:lineRule="exact"/>
              <w:jc w:val="left"/>
            </w:pPr>
            <w:r>
              <w:rPr>
                <w:rFonts w:ascii="Charis SIL" w:hAnsi="Charis SIL" w:cs="Charis SIL" w:eastAsia="Charis SIL"/>
                <w:b w:val="0"/>
                <w:i w:val="0"/>
                <w:color w:val="000000"/>
                <w:sz w:val="16"/>
              </w:rPr>
              <w:t>Post hoc; the only interval here excluding 0.5 from below</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0.492–0.624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+0.071</w:t>
            </w:r>
          </w:p>
        </w:tc>
        <w:tc>
          <w:tcPr>
            <w:tcW w:type="dxa" w:w="1613"/>
          </w:tcPr>
          <w:p>
            <w:pPr>
              <w:spacing w:before="0" w:after="40" w:line="208" w:lineRule="exact"/>
              <w:jc w:val="left"/>
            </w:pPr>
            <w:r>
              <w:rPr>
                <w:rFonts w:ascii="Charis SIL" w:hAnsi="Charis SIL" w:cs="Charis SIL" w:eastAsia="Charis SIL"/>
                <w:b w:val="0"/>
                <w:i w:val="0"/>
                <w:color w:val="000000"/>
                <w:sz w:val="16"/>
              </w:rPr>
              <w:t>+0.005 to +0.137</w:t>
            </w:r>
          </w:p>
        </w:tc>
        <w:tc>
          <w:tcPr>
            <w:tcW w:type="dxa" w:w="1613"/>
          </w:tcPr>
          <w:p>
            <w:pPr>
              <w:spacing w:before="0" w:after="40" w:line="208" w:lineRule="exact"/>
              <w:jc w:val="left"/>
            </w:pPr>
            <w:r>
              <w:rPr>
                <w:rFonts w:ascii="Charis SIL" w:hAnsi="Charis SIL" w:cs="Charis SIL" w:eastAsia="Charis SIL"/>
                <w:b w:val="0"/>
                <w:i w:val="0"/>
                <w:color w:val="000000"/>
                <w:sz w:val="16"/>
              </w:rPr>
              <w:t>Post hoc; the only paired difference excluding zero</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1,475</w:t>
            </w:r>
          </w:p>
        </w:tc>
        <w:tc>
          <w:tcPr>
            <w:tcW w:type="dxa" w:w="1613"/>
          </w:tcPr>
          <w:p>
            <w:pPr>
              <w:spacing w:before="0" w:after="40" w:line="208" w:lineRule="exact"/>
              <w:jc w:val="left"/>
            </w:pPr>
            <w:r>
              <w:rPr>
                <w:rFonts w:ascii="Charis SIL" w:hAnsi="Charis SIL" w:cs="Charis SIL" w:eastAsia="Charis SIL"/>
                <w:b w:val="0"/>
                <w:i w:val="0"/>
                <w:color w:val="000000"/>
                <w:sz w:val="16"/>
              </w:rPr>
              <w:t>0.604</w:t>
            </w:r>
          </w:p>
        </w:tc>
        <w:tc>
          <w:tcPr>
            <w:tcW w:type="dxa" w:w="1613"/>
          </w:tcPr>
          <w:p>
            <w:pPr>
              <w:spacing w:before="0" w:after="40" w:line="208" w:lineRule="exact"/>
              <w:jc w:val="left"/>
            </w:pPr>
            <w:r>
              <w:rPr>
                <w:rFonts w:ascii="Charis SIL" w:hAnsi="Charis SIL" w:cs="Charis SIL" w:eastAsia="Charis SIL"/>
                <w:b w:val="0"/>
                <w:i w:val="0"/>
                <w:color w:val="000000"/>
                <w:sz w:val="16"/>
              </w:rPr>
              <w:t>0.528–0.675</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0.646</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0.565</w:t>
            </w:r>
          </w:p>
        </w:tc>
        <w:tc>
          <w:tcPr>
            <w:tcW w:type="dxa" w:w="1613"/>
          </w:tcPr>
          <w:p>
            <w:pPr>
              <w:spacing w:before="0" w:after="40" w:line="208" w:lineRule="exact"/>
              <w:jc w:val="left"/>
            </w:pPr>
            <w:r>
              <w:rPr>
                <w:rFonts w:ascii="Charis SIL" w:hAnsi="Charis SIL" w:cs="Charis SIL" w:eastAsia="Charis SIL"/>
                <w:b w:val="0"/>
                <w:i w:val="0"/>
                <w:color w:val="000000"/>
                <w:sz w:val="16"/>
              </w:rPr>
              <w:t>0.486–0.643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287 proteins</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0.446–0.699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512, 287</w:t>
            </w:r>
          </w:p>
        </w:tc>
        <w:tc>
          <w:tcPr>
            <w:tcW w:type="dxa" w:w="1613"/>
          </w:tcPr>
          <w:p>
            <w:pPr>
              <w:spacing w:before="0" w:after="40" w:line="208" w:lineRule="exact"/>
              <w:jc w:val="left"/>
            </w:pPr>
            <w:r>
              <w:rPr>
                <w:rFonts w:ascii="Charis SIL" w:hAnsi="Charis SIL" w:cs="Charis SIL" w:eastAsia="Charis SIL"/>
                <w:b w:val="0"/>
                <w:i w:val="0"/>
                <w:color w:val="000000"/>
                <w:sz w:val="16"/>
              </w:rPr>
              <w:t>0.491</w:t>
            </w:r>
          </w:p>
        </w:tc>
        <w:tc>
          <w:tcPr>
            <w:tcW w:type="dxa" w:w="1613"/>
          </w:tcPr>
          <w:p>
            <w:pPr>
              <w:spacing w:before="0" w:after="40" w:line="208" w:lineRule="exact"/>
              <w:jc w:val="left"/>
            </w:pPr>
            <w:r>
              <w:rPr>
                <w:rFonts w:ascii="Charis SIL" w:hAnsi="Charis SIL" w:cs="Charis SIL" w:eastAsia="Charis SIL"/>
                <w:b w:val="0"/>
                <w:i w:val="0"/>
                <w:color w:val="000000"/>
                <w:sz w:val="16"/>
              </w:rPr>
              <w:t>0.391–0.590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and all draws were retained.</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[12].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[12].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which are AlphaFold2 predictions of each protein on its own (monomer v2.0) [13,14],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[15,16]. Relative solvent accessibility was computed on the protein alone as Shrake–Rupley solvent-accessible surface area [17] divided by the per-residue maxima of Tien et al. [18].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[19],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[20],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[20]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480" w:lineRule="auto"/>
        <w:jc w:val="left"/>
      </w:pPr>
      <w:r>
        <w:rPr>
          <w:rFonts w:ascii="Charis SIL" w:hAnsi="Charis SIL" w:cs="Charis SIL" w:eastAsia="Charis SIL"/>
          <w:b/>
          <w:i w:val="0"/>
          <w:color w:val="000000"/>
          <w:sz w:val="22"/>
        </w:rPr>
        <w:t>S1 Appendix. Annotation records, residue expansion, and a withdrawn count</w:t>
      </w:r>
    </w:p>
    <w:p>
      <w:pPr>
        <w:spacing w:before="0" w:after="200" w:line="480" w:lineRule="auto"/>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480" w:lineRule="auto"/>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480" w:lineRule="auto"/>
        <w:jc w:val="left"/>
      </w:pPr>
      <w:r>
        <w:rPr>
          <w:rFonts w:ascii="Charis SIL" w:hAnsi="Charis SIL" w:cs="Charis SIL" w:eastAsia="Charis SIL"/>
          <w:b/>
          <w:i w:val="0"/>
          <w:color w:val="000000"/>
          <w:sz w:val="22"/>
        </w:rPr>
        <w:t>S1 Table.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480" w:lineRule="auto"/>
        <w:jc w:val="left"/>
      </w:pPr>
      <w:r>
        <w:rPr>
          <w:rFonts w:ascii="Charis SIL" w:hAnsi="Charis SIL" w:cs="Charis SIL" w:eastAsia="Charis SIL"/>
          <w:b/>
          <w:i w:val="0"/>
          <w:color w:val="000000"/>
          <w:sz w:val="22"/>
        </w:rPr>
        <w:t>S2 Appendix. The simulated reviews</w:t>
      </w:r>
    </w:p>
    <w:p>
      <w:pPr>
        <w:spacing w:before="0" w:after="200" w:line="480" w:lineRule="auto"/>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480" w:lineRule="auto"/>
        <w:jc w:val="left"/>
      </w:pPr>
      <w:r>
        <w:rPr>
          <w:rFonts w:ascii="Charis SIL" w:hAnsi="Charis SIL" w:cs="Charis SIL" w:eastAsia="Charis SIL"/>
          <w:b/>
          <w:i w:val="0"/>
          <w:color w:val="000000"/>
          <w:sz w:val="22"/>
        </w:rPr>
        <w:t>S2 Table. The 72-cell confidence-by-PAE grids</w:t>
      </w:r>
    </w:p>
    <w:p>
      <w:pPr>
        <w:spacing w:before="0" w:after="200" w:line="480" w:lineRule="auto"/>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