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480" w:lineRule="auto"/>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480" w:lineRule="auto"/>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vertAlign w:val="superscript"/>
        </w:rPr>
        <w:t>3</w:t>
      </w:r>
    </w:p>
    <w:p>
      <w:pPr>
        <w:spacing w:before="0" w:after="200" w:line="480" w:lineRule="auto"/>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3</w:t>
      </w:r>
      <w:r>
        <w:rPr>
          <w:rFonts w:ascii="Charis SIL" w:hAnsi="Charis SIL" w:cs="Charis SIL" w:eastAsia="Charis SIL"/>
          <w:b w:val="0"/>
          <w:i w:val="0"/>
          <w:color w:val="000000"/>
          <w:sz w:val="20"/>
        </w:rPr>
        <w:t xml:space="preserve"> Department of Electrical and Computer Engineering, Cockrell School of Engineering, The University of Texas at Austin, Austin, Texas, USA</w:t>
      </w:r>
    </w:p>
    <w:p>
      <w:pPr>
        <w:spacing w:before="0" w:after="200" w:line="480" w:lineRule="auto"/>
        <w:jc w:val="left"/>
      </w:pPr>
      <w:r>
        <w:rPr>
          <w:rFonts w:ascii="Charis SIL" w:hAnsi="Charis SIL" w:cs="Charis SIL" w:eastAsia="Charis SIL"/>
          <w:b w:val="0"/>
          <w:i w:val="0"/>
          <w:color w:val="000000"/>
          <w:sz w:val="20"/>
        </w:rPr>
        <w:t>\* Corresponding author. Email: ktn965@my.utexas.edu</w:t>
      </w:r>
    </w:p>
    <w:p>
      <w:pPr>
        <w:spacing w:before="0" w:after="200" w:line="480" w:lineRule="auto"/>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480" w:lineRule="auto"/>
        <w:jc w:val="left"/>
      </w:pPr>
      <w:r>
        <w:rPr>
          <w:rFonts w:ascii="Charis SIL" w:hAnsi="Charis SIL" w:cs="Charis SIL" w:eastAsia="Charis SIL"/>
          <w:b/>
          <w:i w:val="0"/>
          <w:color w:val="000000"/>
          <w:sz w:val="25"/>
        </w:rPr>
        <w:t>Abstract</w:t>
      </w:r>
    </w:p>
    <w:p>
      <w:pPr>
        <w:spacing w:before="0" w:after="200" w:line="480" w:lineRule="auto"/>
        <w:jc w:val="left"/>
      </w:pPr>
      <w:r>
        <w:rPr>
          <w:rFonts w:ascii="Charis SIL" w:hAnsi="Charis SIL" w:cs="Charis SIL" w:eastAsia="Charis SIL"/>
          <w:b w:val="0"/>
          <w:i w:val="0"/>
          <w:color w:val="000000"/>
          <w:sz w:val="20"/>
        </w:rPr>
        <w:t>A common rule of thumb for ranking protein modification sites is proximity to a residue already annotated as active or binding. This paper asks what that measurement contains, and how well it separates sites whose mutation changed a phenotype from those whose did not.</w:t>
      </w:r>
    </w:p>
    <w:p>
      <w:pPr>
        <w:spacing w:before="0" w:after="200" w:line="480" w:lineRule="auto"/>
        <w:jc w:val="left"/>
      </w:pPr>
      <w:r>
        <w:rPr>
          <w:rFonts w:ascii="Charis SIL" w:hAnsi="Charis SIL" w:cs="Charis SIL" w:eastAsia="Charis SIL"/>
          <w:b w:val="0"/>
          <w:i w:val="0"/>
          <w:color w:val="000000"/>
          <w:sz w:val="20"/>
        </w:rPr>
        <w:t>The predictor is the shortest distance between any non-hydrogen atom of the modified residue and any of the nearest annotated residue, in an AlphaFold DB v6 monomer model, on 163 alanine substitutions in 48 yeast proteins and 1,470 base-edited human sites in 787 proteins.</w:t>
      </w:r>
    </w:p>
    <w:p>
      <w:pPr>
        <w:spacing w:before="0" w:after="200" w:line="480" w:lineRule="auto"/>
        <w:jc w:val="left"/>
      </w:pPr>
      <w:r>
        <w:rPr>
          <w:rFonts w:ascii="Charis SIL" w:hAnsi="Charis SIL" w:cs="Charis SIL" w:eastAsia="Charis SIL"/>
          <w:b w:val="0"/>
          <w:i w:val="0"/>
          <w:color w:val="000000"/>
          <w:sz w:val="20"/>
        </w:rPr>
        <w:t>In yeast it ranked sites at an area under the receiver-operating-characteristic curve of 0.527 (95% interval 0.417–0.632, resampling whole proteins), where 0.5 is uninformative; an inclusive cohort keeping three self-annotated sites gives 0.544 (0.436–0.649). The human experiment reports two screens, analysed separately: 0.558 (0.473–0.639) on fitness and 0.483 (0.418–0.550) on an NFAT reporter. Six further endpoint definitions all contain 0.5.</w:t>
      </w:r>
    </w:p>
    <w:p>
      <w:pPr>
        <w:spacing w:before="0" w:after="200" w:line="480" w:lineRule="auto"/>
        <w:jc w:val="left"/>
      </w:pPr>
      <w:r>
        <w:rPr>
          <w:rFonts w:ascii="Charis SIL" w:hAnsi="Charis SIL" w:cs="Charis SIL" w:eastAsia="Charis SIL"/>
          <w:b w:val="0"/>
          <w:i w:val="0"/>
          <w:color w:val="000000"/>
          <w:sz w:val="20"/>
        </w:rPr>
        <w:t>What it rests on is mostly not experimental and mostly not within a protein. Of 163 yeast nearest-target assignments, 143 were not experimentally established, and 2.65% of yeast and 0.10% and 0.16% of human ranked pairs compare sites in one protein. The 1.33 Å band comes from allowing backbone atoms into the measurement; it disappears when distance is taken from the phosphate-accepting oxygen, and every interval built on that predictor still contains 0.5.</w:t>
      </w:r>
    </w:p>
    <w:p>
      <w:pPr>
        <w:spacing w:before="0" w:after="200" w:line="480" w:lineRule="auto"/>
        <w:jc w:val="left"/>
      </w:pPr>
      <w:r>
        <w:rPr>
          <w:rFonts w:ascii="Charis SIL" w:hAnsi="Charis SIL" w:cs="Charis SIL" w:eastAsia="Charis SIL"/>
          <w:b w:val="0"/>
          <w:i w:val="0"/>
          <w:color w:val="000000"/>
          <w:sz w:val="20"/>
        </w:rPr>
        <w:t>The heuristic claims short range, and these cohorts cannot test it there: 10 of 163 yeast and 37 of 1,470 human sites lie within 5 Å of a target, 6 and 16 of those within two residues in sequence. Every restricted interval contains 0.5 and is wider than the pooled one, and combining within-protein comparisons across both organisms — 278 pairs in 62 proteins — gives 0.504 (0.405–0.604). These are post hoc, and no comparator's paired difference excludes zero.</w:t>
      </w:r>
    </w:p>
    <w:p>
      <w:pPr>
        <w:spacing w:before="0" w:after="200" w:line="480" w:lineRule="auto"/>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480" w:lineRule="auto"/>
        <w:jc w:val="left"/>
      </w:pPr>
      <w:r>
        <w:rPr>
          <w:rFonts w:ascii="Charis SIL" w:hAnsi="Charis SIL" w:cs="Charis SIL" w:eastAsia="Charis SIL"/>
          <w:b/>
          <w:i w:val="0"/>
          <w:color w:val="000000"/>
          <w:sz w:val="25"/>
        </w:rPr>
        <w:t>1. Introduction</w:t>
      </w:r>
    </w:p>
    <w:p>
      <w:pPr>
        <w:spacing w:before="0" w:after="200" w:line="480" w:lineRule="auto"/>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[1,2].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480" w:lineRule="auto"/>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480" w:lineRule="auto"/>
        <w:jc w:val="left"/>
      </w:pPr>
      <w:r>
        <w:rPr>
          <w:rFonts w:ascii="Charis SIL" w:hAnsi="Charis SIL" w:cs="Charis SIL" w:eastAsia="Charis SIL"/>
          <w:b w:val="0"/>
          <w:i w:val="0"/>
          <w:color w:val="000000"/>
          <w:sz w:val="20"/>
        </w:rPr>
        <w:t>The 5 Å figure that travels with this idea traces to Strumillo et al. [4].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480" w:lineRule="auto"/>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480" w:lineRule="auto"/>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480" w:lineRule="auto"/>
        <w:jc w:val="left"/>
      </w:pPr>
      <w:r>
        <w:rPr>
          <w:rFonts w:ascii="Charis SIL" w:hAnsi="Charis SIL" w:cs="Charis SIL" w:eastAsia="Charis SIL"/>
          <w:b w:val="0"/>
          <w:i w:val="0"/>
          <w:color w:val="000000"/>
          <w:sz w:val="20"/>
        </w:rPr>
        <w:t xml:space="preserve">Two studies sit closer to this one than the rest, in different ways. Correa Marrero et al. [11]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[2]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480" w:lineRule="auto"/>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480" w:lineRule="auto"/>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[11] measures an analogous phosphosite-to-functional-site distance against a structural rather than a phenotypic outcome.</w:t>
      </w:r>
    </w:p>
    <w:p>
      <w:pPr>
        <w:spacing w:before="0" w:after="200" w:line="480" w:lineRule="auto"/>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480" w:lineRule="auto"/>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480" w:lineRule="auto"/>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480" w:lineRule="auto"/>
        <w:jc w:val="left"/>
      </w:pPr>
      <w:r>
        <w:rPr>
          <w:rFonts w:ascii="Charis SIL" w:hAnsi="Charis SIL" w:cs="Charis SIL" w:eastAsia="Charis SIL"/>
          <w:b/>
          <w:i w:val="0"/>
          <w:color w:val="000000"/>
          <w:sz w:val="25"/>
        </w:rPr>
        <w:t>Terms used</w:t>
      </w:r>
    </w:p>
    <w:p>
      <w:pPr>
        <w:pStyle w:val="ListBullet"/>
        <w:spacing w:before="0" w:after="60" w:line="480" w:lineRule="auto"/>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480" w:lineRule="auto"/>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480" w:lineRule="auto"/>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480" w:lineRule="auto"/>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480" w:lineRule="auto"/>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480" w:lineRule="auto"/>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480" w:lineRule="auto"/>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480" w:lineRule="auto"/>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480" w:lineRule="auto"/>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480" w:lineRule="auto"/>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480" w:lineRule="auto"/>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480" w:lineRule="auto"/>
        <w:jc w:val="left"/>
      </w:pPr>
      <w:r>
        <w:rPr>
          <w:rFonts w:ascii="Charis SIL" w:hAnsi="Charis SIL" w:cs="Charis SIL" w:eastAsia="Charis SIL"/>
          <w:b/>
          <w:i w:val="0"/>
          <w:color w:val="000000"/>
          <w:sz w:val="25"/>
        </w:rPr>
        <w:t>2. Results</w:t>
      </w:r>
    </w:p>
    <w:p>
      <w:pPr>
        <w:spacing w:before="240" w:after="120" w:line="480" w:lineRule="auto"/>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480" w:lineRule="auto"/>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480" w:lineRule="auto"/>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Of the 427 retained records 169 (39.6%) are affected, against 34 of the 38 excluded (89.5%).</w:t>
      </w:r>
    </w:p>
    <w:p>
      <w:pPr>
        <w:spacing w:before="0" w:after="200" w:line="480" w:lineRule="auto"/>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480" w:lineRule="auto"/>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480" w:lineRule="auto"/>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480" w:lineRule="auto"/>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480" w:lineRule="auto"/>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480" w:lineRule="auto"/>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480" w:lineRule="auto"/>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480" w:lineRule="auto"/>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480" w:lineRule="auto"/>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286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480" w:lineRule="auto"/>
        <w:jc w:val="left"/>
      </w:pPr>
      <w:r>
        <w:rPr>
          <w:rFonts w:ascii="Charis SIL" w:hAnsi="Charis SIL" w:cs="Charis SIL" w:eastAsia="Charis SIL"/>
          <w:b/>
          <w:i w:val="0"/>
          <w:color w:val="000000"/>
          <w:sz w:val="22"/>
        </w:rPr>
        <w:t>2.2 The estimate sits inside the spread of a shuffled-label null</w:t>
      </w:r>
    </w:p>
    <w:p>
      <w:pPr>
        <w:spacing w:before="0" w:after="200" w:line="480" w:lineRule="auto"/>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480" w:lineRule="auto"/>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480" w:lineRule="auto"/>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480" w:lineRule="auto"/>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480" w:lineRule="auto"/>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480" w:lineRule="auto"/>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480" w:lineRule="auto"/>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480" w:lineRule="auto"/>
        <w:jc w:val="left"/>
      </w:pPr>
      <w:r>
        <w:rPr>
          <w:rFonts w:ascii="Charis SIL" w:hAnsi="Charis SIL" w:cs="Charis SIL" w:eastAsia="Charis SIL"/>
          <w:b/>
          <w:i w:val="0"/>
          <w:color w:val="000000"/>
          <w:sz w:val="22"/>
        </w:rPr>
        <w:t>2.3 Half the sites inside 5 Å are the neighbouring residue in the chain</w:t>
      </w:r>
    </w:p>
    <w:p>
      <w:pPr>
        <w:spacing w:before="0" w:after="200" w:line="480" w:lineRule="auto"/>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 band is therefore a property of the atom-selection rule rather than of the data. Measuring instead from the oxygen that accepts the phosphate — OG in serine, OG1 in threonine, OH in tyrosine — removes it completely: these five sites move to 3.44–4.15 Å, no site in either cohort remains in the 1.30–1.35 Å band, and the shortest tip distance becomes 2.65 Å in yeast and 2.56 Å in human. §2.4 reports what that substitution does to the ranking. Their outcomes are 2 affected and 3 unaffected. A sixth, YCR087C-A S53 at 3.60 Å, has |Δposition| = 2. The remaining four have |Δposition| of 38, 38, 70 and 224, and are 2 affected and 2 unaffected.</w:t>
      </w:r>
    </w:p>
    <w:p>
      <w:pPr>
        <w:spacing w:before="0" w:after="200" w:line="480" w:lineRule="auto"/>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480" w:lineRule="auto"/>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480" w:lineRule="auto"/>
        <w:jc w:val="left"/>
      </w:pPr>
      <w:r>
        <w:rPr>
          <w:rFonts w:ascii="Charis SIL" w:hAnsi="Charis SIL" w:cs="Charis SIL" w:eastAsia="Charis SIL"/>
          <w:b w:val="0"/>
          <w:i w:val="0"/>
          <w:color w:val="000000"/>
          <w:sz w:val="20"/>
        </w:rPr>
        <w:t>The heuristic being audited is local: it says a site a few ångströms from a catalytic residue is worth testing before one far away. The pooled AUC instead ranks every affected site against every unaffected site at every distance, and in these cohorts most of those pairs are tens of ångströms apart, where no claim has been made. Restricting to sites inside each declared cut-off gives, in yeast, 0.531 (0.311–0.722) on 43 sites within 15 Å, 0.448 (0.224–0.698) on 30 within 10 Å, 0.292 (0.042–0.607) on 20 within 8 Å and 0.458 (0.111–0.833) on 10 within 5 Å; in the human fitness screen, 0.539 (0.405–0.690), 0.657 (0.443–0.819), 0.641 (0.442–0.809) and 0.576 (0.114–0.853) on 175, 94, 73 and 37 sites. Every one of these intervals contains 0.5, and every one is wider than the pooled interval it is meant to sharpen. The reporter screen has two affected sites inside 8 Å and one inside 5 Å, too few for an interval at all.</w:t>
      </w:r>
    </w:p>
    <w:p>
      <w:pPr>
        <w:spacing w:before="0" w:after="200" w:line="480" w:lineRule="auto"/>
        <w:jc w:val="left"/>
      </w:pPr>
      <w:r>
        <w:rPr>
          <w:rFonts w:ascii="Charis SIL" w:hAnsi="Charis SIL" w:cs="Charis SIL" w:eastAsia="Charis SIL"/>
          <w:b w:val="0"/>
          <w:i w:val="0"/>
          <w:color w:val="000000"/>
          <w:sz w:val="20"/>
        </w:rPr>
        <w:t xml:space="preserve">These restricted estimates and the contrasts below are post hoc and unadjusted. Twelve threshold contrasts were computed across the four declared cut-offs and three cohorts. One excludes zero — the human fitness screen at 15 Å, where the affected rate is 18 of 175 inside against 54 of 1,295 outside, a difference of +0.061 (+0.009 to +0.119). It is not evidence about proximity. Sites inside 15 Å are a structurally distinct subset: mean relative solvent accessibility 0.35 against 0.62 and mean pLDDT 75 against 43, so they are buried residues in folded, well-modelled domains while the rest are exposed residues in poorly modelled tails. Adjusting for burial alone moves the inside-15 Å coefficient from 0.97 to 0.53 and its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from 0.0007 to 0.12, and burial is already the comparator with the largest estimate in this screen (§2.7.2). One contrast excluding zero out of twelve is also what a null produces about half the time. The same 175 sites in the reporter screen give −0.005 (−0.039 to +0.033).</w:t>
      </w:r>
    </w:p>
    <w:p>
      <w:pPr>
        <w:spacing w:before="0" w:after="200" w:line="480" w:lineRule="auto"/>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480" w:lineRule="auto"/>
        <w:jc w:val="left"/>
      </w:pPr>
      <w:r>
        <w:rPr>
          <w:rFonts w:ascii="Charis SIL" w:hAnsi="Charis SIL" w:cs="Charis SIL" w:eastAsia="Charis SIL"/>
          <w:b/>
          <w:i w:val="0"/>
          <w:color w:val="000000"/>
          <w:sz w:val="22"/>
        </w:rPr>
        <w:t>2.4 No alternative predictor is distinguishable from distance on the same sites</w:t>
      </w:r>
    </w:p>
    <w:p>
      <w:pPr>
        <w:spacing w:before="0" w:after="200" w:line="480" w:lineRule="auto"/>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from the phospho-accepting oxygen</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0.416–0.633</w:t>
            </w:r>
          </w:p>
        </w:tc>
        <w:tc>
          <w:tcPr>
            <w:tcW w:type="dxa" w:w="1613"/>
          </w:tcPr>
          <w:p>
            <w:pPr>
              <w:spacing w:before="0" w:after="40" w:line="208" w:lineRule="exact"/>
              <w:jc w:val="left"/>
            </w:pPr>
            <w:r>
              <w:rPr>
                <w:rFonts w:ascii="Charis SIL" w:hAnsi="Charis SIL" w:cs="Charis SIL" w:eastAsia="Charis SIL"/>
                <w:b w:val="0"/>
                <w:i w:val="0"/>
                <w:color w:val="000000"/>
                <w:sz w:val="16"/>
              </w:rPr>
              <w:t>−0.000</w:t>
            </w:r>
          </w:p>
        </w:tc>
        <w:tc>
          <w:tcPr>
            <w:tcW w:type="dxa" w:w="1613"/>
          </w:tcPr>
          <w:p>
            <w:pPr>
              <w:spacing w:before="0" w:after="40" w:line="208" w:lineRule="exact"/>
              <w:jc w:val="left"/>
            </w:pPr>
            <w:r>
              <w:rPr>
                <w:rFonts w:ascii="Charis SIL" w:hAnsi="Charis SIL" w:cs="Charis SIL" w:eastAsia="Charis SIL"/>
                <w:b w:val="0"/>
                <w:i w:val="0"/>
                <w:color w:val="000000"/>
                <w:sz w:val="16"/>
              </w:rPr>
              <w:t>−0.007 to +0.008</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240" w:after="120" w:line="480" w:lineRule="auto"/>
        <w:jc w:val="left"/>
      </w:pPr>
      <w:r>
        <w:rPr>
          <w:rFonts w:ascii="Charis SIL" w:hAnsi="Charis SIL" w:cs="Charis SIL" w:eastAsia="Charis SIL"/>
          <w:b/>
          <w:i/>
          <w:color w:val="000000"/>
          <w:sz w:val="21"/>
        </w:rPr>
        <w:t>2.4.1 A better-specified version of the same idea</w:t>
      </w:r>
    </w:p>
    <w:p>
      <w:pPr>
        <w:spacing w:before="0" w:after="200" w:line="480" w:lineRule="auto"/>
        <w:jc w:val="left"/>
      </w:pPr>
      <w:r>
        <w:rPr>
          <w:rFonts w:ascii="Charis SIL" w:hAnsi="Charis SIL" w:cs="Charis SIL" w:eastAsia="Charis SIL"/>
          <w:b w:val="0"/>
          <w:i w:val="0"/>
          <w:color w:val="000000"/>
          <w:sz w:val="20"/>
        </w:rPr>
        <w:t>The declared predictor takes the shortest separation between any non-hydrogen atoms of the two residues, backbone included, and none of the comparators above is a better-specified version of the same idea; they are different ideas. The phosphate attaches to the side-chain tip, and that tip and the charge it carries are the mechanism the heuristic is about, so the sharper test is to measure from the accepting oxygen alone.</w:t>
      </w:r>
    </w:p>
    <w:p>
      <w:pPr>
        <w:spacing w:before="0" w:after="200" w:line="480" w:lineRule="auto"/>
        <w:jc w:val="left"/>
      </w:pPr>
      <w:r>
        <w:rPr>
          <w:rFonts w:ascii="Charis SIL" w:hAnsi="Charis SIL" w:cs="Charis SIL" w:eastAsia="Charis SIL"/>
          <w:b w:val="0"/>
          <w:i w:val="0"/>
          <w:color w:val="000000"/>
          <w:sz w:val="20"/>
        </w:rPr>
        <w:t>It changes almost nothing. In yeast the tip-oxygen predictor gives 0.527 (0.416–0.633) against the declared 0.527 (0.416–0.631), a paired difference of −0.000 (−0.007 to +0.008). In the human cohort it gives 0.562 (0.477–0.642) on the fitness screen and 0.485 (0.419–0.552) on the reporter screen, against 0.558 (0.473–0.639) and 0.483 (0.418–0.550). The fitness paired difference, +0.004 (+0.000 to +0.008), excludes zero, and expressed as pairs it is a net 405 reorderings out of 100,656: the two predictors give the same ordering on 98.4% of ranked pairs. That is distinguishable from zero and negligible in size, and it is not reported as one predictor outperforming the other.</w:t>
      </w:r>
    </w:p>
    <w:p>
      <w:pPr>
        <w:spacing w:before="0" w:after="200" w:line="480" w:lineRule="auto"/>
        <w:jc w:val="left"/>
      </w:pPr>
      <w:r>
        <w:rPr>
          <w:rFonts w:ascii="Charis SIL" w:hAnsi="Charis SIL" w:cs="Charis SIL" w:eastAsia="Charis SIL"/>
          <w:b w:val="0"/>
          <w:i w:val="0"/>
          <w:color w:val="000000"/>
          <w:sz w:val="20"/>
        </w:rPr>
        <w:t>What the substitution does change is the peptide-bond band, which disappears entirely (§2.3). The conclusion therefore holds in the form of the measurement that best matches the mechanism, which is a stronger statement than the declared predictor alone supports. Subtracting a constant for the phosphate's reach cannot alter any of these figures, because the AUC is a rank statistic and a constant offset leaves every ranking unchanged; it bears only on the cut-offs in §2.3.</w:t>
      </w:r>
    </w:p>
    <w:p>
      <w:pPr>
        <w:spacing w:before="0" w:after="200" w:line="480" w:lineRule="auto"/>
        <w:jc w:val="left"/>
      </w:pPr>
      <w:r>
        <w:rPr>
          <w:rFonts w:ascii="Charis SIL" w:hAnsi="Charis SIL" w:cs="Charis SIL" w:eastAsia="Charis SIL"/>
          <w:b w:val="0"/>
          <w:i w:val="0"/>
          <w:color w:val="000000"/>
          <w:sz w:val="20"/>
        </w:rPr>
        <w:t>All figures in this subsection are post hoc and unadjusted.</w:t>
      </w:r>
    </w:p>
    <w:p>
      <w:pPr>
        <w:spacing w:before="0" w:after="200" w:line="480" w:lineRule="auto"/>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480" w:lineRule="auto"/>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480" w:lineRule="auto"/>
        <w:jc w:val="left"/>
      </w:pPr>
      <w:r>
        <w:rPr>
          <w:rFonts w:ascii="Charis SIL" w:hAnsi="Charis SIL" w:cs="Charis SIL" w:eastAsia="Charis SIL"/>
          <w:b/>
          <w:i/>
          <w:color w:val="000000"/>
          <w:sz w:val="21"/>
        </w:rPr>
        <w:t>2.4.2 SIFT scores are missing disproportionately at long distances and affected sites</w:t>
      </w:r>
    </w:p>
    <w:p>
      <w:pPr>
        <w:spacing w:before="0" w:after="200" w:line="480" w:lineRule="auto"/>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480" w:lineRule="auto"/>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480" w:lineRule="auto"/>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480" w:lineRule="auto"/>
        <w:jc w:val="left"/>
      </w:pPr>
      <w:r>
        <w:rPr>
          <w:rFonts w:ascii="Charis SIL" w:hAnsi="Charis SIL" w:cs="Charis SIL" w:eastAsia="Charis SIL"/>
          <w:b/>
          <w:i/>
          <w:color w:val="000000"/>
          <w:sz w:val="21"/>
        </w:rPr>
        <w:t>2.4.3 Feature combinations are not distinguishable at this sample size</w:t>
      </w:r>
    </w:p>
    <w:p>
      <w:pPr>
        <w:spacing w:before="0" w:after="200" w:line="480" w:lineRule="auto"/>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480" w:lineRule="auto"/>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480" w:lineRule="auto"/>
        <w:jc w:val="left"/>
      </w:pPr>
    </w:p>
    <w:p>
      <w:pPr>
        <w:spacing w:before="0" w:after="200" w:line="480" w:lineRule="auto"/>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[13].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480" w:lineRule="auto"/>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480" w:lineRule="auto"/>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480" w:lineRule="auto"/>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480" w:lineRule="auto"/>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480" w:lineRule="auto"/>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480" w:lineRule="auto"/>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480" w:lineRule="auto"/>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480" w:lineRule="auto"/>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480" w:lineRule="auto"/>
        <w:jc w:val="left"/>
      </w:pPr>
      <w:r>
        <w:rPr>
          <w:rFonts w:ascii="Charis SIL" w:hAnsi="Charis SIL" w:cs="Charis SIL" w:eastAsia="Charis SIL"/>
          <w:b/>
          <w:i w:val="0"/>
          <w:color w:val="000000"/>
          <w:sz w:val="22"/>
        </w:rPr>
        <w:t>2.6 Distance and model confidence are largely the same variable here</w:t>
      </w:r>
    </w:p>
    <w:p>
      <w:pPr>
        <w:spacing w:before="0" w:after="200" w:line="480" w:lineRule="auto"/>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480" w:lineRule="auto"/>
        <w:jc w:val="left"/>
      </w:pPr>
      <w:r>
        <w:rPr>
          <w:rFonts w:ascii="Charis SIL" w:hAnsi="Charis SIL" w:cs="Charis SIL" w:eastAsia="Charis SIL"/>
          <w:b w:val="0"/>
          <w:i w:val="0"/>
          <w:color w:val="000000"/>
          <w:sz w:val="20"/>
        </w:rPr>
        <w:t>The full eleven-stratum family, for both cohort versions, is S1 Table and S1 Fig; its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480" w:lineRule="auto"/>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480" w:lineRule="auto"/>
        <w:jc w:val="left"/>
      </w:pPr>
      <w:r>
        <w:rPr>
          <w:rFonts w:ascii="Charis SIL" w:hAnsi="Charis SIL" w:cs="Charis SIL" w:eastAsia="Charis SIL"/>
          <w:b w:val="0"/>
          <w:i w:val="0"/>
          <w:color w:val="000000"/>
          <w:sz w:val="20"/>
        </w:rPr>
        <w:t>The four PAE summaries at 10 Å and the 72-cell grids are S2 Table; its 72 primary-cohort cells run from 0.416 to 0.569.</w:t>
      </w:r>
    </w:p>
    <w:p>
      <w:pPr>
        <w:spacing w:before="240" w:after="120" w:line="480" w:lineRule="auto"/>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480" w:lineRule="auto"/>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[14]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1,470 edited sites in 787 proteins</w:t>
      </w:r>
      <w:r>
        <w:rPr>
          <w:rFonts w:ascii="Charis SIL" w:hAnsi="Charis SIL" w:cs="Charis SIL" w:eastAsia="Charis SIL"/>
          <w:b w:val="0"/>
          <w:i w:val="0"/>
          <w:color w:val="000000"/>
          <w:sz w:val="20"/>
        </w:rPr>
        <w:t>, against 163 sites in 48 proteins in yeast.</w:t>
      </w:r>
    </w:p>
    <w:p>
      <w:pPr>
        <w:spacing w:before="0" w:after="200" w:line="480" w:lineRule="auto"/>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480" w:lineRule="auto"/>
        <w:jc w:val="left"/>
      </w:pPr>
      <w:r>
        <w:rPr>
          <w:rFonts w:ascii="Charis SIL" w:hAnsi="Charis SIL" w:cs="Charis SIL" w:eastAsia="Charis SIL"/>
          <w:b w:val="0"/>
          <w:i w:val="0"/>
          <w:color w:val="000000"/>
          <w:sz w:val="20"/>
        </w:rPr>
        <w:t>Each screen releases one value per site. That value tracks the smaller of MAGeCK's [15] two one-sided gene-level p-values on most rows but not all: reconstructing that minimum reproduces it on 1,424 of the 1,470 rows for the fitness screen and 1,370 of 1,470 for the reporter screen, and the construction of the remaining 46 and 100 is not established here. A minimum of two one-sided tests is not a two-sided p-value, so the endpoint doubles that minimum. Because the released column does not reproduce it on the 46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480" w:lineRule="auto"/>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(0.473–0.639)</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1,470 sites. Both intervals contain 0.5, and the fitness value is the further from it: shuffling the outcome labels 20,000 times puts it 1.64 standard deviations from the centre of that distribution. The shuffle moves labels between proteins and so is a diagnostic reference distribution rather than a test, for the reason given in §2.2, and no p-value is claimed from it.</w:t>
      </w:r>
    </w:p>
    <w:p>
      <w:pPr>
        <w:spacing w:before="240" w:after="120" w:line="480" w:lineRule="auto"/>
        <w:jc w:val="left"/>
      </w:pPr>
      <w:r>
        <w:rPr>
          <w:rFonts w:ascii="Charis SIL" w:hAnsi="Charis SIL" w:cs="Charis SIL" w:eastAsia="Charis SIL"/>
          <w:b/>
          <w:i/>
          <w:color w:val="000000"/>
          <w:sz w:val="21"/>
        </w:rPr>
        <w:t>2.7.1 The reading does not depend on which endpoint is chosen</w:t>
      </w:r>
    </w:p>
    <w:p>
      <w:pPr>
        <w:spacing w:before="0" w:after="200" w:line="480" w:lineRule="auto"/>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480" w:lineRule="auto"/>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0.473–0.639</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0.464–0.545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Bonferroni over the four directional p-values</w:t>
            </w:r>
          </w:p>
        </w:tc>
        <w:tc>
          <w:tcPr>
            <w:tcW w:type="dxa" w:w="2420"/>
          </w:tcPr>
          <w:p>
            <w:pPr>
              <w:spacing w:before="0" w:after="40" w:line="208" w:lineRule="exact"/>
              <w:jc w:val="left"/>
            </w:pPr>
            <w:r>
              <w:rPr>
                <w:rFonts w:ascii="Charis SIL" w:hAnsi="Charis SIL" w:cs="Charis SIL" w:eastAsia="Charis SIL"/>
                <w:b w:val="0"/>
                <w:i w:val="0"/>
                <w:color w:val="000000"/>
                <w:sz w:val="16"/>
              </w:rPr>
              <w:t>88</w:t>
            </w:r>
          </w:p>
        </w:tc>
        <w:tc>
          <w:tcPr>
            <w:tcW w:type="dxa" w:w="2420"/>
          </w:tcPr>
          <w:p>
            <w:pPr>
              <w:spacing w:before="0" w:after="40" w:line="208" w:lineRule="exact"/>
              <w:jc w:val="left"/>
            </w:pPr>
            <w:r>
              <w:rPr>
                <w:rFonts w:ascii="Charis SIL" w:hAnsi="Charis SIL" w:cs="Charis SIL" w:eastAsia="Charis SIL"/>
                <w:b w:val="0"/>
                <w:i w:val="0"/>
                <w:color w:val="000000"/>
                <w:sz w:val="16"/>
              </w:rPr>
              <w:t>0.539</w:t>
            </w:r>
          </w:p>
        </w:tc>
        <w:tc>
          <w:tcPr>
            <w:tcW w:type="dxa" w:w="2420"/>
          </w:tcPr>
          <w:p>
            <w:pPr>
              <w:spacing w:before="0" w:after="40" w:line="208" w:lineRule="exact"/>
              <w:jc w:val="left"/>
            </w:pPr>
            <w:r>
              <w:rPr>
                <w:rFonts w:ascii="Charis SIL" w:hAnsi="Charis SIL" w:cs="Charis SIL" w:eastAsia="Charis SIL"/>
                <w:b w:val="0"/>
                <w:i w:val="0"/>
                <w:color w:val="000000"/>
                <w:sz w:val="16"/>
              </w:rPr>
              <w:t>0.462–0.614</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0.451–0.557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0.454–0.561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0.429–0.781</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480" w:lineRule="auto"/>
        <w:jc w:val="left"/>
      </w:pPr>
      <w:r>
        <w:rPr>
          <w:rFonts w:ascii="Charis SIL" w:hAnsi="Charis SIL" w:cs="Charis SIL" w:eastAsia="Charis SIL"/>
          <w:b/>
          <w:i/>
          <w:color w:val="000000"/>
          <w:sz w:val="21"/>
        </w:rPr>
        <w:t>2.7.2 Two features that the pooled version hid</w:t>
      </w:r>
    </w:p>
    <w:p>
      <w:pPr>
        <w:spacing w:before="0" w:after="200" w:line="480" w:lineRule="auto"/>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480" w:lineRule="auto"/>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0.607 (0.531–0.679)</w:t>
      </w:r>
      <w:r>
        <w:rPr>
          <w:rFonts w:ascii="Charis SIL" w:hAnsi="Charis SIL" w:cs="Charis SIL" w:eastAsia="Charis SIL"/>
          <w:b w:val="0"/>
          <w:i w:val="0"/>
          <w:color w:val="000000"/>
          <w:sz w:val="20"/>
        </w:rPr>
        <w:t>, an interval that does not contain 0.5, against 0.519 (0.454–0.585) in the reporter screen, and in the yeast cohort the same quantity had the largest comparator point estimate at 0.587 without excluding 0.5. Its paired difference against distance on the same fitness sites is +0.049 (−0.019 to +0.120) and contains zero, so burial is not shown to outperform distance; the marginal result is a post hoc hypothesis about burial, not a demonstration that burial rather than distance tracks this outcome.</w:t>
      </w:r>
    </w:p>
    <w:p>
      <w:pPr>
        <w:spacing w:before="0" w:after="200" w:line="480" w:lineRule="auto"/>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(0.485–0.614),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comparator's paired difference against distance excludes zero in either cohort.</w:t>
      </w:r>
      <w:r>
        <w:rPr>
          <w:rFonts w:ascii="Charis SIL" w:hAnsi="Charis SIL" w:cs="Charis SIL" w:eastAsia="Charis SIL"/>
          <w:b w:val="0"/>
          <w:i w:val="0"/>
          <w:color w:val="000000"/>
          <w:sz w:val="20"/>
        </w:rPr>
        <w:t xml:space="preserve"> The exception is not a comparator: measuring distance from the phospho-accepting oxygen rather than any heavy atom gives a paired difference of +0.004 (+0.000 to +0.008) on the fitness screen, which is a net 405 reorderings out of 100,656 ranked pairs and is reported in §2.4.1 as the atom choice not mattering rather than as one predictor beating another. The burial result above is post hoc and unadjusted for the number of features and endpoints examined; it is the strongest lead here, not a finding.</w:t>
      </w:r>
    </w:p>
    <w:p>
      <w:pPr>
        <w:spacing w:before="240" w:after="120" w:line="480" w:lineRule="auto"/>
        <w:jc w:val="left"/>
      </w:pPr>
      <w:r>
        <w:rPr>
          <w:rFonts w:ascii="Charis SIL" w:hAnsi="Charis SIL" w:cs="Charis SIL" w:eastAsia="Charis SIL"/>
          <w:b/>
          <w:i/>
          <w:color w:val="000000"/>
          <w:sz w:val="21"/>
        </w:rPr>
        <w:t>2.7.3 What the pooled statistic estimates, and the within-protein estimate</w:t>
      </w:r>
    </w:p>
    <w:p>
      <w:pPr>
        <w:spacing w:before="0" w:after="200" w:line="480" w:lineRule="auto"/>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100,656</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113,816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480" w:lineRule="auto"/>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480" w:lineRule="auto"/>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spacing w:before="0" w:after="200" w:line="480" w:lineRule="auto"/>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except the reporter screen's equal-protein-weight estimate, whose upper endpoint is 0.489; §2.7.3 sets out why that exclusion is not reported as a result. Estimand is distinguished by colour, marker and line style together, so the panel survives grayscale.</w:t>
      </w:r>
    </w:p>
    <w:p>
      <w:pPr>
        <w:spacing w:before="0" w:after="200" w:line="480" w:lineRule="auto"/>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r>
        <w:tc>
          <w:tcPr>
            <w:tcW w:type="dxa" w:w="1936"/>
          </w:tcPr>
          <w:p>
            <w:pPr>
              <w:spacing w:before="0" w:after="40" w:line="208" w:lineRule="exact"/>
              <w:jc w:val="left"/>
            </w:pPr>
            <w:r>
              <w:rPr>
                <w:rFonts w:ascii="Charis SIL" w:hAnsi="Charis SIL" w:cs="Charis SIL" w:eastAsia="Charis SIL"/>
                <w:b/>
                <w:i w:val="0"/>
                <w:color w:val="000000"/>
                <w:sz w:val="16"/>
              </w:rPr>
              <w:t>Combined, yeast + human fitness</w:t>
            </w:r>
          </w:p>
        </w:tc>
        <w:tc>
          <w:tcPr>
            <w:tcW w:type="dxa" w:w="1936"/>
          </w:tcPr>
          <w:p>
            <w:pPr>
              <w:spacing w:before="0" w:after="40" w:line="208" w:lineRule="exact"/>
              <w:jc w:val="left"/>
            </w:pPr>
            <w:r>
              <w:rPr>
                <w:rFonts w:ascii="Charis SIL" w:hAnsi="Charis SIL" w:cs="Charis SIL" w:eastAsia="Charis SIL"/>
                <w:b/>
                <w:i w:val="0"/>
                <w:color w:val="000000"/>
                <w:sz w:val="16"/>
              </w:rPr>
              <w:t>62</w:t>
            </w:r>
          </w:p>
        </w:tc>
        <w:tc>
          <w:tcPr>
            <w:tcW w:type="dxa" w:w="1936"/>
          </w:tcPr>
          <w:p>
            <w:pPr>
              <w:spacing w:before="0" w:after="40" w:line="208" w:lineRule="exact"/>
              <w:jc w:val="left"/>
            </w:pPr>
            <w:r>
              <w:rPr>
                <w:rFonts w:ascii="Charis SIL" w:hAnsi="Charis SIL" w:cs="Charis SIL" w:eastAsia="Charis SIL"/>
                <w:b/>
                <w:i w:val="0"/>
                <w:color w:val="000000"/>
                <w:sz w:val="16"/>
              </w:rPr>
              <w:t>278</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i w:val="0"/>
                <w:color w:val="000000"/>
                <w:sz w:val="16"/>
              </w:rPr>
              <w:t>0.504 (0.405–0.604)</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787 proteins enters or leaves is measuring the precision of the estimator, not the predictor.</w:t>
      </w:r>
    </w:p>
    <w:p>
      <w:pPr>
        <w:spacing w:before="0" w:after="200" w:line="480" w:lineRule="auto"/>
        <w:jc w:val="left"/>
      </w:pPr>
      <w:r>
        <w:rPr>
          <w:rFonts w:ascii="Charis SIL" w:hAnsi="Charis SIL" w:cs="Charis SIL" w:eastAsia="Charis SIL"/>
          <w:b w:val="0"/>
          <w:i w:val="0"/>
          <w:color w:val="000000"/>
          <w:sz w:val="20"/>
        </w:rPr>
        <w:t xml:space="preserve">The three within-protein estimates are of the same quantity and were not combined above. Yeast and the human screens are independent of one another — different organism, perturbation chemistry, readout and builder — but the two human screens share all 1,470 sites and are not independent of each other, so only one enters a combination. Designating the fitness screen, the readout the source experiment leads with, an inverse-variance combination gives </w:t>
      </w:r>
      <w:r>
        <w:rPr>
          <w:rFonts w:ascii="Charis SIL" w:hAnsi="Charis SIL" w:cs="Charis SIL" w:eastAsia="Charis SIL"/>
          <w:b/>
          <w:i w:val="0"/>
          <w:color w:val="000000"/>
          <w:sz w:val="20"/>
        </w:rPr>
        <w:t>0.504 (0.405–0.604)</w:t>
      </w:r>
      <w:r>
        <w:rPr>
          <w:rFonts w:ascii="Charis SIL" w:hAnsi="Charis SIL" w:cs="Charis SIL" w:eastAsia="Charis SIL"/>
          <w:b w:val="0"/>
          <w:i w:val="0"/>
          <w:color w:val="000000"/>
          <w:sz w:val="20"/>
        </w:rPr>
        <w:t xml:space="preserve"> over </w:t>
      </w:r>
      <w:r>
        <w:rPr>
          <w:rFonts w:ascii="Charis SIL" w:hAnsi="Charis SIL" w:cs="Charis SIL" w:eastAsia="Charis SIL"/>
          <w:b/>
          <w:i w:val="0"/>
          <w:color w:val="000000"/>
          <w:sz w:val="20"/>
        </w:rPr>
        <w:t>278 within-protein pairs in 62 proteins</w:t>
      </w:r>
      <w:r>
        <w:rPr>
          <w:rFonts w:ascii="Charis SIL" w:hAnsi="Charis SIL" w:cs="Charis SIL" w:eastAsia="Charis SIL"/>
          <w:b w:val="0"/>
          <w:i w:val="0"/>
          <w:color w:val="000000"/>
          <w:sz w:val="20"/>
        </w:rPr>
        <w:t xml:space="preserve">, with Cochran's </w:t>
      </w:r>
      <w:r>
        <w:rPr>
          <w:rFonts w:ascii="Charis SIL" w:hAnsi="Charis SIL" w:cs="Charis SIL" w:eastAsia="Charis SIL"/>
          <w:b w:val="0"/>
          <w:i/>
          <w:color w:val="000000"/>
          <w:sz w:val="20"/>
        </w:rPr>
        <w:t>Q</w:t>
      </w:r>
      <w:r>
        <w:rPr>
          <w:rFonts w:ascii="Charis SIL" w:hAnsi="Charis SIL" w:cs="Charis SIL" w:eastAsia="Charis SIL"/>
          <w:b w:val="0"/>
          <w:i w:val="0"/>
          <w:color w:val="000000"/>
          <w:sz w:val="20"/>
        </w:rPr>
        <w:t xml:space="preserve"> = 0.02 on one degree of freedom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² = 0%. Substituting the reporter screen gives 0.421 (0.332–0.509) with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² = 40%. Both contain 0.5.</w:t>
      </w:r>
    </w:p>
    <w:p>
      <w:pPr>
        <w:spacing w:before="0" w:after="200" w:line="480" w:lineRule="auto"/>
        <w:jc w:val="left"/>
      </w:pPr>
      <w:r>
        <w:rPr>
          <w:rFonts w:ascii="Charis SIL" w:hAnsi="Charis SIL" w:cs="Charis SIL" w:eastAsia="Charis SIL"/>
          <w:b w:val="0"/>
          <w:i w:val="0"/>
          <w:color w:val="000000"/>
          <w:sz w:val="20"/>
        </w:rPr>
        <w:t>A conditional logistic regression stratified on protein estimates the same within-protein effect directly, rather than the mixed within-and-between effect the marginal model of §2.2 returns, and uses every protein carrying both outcome classes rather than only sites that form pairs. Per 10 Å of distance the odds ratios are 0.98 (0.77–1.25) in yeast, 0.90 (0.71–1.16) in the human fitness screen and 1.13 (0.94–1.35) in the reporter screen, on 23, 39 and 49 strata. All three contain 1. Pooling every within-protein comparison available across two organisms does not separate the classes. These estimates are post hoc and unadjusted.</w:t>
      </w:r>
    </w:p>
    <w:p>
      <w:pPr>
        <w:spacing w:before="0" w:after="200" w:line="480" w:lineRule="auto"/>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480" w:lineRule="auto"/>
        <w:jc w:val="left"/>
      </w:pPr>
      <w:r>
        <w:rPr>
          <w:rFonts w:ascii="Charis SIL" w:hAnsi="Charis SIL" w:cs="Charis SIL" w:eastAsia="Charis SIL"/>
          <w:b/>
          <w:i/>
          <w:color w:val="000000"/>
          <w:sz w:val="21"/>
        </w:rPr>
        <w:t>2.7.4 Three properties of the yeast measurement reappear</w:t>
      </w:r>
    </w:p>
    <w:p>
      <w:pPr>
        <w:spacing w:before="0" w:after="200" w:line="480" w:lineRule="auto"/>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480" w:lineRule="auto"/>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480" w:lineRule="auto"/>
        <w:jc w:val="left"/>
      </w:pPr>
      <w:r>
        <w:rPr>
          <w:rFonts w:ascii="Charis SIL" w:hAnsi="Charis SIL" w:cs="Charis SIL" w:eastAsia="Charis SIL"/>
          <w:b/>
          <w:i/>
          <w:color w:val="000000"/>
          <w:sz w:val="21"/>
        </w:rPr>
        <w:t>2.7.5 A published feature separates the classes, in one screen</w:t>
      </w:r>
    </w:p>
    <w:p>
      <w:pPr>
        <w:spacing w:before="0" w:after="200" w:line="480" w:lineRule="auto"/>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0.647 (0.565–0.723)</w:t>
      </w:r>
      <w:r>
        <w:rPr>
          <w:rFonts w:ascii="Charis SIL" w:hAnsi="Charis SIL" w:cs="Charis SIL" w:eastAsia="Charis SIL"/>
          <w:b w:val="0"/>
          <w:i w:val="0"/>
          <w:color w:val="000000"/>
          <w:sz w:val="20"/>
        </w:rPr>
        <w:t xml:space="preserve"> on the 997 sites carrying a score. On the reporter screen the same feature gives 0.575 (0.497–0.651), an interval that contains 0.5.</w:t>
      </w:r>
    </w:p>
    <w:p>
      <w:pPr>
        <w:spacing w:before="0" w:after="200" w:line="480" w:lineRule="auto"/>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The 39 sites edited cleanly from threonine to alanine carry one affected site under the fitness endpoint and none under the reporter endpoint, so no interval is estimable for them in either screen. An earlier version of this analysis reported an AUC of 0.470 (0.212–0.733) for this arm; that rested on the withdrawn pooled endpoint and is retired. Restricting instead to the 425 sites edited by a guide that made only one change, so no bystander edit is present, gives 0.516 (0.392–0.641) on the fitness screen and 0.512 (0.402–0.624) on the reporter screen. Li et al. [16],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480" w:lineRule="auto"/>
        <w:jc w:val="left"/>
      </w:pPr>
      <w:r>
        <w:rPr>
          <w:rFonts w:ascii="Charis SIL" w:hAnsi="Charis SIL" w:cs="Charis SIL" w:eastAsia="Charis SIL"/>
          <w:b/>
          <w:i/>
          <w:color w:val="000000"/>
          <w:sz w:val="21"/>
        </w:rPr>
        <w:t>2.7.6 What the two cohorts do not share</w:t>
      </w:r>
    </w:p>
    <w:p>
      <w:pPr>
        <w:spacing w:before="0" w:after="200" w:line="480" w:lineRule="auto"/>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480" w:lineRule="auto"/>
        <w:jc w:val="left"/>
      </w:pPr>
      <w:r>
        <w:rPr>
          <w:rFonts w:ascii="Charis SIL" w:hAnsi="Charis SIL" w:cs="Charis SIL" w:eastAsia="Charis SIL"/>
          <w:b/>
          <w:i w:val="0"/>
          <w:color w:val="000000"/>
          <w:sz w:val="25"/>
        </w:rPr>
        <w:t>3. Discussion</w:t>
      </w:r>
    </w:p>
    <w:p>
      <w:pPr>
        <w:spacing w:before="240" w:after="120" w:line="480" w:lineRule="auto"/>
        <w:jc w:val="left"/>
      </w:pPr>
      <w:r>
        <w:rPr>
          <w:rFonts w:ascii="Charis SIL" w:hAnsi="Charis SIL" w:cs="Charis SIL" w:eastAsia="Charis SIL"/>
          <w:b/>
          <w:i w:val="0"/>
          <w:color w:val="000000"/>
          <w:sz w:val="22"/>
        </w:rPr>
        <w:t>3.1 What the proxy measures</w:t>
      </w:r>
    </w:p>
    <w:p>
      <w:pPr>
        <w:spacing w:before="0" w:after="200" w:line="480" w:lineRule="auto"/>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480" w:lineRule="auto"/>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480" w:lineRule="auto"/>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480" w:lineRule="auto"/>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480" w:lineRule="auto"/>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480" w:lineRule="auto"/>
        <w:jc w:val="left"/>
      </w:pPr>
      <w:r>
        <w:rPr>
          <w:rFonts w:ascii="Charis SIL" w:hAnsi="Charis SIL" w:cs="Charis SIL" w:eastAsia="Charis SIL"/>
          <w:b/>
          <w:i w:val="0"/>
          <w:color w:val="000000"/>
          <w:sz w:val="22"/>
        </w:rPr>
        <w:t>3.2 What this design can resolve</w:t>
      </w:r>
    </w:p>
    <w:p>
      <w:pPr>
        <w:spacing w:before="0" w:after="200" w:line="480" w:lineRule="auto"/>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480" w:lineRule="auto"/>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480" w:lineRule="auto"/>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100,656 and 184 of 113,816,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480" w:lineRule="auto"/>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480" w:lineRule="auto"/>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480" w:lineRule="auto"/>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480" w:lineRule="auto"/>
        <w:jc w:val="left"/>
      </w:pPr>
      <w:r>
        <w:rPr>
          <w:rFonts w:ascii="Charis SIL" w:hAnsi="Charis SIL" w:cs="Charis SIL" w:eastAsia="Charis SIL"/>
          <w:b/>
          <w:i w:val="0"/>
          <w:color w:val="000000"/>
          <w:sz w:val="22"/>
        </w:rPr>
        <w:t>3.3 Limitations</w:t>
      </w:r>
    </w:p>
    <w:p>
      <w:pPr>
        <w:spacing w:before="0" w:after="200" w:line="480" w:lineRule="auto"/>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480" w:lineRule="auto"/>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480" w:lineRule="auto"/>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480" w:lineRule="auto"/>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480" w:lineRule="auto"/>
        <w:jc w:val="left"/>
      </w:pPr>
      <w:r>
        <w:rPr>
          <w:rFonts w:ascii="Charis SIL" w:hAnsi="Charis SIL" w:cs="Charis SIL" w:eastAsia="Charis SIL"/>
          <w:b/>
          <w:i w:val="0"/>
          <w:color w:val="000000"/>
          <w:sz w:val="20"/>
        </w:rPr>
        <w:t>What the human endpoint can detect.</w:t>
      </w:r>
      <w:r>
        <w:rPr>
          <w:rFonts w:ascii="Charis SIL" w:hAnsi="Charis SIL" w:cs="Charis SIL" w:eastAsia="Charis SIL"/>
          <w:b w:val="0"/>
          <w:i w:val="0"/>
          <w:color w:val="000000"/>
          <w:sz w:val="20"/>
        </w:rPr>
        <w:t xml:space="preserve"> The source experiment carries 208 essential splice-site controls, and 59.62% of them are detected at an unadjusted minimum directional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below 0.05. The declared endpoint doubles that minimum and is stricter, so fewer than three in five of the screen's own positive controls clear the threshold this paper uses. A predictor cannot rank an outcome the assay records only intermittently, and that ceiling applies to both human screens.</w:t>
      </w:r>
    </w:p>
    <w:p>
      <w:pPr>
        <w:spacing w:before="240" w:after="120" w:line="480" w:lineRule="auto"/>
        <w:jc w:val="left"/>
      </w:pPr>
      <w:r>
        <w:rPr>
          <w:rFonts w:ascii="Charis SIL" w:hAnsi="Charis SIL" w:cs="Charis SIL" w:eastAsia="Charis SIL"/>
          <w:b/>
          <w:i w:val="0"/>
          <w:color w:val="000000"/>
          <w:sz w:val="22"/>
        </w:rPr>
        <w:t>3.4 What the analysis supports, and what a usable design would need</w:t>
      </w:r>
    </w:p>
    <w:p>
      <w:pPr>
        <w:spacing w:before="0" w:after="200" w:line="480" w:lineRule="auto"/>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 sites, 787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0.473–0.639</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 787;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 the exclusion of 0.5 turns on one protein and is not reported as a result (§2.7.3)</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comparator difference (§2.4.1)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0.531–0.679</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0.647</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286 proteins</w:t>
            </w:r>
          </w:p>
        </w:tc>
        <w:tc>
          <w:tcPr>
            <w:tcW w:type="dxa" w:w="1613"/>
          </w:tcPr>
          <w:p>
            <w:pPr>
              <w:spacing w:before="0" w:after="40" w:line="208" w:lineRule="exact"/>
              <w:jc w:val="left"/>
            </w:pPr>
            <w:r>
              <w:rPr>
                <w:rFonts w:ascii="Charis SIL" w:hAnsi="Charis SIL" w:cs="Charis SIL" w:eastAsia="Charis SIL"/>
                <w:b w:val="0"/>
                <w:i w:val="0"/>
                <w:color w:val="000000"/>
                <w:sz w:val="16"/>
              </w:rPr>
              <w:t>0.576</w:t>
            </w:r>
          </w:p>
        </w:tc>
        <w:tc>
          <w:tcPr>
            <w:tcW w:type="dxa" w:w="1613"/>
          </w:tcPr>
          <w:p>
            <w:pPr>
              <w:spacing w:before="0" w:after="40" w:line="208" w:lineRule="exact"/>
              <w:jc w:val="left"/>
            </w:pPr>
            <w:r>
              <w:rPr>
                <w:rFonts w:ascii="Charis SIL" w:hAnsi="Charis SIL" w:cs="Charis SIL" w:eastAsia="Charis SIL"/>
                <w:b w:val="0"/>
                <w:i w:val="0"/>
                <w:color w:val="000000"/>
                <w:sz w:val="16"/>
              </w:rPr>
              <w:t>0.449–0.703</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480" w:lineRule="auto"/>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480" w:lineRule="auto"/>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480" w:lineRule="auto"/>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480" w:lineRule="auto"/>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787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0.166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480" w:lineRule="auto"/>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480" w:lineRule="auto"/>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480" w:lineRule="auto"/>
        <w:jc w:val="left"/>
      </w:pPr>
      <w:r>
        <w:rPr>
          <w:rFonts w:ascii="Charis SIL" w:hAnsi="Charis SIL" w:cs="Charis SIL" w:eastAsia="Charis SIL"/>
          <w:b/>
          <w:i w:val="0"/>
          <w:color w:val="000000"/>
          <w:sz w:val="25"/>
        </w:rPr>
        <w:t>4. Methods</w:t>
      </w:r>
    </w:p>
    <w:p>
      <w:pPr>
        <w:spacing w:before="240" w:after="120" w:line="480" w:lineRule="auto"/>
        <w:jc w:val="left"/>
      </w:pPr>
      <w:r>
        <w:rPr>
          <w:rFonts w:ascii="Charis SIL" w:hAnsi="Charis SIL" w:cs="Charis SIL" w:eastAsia="Charis SIL"/>
          <w:b/>
          <w:i w:val="0"/>
          <w:color w:val="000000"/>
          <w:sz w:val="22"/>
        </w:rPr>
        <w:t>4.1 Design, chronology, and what is post hoc</w:t>
      </w:r>
    </w:p>
    <w:p>
      <w:pPr>
        <w:spacing w:before="0" w:after="200" w:line="480" w:lineRule="auto"/>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480" w:lineRule="auto"/>
        <w:jc w:val="left"/>
      </w:pPr>
      <w:r>
        <w:rPr>
          <w:rFonts w:ascii="Charis SIL" w:hAnsi="Charis SIL" w:cs="Charis SIL" w:eastAsia="Charis SIL"/>
          <w:b w:val="0"/>
          <w:i w:val="0"/>
          <w:color w:val="000000"/>
          <w:sz w:val="20"/>
        </w:rPr>
        <w:t>Sites whose nearest annotated target is the site itself are excluded from the primary cohort. That decision was made after the outcome had been inspected, so it is post hoc, and the inclusive cohort — which keeps those three sites at their literal distance of 0 Å — is reported alongside the primary rather than only where it would change a reading. An earlier build of this cohort was superseded; what changed, and why, is recorded in the deposited materials.</w:t>
      </w:r>
    </w:p>
    <w:p>
      <w:pPr>
        <w:spacing w:before="240" w:after="120" w:line="480" w:lineRule="auto"/>
        <w:jc w:val="left"/>
      </w:pPr>
      <w:r>
        <w:rPr>
          <w:rFonts w:ascii="Charis SIL" w:hAnsi="Charis SIL" w:cs="Charis SIL" w:eastAsia="Charis SIL"/>
          <w:b/>
          <w:i w:val="0"/>
          <w:color w:val="000000"/>
          <w:sz w:val="22"/>
        </w:rPr>
        <w:t>4.2 Source data and cohort construction</w:t>
      </w:r>
    </w:p>
    <w:p>
      <w:pPr>
        <w:spacing w:before="0" w:after="200" w:line="480" w:lineRule="auto"/>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480" w:lineRule="auto"/>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480" w:lineRule="auto"/>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480" w:lineRule="auto"/>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480" w:lineRule="auto"/>
        <w:jc w:val="left"/>
      </w:pPr>
      <w:r>
        <w:rPr>
          <w:rFonts w:ascii="Charis SIL" w:hAnsi="Charis SIL" w:cs="Charis SIL" w:eastAsia="Charis SIL"/>
          <w:b/>
          <w:i w:val="0"/>
          <w:color w:val="000000"/>
          <w:sz w:val="22"/>
        </w:rPr>
        <w:t>4.3 The outcome, the rule for repeat strains, and the variant definitions</w:t>
      </w:r>
    </w:p>
    <w:p>
      <w:pPr>
        <w:spacing w:before="0" w:after="200" w:line="480" w:lineRule="auto"/>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480" w:lineRule="auto"/>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480" w:lineRule="auto"/>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480" w:lineRule="auto"/>
        <w:jc w:val="left"/>
      </w:pPr>
      <w:r>
        <w:rPr>
          <w:rFonts w:ascii="Charis SIL" w:hAnsi="Charis SIL" w:cs="Charis SIL" w:eastAsia="Charis SIL"/>
          <w:b/>
          <w:i w:val="0"/>
          <w:color w:val="000000"/>
          <w:sz w:val="22"/>
        </w:rPr>
        <w:t>4.4 Annotations and structures</w:t>
      </w:r>
    </w:p>
    <w:p>
      <w:pPr>
        <w:spacing w:before="0" w:after="200" w:line="480" w:lineRule="auto"/>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[17,18].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[18],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[17].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480" w:lineRule="auto"/>
        <w:jc w:val="left"/>
      </w:pPr>
      <w:r>
        <w:rPr>
          <w:rFonts w:ascii="Charis SIL" w:hAnsi="Charis SIL" w:cs="Charis SIL" w:eastAsia="Charis SIL"/>
          <w:b w:val="0"/>
          <w:i w:val="0"/>
          <w:color w:val="000000"/>
          <w:sz w:val="20"/>
        </w:rPr>
        <w:t>Structures were AlphaFold DB entry version 6 [19], which are AlphaFold2 predictions of each protein on its own (monomer v2.0) [20,21],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480" w:lineRule="auto"/>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[22,23]. Relative solvent accessibility was computed on the protein alone as Shrake–Rupley solvent-accessible surface area [24] divided by the per-residue maxima of Tien et al. [25].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480" w:lineRule="auto"/>
        <w:jc w:val="left"/>
      </w:pPr>
      <w:r>
        <w:rPr>
          <w:rFonts w:ascii="Charis SIL" w:hAnsi="Charis SIL" w:cs="Charis SIL" w:eastAsia="Charis SIL"/>
          <w:b/>
          <w:i w:val="0"/>
          <w:color w:val="000000"/>
          <w:sz w:val="22"/>
        </w:rPr>
        <w:t>4.5 Predictor and statistical analysis</w:t>
      </w:r>
    </w:p>
    <w:p>
      <w:pPr>
        <w:spacing w:before="0" w:after="200" w:line="480" w:lineRule="auto"/>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480" w:lineRule="auto"/>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480" w:lineRule="auto"/>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480" w:lineRule="auto"/>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480" w:lineRule="auto"/>
        <w:jc w:val="left"/>
      </w:pPr>
      <w:r>
        <w:rPr>
          <w:rFonts w:ascii="Charis SIL" w:hAnsi="Charis SIL" w:cs="Charis SIL" w:eastAsia="Charis SIL"/>
          <w:b/>
          <w:i w:val="0"/>
          <w:color w:val="000000"/>
          <w:sz w:val="22"/>
        </w:rPr>
        <w:t>4.6 Round-2 analyses, software, and reproducibility</w:t>
      </w:r>
    </w:p>
    <w:p>
      <w:pPr>
        <w:spacing w:before="0" w:after="200" w:line="480" w:lineRule="auto"/>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480" w:lineRule="auto"/>
        <w:jc w:val="left"/>
      </w:pPr>
      <w:r>
        <w:rPr>
          <w:rFonts w:ascii="Charis SIL" w:hAnsi="Charis SIL" w:cs="Charis SIL" w:eastAsia="Charis SIL"/>
          <w:b w:val="0"/>
          <w:i w:val="0"/>
          <w:color w:val="000000"/>
          <w:sz w:val="20"/>
        </w:rPr>
        <w:t xml:space="preserve">The frozen software environment was CPython 3.12.4 with NumPy 1.26.4, pandas 2.2.2, SciPy 1.13.1, scikit-learn 1.4.2 [26],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480" w:lineRule="auto"/>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480" w:lineRule="auto"/>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480" w:lineRule="auto"/>
        <w:jc w:val="left"/>
      </w:pPr>
      <w:r>
        <w:rPr>
          <w:rFonts w:ascii="Charis SIL" w:hAnsi="Charis SIL" w:cs="Charis SIL" w:eastAsia="Charis SIL"/>
          <w:b/>
          <w:i w:val="0"/>
          <w:color w:val="000000"/>
          <w:sz w:val="22"/>
        </w:rPr>
        <w:t>4.7 The human replication cohort</w:t>
      </w:r>
    </w:p>
    <w:p>
      <w:pPr>
        <w:spacing w:before="0" w:after="200" w:line="480" w:lineRule="auto"/>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[14],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candidate table this builder starts from is produced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and the cohort is rebuilt end to end from source with the network disabled: the build fails rather than dropping an accession whose cached record is missing, every structure is asserted to be the exact canonical AlphaFold DB v6 model for its accession, and the model sequence and residue numbering are checked against UniProt before a distance is taken. Reconciling that rebuild against the earlier table moved eight rows, all of them gene symbols matching more than one reviewed human entry, and corrected one site that had been assigned to an entry for a different protein (TKT S308, mapped to DDR2, which also carries a serine at 308). A later provenance audit found the model downloader had accepted the first entry the AlphaFold API returned, an isoform model for eleven accessions; three were replaced with the canonical model, eight had no canonical entry and were removed, and the one previously analysed site lost that way is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 Sites were kept when the model reproduced the reviewed sequence at that position and the protein carried at least one eligible annotated residue, leaving 1,470 sites in 787 proteins.</w:t>
      </w:r>
    </w:p>
    <w:p>
      <w:pPr>
        <w:spacing w:before="0" w:after="200" w:line="480" w:lineRule="auto"/>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1,470 sites in 787 proteins</w:t>
      </w:r>
      <w:r>
        <w:rPr>
          <w:rFonts w:ascii="Charis SIL" w:hAnsi="Charis SIL" w:cs="Charis SIL" w:eastAsia="Charis SIL"/>
          <w:b w:val="0"/>
          <w:i w:val="0"/>
          <w:color w:val="000000"/>
          <w:sz w:val="20"/>
        </w:rPr>
        <w:t xml:space="preserve"> with a distance on an exact-canonical AlphaFold DB v6 model.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480" w:lineRule="auto"/>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46 fitness rows and 100 reporter rows, which is why the endpoint is built from the directional columns. The first version of this analysis pooled the two screens at an uncorrected 0.05 and is withdrawn; that arm, a union carrying a Bonferroni correction over all four directional p-values, and the five other candidate definitions are reported in Table 2, and the numerical authority marks the declaration as post hoc.</w:t>
      </w:r>
    </w:p>
    <w:p>
      <w:pPr>
        <w:spacing w:before="0" w:after="200" w:line="480" w:lineRule="auto"/>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480" w:lineRule="auto"/>
        <w:jc w:val="left"/>
      </w:pPr>
      <w:r>
        <w:rPr>
          <w:rFonts w:ascii="Charis SIL" w:hAnsi="Charis SIL" w:cs="Charis SIL" w:eastAsia="Charis SIL"/>
          <w:b/>
          <w:i w:val="0"/>
          <w:color w:val="000000"/>
          <w:sz w:val="22"/>
        </w:rPr>
        <w:t>4.8 Ethics</w:t>
      </w:r>
    </w:p>
    <w:p>
      <w:pPr>
        <w:spacing w:before="0" w:after="200" w:line="480" w:lineRule="auto"/>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480" w:lineRule="auto"/>
        <w:jc w:val="left"/>
      </w:pPr>
      <w:r>
        <w:rPr>
          <w:rFonts w:ascii="Charis SIL" w:hAnsi="Charis SIL" w:cs="Charis SIL" w:eastAsia="Charis SIL"/>
          <w:b/>
          <w:i w:val="0"/>
          <w:color w:val="000000"/>
          <w:sz w:val="22"/>
        </w:rPr>
        <w:t>4.9 Use of AI tools</w:t>
      </w:r>
    </w:p>
    <w:p>
      <w:pPr>
        <w:spacing w:before="0" w:after="200" w:line="480" w:lineRule="auto"/>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480" w:lineRule="auto"/>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480" w:lineRule="auto"/>
        <w:jc w:val="left"/>
      </w:pPr>
      <w:r>
        <w:rPr>
          <w:rFonts w:ascii="Charis SIL" w:hAnsi="Charis SIL" w:cs="Charis SIL" w:eastAsia="Charis SIL"/>
          <w:b/>
          <w:i w:val="0"/>
          <w:color w:val="000000"/>
          <w:sz w:val="25"/>
        </w:rPr>
        <w:t>Data and code availability</w:t>
      </w:r>
    </w:p>
    <w:p>
      <w:pPr>
        <w:spacing w:before="0" w:after="200" w:line="480" w:lineRule="auto"/>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archived at Zenodo, doi:10.5281/zenodo.22052999, which resolves to the current version; the release accompanying this manuscript is doi:10.5281/zenodo.22053000. Development history is at https://github.com/kyle-nguyen-git/phosphosite-proximity.</w:t>
      </w:r>
    </w:p>
    <w:p>
      <w:pPr>
        <w:spacing w:before="0" w:after="200" w:line="480" w:lineRule="auto"/>
        <w:jc w:val="left"/>
      </w:pPr>
      <w:r>
        <w:rPr>
          <w:rFonts w:ascii="Charis SIL" w:hAnsi="Charis SIL" w:cs="Charis SIL" w:eastAsia="Charis SIL"/>
          <w:b w:val="0"/>
          <w:i w:val="0"/>
          <w:color w:val="000000"/>
          <w:sz w:val="20"/>
        </w:rPr>
        <w:t xml:space="preserve">The human cohort draws on Supplementary Tables 3 and 4 of Kennedy et al. [14]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The build runs with the network disabled and fails rather than dropping an accession whose cached record is missing. Every structure is asserted to be the exact canonical AlphaFold DB v6 model for its accession, and the model sequence and residue numbering are checked against UniProt before a distance is taken; 789 of the 812 candidate accessions have such a model. That assertion was added after an audit found the original downloader had accepted the first entry the AlphaFold API returned, which was an isoform model for eleven accessions: three were replaced with the canonical model, eight had no canonical entry and were removed, and all eleven displaced files are retained in the deposited cache. The correction removed one previously analysed site,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w:t>
      </w:r>
    </w:p>
    <w:p>
      <w:pPr>
        <w:spacing w:before="240" w:after="120" w:line="480" w:lineRule="auto"/>
        <w:jc w:val="left"/>
      </w:pPr>
      <w:r>
        <w:rPr>
          <w:rFonts w:ascii="Charis SIL" w:hAnsi="Charis SIL" w:cs="Charis SIL" w:eastAsia="Charis SIL"/>
          <w:b/>
          <w:i w:val="0"/>
          <w:color w:val="000000"/>
          <w:sz w:val="25"/>
        </w:rPr>
        <w:t>Author contributions</w:t>
      </w:r>
    </w:p>
    <w:p>
      <w:pPr>
        <w:spacing w:before="0" w:after="200" w:line="480" w:lineRule="auto"/>
        <w:jc w:val="left"/>
      </w:pPr>
      <w:r>
        <w:rPr>
          <w:rFonts w:ascii="Charis SIL" w:hAnsi="Charis SIL" w:cs="Charis SIL" w:eastAsia="Charis SIL"/>
          <w:b w:val="0"/>
          <w:i w:val="0"/>
          <w:color w:val="000000"/>
          <w:sz w:val="20"/>
        </w:rPr>
        <w:t>Stated using CRediT roles.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rPr>
        <w:t xml:space="preserve"> Conceptualization; Data curation; Formal analysis; Investigation; Methodology; Software; Validation; Visualization; Writing – original draft; Writing – review and editing.</w:t>
      </w:r>
    </w:p>
    <w:p>
      <w:pPr>
        <w:spacing w:before="0" w:after="200" w:line="480" w:lineRule="auto"/>
        <w:jc w:val="left"/>
      </w:pP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rPr>
        <w:t xml:space="preserve"> Methodology; Software; Validation; Writing – review and editing.</w:t>
      </w:r>
    </w:p>
    <w:p>
      <w:pPr>
        <w:spacing w:before="0" w:after="200" w:line="480" w:lineRule="auto"/>
        <w:jc w:val="left"/>
      </w:pP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rPr>
        <w:t xml:space="preserve"> Validation; Methodology; Writing – review and editing. Identified the atom-selection basis of the peptide-bond artefact, the mismatch between the range over which the statistic is computed and the range over which the heuristic is claimed, the internal numerical disagreements between the Results text and Table 4, and the absence of a combined within-protein estimate.</w:t>
      </w:r>
    </w:p>
    <w:p>
      <w:pPr>
        <w:spacing w:before="240" w:after="120" w:line="480" w:lineRule="auto"/>
        <w:jc w:val="left"/>
      </w:pPr>
      <w:r>
        <w:rPr>
          <w:rFonts w:ascii="Charis SIL" w:hAnsi="Charis SIL" w:cs="Charis SIL" w:eastAsia="Charis SIL"/>
          <w:b/>
          <w:i w:val="0"/>
          <w:color w:val="000000"/>
          <w:sz w:val="25"/>
        </w:rPr>
        <w:t>Funding</w:t>
      </w:r>
    </w:p>
    <w:p>
      <w:pPr>
        <w:spacing w:before="0" w:after="200" w:line="480" w:lineRule="auto"/>
        <w:jc w:val="left"/>
      </w:pPr>
      <w:r>
        <w:rPr>
          <w:rFonts w:ascii="Charis SIL" w:hAnsi="Charis SIL" w:cs="Charis SIL" w:eastAsia="Charis SIL"/>
          <w:b w:val="0"/>
          <w:i w:val="0"/>
          <w:color w:val="000000"/>
          <w:sz w:val="20"/>
        </w:rPr>
        <w:t>The authors received no specific funding for this work. It was carried out independently of any institution, without institutional funding, supervision or resources.</w:t>
      </w:r>
    </w:p>
    <w:p>
      <w:pPr>
        <w:spacing w:before="240" w:after="120" w:line="480" w:lineRule="auto"/>
        <w:jc w:val="left"/>
      </w:pPr>
      <w:r>
        <w:rPr>
          <w:rFonts w:ascii="Charis SIL" w:hAnsi="Charis SIL" w:cs="Charis SIL" w:eastAsia="Charis SIL"/>
          <w:b/>
          <w:i w:val="0"/>
          <w:color w:val="000000"/>
          <w:sz w:val="25"/>
        </w:rPr>
        <w:t>Competing interests</w:t>
      </w:r>
    </w:p>
    <w:p>
      <w:pPr>
        <w:spacing w:before="0" w:after="200" w:line="480" w:lineRule="auto"/>
        <w:jc w:val="left"/>
      </w:pPr>
      <w:r>
        <w:rPr>
          <w:rFonts w:ascii="Charis SIL" w:hAnsi="Charis SIL" w:cs="Charis SIL" w:eastAsia="Charis SIL"/>
          <w:b w:val="0"/>
          <w:i w:val="0"/>
          <w:color w:val="000000"/>
          <w:sz w:val="20"/>
        </w:rPr>
        <w:t>The authors have declared that no competing interests exist.</w:t>
      </w:r>
    </w:p>
    <w:p>
      <w:pPr>
        <w:spacing w:before="240" w:after="120" w:line="480" w:lineRule="auto"/>
        <w:jc w:val="left"/>
      </w:pPr>
      <w:r>
        <w:rPr>
          <w:rFonts w:ascii="Charis SIL" w:hAnsi="Charis SIL" w:cs="Charis SIL" w:eastAsia="Charis SIL"/>
          <w:b/>
          <w:i w:val="0"/>
          <w:color w:val="000000"/>
          <w:sz w:val="25"/>
        </w:rPr>
        <w:t>Acknowledgements</w:t>
      </w:r>
    </w:p>
    <w:p>
      <w:pPr>
        <w:spacing w:before="0" w:after="200" w:line="480" w:lineRule="auto"/>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480" w:lineRule="auto"/>
        <w:jc w:val="left"/>
      </w:pPr>
      <w:r>
        <w:rPr>
          <w:rFonts w:ascii="Charis SIL" w:hAnsi="Charis SIL" w:cs="Charis SIL" w:eastAsia="Charis SIL"/>
          <w:b/>
          <w:i w:val="0"/>
          <w:color w:val="000000"/>
          <w:sz w:val="25"/>
        </w:rPr>
        <w:t>References</w:t>
      </w:r>
    </w:p>
    <w:p>
      <w:pPr>
        <w:pStyle w:val="ListNumber"/>
        <w:spacing w:before="0" w:after="60" w:line="480" w:lineRule="auto"/>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480" w:lineRule="auto"/>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480" w:lineRule="auto"/>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480" w:lineRule="auto"/>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480" w:lineRule="auto"/>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480" w:lineRule="auto"/>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480" w:lineRule="auto"/>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480" w:lineRule="auto"/>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480" w:lineRule="auto"/>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480" w:lineRule="auto"/>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480" w:lineRule="auto"/>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480" w:lineRule="auto"/>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480" w:lineRule="auto"/>
        <w:jc w:val="left"/>
      </w:pPr>
      <w:r>
        <w:rPr>
          <w:rFonts w:ascii="Charis SIL" w:hAnsi="Charis SIL" w:cs="Charis SIL" w:eastAsia="Charis SIL"/>
          <w:b w:val="0"/>
          <w:i w:val="0"/>
          <w:color w:val="000000"/>
          <w:sz w:val="20"/>
        </w:rPr>
        <w:t>AlphaFold Protein Structure Database. Frequently asked questions: predicted aligned error file format and orientation. [cited 18 Aug 2026]. Available: https://alphafold.ebi.ac.uk/faq</w:t>
      </w:r>
    </w:p>
    <w:p>
      <w:pPr>
        <w:pStyle w:val="ListNumber"/>
        <w:spacing w:before="0" w:after="60" w:line="480" w:lineRule="auto"/>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480" w:lineRule="auto"/>
        <w:jc w:val="left"/>
      </w:pPr>
      <w:r>
        <w:rPr>
          <w:rFonts w:ascii="Charis SIL" w:hAnsi="Charis SIL" w:cs="Charis SIL" w:eastAsia="Charis SIL"/>
          <w:b w:val="0"/>
          <w:i w:val="0"/>
          <w:color w:val="000000"/>
          <w:sz w:val="20"/>
        </w:rPr>
        <w:t>Li W, Xu H, Xiao T, Cong L, Love MI, Zhang F, et al. MAGeCK enables robust identification of essential genes from genome-scale CRISPR/Cas9 knockout screens. Genome Biol. 2014;15: 554. doi: 10.1186/s13059-014-0554-4</w:t>
      </w:r>
    </w:p>
    <w:p>
      <w:pPr>
        <w:pStyle w:val="ListNumber"/>
        <w:spacing w:before="0" w:after="60" w:line="480" w:lineRule="auto"/>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pStyle w:val="ListNumber"/>
        <w:spacing w:before="0" w:after="60" w:line="480" w:lineRule="auto"/>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480" w:lineRule="auto"/>
        <w:jc w:val="left"/>
      </w:pPr>
      <w:r>
        <w:rPr>
          <w:rFonts w:ascii="Charis SIL" w:hAnsi="Charis SIL" w:cs="Charis SIL" w:eastAsia="Charis SIL"/>
          <w:b w:val="0"/>
          <w:i w:val="0"/>
          <w:color w:val="000000"/>
          <w:sz w:val="20"/>
        </w:rPr>
        <w:t>UniProt Consortium. UniProt release 2026_02. 10 Jun 2026 [cited 18 Aug 2026]. Available: https://www.uniprot.org/release-notes/2026-06-10-release</w:t>
      </w:r>
    </w:p>
    <w:p>
      <w:pPr>
        <w:pStyle w:val="ListNumber"/>
        <w:spacing w:before="0" w:after="60" w:line="480" w:lineRule="auto"/>
        <w:jc w:val="left"/>
      </w:pPr>
      <w:r>
        <w:rPr>
          <w:rFonts w:ascii="Charis SIL" w:hAnsi="Charis SIL" w:cs="Charis SIL" w:eastAsia="Charis SIL"/>
          <w:b w:val="0"/>
          <w:i w:val="0"/>
          <w:color w:val="000000"/>
          <w:sz w:val="20"/>
        </w:rPr>
        <w:t>Protein Data Bank in Europe. AlphaFold Database version 6 release. 21 Oct 2025 [cited 18 Aug 2026]. Available: https://www.ebi.ac.uk/pdbe/news/alphafold-database-v6-release</w:t>
      </w:r>
    </w:p>
    <w:p>
      <w:pPr>
        <w:pStyle w:val="ListNumber"/>
        <w:spacing w:before="0" w:after="60" w:line="480" w:lineRule="auto"/>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480" w:lineRule="auto"/>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480" w:lineRule="auto"/>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480" w:lineRule="auto"/>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480" w:lineRule="auto"/>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480" w:lineRule="auto"/>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480" w:lineRule="auto"/>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spacing w:before="240" w:after="120" w:line="480" w:lineRule="auto"/>
        <w:jc w:val="left"/>
      </w:pPr>
      <w:r>
        <w:rPr>
          <w:rFonts w:ascii="Charis SIL" w:hAnsi="Charis SIL" w:cs="Charis SIL" w:eastAsia="Charis SIL"/>
          <w:b/>
          <w:i w:val="0"/>
          <w:color w:val="000000"/>
          <w:sz w:val="25"/>
        </w:rPr>
        <w:t>Supporting information</w:t>
      </w:r>
    </w:p>
    <w:p>
      <w:pPr>
        <w:spacing w:before="0" w:after="200" w:line="480" w:lineRule="auto"/>
        <w:jc w:val="left"/>
      </w:pPr>
      <w:r>
        <w:rPr>
          <w:rFonts w:ascii="Charis SIL" w:hAnsi="Charis SIL" w:cs="Charis SIL" w:eastAsia="Charis SIL"/>
          <w:b w:val="0"/>
          <w:i w:val="0"/>
          <w:color w:val="000000"/>
          <w:sz w:val="20"/>
        </w:rPr>
        <w:t>Captions only. Each item is uploaded as its own file, as PLOS ONE requires.</w:t>
      </w:r>
    </w:p>
    <w:p>
      <w:pPr>
        <w:spacing w:before="0" w:after="200" w:line="480" w:lineRule="auto"/>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480" w:lineRule="auto"/>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480" w:lineRule="auto"/>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480" w:lineRule="auto"/>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480" w:lineRule="auto"/>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footerReference w:type="default" r:id="rId9"/>
      <w:pgSz w:w="12240" w:h="15840"/>
      <w:pgMar w:top="1280" w:right="1280" w:bottom="1280" w:left="128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haris SIL" w:hAnsi="Charis SIL"/>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 David Chang</dc:creator>
  <cp:keywords>phosphorylation, AlphaFold, yeast, mutational phenotype, structural bioinformatics, exploratory analysis</cp:keywords>
  <dc:description/>
  <cp:lastModifiedBy>Kyle Nguyen, Arkady Marchenko, David Chang</cp:lastModifiedBy>
  <cp:revision>1</cp:revision>
  <dcterms:created xsi:type="dcterms:W3CDTF">2026-08-22T04:46:07Z</dcterms:created>
  <dcterms:modified xsi:type="dcterms:W3CDTF">2026-08-22T04:46:07Z</dcterms:modified>
  <cp:category/>
</cp:coreProperties>
</file>