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ktnuyen04@gmail.com</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1,471 base-edited sites in 788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0.558 (0.474–0.637) on a fitness screen and 0.483 (0.418–0.550) on an NFAT reporter screen. Five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0.607 (0.530–0.678), although its paired difference against distance contains zero. No paired difference in either cohort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an analogous phosphosite-to-functional-site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77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46800" cy="2487720"/>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jc w:val="left"/>
      </w:pPr>
      <w:r>
        <w:drawing>
          <wp:inline xmlns:a="http://schemas.openxmlformats.org/drawingml/2006/main" xmlns:pic="http://schemas.openxmlformats.org/drawingml/2006/picture">
            <wp:extent cx="6146800" cy="2351251"/>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146800" cy="2351251"/>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S1 Fig. The four predicted-aligned-error summaries at 10 Å and the 72-cell grids are S2 Table.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1,471 edited sites in 788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1,424 of the 1,471 rows for the fitness screen and 1,371 of 1,471 for the reporter screen, and the construction of the remaining 47 and 100 is not established here. A minimum of two one-sided tests is not a two-sided p-value, so the endpoint doubles that minimum. Because the released column does not reproduce it on the 47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(0.474–0.637)</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1,471 sites. Both intervals contain 0.5, and the fitness value is the further from it: shuffling the outcome labels 20,000 times puts it 1.66 standard deviations from the centre of that distribution. The shuffle moves labels between proteins and so is a diagnostic reference distribution rather than a test, for the reason given in §2.2, and no p-value is claimed from it.</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0.474–0.637</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0.505</w:t>
            </w:r>
          </w:p>
        </w:tc>
        <w:tc>
          <w:tcPr>
            <w:tcW w:type="dxa" w:w="2420"/>
          </w:tcPr>
          <w:p>
            <w:pPr>
              <w:spacing w:before="0" w:after="40" w:line="208" w:lineRule="exact"/>
              <w:jc w:val="left"/>
            </w:pPr>
            <w:r>
              <w:rPr>
                <w:rFonts w:ascii="Charis SIL" w:hAnsi="Charis SIL" w:cs="Charis SIL" w:eastAsia="Charis SIL"/>
                <w:b w:val="0"/>
                <w:i w:val="0"/>
                <w:color w:val="000000"/>
                <w:sz w:val="16"/>
              </w:rPr>
              <w:t>0.465–0.545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86</w:t>
            </w:r>
          </w:p>
        </w:tc>
        <w:tc>
          <w:tcPr>
            <w:tcW w:type="dxa" w:w="2420"/>
          </w:tcPr>
          <w:p>
            <w:pPr>
              <w:spacing w:before="0" w:after="40" w:line="208" w:lineRule="exact"/>
              <w:jc w:val="left"/>
            </w:pPr>
            <w:r>
              <w:rPr>
                <w:rFonts w:ascii="Charis SIL" w:hAnsi="Charis SIL" w:cs="Charis SIL" w:eastAsia="Charis SIL"/>
                <w:b w:val="0"/>
                <w:i w:val="0"/>
                <w:color w:val="000000"/>
                <w:sz w:val="16"/>
              </w:rPr>
              <w:t>0.542</w:t>
            </w:r>
          </w:p>
        </w:tc>
        <w:tc>
          <w:tcPr>
            <w:tcW w:type="dxa" w:w="2420"/>
          </w:tcPr>
          <w:p>
            <w:pPr>
              <w:spacing w:before="0" w:after="40" w:line="208" w:lineRule="exact"/>
              <w:jc w:val="left"/>
            </w:pPr>
            <w:r>
              <w:rPr>
                <w:rFonts w:ascii="Charis SIL" w:hAnsi="Charis SIL" w:cs="Charis SIL" w:eastAsia="Charis SIL"/>
                <w:b w:val="0"/>
                <w:i w:val="0"/>
                <w:color w:val="000000"/>
                <w:sz w:val="16"/>
              </w:rPr>
              <w:t>0.466–0.616</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0.454–0.558</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0.511</w:t>
            </w:r>
          </w:p>
        </w:tc>
        <w:tc>
          <w:tcPr>
            <w:tcW w:type="dxa" w:w="2420"/>
          </w:tcPr>
          <w:p>
            <w:pPr>
              <w:spacing w:before="0" w:after="40" w:line="208" w:lineRule="exact"/>
              <w:jc w:val="left"/>
            </w:pPr>
            <w:r>
              <w:rPr>
                <w:rFonts w:ascii="Charis SIL" w:hAnsi="Charis SIL" w:cs="Charis SIL" w:eastAsia="Charis SIL"/>
                <w:b w:val="0"/>
                <w:i w:val="0"/>
                <w:color w:val="000000"/>
                <w:sz w:val="16"/>
              </w:rPr>
              <w:t>0.456–0.564</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0.427–0.778</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(0.485–0.613),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100,728</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113,898</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jc w:val="left"/>
      </w:pPr>
      <w:r>
        <w:drawing>
          <wp:inline xmlns:a="http://schemas.openxmlformats.org/drawingml/2006/main" xmlns:pic="http://schemas.openxmlformats.org/drawingml/2006/picture">
            <wp:extent cx="6146800" cy="262134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46800" cy="2621346"/>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788 proteins enters or leaves is measuring the precision of the estimator, not the predictor.</w:t>
      </w:r>
    </w:p>
    <w:p>
      <w:pPr>
        <w:spacing w:before="0" w:after="200" w:line="284" w:lineRule="exact"/>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100,728 and 184 of 113,898,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1,471 sites, 788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0.474–0.637</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1,471, 788;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1,471</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1,471</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1,471</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0.530–0.678</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788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0.163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1,471 sites in 788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1,471 sites in 788 proteins</w:t>
      </w:r>
      <w:r>
        <w:rPr>
          <w:rFonts w:ascii="Charis SIL" w:hAnsi="Charis SIL" w:cs="Charis SIL" w:eastAsia="Charis SIL"/>
          <w:b w:val="0"/>
          <w:i w:val="0"/>
          <w:color w:val="000000"/>
          <w:sz w:val="20"/>
        </w:rPr>
        <w:t xml:space="preserve"> with a distance.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47 fitness rows and 100 reporter rows, which is why the endpoint is built from the directional columns. The first version of this analysis pooled the two screens at an uncorrected 0.05 and is withdrawn; that arm and the six other candidate definitions are reported in Table 2,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One limit remains recorded rather than worked around: the human builder does not carry the model-version assertions the yeast builder applies, so the deposited AlphaFold cache rather than a version check is the authority for which models were used.</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Captions only. Each item is uploaded as its own file, as PLOS ONE requires.</w:t>
      </w:r>
    </w:p>
    <w:p>
      <w:pPr>
        <w:spacing w:before="0" w:after="200" w:line="284" w:lineRule="exact"/>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284" w:lineRule="exact"/>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284" w:lineRule="exact"/>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284" w:lineRule="exact"/>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284" w:lineRule="exact"/>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284" w:lineRule="exact"/>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dc:creator>
  <cp:keywords>phosphorylation, AlphaFold, yeast, mutational phenotype, structural bioinformatics, exploratory analysis</cp:keywords>
  <dc:description/>
  <cp:lastModifiedBy>Kyle Nguyen, Arkady Marchenko</cp:lastModifiedBy>
  <cp:revision>1</cp:revision>
  <dcterms:created xsi:type="dcterms:W3CDTF">2026-08-14T22:50:50Z</dcterms:created>
  <dcterms:modified xsi:type="dcterms:W3CDTF">2026-08-14T22:50:50Z</dcterms:modified>
  <cp:category/>
</cp:coreProperties>
</file>