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Studies that rank which protein modification sites are worth following up often lean on a structural shortcut: how close a site sits to a residue already annotated as part of an active site or a binding site. This paper asks what that measurement is actually made of.</w:t>
      </w:r>
    </w:p>
    <w:p>
      <w:pPr>
        <w:spacing w:before="0" w:after="200" w:line="284" w:lineRule="exact"/>
        <w:jc w:val="left"/>
      </w:pPr>
      <w:r>
        <w:rPr>
          <w:rFonts w:ascii="Charis SIL" w:hAnsi="Charis SIL" w:cs="Charis SIL" w:eastAsia="Charis SIL"/>
          <w:b w:val="0"/>
          <w:i w:val="0"/>
          <w:color w:val="000000"/>
          <w:sz w:val="20"/>
        </w:rPr>
        <w:t>The data are a published screen in budding 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in which serine, threonine and tyrosine sites were each replaced by alanine and the resulting strains grown across a panel of up to 102 growth conditions. For every replaced site we measured the shortest distance between any non-hydrogen atom of that residue and any non-hydrogen atom of the nearest annotated residue, in an AlphaFold DB version 6 model of the protein on its own, and called a site affected when the original study reported a growth change in at least one condition, in either direction.</w:t>
      </w:r>
    </w:p>
    <w:p>
      <w:pPr>
        <w:spacing w:before="0" w:after="200" w:line="284" w:lineRule="exact"/>
        <w:jc w:val="left"/>
      </w:pPr>
      <w:r>
        <w:rPr>
          <w:rFonts w:ascii="Charis SIL" w:hAnsi="Charis SIL" w:cs="Charis SIL" w:eastAsia="Charis SIL"/>
          <w:b w:val="0"/>
          <w:i w:val="0"/>
          <w:color w:val="000000"/>
          <w:sz w:val="20"/>
        </w:rPr>
        <w:t>What the measurement rests on is mostly not experimental, and mostly not within a protein. Among 163 sites in 48 proteins, 79 of them affected, 143 of the 163 nearest annotated residues (87.7%) were not established experimentally, most of them assigned by automated rules and the rest inferred from similar proteins or by curators, ATP is the bound molecule at 86 of them (52.8%), and 24 of the 48 proteins are kinases. Five of the ten sites lying within 5 Å of their nearest target are simply the next residue along the chain, 1.33–1.34 Å away, which is the length of the bond joining one residue to the next. The ranking statistic compares 6,636 affected/unaffected site pairs, and only 176 of them (2.65%) are two sites in the same protein.</w:t>
      </w:r>
    </w:p>
    <w:p>
      <w:pPr>
        <w:spacing w:before="0" w:after="200" w:line="284" w:lineRule="exact"/>
        <w:jc w:val="left"/>
      </w:pPr>
      <w:r>
        <w:rPr>
          <w:rFonts w:ascii="Charis SIL" w:hAnsi="Charis SIL" w:cs="Charis SIL" w:eastAsia="Charis SIL"/>
          <w:b w:val="0"/>
          <w:i w:val="0"/>
          <w:color w:val="000000"/>
          <w:sz w:val="20"/>
        </w:rPr>
        <w:t>Measured on that composite, distance ranked sites with an area under the ROC curve of 0.527, where 0.5 is what an uninformative measurement gives (95% confidence interval 0.417–0.632, resampling whole proteins); a second version of the cohort, which also keeps the three sites that are themselves annotated residues and so sit at zero distance, gave 0.544 on 166 sites (0.436–0.649). Shuffling the outcome labels 20,000 times centres at 0.500 with a standard deviation of 0.045, putting the observed value 0.59 standard deviations out (p = 0.55), and for each of seven alternative predictors measured on the same 163 sites, the interval on its difference from distance includes zero. One further comparator, sequence conservation, does separate affected from unaffected sites on the 152 sites it covers (0.606, 0.522–0.690), so the outcome is not one that nothing predicts; its difference from distance also includes zero. Keeping only annotations confirmed by experiment leaves 24 of the 163 sites, in 7 proteins, so this design cannot be asked whether better annotation would change the answer. Everything here is specific to this cohort, this definition of an affected site, and models of single proteins.</w:t>
      </w:r>
    </w:p>
    <w:p>
      <w:pPr>
        <w:spacing w:before="0" w:after="200" w:line="284" w:lineRule="exact"/>
        <w:jc w:val="left"/>
      </w:pPr>
      <w:r>
        <w:rPr>
          <w:rFonts w:ascii="Charis SIL" w:hAnsi="Charis SIL" w:cs="Charis SIL" w:eastAsia="Charis SIL"/>
          <w:b w:val="0"/>
          <w:i w:val="0"/>
          <w:color w:val="000000"/>
          <w:sz w:val="20"/>
        </w:rPr>
        <w:t>Measured a second time on an independent human base-editor experiment in which 1,475 phosphosites in 793 proteins were altered, distance gave 0.506 (0.466–0.546). That figure pools two screens with different readouts — sgRNA abundance before against after base-editor introduction, which is a fitness readout, and sgRNA abundance in GFP-high against GFP-low bins, which reports NFAT reporter activity — so it is a union across two phenotypes rather than one endpoint. The value released per site by that screen is the smaller of two one-sided tests rather than a two-sided p-value, which labels about twice as many sites affected as intended and pulls an AUC toward 0.5; repeating the estimate with a corrected two-sided test gave 0.518 (0.462–0.574) on 145 affected sites, and ranking sites by size of fold change instead, which uses no p-value, gave 0.517 (0.463–0.571). All three intervals contain 0.5, at about twice the precision of the yeast cohort. Restricting to targets confirmed by experiment, which the yeast design cannot support, left 512 sites and gave 0.511 (0.445–0.576). In the larger cohort only 476 of 346,326 ranked pairs (0.14%) are two sites in the same protein, so the comparison is more between proteins than in yeast, not less.</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[22] measure distance from a phosphosite to the nearest functional site directly, in paired phosphorylated and unphosphorylated structures, and relate it to mechanical strain; they report co-straining for about 5% of phosphosite–functional-site pairs. That is the same distance this paper measures, evaluated against structural response rather than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[22] measures the same distance against a structural rather than a phenotypic outcome. The nearest published work otherwise measures a different relation between residues. Huang et al. [11] found structural distance to be the single most discriminating feature for cross-talk between two modifications on the same protein, at an AUC of 0.815; that figure rests on 50 positive cross-talk pairs against 1,821 controls, and structural distance had the highest missing rate of the features they compared.</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to one row per covered residue gives 594 rows: 565 after removing duplicates on (accession, start, end) and 566 on (accession, start, end, feature type). The target set itself is 560 distinct residues, and that count reproduces exactly. An earlier expanded row count kept in the analysis records does not reproduce under any simple rule and is withdrawn. The excess over 560 comes from P12904, whose two binding intervals are recorded once for each ligand.</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The 255 estimates are not independent, because the PAE grid cells are heavily overlapping subsets of the same sites, so those figures are a conservative bound.</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shortest heavy-atom distance cannot fall below that fixed backbone contact, so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At this sample size the four fitted models cannot be told apart.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supports leaving those three out of the primary cohort, and it does not depend on their outcomes.</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0" w:after="200" w:line="284" w:lineRule="exact"/>
        <w:jc w:val="left"/>
      </w:pPr>
      <w:r>
        <w:rPr>
          <w:rFonts w:ascii="Charis SIL" w:hAnsi="Charis SIL" w:cs="Charis SIL" w:eastAsia="Charis SIL"/>
          <w:b w:val="0"/>
          <w:i w:val="0"/>
          <w:color w:val="000000"/>
          <w:sz w:val="20"/>
        </w:rPr>
        <w:t>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estimate repeats in an independent human screen at about twice the precision</w:t>
      </w:r>
    </w:p>
    <w:p>
      <w:pPr>
        <w:spacing w:before="0" w:after="200" w:line="284" w:lineRule="exact"/>
        <w:jc w:val="left"/>
      </w:pPr>
      <w:r>
        <w:rPr>
          <w:rFonts w:ascii="Charis SIL" w:hAnsi="Charis SIL" w:cs="Charis SIL" w:eastAsia="Charis SIL"/>
          <w:b w:val="0"/>
          <w:i w:val="0"/>
          <w:color w:val="000000"/>
          <w:sz w:val="20"/>
        </w:rPr>
        <w:t>The yeast cohort holds 48 proteins, and its interval is wider than the spread of feature estimates it would have to separate. That objection cannot be answered inside the cohort, so the same measurement was made on a second, independent screen: Kennedy et al. [21] edited phosphosites in human Jurkat and HEK293 cells with base editors. They report two screens with different readouts: Supplementary Table 3 compares sgRNA abundance before and after introduction of the ABE8e editor, a fitness readout, and Supplementary Table 4 compares abundance between GFP-high and GFP-low bins, which reports NFAT reporter activity. The predictor, the annotation source, the structure source and the estimator are the ones declared above. The organism, the perturbation chemistry and the readout all change, and the outcome used below is a union across those two screens rather than a single phenotype, which §2.7.2 returns to.</w:t>
      </w:r>
    </w:p>
    <w:p>
      <w:pPr>
        <w:spacing w:before="0" w:after="200" w:line="284" w:lineRule="exact"/>
        <w:jc w:val="left"/>
      </w:pPr>
      <w:r>
        <w:rPr>
          <w:rFonts w:ascii="Charis SIL" w:hAnsi="Charis SIL" w:cs="Charis SIL" w:eastAsia="Charis SIL"/>
          <w:b w:val="0"/>
          <w:i w:val="0"/>
          <w:color w:val="000000"/>
          <w:sz w:val="20"/>
        </w:rPr>
        <w:t xml:space="preserve">The human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xml:space="preserve">, against 163 sites in 48 proteins in yeast. Distance gave an AUC of </w:t>
      </w:r>
      <w:r>
        <w:rPr>
          <w:rFonts w:ascii="Charis SIL" w:hAnsi="Charis SIL" w:cs="Charis SIL" w:eastAsia="Charis SIL"/>
          <w:b/>
          <w:i w:val="0"/>
          <w:color w:val="000000"/>
          <w:sz w:val="20"/>
        </w:rPr>
        <w:t>0.506 (0.466–0.546)</w:t>
      </w:r>
      <w:r>
        <w:rPr>
          <w:rFonts w:ascii="Charis SIL" w:hAnsi="Charis SIL" w:cs="Charis SIL" w:eastAsia="Charis SIL"/>
          <w:b w:val="0"/>
          <w:i w:val="0"/>
          <w:color w:val="000000"/>
          <w:sz w:val="20"/>
        </w:rPr>
        <w:t>. Shuffling the outcome labels 20,000 times centres at 0.500 with a standard deviation of 0.019, putting the observed value 0.29 standard deviations out (p = 0.77).</w:t>
      </w:r>
    </w:p>
    <w:p>
      <w:pPr>
        <w:spacing w:before="0" w:after="200" w:line="284" w:lineRule="exact"/>
        <w:jc w:val="left"/>
      </w:pPr>
      <w:r>
        <w:rPr>
          <w:rFonts w:ascii="Charis SIL" w:hAnsi="Charis SIL" w:cs="Charis SIL" w:eastAsia="Charis SIL"/>
          <w:b/>
          <w:i w:val="0"/>
          <w:color w:val="000000"/>
          <w:sz w:val="20"/>
        </w:rPr>
        <w:t>The human outcome column is not a p-value, and the error runs in the direction that favours this paper's reading.</w:t>
      </w:r>
      <w:r>
        <w:rPr>
          <w:rFonts w:ascii="Charis SIL" w:hAnsi="Charis SIL" w:cs="Charis SIL" w:eastAsia="Charis SIL"/>
          <w:b w:val="0"/>
          <w:i w:val="0"/>
          <w:color w:val="000000"/>
          <w:sz w:val="20"/>
        </w:rPr>
        <w:t xml:space="preserve"> The screen's released per-site value tracks the smaller of MAGeCK's two one-sided gene-level p-values on most rows but not all: reconstructing that minimum from the source workbooks reproduces the released value on 1,428 of the 1,475 rows for the fitness screen and 1,372 of 1,475 for the reporter screen. The construction of the remaining 47 and 103 rows is not established here, so what follows describes the released columns rather than a definition verified for every row. A minimum of two one-sided tests is distributed roughly uniformly on 0 to 0.5 under the null, so a 0.05 cut-off admits about twice the nominal rate: 10.5% and 9.9% of each screen's non-control sites fall below it, against the 5% a two-sided p-value would give. Labelling sites as affected at twice the intended rate adds noise to the outcome. If that noise is unrelated to distance — non-differential misclassification — it pulls an AUC toward 0.5. Errors that depend on distance could move it in either direction, and nothing here establishes which holds. The estimate was therefore repeated under two outcome definitions that do not inherit the defect. Doubling the value to make a valid two-sided test leaves 145 affected sites and gives </w:t>
      </w:r>
      <w:r>
        <w:rPr>
          <w:rFonts w:ascii="Charis SIL" w:hAnsi="Charis SIL" w:cs="Charis SIL" w:eastAsia="Charis SIL"/>
          <w:b/>
          <w:i w:val="0"/>
          <w:color w:val="000000"/>
          <w:sz w:val="20"/>
        </w:rPr>
        <w:t>0.518 (0.462–0.574)</w:t>
      </w:r>
      <w:r>
        <w:rPr>
          <w:rFonts w:ascii="Charis SIL" w:hAnsi="Charis SIL" w:cs="Charis SIL" w:eastAsia="Charis SIL"/>
          <w:b w:val="0"/>
          <w:i w:val="0"/>
          <w:color w:val="000000"/>
          <w:sz w:val="20"/>
        </w:rPr>
        <w:t xml:space="preserve">. Taking the top tenth of sites by size of the log fold change, which uses no p-value at all, leaves 148 and gives </w:t>
      </w:r>
      <w:r>
        <w:rPr>
          <w:rFonts w:ascii="Charis SIL" w:hAnsi="Charis SIL" w:cs="Charis SIL" w:eastAsia="Charis SIL"/>
          <w:b/>
          <w:i w:val="0"/>
          <w:color w:val="000000"/>
          <w:sz w:val="20"/>
        </w:rPr>
        <w:t>0.517 (0.463–0.571)</w:t>
      </w:r>
      <w:r>
        <w:rPr>
          <w:rFonts w:ascii="Charis SIL" w:hAnsi="Charis SIL" w:cs="Charis SIL" w:eastAsia="Charis SIL"/>
          <w:b w:val="0"/>
          <w:i w:val="0"/>
          <w:color w:val="000000"/>
          <w:sz w:val="20"/>
        </w:rPr>
        <w:t>. Both contain 0.5.</w:t>
      </w:r>
    </w:p>
    <w:p>
      <w:pPr>
        <w:spacing w:before="0" w:after="200" w:line="284" w:lineRule="exact"/>
        <w:jc w:val="left"/>
      </w:pPr>
      <w:r>
        <w:rPr>
          <w:rFonts w:ascii="Charis SIL" w:hAnsi="Charis SIL" w:cs="Charis SIL" w:eastAsia="Charis SIL"/>
          <w:b w:val="0"/>
          <w:i w:val="0"/>
          <w:color w:val="000000"/>
          <w:sz w:val="20"/>
        </w:rPr>
        <w:t>The gain over the yeast cohort is precision, and it should be quoted from the repaired endpoint: the interval half-width is 0.056, against 0.107 in yeast, on 793 protein clusters against 48. It is not the 0.040 the uncorrected label gives.</w:t>
      </w:r>
    </w:p>
    <w:p>
      <w:pPr>
        <w:spacing w:before="0" w:after="200" w:line="284" w:lineRule="exact"/>
        <w:jc w:val="left"/>
      </w:pPr>
      <w:r>
        <w:rPr>
          <w:rFonts w:ascii="Charis SIL" w:hAnsi="Charis SIL" w:cs="Charis SIL" w:eastAsia="Charis SIL"/>
          <w:b w:val="0"/>
          <w:i w:val="0"/>
          <w:color w:val="000000"/>
          <w:sz w:val="20"/>
        </w:rPr>
        <w:t>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and gives 0.511 (0.445–0.576). Annotation quality does not account for the result.</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rather than within them. Of </w:t>
      </w:r>
      <w:r>
        <w:rPr>
          <w:rFonts w:ascii="Charis SIL" w:hAnsi="Charis SIL" w:cs="Charis SIL" w:eastAsia="Charis SIL"/>
          <w:b/>
          <w:i w:val="0"/>
          <w:color w:val="000000"/>
          <w:sz w:val="20"/>
        </w:rPr>
        <w:t>346,326</w:t>
      </w:r>
      <w:r>
        <w:rPr>
          <w:rFonts w:ascii="Charis SIL" w:hAnsi="Charis SIL" w:cs="Charis SIL" w:eastAsia="Charis SIL"/>
          <w:b w:val="0"/>
          <w:i w:val="0"/>
          <w:color w:val="000000"/>
          <w:sz w:val="20"/>
        </w:rPr>
        <w:t xml:space="preserve"> ranked affected/unaffected pairs, </w:t>
      </w:r>
      <w:r>
        <w:rPr>
          <w:rFonts w:ascii="Charis SIL" w:hAnsi="Charis SIL" w:cs="Charis SIL" w:eastAsia="Charis SIL"/>
          <w:b/>
          <w:i w:val="0"/>
          <w:color w:val="000000"/>
          <w:sz w:val="20"/>
        </w:rPr>
        <w:t>476</w:t>
      </w:r>
      <w:r>
        <w:rPr>
          <w:rFonts w:ascii="Charis SIL" w:hAnsi="Charis SIL" w:cs="Charis SIL" w:eastAsia="Charis SIL"/>
          <w:b w:val="0"/>
          <w:i w:val="0"/>
          <w:color w:val="000000"/>
          <w:sz w:val="20"/>
        </w:rPr>
        <w:t xml:space="preserve"> are two sites in the same protein — </w:t>
      </w:r>
      <w:r>
        <w:rPr>
          <w:rFonts w:ascii="Charis SIL" w:hAnsi="Charis SIL" w:cs="Charis SIL" w:eastAsia="Charis SIL"/>
          <w:b/>
          <w:i w:val="0"/>
          <w:color w:val="000000"/>
          <w:sz w:val="20"/>
        </w:rPr>
        <w:t>0.14%</w:t>
      </w:r>
      <w:r>
        <w:rPr>
          <w:rFonts w:ascii="Charis SIL" w:hAnsi="Charis SIL" w:cs="Charis SIL" w:eastAsia="Charis SIL"/>
          <w:b w:val="0"/>
          <w:i w:val="0"/>
          <w:color w:val="000000"/>
          <w:sz w:val="20"/>
        </w:rPr>
        <w:t>, against 2.65% in yeast. The larger cohort makes this worse, not better, because adding proteins adds across-protein pairs quadratically and within-protein pairs linearly.</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2.7.1 A published feature does separate the classes on this outcome</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Two intervals exclude 0.5 and both are conservation: SIFT minimum score at </w:t>
      </w:r>
      <w:r>
        <w:rPr>
          <w:rFonts w:ascii="Charis SIL" w:hAnsi="Charis SIL" w:cs="Charis SIL" w:eastAsia="Charis SIL"/>
          <w:b/>
          <w:i w:val="0"/>
          <w:color w:val="000000"/>
          <w:sz w:val="20"/>
        </w:rPr>
        <w:t>0.572 (0.529–0.615)</w:t>
      </w:r>
      <w:r>
        <w:rPr>
          <w:rFonts w:ascii="Charis SIL" w:hAnsi="Charis SIL" w:cs="Charis SIL" w:eastAsia="Charis SIL"/>
          <w:b w:val="0"/>
          <w:i w:val="0"/>
          <w:color w:val="000000"/>
          <w:sz w:val="20"/>
        </w:rPr>
        <w:t xml:space="preserve"> on 997 sites in 572 proteins, and the SIFT alanine score at 0.565 (0.520–0.609). Twelve tests at the 5% level make 0.6 such intervals expected by chance, so the SIFT interval was recomputed at a threshold corrected for all twelve; it is 0.507–0.634 and still excludes 0.5.</w:t>
      </w:r>
    </w:p>
    <w:p>
      <w:pPr>
        <w:spacing w:before="0" w:after="200" w:line="284" w:lineRule="exact"/>
        <w:jc w:val="left"/>
      </w:pPr>
      <w:r>
        <w:rPr>
          <w:rFonts w:ascii="Charis SIL" w:hAnsi="Charis SIL" w:cs="Charis SIL" w:eastAsia="Charis SIL"/>
          <w:b w:val="0"/>
          <w:i w:val="0"/>
          <w:color w:val="000000"/>
          <w:sz w:val="20"/>
        </w:rPr>
        <w:t>So the outcome is not one that nothing predicts, in either organism. What that licenses is narrow. The paired difference between SIFT and distance on their shared sites is +0.054 (−0.0002 to +0.109) and contains zero, so SIFT is not shown to outperform distance; distance restricted to the same sites rises to 0.518 (0.470–0.566). Restricted to comparisons inside a single protein, SIFT gives 0.604 (0.458–0.751) on 265 pairs, an interval that contains 0.5, so conservation is not shown to rank sites within a protein either. Both features separate the classes, if at all, across proteins.</w:t>
      </w:r>
    </w:p>
    <w:p>
      <w:pPr>
        <w:spacing w:before="0" w:after="200" w:line="284" w:lineRule="exact"/>
        <w:jc w:val="left"/>
      </w:pPr>
      <w:r>
        <w:rPr>
          <w:rFonts w:ascii="Charis SIL" w:hAnsi="Charis SIL" w:cs="Charis SIL" w:eastAsia="Charis SIL"/>
          <w:b w:val="0"/>
          <w:i w:val="0"/>
          <w:color w:val="000000"/>
          <w:sz w:val="20"/>
        </w:rPr>
        <w:t xml:space="preserve">The endpoint's own sensitivity can be read off the screen's controls. Of its </w:t>
      </w:r>
      <w:r>
        <w:rPr>
          <w:rFonts w:ascii="Charis SIL" w:hAnsi="Charis SIL" w:cs="Charis SIL" w:eastAsia="Charis SIL"/>
          <w:b/>
          <w:i w:val="0"/>
          <w:color w:val="000000"/>
          <w:sz w:val="20"/>
        </w:rPr>
        <w:t>208</w:t>
      </w:r>
      <w:r>
        <w:rPr>
          <w:rFonts w:ascii="Charis SIL" w:hAnsi="Charis SIL" w:cs="Charis SIL" w:eastAsia="Charis SIL"/>
          <w:b w:val="0"/>
          <w:i w:val="0"/>
          <w:color w:val="000000"/>
          <w:sz w:val="20"/>
        </w:rPr>
        <w:t xml:space="preserve"> guides targeting essential splice sites, which should deplete and whose median log fold change is −1.02, </w:t>
      </w:r>
      <w:r>
        <w:rPr>
          <w:rFonts w:ascii="Charis SIL" w:hAnsi="Charis SIL" w:cs="Charis SIL" w:eastAsia="Charis SIL"/>
          <w:b/>
          <w:i w:val="0"/>
          <w:color w:val="000000"/>
          <w:sz w:val="20"/>
        </w:rPr>
        <w:t>59.6%</w:t>
      </w:r>
      <w:r>
        <w:rPr>
          <w:rFonts w:ascii="Charis SIL" w:hAnsi="Charis SIL" w:cs="Charis SIL" w:eastAsia="Charis SIL"/>
          <w:b w:val="0"/>
          <w:i w:val="0"/>
          <w:color w:val="000000"/>
          <w:sz w:val="20"/>
        </w:rPr>
        <w:t xml:space="preserve"> are called at the cut-off used here. Two in five guides that disrupt an essential splice site are not detected.</w:t>
      </w:r>
    </w:p>
    <w:p>
      <w:pPr>
        <w:spacing w:before="240" w:after="120" w:line="284" w:lineRule="exact"/>
        <w:jc w:val="left"/>
      </w:pPr>
      <w:r>
        <w:rPr>
          <w:rFonts w:ascii="Charis SIL" w:hAnsi="Charis SIL" w:cs="Charis SIL" w:eastAsia="Charis SIL"/>
          <w:b/>
          <w:i/>
          <w:color w:val="000000"/>
          <w:sz w:val="21"/>
        </w:rPr>
        <w:t>2.7.2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the human outcome is not corrected at all, and is the defective minimum described above. The screen's own false-discovery columns leave 19 sites at 0.25 and 11 at 0.05, too few to estimate anything, which is why the uncorrected call was used and why the repaired arms above carry the weight. The perturbations also differ: every yeast mutant replaces the residue with alanine, while the base editors mostly produce serine to proline (33.0%) and serine to glycine (22.3%), with threonine to alanine — the clean removal of a phosphoacceptor — reaching only 9.5%. Restricted to those 39 threonine-to-alanine sites the AUC is 0.470 (0.212–0.733), an interval too wide to carry any reading. Li et al. [23],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is more disruptive, which puts burial upstream of both terms.</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The human cohort of §2.7.1 can be asked directly and returns 0.604 (0.458–0.751) on 265 within-protein pairs, an interval that contains 0.5, so it is not resolved there either. What the control establishes is that the outcome is not blind. It does not establish that the outcome resolves sites within a protein, which is the comparison the mechanism is about.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The declared interval covered the truth between 93.6% and 94.9% of the time, against a nominal 95% and a Monte Carlo standard error of 0.7 percentage points.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runs toward inflating the association being tested; the near-chance estimate was obtained under a design that favours the hypothesis.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The revision responds to a simulated review in which every reviewer was an AI agent running on one model family. It is not peer review, and agreement among those reviewers is not independent replication.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cohort narrows the uncertainty on the pooled estimate, and it lets two questions be asked that the yeast cohort cannot support: whether the estimate survives restriction to experimentally evidenced targets, and whether the across-protein architecture and the peptide-bond artefact are particular to yeast. It does not settle the power question for the comparison that matters biologically, which is between sites in one protein; that remains unresolved in both cohorts. Nor does either result speak to phosphosite biology in general: the outcomes are cell growth, fitness and reporter activity under two perturbation chemistries, and §2.7.2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by the same procedure and the same code as the yeast cohort; distance is the same minimum heavy-atom separation, with the substituted residue excluded from its own target set.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outcome was declared before the estimate: a site counts as affected when the released per-site value is below 0.05 in either screen. That column tracks the smaller of MAGeCK's two one-sided gene-level p-values on most but not all rows, as §2.7 sets out, and a minimum of two one-sided tests is not a two-sided p-value. The two repaired definitions reported there, a doubled two-sided test and the top tenth by size of log fold change, were added after that was found and are marked as such in the numerical authority. The doubling corrects the two directions inside each screen; it does not correct the union across the two screens, so the repaired arm still calls at close to the rate two independent screens would give at the 5% level.</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are computed by the same code.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p>
      <w:pPr>
        <w:pStyle w:val="ListNumber"/>
        <w:spacing w:before="0" w:after="60" w:line="284" w:lineRule="exact"/>
        <w:jc w:val="left"/>
      </w:pPr>
      <w:r>
        <w:rPr>
          <w:rFonts w:ascii="Charis SIL" w:hAnsi="Charis SIL" w:cs="Charis SIL" w:eastAsia="Charis SIL"/>
          <w:b w:val="0"/>
          <w:i w:val="0"/>
          <w:color w:val="000000"/>
          <w:sz w:val="20"/>
        </w:rPr>
        <w:t xml:space="preserve">Correa Marrero M, Mello VH, Sartori P, Beltrao P. Global comparative structural analysis of responses to protein phosphorylation.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2025;16:9407. doi:10.1038/s41467-025-64116-4.</w:t>
      </w:r>
    </w:p>
    <w:p>
      <w:pPr>
        <w:pStyle w:val="ListNumber"/>
        <w:spacing w:before="0" w:after="60" w:line="284" w:lineRule="exact"/>
        <w:jc w:val="left"/>
      </w:pPr>
      <w:r>
        <w:rPr>
          <w:rFonts w:ascii="Charis SIL" w:hAnsi="Charis SIL" w:cs="Charis SIL" w:eastAsia="Charis SIL"/>
          <w:b w:val="0"/>
          <w:i w:val="0"/>
          <w:color w:val="000000"/>
          <w:sz w:val="20"/>
        </w:rPr>
        <w:t xml:space="preserve">Li Y, Xu T, Ma H, et al. Functional profiling of serine, threonine and tyrosine sites. </w:t>
      </w:r>
      <w:r>
        <w:rPr>
          <w:rFonts w:ascii="Charis SIL" w:hAnsi="Charis SIL" w:cs="Charis SIL" w:eastAsia="Charis SIL"/>
          <w:b w:val="0"/>
          <w:i/>
          <w:color w:val="000000"/>
          <w:sz w:val="20"/>
        </w:rPr>
        <w:t>Nature Chemical Biology</w:t>
      </w:r>
      <w:r>
        <w:rPr>
          <w:rFonts w:ascii="Charis SIL" w:hAnsi="Charis SIL" w:cs="Charis SIL" w:eastAsia="Charis SIL"/>
          <w:b w:val="0"/>
          <w:i w:val="0"/>
          <w:color w:val="000000"/>
          <w:sz w:val="20"/>
        </w:rPr>
        <w:t>. 2025;21:532–543. doi:10.1038/s41589-024-01731-0.</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