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0.487 (0.421–0.554)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Two post hoc results survive, neither adjusted for multiplicity: burial has an interval above 0.5 in the fitness screen, and sequence separation has a paired difference above distance of +0.071 (+0.005 to +0.137) in the reporter screen though its own interval contains 0.5.</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released value is doubled before use. That doubling has the meaning of a directional correction only where the column is in fact that minimum, which is not established on the 47 and 103 rows above; elsewhere in this paper the resulting endpoint is called a doubled released-column threshold for that reason.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a feature that uses no structure at all outranks the declared predictor, on the paired comparison rather than on its own. The smallest gap in sequence position to an eligible annotated residue gives 0.558 (0.492–0.624), an interval that contains 0.5, so it does not separate the classes on its own account.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which excludes zero and is the only paired difference in either cohort that does. Every other comparison in both screens contains zero. Both this and the burial result above are post hoc, and neither is adjusted for the number of features and endpoints examined; they are the strongest leads here, not findings.</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 against 754 and 745 that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and the answer is Table 3. No aggregation in either cohort puts the declared predictor above chance within a protein.</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180</w:t>
            </w:r>
          </w:p>
        </w:tc>
        <w:tc>
          <w:tcPr>
            <w:tcW w:type="dxa" w:w="1936"/>
          </w:tcPr>
          <w:p>
            <w:pPr>
              <w:spacing w:before="0" w:after="40" w:line="208" w:lineRule="exact"/>
              <w:jc w:val="left"/>
            </w:pPr>
            <w:r>
              <w:rPr>
                <w:rFonts w:ascii="Charis SIL" w:hAnsi="Charis SIL" w:cs="Charis SIL" w:eastAsia="Charis SIL"/>
                <w:b w:val="0"/>
                <w:i w:val="0"/>
                <w:color w:val="000000"/>
                <w:sz w:val="16"/>
              </w:rPr>
              <w:t>0.422 (0.322–0.521)</w:t>
            </w:r>
          </w:p>
        </w:tc>
        <w:tc>
          <w:tcPr>
            <w:tcW w:type="dxa" w:w="1936"/>
          </w:tcPr>
          <w:p>
            <w:pPr>
              <w:spacing w:before="0" w:after="40" w:line="208" w:lineRule="exact"/>
              <w:jc w:val="left"/>
            </w:pPr>
            <w:r>
              <w:rPr>
                <w:rFonts w:ascii="Charis SIL" w:hAnsi="Charis SIL" w:cs="Charis SIL" w:eastAsia="Charis SIL"/>
                <w:b w:val="0"/>
                <w:i w:val="0"/>
                <w:color w:val="000000"/>
                <w:sz w:val="16"/>
              </w:rPr>
              <w:t>0.384 (0.272–0.498)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Five of the six intervals contain 0.5. The exception is the reporter screen's equal-protein-weight estimate, whose upper endpoint is 0.498; it points the opposite way to the hypothesis, meaning greater distance associated with being called. It rests on 48 proteins, the pair-weighted aggregation of the same data includes 0.5, the fitness screen's two aggregations point the other way, and it is one estimate in a post hoc family that carries no multiplicity adjustment. It is reported because it is the estimate the design produces, not as evidence of an inverse relationship.</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0.527 (0.415–0.639)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80 affected</w:t>
            </w:r>
          </w:p>
        </w:tc>
        <w:tc>
          <w:tcPr>
            <w:tcW w:type="dxa" w:w="1613"/>
          </w:tcPr>
          <w:p>
            <w:pPr>
              <w:spacing w:before="0" w:after="40" w:line="208" w:lineRule="exact"/>
              <w:jc w:val="left"/>
            </w:pPr>
            <w:r>
              <w:rPr>
                <w:rFonts w:ascii="Charis SIL" w:hAnsi="Charis SIL" w:cs="Charis SIL" w:eastAsia="Charis SIL"/>
                <w:b w:val="0"/>
                <w:i w:val="0"/>
                <w:color w:val="000000"/>
                <w:sz w:val="16"/>
              </w:rPr>
              <w:t>0.487</w:t>
            </w:r>
          </w:p>
        </w:tc>
        <w:tc>
          <w:tcPr>
            <w:tcW w:type="dxa" w:w="1613"/>
          </w:tcPr>
          <w:p>
            <w:pPr>
              <w:spacing w:before="0" w:after="40" w:line="208" w:lineRule="exact"/>
              <w:jc w:val="left"/>
            </w:pPr>
            <w:r>
              <w:rPr>
                <w:rFonts w:ascii="Charis SIL" w:hAnsi="Charis SIL" w:cs="Charis SIL" w:eastAsia="Charis SIL"/>
                <w:b w:val="0"/>
                <w:i w:val="0"/>
                <w:color w:val="000000"/>
                <w:sz w:val="16"/>
              </w:rPr>
              <w:t>0.421–0.554</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Declared within-protein estimand</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210 sites, 48 proteins, 180 pairs</w:t>
            </w:r>
          </w:p>
        </w:tc>
        <w:tc>
          <w:tcPr>
            <w:tcW w:type="dxa" w:w="1613"/>
          </w:tcPr>
          <w:p>
            <w:pPr>
              <w:spacing w:before="0" w:after="40" w:line="208" w:lineRule="exact"/>
              <w:jc w:val="left"/>
            </w:pPr>
            <w:r>
              <w:rPr>
                <w:rFonts w:ascii="Charis SIL" w:hAnsi="Charis SIL" w:cs="Charis SIL" w:eastAsia="Charis SIL"/>
                <w:b w:val="0"/>
                <w:i w:val="0"/>
                <w:color w:val="000000"/>
                <w:sz w:val="16"/>
              </w:rPr>
              <w:t>0.422</w:t>
            </w:r>
          </w:p>
        </w:tc>
        <w:tc>
          <w:tcPr>
            <w:tcW w:type="dxa" w:w="1613"/>
          </w:tcPr>
          <w:p>
            <w:pPr>
              <w:spacing w:before="0" w:after="40" w:line="208" w:lineRule="exact"/>
              <w:jc w:val="left"/>
            </w:pPr>
            <w:r>
              <w:rPr>
                <w:rFonts w:ascii="Charis SIL" w:hAnsi="Charis SIL" w:cs="Charis SIL" w:eastAsia="Charis SIL"/>
                <w:b w:val="0"/>
                <w:i w:val="0"/>
                <w:color w:val="000000"/>
                <w:sz w:val="16"/>
              </w:rPr>
              <w:t>0.322–0.521</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48 proteins</w:t>
            </w:r>
          </w:p>
        </w:tc>
        <w:tc>
          <w:tcPr>
            <w:tcW w:type="dxa" w:w="1613"/>
          </w:tcPr>
          <w:p>
            <w:pPr>
              <w:spacing w:before="0" w:after="40" w:line="208" w:lineRule="exact"/>
              <w:jc w:val="left"/>
            </w:pPr>
            <w:r>
              <w:rPr>
                <w:rFonts w:ascii="Charis SIL" w:hAnsi="Charis SIL" w:cs="Charis SIL" w:eastAsia="Charis SIL"/>
                <w:b w:val="0"/>
                <w:i w:val="0"/>
                <w:color w:val="000000"/>
                <w:sz w:val="16"/>
              </w:rPr>
              <w:t>0.384</w:t>
            </w:r>
          </w:p>
        </w:tc>
        <w:tc>
          <w:tcPr>
            <w:tcW w:type="dxa" w:w="1613"/>
          </w:tcPr>
          <w:p>
            <w:pPr>
              <w:spacing w:before="0" w:after="40" w:line="208" w:lineRule="exact"/>
              <w:jc w:val="left"/>
            </w:pPr>
            <w:r>
              <w:rPr>
                <w:rFonts w:ascii="Charis SIL" w:hAnsi="Charis SIL" w:cs="Charis SIL" w:eastAsia="Charis SIL"/>
                <w:b w:val="0"/>
                <w:i w:val="0"/>
                <w:color w:val="000000"/>
                <w:sz w:val="16"/>
              </w:rPr>
              <w:t>0.272–0.498</w:t>
            </w:r>
          </w:p>
        </w:tc>
        <w:tc>
          <w:tcPr>
            <w:tcW w:type="dxa" w:w="1613"/>
          </w:tcPr>
          <w:p>
            <w:pPr>
              <w:spacing w:before="0" w:after="40" w:line="208" w:lineRule="exact"/>
              <w:jc w:val="left"/>
            </w:pPr>
            <w:r>
              <w:rPr>
                <w:rFonts w:ascii="Charis SIL" w:hAnsi="Charis SIL" w:cs="Charis SIL" w:eastAsia="Charis SIL"/>
                <w:b w:val="0"/>
                <w:i w:val="0"/>
                <w:color w:val="000000"/>
                <w:sz w:val="16"/>
              </w:rPr>
              <w:t>Post hoc; the only interval here excluding 0.5 from below</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0.492–0.624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+0.071</w:t>
            </w:r>
          </w:p>
        </w:tc>
        <w:tc>
          <w:tcPr>
            <w:tcW w:type="dxa" w:w="1613"/>
          </w:tcPr>
          <w:p>
            <w:pPr>
              <w:spacing w:before="0" w:after="40" w:line="208" w:lineRule="exact"/>
              <w:jc w:val="left"/>
            </w:pPr>
            <w:r>
              <w:rPr>
                <w:rFonts w:ascii="Charis SIL" w:hAnsi="Charis SIL" w:cs="Charis SIL" w:eastAsia="Charis SIL"/>
                <w:b w:val="0"/>
                <w:i w:val="0"/>
                <w:color w:val="000000"/>
                <w:sz w:val="16"/>
              </w:rPr>
              <w:t>+0.005 to +0.137</w:t>
            </w:r>
          </w:p>
        </w:tc>
        <w:tc>
          <w:tcPr>
            <w:tcW w:type="dxa" w:w="1613"/>
          </w:tcPr>
          <w:p>
            <w:pPr>
              <w:spacing w:before="0" w:after="40" w:line="208" w:lineRule="exact"/>
              <w:jc w:val="left"/>
            </w:pPr>
            <w:r>
              <w:rPr>
                <w:rFonts w:ascii="Charis SIL" w:hAnsi="Charis SIL" w:cs="Charis SIL" w:eastAsia="Charis SIL"/>
                <w:b w:val="0"/>
                <w:i w:val="0"/>
                <w:color w:val="000000"/>
                <w:sz w:val="16"/>
              </w:rPr>
              <w:t>Post hoc; the only paired difference excluding zero</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0.565</w:t>
            </w:r>
          </w:p>
        </w:tc>
        <w:tc>
          <w:tcPr>
            <w:tcW w:type="dxa" w:w="1613"/>
          </w:tcPr>
          <w:p>
            <w:pPr>
              <w:spacing w:before="0" w:after="40" w:line="208" w:lineRule="exact"/>
              <w:jc w:val="left"/>
            </w:pPr>
            <w:r>
              <w:rPr>
                <w:rFonts w:ascii="Charis SIL" w:hAnsi="Charis SIL" w:cs="Charis SIL" w:eastAsia="Charis SIL"/>
                <w:b w:val="0"/>
                <w:i w:val="0"/>
                <w:color w:val="000000"/>
                <w:sz w:val="16"/>
              </w:rPr>
              <w:t>0.486–0.643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0.491</w:t>
            </w:r>
          </w:p>
        </w:tc>
        <w:tc>
          <w:tcPr>
            <w:tcW w:type="dxa" w:w="1613"/>
          </w:tcPr>
          <w:p>
            <w:pPr>
              <w:spacing w:before="0" w:after="40" w:line="208" w:lineRule="exact"/>
              <w:jc w:val="left"/>
            </w:pPr>
            <w:r>
              <w:rPr>
                <w:rFonts w:ascii="Charis SIL" w:hAnsi="Charis SIL" w:cs="Charis SIL" w:eastAsia="Charis SIL"/>
                <w:b w:val="0"/>
                <w:i w:val="0"/>
                <w:color w:val="000000"/>
                <w:sz w:val="16"/>
              </w:rPr>
              <w:t>0.391–0.590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S1 Appendix.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S2 Appendix.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S2 Table.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