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284" w:lineRule="exact"/>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vertAlign w:val="superscript"/>
        </w:rPr>
        <w:t>3</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3</w:t>
      </w:r>
      <w:r>
        <w:rPr>
          <w:rFonts w:ascii="Charis SIL" w:hAnsi="Charis SIL" w:cs="Charis SIL" w:eastAsia="Charis SIL"/>
          <w:b w:val="0"/>
          <w:i w:val="0"/>
          <w:color w:val="000000"/>
          <w:sz w:val="20"/>
        </w:rPr>
        <w:t xml:space="preserve"> Department of Electrical and Computer Engineering, Cockrell School of Engineering, The University of Texas at Austin, Austin, Texas, USA</w:t>
      </w:r>
    </w:p>
    <w:p>
      <w:pPr>
        <w:spacing w:before="0" w:after="200" w:line="284" w:lineRule="exact"/>
        <w:jc w:val="left"/>
      </w:pPr>
      <w:r>
        <w:rPr>
          <w:rFonts w:ascii="Charis SIL" w:hAnsi="Charis SIL" w:cs="Charis SIL" w:eastAsia="Charis SIL"/>
          <w:b w:val="0"/>
          <w:i w:val="0"/>
          <w:color w:val="000000"/>
          <w:sz w:val="20"/>
        </w:rPr>
        <w:t>\* Corresponding author. Email: ktn965@my.utexas.edu</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A common rule of thumb for ranking protein modification sites is proximity to a residue already annotated as active or binding. This paper asks what that measurement contains, and how well it separates sites whose mutation changed a phenotype from those whose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of the nearest annotated residue, in an AlphaFold DB v6 monomer model, on 163 alanine substitutions in 48 yeast proteins and 1,470 base-edited human sites in 787 proteins.</w:t>
      </w:r>
    </w:p>
    <w:p>
      <w:pPr>
        <w:spacing w:before="0" w:after="200" w:line="284" w:lineRule="exact"/>
        <w:jc w:val="left"/>
      </w:pPr>
      <w:r>
        <w:rPr>
          <w:rFonts w:ascii="Charis SIL" w:hAnsi="Charis SIL" w:cs="Charis SIL" w:eastAsia="Charis SIL"/>
          <w:b w:val="0"/>
          <w:i w:val="0"/>
          <w:color w:val="000000"/>
          <w:sz w:val="20"/>
        </w:rPr>
        <w:t>In yeast it ranked sites at an area under the receiver-operating-characteristic curve of 0.527 (95% interval 0.417–0.632, resampling whole proteins), where 0.5 is uninformative; an inclusive cohort keeping three self-annotated sites gives 0.544 (0.436–0.649). The human experiment reports two screens, analysed separately: 0.558 (0.473–0.639) on fitness and 0.483 (0.418–0.550) on an NFAT reporter. Six further endpoint definitions all contain 0.5.</w:t>
      </w:r>
    </w:p>
    <w:p>
      <w:pPr>
        <w:spacing w:before="0" w:after="200" w:line="284" w:lineRule="exact"/>
        <w:jc w:val="left"/>
      </w:pPr>
      <w:r>
        <w:rPr>
          <w:rFonts w:ascii="Charis SIL" w:hAnsi="Charis SIL" w:cs="Charis SIL" w:eastAsia="Charis SIL"/>
          <w:b w:val="0"/>
          <w:i w:val="0"/>
          <w:color w:val="000000"/>
          <w:sz w:val="20"/>
        </w:rPr>
        <w:t>What it rests on is mostly not experimental and mostly not within a protein. Of 163 yeast nearest-target assignments, 143 were not experimentally established, and 2.65% of yeast and 0.10% and 0.16% of human ranked pairs compare sites in one protein. The 1.33 Å band comes from allowing backbone atoms into the measurement; it disappears when distance is taken from the phosphate-accepting oxygen, and every interval built on that predictor still contains 0.5.</w:t>
      </w:r>
    </w:p>
    <w:p>
      <w:pPr>
        <w:spacing w:before="0" w:after="200" w:line="284" w:lineRule="exact"/>
        <w:jc w:val="left"/>
      </w:pPr>
      <w:r>
        <w:rPr>
          <w:rFonts w:ascii="Charis SIL" w:hAnsi="Charis SIL" w:cs="Charis SIL" w:eastAsia="Charis SIL"/>
          <w:b w:val="0"/>
          <w:i w:val="0"/>
          <w:color w:val="000000"/>
          <w:sz w:val="20"/>
        </w:rPr>
        <w:t>The heuristic claims short range, and these cohorts cannot test it there: 10 of 163 yeast and 37 of 1,470 human sites lie within 5 Å of a target, 6 and 16 of those within two residues in sequence. Every restricted interval contains 0.5 and is wider than the pooled one, and combining within-protein comparisons across both organisms — 278 pairs in 62 proteins — gives 0.504 (0.405–0.604). These are post hoc, and no comparator's paired difference excludes zero.</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[1,2].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284" w:lineRule="exact"/>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[4].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[11]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[2]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§2.7.5.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[11] measures an analogous phosphosite-to-functional-site distance against a structural rather than a phenotypic outcome.</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284" w:lineRule="exact"/>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jc w:val="left"/>
      </w:pPr>
      <w:r>
        <w:drawing>
          <wp:inline xmlns:a="http://schemas.openxmlformats.org/drawingml/2006/main" xmlns:pic="http://schemas.openxmlformats.org/drawingml/2006/picture">
            <wp:extent cx="6146800" cy="248772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46800" cy="2487720"/>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286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284" w:lineRule="exact"/>
        <w:jc w:val="left"/>
      </w:pPr>
      <w:r>
        <w:rPr>
          <w:rFonts w:ascii="Charis SIL" w:hAnsi="Charis SIL" w:cs="Charis SIL" w:eastAsia="Charis SIL"/>
          <w:b w:val="0"/>
          <w:i w:val="0"/>
          <w:color w:val="000000"/>
          <w:sz w:val="20"/>
        </w:rPr>
        <w:t>The declared post hoc families of the yeast analysis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16 to 166,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 The count is of yeast estimates only; the human endpoint, comparator and within-protein estimates of §2.7 are not in it, and no combined family was frozen.</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 band is therefore a property of the atom-selection rule rather than of the data. Measuring instead from the oxygen that accepts the phosphate — OG in serine, OG1 in threonine, OH in tyrosine — removes it completely: these five sites move to 3.44–4.15 Å, no site in either cohort remains in the 1.30–1.35 Å band, and the shortest tip distance becomes 2.65 Å in yeast and 2.56 Å in human. §2.4 reports what that substitution does to the ranking.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0" w:after="200" w:line="284" w:lineRule="exact"/>
        <w:jc w:val="left"/>
      </w:pPr>
      <w:r>
        <w:rPr>
          <w:rFonts w:ascii="Charis SIL" w:hAnsi="Charis SIL" w:cs="Charis SIL" w:eastAsia="Charis SIL"/>
          <w:b w:val="0"/>
          <w:i w:val="0"/>
          <w:color w:val="000000"/>
          <w:sz w:val="20"/>
        </w:rPr>
        <w:t>The heuristic being audited is local: it says a site a few ångströms from a catalytic residue is worth testing before one far away. The pooled AUC instead ranks every affected site against every unaffected site at every distance, and in these cohorts most of those pairs are tens of ångströms apart, where no claim has been made. Restricting to sites inside each declared cut-off gives, in yeast, 0.531 (0.311–0.722) on 43 sites within 15 Å, 0.448 (0.224–0.698) on 30 within 10 Å, 0.292 (0.042–0.607) on 20 within 8 Å and 0.458 (0.111–0.833) on 10 within 5 Å; in the human fitness screen, 0.539 (0.405–0.690), 0.657 (0.443–0.819), 0.641 (0.442–0.809) and 0.576 (0.114–0.853) on 175, 94, 73 and 37 sites. Every one of these intervals contains 0.5, and every one is wider than the pooled interval it is meant to sharpen. The reporter screen has two affected sites inside 8 Å and one inside 5 Å, too few for an interval at all.</w:t>
      </w:r>
    </w:p>
    <w:p>
      <w:pPr>
        <w:spacing w:before="0" w:after="200" w:line="284" w:lineRule="exact"/>
        <w:jc w:val="left"/>
      </w:pPr>
      <w:r>
        <w:rPr>
          <w:rFonts w:ascii="Charis SIL" w:hAnsi="Charis SIL" w:cs="Charis SIL" w:eastAsia="Charis SIL"/>
          <w:b w:val="0"/>
          <w:i w:val="0"/>
          <w:color w:val="000000"/>
          <w:sz w:val="20"/>
        </w:rPr>
        <w:t xml:space="preserve">These restricted estimates and the contrasts below are post hoc and unadjusted. Twelve threshold contrasts were computed across the four declared cut-offs and three cohorts. One excludes zero — the human fitness screen at 15 Å, where the affected rate is 18 of 175 inside against 54 of 1,295 outside, a difference of +0.061 (+0.009 to +0.119). It is not evidence about proximity. Sites inside 15 Å are a structurally distinct subset: mean relative solvent accessibility 0.35 against 0.62 and mean pLDDT 75 against 43, so they are buried residues in folded, well-modelled domains while the rest are exposed residues in poorly modelled tails. Adjusting for burial alone moves the inside-15 Å coefficient from 0.97 to 0.53 and its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from 0.0007 to 0.12, and burial is already the comparator with the largest estimate in this screen (§2.7.2). One contrast excluding zero out of twelve is also what a null produces about half the time. The same 175 sites in the reporter screen give −0.005 (−0.039 to +0.033).</w:t>
      </w:r>
    </w:p>
    <w:p>
      <w:pPr>
        <w:jc w:val="left"/>
      </w:pPr>
      <w:r>
        <w:drawing>
          <wp:inline xmlns:a="http://schemas.openxmlformats.org/drawingml/2006/main" xmlns:pic="http://schemas.openxmlformats.org/drawingml/2006/picture">
            <wp:extent cx="6146800" cy="2351251"/>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146800" cy="2351251"/>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from the phospho-accepting oxygen</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0.416–0.633</w:t>
            </w:r>
          </w:p>
        </w:tc>
        <w:tc>
          <w:tcPr>
            <w:tcW w:type="dxa" w:w="1613"/>
          </w:tcPr>
          <w:p>
            <w:pPr>
              <w:spacing w:before="0" w:after="40" w:line="208" w:lineRule="exact"/>
              <w:jc w:val="left"/>
            </w:pPr>
            <w:r>
              <w:rPr>
                <w:rFonts w:ascii="Charis SIL" w:hAnsi="Charis SIL" w:cs="Charis SIL" w:eastAsia="Charis SIL"/>
                <w:b w:val="0"/>
                <w:i w:val="0"/>
                <w:color w:val="000000"/>
                <w:sz w:val="16"/>
              </w:rPr>
              <w:t>−0.000</w:t>
            </w:r>
          </w:p>
        </w:tc>
        <w:tc>
          <w:tcPr>
            <w:tcW w:type="dxa" w:w="1613"/>
          </w:tcPr>
          <w:p>
            <w:pPr>
              <w:spacing w:before="0" w:after="40" w:line="208" w:lineRule="exact"/>
              <w:jc w:val="left"/>
            </w:pPr>
            <w:r>
              <w:rPr>
                <w:rFonts w:ascii="Charis SIL" w:hAnsi="Charis SIL" w:cs="Charis SIL" w:eastAsia="Charis SIL"/>
                <w:b w:val="0"/>
                <w:i w:val="0"/>
                <w:color w:val="000000"/>
                <w:sz w:val="16"/>
              </w:rPr>
              <w:t>−0.007 to +0.008</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240" w:after="120" w:line="284" w:lineRule="exact"/>
        <w:jc w:val="left"/>
      </w:pPr>
      <w:r>
        <w:rPr>
          <w:rFonts w:ascii="Charis SIL" w:hAnsi="Charis SIL" w:cs="Charis SIL" w:eastAsia="Charis SIL"/>
          <w:b/>
          <w:i/>
          <w:color w:val="000000"/>
          <w:sz w:val="21"/>
        </w:rPr>
        <w:t>2.4.1 A better-specified version of the same idea</w:t>
      </w:r>
    </w:p>
    <w:p>
      <w:pPr>
        <w:spacing w:before="0" w:after="200" w:line="284" w:lineRule="exact"/>
        <w:jc w:val="left"/>
      </w:pPr>
      <w:r>
        <w:rPr>
          <w:rFonts w:ascii="Charis SIL" w:hAnsi="Charis SIL" w:cs="Charis SIL" w:eastAsia="Charis SIL"/>
          <w:b w:val="0"/>
          <w:i w:val="0"/>
          <w:color w:val="000000"/>
          <w:sz w:val="20"/>
        </w:rPr>
        <w:t>The declared predictor takes the shortest separation between any non-hydrogen atoms of the two residues, backbone included, and none of the comparators above is a better-specified version of the same idea; they are different ideas. The phosphate attaches to the side-chain tip, and that tip and the charge it carries are the mechanism the heuristic is about, so the sharper test is to measure from the accepting oxygen alone.</w:t>
      </w:r>
    </w:p>
    <w:p>
      <w:pPr>
        <w:spacing w:before="0" w:after="200" w:line="284" w:lineRule="exact"/>
        <w:jc w:val="left"/>
      </w:pPr>
      <w:r>
        <w:rPr>
          <w:rFonts w:ascii="Charis SIL" w:hAnsi="Charis SIL" w:cs="Charis SIL" w:eastAsia="Charis SIL"/>
          <w:b w:val="0"/>
          <w:i w:val="0"/>
          <w:color w:val="000000"/>
          <w:sz w:val="20"/>
        </w:rPr>
        <w:t>It changes almost nothing. In yeast the tip-oxygen predictor gives 0.527 (0.416–0.633) against the declared 0.527 (0.416–0.631), a paired difference of −0.000 (−0.007 to +0.008). In the human cohort it gives 0.562 (0.477–0.642) on the fitness screen and 0.485 (0.419–0.552) on the reporter screen, against 0.558 (0.473–0.639) and 0.483 (0.418–0.550). The fitness paired difference, +0.004 (+0.000 to +0.008), excludes zero, and expressed as pairs it is a net 405 reorderings out of 100,656: the two predictors give the same ordering on 98.4% of ranked pairs. That is distinguishable from zero and negligible in size, and it is not reported as one predictor outperforming the other.</w:t>
      </w:r>
    </w:p>
    <w:p>
      <w:pPr>
        <w:spacing w:before="0" w:after="200" w:line="284" w:lineRule="exact"/>
        <w:jc w:val="left"/>
      </w:pPr>
      <w:r>
        <w:rPr>
          <w:rFonts w:ascii="Charis SIL" w:hAnsi="Charis SIL" w:cs="Charis SIL" w:eastAsia="Charis SIL"/>
          <w:b w:val="0"/>
          <w:i w:val="0"/>
          <w:color w:val="000000"/>
          <w:sz w:val="20"/>
        </w:rPr>
        <w:t>What the substitution does change is the peptide-bond band, which disappears entirely (§2.3). The conclusion therefore holds in the form of the measurement that best matches the mechanism, which is a stronger statement than the declared predictor alone supports. Subtracting a constant for the phosphate's reach cannot alter any of these figures, because the AUC is a rank statistic and a constant offset leaves every ranking unchanged; it bears only on the cut-offs in §2.3.</w:t>
      </w:r>
    </w:p>
    <w:p>
      <w:pPr>
        <w:spacing w:before="0" w:after="200" w:line="284" w:lineRule="exact"/>
        <w:jc w:val="left"/>
      </w:pPr>
      <w:r>
        <w:rPr>
          <w:rFonts w:ascii="Charis SIL" w:hAnsi="Charis SIL" w:cs="Charis SIL" w:eastAsia="Charis SIL"/>
          <w:b w:val="0"/>
          <w:i w:val="0"/>
          <w:color w:val="000000"/>
          <w:sz w:val="20"/>
        </w:rPr>
        <w:t>All figures in this subsection are post hoc and unadjusted.</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2.4.2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2.4.3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284" w:lineRule="exact"/>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[13].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S1 Table and S1 Fig; its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S2 Table; its 72 primary-cohort cells run from 0.416 to 0.569.</w:t>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[14] edited phosphosites in human T cells with base editors; both screens analysed here were run in Jurkat-lineage cells. The predictor, the annotation source, the structure source and the estimator are the ones declared above. The cohort holds </w:t>
      </w:r>
      <w:r>
        <w:rPr>
          <w:rFonts w:ascii="Charis SIL" w:hAnsi="Charis SIL" w:cs="Charis SIL" w:eastAsia="Charis SIL"/>
          <w:b/>
          <w:i w:val="0"/>
          <w:color w:val="000000"/>
          <w:sz w:val="20"/>
        </w:rPr>
        <w:t>1,470 edited sites in 787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66 sites in the fitness screen only, 76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[15] two one-sided gene-level p-values on most rows but not all: reconstructing that minimum reproduces it on 1,424 of the 1,470 rows for the fitness screen and 1,370 of 1,470 for the reporter screen, and the construction of the remaining 46 and 100 is not established here. A minimum of two one-sided tests is not a two-sided p-value, so the endpoint doubles that minimum. Because the released column does not reproduce it on the 46 and 100 rows above, the minimum is reconstructed from the two directional columns of the source rather than taken from the released one, and doubled. Reconstructing changes nothing in the fitness screen, where no mismatched row crosses the threshold, and moves the reporter screen from 81 affected sites to 82, with BRSK2 S367, DDX47 S9, NR1D1 S280, PDE4A S13 and TBKBP1 S335 changing classification.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0.558 (0.473–0.639)</w:t>
      </w:r>
      <w:r>
        <w:rPr>
          <w:rFonts w:ascii="Charis SIL" w:hAnsi="Charis SIL" w:cs="Charis SIL" w:eastAsia="Charis SIL"/>
          <w:b w:val="0"/>
          <w:i w:val="0"/>
          <w:color w:val="000000"/>
          <w:sz w:val="20"/>
        </w:rPr>
        <w:t xml:space="preserve"> on the fitness screen, where 72 sites are affected, and </w:t>
      </w:r>
      <w:r>
        <w:rPr>
          <w:rFonts w:ascii="Charis SIL" w:hAnsi="Charis SIL" w:cs="Charis SIL" w:eastAsia="Charis SIL"/>
          <w:b/>
          <w:i w:val="0"/>
          <w:color w:val="000000"/>
          <w:sz w:val="20"/>
        </w:rPr>
        <w:t>0.483 (0.418–0.550)</w:t>
      </w:r>
      <w:r>
        <w:rPr>
          <w:rFonts w:ascii="Charis SIL" w:hAnsi="Charis SIL" w:cs="Charis SIL" w:eastAsia="Charis SIL"/>
          <w:b w:val="0"/>
          <w:i w:val="0"/>
          <w:color w:val="000000"/>
          <w:sz w:val="20"/>
        </w:rPr>
        <w:t xml:space="preserve"> on the reporter screen, where 82 are. The two land on opposite sides of 0.5 from the same predictor on the same 1,470 sites. Both intervals contain 0.5, and the fitness value is the further from it: shuffling the outcome labels 20,000 times puts it 1.64 standard deviations from the centre of that distribution. The shuffle moves labels between proteins and so is a diagnostic reference distribution rather than a test, for the reason given in §2.2, and no p-value is claimed from it.</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284" w:lineRule="exact"/>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72</w:t>
            </w:r>
          </w:p>
        </w:tc>
        <w:tc>
          <w:tcPr>
            <w:tcW w:type="dxa" w:w="2420"/>
          </w:tcPr>
          <w:p>
            <w:pPr>
              <w:spacing w:before="0" w:after="40" w:line="208" w:lineRule="exact"/>
              <w:jc w:val="left"/>
            </w:pPr>
            <w:r>
              <w:rPr>
                <w:rFonts w:ascii="Charis SIL" w:hAnsi="Charis SIL" w:cs="Charis SIL" w:eastAsia="Charis SIL"/>
                <w:b w:val="0"/>
                <w:i w:val="0"/>
                <w:color w:val="000000"/>
                <w:sz w:val="16"/>
              </w:rPr>
              <w:t>0.558</w:t>
            </w:r>
          </w:p>
        </w:tc>
        <w:tc>
          <w:tcPr>
            <w:tcW w:type="dxa" w:w="2420"/>
          </w:tcPr>
          <w:p>
            <w:pPr>
              <w:spacing w:before="0" w:after="40" w:line="208" w:lineRule="exact"/>
              <w:jc w:val="left"/>
            </w:pPr>
            <w:r>
              <w:rPr>
                <w:rFonts w:ascii="Charis SIL" w:hAnsi="Charis SIL" w:cs="Charis SIL" w:eastAsia="Charis SIL"/>
                <w:b w:val="0"/>
                <w:i w:val="0"/>
                <w:color w:val="000000"/>
                <w:sz w:val="16"/>
              </w:rPr>
              <w:t>0.473–0.639</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82</w:t>
            </w:r>
          </w:p>
        </w:tc>
        <w:tc>
          <w:tcPr>
            <w:tcW w:type="dxa" w:w="2420"/>
          </w:tcPr>
          <w:p>
            <w:pPr>
              <w:spacing w:before="0" w:after="40" w:line="208" w:lineRule="exact"/>
              <w:jc w:val="left"/>
            </w:pPr>
            <w:r>
              <w:rPr>
                <w:rFonts w:ascii="Charis SIL" w:hAnsi="Charis SIL" w:cs="Charis SIL" w:eastAsia="Charis SIL"/>
                <w:b w:val="0"/>
                <w:i w:val="0"/>
                <w:color w:val="000000"/>
                <w:sz w:val="16"/>
              </w:rPr>
              <w:t>0.483</w:t>
            </w:r>
          </w:p>
        </w:tc>
        <w:tc>
          <w:tcPr>
            <w:tcW w:type="dxa" w:w="2420"/>
          </w:tcPr>
          <w:p>
            <w:pPr>
              <w:spacing w:before="0" w:after="40" w:line="208" w:lineRule="exact"/>
              <w:jc w:val="left"/>
            </w:pPr>
            <w:r>
              <w:rPr>
                <w:rFonts w:ascii="Charis SIL" w:hAnsi="Charis SIL" w:cs="Charis SIL" w:eastAsia="Charis SIL"/>
                <w:b w:val="0"/>
                <w:i w:val="0"/>
                <w:color w:val="000000"/>
                <w:sz w:val="16"/>
              </w:rPr>
              <w:t>0.418–0.550</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296</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0.464–0.545</w:t>
            </w:r>
          </w:p>
        </w:tc>
      </w:tr>
      <w:tr>
        <w:tc>
          <w:tcPr>
            <w:tcW w:type="dxa" w:w="2420"/>
          </w:tcPr>
          <w:p>
            <w:pPr>
              <w:spacing w:before="0" w:after="40" w:line="208" w:lineRule="exact"/>
              <w:jc w:val="left"/>
            </w:pPr>
            <w:r>
              <w:rPr>
                <w:rFonts w:ascii="Charis SIL" w:hAnsi="Charis SIL" w:cs="Charis SIL" w:eastAsia="Charis SIL"/>
                <w:b w:val="0"/>
                <w:i w:val="0"/>
                <w:color w:val="000000"/>
                <w:sz w:val="16"/>
              </w:rPr>
              <w:t>Union, Bonferroni over the four directional p-values</w:t>
            </w:r>
          </w:p>
        </w:tc>
        <w:tc>
          <w:tcPr>
            <w:tcW w:type="dxa" w:w="2420"/>
          </w:tcPr>
          <w:p>
            <w:pPr>
              <w:spacing w:before="0" w:after="40" w:line="208" w:lineRule="exact"/>
              <w:jc w:val="left"/>
            </w:pPr>
            <w:r>
              <w:rPr>
                <w:rFonts w:ascii="Charis SIL" w:hAnsi="Charis SIL" w:cs="Charis SIL" w:eastAsia="Charis SIL"/>
                <w:b w:val="0"/>
                <w:i w:val="0"/>
                <w:color w:val="000000"/>
                <w:sz w:val="16"/>
              </w:rPr>
              <w:t>88</w:t>
            </w:r>
          </w:p>
        </w:tc>
        <w:tc>
          <w:tcPr>
            <w:tcW w:type="dxa" w:w="2420"/>
          </w:tcPr>
          <w:p>
            <w:pPr>
              <w:spacing w:before="0" w:after="40" w:line="208" w:lineRule="exact"/>
              <w:jc w:val="left"/>
            </w:pPr>
            <w:r>
              <w:rPr>
                <w:rFonts w:ascii="Charis SIL" w:hAnsi="Charis SIL" w:cs="Charis SIL" w:eastAsia="Charis SIL"/>
                <w:b w:val="0"/>
                <w:i w:val="0"/>
                <w:color w:val="000000"/>
                <w:sz w:val="16"/>
              </w:rPr>
              <w:t>0.539</w:t>
            </w:r>
          </w:p>
        </w:tc>
        <w:tc>
          <w:tcPr>
            <w:tcW w:type="dxa" w:w="2420"/>
          </w:tcPr>
          <w:p>
            <w:pPr>
              <w:spacing w:before="0" w:after="40" w:line="208" w:lineRule="exact"/>
              <w:jc w:val="left"/>
            </w:pPr>
            <w:r>
              <w:rPr>
                <w:rFonts w:ascii="Charis SIL" w:hAnsi="Charis SIL" w:cs="Charis SIL" w:eastAsia="Charis SIL"/>
                <w:b w:val="0"/>
                <w:i w:val="0"/>
                <w:color w:val="000000"/>
                <w:sz w:val="16"/>
              </w:rPr>
              <w:t>0.462–0.614</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0.455–0.561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0.451–0.557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0.454–0.561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0.429–0.781</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0.607 (0.531–0.679)</w:t>
      </w:r>
      <w:r>
        <w:rPr>
          <w:rFonts w:ascii="Charis SIL" w:hAnsi="Charis SIL" w:cs="Charis SIL" w:eastAsia="Charis SIL"/>
          <w:b w:val="0"/>
          <w:i w:val="0"/>
          <w:color w:val="000000"/>
          <w:sz w:val="20"/>
        </w:rPr>
        <w:t>, an interval that does not contain 0.5, against 0.519 (0.454–0.585) in the reporter screen, and in the yeast cohort the same quantity had the largest comparator point estimate at 0.587 without excluding 0.5. Its paired difference against distance on the same fitness sites is +0.049 (−0.019 to +0.120) and contains zero, so burial is not shown to outperform distance; the marginal result is a post hoc hypothesis about burial, not a demonstration that burial rather than distance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the smallest gap in sequence position to an eligible annotated residue gives 0.549 (0.485–0.614), an interval containing 0.5, and its paired difference against distance is +0.066 (−0.001 to +0.131),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comparator's paired difference against distance excludes zero in either cohort.</w:t>
      </w:r>
      <w:r>
        <w:rPr>
          <w:rFonts w:ascii="Charis SIL" w:hAnsi="Charis SIL" w:cs="Charis SIL" w:eastAsia="Charis SIL"/>
          <w:b w:val="0"/>
          <w:i w:val="0"/>
          <w:color w:val="000000"/>
          <w:sz w:val="20"/>
        </w:rPr>
        <w:t xml:space="preserve"> The exception is not a comparator: measuring distance from the phospho-accepting oxygen rather than any heavy atom gives a paired difference of +0.004 (+0.000 to +0.008) on the fitness screen, which is a net 405 reorderings out of 100,656 ranked pairs and is reported in §2.4.1 as the atom choice not mattering rather than as one predictor beating another. The burial result above is post hoc and unadjusted for the number of features and endpoints examined; it is the strongest lead here, not a finding.</w:t>
      </w:r>
    </w:p>
    <w:p>
      <w:pPr>
        <w:spacing w:before="240" w:after="120" w:line="284" w:lineRule="exact"/>
        <w:jc w:val="left"/>
      </w:pPr>
      <w:r>
        <w:rPr>
          <w:rFonts w:ascii="Charis SIL" w:hAnsi="Charis SIL" w:cs="Charis SIL" w:eastAsia="Charis SIL"/>
          <w:b/>
          <w:i/>
          <w:color w:val="000000"/>
          <w:sz w:val="21"/>
        </w:rPr>
        <w:t>2.7.3 What the pooled statistic estimates, and the within-protein estimate</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100,656</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184 of 113,816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49 proteins contribute any within-protein comparison at all; the rest carry a single outcome class throughout.</w:t>
      </w:r>
    </w:p>
    <w:p>
      <w:pPr>
        <w:spacing w:before="0" w:after="200" w:line="284" w:lineRule="exact"/>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284" w:lineRule="exact"/>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has an interval excluding 0.5 from above within a protein.</w:t>
      </w:r>
    </w:p>
    <w:p>
      <w:pPr>
        <w:jc w:val="left"/>
      </w:pPr>
      <w:r>
        <w:drawing>
          <wp:inline xmlns:a="http://schemas.openxmlformats.org/drawingml/2006/main" xmlns:pic="http://schemas.openxmlformats.org/drawingml/2006/picture">
            <wp:extent cx="6146800" cy="262134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146800" cy="2621346"/>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except the reporter screen's equal-protein-weight estimate, whose upper endpoint is 0.489; §2.7.3 sets out why that exclusion is not reported as a result. Estimand is distinguished by colour, marker and line style together, so the panel survives grayscale.</w:t>
      </w:r>
    </w:p>
    <w:p>
      <w:pPr>
        <w:spacing w:before="0" w:after="200" w:line="284" w:lineRule="exact"/>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49</w:t>
            </w:r>
          </w:p>
        </w:tc>
        <w:tc>
          <w:tcPr>
            <w:tcW w:type="dxa" w:w="1936"/>
          </w:tcPr>
          <w:p>
            <w:pPr>
              <w:spacing w:before="0" w:after="40" w:line="208" w:lineRule="exact"/>
              <w:jc w:val="left"/>
            </w:pPr>
            <w:r>
              <w:rPr>
                <w:rFonts w:ascii="Charis SIL" w:hAnsi="Charis SIL" w:cs="Charis SIL" w:eastAsia="Charis SIL"/>
                <w:b w:val="0"/>
                <w:i w:val="0"/>
                <w:color w:val="000000"/>
                <w:sz w:val="16"/>
              </w:rPr>
              <w:t>184</w:t>
            </w:r>
          </w:p>
        </w:tc>
        <w:tc>
          <w:tcPr>
            <w:tcW w:type="dxa" w:w="1936"/>
          </w:tcPr>
          <w:p>
            <w:pPr>
              <w:spacing w:before="0" w:after="40" w:line="208" w:lineRule="exact"/>
              <w:jc w:val="left"/>
            </w:pPr>
            <w:r>
              <w:rPr>
                <w:rFonts w:ascii="Charis SIL" w:hAnsi="Charis SIL" w:cs="Charis SIL" w:eastAsia="Charis SIL"/>
                <w:b w:val="0"/>
                <w:i w:val="0"/>
                <w:color w:val="000000"/>
                <w:sz w:val="16"/>
              </w:rPr>
              <w:t>0.413 (0.313–0.510)</w:t>
            </w:r>
          </w:p>
        </w:tc>
        <w:tc>
          <w:tcPr>
            <w:tcW w:type="dxa" w:w="1936"/>
          </w:tcPr>
          <w:p>
            <w:pPr>
              <w:spacing w:before="0" w:after="40" w:line="208" w:lineRule="exact"/>
              <w:jc w:val="left"/>
            </w:pPr>
            <w:r>
              <w:rPr>
                <w:rFonts w:ascii="Charis SIL" w:hAnsi="Charis SIL" w:cs="Charis SIL" w:eastAsia="Charis SIL"/>
                <w:b w:val="0"/>
                <w:i w:val="0"/>
                <w:color w:val="000000"/>
                <w:sz w:val="16"/>
              </w:rPr>
              <w:t>0.376 (0.266–0.489)</w:t>
            </w:r>
          </w:p>
        </w:tc>
      </w:tr>
      <w:tr>
        <w:tc>
          <w:tcPr>
            <w:tcW w:type="dxa" w:w="1936"/>
          </w:tcPr>
          <w:p>
            <w:pPr>
              <w:spacing w:before="0" w:after="40" w:line="208" w:lineRule="exact"/>
              <w:jc w:val="left"/>
            </w:pPr>
            <w:r>
              <w:rPr>
                <w:rFonts w:ascii="Charis SIL" w:hAnsi="Charis SIL" w:cs="Charis SIL" w:eastAsia="Charis SIL"/>
                <w:b/>
                <w:i w:val="0"/>
                <w:color w:val="000000"/>
                <w:sz w:val="16"/>
              </w:rPr>
              <w:t>Combined, yeast + human fitness</w:t>
            </w:r>
          </w:p>
        </w:tc>
        <w:tc>
          <w:tcPr>
            <w:tcW w:type="dxa" w:w="1936"/>
          </w:tcPr>
          <w:p>
            <w:pPr>
              <w:spacing w:before="0" w:after="40" w:line="208" w:lineRule="exact"/>
              <w:jc w:val="left"/>
            </w:pPr>
            <w:r>
              <w:rPr>
                <w:rFonts w:ascii="Charis SIL" w:hAnsi="Charis SIL" w:cs="Charis SIL" w:eastAsia="Charis SIL"/>
                <w:b/>
                <w:i w:val="0"/>
                <w:color w:val="000000"/>
                <w:sz w:val="16"/>
              </w:rPr>
              <w:t>62</w:t>
            </w:r>
          </w:p>
        </w:tc>
        <w:tc>
          <w:tcPr>
            <w:tcW w:type="dxa" w:w="1936"/>
          </w:tcPr>
          <w:p>
            <w:pPr>
              <w:spacing w:before="0" w:after="40" w:line="208" w:lineRule="exact"/>
              <w:jc w:val="left"/>
            </w:pPr>
            <w:r>
              <w:rPr>
                <w:rFonts w:ascii="Charis SIL" w:hAnsi="Charis SIL" w:cs="Charis SIL" w:eastAsia="Charis SIL"/>
                <w:b/>
                <w:i w:val="0"/>
                <w:color w:val="000000"/>
                <w:sz w:val="16"/>
              </w:rPr>
              <w:t>278</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i w:val="0"/>
                <w:color w:val="000000"/>
                <w:sz w:val="16"/>
              </w:rPr>
              <w:t>0.504 (0.405–0.604)</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Five of the six intervals contain 0.5. The reporter screen's two aggregations sit below it and the fitness screen's two above, on 39 and 49 informative proteins and 102 and 184 pairs. The exception is the reporter's equal-protein-weight interval, whose upper endpoint is 0.489, and it is not reported here as a result. Its exclusion of 0.5 turns on one protein contributing one pair: PIDD1 carries two sites, one affected at 24.9 Å and one unaffected at 32.8 Å, and its gene symbol matches more than one reviewed UniProt entry, so the cohort rule drops it. Restoring it returns the upper endpoint to 0.502. Of the 49 informative proteins, 47 carry exactly one affected site and 14 contribute exactly one pair, so 32 of the 49 per-protein values are forced to exactly 0 or exactly 1; the 49 values have a standard error of 0.057 and a one-sample </w:t>
      </w:r>
      <w:r>
        <w:rPr>
          <w:rFonts w:ascii="Charis SIL" w:hAnsi="Charis SIL" w:cs="Charis SIL" w:eastAsia="Charis SIL"/>
          <w:b w:val="0"/>
          <w:i/>
          <w:color w:val="000000"/>
          <w:sz w:val="20"/>
        </w:rPr>
        <w:t>t</w:t>
      </w:r>
      <w:r>
        <w:rPr>
          <w:rFonts w:ascii="Charis SIL" w:hAnsi="Charis SIL" w:cs="Charis SIL" w:eastAsia="Charis SIL"/>
          <w:b w:val="0"/>
          <w:i w:val="0"/>
          <w:color w:val="000000"/>
          <w:sz w:val="20"/>
        </w:rPr>
        <w:t xml:space="preserve"> against 0.5 gives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 0.04, unadjusted. The same 49 proteins and 184 pairs weighted by pair give 0.413 (0.313–0.510). An earlier version of this analysis reported the same quantity as 0.384 (0.272–0.498) on the released per-site column and as 0.388 (0.279–0.502) on a cohort retaining PIDD1. A quantity that changes which side of 0.5 it falls on when one of 787 proteins enters or leaves is measuring the precision of the estimator, not the predictor.</w:t>
      </w:r>
    </w:p>
    <w:p>
      <w:pPr>
        <w:spacing w:before="0" w:after="200" w:line="284" w:lineRule="exact"/>
        <w:jc w:val="left"/>
      </w:pPr>
      <w:r>
        <w:rPr>
          <w:rFonts w:ascii="Charis SIL" w:hAnsi="Charis SIL" w:cs="Charis SIL" w:eastAsia="Charis SIL"/>
          <w:b w:val="0"/>
          <w:i w:val="0"/>
          <w:color w:val="000000"/>
          <w:sz w:val="20"/>
        </w:rPr>
        <w:t xml:space="preserve">The three within-protein estimates are of the same quantity and were not combined above. Yeast and the human screens are independent of one another — different organism, perturbation chemistry, readout and builder — but the two human screens share all 1,470 sites and are not independent of each other, so only one enters a combination. Designating the fitness screen, the readout the source experiment leads with, an inverse-variance combination gives </w:t>
      </w:r>
      <w:r>
        <w:rPr>
          <w:rFonts w:ascii="Charis SIL" w:hAnsi="Charis SIL" w:cs="Charis SIL" w:eastAsia="Charis SIL"/>
          <w:b/>
          <w:i w:val="0"/>
          <w:color w:val="000000"/>
          <w:sz w:val="20"/>
        </w:rPr>
        <w:t>0.504 (0.405–0.604)</w:t>
      </w:r>
      <w:r>
        <w:rPr>
          <w:rFonts w:ascii="Charis SIL" w:hAnsi="Charis SIL" w:cs="Charis SIL" w:eastAsia="Charis SIL"/>
          <w:b w:val="0"/>
          <w:i w:val="0"/>
          <w:color w:val="000000"/>
          <w:sz w:val="20"/>
        </w:rPr>
        <w:t xml:space="preserve"> over </w:t>
      </w:r>
      <w:r>
        <w:rPr>
          <w:rFonts w:ascii="Charis SIL" w:hAnsi="Charis SIL" w:cs="Charis SIL" w:eastAsia="Charis SIL"/>
          <w:b/>
          <w:i w:val="0"/>
          <w:color w:val="000000"/>
          <w:sz w:val="20"/>
        </w:rPr>
        <w:t>278 within-protein pairs in 62 proteins</w:t>
      </w:r>
      <w:r>
        <w:rPr>
          <w:rFonts w:ascii="Charis SIL" w:hAnsi="Charis SIL" w:cs="Charis SIL" w:eastAsia="Charis SIL"/>
          <w:b w:val="0"/>
          <w:i w:val="0"/>
          <w:color w:val="000000"/>
          <w:sz w:val="20"/>
        </w:rPr>
        <w:t xml:space="preserve">, with Cochran's </w:t>
      </w:r>
      <w:r>
        <w:rPr>
          <w:rFonts w:ascii="Charis SIL" w:hAnsi="Charis SIL" w:cs="Charis SIL" w:eastAsia="Charis SIL"/>
          <w:b w:val="0"/>
          <w:i/>
          <w:color w:val="000000"/>
          <w:sz w:val="20"/>
        </w:rPr>
        <w:t>Q</w:t>
      </w:r>
      <w:r>
        <w:rPr>
          <w:rFonts w:ascii="Charis SIL" w:hAnsi="Charis SIL" w:cs="Charis SIL" w:eastAsia="Charis SIL"/>
          <w:b w:val="0"/>
          <w:i w:val="0"/>
          <w:color w:val="000000"/>
          <w:sz w:val="20"/>
        </w:rPr>
        <w:t xml:space="preserve"> = 0.02 on one degree of freedom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² = 0%. Substituting the reporter screen gives 0.421 (0.332–0.509) with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² = 40%. Both contain 0.5.</w:t>
      </w:r>
    </w:p>
    <w:p>
      <w:pPr>
        <w:spacing w:before="0" w:after="200" w:line="284" w:lineRule="exact"/>
        <w:jc w:val="left"/>
      </w:pPr>
      <w:r>
        <w:rPr>
          <w:rFonts w:ascii="Charis SIL" w:hAnsi="Charis SIL" w:cs="Charis SIL" w:eastAsia="Charis SIL"/>
          <w:b w:val="0"/>
          <w:i w:val="0"/>
          <w:color w:val="000000"/>
          <w:sz w:val="20"/>
        </w:rPr>
        <w:t>A conditional logistic regression stratified on protein estimates the same within-protein effect directly, rather than the mixed within-and-between effect the marginal model of §2.2 returns, and uses every protein carrying both outcome classes rather than only sites that form pairs. Per 10 Å of distance the odds ratios are 0.98 (0.77–1.25) in yeast, 0.90 (0.71–1.16) in the human fitness screen and 1.13 (0.94–1.35) in the reporter screen, on 23, 39 and 49 strata. All three contain 1. Pooling every within-protein comparison available across two organisms does not separate the classes. These estimates are post hoc and unadjusted.</w:t>
      </w:r>
    </w:p>
    <w:p>
      <w:pPr>
        <w:spacing w:before="0" w:after="200" w:line="284" w:lineRule="exact"/>
        <w:jc w:val="left"/>
      </w:pPr>
      <w:r>
        <w:rPr>
          <w:rFonts w:ascii="Charis SIL" w:hAnsi="Charis SIL" w:cs="Charis SIL" w:eastAsia="Charis SIL"/>
          <w:b w:val="0"/>
          <w:i w:val="0"/>
          <w:color w:val="000000"/>
          <w:sz w:val="20"/>
        </w:rPr>
        <w:t>What this paper can therefore support is an audit of a mostly cross-protein ranking. It does not evaluate within-protein prioritisation, in the sense of establishing what that ranking is worth; it establishes only that no aggregation tried here separates the classes with an interval excluding 0.5 from above, on pair counts this small.</w:t>
      </w:r>
    </w:p>
    <w:p>
      <w:pPr>
        <w:spacing w:before="240" w:after="120" w:line="284" w:lineRule="exact"/>
        <w:jc w:val="left"/>
      </w:pPr>
      <w:r>
        <w:rPr>
          <w:rFonts w:ascii="Charis SIL" w:hAnsi="Charis SIL" w:cs="Charis SIL" w:eastAsia="Charis SIL"/>
          <w:b/>
          <w:i/>
          <w:color w:val="000000"/>
          <w:sz w:val="21"/>
        </w:rPr>
        <w:t>2.7.4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286 proteins</w:t>
      </w:r>
      <w:r>
        <w:rPr>
          <w:rFonts w:ascii="Charis SIL" w:hAnsi="Charis SIL" w:cs="Charis SIL" w:eastAsia="Charis SIL"/>
          <w:b w:val="0"/>
          <w:i w:val="0"/>
          <w:color w:val="000000"/>
          <w:sz w:val="20"/>
        </w:rPr>
        <w:t xml:space="preserve"> here: 0.576 (0.449–0.703) on the fitness screen and 0.478 (0.376–0.577)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2.7.5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0.647 (0.565–0.723)</w:t>
      </w:r>
      <w:r>
        <w:rPr>
          <w:rFonts w:ascii="Charis SIL" w:hAnsi="Charis SIL" w:cs="Charis SIL" w:eastAsia="Charis SIL"/>
          <w:b w:val="0"/>
          <w:i w:val="0"/>
          <w:color w:val="000000"/>
          <w:sz w:val="20"/>
        </w:rPr>
        <w:t xml:space="preserve"> on the 997 sites carrying a score. On the reporter screen the same feature gives 0.575 (0.497–0.651),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The 39 sites edited cleanly from threonine to alanine carry one affected site under the fitness endpoint and none under the reporter endpoint, so no interval is estimable for them in either screen. An earlier version of this analysis reported an AUC of 0.470 (0.212–0.733) for this arm; that rested on the withdrawn pooled endpoint and is retired. Restricting instead to the 425 sites edited by a guide that made only one change, so no bystander edit is present, gives 0.516 (0.392–0.641) on the fitness screen and 0.512 (0.402–0.624) on the reporter screen. Li et al. [16],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2.7.6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100,656 and 184 of 113,816, and Table 3 estimates the quantity directly (§2.7.3) and only 39 and 49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What the human endpoint can detect.</w:t>
      </w:r>
      <w:r>
        <w:rPr>
          <w:rFonts w:ascii="Charis SIL" w:hAnsi="Charis SIL" w:cs="Charis SIL" w:eastAsia="Charis SIL"/>
          <w:b w:val="0"/>
          <w:i w:val="0"/>
          <w:color w:val="000000"/>
          <w:sz w:val="20"/>
        </w:rPr>
        <w:t xml:space="preserve"> The source experiment carries 208 essential splice-site controls, and 59.62% of them are detected at an unadjusted minimum directional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below 0.05. The declared endpoint doubles that minimum and is stricter, so fewer than three in five of the screen's own positive controls clear the threshold this paper uses. A predictor cannot rank an outcome the assay records only intermittently, and that ceiling applies to both human screens.</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 sites, 787 proteins; 72 affected</w:t>
            </w:r>
          </w:p>
        </w:tc>
        <w:tc>
          <w:tcPr>
            <w:tcW w:type="dxa" w:w="1613"/>
          </w:tcPr>
          <w:p>
            <w:pPr>
              <w:spacing w:before="0" w:after="40" w:line="208" w:lineRule="exact"/>
              <w:jc w:val="left"/>
            </w:pPr>
            <w:r>
              <w:rPr>
                <w:rFonts w:ascii="Charis SIL" w:hAnsi="Charis SIL" w:cs="Charis SIL" w:eastAsia="Charis SIL"/>
                <w:b w:val="0"/>
                <w:i w:val="0"/>
                <w:color w:val="000000"/>
                <w:sz w:val="16"/>
              </w:rPr>
              <w:t>0.558</w:t>
            </w:r>
          </w:p>
        </w:tc>
        <w:tc>
          <w:tcPr>
            <w:tcW w:type="dxa" w:w="1613"/>
          </w:tcPr>
          <w:p>
            <w:pPr>
              <w:spacing w:before="0" w:after="40" w:line="208" w:lineRule="exact"/>
              <w:jc w:val="left"/>
            </w:pPr>
            <w:r>
              <w:rPr>
                <w:rFonts w:ascii="Charis SIL" w:hAnsi="Charis SIL" w:cs="Charis SIL" w:eastAsia="Charis SIL"/>
                <w:b w:val="0"/>
                <w:i w:val="0"/>
                <w:color w:val="000000"/>
                <w:sz w:val="16"/>
              </w:rPr>
              <w:t>0.473–0.639</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 787; 82 affected</w:t>
            </w:r>
          </w:p>
        </w:tc>
        <w:tc>
          <w:tcPr>
            <w:tcW w:type="dxa" w:w="1613"/>
          </w:tcPr>
          <w:p>
            <w:pPr>
              <w:spacing w:before="0" w:after="40" w:line="208" w:lineRule="exact"/>
              <w:jc w:val="left"/>
            </w:pPr>
            <w:r>
              <w:rPr>
                <w:rFonts w:ascii="Charis SIL" w:hAnsi="Charis SIL" w:cs="Charis SIL" w:eastAsia="Charis SIL"/>
                <w:b w:val="0"/>
                <w:i w:val="0"/>
                <w:color w:val="000000"/>
                <w:sz w:val="16"/>
              </w:rPr>
              <w:t>0.483</w:t>
            </w:r>
          </w:p>
        </w:tc>
        <w:tc>
          <w:tcPr>
            <w:tcW w:type="dxa" w:w="1613"/>
          </w:tcPr>
          <w:p>
            <w:pPr>
              <w:spacing w:before="0" w:after="40" w:line="208" w:lineRule="exact"/>
              <w:jc w:val="left"/>
            </w:pPr>
            <w:r>
              <w:rPr>
                <w:rFonts w:ascii="Charis SIL" w:hAnsi="Charis SIL" w:cs="Charis SIL" w:eastAsia="Charis SIL"/>
                <w:b w:val="0"/>
                <w:i w:val="0"/>
                <w:color w:val="000000"/>
                <w:sz w:val="16"/>
              </w:rPr>
              <w:t>0.418–0.550</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215 sites, 49 proteins, 184 pairs</w:t>
            </w:r>
          </w:p>
        </w:tc>
        <w:tc>
          <w:tcPr>
            <w:tcW w:type="dxa" w:w="1613"/>
          </w:tcPr>
          <w:p>
            <w:pPr>
              <w:spacing w:before="0" w:after="40" w:line="208" w:lineRule="exact"/>
              <w:jc w:val="left"/>
            </w:pPr>
            <w:r>
              <w:rPr>
                <w:rFonts w:ascii="Charis SIL" w:hAnsi="Charis SIL" w:cs="Charis SIL" w:eastAsia="Charis SIL"/>
                <w:b w:val="0"/>
                <w:i w:val="0"/>
                <w:color w:val="000000"/>
                <w:sz w:val="16"/>
              </w:rPr>
              <w:t>0.413</w:t>
            </w:r>
          </w:p>
        </w:tc>
        <w:tc>
          <w:tcPr>
            <w:tcW w:type="dxa" w:w="1613"/>
          </w:tcPr>
          <w:p>
            <w:pPr>
              <w:spacing w:before="0" w:after="40" w:line="208" w:lineRule="exact"/>
              <w:jc w:val="left"/>
            </w:pPr>
            <w:r>
              <w:rPr>
                <w:rFonts w:ascii="Charis SIL" w:hAnsi="Charis SIL" w:cs="Charis SIL" w:eastAsia="Charis SIL"/>
                <w:b w:val="0"/>
                <w:i w:val="0"/>
                <w:color w:val="000000"/>
                <w:sz w:val="16"/>
              </w:rPr>
              <w:t>0.313–0.510</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49 proteins</w:t>
            </w:r>
          </w:p>
        </w:tc>
        <w:tc>
          <w:tcPr>
            <w:tcW w:type="dxa" w:w="1613"/>
          </w:tcPr>
          <w:p>
            <w:pPr>
              <w:spacing w:before="0" w:after="40" w:line="208" w:lineRule="exact"/>
              <w:jc w:val="left"/>
            </w:pPr>
            <w:r>
              <w:rPr>
                <w:rFonts w:ascii="Charis SIL" w:hAnsi="Charis SIL" w:cs="Charis SIL" w:eastAsia="Charis SIL"/>
                <w:b w:val="0"/>
                <w:i w:val="0"/>
                <w:color w:val="000000"/>
                <w:sz w:val="16"/>
              </w:rPr>
              <w:t>0.376</w:t>
            </w:r>
          </w:p>
        </w:tc>
        <w:tc>
          <w:tcPr>
            <w:tcW w:type="dxa" w:w="1613"/>
          </w:tcPr>
          <w:p>
            <w:pPr>
              <w:spacing w:before="0" w:after="40" w:line="208" w:lineRule="exact"/>
              <w:jc w:val="left"/>
            </w:pPr>
            <w:r>
              <w:rPr>
                <w:rFonts w:ascii="Charis SIL" w:hAnsi="Charis SIL" w:cs="Charis SIL" w:eastAsia="Charis SIL"/>
                <w:b w:val="0"/>
                <w:i w:val="0"/>
                <w:color w:val="000000"/>
                <w:sz w:val="16"/>
              </w:rPr>
              <w:t>0.266–0.489</w:t>
            </w:r>
          </w:p>
        </w:tc>
        <w:tc>
          <w:tcPr>
            <w:tcW w:type="dxa" w:w="1613"/>
          </w:tcPr>
          <w:p>
            <w:pPr>
              <w:spacing w:before="0" w:after="40" w:line="208" w:lineRule="exact"/>
              <w:jc w:val="left"/>
            </w:pPr>
            <w:r>
              <w:rPr>
                <w:rFonts w:ascii="Charis SIL" w:hAnsi="Charis SIL" w:cs="Charis SIL" w:eastAsia="Charis SIL"/>
                <w:b w:val="0"/>
                <w:i w:val="0"/>
                <w:color w:val="000000"/>
                <w:sz w:val="16"/>
              </w:rPr>
              <w:t>Post hoc; the exclusion of 0.5 turns on one protein and is not reported as a result (§2.7.3)</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0.485–0.614</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+0.066</w:t>
            </w:r>
          </w:p>
        </w:tc>
        <w:tc>
          <w:tcPr>
            <w:tcW w:type="dxa" w:w="1613"/>
          </w:tcPr>
          <w:p>
            <w:pPr>
              <w:spacing w:before="0" w:after="40" w:line="208" w:lineRule="exact"/>
              <w:jc w:val="left"/>
            </w:pPr>
            <w:r>
              <w:rPr>
                <w:rFonts w:ascii="Charis SIL" w:hAnsi="Charis SIL" w:cs="Charis SIL" w:eastAsia="Charis SIL"/>
                <w:b w:val="0"/>
                <w:i w:val="0"/>
                <w:color w:val="000000"/>
                <w:sz w:val="16"/>
              </w:rPr>
              <w:t>−0.001 to +0.131</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comparator difference (§2.4.1)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0.607</w:t>
            </w:r>
          </w:p>
        </w:tc>
        <w:tc>
          <w:tcPr>
            <w:tcW w:type="dxa" w:w="1613"/>
          </w:tcPr>
          <w:p>
            <w:pPr>
              <w:spacing w:before="0" w:after="40" w:line="208" w:lineRule="exact"/>
              <w:jc w:val="left"/>
            </w:pPr>
            <w:r>
              <w:rPr>
                <w:rFonts w:ascii="Charis SIL" w:hAnsi="Charis SIL" w:cs="Charis SIL" w:eastAsia="Charis SIL"/>
                <w:b w:val="0"/>
                <w:i w:val="0"/>
                <w:color w:val="000000"/>
                <w:sz w:val="16"/>
              </w:rPr>
              <w:t>0.531–0.679</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0.647</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286 proteins</w:t>
            </w:r>
          </w:p>
        </w:tc>
        <w:tc>
          <w:tcPr>
            <w:tcW w:type="dxa" w:w="1613"/>
          </w:tcPr>
          <w:p>
            <w:pPr>
              <w:spacing w:before="0" w:after="40" w:line="208" w:lineRule="exact"/>
              <w:jc w:val="left"/>
            </w:pPr>
            <w:r>
              <w:rPr>
                <w:rFonts w:ascii="Charis SIL" w:hAnsi="Charis SIL" w:cs="Charis SIL" w:eastAsia="Charis SIL"/>
                <w:b w:val="0"/>
                <w:i w:val="0"/>
                <w:color w:val="000000"/>
                <w:sz w:val="16"/>
              </w:rPr>
              <w:t>0.576</w:t>
            </w:r>
          </w:p>
        </w:tc>
        <w:tc>
          <w:tcPr>
            <w:tcW w:type="dxa" w:w="1613"/>
          </w:tcPr>
          <w:p>
            <w:pPr>
              <w:spacing w:before="0" w:after="40" w:line="208" w:lineRule="exact"/>
              <w:jc w:val="left"/>
            </w:pPr>
            <w:r>
              <w:rPr>
                <w:rFonts w:ascii="Charis SIL" w:hAnsi="Charis SIL" w:cs="Charis SIL" w:eastAsia="Charis SIL"/>
                <w:b w:val="0"/>
                <w:i w:val="0"/>
                <w:color w:val="000000"/>
                <w:sz w:val="16"/>
              </w:rPr>
              <w:t>0.449–0.703</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512, 286</w:t>
            </w:r>
          </w:p>
        </w:tc>
        <w:tc>
          <w:tcPr>
            <w:tcW w:type="dxa" w:w="1613"/>
          </w:tcPr>
          <w:p>
            <w:pPr>
              <w:spacing w:before="0" w:after="40" w:line="208" w:lineRule="exact"/>
              <w:jc w:val="left"/>
            </w:pPr>
            <w:r>
              <w:rPr>
                <w:rFonts w:ascii="Charis SIL" w:hAnsi="Charis SIL" w:cs="Charis SIL" w:eastAsia="Charis SIL"/>
                <w:b w:val="0"/>
                <w:i w:val="0"/>
                <w:color w:val="000000"/>
                <w:sz w:val="16"/>
              </w:rPr>
              <w:t>0.478</w:t>
            </w:r>
          </w:p>
        </w:tc>
        <w:tc>
          <w:tcPr>
            <w:tcW w:type="dxa" w:w="1613"/>
          </w:tcPr>
          <w:p>
            <w:pPr>
              <w:spacing w:before="0" w:after="40" w:line="208" w:lineRule="exact"/>
              <w:jc w:val="left"/>
            </w:pPr>
            <w:r>
              <w:rPr>
                <w:rFonts w:ascii="Charis SIL" w:hAnsi="Charis SIL" w:cs="Charis SIL" w:eastAsia="Charis SIL"/>
                <w:b w:val="0"/>
                <w:i w:val="0"/>
                <w:color w:val="000000"/>
                <w:sz w:val="16"/>
              </w:rPr>
              <w:t>0.376–0.577</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All draws were retained except in the yeast experimental-target interval, which retained 19,991 of 20,000.</w:t>
      </w:r>
    </w:p>
    <w:p>
      <w:pPr>
        <w:spacing w:before="0" w:after="200" w:line="284" w:lineRule="exact"/>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787 protein clusters against 48, an experimental-evidence arm that retains 512 sites where the yeast design retains 24, and the finding that the across-protein architecture and the peptide-bond artefact are not particular to yeast. It does not contribute a tighter interval in any sense this paper relies on: the declared human intervals are numerically narrower than the yeast one, at widths of 0.166 and 0.132 against 0.215, but the three are built on different cohorts, outcomes and perturbation chemistries, so no precision comparison between them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Sites whose nearest annotated target is the site itself are excluded from the primary cohort. That decision was made after the outcome had been inspected, so it is post hoc, and the inclusive cohort — which keeps those three sites at their literal distance of 0 Å — is reported alongside the primary rather than only where it would change a reading. An earlier build of this cohort was superseded; what changed, and why, is recorded in the deposited materials.</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[17,18].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[18],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[17].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[19], which are AlphaFold2 predictions of each protein on its own (monomer v2.0) [20,21],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[22,23]. Relative solvent accessibility was computed on the protein alone as Shrake–Rupley solvent-accessible surface area [24] divided by the per-residue maxima of Tien et al. [25].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[26],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[14],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candidate table this builder starts from is produced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and the cohort is rebuilt end to end from source with the network disabled: the build fails rather than dropping an accession whose cached record is missing, every structure is asserted to be the exact canonical AlphaFold DB v6 model for its accession, and the model sequence and residue numbering are checked against UniProt before a distance is taken. Reconciling that rebuild against the earlier table moved eight rows, all of them gene symbols matching more than one reviewed human entry, and corrected one site that had been assigned to an entry for a different protein (TKT S308, mapped to DDR2, which also carries a serine at 308). A later provenance audit found the model downloader had accepted the first entry the AlphaFold API returned, an isoform model for eleven accessions; three were replaced with the canonical model, eight had no canonical entry and were removed, and the one previously analysed site lost that way is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 Sites were kept when the model reproduced the reviewed sequence at that position and the protein carried at least one eligible annotated residue, leaving 1,470 sites in 787 proteins.</w:t>
      </w:r>
    </w:p>
    <w:p>
      <w:pPr>
        <w:spacing w:before="0" w:after="200" w:line="284" w:lineRule="exact"/>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6,907 mapping to exactly one reviewed UniProt entry, to 6,113 whose residue matches the canonical sequence at that position, to 1,590 sites in 812 proteins carrying at least one eligible annotated residue, to </w:t>
      </w:r>
      <w:r>
        <w:rPr>
          <w:rFonts w:ascii="Charis SIL" w:hAnsi="Charis SIL" w:cs="Charis SIL" w:eastAsia="Charis SIL"/>
          <w:b/>
          <w:i w:val="0"/>
          <w:color w:val="000000"/>
          <w:sz w:val="20"/>
        </w:rPr>
        <w:t>1,470 sites in 787 proteins</w:t>
      </w:r>
      <w:r>
        <w:rPr>
          <w:rFonts w:ascii="Charis SIL" w:hAnsi="Charis SIL" w:cs="Charis SIL" w:eastAsia="Charis SIL"/>
          <w:b w:val="0"/>
          <w:i w:val="0"/>
          <w:color w:val="000000"/>
          <w:sz w:val="20"/>
        </w:rPr>
        <w:t xml:space="preserve"> with a distance on an exact-canonical AlphaFold DB v6 model. A gene symbol matching more than one reviewed human entry is dropped rather than assigned, which removes 8 of the 1,595 sites an earlier build retained; one of those, TKT S308, had been assigned to an entry for a different protein.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Both screens analysed here use the adenine base editor ABE8e. Editor identity is recorded per guide and used only in the substitution-class arms; it does not enter the primary.</w:t>
      </w:r>
    </w:p>
    <w:p>
      <w:pPr>
        <w:spacing w:before="0" w:after="200" w:line="284" w:lineRule="exact"/>
        <w:jc w:val="left"/>
      </w:pPr>
      <w:r>
        <w:rPr>
          <w:rFonts w:ascii="Charis SIL" w:hAnsi="Charis SIL" w:cs="Charis SIL" w:eastAsia="Charis SIL"/>
          <w:b w:val="0"/>
          <w:i w:val="0"/>
          <w:color w:val="000000"/>
          <w:sz w:val="20"/>
        </w:rPr>
        <w:t xml:space="preserve">The two screens are analysed separately and each supplies its own declared outcome: a site counts as affected in a screen when twice the smaller of that screen's two one-sided MAGeCK gene-level p-values is below 0.05, with that minimum reconstructed from the two directional columns of the source </w:t>
      </w:r>
      <w:r>
        <w:rPr>
          <w:rFonts w:ascii="Courier New" w:hAnsi="Courier New" w:cs="Courier New" w:eastAsia="Courier New"/>
          <w:b w:val="0"/>
          <w:i w:val="0"/>
          <w:color w:val="000000"/>
          <w:sz w:val="17"/>
        </w:rPr>
        <w:t>gene_summary</w:t>
      </w:r>
      <w:r>
        <w:rPr>
          <w:rFonts w:ascii="Charis SIL" w:hAnsi="Charis SIL" w:cs="Charis SIL" w:eastAsia="Charis SIL"/>
          <w:b w:val="0"/>
          <w:i w:val="0"/>
          <w:color w:val="000000"/>
          <w:sz w:val="20"/>
        </w:rPr>
        <w:t xml:space="preserve"> sheet rather than taken from the released per-site column. The doubling corrects the two directions MAGeCK reports inside a screen; keeping the screens apart leaves no union to correct. §2.7 records that the released column does not reproduce the reconstructed minimum on 46 fitness rows and 100 reporter rows, which is why the endpoint is built from the directional columns. The first version of this analysis pooled the two screens at an uncorrected 0.05 and is withdrawn; that arm, a union carrying a Bonferroni correction over all four directional p-values, and the five other candidate definitions are reported in Table 2,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2"/>
        </w:rPr>
        <w:t>4.8 Ethics</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Jurkat-lineage cells.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2"/>
        </w:rPr>
        <w:t>4.9 Use of AI tools</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284" w:lineRule="exact"/>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284" w:lineRule="exact"/>
        <w:jc w:val="left"/>
      </w:pPr>
      <w:r>
        <w:rPr>
          <w:rFonts w:ascii="Charis SIL" w:hAnsi="Charis SIL" w:cs="Charis SIL" w:eastAsia="Charis SIL"/>
          <w:b w:val="0"/>
          <w:i w:val="0"/>
          <w:color w:val="000000"/>
          <w:sz w:val="20"/>
        </w:rPr>
        <w:t xml:space="preserve">The human cohort draws on Supplementary Tables 3 and 4 of Kennedy et al. [14]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The candidate table the human build starts from is generated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which reads the two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sheets, resolves each gene symbol against UniProt, checks the residue against the canonical sequence and applies the annotation filter; it reproduces 1,587 of the 1,595 rows of an earlier build, and the eight differences are gene symbols matching more than one reviewed entry. The build runs with the network disabled and fails rather than dropping an accession whose cached record is missing. Every structure is asserted to be the exact canonical AlphaFold DB v6 model for its accession, and the model sequence and residue numbering are checked against UniProt before a distance is taken; 789 of the 812 candidate accessions have such a model. That assertion was added after an audit found the original downloader had accepted the first entry the AlphaFold API returned, which was an isoform model for eleven accessions: three were replaced with the canonical model, eight had no canonical entry and were removed, and all eleven displaced files are retained in the deposited cache. The correction removed one previously analysed site,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w:t>
      </w:r>
    </w:p>
    <w:p>
      <w:pPr>
        <w:spacing w:before="240" w:after="120" w:line="284" w:lineRule="exact"/>
        <w:jc w:val="left"/>
      </w:pPr>
      <w:r>
        <w:rPr>
          <w:rFonts w:ascii="Charis SIL" w:hAnsi="Charis SIL" w:cs="Charis SIL" w:eastAsia="Charis SIL"/>
          <w:b/>
          <w:i w:val="0"/>
          <w:color w:val="000000"/>
          <w:sz w:val="25"/>
        </w:rPr>
        <w:t>Author contributions</w:t>
      </w:r>
    </w:p>
    <w:p>
      <w:pPr>
        <w:spacing w:before="0" w:after="200" w:line="284" w:lineRule="exact"/>
        <w:jc w:val="left"/>
      </w:pPr>
      <w:r>
        <w:rPr>
          <w:rFonts w:ascii="Charis SIL" w:hAnsi="Charis SIL" w:cs="Charis SIL" w:eastAsia="Charis SIL"/>
          <w:b w:val="0"/>
          <w:i w:val="0"/>
          <w:color w:val="000000"/>
          <w:sz w:val="20"/>
        </w:rPr>
        <w:t>Stated using CRediT roles.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rPr>
        <w:t xml:space="preserve"> Conceptualization; Data curation; Formal analysis; Investigation; Methodology; Software; Validation; Visualization; Writing – original draft; Writing – review and editing.</w:t>
      </w:r>
    </w:p>
    <w:p>
      <w:pPr>
        <w:spacing w:before="0" w:after="200" w:line="284" w:lineRule="exact"/>
        <w:jc w:val="left"/>
      </w:pP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rPr>
        <w:t xml:space="preserve"> Methodology; Software; Validation; Writing – review and editing.</w:t>
      </w:r>
    </w:p>
    <w:p>
      <w:pPr>
        <w:spacing w:before="0" w:after="200" w:line="284" w:lineRule="exact"/>
        <w:jc w:val="left"/>
      </w:pP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rPr>
        <w:t xml:space="preserve"> Validation; Methodology; Writing – review and editing. Identified the atom-selection basis of the peptide-bond artefact, the mismatch between the range over which the statistic is computed and the range over which the heuristic is claimed, the internal numerical disagreements between the Results text and Table 4, and the absence of a combined within-protein estimate.</w:t>
      </w:r>
    </w:p>
    <w:p>
      <w:pPr>
        <w:spacing w:before="240" w:after="120" w:line="284" w:lineRule="exact"/>
        <w:jc w:val="left"/>
      </w:pPr>
      <w:r>
        <w:rPr>
          <w:rFonts w:ascii="Charis SIL" w:hAnsi="Charis SIL" w:cs="Charis SIL" w:eastAsia="Charis SIL"/>
          <w:b/>
          <w:i w:val="0"/>
          <w:color w:val="000000"/>
          <w:sz w:val="25"/>
        </w:rPr>
        <w:t>Funding</w:t>
      </w:r>
    </w:p>
    <w:p>
      <w:pPr>
        <w:spacing w:before="0" w:after="200" w:line="284" w:lineRule="exact"/>
        <w:jc w:val="left"/>
      </w:pPr>
      <w:r>
        <w:rPr>
          <w:rFonts w:ascii="Charis SIL" w:hAnsi="Charis SIL" w:cs="Charis SIL" w:eastAsia="Charis SIL"/>
          <w:b w:val="0"/>
          <w:i w:val="0"/>
          <w:color w:val="000000"/>
          <w:sz w:val="20"/>
        </w:rPr>
        <w:t>The authors received no specific funding for this work. It was carried out independently of any institution, without institutional funding, supervision or resources.</w:t>
      </w:r>
    </w:p>
    <w:p>
      <w:pPr>
        <w:spacing w:before="240" w:after="120" w:line="284" w:lineRule="exact"/>
        <w:jc w:val="left"/>
      </w:pPr>
      <w:r>
        <w:rPr>
          <w:rFonts w:ascii="Charis SIL" w:hAnsi="Charis SIL" w:cs="Charis SIL" w:eastAsia="Charis SIL"/>
          <w:b/>
          <w:i w:val="0"/>
          <w:color w:val="000000"/>
          <w:sz w:val="25"/>
        </w:rPr>
        <w:t>Competing interests</w:t>
      </w:r>
    </w:p>
    <w:p>
      <w:pPr>
        <w:spacing w:before="0" w:after="200" w:line="284" w:lineRule="exact"/>
        <w:jc w:val="left"/>
      </w:pPr>
      <w:r>
        <w:rPr>
          <w:rFonts w:ascii="Charis SIL" w:hAnsi="Charis SIL" w:cs="Charis SIL" w:eastAsia="Charis SIL"/>
          <w:b w:val="0"/>
          <w:i w:val="0"/>
          <w:color w:val="000000"/>
          <w:sz w:val="20"/>
        </w:rPr>
        <w:t>The authors have declared that no competing interests exist.</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284" w:lineRule="exact"/>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284" w:lineRule="exact"/>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284" w:lineRule="exact"/>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284" w:lineRule="exact"/>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284" w:lineRule="exact"/>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284" w:lineRule="exact"/>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284" w:lineRule="exact"/>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284" w:lineRule="exact"/>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284" w:lineRule="exact"/>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284" w:lineRule="exact"/>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284" w:lineRule="exact"/>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284" w:lineRule="exact"/>
        <w:jc w:val="left"/>
      </w:pPr>
      <w:r>
        <w:rPr>
          <w:rFonts w:ascii="Charis SIL" w:hAnsi="Charis SIL" w:cs="Charis SIL" w:eastAsia="Charis SIL"/>
          <w:b w:val="0"/>
          <w:i w:val="0"/>
          <w:color w:val="000000"/>
          <w:sz w:val="20"/>
        </w:rPr>
        <w:t>AlphaFold Protein Structure Database. Frequently asked questions: predicted aligned error file format and orientation. [cited 18 Aug 2026]. Available: https://alphafold.ebi.ac.uk/faq</w:t>
      </w:r>
    </w:p>
    <w:p>
      <w:pPr>
        <w:pStyle w:val="ListNumber"/>
        <w:spacing w:before="0" w:after="60" w:line="284" w:lineRule="exact"/>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284" w:lineRule="exact"/>
        <w:jc w:val="left"/>
      </w:pPr>
      <w:r>
        <w:rPr>
          <w:rFonts w:ascii="Charis SIL" w:hAnsi="Charis SIL" w:cs="Charis SIL" w:eastAsia="Charis SIL"/>
          <w:b w:val="0"/>
          <w:i w:val="0"/>
          <w:color w:val="000000"/>
          <w:sz w:val="20"/>
        </w:rPr>
        <w:t>Li W, Xu H, Xiao T, Cong L, Love MI, Zhang F, et al. MAGeCK enables robust identification of essential genes from genome-scale CRISPR/Cas9 knockout screens. Genome Biol. 2014;15: 554. doi: 10.1186/s13059-014-0554-4</w:t>
      </w:r>
    </w:p>
    <w:p>
      <w:pPr>
        <w:pStyle w:val="ListNumber"/>
        <w:spacing w:before="0" w:after="60" w:line="284" w:lineRule="exact"/>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pStyle w:val="ListNumber"/>
        <w:spacing w:before="0" w:after="60" w:line="284" w:lineRule="exact"/>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284" w:lineRule="exact"/>
        <w:jc w:val="left"/>
      </w:pPr>
      <w:r>
        <w:rPr>
          <w:rFonts w:ascii="Charis SIL" w:hAnsi="Charis SIL" w:cs="Charis SIL" w:eastAsia="Charis SIL"/>
          <w:b w:val="0"/>
          <w:i w:val="0"/>
          <w:color w:val="000000"/>
          <w:sz w:val="20"/>
        </w:rPr>
        <w:t>UniProt Consortium. UniProt release 2026_02. 10 Jun 2026 [cited 18 Aug 2026]. Available: https://www.uniprot.org/release-notes/2026-06-10-release</w:t>
      </w:r>
    </w:p>
    <w:p>
      <w:pPr>
        <w:pStyle w:val="ListNumber"/>
        <w:spacing w:before="0" w:after="60" w:line="284" w:lineRule="exact"/>
        <w:jc w:val="left"/>
      </w:pPr>
      <w:r>
        <w:rPr>
          <w:rFonts w:ascii="Charis SIL" w:hAnsi="Charis SIL" w:cs="Charis SIL" w:eastAsia="Charis SIL"/>
          <w:b w:val="0"/>
          <w:i w:val="0"/>
          <w:color w:val="000000"/>
          <w:sz w:val="20"/>
        </w:rPr>
        <w:t>Protein Data Bank in Europe. AlphaFold Database version 6 release. 21 Oct 2025 [cited 18 Aug 2026]. Available: https://www.ebi.ac.uk/pdbe/news/alphafold-database-v6-release</w:t>
      </w:r>
    </w:p>
    <w:p>
      <w:pPr>
        <w:pStyle w:val="ListNumber"/>
        <w:spacing w:before="0" w:after="60" w:line="284" w:lineRule="exact"/>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284" w:lineRule="exact"/>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284" w:lineRule="exact"/>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284" w:lineRule="exact"/>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284" w:lineRule="exact"/>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284" w:lineRule="exact"/>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284" w:lineRule="exact"/>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spacing w:before="240" w:after="120" w:line="284" w:lineRule="exact"/>
        <w:jc w:val="left"/>
      </w:pPr>
      <w:r>
        <w:rPr>
          <w:rFonts w:ascii="Charis SIL" w:hAnsi="Charis SIL" w:cs="Charis SIL" w:eastAsia="Charis SIL"/>
          <w:b/>
          <w:i w:val="0"/>
          <w:color w:val="000000"/>
          <w:sz w:val="25"/>
        </w:rPr>
        <w:t>Supporting information</w:t>
      </w:r>
    </w:p>
    <w:p>
      <w:pPr>
        <w:spacing w:before="0" w:after="200" w:line="284" w:lineRule="exact"/>
        <w:jc w:val="left"/>
      </w:pPr>
      <w:r>
        <w:rPr>
          <w:rFonts w:ascii="Charis SIL" w:hAnsi="Charis SIL" w:cs="Charis SIL" w:eastAsia="Charis SIL"/>
          <w:b w:val="0"/>
          <w:i w:val="0"/>
          <w:color w:val="000000"/>
          <w:sz w:val="20"/>
        </w:rPr>
        <w:t>Captions only. Each item is uploaded as its own file, as PLOS ONE requires.</w:t>
      </w:r>
    </w:p>
    <w:p>
      <w:pPr>
        <w:spacing w:before="0" w:after="200" w:line="284" w:lineRule="exact"/>
        <w:jc w:val="left"/>
      </w:pPr>
      <w:r>
        <w:rPr>
          <w:rFonts w:ascii="Charis SIL" w:hAnsi="Charis SIL" w:cs="Charis SIL" w:eastAsia="Charis SIL"/>
          <w:b/>
          <w:i w:val="0"/>
          <w:color w:val="000000"/>
          <w:sz w:val="20"/>
        </w:rPr>
        <w:t>S1 Appendix.</w:t>
      </w:r>
      <w:r>
        <w:rPr>
          <w:rFonts w:ascii="Charis SIL" w:hAnsi="Charis SIL" w:cs="Charis SIL" w:eastAsia="Charis SIL"/>
          <w:b w:val="0"/>
          <w:i w:val="0"/>
          <w:color w:val="000000"/>
          <w:sz w:val="20"/>
        </w:rPr>
        <w:t xml:space="preserve"> Annotation records, residue expansion, and a withdrawn count. The record-to-residue expansion behind the 560-residue target set, the duplicate-removal rules giving 565 and 566 rows, the source of the excess over 560, and an earlier expanded row count that does not reproduce and is withdrawn.</w:t>
      </w:r>
    </w:p>
    <w:p>
      <w:pPr>
        <w:spacing w:before="0" w:after="200" w:line="284" w:lineRule="exact"/>
        <w:jc w:val="left"/>
      </w:pPr>
      <w:r>
        <w:rPr>
          <w:rFonts w:ascii="Charis SIL" w:hAnsi="Charis SIL" w:cs="Charis SIL" w:eastAsia="Charis SIL"/>
          <w:b/>
          <w:i w:val="0"/>
          <w:color w:val="000000"/>
          <w:sz w:val="20"/>
        </w:rPr>
        <w:t>S1 Fig.</w:t>
      </w:r>
      <w:r>
        <w:rPr>
          <w:rFonts w:ascii="Charis SIL" w:hAnsi="Charis SIL" w:cs="Charis SIL" w:eastAsia="Charis SIL"/>
          <w:b w:val="0"/>
          <w:i w:val="0"/>
          <w:color w:val="000000"/>
          <w:sz w:val="20"/>
        </w:rPr>
        <w:t xml:space="preserve"> The eleven-stratum confidence family, drawn. Primary and inclusive arms across eleven model-confidence strata, from 163 sites down to 27. All post hoc.</w:t>
      </w:r>
    </w:p>
    <w:p>
      <w:pPr>
        <w:spacing w:before="0" w:after="200" w:line="284" w:lineRule="exact"/>
        <w:jc w:val="left"/>
      </w:pPr>
      <w:r>
        <w:rPr>
          <w:rFonts w:ascii="Charis SIL" w:hAnsi="Charis SIL" w:cs="Charis SIL" w:eastAsia="Charis SIL"/>
          <w:b/>
          <w:i w:val="0"/>
          <w:color w:val="000000"/>
          <w:sz w:val="20"/>
        </w:rPr>
        <w:t>S2 Fig.</w:t>
      </w:r>
      <w:r>
        <w:rPr>
          <w:rFonts w:ascii="Charis SIL" w:hAnsi="Charis SIL" w:cs="Charis SIL" w:eastAsia="Charis SIL"/>
          <w:b w:val="0"/>
          <w:i w:val="0"/>
          <w:color w:val="000000"/>
          <w:sz w:val="20"/>
        </w:rPr>
        <w:t xml:space="preserve"> Cohort, residue-class and feature-definition checks. Cohort versions, residue classes, alternative distance-feature definitions, and the post hoc SIFT comparator on common support, on one scale. All post hoc.</w:t>
      </w:r>
    </w:p>
    <w:p>
      <w:pPr>
        <w:spacing w:before="0" w:after="200" w:line="284" w:lineRule="exact"/>
        <w:jc w:val="left"/>
      </w:pPr>
      <w:r>
        <w:rPr>
          <w:rFonts w:ascii="Charis SIL" w:hAnsi="Charis SIL" w:cs="Charis SIL" w:eastAsia="Charis SIL"/>
          <w:b/>
          <w:i w:val="0"/>
          <w:color w:val="000000"/>
          <w:sz w:val="20"/>
        </w:rPr>
        <w:t>S1 Table.</w:t>
      </w:r>
      <w:r>
        <w:rPr>
          <w:rFonts w:ascii="Charis SIL" w:hAnsi="Charis SIL" w:cs="Charis SIL" w:eastAsia="Charis SIL"/>
          <w:b w:val="0"/>
          <w:i w:val="0"/>
          <w:color w:val="000000"/>
          <w:sz w:val="20"/>
        </w:rPr>
        <w:t xml:space="preserve"> The eleven-stratum confidence family, tabulated. Both cohort versions across every stratum, with sites and intervals. All post hoc.</w:t>
      </w:r>
    </w:p>
    <w:p>
      <w:pPr>
        <w:spacing w:before="0" w:after="200" w:line="284" w:lineRule="exact"/>
        <w:jc w:val="left"/>
      </w:pPr>
      <w:r>
        <w:rPr>
          <w:rFonts w:ascii="Charis SIL" w:hAnsi="Charis SIL" w:cs="Charis SIL" w:eastAsia="Charis SIL"/>
          <w:b/>
          <w:i w:val="0"/>
          <w:color w:val="000000"/>
          <w:sz w:val="20"/>
        </w:rPr>
        <w:t>S2 Table.</w:t>
      </w:r>
      <w:r>
        <w:rPr>
          <w:rFonts w:ascii="Charis SIL" w:hAnsi="Charis SIL" w:cs="Charis SIL" w:eastAsia="Charis SIL"/>
          <w:b w:val="0"/>
          <w:i w:val="0"/>
          <w:color w:val="000000"/>
          <w:sz w:val="20"/>
        </w:rPr>
        <w:t xml:space="preserve"> The 72-cell confidence-by-predicted-aligned-error grids. Four summaries at 10 Å;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two published phosphosite-mutant screens, in yeast and human</dc:subject>
  <dc:creator>Kyle Nguyen, Arkady Marchenko, David Chang</dc:creator>
  <cp:keywords>phosphorylation, AlphaFold, yeast, mutational phenotype, structural bioinformatics, exploratory analysis</cp:keywords>
  <dc:description/>
  <cp:lastModifiedBy>Kyle Nguyen, Arkady Marchenko, David Chang</cp:lastModifiedBy>
  <cp:revision>1</cp:revision>
  <dcterms:created xsi:type="dcterms:W3CDTF">2026-08-21T22:40:58Z</dcterms:created>
  <dcterms:modified xsi:type="dcterms:W3CDTF">2026-08-21T22:40:58Z</dcterms:modified>
  <cp:category/>
</cp:coreProperties>
</file>