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480" w:lineRule="auto"/>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480" w:lineRule="auto"/>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480" w:lineRule="auto"/>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480" w:lineRule="auto"/>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Department of Electrical and Computer Engineering, Cockrell School of Engineering, The University of Texas at Austin, Austin, Texas, USA</w:t>
      </w:r>
    </w:p>
    <w:p>
      <w:pPr>
        <w:spacing w:before="0" w:after="200" w:line="480" w:lineRule="auto"/>
        <w:jc w:val="left"/>
      </w:pPr>
      <w:r>
        <w:rPr>
          <w:rFonts w:ascii="Charis SIL" w:hAnsi="Charis SIL" w:cs="Charis SIL" w:eastAsia="Charis SIL"/>
          <w:b w:val="0"/>
          <w:i w:val="0"/>
          <w:color w:val="000000"/>
          <w:sz w:val="20"/>
        </w:rPr>
        <w:t>\* Corresponding author. Email: ktn965@my.utexas.edu</w:t>
      </w:r>
    </w:p>
    <w:p>
      <w:pPr>
        <w:spacing w:before="0" w:after="200" w:line="480" w:lineRule="auto"/>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480" w:lineRule="auto"/>
        <w:jc w:val="left"/>
      </w:pPr>
      <w:r>
        <w:rPr>
          <w:rFonts w:ascii="Charis SIL" w:hAnsi="Charis SIL" w:cs="Charis SIL" w:eastAsia="Charis SIL"/>
          <w:b/>
          <w:i w:val="0"/>
          <w:color w:val="000000"/>
          <w:sz w:val="25"/>
        </w:rPr>
        <w:t>Abstract</w:t>
      </w:r>
    </w:p>
    <w:p>
      <w:pPr>
        <w:spacing w:before="0" w:after="200" w:line="480" w:lineRule="auto"/>
        <w:jc w:val="left"/>
      </w:pPr>
      <w:r>
        <w:rPr>
          <w:rFonts w:ascii="Charis SIL" w:hAnsi="Charis SIL" w:cs="Charis SIL" w:eastAsia="Charis SIL"/>
          <w:b w:val="0"/>
          <w:i w:val="0"/>
          <w:color w:val="000000"/>
          <w:sz w:val="20"/>
        </w:rPr>
        <w:t>A common rule of thumb for ranking protein modification sites is proximity to a residue already annotated as active or binding. This paper asks what that measurement contains, and how well it separates sites whose mutation changed a phenotype from those whose did not.</w:t>
      </w:r>
    </w:p>
    <w:p>
      <w:pPr>
        <w:spacing w:before="0" w:after="200" w:line="480" w:lineRule="auto"/>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v6 monomer model, on 163 alanine substitutions in 48 yeast proteins and 1,470 base-edited human sites in 787 proteins.</w:t>
      </w:r>
    </w:p>
    <w:p>
      <w:pPr>
        <w:spacing w:before="0" w:after="200" w:line="480" w:lineRule="auto"/>
        <w:jc w:val="left"/>
      </w:pPr>
      <w:r>
        <w:rPr>
          <w:rFonts w:ascii="Charis SIL" w:hAnsi="Charis SIL" w:cs="Charis SIL" w:eastAsia="Charis SIL"/>
          <w:b w:val="0"/>
          <w:i w:val="0"/>
          <w:color w:val="000000"/>
          <w:sz w:val="20"/>
        </w:rPr>
        <w:t>In yeast it ranked sites at an area under the receiver-operating-characteristic curve of 0.527 (95% interval 0.417–0.632, resampling whole proteins), where 0.5 is uninformative; an inclusive cohort keeping three self-annotated sites gives 0.544 (0.436–0.649). The human experiment reports two screens, analysed separately: 0.558 (0.473–0.639) on fitness and 0.483 (0.418–0.550) on an NFAT reporter. Six further endpoint definitions all contain 0.5.</w:t>
      </w:r>
    </w:p>
    <w:p>
      <w:pPr>
        <w:spacing w:before="0" w:after="200" w:line="480" w:lineRule="auto"/>
        <w:jc w:val="left"/>
      </w:pPr>
      <w:r>
        <w:rPr>
          <w:rFonts w:ascii="Charis SIL" w:hAnsi="Charis SIL" w:cs="Charis SIL" w:eastAsia="Charis SIL"/>
          <w:b w:val="0"/>
          <w:i w:val="0"/>
          <w:color w:val="000000"/>
          <w:sz w:val="20"/>
        </w:rPr>
        <w:t>What it rests on is mostly not experimental and mostly not within a protein. Of 163 yeast nearest-target assignments, 143 were not experimentally established, and 2.65% of yeast and 0.10% and 0.16% of human ranked pairs compare sites in one protein. The 1.33 Å band comes from allowing backbone atoms into the measurement; it disappears when distance is taken from the phosphate-accepting oxygen, and every interval built on that predictor still contains 0.5.</w:t>
      </w:r>
    </w:p>
    <w:p>
      <w:pPr>
        <w:spacing w:before="0" w:after="200" w:line="480" w:lineRule="auto"/>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a target, 6 and 16 of those within two residues in sequence. Every restricted interval contains 0.5 and is wider than the pooled one, and combining within-protein comparisons across both organisms — 278 pairs in 62 proteins — gives 0.504 (0.405–0.604). These are post hoc, and no comparator's paired difference excludes zero.</w:t>
      </w:r>
    </w:p>
    <w:p>
      <w:pPr>
        <w:spacing w:before="0" w:after="200" w:line="480" w:lineRule="auto"/>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480" w:lineRule="auto"/>
        <w:jc w:val="left"/>
      </w:pPr>
      <w:r>
        <w:rPr>
          <w:rFonts w:ascii="Charis SIL" w:hAnsi="Charis SIL" w:cs="Charis SIL" w:eastAsia="Charis SIL"/>
          <w:b/>
          <w:i w:val="0"/>
          <w:color w:val="000000"/>
          <w:sz w:val="25"/>
        </w:rPr>
        <w:t>1. Introduction</w:t>
      </w:r>
    </w:p>
    <w:p>
      <w:pPr>
        <w:spacing w:before="0" w:after="200" w:line="480" w:lineRule="auto"/>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480" w:lineRule="auto"/>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480" w:lineRule="auto"/>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480" w:lineRule="auto"/>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480" w:lineRule="auto"/>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480" w:lineRule="auto"/>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480" w:lineRule="auto"/>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480" w:lineRule="auto"/>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480" w:lineRule="auto"/>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480" w:lineRule="auto"/>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480" w:lineRule="auto"/>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480" w:lineRule="auto"/>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480" w:lineRule="auto"/>
        <w:jc w:val="left"/>
      </w:pPr>
      <w:r>
        <w:rPr>
          <w:rFonts w:ascii="Charis SIL" w:hAnsi="Charis SIL" w:cs="Charis SIL" w:eastAsia="Charis SIL"/>
          <w:b/>
          <w:i w:val="0"/>
          <w:color w:val="000000"/>
          <w:sz w:val="25"/>
        </w:rPr>
        <w:t>Terms used</w:t>
      </w:r>
    </w:p>
    <w:p>
      <w:pPr>
        <w:pStyle w:val="ListBullet"/>
        <w:spacing w:before="0" w:after="60" w:line="480" w:lineRule="auto"/>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480" w:lineRule="auto"/>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480" w:lineRule="auto"/>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480" w:lineRule="auto"/>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480" w:lineRule="auto"/>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480" w:lineRule="auto"/>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480" w:lineRule="auto"/>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480" w:lineRule="auto"/>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480" w:lineRule="auto"/>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480" w:lineRule="auto"/>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480" w:lineRule="auto"/>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480" w:lineRule="auto"/>
        <w:jc w:val="left"/>
      </w:pPr>
      <w:r>
        <w:rPr>
          <w:rFonts w:ascii="Charis SIL" w:hAnsi="Charis SIL" w:cs="Charis SIL" w:eastAsia="Charis SIL"/>
          <w:b/>
          <w:i w:val="0"/>
          <w:color w:val="000000"/>
          <w:sz w:val="25"/>
        </w:rPr>
        <w:t>2. Results</w:t>
      </w:r>
    </w:p>
    <w:p>
      <w:pPr>
        <w:spacing w:before="240" w:after="120" w:line="480" w:lineRule="auto"/>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480" w:lineRule="auto"/>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480" w:lineRule="auto"/>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Of the 427 retained records 169 (39.6%) are affected, against 34 of the 38 excluded (89.5%).</w:t>
      </w:r>
    </w:p>
    <w:p>
      <w:pPr>
        <w:spacing w:before="0" w:after="200" w:line="480" w:lineRule="auto"/>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480" w:lineRule="auto"/>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480" w:lineRule="auto"/>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480" w:lineRule="auto"/>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480" w:lineRule="auto"/>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480" w:lineRule="auto"/>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480" w:lineRule="auto"/>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480" w:lineRule="auto"/>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480" w:lineRule="auto"/>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286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480" w:lineRule="auto"/>
        <w:jc w:val="left"/>
      </w:pPr>
      <w:r>
        <w:rPr>
          <w:rFonts w:ascii="Charis SIL" w:hAnsi="Charis SIL" w:cs="Charis SIL" w:eastAsia="Charis SIL"/>
          <w:b/>
          <w:i w:val="0"/>
          <w:color w:val="000000"/>
          <w:sz w:val="22"/>
        </w:rPr>
        <w:t>2.2 The estimate sits inside the spread of a shuffled-label null</w:t>
      </w:r>
    </w:p>
    <w:p>
      <w:pPr>
        <w:spacing w:before="0" w:after="200" w:line="480" w:lineRule="auto"/>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480" w:lineRule="auto"/>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480" w:lineRule="auto"/>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480" w:lineRule="auto"/>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480" w:lineRule="auto"/>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480" w:lineRule="auto"/>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480" w:lineRule="auto"/>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480" w:lineRule="auto"/>
        <w:jc w:val="left"/>
      </w:pPr>
      <w:r>
        <w:rPr>
          <w:rFonts w:ascii="Charis SIL" w:hAnsi="Charis SIL" w:cs="Charis SIL" w:eastAsia="Charis SIL"/>
          <w:b/>
          <w:i w:val="0"/>
          <w:color w:val="000000"/>
          <w:sz w:val="22"/>
        </w:rPr>
        <w:t>2.3 Half the sites inside 5 Å are the neighbouring residue in the chain</w:t>
      </w:r>
    </w:p>
    <w:p>
      <w:pPr>
        <w:spacing w:before="0" w:after="200" w:line="480" w:lineRule="auto"/>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480" w:lineRule="auto"/>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480" w:lineRule="auto"/>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480" w:lineRule="auto"/>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480" w:lineRule="auto"/>
        <w:jc w:val="left"/>
      </w:pPr>
      <w:r>
        <w:rPr>
          <w:rFonts w:ascii="Charis SIL" w:hAnsi="Charis SIL" w:cs="Charis SIL" w:eastAsia="Charis SIL"/>
          <w:b w:val="0"/>
          <w:i w:val="0"/>
          <w:color w:val="000000"/>
          <w:sz w:val="20"/>
        </w:rPr>
        <w:t xml:space="preserve">These restricted estimates and the contrasts below are post hoc and unadjusted. 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spacing w:before="0" w:after="200" w:line="480" w:lineRule="auto"/>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480" w:lineRule="auto"/>
        <w:jc w:val="left"/>
      </w:pPr>
      <w:r>
        <w:rPr>
          <w:rFonts w:ascii="Charis SIL" w:hAnsi="Charis SIL" w:cs="Charis SIL" w:eastAsia="Charis SIL"/>
          <w:b/>
          <w:i w:val="0"/>
          <w:color w:val="000000"/>
          <w:sz w:val="22"/>
        </w:rPr>
        <w:t>2.4 No alternative predictor is distinguishable from distance on the same sites</w:t>
      </w:r>
    </w:p>
    <w:p>
      <w:pPr>
        <w:spacing w:before="0" w:after="200" w:line="480" w:lineRule="auto"/>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480" w:lineRule="auto"/>
        <w:jc w:val="left"/>
      </w:pPr>
      <w:r>
        <w:rPr>
          <w:rFonts w:ascii="Charis SIL" w:hAnsi="Charis SIL" w:cs="Charis SIL" w:eastAsia="Charis SIL"/>
          <w:b/>
          <w:i/>
          <w:color w:val="000000"/>
          <w:sz w:val="21"/>
        </w:rPr>
        <w:t>2.4.1 A better-specified version of the same idea</w:t>
      </w:r>
    </w:p>
    <w:p>
      <w:pPr>
        <w:spacing w:before="0" w:after="200" w:line="480" w:lineRule="auto"/>
        <w:jc w:val="left"/>
      </w:pPr>
      <w:r>
        <w:rPr>
          <w:rFonts w:ascii="Charis SIL" w:hAnsi="Charis SIL" w:cs="Charis SIL" w:eastAsia="Charis SIL"/>
          <w:b w:val="0"/>
          <w:i w:val="0"/>
          <w:color w:val="000000"/>
          <w:sz w:val="20"/>
        </w:rPr>
        <w:t>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480" w:lineRule="auto"/>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405 reorderings out of 100,656: the two predictors give the same ordering on 98.4% of ranked pairs. That is distinguishable from zero and negligible in size, and it is not reported as one predictor outperforming the other.</w:t>
      </w:r>
    </w:p>
    <w:p>
      <w:pPr>
        <w:spacing w:before="0" w:after="200" w:line="480" w:lineRule="auto"/>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480" w:lineRule="auto"/>
        <w:jc w:val="left"/>
      </w:pPr>
      <w:r>
        <w:rPr>
          <w:rFonts w:ascii="Charis SIL" w:hAnsi="Charis SIL" w:cs="Charis SIL" w:eastAsia="Charis SIL"/>
          <w:b w:val="0"/>
          <w:i w:val="0"/>
          <w:color w:val="000000"/>
          <w:sz w:val="20"/>
        </w:rPr>
        <w:t>All figures in this subsection are post hoc and unadjusted.</w:t>
      </w:r>
    </w:p>
    <w:p>
      <w:pPr>
        <w:spacing w:before="0" w:after="200" w:line="480" w:lineRule="auto"/>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480" w:lineRule="auto"/>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480" w:lineRule="auto"/>
        <w:jc w:val="left"/>
      </w:pPr>
      <w:r>
        <w:rPr>
          <w:rFonts w:ascii="Charis SIL" w:hAnsi="Charis SIL" w:cs="Charis SIL" w:eastAsia="Charis SIL"/>
          <w:b/>
          <w:i/>
          <w:color w:val="000000"/>
          <w:sz w:val="21"/>
        </w:rPr>
        <w:t>2.4.2 SIFT scores are missing disproportionately at long distances and affected sites</w:t>
      </w:r>
    </w:p>
    <w:p>
      <w:pPr>
        <w:spacing w:before="0" w:after="200" w:line="480" w:lineRule="auto"/>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480" w:lineRule="auto"/>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480" w:lineRule="auto"/>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480" w:lineRule="auto"/>
        <w:jc w:val="left"/>
      </w:pPr>
      <w:r>
        <w:rPr>
          <w:rFonts w:ascii="Charis SIL" w:hAnsi="Charis SIL" w:cs="Charis SIL" w:eastAsia="Charis SIL"/>
          <w:b/>
          <w:i/>
          <w:color w:val="000000"/>
          <w:sz w:val="21"/>
        </w:rPr>
        <w:t>2.4.3 Feature combinations are not distinguishable at this sample size</w:t>
      </w:r>
    </w:p>
    <w:p>
      <w:pPr>
        <w:spacing w:before="0" w:after="200" w:line="480" w:lineRule="auto"/>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480" w:lineRule="auto"/>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480" w:lineRule="auto"/>
        <w:jc w:val="left"/>
      </w:pPr>
    </w:p>
    <w:p>
      <w:pPr>
        <w:spacing w:before="0" w:after="200" w:line="480" w:lineRule="auto"/>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480" w:lineRule="auto"/>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480" w:lineRule="auto"/>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480" w:lineRule="auto"/>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480" w:lineRule="auto"/>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480" w:lineRule="auto"/>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480" w:lineRule="auto"/>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480" w:lineRule="auto"/>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480" w:lineRule="auto"/>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480" w:lineRule="auto"/>
        <w:jc w:val="left"/>
      </w:pPr>
      <w:r>
        <w:rPr>
          <w:rFonts w:ascii="Charis SIL" w:hAnsi="Charis SIL" w:cs="Charis SIL" w:eastAsia="Charis SIL"/>
          <w:b/>
          <w:i w:val="0"/>
          <w:color w:val="000000"/>
          <w:sz w:val="22"/>
        </w:rPr>
        <w:t>2.6 Distance and model confidence are largely the same variable here</w:t>
      </w:r>
    </w:p>
    <w:p>
      <w:pPr>
        <w:spacing w:before="0" w:after="200" w:line="480" w:lineRule="auto"/>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480" w:lineRule="auto"/>
        <w:jc w:val="left"/>
      </w:pPr>
      <w:r>
        <w:rPr>
          <w:rFonts w:ascii="Charis SIL" w:hAnsi="Charis SIL" w:cs="Charis SIL" w:eastAsia="Charis SIL"/>
          <w:b w:val="0"/>
          <w:i w:val="0"/>
          <w:color w:val="000000"/>
          <w:sz w:val="20"/>
        </w:rPr>
        <w:t>The full eleven-stratum family, for both cohort versions, is S1 Table and S1 Fig; its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480" w:lineRule="auto"/>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480" w:lineRule="auto"/>
        <w:jc w:val="left"/>
      </w:pPr>
      <w:r>
        <w:rPr>
          <w:rFonts w:ascii="Charis SIL" w:hAnsi="Charis SIL" w:cs="Charis SIL" w:eastAsia="Charis SIL"/>
          <w:b w:val="0"/>
          <w:i w:val="0"/>
          <w:color w:val="000000"/>
          <w:sz w:val="20"/>
        </w:rPr>
        <w:t>The four PAE summaries at 10 Å and the 72-cell grids are S2 Table; its 72 primary-cohort cells run from 0.416 to 0.569.</w:t>
      </w:r>
    </w:p>
    <w:p>
      <w:pPr>
        <w:spacing w:before="240" w:after="120" w:line="480" w:lineRule="auto"/>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480" w:lineRule="auto"/>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480" w:lineRule="auto"/>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480" w:lineRule="auto"/>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480" w:lineRule="auto"/>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480" w:lineRule="auto"/>
        <w:jc w:val="left"/>
      </w:pPr>
      <w:r>
        <w:rPr>
          <w:rFonts w:ascii="Charis SIL" w:hAnsi="Charis SIL" w:cs="Charis SIL" w:eastAsia="Charis SIL"/>
          <w:b/>
          <w:i/>
          <w:color w:val="000000"/>
          <w:sz w:val="21"/>
        </w:rPr>
        <w:t>2.7.1 The reading does not depend on which endpoint is chosen</w:t>
      </w:r>
    </w:p>
    <w:p>
      <w:pPr>
        <w:spacing w:before="0" w:after="200" w:line="480" w:lineRule="auto"/>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480" w:lineRule="auto"/>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480" w:lineRule="auto"/>
        <w:jc w:val="left"/>
      </w:pPr>
      <w:r>
        <w:rPr>
          <w:rFonts w:ascii="Charis SIL" w:hAnsi="Charis SIL" w:cs="Charis SIL" w:eastAsia="Charis SIL"/>
          <w:b/>
          <w:i/>
          <w:color w:val="000000"/>
          <w:sz w:val="21"/>
        </w:rPr>
        <w:t>2.7.2 Two features that the pooled version hid</w:t>
      </w:r>
    </w:p>
    <w:p>
      <w:pPr>
        <w:spacing w:before="0" w:after="200" w:line="480" w:lineRule="auto"/>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480" w:lineRule="auto"/>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480" w:lineRule="auto"/>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comparator's paired difference against distance excludes zero in either cohort.</w:t>
      </w:r>
      <w:r>
        <w:rPr>
          <w:rFonts w:ascii="Charis SIL" w:hAnsi="Charis SIL" w:cs="Charis SIL" w:eastAsia="Charis SIL"/>
          <w:b w:val="0"/>
          <w:i w:val="0"/>
          <w:color w:val="000000"/>
          <w:sz w:val="20"/>
        </w:rPr>
        <w:t xml:space="preserve"> The exception is not a comparator: measuring distance from the phospho-accepting oxygen rather than any heavy atom gives a paired difference of +0.004 (+0.000 to +0.008) on the fitness screen, which is a net 405 reorderings out of 100,656 ranked pairs and is reported in §2.4.1 as the atom choice not mattering rather than as one predictor beating another. The burial result above is post hoc and unadjusted for the number of features and endpoints examined; it is the strongest lead here, not a finding.</w:t>
      </w:r>
    </w:p>
    <w:p>
      <w:pPr>
        <w:spacing w:before="240" w:after="120" w:line="480" w:lineRule="auto"/>
        <w:jc w:val="left"/>
      </w:pPr>
      <w:r>
        <w:rPr>
          <w:rFonts w:ascii="Charis SIL" w:hAnsi="Charis SIL" w:cs="Charis SIL" w:eastAsia="Charis SIL"/>
          <w:b/>
          <w:i/>
          <w:color w:val="000000"/>
          <w:sz w:val="21"/>
        </w:rPr>
        <w:t>2.7.3 What the pooled statistic estimates, and the within-protein estimate</w:t>
      </w:r>
    </w:p>
    <w:p>
      <w:pPr>
        <w:spacing w:before="0" w:after="200" w:line="480" w:lineRule="auto"/>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480" w:lineRule="auto"/>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480" w:lineRule="auto"/>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spacing w:before="0" w:after="200" w:line="480" w:lineRule="auto"/>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except the reporter screen's equal-protein-weight estimate, whose upper endpoint is 0.489; §2.7.3 sets out why that exclusion is not reported as a result. Estimand is distinguished by colour, marker and line style together, so the panel survives grayscale.</w:t>
      </w:r>
    </w:p>
    <w:p>
      <w:pPr>
        <w:spacing w:before="0" w:after="200" w:line="480" w:lineRule="auto"/>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480" w:lineRule="auto"/>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480" w:lineRule="auto"/>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480" w:lineRule="auto"/>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480" w:lineRule="auto"/>
        <w:jc w:val="left"/>
      </w:pPr>
      <w:r>
        <w:rPr>
          <w:rFonts w:ascii="Charis SIL" w:hAnsi="Charis SIL" w:cs="Charis SIL" w:eastAsia="Charis SIL"/>
          <w:b/>
          <w:i/>
          <w:color w:val="000000"/>
          <w:sz w:val="21"/>
        </w:rPr>
        <w:t>2.7.4 Three properties of the yeast measurement reappear</w:t>
      </w:r>
    </w:p>
    <w:p>
      <w:pPr>
        <w:spacing w:before="0" w:after="200" w:line="480" w:lineRule="auto"/>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480" w:lineRule="auto"/>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480" w:lineRule="auto"/>
        <w:jc w:val="left"/>
      </w:pPr>
      <w:r>
        <w:rPr>
          <w:rFonts w:ascii="Charis SIL" w:hAnsi="Charis SIL" w:cs="Charis SIL" w:eastAsia="Charis SIL"/>
          <w:b/>
          <w:i/>
          <w:color w:val="000000"/>
          <w:sz w:val="21"/>
        </w:rPr>
        <w:t>2.7.5 A published feature separates the classes, in one screen</w:t>
      </w:r>
    </w:p>
    <w:p>
      <w:pPr>
        <w:spacing w:before="0" w:after="200" w:line="480" w:lineRule="auto"/>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0.647 (0.565–0.723)</w:t>
      </w:r>
      <w:r>
        <w:rPr>
          <w:rFonts w:ascii="Charis SIL" w:hAnsi="Charis SIL" w:cs="Charis SIL" w:eastAsia="Charis SIL"/>
          <w:b w:val="0"/>
          <w:i w:val="0"/>
          <w:color w:val="000000"/>
          <w:sz w:val="20"/>
        </w:rPr>
        <w:t xml:space="preserve"> on the 997 sites carrying a score. On the reporter screen the same feature gives 0.575 (0.497–0.651), an interval that contains 0.5.</w:t>
      </w:r>
    </w:p>
    <w:p>
      <w:pPr>
        <w:spacing w:before="0" w:after="200" w:line="480" w:lineRule="auto"/>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The 39 sites edited cleanly from threonine to alanine carry one affected site under the fitness endpoint and none under the reporter endpoint, so no interval is estimable for them in either screen. An earlier version of this analysis reported an AUC of 0.470 (0.212–0.733) for this arm; that rested on the withdrawn pooled endpoint and is retired.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480" w:lineRule="auto"/>
        <w:jc w:val="left"/>
      </w:pPr>
      <w:r>
        <w:rPr>
          <w:rFonts w:ascii="Charis SIL" w:hAnsi="Charis SIL" w:cs="Charis SIL" w:eastAsia="Charis SIL"/>
          <w:b/>
          <w:i/>
          <w:color w:val="000000"/>
          <w:sz w:val="21"/>
        </w:rPr>
        <w:t>2.7.6 What the two cohorts do not share</w:t>
      </w:r>
    </w:p>
    <w:p>
      <w:pPr>
        <w:spacing w:before="0" w:after="200" w:line="480" w:lineRule="auto"/>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480" w:lineRule="auto"/>
        <w:jc w:val="left"/>
      </w:pPr>
      <w:r>
        <w:rPr>
          <w:rFonts w:ascii="Charis SIL" w:hAnsi="Charis SIL" w:cs="Charis SIL" w:eastAsia="Charis SIL"/>
          <w:b/>
          <w:i w:val="0"/>
          <w:color w:val="000000"/>
          <w:sz w:val="25"/>
        </w:rPr>
        <w:t>3. Discussion</w:t>
      </w:r>
    </w:p>
    <w:p>
      <w:pPr>
        <w:spacing w:before="240" w:after="120" w:line="480" w:lineRule="auto"/>
        <w:jc w:val="left"/>
      </w:pPr>
      <w:r>
        <w:rPr>
          <w:rFonts w:ascii="Charis SIL" w:hAnsi="Charis SIL" w:cs="Charis SIL" w:eastAsia="Charis SIL"/>
          <w:b/>
          <w:i w:val="0"/>
          <w:color w:val="000000"/>
          <w:sz w:val="22"/>
        </w:rPr>
        <w:t>3.1 What the proxy measures</w:t>
      </w:r>
    </w:p>
    <w:p>
      <w:pPr>
        <w:spacing w:before="0" w:after="200" w:line="480" w:lineRule="auto"/>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480" w:lineRule="auto"/>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480" w:lineRule="auto"/>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480" w:lineRule="auto"/>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480" w:lineRule="auto"/>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480" w:lineRule="auto"/>
        <w:jc w:val="left"/>
      </w:pPr>
      <w:r>
        <w:rPr>
          <w:rFonts w:ascii="Charis SIL" w:hAnsi="Charis SIL" w:cs="Charis SIL" w:eastAsia="Charis SIL"/>
          <w:b/>
          <w:i w:val="0"/>
          <w:color w:val="000000"/>
          <w:sz w:val="22"/>
        </w:rPr>
        <w:t>3.2 What this design can resolve</w:t>
      </w:r>
    </w:p>
    <w:p>
      <w:pPr>
        <w:spacing w:before="0" w:after="200" w:line="480" w:lineRule="auto"/>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480" w:lineRule="auto"/>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480" w:lineRule="auto"/>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480" w:lineRule="auto"/>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480" w:lineRule="auto"/>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480" w:lineRule="auto"/>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480" w:lineRule="auto"/>
        <w:jc w:val="left"/>
      </w:pPr>
      <w:r>
        <w:rPr>
          <w:rFonts w:ascii="Charis SIL" w:hAnsi="Charis SIL" w:cs="Charis SIL" w:eastAsia="Charis SIL"/>
          <w:b/>
          <w:i w:val="0"/>
          <w:color w:val="000000"/>
          <w:sz w:val="22"/>
        </w:rPr>
        <w:t>3.3 Limitations</w:t>
      </w:r>
    </w:p>
    <w:p>
      <w:pPr>
        <w:spacing w:before="0" w:after="200" w:line="480" w:lineRule="auto"/>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480" w:lineRule="auto"/>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480" w:lineRule="auto"/>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480" w:lineRule="auto"/>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480" w:lineRule="auto"/>
        <w:jc w:val="left"/>
      </w:pPr>
      <w:r>
        <w:rPr>
          <w:rFonts w:ascii="Charis SIL" w:hAnsi="Charis SIL" w:cs="Charis SIL" w:eastAsia="Charis SIL"/>
          <w:b/>
          <w:i w:val="0"/>
          <w:color w:val="000000"/>
          <w:sz w:val="20"/>
        </w:rPr>
        <w:t>What the human endpoint can detect.</w:t>
      </w:r>
      <w:r>
        <w:rPr>
          <w:rFonts w:ascii="Charis SIL" w:hAnsi="Charis SIL" w:cs="Charis SIL" w:eastAsia="Charis SIL"/>
          <w:b w:val="0"/>
          <w:i w:val="0"/>
          <w:color w:val="000000"/>
          <w:sz w:val="20"/>
        </w:rPr>
        <w:t xml:space="preserve"> The source experiment carries 208 essential splice-site controls, and 59.62% of them are detected at an unadjusted minimum directional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below 0.05. The declared endpoint doubles that minimum and is stricter, so fewer than three in five of the screen's own positive controls clear the threshold this paper uses. A predictor cannot rank an outcome the assay records only intermittently, and that ceiling applies to both human screens.</w:t>
      </w:r>
    </w:p>
    <w:p>
      <w:pPr>
        <w:spacing w:before="240" w:after="120" w:line="480" w:lineRule="auto"/>
        <w:jc w:val="left"/>
      </w:pPr>
      <w:r>
        <w:rPr>
          <w:rFonts w:ascii="Charis SIL" w:hAnsi="Charis SIL" w:cs="Charis SIL" w:eastAsia="Charis SIL"/>
          <w:b/>
          <w:i w:val="0"/>
          <w:color w:val="000000"/>
          <w:sz w:val="22"/>
        </w:rPr>
        <w:t>3.4 What the analysis supports, and what a usable design would need</w:t>
      </w:r>
    </w:p>
    <w:p>
      <w:pPr>
        <w:spacing w:before="0" w:after="200" w:line="480" w:lineRule="auto"/>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 the exclusion of 0.5 turns on one protein and is not reported as a result (§2.7.3)</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comparator difference (§2.4.1)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0.647</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480" w:lineRule="auto"/>
        <w:jc w:val="left"/>
      </w:pPr>
    </w:p>
    <w:p>
      <w:pPr>
        <w:spacing w:before="0" w:after="200" w:line="480" w:lineRule="auto"/>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480" w:lineRule="auto"/>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480" w:lineRule="auto"/>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480" w:lineRule="auto"/>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480" w:lineRule="auto"/>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480" w:lineRule="auto"/>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480" w:lineRule="auto"/>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480" w:lineRule="auto"/>
        <w:jc w:val="left"/>
      </w:pPr>
      <w:r>
        <w:rPr>
          <w:rFonts w:ascii="Charis SIL" w:hAnsi="Charis SIL" w:cs="Charis SIL" w:eastAsia="Charis SIL"/>
          <w:b/>
          <w:i w:val="0"/>
          <w:color w:val="000000"/>
          <w:sz w:val="25"/>
        </w:rPr>
        <w:t>4. Methods</w:t>
      </w:r>
    </w:p>
    <w:p>
      <w:pPr>
        <w:spacing w:before="240" w:after="120" w:line="480" w:lineRule="auto"/>
        <w:jc w:val="left"/>
      </w:pPr>
      <w:r>
        <w:rPr>
          <w:rFonts w:ascii="Charis SIL" w:hAnsi="Charis SIL" w:cs="Charis SIL" w:eastAsia="Charis SIL"/>
          <w:b/>
          <w:i w:val="0"/>
          <w:color w:val="000000"/>
          <w:sz w:val="22"/>
        </w:rPr>
        <w:t>4.1 Design, chronology, and what is post hoc</w:t>
      </w:r>
    </w:p>
    <w:p>
      <w:pPr>
        <w:spacing w:before="0" w:after="200" w:line="480" w:lineRule="auto"/>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480" w:lineRule="auto"/>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what changed, and why, is recorded in the deposited materials.</w:t>
      </w:r>
    </w:p>
    <w:p>
      <w:pPr>
        <w:spacing w:before="240" w:after="120" w:line="480" w:lineRule="auto"/>
        <w:jc w:val="left"/>
      </w:pPr>
      <w:r>
        <w:rPr>
          <w:rFonts w:ascii="Charis SIL" w:hAnsi="Charis SIL" w:cs="Charis SIL" w:eastAsia="Charis SIL"/>
          <w:b/>
          <w:i w:val="0"/>
          <w:color w:val="000000"/>
          <w:sz w:val="22"/>
        </w:rPr>
        <w:t>4.2 Source data and cohort construction</w:t>
      </w:r>
    </w:p>
    <w:p>
      <w:pPr>
        <w:spacing w:before="0" w:after="200" w:line="480" w:lineRule="auto"/>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480" w:lineRule="auto"/>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480" w:lineRule="auto"/>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480" w:lineRule="auto"/>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480" w:lineRule="auto"/>
        <w:jc w:val="left"/>
      </w:pPr>
      <w:r>
        <w:rPr>
          <w:rFonts w:ascii="Charis SIL" w:hAnsi="Charis SIL" w:cs="Charis SIL" w:eastAsia="Charis SIL"/>
          <w:b/>
          <w:i w:val="0"/>
          <w:color w:val="000000"/>
          <w:sz w:val="22"/>
        </w:rPr>
        <w:t>4.3 The outcome, the rule for repeat strains, and the variant definitions</w:t>
      </w:r>
    </w:p>
    <w:p>
      <w:pPr>
        <w:spacing w:before="0" w:after="200" w:line="480" w:lineRule="auto"/>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480" w:lineRule="auto"/>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480" w:lineRule="auto"/>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480" w:lineRule="auto"/>
        <w:jc w:val="left"/>
      </w:pPr>
      <w:r>
        <w:rPr>
          <w:rFonts w:ascii="Charis SIL" w:hAnsi="Charis SIL" w:cs="Charis SIL" w:eastAsia="Charis SIL"/>
          <w:b/>
          <w:i w:val="0"/>
          <w:color w:val="000000"/>
          <w:sz w:val="22"/>
        </w:rPr>
        <w:t>4.4 Annotations and structures</w:t>
      </w:r>
    </w:p>
    <w:p>
      <w:pPr>
        <w:spacing w:before="0" w:after="200" w:line="480" w:lineRule="auto"/>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480" w:lineRule="auto"/>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480" w:lineRule="auto"/>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480" w:lineRule="auto"/>
        <w:jc w:val="left"/>
      </w:pPr>
      <w:r>
        <w:rPr>
          <w:rFonts w:ascii="Charis SIL" w:hAnsi="Charis SIL" w:cs="Charis SIL" w:eastAsia="Charis SIL"/>
          <w:b/>
          <w:i w:val="0"/>
          <w:color w:val="000000"/>
          <w:sz w:val="22"/>
        </w:rPr>
        <w:t>4.5 Predictor and statistical analysis</w:t>
      </w:r>
    </w:p>
    <w:p>
      <w:pPr>
        <w:spacing w:before="0" w:after="200" w:line="480" w:lineRule="auto"/>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480" w:lineRule="auto"/>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480" w:lineRule="auto"/>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480" w:lineRule="auto"/>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480" w:lineRule="auto"/>
        <w:jc w:val="left"/>
      </w:pPr>
      <w:r>
        <w:rPr>
          <w:rFonts w:ascii="Charis SIL" w:hAnsi="Charis SIL" w:cs="Charis SIL" w:eastAsia="Charis SIL"/>
          <w:b/>
          <w:i w:val="0"/>
          <w:color w:val="000000"/>
          <w:sz w:val="22"/>
        </w:rPr>
        <w:t>4.6 Round-2 analyses, software, and reproducibility</w:t>
      </w:r>
    </w:p>
    <w:p>
      <w:pPr>
        <w:spacing w:before="0" w:after="200" w:line="480" w:lineRule="auto"/>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480" w:lineRule="auto"/>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480" w:lineRule="auto"/>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480" w:lineRule="auto"/>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480" w:lineRule="auto"/>
        <w:jc w:val="left"/>
      </w:pPr>
      <w:r>
        <w:rPr>
          <w:rFonts w:ascii="Charis SIL" w:hAnsi="Charis SIL" w:cs="Charis SIL" w:eastAsia="Charis SIL"/>
          <w:b/>
          <w:i w:val="0"/>
          <w:color w:val="000000"/>
          <w:sz w:val="22"/>
        </w:rPr>
        <w:t>4.7 The human replication cohort</w:t>
      </w:r>
    </w:p>
    <w:p>
      <w:pPr>
        <w:spacing w:before="0" w:after="200" w:line="480" w:lineRule="auto"/>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480" w:lineRule="auto"/>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480" w:lineRule="auto"/>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480" w:lineRule="auto"/>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480" w:lineRule="auto"/>
        <w:jc w:val="left"/>
      </w:pPr>
      <w:r>
        <w:rPr>
          <w:rFonts w:ascii="Charis SIL" w:hAnsi="Charis SIL" w:cs="Charis SIL" w:eastAsia="Charis SIL"/>
          <w:b/>
          <w:i w:val="0"/>
          <w:color w:val="000000"/>
          <w:sz w:val="22"/>
        </w:rPr>
        <w:t>4.8 Ethics</w:t>
      </w:r>
    </w:p>
    <w:p>
      <w:pPr>
        <w:spacing w:before="0" w:after="200" w:line="480" w:lineRule="auto"/>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480" w:lineRule="auto"/>
        <w:jc w:val="left"/>
      </w:pPr>
      <w:r>
        <w:rPr>
          <w:rFonts w:ascii="Charis SIL" w:hAnsi="Charis SIL" w:cs="Charis SIL" w:eastAsia="Charis SIL"/>
          <w:b/>
          <w:i w:val="0"/>
          <w:color w:val="000000"/>
          <w:sz w:val="22"/>
        </w:rPr>
        <w:t>4.9 Use of AI tools</w:t>
      </w:r>
    </w:p>
    <w:p>
      <w:pPr>
        <w:spacing w:before="0" w:after="200" w:line="480" w:lineRule="auto"/>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480" w:lineRule="auto"/>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480" w:lineRule="auto"/>
        <w:jc w:val="left"/>
      </w:pPr>
      <w:r>
        <w:rPr>
          <w:rFonts w:ascii="Charis SIL" w:hAnsi="Charis SIL" w:cs="Charis SIL" w:eastAsia="Charis SIL"/>
          <w:b/>
          <w:i w:val="0"/>
          <w:color w:val="000000"/>
          <w:sz w:val="25"/>
        </w:rPr>
        <w:t>Data and code availability</w:t>
      </w:r>
    </w:p>
    <w:p>
      <w:pPr>
        <w:spacing w:before="0" w:after="200" w:line="480" w:lineRule="auto"/>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at https://github.com/kyle-nguyen-git/phosphosite-proximity. No archive DOI has been minted yet, so cite the repository and commit rather than a DOI.</w:t>
      </w:r>
    </w:p>
    <w:p>
      <w:pPr>
        <w:spacing w:before="0" w:after="200" w:line="480" w:lineRule="auto"/>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480" w:lineRule="auto"/>
        <w:jc w:val="left"/>
      </w:pPr>
      <w:r>
        <w:rPr>
          <w:rFonts w:ascii="Charis SIL" w:hAnsi="Charis SIL" w:cs="Charis SIL" w:eastAsia="Charis SIL"/>
          <w:b/>
          <w:i w:val="0"/>
          <w:color w:val="000000"/>
          <w:sz w:val="25"/>
        </w:rPr>
        <w:t>Author contributions</w:t>
      </w:r>
    </w:p>
    <w:p>
      <w:pPr>
        <w:spacing w:before="0" w:after="200" w:line="480" w:lineRule="auto"/>
        <w:jc w:val="left"/>
      </w:pPr>
      <w:r>
        <w:rPr>
          <w:rFonts w:ascii="Charis SIL" w:hAnsi="Charis SIL" w:cs="Charis SIL" w:eastAsia="Charis SIL"/>
          <w:b w:val="0"/>
          <w:i w:val="0"/>
          <w:color w:val="000000"/>
          <w:sz w:val="20"/>
        </w:rPr>
        <w:t>Stated using CRediT roles.</w:t>
      </w:r>
    </w:p>
    <w:p>
      <w:pPr>
        <w:spacing w:before="0" w:after="200" w:line="480" w:lineRule="auto"/>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480" w:lineRule="auto"/>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480" w:lineRule="auto"/>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480" w:lineRule="auto"/>
        <w:jc w:val="left"/>
      </w:pPr>
      <w:r>
        <w:rPr>
          <w:rFonts w:ascii="Charis SIL" w:hAnsi="Charis SIL" w:cs="Charis SIL" w:eastAsia="Charis SIL"/>
          <w:b/>
          <w:i w:val="0"/>
          <w:color w:val="000000"/>
          <w:sz w:val="25"/>
        </w:rPr>
        <w:t>Funding</w:t>
      </w:r>
    </w:p>
    <w:p>
      <w:pPr>
        <w:spacing w:before="0" w:after="200" w:line="480" w:lineRule="auto"/>
        <w:jc w:val="left"/>
      </w:pPr>
      <w:r>
        <w:rPr>
          <w:rFonts w:ascii="Charis SIL" w:hAnsi="Charis SIL" w:cs="Charis SIL" w:eastAsia="Charis SIL"/>
          <w:b w:val="0"/>
          <w:i w:val="0"/>
          <w:color w:val="000000"/>
          <w:sz w:val="20"/>
        </w:rPr>
        <w:t>The authors received no specific funding for this work. It was carried out independently of any institution, without institutional funding, supervision or resources.</w:t>
      </w:r>
    </w:p>
    <w:p>
      <w:pPr>
        <w:spacing w:before="240" w:after="120" w:line="480" w:lineRule="auto"/>
        <w:jc w:val="left"/>
      </w:pPr>
      <w:r>
        <w:rPr>
          <w:rFonts w:ascii="Charis SIL" w:hAnsi="Charis SIL" w:cs="Charis SIL" w:eastAsia="Charis SIL"/>
          <w:b/>
          <w:i w:val="0"/>
          <w:color w:val="000000"/>
          <w:sz w:val="25"/>
        </w:rPr>
        <w:t>Competing interests</w:t>
      </w:r>
    </w:p>
    <w:p>
      <w:pPr>
        <w:spacing w:before="0" w:after="200" w:line="480" w:lineRule="auto"/>
        <w:jc w:val="left"/>
      </w:pPr>
      <w:r>
        <w:rPr>
          <w:rFonts w:ascii="Charis SIL" w:hAnsi="Charis SIL" w:cs="Charis SIL" w:eastAsia="Charis SIL"/>
          <w:b w:val="0"/>
          <w:i w:val="0"/>
          <w:color w:val="000000"/>
          <w:sz w:val="20"/>
        </w:rPr>
        <w:t>The authors have declared that no competing interests exist.</w:t>
      </w:r>
    </w:p>
    <w:p>
      <w:pPr>
        <w:spacing w:before="240" w:after="120" w:line="480" w:lineRule="auto"/>
        <w:jc w:val="left"/>
      </w:pPr>
      <w:r>
        <w:rPr>
          <w:rFonts w:ascii="Charis SIL" w:hAnsi="Charis SIL" w:cs="Charis SIL" w:eastAsia="Charis SIL"/>
          <w:b/>
          <w:i w:val="0"/>
          <w:color w:val="000000"/>
          <w:sz w:val="25"/>
        </w:rPr>
        <w:t>Acknowledgements</w:t>
      </w:r>
    </w:p>
    <w:p>
      <w:pPr>
        <w:spacing w:before="0" w:after="200" w:line="480" w:lineRule="auto"/>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480" w:lineRule="auto"/>
        <w:jc w:val="left"/>
      </w:pPr>
      <w:r>
        <w:rPr>
          <w:rFonts w:ascii="Charis SIL" w:hAnsi="Charis SIL" w:cs="Charis SIL" w:eastAsia="Charis SIL"/>
          <w:b/>
          <w:i w:val="0"/>
          <w:color w:val="000000"/>
          <w:sz w:val="25"/>
        </w:rPr>
        <w:t>References</w:t>
      </w:r>
    </w:p>
    <w:p>
      <w:pPr>
        <w:pStyle w:val="ListNumber"/>
        <w:spacing w:before="0" w:after="60" w:line="480" w:lineRule="auto"/>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480" w:lineRule="auto"/>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480" w:lineRule="auto"/>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480" w:lineRule="auto"/>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480" w:lineRule="auto"/>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480" w:lineRule="auto"/>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480" w:lineRule="auto"/>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480" w:lineRule="auto"/>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480" w:lineRule="auto"/>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480" w:lineRule="auto"/>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480" w:lineRule="auto"/>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480" w:lineRule="auto"/>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480" w:lineRule="auto"/>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480" w:lineRule="auto"/>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480" w:lineRule="auto"/>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480" w:lineRule="auto"/>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480" w:lineRule="auto"/>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480" w:lineRule="auto"/>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480" w:lineRule="auto"/>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480" w:lineRule="auto"/>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480" w:lineRule="auto"/>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480" w:lineRule="auto"/>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480" w:lineRule="auto"/>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480" w:lineRule="auto"/>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480" w:lineRule="auto"/>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480" w:lineRule="auto"/>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480" w:lineRule="auto"/>
        <w:jc w:val="left"/>
      </w:pPr>
      <w:r>
        <w:rPr>
          <w:rFonts w:ascii="Charis SIL" w:hAnsi="Charis SIL" w:cs="Charis SIL" w:eastAsia="Charis SIL"/>
          <w:b/>
          <w:i w:val="0"/>
          <w:color w:val="000000"/>
          <w:sz w:val="25"/>
        </w:rPr>
        <w:t>Supporting information</w:t>
      </w:r>
    </w:p>
    <w:p>
      <w:pPr>
        <w:spacing w:before="0" w:after="200" w:line="480" w:lineRule="auto"/>
        <w:jc w:val="left"/>
      </w:pPr>
      <w:r>
        <w:rPr>
          <w:rFonts w:ascii="Charis SIL" w:hAnsi="Charis SIL" w:cs="Charis SIL" w:eastAsia="Charis SIL"/>
          <w:b w:val="0"/>
          <w:i w:val="0"/>
          <w:color w:val="000000"/>
          <w:sz w:val="20"/>
        </w:rPr>
        <w:t>Captions only. Each item is uploaded as its own file, as PLOS ONE requires.</w:t>
      </w:r>
    </w:p>
    <w:p>
      <w:pPr>
        <w:spacing w:before="0" w:after="200" w:line="480" w:lineRule="auto"/>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480" w:lineRule="auto"/>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480" w:lineRule="auto"/>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480" w:lineRule="auto"/>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480" w:lineRule="auto"/>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footerReference w:type="default" r:id="rId9"/>
      <w:pgSz w:w="12240" w:h="15840"/>
      <w:pgMar w:top="1280" w:right="1280" w:bottom="1280" w:left="128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haris SIL" w:hAnsi="Charis SIL"/>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2026-08-21T22:40:58Z</dcterms:created>
  <dcterms:modified xsi:type="dcterms:W3CDTF">2026-08-21T22:40:58Z</dcterms:modified>
  <cp:category/>
</cp:coreProperties>
</file>